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0B73" w14:textId="77777777" w:rsidR="00B95D41" w:rsidRDefault="00B95D41" w:rsidP="00B95D41"/>
    <w:p w14:paraId="05D67795" w14:textId="03042690" w:rsidR="00A22B32" w:rsidRPr="00837CB5" w:rsidRDefault="00A22B32" w:rsidP="00837CB5">
      <w:pPr>
        <w:pStyle w:val="Title"/>
        <w:jc w:val="center"/>
      </w:pPr>
      <w:r w:rsidRPr="00837CB5">
        <w:t>The Massachusetts Statewide Transition Plan for Compliance with the CMS Home and Community Based Services Community Rule</w:t>
      </w:r>
    </w:p>
    <w:p w14:paraId="362579EC" w14:textId="37D24BA1" w:rsidR="006D00E2" w:rsidRPr="001E687F" w:rsidRDefault="00F30078" w:rsidP="001E687F">
      <w:pPr>
        <w:pStyle w:val="Subtitle"/>
        <w:jc w:val="center"/>
        <w:rPr>
          <w:sz w:val="28"/>
          <w:szCs w:val="28"/>
        </w:rPr>
      </w:pPr>
      <w:r>
        <w:rPr>
          <w:sz w:val="28"/>
          <w:szCs w:val="28"/>
        </w:rPr>
        <w:t>Feb</w:t>
      </w:r>
      <w:r w:rsidR="00E72E9A">
        <w:rPr>
          <w:sz w:val="28"/>
          <w:szCs w:val="28"/>
        </w:rPr>
        <w:t>ruary</w:t>
      </w:r>
      <w:r>
        <w:rPr>
          <w:sz w:val="28"/>
          <w:szCs w:val="28"/>
        </w:rPr>
        <w:t xml:space="preserve"> </w:t>
      </w:r>
      <w:r w:rsidR="00D61148" w:rsidRPr="001E687F">
        <w:rPr>
          <w:sz w:val="28"/>
          <w:szCs w:val="28"/>
        </w:rPr>
        <w:t>202</w:t>
      </w:r>
      <w:r w:rsidR="008D1D2E">
        <w:rPr>
          <w:sz w:val="28"/>
          <w:szCs w:val="28"/>
        </w:rPr>
        <w:t>3</w:t>
      </w:r>
    </w:p>
    <w:p w14:paraId="057201C8" w14:textId="562D5571" w:rsidR="00886D91" w:rsidRPr="001E687F" w:rsidRDefault="008D1D2E" w:rsidP="008D1D2E">
      <w:pPr>
        <w:pStyle w:val="Subtitle"/>
        <w:jc w:val="center"/>
        <w:rPr>
          <w:sz w:val="28"/>
          <w:szCs w:val="28"/>
        </w:rPr>
      </w:pPr>
      <w:r>
        <w:rPr>
          <w:sz w:val="28"/>
          <w:szCs w:val="28"/>
        </w:rPr>
        <w:t>Submission for Final Approval</w:t>
      </w:r>
    </w:p>
    <w:p w14:paraId="1014DA4B" w14:textId="0B073801" w:rsidR="002B572C" w:rsidRDefault="002B572C">
      <w:pPr>
        <w:rPr>
          <w:rFonts w:cs="Arial"/>
          <w:i/>
          <w:sz w:val="28"/>
          <w:szCs w:val="28"/>
        </w:rPr>
      </w:pPr>
      <w:r>
        <w:rPr>
          <w:rFonts w:cs="Arial"/>
          <w:i/>
          <w:sz w:val="28"/>
          <w:szCs w:val="28"/>
        </w:rPr>
        <w:br w:type="page"/>
      </w:r>
    </w:p>
    <w:p w14:paraId="297C5BBA" w14:textId="77777777" w:rsidR="00A22B32" w:rsidRDefault="00A22B32" w:rsidP="00A22B32">
      <w:pPr>
        <w:jc w:val="center"/>
        <w:rPr>
          <w:rFonts w:cs="Arial"/>
          <w:sz w:val="36"/>
          <w:szCs w:val="36"/>
        </w:rPr>
        <w:sectPr w:rsidR="00A22B32" w:rsidSect="00327DC1">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14:paraId="22D7B215" w14:textId="54BF082E" w:rsidR="00327DC1" w:rsidRPr="00C679B1" w:rsidRDefault="00327DC1" w:rsidP="00C679B1">
      <w:pPr>
        <w:pStyle w:val="Title"/>
        <w:jc w:val="center"/>
        <w:rPr>
          <w:sz w:val="36"/>
          <w:szCs w:val="36"/>
        </w:rPr>
      </w:pPr>
      <w:r w:rsidRPr="00C679B1">
        <w:rPr>
          <w:sz w:val="36"/>
          <w:szCs w:val="36"/>
        </w:rPr>
        <w:lastRenderedPageBreak/>
        <w:t>The Massachusetts Statewide Transition Plan for Compliance with the CMS Home and Community Based Services Community Rule</w:t>
      </w:r>
    </w:p>
    <w:p w14:paraId="47D79C5B" w14:textId="77777777" w:rsidR="00327DC1" w:rsidRPr="00B11E60" w:rsidRDefault="00327DC1" w:rsidP="00327DC1">
      <w:pPr>
        <w:tabs>
          <w:tab w:val="left" w:pos="1740"/>
        </w:tabs>
        <w:rPr>
          <w:rFonts w:cs="Arial"/>
          <w:sz w:val="28"/>
          <w:szCs w:val="28"/>
        </w:rPr>
      </w:pPr>
    </w:p>
    <w:p w14:paraId="359628E6" w14:textId="77777777" w:rsidR="00327DC1" w:rsidRPr="001E687F" w:rsidRDefault="00327DC1" w:rsidP="008E7527">
      <w:pPr>
        <w:pStyle w:val="Heading2"/>
        <w:rPr>
          <w:rStyle w:val="Strong"/>
          <w:b/>
          <w:bCs/>
        </w:rPr>
      </w:pPr>
      <w:r w:rsidRPr="001E687F">
        <w:rPr>
          <w:rStyle w:val="Strong"/>
          <w:b/>
          <w:bCs/>
        </w:rPr>
        <w:t>Contents</w:t>
      </w:r>
    </w:p>
    <w:p w14:paraId="5CABD13A" w14:textId="3C1D0C1B" w:rsidR="00327DC1" w:rsidRPr="00B11E60" w:rsidRDefault="00327DC1" w:rsidP="00B472EC">
      <w:pPr>
        <w:tabs>
          <w:tab w:val="left" w:pos="7920"/>
          <w:tab w:val="left" w:pos="9270"/>
        </w:tabs>
        <w:ind w:left="8280"/>
        <w:rPr>
          <w:rFonts w:cs="Arial"/>
          <w:sz w:val="24"/>
          <w:szCs w:val="24"/>
        </w:rPr>
      </w:pPr>
      <w:r w:rsidRPr="00B11E60">
        <w:rPr>
          <w:rFonts w:cs="Arial"/>
          <w:sz w:val="24"/>
          <w:szCs w:val="24"/>
        </w:rPr>
        <w:t xml:space="preserve">Page </w:t>
      </w:r>
      <w:r w:rsidR="00B472EC">
        <w:rPr>
          <w:rFonts w:cs="Arial"/>
          <w:sz w:val="24"/>
          <w:szCs w:val="24"/>
        </w:rPr>
        <w:t>N</w:t>
      </w:r>
      <w:r w:rsidRPr="00B11E60">
        <w:rPr>
          <w:rFonts w:cs="Arial"/>
          <w:sz w:val="24"/>
          <w:szCs w:val="24"/>
        </w:rPr>
        <w:t>o.</w:t>
      </w:r>
    </w:p>
    <w:p w14:paraId="76B275DA" w14:textId="266E5A55" w:rsidR="00415438" w:rsidRDefault="00327DC1" w:rsidP="00415438">
      <w:pPr>
        <w:tabs>
          <w:tab w:val="left" w:pos="2160"/>
          <w:tab w:val="left" w:pos="8280"/>
          <w:tab w:val="right" w:leader="dot" w:pos="9360"/>
        </w:tabs>
        <w:rPr>
          <w:rFonts w:cs="Arial"/>
          <w:sz w:val="24"/>
          <w:szCs w:val="24"/>
        </w:rPr>
      </w:pPr>
      <w:r w:rsidRPr="00B11E60">
        <w:rPr>
          <w:rFonts w:cs="Arial"/>
          <w:sz w:val="24"/>
          <w:szCs w:val="24"/>
        </w:rPr>
        <w:t>Section I...............</w:t>
      </w:r>
      <w:r>
        <w:rPr>
          <w:rFonts w:cs="Arial"/>
          <w:sz w:val="24"/>
          <w:szCs w:val="24"/>
        </w:rPr>
        <w:t>..</w:t>
      </w:r>
      <w:r w:rsidRPr="00B11E60">
        <w:rPr>
          <w:rFonts w:cs="Arial"/>
          <w:sz w:val="24"/>
          <w:szCs w:val="24"/>
        </w:rPr>
        <w:t>.</w:t>
      </w:r>
      <w:r w:rsidRPr="00B11E60">
        <w:rPr>
          <w:rFonts w:cs="Arial"/>
          <w:sz w:val="24"/>
          <w:szCs w:val="24"/>
        </w:rPr>
        <w:tab/>
        <w:t>Overview.......................................................................</w:t>
      </w:r>
      <w:r>
        <w:rPr>
          <w:rFonts w:cs="Arial"/>
          <w:sz w:val="24"/>
          <w:szCs w:val="24"/>
        </w:rPr>
        <w:t>..</w:t>
      </w:r>
      <w:r w:rsidR="00B30387">
        <w:rPr>
          <w:rFonts w:cs="Arial"/>
          <w:sz w:val="24"/>
          <w:szCs w:val="24"/>
        </w:rPr>
        <w:t>..............</w:t>
      </w:r>
      <w:r>
        <w:rPr>
          <w:rFonts w:cs="Arial"/>
          <w:sz w:val="24"/>
          <w:szCs w:val="24"/>
        </w:rPr>
        <w:t>...</w:t>
      </w:r>
      <w:r w:rsidRPr="00B11E60">
        <w:rPr>
          <w:rFonts w:cs="Arial"/>
          <w:sz w:val="24"/>
          <w:szCs w:val="24"/>
        </w:rPr>
        <w:t>1</w:t>
      </w:r>
    </w:p>
    <w:p w14:paraId="2FA1B818"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II...............</w:t>
      </w:r>
      <w:r>
        <w:rPr>
          <w:rFonts w:cs="Arial"/>
          <w:sz w:val="24"/>
          <w:szCs w:val="24"/>
        </w:rPr>
        <w:t>..</w:t>
      </w:r>
      <w:r w:rsidRPr="00B11E60">
        <w:rPr>
          <w:rFonts w:cs="Arial"/>
          <w:sz w:val="24"/>
          <w:szCs w:val="24"/>
        </w:rPr>
        <w:tab/>
        <w:t>Background...................................................................</w:t>
      </w:r>
      <w:r>
        <w:rPr>
          <w:rFonts w:cs="Arial"/>
          <w:sz w:val="24"/>
          <w:szCs w:val="24"/>
        </w:rPr>
        <w:t>...</w:t>
      </w:r>
      <w:r w:rsidR="00B30387">
        <w:rPr>
          <w:rFonts w:cs="Arial"/>
          <w:sz w:val="24"/>
          <w:szCs w:val="24"/>
        </w:rPr>
        <w:t>..............</w:t>
      </w:r>
      <w:r>
        <w:rPr>
          <w:rFonts w:cs="Arial"/>
          <w:sz w:val="24"/>
          <w:szCs w:val="24"/>
        </w:rPr>
        <w:t>..</w:t>
      </w:r>
      <w:r w:rsidR="00496555">
        <w:rPr>
          <w:rFonts w:cs="Arial"/>
          <w:sz w:val="24"/>
          <w:szCs w:val="24"/>
        </w:rPr>
        <w:t>3</w:t>
      </w:r>
    </w:p>
    <w:p w14:paraId="6A203C78" w14:textId="0F225AAA" w:rsidR="00327DC1" w:rsidRPr="00B11E60" w:rsidRDefault="00327DC1" w:rsidP="00415438">
      <w:pPr>
        <w:tabs>
          <w:tab w:val="left" w:pos="2160"/>
          <w:tab w:val="left" w:pos="8280"/>
          <w:tab w:val="right" w:leader="dot" w:pos="9360"/>
        </w:tabs>
        <w:rPr>
          <w:rFonts w:cs="Arial"/>
          <w:sz w:val="24"/>
          <w:szCs w:val="24"/>
        </w:rPr>
      </w:pPr>
      <w:r w:rsidRPr="00B11E60">
        <w:rPr>
          <w:rFonts w:cs="Arial"/>
          <w:sz w:val="24"/>
          <w:szCs w:val="24"/>
        </w:rPr>
        <w:t>Section III..............</w:t>
      </w:r>
      <w:r>
        <w:rPr>
          <w:rFonts w:cs="Arial"/>
          <w:sz w:val="24"/>
          <w:szCs w:val="24"/>
        </w:rPr>
        <w:t>..</w:t>
      </w:r>
      <w:r w:rsidRPr="00B11E60">
        <w:rPr>
          <w:rFonts w:cs="Arial"/>
          <w:sz w:val="24"/>
          <w:szCs w:val="24"/>
        </w:rPr>
        <w:tab/>
        <w:t>Public Input.................................................................</w:t>
      </w:r>
      <w:r>
        <w:rPr>
          <w:rFonts w:cs="Arial"/>
          <w:sz w:val="24"/>
          <w:szCs w:val="24"/>
        </w:rPr>
        <w:t>...</w:t>
      </w:r>
      <w:r w:rsidR="00B30387">
        <w:rPr>
          <w:rFonts w:cs="Arial"/>
          <w:sz w:val="24"/>
          <w:szCs w:val="24"/>
        </w:rPr>
        <w:t>...........</w:t>
      </w:r>
      <w:r w:rsidR="00845329">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1E7FD9">
        <w:rPr>
          <w:rFonts w:cs="Arial"/>
          <w:sz w:val="24"/>
          <w:szCs w:val="24"/>
        </w:rPr>
        <w:t>5</w:t>
      </w:r>
    </w:p>
    <w:p w14:paraId="71BCB9EE"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IV...........</w:t>
      </w:r>
      <w:r>
        <w:rPr>
          <w:rFonts w:cs="Arial"/>
          <w:sz w:val="24"/>
          <w:szCs w:val="24"/>
        </w:rPr>
        <w:t>.</w:t>
      </w:r>
      <w:r w:rsidRPr="00B11E60">
        <w:rPr>
          <w:rFonts w:cs="Arial"/>
          <w:sz w:val="24"/>
          <w:szCs w:val="24"/>
        </w:rPr>
        <w:t>...</w:t>
      </w:r>
      <w:r w:rsidRPr="00B11E60">
        <w:rPr>
          <w:rFonts w:cs="Arial"/>
          <w:sz w:val="24"/>
          <w:szCs w:val="24"/>
        </w:rPr>
        <w:tab/>
        <w:t>Systemic Assessment..................................................</w:t>
      </w:r>
      <w:r w:rsidR="00B30387">
        <w:rPr>
          <w:rFonts w:cs="Arial"/>
          <w:sz w:val="24"/>
          <w:szCs w:val="24"/>
        </w:rPr>
        <w:t>..............</w:t>
      </w:r>
      <w:r w:rsidRPr="00B11E60">
        <w:rPr>
          <w:rFonts w:cs="Arial"/>
          <w:sz w:val="24"/>
          <w:szCs w:val="24"/>
        </w:rPr>
        <w:t>..</w:t>
      </w:r>
      <w:r>
        <w:rPr>
          <w:rFonts w:cs="Arial"/>
          <w:sz w:val="24"/>
          <w:szCs w:val="24"/>
        </w:rPr>
        <w:t>....</w:t>
      </w:r>
      <w:r w:rsidR="00496555">
        <w:rPr>
          <w:rFonts w:cs="Arial"/>
          <w:sz w:val="24"/>
          <w:szCs w:val="24"/>
        </w:rPr>
        <w:t>8</w:t>
      </w:r>
    </w:p>
    <w:p w14:paraId="7035E6B4" w14:textId="5C8B8779"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V...............</w:t>
      </w:r>
      <w:r>
        <w:rPr>
          <w:rFonts w:cs="Arial"/>
          <w:sz w:val="24"/>
          <w:szCs w:val="24"/>
        </w:rPr>
        <w:t>.</w:t>
      </w:r>
      <w:r w:rsidRPr="00B11E60">
        <w:rPr>
          <w:rFonts w:cs="Arial"/>
          <w:sz w:val="24"/>
          <w:szCs w:val="24"/>
        </w:rPr>
        <w:tab/>
        <w:t>Site-Specific Assessment.............................................</w:t>
      </w:r>
      <w:r>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BA7240">
        <w:rPr>
          <w:rFonts w:cs="Arial"/>
          <w:sz w:val="24"/>
          <w:szCs w:val="24"/>
        </w:rPr>
        <w:t>3</w:t>
      </w:r>
      <w:r w:rsidR="005644FA">
        <w:rPr>
          <w:rFonts w:cs="Arial"/>
          <w:sz w:val="24"/>
          <w:szCs w:val="24"/>
        </w:rPr>
        <w:t>2</w:t>
      </w:r>
    </w:p>
    <w:p w14:paraId="19FD7A73" w14:textId="5CDD26CF" w:rsidR="00415438" w:rsidRDefault="00327DC1" w:rsidP="00415438">
      <w:pPr>
        <w:tabs>
          <w:tab w:val="left" w:pos="2160"/>
          <w:tab w:val="left" w:pos="8280"/>
          <w:tab w:val="right" w:leader="dot" w:pos="9360"/>
        </w:tabs>
        <w:rPr>
          <w:rFonts w:cs="Arial"/>
          <w:sz w:val="24"/>
          <w:szCs w:val="24"/>
        </w:rPr>
      </w:pPr>
      <w:r w:rsidRPr="00B11E60">
        <w:rPr>
          <w:rFonts w:cs="Arial"/>
          <w:sz w:val="24"/>
          <w:szCs w:val="24"/>
        </w:rPr>
        <w:t>Section VI..............</w:t>
      </w:r>
      <w:r>
        <w:rPr>
          <w:rFonts w:cs="Arial"/>
          <w:sz w:val="24"/>
          <w:szCs w:val="24"/>
        </w:rPr>
        <w:t>.</w:t>
      </w:r>
      <w:r w:rsidRPr="00B11E60">
        <w:rPr>
          <w:rFonts w:cs="Arial"/>
          <w:sz w:val="24"/>
          <w:szCs w:val="24"/>
        </w:rPr>
        <w:tab/>
      </w:r>
      <w:r w:rsidR="005154CE" w:rsidRPr="00B11E60">
        <w:rPr>
          <w:rFonts w:cs="Arial"/>
          <w:sz w:val="24"/>
          <w:szCs w:val="24"/>
        </w:rPr>
        <w:t>Ongoing Monitoring</w:t>
      </w:r>
      <w:r w:rsidRPr="00B11E60">
        <w:rPr>
          <w:rFonts w:cs="Arial"/>
          <w:sz w:val="24"/>
          <w:szCs w:val="24"/>
        </w:rPr>
        <w:t>.....................................................</w:t>
      </w:r>
      <w:r w:rsidR="00B30387">
        <w:rPr>
          <w:rFonts w:cs="Arial"/>
          <w:sz w:val="24"/>
          <w:szCs w:val="24"/>
        </w:rPr>
        <w:t>............</w:t>
      </w:r>
      <w:r>
        <w:rPr>
          <w:rFonts w:cs="Arial"/>
          <w:sz w:val="24"/>
          <w:szCs w:val="24"/>
        </w:rPr>
        <w:t>..</w:t>
      </w:r>
      <w:r w:rsidR="00845329">
        <w:rPr>
          <w:rFonts w:cs="Arial"/>
          <w:sz w:val="24"/>
          <w:szCs w:val="24"/>
        </w:rPr>
        <w:t>..</w:t>
      </w:r>
      <w:r>
        <w:rPr>
          <w:rFonts w:cs="Arial"/>
          <w:sz w:val="24"/>
          <w:szCs w:val="24"/>
        </w:rPr>
        <w:t>...</w:t>
      </w:r>
      <w:r w:rsidR="005644FA">
        <w:rPr>
          <w:rFonts w:cs="Arial"/>
          <w:sz w:val="24"/>
          <w:szCs w:val="24"/>
        </w:rPr>
        <w:t>5</w:t>
      </w:r>
      <w:r w:rsidR="00DF0DB1">
        <w:rPr>
          <w:rFonts w:cs="Arial"/>
          <w:sz w:val="24"/>
          <w:szCs w:val="24"/>
        </w:rPr>
        <w:t>7</w:t>
      </w:r>
    </w:p>
    <w:p w14:paraId="136426BF" w14:textId="0625262C"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V</w:t>
      </w:r>
      <w:r w:rsidR="00C123C4">
        <w:rPr>
          <w:rFonts w:cs="Arial"/>
          <w:sz w:val="24"/>
          <w:szCs w:val="24"/>
        </w:rPr>
        <w:t>I</w:t>
      </w:r>
      <w:r w:rsidRPr="00B11E60">
        <w:rPr>
          <w:rFonts w:cs="Arial"/>
          <w:sz w:val="24"/>
          <w:szCs w:val="24"/>
        </w:rPr>
        <w:t>I............</w:t>
      </w:r>
      <w:r>
        <w:rPr>
          <w:rFonts w:cs="Arial"/>
          <w:sz w:val="24"/>
          <w:szCs w:val="24"/>
        </w:rPr>
        <w:t>.</w:t>
      </w:r>
      <w:r w:rsidRPr="00B11E60">
        <w:rPr>
          <w:rFonts w:cs="Arial"/>
          <w:sz w:val="24"/>
          <w:szCs w:val="24"/>
        </w:rPr>
        <w:tab/>
        <w:t>Heightened Scrutiny...................................................</w:t>
      </w:r>
      <w:r w:rsidR="00B30387">
        <w:rPr>
          <w:rFonts w:cs="Arial"/>
          <w:sz w:val="24"/>
          <w:szCs w:val="24"/>
        </w:rPr>
        <w:t>............</w:t>
      </w:r>
      <w:r>
        <w:rPr>
          <w:rFonts w:cs="Arial"/>
          <w:sz w:val="24"/>
          <w:szCs w:val="24"/>
        </w:rPr>
        <w:t>......</w:t>
      </w:r>
      <w:r w:rsidR="00984280">
        <w:rPr>
          <w:rFonts w:cs="Arial"/>
          <w:sz w:val="24"/>
          <w:szCs w:val="24"/>
        </w:rPr>
        <w:t>..</w:t>
      </w:r>
      <w:r w:rsidR="005644FA">
        <w:rPr>
          <w:rFonts w:cs="Arial"/>
          <w:sz w:val="24"/>
          <w:szCs w:val="24"/>
        </w:rPr>
        <w:t>6</w:t>
      </w:r>
      <w:r w:rsidR="00DF0DB1">
        <w:rPr>
          <w:rFonts w:cs="Arial"/>
          <w:sz w:val="24"/>
          <w:szCs w:val="24"/>
        </w:rPr>
        <w:t>2</w:t>
      </w:r>
    </w:p>
    <w:p w14:paraId="042F1D45" w14:textId="65E67348"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 xml:space="preserve">Section </w:t>
      </w:r>
      <w:r w:rsidR="008E603E">
        <w:rPr>
          <w:rFonts w:cs="Arial"/>
          <w:sz w:val="24"/>
          <w:szCs w:val="24"/>
        </w:rPr>
        <w:t>VIII</w:t>
      </w:r>
      <w:r w:rsidRPr="00B11E60">
        <w:rPr>
          <w:rFonts w:cs="Arial"/>
          <w:sz w:val="24"/>
          <w:szCs w:val="24"/>
        </w:rPr>
        <w:t>...........</w:t>
      </w:r>
      <w:r>
        <w:rPr>
          <w:rFonts w:cs="Arial"/>
          <w:sz w:val="24"/>
          <w:szCs w:val="24"/>
        </w:rPr>
        <w:t>.</w:t>
      </w:r>
      <w:r w:rsidRPr="00B11E60">
        <w:rPr>
          <w:rFonts w:cs="Arial"/>
          <w:sz w:val="24"/>
          <w:szCs w:val="24"/>
        </w:rPr>
        <w:t>.</w:t>
      </w:r>
      <w:r w:rsidRPr="00B11E60">
        <w:rPr>
          <w:rFonts w:cs="Arial"/>
          <w:sz w:val="24"/>
          <w:szCs w:val="24"/>
        </w:rPr>
        <w:tab/>
        <w:t>Participant Relocation.................................................</w:t>
      </w:r>
      <w:r>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5644FA">
        <w:rPr>
          <w:rFonts w:cs="Arial"/>
          <w:sz w:val="24"/>
          <w:szCs w:val="24"/>
        </w:rPr>
        <w:t>6</w:t>
      </w:r>
      <w:r w:rsidR="00DF0DB1">
        <w:rPr>
          <w:rFonts w:cs="Arial"/>
          <w:sz w:val="24"/>
          <w:szCs w:val="24"/>
        </w:rPr>
        <w:t>3</w:t>
      </w:r>
    </w:p>
    <w:p w14:paraId="1E82962B" w14:textId="6AD1DC44" w:rsidR="00327DC1" w:rsidRDefault="00327DC1" w:rsidP="00415438">
      <w:pPr>
        <w:tabs>
          <w:tab w:val="left" w:pos="2160"/>
          <w:tab w:val="left" w:pos="8280"/>
          <w:tab w:val="right" w:leader="dot" w:pos="9360"/>
        </w:tabs>
        <w:rPr>
          <w:rFonts w:cs="Arial"/>
          <w:sz w:val="24"/>
          <w:szCs w:val="24"/>
        </w:rPr>
      </w:pPr>
      <w:r w:rsidRPr="00B11E60">
        <w:rPr>
          <w:rFonts w:cs="Arial"/>
          <w:sz w:val="24"/>
          <w:szCs w:val="24"/>
        </w:rPr>
        <w:t xml:space="preserve">Section </w:t>
      </w:r>
      <w:r w:rsidR="008E603E">
        <w:rPr>
          <w:rFonts w:cs="Arial"/>
          <w:sz w:val="24"/>
          <w:szCs w:val="24"/>
        </w:rPr>
        <w:t>I</w:t>
      </w:r>
      <w:r w:rsidRPr="00B11E60">
        <w:rPr>
          <w:rFonts w:cs="Arial"/>
          <w:sz w:val="24"/>
          <w:szCs w:val="24"/>
        </w:rPr>
        <w:t>X.............</w:t>
      </w:r>
      <w:r>
        <w:rPr>
          <w:rFonts w:cs="Arial"/>
          <w:sz w:val="24"/>
          <w:szCs w:val="24"/>
        </w:rPr>
        <w:t>.</w:t>
      </w:r>
      <w:r w:rsidRPr="00B11E60">
        <w:rPr>
          <w:rFonts w:cs="Arial"/>
          <w:sz w:val="24"/>
          <w:szCs w:val="24"/>
        </w:rPr>
        <w:t>.</w:t>
      </w:r>
      <w:r w:rsidRPr="00B11E60">
        <w:rPr>
          <w:rFonts w:cs="Arial"/>
          <w:sz w:val="24"/>
          <w:szCs w:val="24"/>
        </w:rPr>
        <w:tab/>
        <w:t>Further Revisions to S</w:t>
      </w:r>
      <w:r w:rsidR="00984280">
        <w:rPr>
          <w:rFonts w:cs="Arial"/>
          <w:sz w:val="24"/>
          <w:szCs w:val="24"/>
        </w:rPr>
        <w:t xml:space="preserve">tatewide </w:t>
      </w:r>
      <w:r w:rsidRPr="00B11E60">
        <w:rPr>
          <w:rFonts w:cs="Arial"/>
          <w:sz w:val="24"/>
          <w:szCs w:val="24"/>
        </w:rPr>
        <w:t>T</w:t>
      </w:r>
      <w:r w:rsidR="00984280">
        <w:rPr>
          <w:rFonts w:cs="Arial"/>
          <w:sz w:val="24"/>
          <w:szCs w:val="24"/>
        </w:rPr>
        <w:t xml:space="preserve">ransition </w:t>
      </w:r>
      <w:r w:rsidRPr="00B11E60">
        <w:rPr>
          <w:rFonts w:cs="Arial"/>
          <w:sz w:val="24"/>
          <w:szCs w:val="24"/>
        </w:rPr>
        <w:t>P</w:t>
      </w:r>
      <w:r w:rsidR="00984280">
        <w:rPr>
          <w:rFonts w:cs="Arial"/>
          <w:sz w:val="24"/>
          <w:szCs w:val="24"/>
        </w:rPr>
        <w:t>lan</w:t>
      </w:r>
      <w:r w:rsidRPr="00B11E60">
        <w:rPr>
          <w:rFonts w:cs="Arial"/>
          <w:sz w:val="24"/>
          <w:szCs w:val="24"/>
        </w:rPr>
        <w:t xml:space="preserve">, </w:t>
      </w:r>
      <w:r w:rsidR="001601CB">
        <w:rPr>
          <w:rFonts w:cs="Arial"/>
          <w:sz w:val="24"/>
          <w:szCs w:val="24"/>
        </w:rPr>
        <w:br/>
      </w:r>
      <w:r w:rsidR="001601CB">
        <w:rPr>
          <w:rFonts w:cs="Arial"/>
          <w:sz w:val="24"/>
          <w:szCs w:val="24"/>
        </w:rPr>
        <w:tab/>
      </w:r>
      <w:r w:rsidRPr="00B11E60">
        <w:rPr>
          <w:rFonts w:cs="Arial"/>
          <w:sz w:val="24"/>
          <w:szCs w:val="24"/>
        </w:rPr>
        <w:t>Ongoing Public Input.....</w:t>
      </w:r>
      <w:r>
        <w:rPr>
          <w:rFonts w:cs="Arial"/>
          <w:sz w:val="24"/>
          <w:szCs w:val="24"/>
        </w:rPr>
        <w:t>....</w:t>
      </w:r>
      <w:r w:rsidR="00984280">
        <w:rPr>
          <w:rFonts w:cs="Arial"/>
          <w:sz w:val="24"/>
          <w:szCs w:val="24"/>
        </w:rPr>
        <w:t>......</w:t>
      </w:r>
      <w:r w:rsidR="00B30387">
        <w:rPr>
          <w:rFonts w:cs="Arial"/>
          <w:sz w:val="24"/>
          <w:szCs w:val="24"/>
        </w:rPr>
        <w:t>......................................................</w:t>
      </w:r>
      <w:r w:rsidR="00984280">
        <w:rPr>
          <w:rFonts w:cs="Arial"/>
          <w:sz w:val="24"/>
          <w:szCs w:val="24"/>
        </w:rPr>
        <w:t>.</w:t>
      </w:r>
      <w:r w:rsidR="005644FA">
        <w:rPr>
          <w:rFonts w:cs="Arial"/>
          <w:sz w:val="24"/>
          <w:szCs w:val="24"/>
        </w:rPr>
        <w:t>6</w:t>
      </w:r>
      <w:r w:rsidR="00DF0DB1">
        <w:rPr>
          <w:rFonts w:cs="Arial"/>
          <w:sz w:val="24"/>
          <w:szCs w:val="24"/>
        </w:rPr>
        <w:t>5</w:t>
      </w:r>
    </w:p>
    <w:p w14:paraId="12C7A8A5" w14:textId="77777777" w:rsidR="00E8562A" w:rsidRPr="00B11E60" w:rsidRDefault="00E8562A" w:rsidP="00415438">
      <w:pPr>
        <w:tabs>
          <w:tab w:val="left" w:pos="2160"/>
          <w:tab w:val="left" w:pos="8280"/>
          <w:tab w:val="right" w:leader="dot" w:pos="9360"/>
        </w:tabs>
        <w:rPr>
          <w:rFonts w:cs="Arial"/>
          <w:sz w:val="24"/>
          <w:szCs w:val="24"/>
        </w:rPr>
      </w:pPr>
    </w:p>
    <w:p w14:paraId="109D7E30" w14:textId="77777777" w:rsidR="00327DC1" w:rsidRPr="001E018F" w:rsidRDefault="001E018F" w:rsidP="00415438">
      <w:pPr>
        <w:tabs>
          <w:tab w:val="left" w:pos="2160"/>
          <w:tab w:val="left" w:pos="8280"/>
          <w:tab w:val="left" w:pos="9270"/>
          <w:tab w:val="right" w:leader="dot" w:pos="9360"/>
        </w:tabs>
        <w:jc w:val="center"/>
        <w:rPr>
          <w:rFonts w:cs="Arial"/>
          <w:sz w:val="24"/>
          <w:szCs w:val="24"/>
        </w:rPr>
      </w:pPr>
      <w:r w:rsidRPr="001E018F">
        <w:rPr>
          <w:rFonts w:cs="Arial"/>
          <w:sz w:val="24"/>
          <w:szCs w:val="24"/>
        </w:rPr>
        <w:t>*</w:t>
      </w:r>
      <w:r>
        <w:rPr>
          <w:rFonts w:cs="Arial"/>
          <w:sz w:val="24"/>
          <w:szCs w:val="24"/>
        </w:rPr>
        <w:t xml:space="preserve"> </w:t>
      </w:r>
      <w:r w:rsidRPr="001E018F">
        <w:rPr>
          <w:rFonts w:cs="Arial"/>
          <w:sz w:val="24"/>
          <w:szCs w:val="24"/>
        </w:rPr>
        <w:t>* *</w:t>
      </w:r>
    </w:p>
    <w:p w14:paraId="4F2C71CC" w14:textId="4F8168D7" w:rsidR="00415438" w:rsidRDefault="00FE7AED" w:rsidP="00415438">
      <w:pPr>
        <w:tabs>
          <w:tab w:val="left" w:pos="2160"/>
          <w:tab w:val="left" w:pos="8280"/>
          <w:tab w:val="right" w:leader="dot" w:pos="9360"/>
        </w:tabs>
        <w:rPr>
          <w:rFonts w:cs="Arial"/>
          <w:sz w:val="24"/>
          <w:szCs w:val="24"/>
        </w:rPr>
      </w:pPr>
      <w:r>
        <w:rPr>
          <w:rFonts w:cs="Arial"/>
          <w:sz w:val="24"/>
          <w:szCs w:val="24"/>
        </w:rPr>
        <w:t>Table 1....................</w:t>
      </w:r>
      <w:r>
        <w:rPr>
          <w:rFonts w:cs="Arial"/>
          <w:sz w:val="24"/>
          <w:szCs w:val="24"/>
        </w:rPr>
        <w:tab/>
      </w:r>
      <w:r w:rsidR="00327DC1" w:rsidRPr="00B11E60">
        <w:rPr>
          <w:rFonts w:cs="Arial"/>
          <w:sz w:val="24"/>
          <w:szCs w:val="24"/>
        </w:rPr>
        <w:t>Regulatory Crosswalk...........................................</w:t>
      </w:r>
      <w:r>
        <w:rPr>
          <w:rFonts w:cs="Arial"/>
          <w:sz w:val="24"/>
          <w:szCs w:val="24"/>
        </w:rPr>
        <w:t>.....</w:t>
      </w:r>
      <w:r w:rsidR="00327DC1" w:rsidRPr="00B11E60">
        <w:rPr>
          <w:rFonts w:cs="Arial"/>
          <w:sz w:val="24"/>
          <w:szCs w:val="24"/>
        </w:rPr>
        <w:t>...</w:t>
      </w:r>
      <w:r w:rsidR="00194B79">
        <w:rPr>
          <w:rFonts w:cs="Arial"/>
          <w:sz w:val="24"/>
          <w:szCs w:val="24"/>
        </w:rPr>
        <w:t>..</w:t>
      </w:r>
      <w:r w:rsidR="00B30387">
        <w:rPr>
          <w:rFonts w:cs="Arial"/>
          <w:sz w:val="24"/>
          <w:szCs w:val="24"/>
        </w:rPr>
        <w:t>...............</w:t>
      </w:r>
      <w:r w:rsidR="00194B79">
        <w:rPr>
          <w:rFonts w:cs="Arial"/>
          <w:sz w:val="24"/>
          <w:szCs w:val="24"/>
        </w:rPr>
        <w:t>....i</w:t>
      </w:r>
    </w:p>
    <w:p w14:paraId="34A66E64" w14:textId="0EB59BA3" w:rsidR="00415438" w:rsidRDefault="00FE7AED" w:rsidP="00415438">
      <w:pPr>
        <w:tabs>
          <w:tab w:val="left" w:pos="2160"/>
          <w:tab w:val="left" w:pos="8280"/>
          <w:tab w:val="right" w:leader="dot" w:pos="9360"/>
        </w:tabs>
        <w:rPr>
          <w:rFonts w:cs="Arial"/>
          <w:sz w:val="24"/>
          <w:szCs w:val="24"/>
        </w:rPr>
      </w:pPr>
      <w:r>
        <w:rPr>
          <w:rFonts w:cs="Arial"/>
          <w:sz w:val="24"/>
          <w:szCs w:val="24"/>
        </w:rPr>
        <w:t>Table 2....................</w:t>
      </w:r>
      <w:r>
        <w:rPr>
          <w:rFonts w:cs="Arial"/>
          <w:sz w:val="24"/>
          <w:szCs w:val="24"/>
        </w:rPr>
        <w:tab/>
      </w:r>
      <w:r w:rsidR="00327DC1" w:rsidRPr="00B11E60">
        <w:rPr>
          <w:rFonts w:cs="Arial"/>
          <w:sz w:val="24"/>
          <w:szCs w:val="24"/>
        </w:rPr>
        <w:t>Analysis of Waiver Settings......................</w:t>
      </w:r>
      <w:r>
        <w:rPr>
          <w:rFonts w:cs="Arial"/>
          <w:sz w:val="24"/>
          <w:szCs w:val="24"/>
        </w:rPr>
        <w:t>.............</w:t>
      </w:r>
      <w:r w:rsidR="00B30387">
        <w:rPr>
          <w:rFonts w:cs="Arial"/>
          <w:sz w:val="24"/>
          <w:szCs w:val="24"/>
        </w:rPr>
        <w:t>.........</w:t>
      </w:r>
      <w:r w:rsidR="00327DC1" w:rsidRPr="00B11E60">
        <w:rPr>
          <w:rFonts w:cs="Arial"/>
          <w:sz w:val="24"/>
          <w:szCs w:val="24"/>
        </w:rPr>
        <w:t>............</w:t>
      </w:r>
      <w:r w:rsidR="00194B79">
        <w:rPr>
          <w:rFonts w:cs="Arial"/>
          <w:sz w:val="24"/>
          <w:szCs w:val="24"/>
        </w:rPr>
        <w:t>.</w:t>
      </w:r>
      <w:r w:rsidR="00C847A5">
        <w:rPr>
          <w:rFonts w:cs="Arial"/>
          <w:sz w:val="24"/>
          <w:szCs w:val="24"/>
        </w:rPr>
        <w:t>..</w:t>
      </w:r>
      <w:r w:rsidR="00D76CA8">
        <w:rPr>
          <w:rFonts w:cs="Arial"/>
          <w:sz w:val="24"/>
          <w:szCs w:val="24"/>
        </w:rPr>
        <w:t>xxii</w:t>
      </w:r>
    </w:p>
    <w:p w14:paraId="5A38C8EF" w14:textId="32CE397E" w:rsidR="00415438" w:rsidRDefault="00FE7AED" w:rsidP="00415438">
      <w:pPr>
        <w:tabs>
          <w:tab w:val="left" w:pos="2160"/>
          <w:tab w:val="left" w:pos="8280"/>
          <w:tab w:val="right" w:leader="dot" w:pos="9360"/>
        </w:tabs>
        <w:rPr>
          <w:rFonts w:cs="Arial"/>
          <w:sz w:val="24"/>
          <w:szCs w:val="24"/>
        </w:rPr>
      </w:pPr>
      <w:r>
        <w:rPr>
          <w:rFonts w:cs="Arial"/>
          <w:sz w:val="24"/>
          <w:szCs w:val="24"/>
        </w:rPr>
        <w:t>Table 3....................</w:t>
      </w:r>
      <w:r>
        <w:rPr>
          <w:rFonts w:cs="Arial"/>
          <w:sz w:val="24"/>
          <w:szCs w:val="24"/>
        </w:rPr>
        <w:tab/>
      </w:r>
      <w:r w:rsidR="00327DC1" w:rsidRPr="00B11E60">
        <w:rPr>
          <w:rFonts w:cs="Arial"/>
          <w:sz w:val="24"/>
          <w:szCs w:val="24"/>
        </w:rPr>
        <w:t>Summary of Transition Plan Tasks and Timelines........</w:t>
      </w:r>
      <w:r w:rsidR="009D33BE">
        <w:rPr>
          <w:rFonts w:cs="Arial"/>
          <w:sz w:val="24"/>
          <w:szCs w:val="24"/>
        </w:rPr>
        <w:t>.</w:t>
      </w:r>
      <w:r w:rsidR="00327DC1" w:rsidRPr="00B11E60">
        <w:rPr>
          <w:rFonts w:cs="Arial"/>
          <w:sz w:val="24"/>
          <w:szCs w:val="24"/>
        </w:rPr>
        <w:t>....</w:t>
      </w:r>
      <w:r w:rsidR="00B30387">
        <w:rPr>
          <w:rFonts w:cs="Arial"/>
          <w:sz w:val="24"/>
          <w:szCs w:val="24"/>
        </w:rPr>
        <w:t>.</w:t>
      </w:r>
      <w:r w:rsidR="00FE7F5C">
        <w:rPr>
          <w:rFonts w:cs="Arial"/>
          <w:sz w:val="24"/>
          <w:szCs w:val="24"/>
        </w:rPr>
        <w:t>........</w:t>
      </w:r>
      <w:r w:rsidR="006C424E">
        <w:rPr>
          <w:rFonts w:cs="Arial"/>
          <w:sz w:val="24"/>
          <w:szCs w:val="24"/>
        </w:rPr>
        <w:t>.</w:t>
      </w:r>
      <w:r w:rsidR="00DF704F">
        <w:rPr>
          <w:rFonts w:cs="Arial"/>
          <w:sz w:val="24"/>
          <w:szCs w:val="24"/>
        </w:rPr>
        <w:t>x</w:t>
      </w:r>
      <w:r w:rsidR="006C424E">
        <w:rPr>
          <w:rFonts w:cs="Arial"/>
          <w:sz w:val="24"/>
          <w:szCs w:val="24"/>
        </w:rPr>
        <w:t>x</w:t>
      </w:r>
      <w:r w:rsidR="0090785D">
        <w:rPr>
          <w:rFonts w:cs="Arial"/>
          <w:sz w:val="24"/>
          <w:szCs w:val="24"/>
        </w:rPr>
        <w:t>i</w:t>
      </w:r>
      <w:r w:rsidR="00D76CA8">
        <w:rPr>
          <w:rFonts w:cs="Arial"/>
          <w:sz w:val="24"/>
          <w:szCs w:val="24"/>
        </w:rPr>
        <w:t>x</w:t>
      </w:r>
    </w:p>
    <w:p w14:paraId="7D81A639" w14:textId="419AE14F" w:rsidR="00720F79" w:rsidRDefault="00FE7AED" w:rsidP="00415438">
      <w:pPr>
        <w:tabs>
          <w:tab w:val="left" w:pos="2160"/>
          <w:tab w:val="left" w:pos="8280"/>
          <w:tab w:val="right" w:leader="dot" w:pos="9360"/>
        </w:tabs>
        <w:rPr>
          <w:rFonts w:cs="Arial"/>
          <w:sz w:val="24"/>
          <w:szCs w:val="24"/>
        </w:rPr>
      </w:pPr>
      <w:r>
        <w:rPr>
          <w:rFonts w:cs="Arial"/>
          <w:sz w:val="24"/>
          <w:szCs w:val="24"/>
        </w:rPr>
        <w:t>Table 4....................</w:t>
      </w:r>
      <w:r>
        <w:rPr>
          <w:rFonts w:cs="Arial"/>
          <w:sz w:val="24"/>
          <w:szCs w:val="24"/>
        </w:rPr>
        <w:tab/>
      </w:r>
      <w:r w:rsidR="00720F79">
        <w:rPr>
          <w:rFonts w:cs="Arial"/>
          <w:sz w:val="24"/>
          <w:szCs w:val="24"/>
        </w:rPr>
        <w:t>Links to Related Documents................</w:t>
      </w:r>
      <w:r>
        <w:rPr>
          <w:rFonts w:cs="Arial"/>
          <w:sz w:val="24"/>
          <w:szCs w:val="24"/>
        </w:rPr>
        <w:t>......</w:t>
      </w:r>
      <w:r w:rsidR="00B30387">
        <w:rPr>
          <w:rFonts w:cs="Arial"/>
          <w:sz w:val="24"/>
          <w:szCs w:val="24"/>
        </w:rPr>
        <w:t>..............................</w:t>
      </w:r>
      <w:r w:rsidR="009D33BE">
        <w:rPr>
          <w:rFonts w:cs="Arial"/>
          <w:sz w:val="24"/>
          <w:szCs w:val="24"/>
        </w:rPr>
        <w:t>.</w:t>
      </w:r>
      <w:r w:rsidR="00C847A5">
        <w:rPr>
          <w:rFonts w:cs="Arial"/>
          <w:sz w:val="24"/>
          <w:szCs w:val="24"/>
        </w:rPr>
        <w:t>.</w:t>
      </w:r>
      <w:r w:rsidR="002E39E0">
        <w:rPr>
          <w:rFonts w:cs="Arial"/>
          <w:sz w:val="24"/>
          <w:szCs w:val="24"/>
        </w:rPr>
        <w:t>x</w:t>
      </w:r>
      <w:r w:rsidR="004A4156">
        <w:rPr>
          <w:rFonts w:cs="Arial"/>
          <w:sz w:val="24"/>
          <w:szCs w:val="24"/>
        </w:rPr>
        <w:t>x</w:t>
      </w:r>
      <w:r w:rsidR="009D33BE">
        <w:rPr>
          <w:rFonts w:cs="Arial"/>
          <w:sz w:val="24"/>
          <w:szCs w:val="24"/>
        </w:rPr>
        <w:t>x</w:t>
      </w:r>
      <w:r w:rsidR="0090785D">
        <w:rPr>
          <w:rFonts w:cs="Arial"/>
          <w:sz w:val="24"/>
          <w:szCs w:val="24"/>
        </w:rPr>
        <w:t>i</w:t>
      </w:r>
      <w:r w:rsidR="006C424E">
        <w:rPr>
          <w:rFonts w:cs="Arial"/>
          <w:sz w:val="24"/>
          <w:szCs w:val="24"/>
        </w:rPr>
        <w:t>v</w:t>
      </w:r>
    </w:p>
    <w:p w14:paraId="4989456A" w14:textId="77777777" w:rsidR="004B4324" w:rsidRPr="00B11E60" w:rsidRDefault="004B4324" w:rsidP="00415438">
      <w:pPr>
        <w:tabs>
          <w:tab w:val="left" w:pos="2160"/>
          <w:tab w:val="left" w:pos="8280"/>
          <w:tab w:val="right" w:leader="dot" w:pos="9360"/>
        </w:tabs>
        <w:rPr>
          <w:rFonts w:cs="Arial"/>
          <w:sz w:val="24"/>
          <w:szCs w:val="24"/>
        </w:rPr>
      </w:pPr>
    </w:p>
    <w:p w14:paraId="71D2D11D" w14:textId="0FFC132B" w:rsidR="00327DC1" w:rsidRDefault="00327DC1" w:rsidP="00327DC1">
      <w:pPr>
        <w:rPr>
          <w:rFonts w:cs="Arial"/>
          <w:sz w:val="28"/>
          <w:szCs w:val="28"/>
        </w:rPr>
        <w:sectPr w:rsidR="00327DC1" w:rsidSect="00327DC1">
          <w:head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pPr>
    </w:p>
    <w:p w14:paraId="3FAD41D7" w14:textId="1F4B147F" w:rsidR="00327DC1" w:rsidRPr="00C679B1" w:rsidRDefault="00327DC1" w:rsidP="00C679B1">
      <w:pPr>
        <w:pStyle w:val="Title"/>
        <w:jc w:val="center"/>
        <w:rPr>
          <w:sz w:val="36"/>
          <w:szCs w:val="36"/>
        </w:rPr>
      </w:pPr>
      <w:r w:rsidRPr="00C679B1">
        <w:rPr>
          <w:sz w:val="36"/>
          <w:szCs w:val="36"/>
        </w:rPr>
        <w:lastRenderedPageBreak/>
        <w:t>The Massachusetts Statewide Transition Plan for Compliance with the CMS Home and Community Based Services Community Rule</w:t>
      </w:r>
    </w:p>
    <w:p w14:paraId="141534D4" w14:textId="77777777" w:rsidR="00327DC1" w:rsidRPr="008E7527" w:rsidRDefault="00327DC1" w:rsidP="008E7527">
      <w:pPr>
        <w:pStyle w:val="Heading2"/>
      </w:pPr>
      <w:r w:rsidRPr="008E7527">
        <w:t>I.</w:t>
      </w:r>
      <w:r w:rsidRPr="008E7527">
        <w:tab/>
        <w:t>Overview</w:t>
      </w:r>
    </w:p>
    <w:p w14:paraId="0C985FCB" w14:textId="77777777" w:rsidR="007422DD" w:rsidRDefault="007422DD" w:rsidP="001E687F">
      <w:r w:rsidRPr="000462B5">
        <w:t>The CMS final rule related to Home</w:t>
      </w:r>
      <w:r>
        <w:t>-</w:t>
      </w:r>
      <w:r w:rsidRPr="000462B5">
        <w:t xml:space="preserve"> and Community</w:t>
      </w:r>
      <w:r>
        <w:t>-</w:t>
      </w:r>
      <w:r w:rsidRPr="000462B5">
        <w:t xml:space="preserve">Based Services (HCBS) for Medicaid-funded long-term services and supports provided in residential and non-residential home and community-based settings </w:t>
      </w:r>
      <w:r>
        <w:t xml:space="preserve">(the “Community Rule”) </w:t>
      </w:r>
      <w:r w:rsidRPr="000462B5">
        <w:t xml:space="preserve">took effect March 17, 2014. States were required to submit transition plans to CMS within one year of the effective date indicating how they </w:t>
      </w:r>
      <w:r>
        <w:t>would</w:t>
      </w:r>
      <w:r w:rsidRPr="000462B5">
        <w:t xml:space="preserve"> comply with the new requirements ensuring participants have access to and are integrated into the broader community. In December 2014, CMS issued guidance on </w:t>
      </w:r>
      <w:r>
        <w:t xml:space="preserve">how </w:t>
      </w:r>
      <w:r w:rsidRPr="000462B5">
        <w:t xml:space="preserve">the </w:t>
      </w:r>
      <w:r>
        <w:t>Community R</w:t>
      </w:r>
      <w:r w:rsidRPr="000462B5">
        <w:t>ule appli</w:t>
      </w:r>
      <w:r>
        <w:t>es</w:t>
      </w:r>
      <w:r w:rsidRPr="000462B5">
        <w:t xml:space="preserve"> to non-residential services such as employment and day services.</w:t>
      </w:r>
    </w:p>
    <w:p w14:paraId="4C9F99C1" w14:textId="5408F4BD" w:rsidR="007422DD" w:rsidRDefault="007422DD" w:rsidP="001E687F">
      <w:r>
        <w:t xml:space="preserve">Massachusetts first submitted its Statewide Transition Plan (STP) regarding residential HCBS services to CMS in a letter dated March 2, 2015, followed by an addendum that addressed non-residential services in a letter dated September 3, 2015. Prior to these submissions, the state gathered public comments on the STP and the addendum during two public comment periods, including three public forums. </w:t>
      </w:r>
      <w:r w:rsidR="007F6C86">
        <w:t xml:space="preserve">The state held a third public comment period and fourth public forum in summer 2016. </w:t>
      </w:r>
      <w:r w:rsidRPr="00382C16">
        <w:t>In total, 323 individuals or agencies submitted comments in writing, through e</w:t>
      </w:r>
      <w:r>
        <w:t>-</w:t>
      </w:r>
      <w:r w:rsidRPr="00382C16">
        <w:t>m</w:t>
      </w:r>
      <w:r>
        <w:t>ail, mail, and written testimony</w:t>
      </w:r>
      <w:r w:rsidRPr="00382C16">
        <w:t xml:space="preserve">. </w:t>
      </w:r>
      <w:r>
        <w:t>S</w:t>
      </w:r>
      <w:r w:rsidRPr="00382C16">
        <w:t>ummar</w:t>
      </w:r>
      <w:r>
        <w:t>ies</w:t>
      </w:r>
      <w:r w:rsidRPr="00382C16">
        <w:t xml:space="preserve"> of the comments received and the state’s response to these comments</w:t>
      </w:r>
      <w:r>
        <w:t xml:space="preserve"> for all previously submitted materials are posted on the state’s </w:t>
      </w:r>
      <w:hyperlink r:id="rId18" w:history="1">
        <w:r w:rsidRPr="00382C16">
          <w:rPr>
            <w:rStyle w:val="Hyperlink"/>
            <w:rFonts w:cs="Arial"/>
          </w:rPr>
          <w:t>STP webpage</w:t>
        </w:r>
      </w:hyperlink>
      <w:r>
        <w:t>.</w:t>
      </w:r>
      <w:r w:rsidRPr="00382C16">
        <w:t xml:space="preserve"> </w:t>
      </w:r>
    </w:p>
    <w:p w14:paraId="21DA64FF" w14:textId="77777777" w:rsidR="007422DD" w:rsidRDefault="007422DD" w:rsidP="001E687F">
      <w:r>
        <w:t>In November 2015, the state received feedback from CMS addressing both the first STP submission and the addendum, and in response informally submitted a revised draft of the STP to CMS in February 2016. CMS provided additional, informal feedback in May 2016. The current version of the STP reflects updates responsive to all feedback and guidance received from CMS. Updates since the original 2015 submissions to CMS include several technical, structural, and formatting changes</w:t>
      </w:r>
      <w:r w:rsidR="00AF45AF">
        <w:t>, including but not limited to the following:</w:t>
      </w:r>
    </w:p>
    <w:p w14:paraId="526142FB" w14:textId="77777777" w:rsidR="007422DD" w:rsidRDefault="007422DD" w:rsidP="004427AF">
      <w:pPr>
        <w:pStyle w:val="ListParagraph"/>
        <w:numPr>
          <w:ilvl w:val="0"/>
          <w:numId w:val="28"/>
        </w:numPr>
        <w:rPr>
          <w:rFonts w:cs="Arial"/>
        </w:rPr>
      </w:pPr>
      <w:r>
        <w:rPr>
          <w:rFonts w:cs="Arial"/>
        </w:rPr>
        <w:t xml:space="preserve">The current version of the STP covers both residential and non-residential services for all three HCBS waiver-operating agencies in one comprehensive document. The comprehensive STP was compiled in response to CMS’s request that the state present a single combined document. Previously, </w:t>
      </w:r>
      <w:proofErr w:type="gramStart"/>
      <w:r>
        <w:rPr>
          <w:rFonts w:cs="Arial"/>
        </w:rPr>
        <w:t>residential</w:t>
      </w:r>
      <w:proofErr w:type="gramEnd"/>
      <w:r>
        <w:rPr>
          <w:rFonts w:cs="Arial"/>
        </w:rPr>
        <w:t xml:space="preserve"> and non-residential services were addressed in separate STP attachments corresponding to each HCBS waiver-operating agency: the Department of Developmental Services (DDS), the Massachusetts Rehabilitation Commission (MRC), and the Executive Office of Elder Affairs (EOEA).</w:t>
      </w:r>
    </w:p>
    <w:p w14:paraId="785387CC" w14:textId="3030EA99" w:rsidR="007422DD" w:rsidRDefault="007422DD" w:rsidP="004427AF">
      <w:pPr>
        <w:pStyle w:val="ListParagraph"/>
        <w:numPr>
          <w:ilvl w:val="0"/>
          <w:numId w:val="28"/>
        </w:numPr>
        <w:rPr>
          <w:rFonts w:cs="Arial"/>
        </w:rPr>
      </w:pPr>
      <w:r>
        <w:rPr>
          <w:rFonts w:cs="Arial"/>
        </w:rPr>
        <w:t xml:space="preserve">A description of </w:t>
      </w:r>
      <w:r w:rsidR="009F5522">
        <w:rPr>
          <w:rFonts w:cs="Arial"/>
        </w:rPr>
        <w:t>the Executive Office of Health and Human Services’ (</w:t>
      </w:r>
      <w:r>
        <w:rPr>
          <w:rFonts w:cs="Arial"/>
        </w:rPr>
        <w:t>EOHHS</w:t>
      </w:r>
      <w:r w:rsidR="009F5522">
        <w:rPr>
          <w:rFonts w:cs="Arial"/>
        </w:rPr>
        <w:t>)</w:t>
      </w:r>
      <w:r>
        <w:rPr>
          <w:rFonts w:cs="Arial"/>
        </w:rPr>
        <w:t xml:space="preserve"> role in the </w:t>
      </w:r>
      <w:r w:rsidR="008445DA">
        <w:rPr>
          <w:rFonts w:cs="Arial"/>
        </w:rPr>
        <w:t>S</w:t>
      </w:r>
      <w:r>
        <w:rPr>
          <w:rFonts w:cs="Arial"/>
        </w:rPr>
        <w:t xml:space="preserve">tatewide </w:t>
      </w:r>
      <w:r w:rsidR="008445DA">
        <w:rPr>
          <w:rFonts w:cs="Arial"/>
        </w:rPr>
        <w:t>T</w:t>
      </w:r>
      <w:r>
        <w:rPr>
          <w:rFonts w:cs="Arial"/>
        </w:rPr>
        <w:t xml:space="preserve">ransition </w:t>
      </w:r>
      <w:r w:rsidR="008445DA">
        <w:rPr>
          <w:rFonts w:cs="Arial"/>
        </w:rPr>
        <w:t>P</w:t>
      </w:r>
      <w:r>
        <w:rPr>
          <w:rFonts w:cs="Arial"/>
        </w:rPr>
        <w:t>lan was added.</w:t>
      </w:r>
    </w:p>
    <w:p w14:paraId="378D9D8A" w14:textId="739BB893" w:rsidR="007422DD" w:rsidRDefault="007422DD" w:rsidP="004427AF">
      <w:pPr>
        <w:pStyle w:val="ListParagraph"/>
        <w:numPr>
          <w:ilvl w:val="0"/>
          <w:numId w:val="28"/>
        </w:numPr>
        <w:rPr>
          <w:rFonts w:cs="Arial"/>
        </w:rPr>
      </w:pPr>
      <w:r>
        <w:rPr>
          <w:rFonts w:cs="Arial"/>
        </w:rPr>
        <w:t xml:space="preserve">A chart that maps each Community Rule requirement to one or more state regulations, policies, or other sub-regulatory instrument was added to the STP </w:t>
      </w:r>
      <w:r w:rsidR="009F5522">
        <w:rPr>
          <w:rFonts w:cs="Arial"/>
        </w:rPr>
        <w:t>(</w:t>
      </w:r>
      <w:r>
        <w:rPr>
          <w:rFonts w:cs="Arial"/>
        </w:rPr>
        <w:t>Table 1</w:t>
      </w:r>
      <w:r w:rsidR="009F5522">
        <w:rPr>
          <w:rFonts w:cs="Arial"/>
        </w:rPr>
        <w:t>)</w:t>
      </w:r>
      <w:r>
        <w:rPr>
          <w:rFonts w:cs="Arial"/>
        </w:rPr>
        <w:t>.</w:t>
      </w:r>
    </w:p>
    <w:p w14:paraId="4EE1777F" w14:textId="77777777" w:rsidR="007422DD" w:rsidRDefault="007422DD" w:rsidP="004427AF">
      <w:pPr>
        <w:pStyle w:val="ListParagraph"/>
        <w:numPr>
          <w:ilvl w:val="0"/>
          <w:numId w:val="28"/>
        </w:numPr>
        <w:rPr>
          <w:rFonts w:cs="Arial"/>
        </w:rPr>
      </w:pPr>
      <w:r>
        <w:rPr>
          <w:rFonts w:cs="Arial"/>
        </w:rPr>
        <w:lastRenderedPageBreak/>
        <w:t>The results of the site-specific assessment process are combined into a single chart reflecting residential and non-residential settings in each waiver (Table 2).</w:t>
      </w:r>
    </w:p>
    <w:p w14:paraId="3AB21E1A" w14:textId="77777777" w:rsidR="007422DD" w:rsidRDefault="007422DD" w:rsidP="004427AF">
      <w:pPr>
        <w:pStyle w:val="ListParagraph"/>
        <w:numPr>
          <w:ilvl w:val="0"/>
          <w:numId w:val="28"/>
        </w:numPr>
        <w:rPr>
          <w:rFonts w:cs="Arial"/>
        </w:rPr>
      </w:pPr>
      <w:r>
        <w:rPr>
          <w:rFonts w:cs="Arial"/>
        </w:rPr>
        <w:t>Systemic and site-specific transition steps and associated timelines for both residential and non-residential settings across the three waiver-operating agencies are combined into a single chart (Table 3).</w:t>
      </w:r>
    </w:p>
    <w:p w14:paraId="5E39928D" w14:textId="77777777" w:rsidR="007422DD" w:rsidRPr="000845C0" w:rsidRDefault="007422DD" w:rsidP="004427AF">
      <w:pPr>
        <w:pStyle w:val="ListParagraph"/>
        <w:numPr>
          <w:ilvl w:val="0"/>
          <w:numId w:val="28"/>
        </w:numPr>
        <w:rPr>
          <w:rFonts w:cs="Arial"/>
        </w:rPr>
      </w:pPr>
      <w:r>
        <w:rPr>
          <w:rFonts w:cs="Arial"/>
        </w:rPr>
        <w:t>Links to related documents are provided in a new chart (Table 4).</w:t>
      </w:r>
    </w:p>
    <w:p w14:paraId="6DD1CF86" w14:textId="77777777" w:rsidR="007422DD" w:rsidRDefault="00AF45AF" w:rsidP="007422DD">
      <w:pPr>
        <w:rPr>
          <w:rFonts w:cs="Arial"/>
        </w:rPr>
      </w:pPr>
      <w:r>
        <w:rPr>
          <w:rFonts w:cs="Arial"/>
        </w:rPr>
        <w:t xml:space="preserve">In addition, </w:t>
      </w:r>
      <w:r w:rsidR="007422DD">
        <w:rPr>
          <w:rFonts w:cs="Arial"/>
        </w:rPr>
        <w:t xml:space="preserve">changes </w:t>
      </w:r>
      <w:r>
        <w:rPr>
          <w:rFonts w:cs="Arial"/>
        </w:rPr>
        <w:t>were made to the STP to provide</w:t>
      </w:r>
      <w:r w:rsidR="007422DD">
        <w:rPr>
          <w:rFonts w:cs="Arial"/>
        </w:rPr>
        <w:t xml:space="preserve"> additional detail, updated information, and/or clarifications in the following areas.</w:t>
      </w:r>
    </w:p>
    <w:p w14:paraId="25132B56" w14:textId="77777777" w:rsidR="007422DD" w:rsidRDefault="007422DD" w:rsidP="004427AF">
      <w:pPr>
        <w:pStyle w:val="ListParagraph"/>
        <w:numPr>
          <w:ilvl w:val="0"/>
          <w:numId w:val="29"/>
        </w:numPr>
        <w:rPr>
          <w:rFonts w:cs="Arial"/>
        </w:rPr>
      </w:pPr>
      <w:r>
        <w:rPr>
          <w:rFonts w:cs="Arial"/>
        </w:rPr>
        <w:t>The systemic assessment section and the transition tasks/timeline chart (Table 3) were updated to reflect progress toward</w:t>
      </w:r>
      <w:r w:rsidR="005C1ECB">
        <w:rPr>
          <w:rFonts w:cs="Arial"/>
        </w:rPr>
        <w:t xml:space="preserve"> and final</w:t>
      </w:r>
      <w:r>
        <w:rPr>
          <w:rFonts w:cs="Arial"/>
        </w:rPr>
        <w:t xml:space="preserve"> promulgation of revised regulations and issuance of new or revised policies, guidance, and other tools that will strengthen compliance by more clearly aligning state requirements with the Community Rule. Examples include</w:t>
      </w:r>
    </w:p>
    <w:p w14:paraId="6B724C32" w14:textId="04955ABC" w:rsidR="007422DD" w:rsidRDefault="007422DD" w:rsidP="004427AF">
      <w:pPr>
        <w:pStyle w:val="ListParagraph"/>
        <w:numPr>
          <w:ilvl w:val="1"/>
          <w:numId w:val="29"/>
        </w:numPr>
        <w:rPr>
          <w:rFonts w:cs="Arial"/>
        </w:rPr>
      </w:pPr>
      <w:r>
        <w:rPr>
          <w:rFonts w:cs="Arial"/>
        </w:rPr>
        <w:t>Revisions to 115 CMR 5</w:t>
      </w:r>
      <w:r w:rsidR="003D586B">
        <w:rPr>
          <w:rFonts w:cs="Arial"/>
        </w:rPr>
        <w:t xml:space="preserve"> and</w:t>
      </w:r>
      <w:r>
        <w:rPr>
          <w:rFonts w:cs="Arial"/>
        </w:rPr>
        <w:t xml:space="preserve"> 7 (DDS</w:t>
      </w:r>
      <w:proofErr w:type="gramStart"/>
      <w:r>
        <w:rPr>
          <w:rFonts w:cs="Arial"/>
        </w:rPr>
        <w:t>);</w:t>
      </w:r>
      <w:proofErr w:type="gramEnd"/>
    </w:p>
    <w:p w14:paraId="1AE1FEB8" w14:textId="77777777" w:rsidR="007422DD" w:rsidRDefault="007422DD" w:rsidP="004427AF">
      <w:pPr>
        <w:pStyle w:val="ListParagraph"/>
        <w:numPr>
          <w:ilvl w:val="1"/>
          <w:numId w:val="29"/>
        </w:numPr>
        <w:rPr>
          <w:rFonts w:cs="Arial"/>
        </w:rPr>
      </w:pPr>
      <w:r>
        <w:rPr>
          <w:rFonts w:cs="Arial"/>
        </w:rPr>
        <w:t>Revisions to the licensure and certification tool for residential and non-residential settings (DDS</w:t>
      </w:r>
      <w:proofErr w:type="gramStart"/>
      <w:r>
        <w:rPr>
          <w:rFonts w:cs="Arial"/>
        </w:rPr>
        <w:t>);</w:t>
      </w:r>
      <w:proofErr w:type="gramEnd"/>
    </w:p>
    <w:p w14:paraId="6AF5A9B0" w14:textId="77777777" w:rsidR="007422DD" w:rsidRDefault="007422DD" w:rsidP="004427AF">
      <w:pPr>
        <w:pStyle w:val="ListParagraph"/>
        <w:numPr>
          <w:ilvl w:val="1"/>
          <w:numId w:val="29"/>
        </w:numPr>
        <w:rPr>
          <w:rFonts w:cs="Arial"/>
        </w:rPr>
      </w:pPr>
      <w:r>
        <w:rPr>
          <w:rFonts w:cs="Arial"/>
        </w:rPr>
        <w:t>Development of a participant handbook and policy document for the ABI and MFP waivers (DDS and MRC</w:t>
      </w:r>
      <w:proofErr w:type="gramStart"/>
      <w:r>
        <w:rPr>
          <w:rFonts w:cs="Arial"/>
        </w:rPr>
        <w:t>);</w:t>
      </w:r>
      <w:proofErr w:type="gramEnd"/>
    </w:p>
    <w:p w14:paraId="6D7BC4C3" w14:textId="77777777" w:rsidR="007422DD" w:rsidRDefault="007422DD" w:rsidP="004427AF">
      <w:pPr>
        <w:pStyle w:val="ListParagraph"/>
        <w:numPr>
          <w:ilvl w:val="1"/>
          <w:numId w:val="29"/>
        </w:numPr>
        <w:rPr>
          <w:rFonts w:cs="Arial"/>
        </w:rPr>
      </w:pPr>
      <w:r>
        <w:rPr>
          <w:rFonts w:cs="Arial"/>
        </w:rPr>
        <w:t>Development of guidance for providers regarding the requirements for locks and tenancy protections (DDS and MRC</w:t>
      </w:r>
      <w:proofErr w:type="gramStart"/>
      <w:r>
        <w:rPr>
          <w:rFonts w:cs="Arial"/>
        </w:rPr>
        <w:t>);</w:t>
      </w:r>
      <w:proofErr w:type="gramEnd"/>
    </w:p>
    <w:p w14:paraId="4038688C" w14:textId="77777777" w:rsidR="007422DD" w:rsidRDefault="007422DD" w:rsidP="004427AF">
      <w:pPr>
        <w:pStyle w:val="ListParagraph"/>
        <w:numPr>
          <w:ilvl w:val="1"/>
          <w:numId w:val="29"/>
        </w:numPr>
        <w:rPr>
          <w:rFonts w:cs="Arial"/>
        </w:rPr>
      </w:pPr>
      <w:r>
        <w:rPr>
          <w:rFonts w:cs="Arial"/>
        </w:rPr>
        <w:t xml:space="preserve">Revisions to the </w:t>
      </w:r>
      <w:r w:rsidR="002609E3">
        <w:rPr>
          <w:rFonts w:cs="Arial"/>
        </w:rPr>
        <w:t xml:space="preserve">MRC Community Living </w:t>
      </w:r>
      <w:r>
        <w:rPr>
          <w:rFonts w:cs="Arial"/>
        </w:rPr>
        <w:t>Provider Policy Manual (MRC); and</w:t>
      </w:r>
    </w:p>
    <w:p w14:paraId="4F0F9880" w14:textId="77777777" w:rsidR="007422DD" w:rsidRPr="00DE255B" w:rsidRDefault="007422DD" w:rsidP="004427AF">
      <w:pPr>
        <w:pStyle w:val="ListParagraph"/>
        <w:numPr>
          <w:ilvl w:val="1"/>
          <w:numId w:val="29"/>
        </w:numPr>
        <w:rPr>
          <w:rFonts w:cs="Arial"/>
        </w:rPr>
      </w:pPr>
      <w:r w:rsidRPr="00DE255B">
        <w:rPr>
          <w:rFonts w:cs="Arial"/>
        </w:rPr>
        <w:t>Revisions to the HCB</w:t>
      </w:r>
      <w:r>
        <w:rPr>
          <w:rFonts w:cs="Arial"/>
        </w:rPr>
        <w:t>S</w:t>
      </w:r>
      <w:r w:rsidRPr="00DE255B">
        <w:rPr>
          <w:rFonts w:cs="Arial"/>
        </w:rPr>
        <w:t xml:space="preserve"> Program Guidelines (EOEA)</w:t>
      </w:r>
      <w:r>
        <w:rPr>
          <w:rFonts w:cs="Arial"/>
        </w:rPr>
        <w:t>.</w:t>
      </w:r>
    </w:p>
    <w:p w14:paraId="245A57F2" w14:textId="77777777" w:rsidR="00AF45AF" w:rsidRDefault="00AF45AF" w:rsidP="004427AF">
      <w:pPr>
        <w:pStyle w:val="ListParagraph"/>
        <w:numPr>
          <w:ilvl w:val="0"/>
          <w:numId w:val="29"/>
        </w:numPr>
        <w:rPr>
          <w:rFonts w:cs="Arial"/>
        </w:rPr>
      </w:pPr>
      <w:r>
        <w:rPr>
          <w:rFonts w:cs="Arial"/>
        </w:rPr>
        <w:t>The site-specific assessment section was reorganized for clarity as follows.</w:t>
      </w:r>
    </w:p>
    <w:p w14:paraId="38EC928A" w14:textId="77777777" w:rsidR="00AF45AF" w:rsidRDefault="00AF45AF" w:rsidP="004427AF">
      <w:pPr>
        <w:pStyle w:val="ListParagraph"/>
        <w:numPr>
          <w:ilvl w:val="1"/>
          <w:numId w:val="29"/>
        </w:numPr>
        <w:rPr>
          <w:rFonts w:cs="Arial"/>
        </w:rPr>
      </w:pPr>
      <w:r>
        <w:rPr>
          <w:rFonts w:cs="Arial"/>
        </w:rPr>
        <w:t xml:space="preserve">Additional details were included to describe more clearly each agency’s site-specific assessment </w:t>
      </w:r>
      <w:proofErr w:type="gramStart"/>
      <w:r>
        <w:rPr>
          <w:rFonts w:cs="Arial"/>
        </w:rPr>
        <w:t>process;</w:t>
      </w:r>
      <w:proofErr w:type="gramEnd"/>
    </w:p>
    <w:p w14:paraId="66BE97BD" w14:textId="29004FCF" w:rsidR="00AF45AF" w:rsidRDefault="00AF45AF" w:rsidP="004427AF">
      <w:pPr>
        <w:pStyle w:val="ListParagraph"/>
        <w:numPr>
          <w:ilvl w:val="1"/>
          <w:numId w:val="29"/>
        </w:numPr>
        <w:rPr>
          <w:rFonts w:cs="Arial"/>
        </w:rPr>
      </w:pPr>
      <w:r>
        <w:rPr>
          <w:rFonts w:cs="Arial"/>
        </w:rPr>
        <w:t>Findings were updated</w:t>
      </w:r>
      <w:r w:rsidR="002C0B3C">
        <w:rPr>
          <w:rFonts w:cs="Arial"/>
        </w:rPr>
        <w:t xml:space="preserve"> as part of an ongoing process and in response to </w:t>
      </w:r>
      <w:r w:rsidR="00414E67">
        <w:rPr>
          <w:rFonts w:cs="Arial"/>
        </w:rPr>
        <w:t xml:space="preserve">the Frequently Asked Questions (FAQs) Guidance on Heightened Scrutiny (HS) issued by </w:t>
      </w:r>
      <w:r w:rsidR="002C0B3C">
        <w:rPr>
          <w:rFonts w:cs="Arial"/>
        </w:rPr>
        <w:t xml:space="preserve">CMS </w:t>
      </w:r>
      <w:r w:rsidR="00414E67">
        <w:rPr>
          <w:rFonts w:cs="Arial"/>
        </w:rPr>
        <w:t xml:space="preserve">on March 22, </w:t>
      </w:r>
      <w:r w:rsidR="002C0B3C">
        <w:rPr>
          <w:rFonts w:cs="Arial"/>
        </w:rPr>
        <w:t>2019</w:t>
      </w:r>
      <w:r>
        <w:rPr>
          <w:rFonts w:cs="Arial"/>
        </w:rPr>
        <w:t>; and</w:t>
      </w:r>
    </w:p>
    <w:p w14:paraId="38D0252C" w14:textId="77777777" w:rsidR="00AF45AF" w:rsidRDefault="00AF45AF" w:rsidP="004427AF">
      <w:pPr>
        <w:pStyle w:val="ListParagraph"/>
        <w:numPr>
          <w:ilvl w:val="1"/>
          <w:numId w:val="29"/>
        </w:numPr>
        <w:rPr>
          <w:rFonts w:cs="Arial"/>
        </w:rPr>
      </w:pPr>
      <w:r>
        <w:rPr>
          <w:rFonts w:cs="Arial"/>
        </w:rPr>
        <w:t xml:space="preserve">Details were included to describe more clearly the remedial actions or actions related to compliance undertaken by each waiver-operating agency. </w:t>
      </w:r>
    </w:p>
    <w:p w14:paraId="242ED7F6" w14:textId="70457DD2" w:rsidR="00AF45AF" w:rsidRDefault="00AF45AF" w:rsidP="004427AF">
      <w:pPr>
        <w:pStyle w:val="ListParagraph"/>
        <w:numPr>
          <w:ilvl w:val="0"/>
          <w:numId w:val="29"/>
        </w:numPr>
        <w:rPr>
          <w:rFonts w:cs="Arial"/>
        </w:rPr>
      </w:pPr>
      <w:r>
        <w:rPr>
          <w:rFonts w:cs="Arial"/>
        </w:rPr>
        <w:t xml:space="preserve">The site-specific assessment section was updated to reflect </w:t>
      </w:r>
      <w:r w:rsidR="002C0B3C">
        <w:rPr>
          <w:rFonts w:cs="Arial"/>
        </w:rPr>
        <w:t xml:space="preserve">additional information from DDS’ licensure and certification process to identify </w:t>
      </w:r>
      <w:r>
        <w:rPr>
          <w:rFonts w:cs="Arial"/>
        </w:rPr>
        <w:t xml:space="preserve">Community-Based Day Services (CBDS) settings and group employment settings </w:t>
      </w:r>
      <w:r w:rsidR="002C0B3C">
        <w:rPr>
          <w:rFonts w:cs="Arial"/>
        </w:rPr>
        <w:t xml:space="preserve">that </w:t>
      </w:r>
      <w:r>
        <w:rPr>
          <w:rFonts w:cs="Arial"/>
        </w:rPr>
        <w:t>require</w:t>
      </w:r>
      <w:r w:rsidR="003066E7">
        <w:rPr>
          <w:rFonts w:cs="Arial"/>
        </w:rPr>
        <w:t>d</w:t>
      </w:r>
      <w:r>
        <w:rPr>
          <w:rFonts w:cs="Arial"/>
        </w:rPr>
        <w:t xml:space="preserve"> some level of modification to fully comply with the Community Rule. Details are provided regarding the steps that DDS </w:t>
      </w:r>
      <w:r w:rsidR="002C0B3C">
        <w:rPr>
          <w:rFonts w:cs="Arial"/>
        </w:rPr>
        <w:t xml:space="preserve">has undertaken and will continue to </w:t>
      </w:r>
      <w:r>
        <w:rPr>
          <w:rFonts w:cs="Arial"/>
        </w:rPr>
        <w:t xml:space="preserve">undertake with each </w:t>
      </w:r>
      <w:r w:rsidR="002C0B3C">
        <w:rPr>
          <w:rFonts w:cs="Arial"/>
        </w:rPr>
        <w:t xml:space="preserve">identified </w:t>
      </w:r>
      <w:r>
        <w:rPr>
          <w:rFonts w:cs="Arial"/>
        </w:rPr>
        <w:t>provider/setting to ensure that all settings fully comply</w:t>
      </w:r>
      <w:r w:rsidR="002C0B3C">
        <w:rPr>
          <w:rFonts w:cs="Arial"/>
        </w:rPr>
        <w:t>.</w:t>
      </w:r>
      <w:r>
        <w:rPr>
          <w:rFonts w:cs="Arial"/>
        </w:rPr>
        <w:t xml:space="preserve"> </w:t>
      </w:r>
    </w:p>
    <w:p w14:paraId="231628C1" w14:textId="77777777" w:rsidR="00963072" w:rsidRDefault="007422DD" w:rsidP="004427AF">
      <w:pPr>
        <w:pStyle w:val="ListParagraph"/>
        <w:numPr>
          <w:ilvl w:val="0"/>
          <w:numId w:val="29"/>
        </w:numPr>
        <w:rPr>
          <w:rFonts w:cs="Arial"/>
        </w:rPr>
      </w:pPr>
      <w:r w:rsidRPr="00B42D09">
        <w:rPr>
          <w:rFonts w:cs="Arial"/>
        </w:rPr>
        <w:t xml:space="preserve">Additional details were added regarding the “heightened scrutiny” and “participant relocation” processes, as well as the state’s plan for continued monitoring of all HCBS settings for ongoing compliance with the Community Rule. This information appears in </w:t>
      </w:r>
      <w:r w:rsidR="00B42D09" w:rsidRPr="00B42D09">
        <w:rPr>
          <w:rFonts w:cs="Arial"/>
        </w:rPr>
        <w:t xml:space="preserve">three </w:t>
      </w:r>
      <w:r w:rsidRPr="00B42D09">
        <w:rPr>
          <w:rFonts w:cs="Arial"/>
        </w:rPr>
        <w:t xml:space="preserve">new sections in the STP. </w:t>
      </w:r>
    </w:p>
    <w:p w14:paraId="25BD4340" w14:textId="77777777" w:rsidR="00A94E2F" w:rsidRDefault="009F37EC" w:rsidP="004427AF">
      <w:pPr>
        <w:pStyle w:val="ListParagraph"/>
        <w:numPr>
          <w:ilvl w:val="0"/>
          <w:numId w:val="29"/>
        </w:numPr>
        <w:rPr>
          <w:rFonts w:cs="Arial"/>
        </w:rPr>
      </w:pPr>
      <w:r>
        <w:rPr>
          <w:rFonts w:cs="Arial"/>
        </w:rPr>
        <w:lastRenderedPageBreak/>
        <w:t xml:space="preserve">The description of </w:t>
      </w:r>
      <w:r w:rsidR="00F23BDB">
        <w:rPr>
          <w:rFonts w:cs="Arial"/>
        </w:rPr>
        <w:t>the waiver service, Day Habilitation Supplement,</w:t>
      </w:r>
      <w:r w:rsidR="0023733E">
        <w:rPr>
          <w:rFonts w:cs="Arial"/>
        </w:rPr>
        <w:t xml:space="preserve"> was updated to reflect how it </w:t>
      </w:r>
      <w:r w:rsidR="00F23BDB">
        <w:rPr>
          <w:rFonts w:cs="Arial"/>
        </w:rPr>
        <w:t xml:space="preserve">is being modernized </w:t>
      </w:r>
      <w:r w:rsidR="003A3E47">
        <w:rPr>
          <w:rFonts w:cs="Arial"/>
        </w:rPr>
        <w:t xml:space="preserve">and converted to a </w:t>
      </w:r>
      <w:r w:rsidR="00F23BDB">
        <w:rPr>
          <w:rFonts w:cs="Arial"/>
        </w:rPr>
        <w:t>state plan service</w:t>
      </w:r>
      <w:r w:rsidR="007E367E">
        <w:rPr>
          <w:rFonts w:cs="Arial"/>
        </w:rPr>
        <w:t xml:space="preserve">, </w:t>
      </w:r>
      <w:r w:rsidR="0023733E">
        <w:rPr>
          <w:rFonts w:cs="Arial"/>
        </w:rPr>
        <w:t xml:space="preserve">referred to as </w:t>
      </w:r>
      <w:r w:rsidR="007E367E">
        <w:rPr>
          <w:rFonts w:cs="Arial"/>
        </w:rPr>
        <w:t>Individual</w:t>
      </w:r>
      <w:r w:rsidR="007B474B">
        <w:rPr>
          <w:rFonts w:cs="Arial"/>
        </w:rPr>
        <w:t>ized</w:t>
      </w:r>
      <w:r w:rsidR="007E367E">
        <w:rPr>
          <w:rFonts w:cs="Arial"/>
        </w:rPr>
        <w:t xml:space="preserve"> S</w:t>
      </w:r>
      <w:r w:rsidR="003A3E47">
        <w:rPr>
          <w:rFonts w:cs="Arial"/>
        </w:rPr>
        <w:t>taffing Support</w:t>
      </w:r>
      <w:r w:rsidR="007B474B">
        <w:rPr>
          <w:rFonts w:cs="Arial"/>
        </w:rPr>
        <w:t>s</w:t>
      </w:r>
      <w:r w:rsidR="009F5522">
        <w:rPr>
          <w:rFonts w:cs="Arial"/>
        </w:rPr>
        <w:t>,</w:t>
      </w:r>
      <w:r w:rsidR="001C0806">
        <w:rPr>
          <w:rFonts w:cs="Arial"/>
        </w:rPr>
        <w:t xml:space="preserve"> </w:t>
      </w:r>
      <w:r w:rsidR="00515ECF">
        <w:rPr>
          <w:rFonts w:cs="Arial"/>
        </w:rPr>
        <w:t xml:space="preserve">to align with </w:t>
      </w:r>
      <w:r w:rsidR="006718F1">
        <w:rPr>
          <w:rFonts w:cs="Arial"/>
        </w:rPr>
        <w:t>Day Habilitation state plan services.</w:t>
      </w:r>
    </w:p>
    <w:p w14:paraId="40A57165" w14:textId="77777777" w:rsidR="00327DC1" w:rsidRPr="00A37881" w:rsidRDefault="00327DC1" w:rsidP="00304C2F">
      <w:pPr>
        <w:pStyle w:val="Heading2"/>
      </w:pPr>
      <w:r w:rsidRPr="00A37881">
        <w:t>II.</w:t>
      </w:r>
      <w:r w:rsidRPr="00A37881">
        <w:tab/>
        <w:t>Background</w:t>
      </w:r>
    </w:p>
    <w:p w14:paraId="25FC1452" w14:textId="14D4B101" w:rsidR="00327DC1" w:rsidRPr="00B11E60" w:rsidRDefault="00327DC1" w:rsidP="00327DC1">
      <w:pPr>
        <w:rPr>
          <w:rFonts w:cs="Arial"/>
        </w:rPr>
      </w:pPr>
      <w:r w:rsidRPr="00B11E60">
        <w:rPr>
          <w:rFonts w:cs="Arial"/>
        </w:rPr>
        <w:t xml:space="preserve">The Massachusetts Executive Office of Health and Human Services (EOHHS) is the single State Medicaid Agency. Within EOHHS, MassHealth is the agency responsible for administering the state’s Medicaid program. </w:t>
      </w:r>
    </w:p>
    <w:p w14:paraId="52A46574" w14:textId="77777777" w:rsidR="00327DC1" w:rsidRPr="00B11E60" w:rsidRDefault="00327DC1" w:rsidP="00327DC1">
      <w:pPr>
        <w:rPr>
          <w:rFonts w:cs="Arial"/>
        </w:rPr>
      </w:pPr>
      <w:r w:rsidRPr="00B11E60">
        <w:rPr>
          <w:rFonts w:cs="Arial"/>
        </w:rPr>
        <w:t>This Statewide HCBS Transition Plan covers the ten 1915(c) HCBS waivers currently operating in Massachusetts, the day-to-day operations of which are the responsibility of three state agencies within EOHHS: the Department of Developmental Services (DDS), the Massachusetts Rehabilitation Commission (MRC)</w:t>
      </w:r>
      <w:r w:rsidR="00E15280">
        <w:rPr>
          <w:rFonts w:cs="Arial"/>
        </w:rPr>
        <w:t xml:space="preserve">, and </w:t>
      </w:r>
      <w:r w:rsidR="00E15280" w:rsidRPr="00B11E60">
        <w:rPr>
          <w:rFonts w:cs="Arial"/>
        </w:rPr>
        <w:t>the Executive Office of Elder Affairs (EOEA)</w:t>
      </w:r>
      <w:r w:rsidRPr="00B11E60">
        <w:rPr>
          <w:rFonts w:cs="Arial"/>
        </w:rPr>
        <w:t>. Massachusetts does not currently offer services through the state plan under 1915(</w:t>
      </w:r>
      <w:proofErr w:type="spellStart"/>
      <w:r w:rsidRPr="00B11E60">
        <w:rPr>
          <w:rFonts w:cs="Arial"/>
        </w:rPr>
        <w:t>i</w:t>
      </w:r>
      <w:proofErr w:type="spellEnd"/>
      <w:r w:rsidRPr="00B11E60">
        <w:rPr>
          <w:rFonts w:cs="Arial"/>
        </w:rPr>
        <w:t>) or 1915(k) authority. The ten 1915(c) HCBS waivers, and the state agencies responsible for their operation, are as follows:</w:t>
      </w:r>
    </w:p>
    <w:tbl>
      <w:tblPr>
        <w:tblW w:w="9440" w:type="dxa"/>
        <w:tblInd w:w="106" w:type="dxa"/>
        <w:tblCellMar>
          <w:left w:w="0" w:type="dxa"/>
          <w:right w:w="0" w:type="dxa"/>
        </w:tblCellMar>
        <w:tblLook w:val="01E0" w:firstRow="1" w:lastRow="1" w:firstColumn="1" w:lastColumn="1" w:noHBand="0" w:noVBand="0"/>
      </w:tblPr>
      <w:tblGrid>
        <w:gridCol w:w="3590"/>
        <w:gridCol w:w="1440"/>
        <w:gridCol w:w="4410"/>
      </w:tblGrid>
      <w:tr w:rsidR="00327DC1" w:rsidRPr="00B11E60" w14:paraId="0364F23C"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bottom"/>
          </w:tcPr>
          <w:p w14:paraId="1190C875" w14:textId="77777777" w:rsidR="00327DC1" w:rsidRPr="00B11E60" w:rsidRDefault="00327DC1" w:rsidP="0037155C">
            <w:pPr>
              <w:pStyle w:val="TableParagraph"/>
              <w:ind w:left="822"/>
              <w:contextualSpacing/>
              <w:rPr>
                <w:rFonts w:eastAsia="Arial" w:cs="Arial"/>
                <w:b/>
              </w:rPr>
            </w:pPr>
            <w:r w:rsidRPr="00B11E60">
              <w:rPr>
                <w:rFonts w:eastAsia="Arial" w:cs="Arial"/>
                <w:b/>
                <w:spacing w:val="-1"/>
              </w:rPr>
              <w:t>1915(c</w:t>
            </w:r>
            <w:r w:rsidRPr="00B11E60">
              <w:rPr>
                <w:rFonts w:eastAsia="Arial" w:cs="Arial"/>
                <w:b/>
              </w:rPr>
              <w:t xml:space="preserve">) </w:t>
            </w:r>
            <w:r w:rsidRPr="00B11E60">
              <w:rPr>
                <w:rFonts w:eastAsia="Arial" w:cs="Arial"/>
                <w:b/>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bottom"/>
          </w:tcPr>
          <w:p w14:paraId="7A66F3DC" w14:textId="77777777" w:rsidR="00327DC1" w:rsidRPr="00B11E60" w:rsidRDefault="00327DC1" w:rsidP="0037155C">
            <w:pPr>
              <w:pStyle w:val="TableParagraph"/>
              <w:contextualSpacing/>
              <w:jc w:val="center"/>
              <w:rPr>
                <w:rFonts w:cs="Arial"/>
                <w:b/>
              </w:rPr>
            </w:pPr>
            <w:r w:rsidRPr="00B11E60">
              <w:rPr>
                <w:rFonts w:cs="Arial"/>
                <w:b/>
              </w:rPr>
              <w:t>Waiver Number</w:t>
            </w:r>
          </w:p>
        </w:tc>
        <w:tc>
          <w:tcPr>
            <w:tcW w:w="4410" w:type="dxa"/>
            <w:tcBorders>
              <w:top w:val="single" w:sz="5" w:space="0" w:color="000000"/>
              <w:left w:val="single" w:sz="5" w:space="0" w:color="000000"/>
              <w:bottom w:val="single" w:sz="5" w:space="0" w:color="000000"/>
              <w:right w:val="single" w:sz="5" w:space="0" w:color="000000"/>
            </w:tcBorders>
            <w:vAlign w:val="bottom"/>
          </w:tcPr>
          <w:p w14:paraId="38828CEB" w14:textId="77777777" w:rsidR="00327DC1" w:rsidRPr="00B11E60" w:rsidRDefault="00327DC1" w:rsidP="0037155C">
            <w:pPr>
              <w:pStyle w:val="TableParagraph"/>
              <w:ind w:left="822"/>
              <w:contextualSpacing/>
              <w:rPr>
                <w:rFonts w:eastAsia="Arial" w:cs="Arial"/>
                <w:b/>
              </w:rPr>
            </w:pPr>
            <w:r w:rsidRPr="00B11E60">
              <w:rPr>
                <w:rFonts w:eastAsia="Arial" w:cs="Arial"/>
                <w:b/>
                <w:spacing w:val="-1"/>
              </w:rPr>
              <w:t>Waiver Operatin</w:t>
            </w:r>
            <w:r w:rsidRPr="00B11E60">
              <w:rPr>
                <w:rFonts w:eastAsia="Arial" w:cs="Arial"/>
                <w:b/>
              </w:rPr>
              <w:t xml:space="preserve">g </w:t>
            </w:r>
            <w:r w:rsidRPr="00B11E60">
              <w:rPr>
                <w:rFonts w:eastAsia="Arial" w:cs="Arial"/>
                <w:b/>
                <w:spacing w:val="-1"/>
              </w:rPr>
              <w:t>Agency</w:t>
            </w:r>
          </w:p>
        </w:tc>
      </w:tr>
      <w:tr w:rsidR="00327DC1" w:rsidRPr="00B11E60" w14:paraId="7CE65CDD"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68EB60F2" w14:textId="77777777" w:rsidR="00327DC1" w:rsidRPr="00B11E60" w:rsidRDefault="00327DC1" w:rsidP="0037155C">
            <w:pPr>
              <w:pStyle w:val="TableParagraph"/>
              <w:ind w:left="102"/>
              <w:contextualSpacing/>
              <w:rPr>
                <w:rFonts w:eastAsia="Arial" w:cs="Arial"/>
              </w:rPr>
            </w:pPr>
            <w:r w:rsidRPr="00B11E60">
              <w:rPr>
                <w:rFonts w:eastAsia="Arial" w:cs="Arial"/>
              </w:rPr>
              <w:t xml:space="preserve">Intensive Supports Waiver </w:t>
            </w:r>
            <w:r>
              <w:rPr>
                <w:rFonts w:eastAsia="Arial" w:cs="Arial"/>
              </w:rPr>
              <w:br/>
            </w:r>
            <w:r w:rsidRPr="00B11E60">
              <w:rPr>
                <w:rFonts w:eastAsia="Arial" w:cs="Arial"/>
              </w:rPr>
              <w:t>for Adults with</w:t>
            </w:r>
            <w:r w:rsidRPr="00B11E60">
              <w:rPr>
                <w:rFonts w:eastAsia="Arial" w:cs="Arial"/>
                <w:spacing w:val="-1"/>
              </w:rPr>
              <w:t xml:space="preserve"> </w:t>
            </w:r>
            <w:r w:rsidRPr="00B11E60">
              <w:rPr>
                <w:rFonts w:eastAsia="Arial" w:cs="Arial"/>
              </w:rPr>
              <w:t>ID</w:t>
            </w:r>
          </w:p>
        </w:tc>
        <w:tc>
          <w:tcPr>
            <w:tcW w:w="1440" w:type="dxa"/>
            <w:tcBorders>
              <w:top w:val="single" w:sz="5" w:space="0" w:color="000000"/>
              <w:left w:val="single" w:sz="5" w:space="0" w:color="000000"/>
              <w:bottom w:val="single" w:sz="5" w:space="0" w:color="000000"/>
              <w:right w:val="single" w:sz="5" w:space="0" w:color="000000"/>
            </w:tcBorders>
            <w:vAlign w:val="center"/>
          </w:tcPr>
          <w:p w14:paraId="28F30B3E" w14:textId="77777777" w:rsidR="00327DC1" w:rsidRPr="00B11E60" w:rsidRDefault="00327DC1" w:rsidP="0037155C">
            <w:pPr>
              <w:pStyle w:val="TableParagraph"/>
              <w:ind w:left="102"/>
              <w:contextualSpacing/>
              <w:jc w:val="center"/>
              <w:rPr>
                <w:rFonts w:cs="Arial"/>
              </w:rPr>
            </w:pPr>
            <w:r w:rsidRPr="00B11E60">
              <w:rPr>
                <w:rFonts w:cs="Arial"/>
              </w:rPr>
              <w:t>MA.0827</w:t>
            </w:r>
          </w:p>
        </w:tc>
        <w:tc>
          <w:tcPr>
            <w:tcW w:w="4410" w:type="dxa"/>
            <w:tcBorders>
              <w:top w:val="single" w:sz="5" w:space="0" w:color="000000"/>
              <w:left w:val="single" w:sz="5" w:space="0" w:color="000000"/>
              <w:bottom w:val="single" w:sz="5" w:space="0" w:color="000000"/>
              <w:right w:val="single" w:sz="5" w:space="0" w:color="000000"/>
            </w:tcBorders>
            <w:vAlign w:val="center"/>
          </w:tcPr>
          <w:p w14:paraId="0376BABB" w14:textId="77777777" w:rsidR="00327DC1" w:rsidRPr="00FF6F74" w:rsidRDefault="00327DC1" w:rsidP="0037155C">
            <w:pPr>
              <w:pStyle w:val="TableParagraph"/>
              <w:ind w:left="103"/>
              <w:contextualSpacing/>
              <w:rPr>
                <w:rFonts w:cs="Arial"/>
              </w:rPr>
            </w:pPr>
            <w:r w:rsidRPr="00FF6F74">
              <w:rPr>
                <w:rFonts w:cs="Arial"/>
              </w:rPr>
              <w:t>Department of Developmental Services</w:t>
            </w:r>
          </w:p>
        </w:tc>
      </w:tr>
      <w:tr w:rsidR="00327DC1" w:rsidRPr="00B11E60" w14:paraId="61A670DB"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1ABFA7EB" w14:textId="77777777" w:rsidR="00327DC1" w:rsidRPr="00B11E60" w:rsidRDefault="00327DC1" w:rsidP="0037155C">
            <w:pPr>
              <w:pStyle w:val="TableParagraph"/>
              <w:ind w:left="102"/>
              <w:contextualSpacing/>
              <w:rPr>
                <w:rFonts w:eastAsia="Arial" w:cs="Arial"/>
              </w:rPr>
            </w:pPr>
            <w:r w:rsidRPr="00B11E60">
              <w:rPr>
                <w:rFonts w:eastAsia="Arial" w:cs="Arial"/>
                <w:spacing w:val="-1"/>
              </w:rPr>
              <w:t>Communit</w:t>
            </w:r>
            <w:r w:rsidRPr="00B11E60">
              <w:rPr>
                <w:rFonts w:eastAsia="Arial" w:cs="Arial"/>
              </w:rPr>
              <w:t xml:space="preserve">y </w:t>
            </w:r>
            <w:r w:rsidRPr="00B11E60">
              <w:rPr>
                <w:rFonts w:eastAsia="Arial" w:cs="Arial"/>
                <w:spacing w:val="-1"/>
              </w:rPr>
              <w:t>Livin</w:t>
            </w:r>
            <w:r w:rsidRPr="00B11E60">
              <w:rPr>
                <w:rFonts w:eastAsia="Arial" w:cs="Arial"/>
              </w:rPr>
              <w:t xml:space="preserve">g </w:t>
            </w:r>
            <w:r w:rsidRPr="00B11E60">
              <w:rPr>
                <w:rFonts w:eastAsia="Arial" w:cs="Arial"/>
                <w:spacing w:val="-1"/>
              </w:rPr>
              <w:t>Waive</w:t>
            </w:r>
            <w:r w:rsidRPr="00B11E60">
              <w:rPr>
                <w:rFonts w:eastAsia="Arial" w:cs="Arial"/>
              </w:rPr>
              <w:t xml:space="preserve">r </w:t>
            </w:r>
            <w:r>
              <w:rPr>
                <w:rFonts w:eastAsia="Arial" w:cs="Arial"/>
              </w:rPr>
              <w:br/>
            </w:r>
            <w:r w:rsidRPr="00B11E60">
              <w:rPr>
                <w:rFonts w:eastAsia="Arial" w:cs="Arial"/>
                <w:spacing w:val="-1"/>
              </w:rPr>
              <w:t>fo</w:t>
            </w:r>
            <w:r w:rsidRPr="00B11E60">
              <w:rPr>
                <w:rFonts w:eastAsia="Arial" w:cs="Arial"/>
              </w:rPr>
              <w:t xml:space="preserve">r </w:t>
            </w:r>
            <w:r w:rsidRPr="00B11E60">
              <w:rPr>
                <w:rFonts w:eastAsia="Arial" w:cs="Arial"/>
                <w:spacing w:val="-1"/>
              </w:rPr>
              <w:t>Adult</w:t>
            </w:r>
            <w:r w:rsidRPr="00B11E60">
              <w:rPr>
                <w:rFonts w:eastAsia="Arial" w:cs="Arial"/>
              </w:rPr>
              <w:t xml:space="preserve">s </w:t>
            </w:r>
            <w:r w:rsidRPr="00B11E60">
              <w:rPr>
                <w:rFonts w:eastAsia="Arial" w:cs="Arial"/>
                <w:spacing w:val="-1"/>
              </w:rPr>
              <w:t>wit</w:t>
            </w:r>
            <w:r w:rsidRPr="00B11E60">
              <w:rPr>
                <w:rFonts w:eastAsia="Arial" w:cs="Arial"/>
              </w:rPr>
              <w:t xml:space="preserve">h </w:t>
            </w:r>
            <w:r w:rsidRPr="00B11E60">
              <w:rPr>
                <w:rFonts w:eastAsia="Arial" w:cs="Arial"/>
                <w:spacing w:val="-1"/>
              </w:rPr>
              <w:t>ID</w:t>
            </w:r>
          </w:p>
        </w:tc>
        <w:tc>
          <w:tcPr>
            <w:tcW w:w="1440" w:type="dxa"/>
            <w:tcBorders>
              <w:top w:val="single" w:sz="5" w:space="0" w:color="000000"/>
              <w:left w:val="single" w:sz="5" w:space="0" w:color="000000"/>
              <w:bottom w:val="single" w:sz="5" w:space="0" w:color="000000"/>
              <w:right w:val="single" w:sz="5" w:space="0" w:color="000000"/>
            </w:tcBorders>
            <w:vAlign w:val="center"/>
          </w:tcPr>
          <w:p w14:paraId="45999BC4" w14:textId="77777777" w:rsidR="00327DC1" w:rsidRPr="00B11E60" w:rsidRDefault="00327DC1" w:rsidP="0037155C">
            <w:pPr>
              <w:pStyle w:val="TableParagraph"/>
              <w:ind w:left="102"/>
              <w:contextualSpacing/>
              <w:jc w:val="center"/>
              <w:rPr>
                <w:rFonts w:cs="Arial"/>
              </w:rPr>
            </w:pPr>
            <w:r w:rsidRPr="00B11E60">
              <w:rPr>
                <w:rFonts w:cs="Arial"/>
              </w:rPr>
              <w:t>MA.0826</w:t>
            </w:r>
          </w:p>
        </w:tc>
        <w:tc>
          <w:tcPr>
            <w:tcW w:w="4410" w:type="dxa"/>
            <w:tcBorders>
              <w:top w:val="single" w:sz="5" w:space="0" w:color="000000"/>
              <w:left w:val="single" w:sz="5" w:space="0" w:color="000000"/>
              <w:bottom w:val="single" w:sz="5" w:space="0" w:color="000000"/>
              <w:right w:val="single" w:sz="5" w:space="0" w:color="000000"/>
            </w:tcBorders>
            <w:vAlign w:val="center"/>
          </w:tcPr>
          <w:p w14:paraId="70AE169D" w14:textId="77777777" w:rsidR="00327DC1" w:rsidRPr="00B11E60" w:rsidRDefault="00327DC1" w:rsidP="0037155C">
            <w:pPr>
              <w:pStyle w:val="TableParagraph"/>
              <w:ind w:left="102"/>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5862B41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60A69061"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Adult</w:t>
            </w:r>
            <w:r w:rsidRPr="00B11E60">
              <w:rPr>
                <w:rFonts w:eastAsia="Arial" w:cs="Arial"/>
              </w:rPr>
              <w:t xml:space="preserve">s </w:t>
            </w:r>
            <w:r w:rsidRPr="00B11E60">
              <w:rPr>
                <w:rFonts w:eastAsia="Arial" w:cs="Arial"/>
                <w:spacing w:val="-1"/>
              </w:rPr>
              <w:t>Support</w:t>
            </w:r>
            <w:r w:rsidRPr="00B11E60">
              <w:rPr>
                <w:rFonts w:eastAsia="Arial" w:cs="Arial"/>
              </w:rPr>
              <w:t xml:space="preserve">s </w:t>
            </w:r>
            <w:r w:rsidRPr="00B11E60">
              <w:rPr>
                <w:rFonts w:eastAsia="Arial" w:cs="Arial"/>
                <w:spacing w:val="-1"/>
              </w:rPr>
              <w:t>Waive</w:t>
            </w:r>
            <w:r w:rsidRPr="00B11E60">
              <w:rPr>
                <w:rFonts w:eastAsia="Arial" w:cs="Arial"/>
              </w:rPr>
              <w:t xml:space="preserve">r </w:t>
            </w:r>
            <w:r>
              <w:rPr>
                <w:rFonts w:eastAsia="Arial" w:cs="Arial"/>
              </w:rPr>
              <w:br/>
            </w:r>
            <w:r w:rsidRPr="00B11E60">
              <w:rPr>
                <w:rFonts w:eastAsia="Arial" w:cs="Arial"/>
                <w:spacing w:val="-1"/>
              </w:rPr>
              <w:t>fo</w:t>
            </w:r>
            <w:r w:rsidRPr="00B11E60">
              <w:rPr>
                <w:rFonts w:eastAsia="Arial" w:cs="Arial"/>
              </w:rPr>
              <w:t xml:space="preserve">r </w:t>
            </w:r>
            <w:r w:rsidRPr="00B11E60">
              <w:rPr>
                <w:rFonts w:eastAsia="Arial" w:cs="Arial"/>
                <w:spacing w:val="-1"/>
              </w:rPr>
              <w:t>Adult</w:t>
            </w:r>
            <w:r w:rsidRPr="00B11E60">
              <w:rPr>
                <w:rFonts w:eastAsia="Arial" w:cs="Arial"/>
              </w:rPr>
              <w:t xml:space="preserve">s </w:t>
            </w:r>
            <w:r w:rsidRPr="00B11E60">
              <w:rPr>
                <w:rFonts w:eastAsia="Arial" w:cs="Arial"/>
                <w:spacing w:val="-1"/>
              </w:rPr>
              <w:t>wit</w:t>
            </w:r>
            <w:r w:rsidRPr="00B11E60">
              <w:rPr>
                <w:rFonts w:eastAsia="Arial" w:cs="Arial"/>
              </w:rPr>
              <w:t>h</w:t>
            </w:r>
            <w:r w:rsidRPr="00B11E60">
              <w:rPr>
                <w:rFonts w:eastAsia="Arial" w:cs="Arial"/>
                <w:spacing w:val="-1"/>
              </w:rPr>
              <w:t xml:space="preserve"> ID</w:t>
            </w:r>
          </w:p>
        </w:tc>
        <w:tc>
          <w:tcPr>
            <w:tcW w:w="1440" w:type="dxa"/>
            <w:tcBorders>
              <w:top w:val="single" w:sz="5" w:space="0" w:color="000000"/>
              <w:left w:val="single" w:sz="5" w:space="0" w:color="000000"/>
              <w:bottom w:val="single" w:sz="5" w:space="0" w:color="000000"/>
              <w:right w:val="single" w:sz="5" w:space="0" w:color="000000"/>
            </w:tcBorders>
            <w:vAlign w:val="center"/>
          </w:tcPr>
          <w:p w14:paraId="70FDB087" w14:textId="77777777" w:rsidR="00327DC1" w:rsidRPr="00B11E60" w:rsidRDefault="00327DC1" w:rsidP="0037155C">
            <w:pPr>
              <w:pStyle w:val="TableParagraph"/>
              <w:ind w:left="102"/>
              <w:contextualSpacing/>
              <w:jc w:val="center"/>
              <w:rPr>
                <w:rFonts w:cs="Arial"/>
              </w:rPr>
            </w:pPr>
            <w:r w:rsidRPr="00B11E60">
              <w:rPr>
                <w:rFonts w:cs="Arial"/>
              </w:rPr>
              <w:t>MA.0828</w:t>
            </w:r>
          </w:p>
        </w:tc>
        <w:tc>
          <w:tcPr>
            <w:tcW w:w="4410" w:type="dxa"/>
            <w:tcBorders>
              <w:top w:val="single" w:sz="5" w:space="0" w:color="000000"/>
              <w:left w:val="single" w:sz="5" w:space="0" w:color="000000"/>
              <w:bottom w:val="single" w:sz="5" w:space="0" w:color="000000"/>
              <w:right w:val="single" w:sz="5" w:space="0" w:color="000000"/>
            </w:tcBorders>
            <w:vAlign w:val="center"/>
          </w:tcPr>
          <w:p w14:paraId="34CDDB4C"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1C46C70B"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5C08BB3" w14:textId="77777777" w:rsidR="00327DC1" w:rsidRPr="00B11E60" w:rsidRDefault="00327DC1" w:rsidP="0037155C">
            <w:pPr>
              <w:pStyle w:val="TableParagraph"/>
              <w:ind w:left="102"/>
              <w:contextualSpacing/>
              <w:rPr>
                <w:rFonts w:eastAsia="Arial" w:cs="Arial"/>
              </w:rPr>
            </w:pPr>
            <w:r w:rsidRPr="00B11E60">
              <w:rPr>
                <w:rFonts w:eastAsia="Arial" w:cs="Arial"/>
                <w:spacing w:val="-1"/>
              </w:rPr>
              <w:t>Children’</w:t>
            </w:r>
            <w:r w:rsidRPr="00B11E60">
              <w:rPr>
                <w:rFonts w:eastAsia="Arial" w:cs="Arial"/>
              </w:rPr>
              <w:t xml:space="preserve">s </w:t>
            </w:r>
            <w:r w:rsidRPr="00B11E60">
              <w:rPr>
                <w:rFonts w:eastAsia="Arial" w:cs="Arial"/>
                <w:spacing w:val="-1"/>
              </w:rPr>
              <w:t>Autis</w:t>
            </w:r>
            <w:r w:rsidRPr="00B11E60">
              <w:rPr>
                <w:rFonts w:eastAsia="Arial" w:cs="Arial"/>
              </w:rPr>
              <w:t xml:space="preserve">m </w:t>
            </w:r>
            <w:r w:rsidRPr="00B11E60">
              <w:rPr>
                <w:rFonts w:eastAsia="Arial" w:cs="Arial"/>
                <w:spacing w:val="-1"/>
              </w:rPr>
              <w:t>Spectru</w:t>
            </w:r>
            <w:r w:rsidRPr="00B11E60">
              <w:rPr>
                <w:rFonts w:eastAsia="Arial" w:cs="Arial"/>
              </w:rPr>
              <w:t xml:space="preserve">m </w:t>
            </w:r>
            <w:r w:rsidRPr="00B11E60">
              <w:rPr>
                <w:rFonts w:eastAsia="Arial" w:cs="Arial"/>
                <w:spacing w:val="-1"/>
              </w:rPr>
              <w:t>Disorde</w:t>
            </w:r>
            <w:r w:rsidRPr="00B11E60">
              <w:rPr>
                <w:rFonts w:eastAsia="Arial" w:cs="Arial"/>
              </w:rPr>
              <w:t xml:space="preserve">r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76BC3FF2" w14:textId="77777777" w:rsidR="00327DC1" w:rsidRPr="00B11E60" w:rsidRDefault="00327DC1" w:rsidP="0037155C">
            <w:pPr>
              <w:pStyle w:val="TableParagraph"/>
              <w:ind w:left="102"/>
              <w:contextualSpacing/>
              <w:jc w:val="center"/>
              <w:rPr>
                <w:rFonts w:cs="Arial"/>
              </w:rPr>
            </w:pPr>
            <w:r w:rsidRPr="00B11E60">
              <w:rPr>
                <w:rFonts w:cs="Arial"/>
              </w:rPr>
              <w:t>MA.40207</w:t>
            </w:r>
          </w:p>
        </w:tc>
        <w:tc>
          <w:tcPr>
            <w:tcW w:w="4410" w:type="dxa"/>
            <w:tcBorders>
              <w:top w:val="single" w:sz="5" w:space="0" w:color="000000"/>
              <w:left w:val="single" w:sz="5" w:space="0" w:color="000000"/>
              <w:bottom w:val="single" w:sz="5" w:space="0" w:color="000000"/>
              <w:right w:val="single" w:sz="5" w:space="0" w:color="000000"/>
            </w:tcBorders>
            <w:vAlign w:val="center"/>
          </w:tcPr>
          <w:p w14:paraId="7E519ED2"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05AF21EA"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DAC8BC4" w14:textId="77777777" w:rsidR="00327DC1" w:rsidRPr="00B11E60" w:rsidRDefault="00C123C4" w:rsidP="0037155C">
            <w:pPr>
              <w:pStyle w:val="TableParagraph"/>
              <w:ind w:left="102"/>
              <w:contextualSpacing/>
              <w:rPr>
                <w:rFonts w:eastAsia="Arial" w:cs="Arial"/>
              </w:rPr>
            </w:pPr>
            <w:r>
              <w:rPr>
                <w:rFonts w:eastAsia="Arial" w:cs="Arial"/>
                <w:spacing w:val="-1"/>
              </w:rPr>
              <w:t>Moving Forward Plan</w:t>
            </w:r>
            <w:r w:rsidR="00327DC1" w:rsidRPr="00B11E60">
              <w:rPr>
                <w:rFonts w:eastAsia="Arial" w:cs="Arial"/>
                <w:spacing w:val="-1"/>
              </w:rPr>
              <w:t xml:space="preserve"> (MF</w:t>
            </w:r>
            <w:r w:rsidR="00327DC1" w:rsidRPr="00B11E60">
              <w:rPr>
                <w:rFonts w:eastAsia="Arial" w:cs="Arial"/>
              </w:rPr>
              <w:t xml:space="preserve">P) </w:t>
            </w:r>
            <w:r w:rsidR="00327DC1" w:rsidRPr="00B11E60">
              <w:rPr>
                <w:rFonts w:eastAsia="Arial" w:cs="Arial"/>
                <w:spacing w:val="-1"/>
              </w:rPr>
              <w:t>Residentia</w:t>
            </w:r>
            <w:r w:rsidR="00327DC1" w:rsidRPr="00B11E60">
              <w:rPr>
                <w:rFonts w:eastAsia="Arial" w:cs="Arial"/>
              </w:rPr>
              <w:t xml:space="preserve">l </w:t>
            </w:r>
            <w:r w:rsidR="00327DC1" w:rsidRPr="00B11E60">
              <w:rPr>
                <w:rFonts w:eastAsia="Arial" w:cs="Arial"/>
                <w:spacing w:val="-1"/>
              </w:rPr>
              <w:t>Support</w:t>
            </w:r>
            <w:r w:rsidR="00327DC1" w:rsidRPr="00B11E60">
              <w:rPr>
                <w:rFonts w:eastAsia="Arial" w:cs="Arial"/>
              </w:rPr>
              <w:t xml:space="preserve">s </w:t>
            </w:r>
            <w:r w:rsidR="00327DC1"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5F7AC860" w14:textId="77777777" w:rsidR="00327DC1" w:rsidRPr="00B11E60" w:rsidRDefault="00327DC1" w:rsidP="0037155C">
            <w:pPr>
              <w:pStyle w:val="TableParagraph"/>
              <w:ind w:left="102"/>
              <w:contextualSpacing/>
              <w:jc w:val="center"/>
              <w:rPr>
                <w:rFonts w:cs="Arial"/>
              </w:rPr>
            </w:pPr>
            <w:r w:rsidRPr="00B11E60">
              <w:rPr>
                <w:rFonts w:cs="Arial"/>
              </w:rPr>
              <w:t>MA.1028</w:t>
            </w:r>
          </w:p>
        </w:tc>
        <w:tc>
          <w:tcPr>
            <w:tcW w:w="4410" w:type="dxa"/>
            <w:tcBorders>
              <w:top w:val="single" w:sz="5" w:space="0" w:color="000000"/>
              <w:left w:val="single" w:sz="5" w:space="0" w:color="000000"/>
              <w:bottom w:val="single" w:sz="5" w:space="0" w:color="000000"/>
              <w:right w:val="single" w:sz="5" w:space="0" w:color="000000"/>
            </w:tcBorders>
            <w:vAlign w:val="center"/>
          </w:tcPr>
          <w:p w14:paraId="563D388B"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2F92BF7C"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1503C29"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Acquired Brain Injury (AB</w:t>
            </w:r>
            <w:r w:rsidRPr="00B11E60">
              <w:rPr>
                <w:rFonts w:eastAsia="Arial" w:cs="Arial"/>
              </w:rPr>
              <w:t xml:space="preserve">I) </w:t>
            </w:r>
            <w:r>
              <w:rPr>
                <w:rFonts w:eastAsia="Arial" w:cs="Arial"/>
              </w:rPr>
              <w:br/>
            </w:r>
            <w:r w:rsidRPr="00B11E60">
              <w:rPr>
                <w:rFonts w:eastAsia="Arial" w:cs="Arial"/>
                <w:spacing w:val="-1"/>
              </w:rPr>
              <w:t>Residentia</w:t>
            </w:r>
            <w:r w:rsidRPr="00B11E60">
              <w:rPr>
                <w:rFonts w:eastAsia="Arial" w:cs="Arial"/>
              </w:rPr>
              <w:t xml:space="preserve">l </w:t>
            </w:r>
            <w:r w:rsidRPr="00B11E60">
              <w:rPr>
                <w:rFonts w:eastAsia="Arial" w:cs="Arial"/>
                <w:spacing w:val="-1"/>
              </w:rPr>
              <w:t>Habilitatio</w:t>
            </w:r>
            <w:r w:rsidRPr="00B11E60">
              <w:rPr>
                <w:rFonts w:eastAsia="Arial" w:cs="Arial"/>
              </w:rPr>
              <w:t xml:space="preserve">n </w:t>
            </w:r>
            <w:r w:rsidRPr="00B11E60">
              <w:rPr>
                <w:rFonts w:eastAsia="Arial" w:cs="Arial"/>
                <w:spacing w:val="-1"/>
              </w:rPr>
              <w:t>Wai</w:t>
            </w:r>
            <w:r w:rsidRPr="00B11E60">
              <w:rPr>
                <w:rFonts w:eastAsia="Arial" w:cs="Arial"/>
                <w:spacing w:val="1"/>
              </w:rPr>
              <w:t>v</w:t>
            </w:r>
            <w:r w:rsidRPr="00B11E60">
              <w:rPr>
                <w:rFonts w:eastAsia="Arial" w:cs="Arial"/>
                <w:spacing w:val="-1"/>
              </w:rPr>
              <w:t>er</w:t>
            </w:r>
          </w:p>
        </w:tc>
        <w:tc>
          <w:tcPr>
            <w:tcW w:w="1440" w:type="dxa"/>
            <w:tcBorders>
              <w:top w:val="single" w:sz="5" w:space="0" w:color="000000"/>
              <w:left w:val="single" w:sz="5" w:space="0" w:color="000000"/>
              <w:bottom w:val="single" w:sz="5" w:space="0" w:color="000000"/>
              <w:right w:val="single" w:sz="5" w:space="0" w:color="000000"/>
            </w:tcBorders>
            <w:vAlign w:val="center"/>
          </w:tcPr>
          <w:p w14:paraId="2E20D5E6" w14:textId="77777777" w:rsidR="00327DC1" w:rsidRPr="00B11E60" w:rsidRDefault="00327DC1" w:rsidP="0037155C">
            <w:pPr>
              <w:pStyle w:val="TableParagraph"/>
              <w:ind w:left="102"/>
              <w:contextualSpacing/>
              <w:jc w:val="center"/>
              <w:rPr>
                <w:rFonts w:cs="Arial"/>
              </w:rPr>
            </w:pPr>
            <w:r w:rsidRPr="00B11E60">
              <w:rPr>
                <w:rFonts w:cs="Arial"/>
              </w:rPr>
              <w:t>MA.40701</w:t>
            </w:r>
          </w:p>
        </w:tc>
        <w:tc>
          <w:tcPr>
            <w:tcW w:w="4410" w:type="dxa"/>
            <w:tcBorders>
              <w:top w:val="single" w:sz="5" w:space="0" w:color="000000"/>
              <w:left w:val="single" w:sz="5" w:space="0" w:color="000000"/>
              <w:bottom w:val="single" w:sz="5" w:space="0" w:color="000000"/>
              <w:right w:val="single" w:sz="5" w:space="0" w:color="000000"/>
            </w:tcBorders>
            <w:vAlign w:val="center"/>
          </w:tcPr>
          <w:p w14:paraId="60802831"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2A82F54F"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51E6A61C" w14:textId="62925DA8" w:rsidR="00327DC1" w:rsidRPr="00B11E60" w:rsidRDefault="00C123C4" w:rsidP="0037155C">
            <w:pPr>
              <w:pStyle w:val="TableParagraph"/>
              <w:ind w:left="102"/>
              <w:contextualSpacing/>
              <w:rPr>
                <w:rFonts w:eastAsia="Arial" w:cs="Arial"/>
              </w:rPr>
            </w:pPr>
            <w:r>
              <w:rPr>
                <w:rFonts w:eastAsia="Arial" w:cs="Arial"/>
                <w:spacing w:val="-1"/>
              </w:rPr>
              <w:t>Moving Forward Plan</w:t>
            </w:r>
            <w:r w:rsidR="00327DC1" w:rsidRPr="00B11E60">
              <w:rPr>
                <w:rFonts w:eastAsia="Arial" w:cs="Arial"/>
                <w:spacing w:val="-1"/>
              </w:rPr>
              <w:t xml:space="preserve"> (MF</w:t>
            </w:r>
            <w:r w:rsidR="00327DC1" w:rsidRPr="00B11E60">
              <w:rPr>
                <w:rFonts w:eastAsia="Arial" w:cs="Arial"/>
              </w:rPr>
              <w:t xml:space="preserve">P) </w:t>
            </w:r>
            <w:r w:rsidR="00327DC1" w:rsidRPr="00B11E60">
              <w:rPr>
                <w:rFonts w:eastAsia="Arial" w:cs="Arial"/>
                <w:spacing w:val="-1"/>
              </w:rPr>
              <w:t>Communit</w:t>
            </w:r>
            <w:r w:rsidR="00327DC1" w:rsidRPr="00B11E60">
              <w:rPr>
                <w:rFonts w:eastAsia="Arial" w:cs="Arial"/>
              </w:rPr>
              <w:t xml:space="preserve">y </w:t>
            </w:r>
            <w:r w:rsidR="00327DC1" w:rsidRPr="00B11E60">
              <w:rPr>
                <w:rFonts w:eastAsia="Arial" w:cs="Arial"/>
                <w:spacing w:val="-1"/>
              </w:rPr>
              <w:t>Livin</w:t>
            </w:r>
            <w:r w:rsidR="00327DC1" w:rsidRPr="00B11E60">
              <w:rPr>
                <w:rFonts w:eastAsia="Arial" w:cs="Arial"/>
              </w:rPr>
              <w:t xml:space="preserve">g </w:t>
            </w:r>
            <w:r w:rsidR="00327DC1"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187F6B9F" w14:textId="77777777" w:rsidR="00327DC1" w:rsidRPr="00B11E60" w:rsidRDefault="00327DC1" w:rsidP="0037155C">
            <w:pPr>
              <w:pStyle w:val="TableParagraph"/>
              <w:ind w:left="102"/>
              <w:contextualSpacing/>
              <w:jc w:val="center"/>
              <w:rPr>
                <w:rFonts w:cs="Arial"/>
              </w:rPr>
            </w:pPr>
            <w:r w:rsidRPr="00B11E60">
              <w:rPr>
                <w:rFonts w:cs="Arial"/>
              </w:rPr>
              <w:t>MA.1027</w:t>
            </w:r>
          </w:p>
        </w:tc>
        <w:tc>
          <w:tcPr>
            <w:tcW w:w="4410" w:type="dxa"/>
            <w:tcBorders>
              <w:top w:val="single" w:sz="5" w:space="0" w:color="000000"/>
              <w:left w:val="single" w:sz="5" w:space="0" w:color="000000"/>
              <w:bottom w:val="single" w:sz="5" w:space="0" w:color="000000"/>
              <w:right w:val="single" w:sz="5" w:space="0" w:color="000000"/>
            </w:tcBorders>
            <w:vAlign w:val="center"/>
          </w:tcPr>
          <w:p w14:paraId="0926A48A" w14:textId="77777777" w:rsidR="00327DC1" w:rsidRPr="00B11E60" w:rsidRDefault="00327DC1" w:rsidP="0037155C">
            <w:pPr>
              <w:pStyle w:val="TableParagraph"/>
              <w:ind w:left="101"/>
              <w:contextualSpacing/>
              <w:rPr>
                <w:rFonts w:eastAsia="Arial" w:cs="Arial"/>
              </w:rPr>
            </w:pPr>
            <w:r w:rsidRPr="00B11E60">
              <w:rPr>
                <w:rFonts w:eastAsia="Arial" w:cs="Arial"/>
                <w:spacing w:val="-1"/>
              </w:rPr>
              <w:t>Massachusett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29777DF5"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845E8CB"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Acquired Brain Injury (AB</w:t>
            </w:r>
            <w:r w:rsidRPr="00B11E60">
              <w:rPr>
                <w:rFonts w:eastAsia="Arial" w:cs="Arial"/>
              </w:rPr>
              <w:t xml:space="preserve">I) </w:t>
            </w:r>
            <w:r>
              <w:rPr>
                <w:rFonts w:eastAsia="Arial" w:cs="Arial"/>
              </w:rPr>
              <w:br/>
            </w:r>
            <w:r w:rsidRPr="00B11E60">
              <w:rPr>
                <w:rFonts w:eastAsia="Arial" w:cs="Arial"/>
                <w:spacing w:val="-1"/>
              </w:rPr>
              <w:t>Non-Residentia</w:t>
            </w:r>
            <w:r w:rsidRPr="00B11E60">
              <w:rPr>
                <w:rFonts w:eastAsia="Arial" w:cs="Arial"/>
              </w:rPr>
              <w:t xml:space="preserve">l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2D00A6EA" w14:textId="77777777" w:rsidR="00327DC1" w:rsidRPr="00B11E60" w:rsidRDefault="00327DC1" w:rsidP="0037155C">
            <w:pPr>
              <w:pStyle w:val="TableParagraph"/>
              <w:ind w:left="102"/>
              <w:contextualSpacing/>
              <w:jc w:val="center"/>
              <w:rPr>
                <w:rFonts w:cs="Arial"/>
              </w:rPr>
            </w:pPr>
            <w:r w:rsidRPr="00B11E60">
              <w:rPr>
                <w:rFonts w:cs="Arial"/>
              </w:rPr>
              <w:t>MA.40702</w:t>
            </w:r>
          </w:p>
        </w:tc>
        <w:tc>
          <w:tcPr>
            <w:tcW w:w="4410" w:type="dxa"/>
            <w:tcBorders>
              <w:top w:val="single" w:sz="5" w:space="0" w:color="000000"/>
              <w:left w:val="single" w:sz="5" w:space="0" w:color="000000"/>
              <w:bottom w:val="single" w:sz="5" w:space="0" w:color="000000"/>
              <w:right w:val="single" w:sz="5" w:space="0" w:color="000000"/>
            </w:tcBorders>
            <w:vAlign w:val="center"/>
          </w:tcPr>
          <w:p w14:paraId="3DB02490" w14:textId="77777777" w:rsidR="00327DC1" w:rsidRPr="00B11E60" w:rsidRDefault="00327DC1" w:rsidP="0037155C">
            <w:pPr>
              <w:pStyle w:val="TableParagraph"/>
              <w:ind w:left="100"/>
              <w:contextualSpacing/>
              <w:rPr>
                <w:rFonts w:eastAsia="Arial" w:cs="Arial"/>
              </w:rPr>
            </w:pPr>
            <w:r w:rsidRPr="00B11E60">
              <w:rPr>
                <w:rFonts w:eastAsia="Arial" w:cs="Arial"/>
                <w:spacing w:val="-1"/>
              </w:rPr>
              <w:t>Massa</w:t>
            </w:r>
            <w:r w:rsidRPr="00B11E60">
              <w:rPr>
                <w:rFonts w:eastAsia="Arial" w:cs="Arial"/>
                <w:spacing w:val="1"/>
              </w:rPr>
              <w:t>c</w:t>
            </w:r>
            <w:r w:rsidRPr="00B11E60">
              <w:rPr>
                <w:rFonts w:eastAsia="Arial" w:cs="Arial"/>
                <w:spacing w:val="-1"/>
              </w:rPr>
              <w:t>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17F7656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5E725E9E" w14:textId="77777777" w:rsidR="00327DC1" w:rsidRPr="00B11E60" w:rsidRDefault="00327DC1" w:rsidP="0037155C">
            <w:pPr>
              <w:pStyle w:val="TableParagraph"/>
              <w:ind w:left="102"/>
              <w:contextualSpacing/>
              <w:rPr>
                <w:rFonts w:eastAsia="Arial" w:cs="Arial"/>
              </w:rPr>
            </w:pPr>
            <w:r w:rsidRPr="00B11E60">
              <w:rPr>
                <w:rFonts w:eastAsia="Arial" w:cs="Arial"/>
                <w:spacing w:val="-1"/>
              </w:rPr>
              <w:t>Traumati</w:t>
            </w:r>
            <w:r w:rsidRPr="00B11E60">
              <w:rPr>
                <w:rFonts w:eastAsia="Arial" w:cs="Arial"/>
              </w:rPr>
              <w:t xml:space="preserve">c </w:t>
            </w:r>
            <w:r w:rsidRPr="00B11E60">
              <w:rPr>
                <w:rFonts w:eastAsia="Arial" w:cs="Arial"/>
                <w:spacing w:val="-1"/>
              </w:rPr>
              <w:t>Brai</w:t>
            </w:r>
            <w:r w:rsidRPr="00B11E60">
              <w:rPr>
                <w:rFonts w:eastAsia="Arial" w:cs="Arial"/>
              </w:rPr>
              <w:t xml:space="preserve">n </w:t>
            </w:r>
            <w:r w:rsidRPr="00B11E60">
              <w:rPr>
                <w:rFonts w:eastAsia="Arial" w:cs="Arial"/>
                <w:spacing w:val="-1"/>
              </w:rPr>
              <w:t>Injur</w:t>
            </w:r>
            <w:r w:rsidRPr="00B11E60">
              <w:rPr>
                <w:rFonts w:eastAsia="Arial" w:cs="Arial"/>
              </w:rPr>
              <w:t xml:space="preserve">y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64A4B301" w14:textId="77777777" w:rsidR="00327DC1" w:rsidRPr="00B11E60" w:rsidRDefault="00327DC1" w:rsidP="0037155C">
            <w:pPr>
              <w:pStyle w:val="TableParagraph"/>
              <w:ind w:left="102"/>
              <w:contextualSpacing/>
              <w:jc w:val="center"/>
              <w:rPr>
                <w:rFonts w:cs="Arial"/>
              </w:rPr>
            </w:pPr>
            <w:r w:rsidRPr="00B11E60">
              <w:rPr>
                <w:rFonts w:cs="Arial"/>
              </w:rPr>
              <w:t>MA.0359</w:t>
            </w:r>
          </w:p>
        </w:tc>
        <w:tc>
          <w:tcPr>
            <w:tcW w:w="4410" w:type="dxa"/>
            <w:tcBorders>
              <w:top w:val="single" w:sz="5" w:space="0" w:color="000000"/>
              <w:left w:val="single" w:sz="5" w:space="0" w:color="000000"/>
              <w:bottom w:val="single" w:sz="5" w:space="0" w:color="000000"/>
              <w:right w:val="single" w:sz="5" w:space="0" w:color="000000"/>
            </w:tcBorders>
            <w:vAlign w:val="center"/>
          </w:tcPr>
          <w:p w14:paraId="0BB7745A" w14:textId="77777777" w:rsidR="00327DC1" w:rsidRPr="00B11E60" w:rsidRDefault="00327DC1" w:rsidP="0037155C">
            <w:pPr>
              <w:pStyle w:val="TableParagraph"/>
              <w:ind w:left="102"/>
              <w:contextualSpacing/>
              <w:rPr>
                <w:rFonts w:eastAsia="Arial" w:cs="Arial"/>
              </w:rPr>
            </w:pPr>
            <w:r w:rsidRPr="00B11E60">
              <w:rPr>
                <w:rFonts w:eastAsia="Arial" w:cs="Arial"/>
                <w:spacing w:val="-1"/>
              </w:rPr>
              <w:t>Massachusett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336E57B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C414245" w14:textId="77777777" w:rsidR="00327DC1" w:rsidRPr="00B11E60" w:rsidRDefault="00327DC1" w:rsidP="0037155C">
            <w:pPr>
              <w:pStyle w:val="TableParagraph"/>
              <w:ind w:left="102"/>
              <w:contextualSpacing/>
              <w:rPr>
                <w:rFonts w:eastAsia="Arial" w:cs="Arial"/>
              </w:rPr>
            </w:pPr>
            <w:r w:rsidRPr="00B11E60">
              <w:rPr>
                <w:rFonts w:eastAsia="Arial" w:cs="Arial"/>
                <w:spacing w:val="-1"/>
              </w:rPr>
              <w:lastRenderedPageBreak/>
              <w:t>Frai</w:t>
            </w:r>
            <w:r w:rsidRPr="00B11E60">
              <w:rPr>
                <w:rFonts w:eastAsia="Arial" w:cs="Arial"/>
              </w:rPr>
              <w:t xml:space="preserve">l </w:t>
            </w:r>
            <w:r w:rsidRPr="00B11E60">
              <w:rPr>
                <w:rFonts w:eastAsia="Arial" w:cs="Arial"/>
                <w:spacing w:val="-1"/>
              </w:rPr>
              <w:t>Elde</w:t>
            </w:r>
            <w:r w:rsidRPr="00B11E60">
              <w:rPr>
                <w:rFonts w:eastAsia="Arial" w:cs="Arial"/>
              </w:rPr>
              <w:t xml:space="preserve">r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6E984F18" w14:textId="77777777" w:rsidR="00327DC1" w:rsidRPr="00B11E60" w:rsidRDefault="00327DC1" w:rsidP="0037155C">
            <w:pPr>
              <w:pStyle w:val="TableParagraph"/>
              <w:ind w:left="102"/>
              <w:contextualSpacing/>
              <w:jc w:val="center"/>
              <w:rPr>
                <w:rFonts w:cs="Arial"/>
              </w:rPr>
            </w:pPr>
            <w:r w:rsidRPr="00B11E60">
              <w:rPr>
                <w:rFonts w:cs="Arial"/>
              </w:rPr>
              <w:t>MA.0059</w:t>
            </w:r>
          </w:p>
        </w:tc>
        <w:tc>
          <w:tcPr>
            <w:tcW w:w="4410" w:type="dxa"/>
            <w:tcBorders>
              <w:top w:val="single" w:sz="5" w:space="0" w:color="000000"/>
              <w:left w:val="single" w:sz="5" w:space="0" w:color="000000"/>
              <w:bottom w:val="single" w:sz="5" w:space="0" w:color="000000"/>
              <w:right w:val="single" w:sz="5" w:space="0" w:color="000000"/>
            </w:tcBorders>
            <w:vAlign w:val="center"/>
          </w:tcPr>
          <w:p w14:paraId="1CF30E0A" w14:textId="77777777" w:rsidR="00327DC1" w:rsidRPr="00B11E60" w:rsidRDefault="00327DC1" w:rsidP="0037155C">
            <w:pPr>
              <w:pStyle w:val="TableParagraph"/>
              <w:ind w:left="103"/>
              <w:contextualSpacing/>
              <w:rPr>
                <w:rFonts w:eastAsia="Arial" w:cs="Arial"/>
              </w:rPr>
            </w:pPr>
            <w:r w:rsidRPr="00B11E60">
              <w:rPr>
                <w:rFonts w:eastAsia="Arial" w:cs="Arial"/>
                <w:spacing w:val="-1"/>
              </w:rPr>
              <w:t>Executiv</w:t>
            </w:r>
            <w:r w:rsidRPr="00B11E60">
              <w:rPr>
                <w:rFonts w:eastAsia="Arial" w:cs="Arial"/>
              </w:rPr>
              <w:t xml:space="preserve">e </w:t>
            </w:r>
            <w:r w:rsidRPr="00B11E60">
              <w:rPr>
                <w:rFonts w:eastAsia="Arial" w:cs="Arial"/>
                <w:spacing w:val="-1"/>
              </w:rPr>
              <w:t>Offic</w:t>
            </w:r>
            <w:r w:rsidRPr="00B11E60">
              <w:rPr>
                <w:rFonts w:eastAsia="Arial" w:cs="Arial"/>
              </w:rPr>
              <w:t xml:space="preserve">e </w:t>
            </w:r>
            <w:r w:rsidRPr="00B11E60">
              <w:rPr>
                <w:rFonts w:eastAsia="Arial" w:cs="Arial"/>
                <w:spacing w:val="-1"/>
              </w:rPr>
              <w:t>o</w:t>
            </w:r>
            <w:r w:rsidRPr="00B11E60">
              <w:rPr>
                <w:rFonts w:eastAsia="Arial" w:cs="Arial"/>
              </w:rPr>
              <w:t xml:space="preserve">f </w:t>
            </w:r>
            <w:r w:rsidRPr="00B11E60">
              <w:rPr>
                <w:rFonts w:eastAsia="Arial" w:cs="Arial"/>
                <w:spacing w:val="-1"/>
              </w:rPr>
              <w:t>Elde</w:t>
            </w:r>
            <w:r w:rsidRPr="00B11E60">
              <w:rPr>
                <w:rFonts w:eastAsia="Arial" w:cs="Arial"/>
              </w:rPr>
              <w:t xml:space="preserve">r </w:t>
            </w:r>
            <w:r w:rsidRPr="00B11E60">
              <w:rPr>
                <w:rFonts w:eastAsia="Arial" w:cs="Arial"/>
                <w:spacing w:val="-1"/>
              </w:rPr>
              <w:t>Affairs</w:t>
            </w:r>
          </w:p>
        </w:tc>
      </w:tr>
    </w:tbl>
    <w:p w14:paraId="2B280FA0" w14:textId="77777777" w:rsidR="00327DC1" w:rsidRPr="00B11E60" w:rsidRDefault="00327DC1" w:rsidP="00327DC1">
      <w:pPr>
        <w:rPr>
          <w:rFonts w:cs="Arial"/>
        </w:rPr>
      </w:pPr>
    </w:p>
    <w:p w14:paraId="5ACC4F83" w14:textId="77777777" w:rsidR="00327DC1" w:rsidRPr="008E7527" w:rsidRDefault="00327DC1" w:rsidP="00304C2F">
      <w:pPr>
        <w:pStyle w:val="Heading3"/>
        <w:rPr>
          <w:rStyle w:val="Strong"/>
          <w:bCs w:val="0"/>
        </w:rPr>
      </w:pPr>
      <w:r w:rsidRPr="008E7527">
        <w:rPr>
          <w:rStyle w:val="Strong"/>
          <w:b/>
          <w:bCs w:val="0"/>
        </w:rPr>
        <w:t>Role of waiver-operating agencies in the STP</w:t>
      </w:r>
    </w:p>
    <w:p w14:paraId="6B132AAE" w14:textId="6C32EE0B" w:rsidR="00327DC1" w:rsidRPr="00B11E60" w:rsidRDefault="00327DC1" w:rsidP="00327DC1">
      <w:pPr>
        <w:rPr>
          <w:rFonts w:cs="Arial"/>
        </w:rPr>
      </w:pPr>
      <w:r w:rsidRPr="00B11E60">
        <w:rPr>
          <w:rFonts w:cs="Arial"/>
        </w:rPr>
        <w:t xml:space="preserve">The three waiver-operating agencies—DDS, MRC, and EOEA —undertook a review of their regulations, standards, policies, licensing requirements, and other provider requirements to ensure </w:t>
      </w:r>
      <w:r w:rsidR="00B42D09">
        <w:rPr>
          <w:rFonts w:cs="Arial"/>
        </w:rPr>
        <w:t>alignment</w:t>
      </w:r>
      <w:r w:rsidRPr="00B11E60">
        <w:rPr>
          <w:rFonts w:cs="Arial"/>
        </w:rPr>
        <w:t xml:space="preserve"> with the new federal requirements, as applicable within each of the waivers for which they are responsible. </w:t>
      </w:r>
      <w:r w:rsidR="00D81C5F">
        <w:rPr>
          <w:rFonts w:cs="Arial"/>
        </w:rPr>
        <w:t xml:space="preserve">In addition, each agency conducted site-specific assessments for residential and site-based non-residential services. </w:t>
      </w:r>
      <w:r w:rsidRPr="00B11E60">
        <w:rPr>
          <w:rFonts w:cs="Arial"/>
        </w:rPr>
        <w:t>As part of the development of the STP, the three waiver-operating agencies each submitted a compliance plan to the Cross-Agency Workgroup (described below) that included these elements:</w:t>
      </w:r>
    </w:p>
    <w:p w14:paraId="59594A19" w14:textId="77777777" w:rsidR="00327DC1" w:rsidRPr="00B11E60" w:rsidRDefault="00327DC1" w:rsidP="004427AF">
      <w:pPr>
        <w:pStyle w:val="ListParagraph"/>
        <w:numPr>
          <w:ilvl w:val="0"/>
          <w:numId w:val="1"/>
        </w:numPr>
        <w:rPr>
          <w:rFonts w:cs="Arial"/>
        </w:rPr>
      </w:pPr>
      <w:r w:rsidRPr="00B11E60">
        <w:rPr>
          <w:rFonts w:cs="Arial"/>
        </w:rPr>
        <w:t xml:space="preserve">review of applicable state standards, rules, regulations, and </w:t>
      </w:r>
      <w:proofErr w:type="gramStart"/>
      <w:r w:rsidRPr="00B11E60">
        <w:rPr>
          <w:rFonts w:cs="Arial"/>
        </w:rPr>
        <w:t>policies;</w:t>
      </w:r>
      <w:proofErr w:type="gramEnd"/>
    </w:p>
    <w:p w14:paraId="517C88B5" w14:textId="77777777" w:rsidR="00327DC1" w:rsidRPr="00B11E60" w:rsidRDefault="00327DC1" w:rsidP="004427AF">
      <w:pPr>
        <w:pStyle w:val="ListParagraph"/>
        <w:numPr>
          <w:ilvl w:val="0"/>
          <w:numId w:val="1"/>
        </w:numPr>
        <w:rPr>
          <w:rFonts w:cs="Arial"/>
        </w:rPr>
      </w:pPr>
      <w:r w:rsidRPr="00B11E60">
        <w:rPr>
          <w:rFonts w:cs="Arial"/>
        </w:rPr>
        <w:t xml:space="preserve">assessment of waiver settings, where </w:t>
      </w:r>
      <w:proofErr w:type="gramStart"/>
      <w:r w:rsidRPr="00B11E60">
        <w:rPr>
          <w:rFonts w:cs="Arial"/>
        </w:rPr>
        <w:t>applicable;</w:t>
      </w:r>
      <w:proofErr w:type="gramEnd"/>
    </w:p>
    <w:p w14:paraId="3195699D" w14:textId="77777777" w:rsidR="00327DC1" w:rsidRPr="00B11E60" w:rsidRDefault="00327DC1" w:rsidP="004427AF">
      <w:pPr>
        <w:pStyle w:val="ListParagraph"/>
        <w:numPr>
          <w:ilvl w:val="0"/>
          <w:numId w:val="1"/>
        </w:numPr>
        <w:rPr>
          <w:rFonts w:cs="Arial"/>
        </w:rPr>
      </w:pPr>
      <w:r w:rsidRPr="00B11E60">
        <w:rPr>
          <w:rFonts w:cs="Arial"/>
        </w:rPr>
        <w:t xml:space="preserve">summary of how each setting meets or does not meet the federal HCBS setting </w:t>
      </w:r>
      <w:proofErr w:type="gramStart"/>
      <w:r w:rsidRPr="00B11E60">
        <w:rPr>
          <w:rFonts w:cs="Arial"/>
        </w:rPr>
        <w:t>requirements;</w:t>
      </w:r>
      <w:proofErr w:type="gramEnd"/>
    </w:p>
    <w:p w14:paraId="4C01680D" w14:textId="77777777" w:rsidR="00327DC1" w:rsidRPr="00B11E60" w:rsidRDefault="00327DC1" w:rsidP="004427AF">
      <w:pPr>
        <w:pStyle w:val="ListParagraph"/>
        <w:numPr>
          <w:ilvl w:val="0"/>
          <w:numId w:val="1"/>
        </w:numPr>
        <w:rPr>
          <w:rFonts w:cs="Arial"/>
        </w:rPr>
      </w:pPr>
      <w:r w:rsidRPr="00B11E60">
        <w:rPr>
          <w:rFonts w:cs="Arial"/>
        </w:rPr>
        <w:t>if applicable, time frame for the development of a plan and process for bringing identified HCBS settings into compliance; and</w:t>
      </w:r>
    </w:p>
    <w:p w14:paraId="6D01A784" w14:textId="77777777" w:rsidR="00327DC1" w:rsidRPr="00B11E60" w:rsidRDefault="00327DC1" w:rsidP="004427AF">
      <w:pPr>
        <w:pStyle w:val="ListParagraph"/>
        <w:numPr>
          <w:ilvl w:val="0"/>
          <w:numId w:val="1"/>
        </w:numPr>
        <w:rPr>
          <w:rFonts w:cs="Arial"/>
        </w:rPr>
      </w:pPr>
      <w:r w:rsidRPr="00B11E60">
        <w:rPr>
          <w:rFonts w:cs="Arial"/>
        </w:rPr>
        <w:t xml:space="preserve">a plan for ensuring the health and welfare of waiver participants who reside in locations that may need to take corrective action </w:t>
      </w:r>
      <w:proofErr w:type="gramStart"/>
      <w:r w:rsidRPr="00B11E60">
        <w:rPr>
          <w:rFonts w:cs="Arial"/>
        </w:rPr>
        <w:t>in order to</w:t>
      </w:r>
      <w:proofErr w:type="gramEnd"/>
      <w:r w:rsidRPr="00B11E60">
        <w:rPr>
          <w:rFonts w:cs="Arial"/>
        </w:rPr>
        <w:t xml:space="preserve"> fully comply within a specified period.</w:t>
      </w:r>
    </w:p>
    <w:p w14:paraId="73846943" w14:textId="3E974316" w:rsidR="00327DC1" w:rsidRPr="00304C2F" w:rsidRDefault="00327DC1" w:rsidP="00304C2F">
      <w:pPr>
        <w:pStyle w:val="Heading3"/>
        <w:rPr>
          <w:rStyle w:val="Strong"/>
          <w:b/>
          <w:bCs w:val="0"/>
        </w:rPr>
      </w:pPr>
      <w:r w:rsidRPr="00304C2F">
        <w:rPr>
          <w:rStyle w:val="Strong"/>
          <w:b/>
          <w:bCs w:val="0"/>
        </w:rPr>
        <w:t>Role of MassHealth in the STP</w:t>
      </w:r>
    </w:p>
    <w:p w14:paraId="39C7285A" w14:textId="77777777" w:rsidR="00327DC1" w:rsidRPr="00B11E60" w:rsidRDefault="00327DC1" w:rsidP="00327DC1">
      <w:pPr>
        <w:rPr>
          <w:rFonts w:cs="Arial"/>
        </w:rPr>
      </w:pPr>
      <w:r w:rsidRPr="00B11E60">
        <w:rPr>
          <w:rFonts w:cs="Arial"/>
        </w:rPr>
        <w:t>MassHealth worked individually with each waiver-operating agency to clarify the requirements of and approach to development of the transition plan as it related to each waiver, specific waiver services, settings, and populations served. MassHealth worked to ensure consistency in how the agencies’ plans addressed transition issues, and to support each agency in fully understanding the issues related to specific waivers, the potential challenges of certain waiver service settings, implications for the vulnerable populations served, and the impact on waiver participants, families, advocates, and other stakeholders.</w:t>
      </w:r>
    </w:p>
    <w:p w14:paraId="2863C5A9" w14:textId="1426A74A" w:rsidR="00327DC1" w:rsidRDefault="00327DC1" w:rsidP="00327DC1">
      <w:pPr>
        <w:rPr>
          <w:rFonts w:cs="Arial"/>
        </w:rPr>
      </w:pPr>
      <w:r w:rsidRPr="00B11E60">
        <w:rPr>
          <w:rFonts w:cs="Arial"/>
        </w:rPr>
        <w:t xml:space="preserve">For both the state’s initial STP submission that focused on residential services, and the later addendum that focused on day and employment services, MassHealth oversaw production of the plan documents and their publication for public review, including collecting, assembling, </w:t>
      </w:r>
      <w:r w:rsidR="000071BD">
        <w:rPr>
          <w:rFonts w:cs="Arial"/>
        </w:rPr>
        <w:t xml:space="preserve">and </w:t>
      </w:r>
      <w:r w:rsidRPr="00B11E60">
        <w:rPr>
          <w:rFonts w:cs="Arial"/>
        </w:rPr>
        <w:t xml:space="preserve">editing, and coordinated the formatting of the documents. </w:t>
      </w:r>
      <w:r w:rsidR="00C708EF" w:rsidRPr="2E79FCA6">
        <w:rPr>
          <w:rFonts w:cs="Arial"/>
        </w:rPr>
        <w:t>Ma</w:t>
      </w:r>
      <w:r w:rsidR="796BA572" w:rsidRPr="2E79FCA6">
        <w:rPr>
          <w:rFonts w:cs="Arial"/>
        </w:rPr>
        <w:t>s</w:t>
      </w:r>
      <w:r w:rsidR="00C708EF" w:rsidRPr="2E79FCA6">
        <w:rPr>
          <w:rFonts w:cs="Arial"/>
        </w:rPr>
        <w:t>sHealth</w:t>
      </w:r>
      <w:r w:rsidR="00C708EF">
        <w:rPr>
          <w:rFonts w:cs="Arial"/>
        </w:rPr>
        <w:t xml:space="preserve"> </w:t>
      </w:r>
      <w:r w:rsidRPr="00B11E60">
        <w:rPr>
          <w:rFonts w:cs="Arial"/>
        </w:rPr>
        <w:t xml:space="preserve">also scheduled, advertised, and hosted </w:t>
      </w:r>
      <w:r w:rsidR="006A7337">
        <w:rPr>
          <w:rFonts w:cs="Arial"/>
        </w:rPr>
        <w:t>four</w:t>
      </w:r>
      <w:r w:rsidR="006A7337" w:rsidRPr="00B11E60">
        <w:rPr>
          <w:rFonts w:cs="Arial"/>
        </w:rPr>
        <w:t xml:space="preserve"> </w:t>
      </w:r>
      <w:r w:rsidRPr="00B11E60">
        <w:rPr>
          <w:rFonts w:cs="Arial"/>
        </w:rPr>
        <w:t>public forums on the STP. MassHealth and agency staff jointly convened and facilitated the public forums, maintained sign-in sheets to document who attended the forums and to identify those wishing to provide input, took notes at the forums, and supported the ability of attendees to provide input both orally and in writing. These various efforts were facilitated by MassHealth staff and undertaken in a truly collaborative and supportive manner between MassHealth and the waiver-operating agencies.</w:t>
      </w:r>
    </w:p>
    <w:p w14:paraId="3B7EF245" w14:textId="54C53EAF" w:rsidR="00AB250B" w:rsidRDefault="00E73BCF" w:rsidP="00327DC1">
      <w:pPr>
        <w:rPr>
          <w:rFonts w:cs="Arial"/>
        </w:rPr>
      </w:pPr>
      <w:r>
        <w:rPr>
          <w:rFonts w:cs="Arial"/>
        </w:rPr>
        <w:t xml:space="preserve">In addition, MassHealth administers the </w:t>
      </w:r>
      <w:r w:rsidR="00CC7899">
        <w:rPr>
          <w:rFonts w:cs="Arial"/>
        </w:rPr>
        <w:t xml:space="preserve">Adult Foster Care </w:t>
      </w:r>
      <w:r w:rsidR="009254EC">
        <w:rPr>
          <w:rFonts w:cs="Arial"/>
        </w:rPr>
        <w:t>service</w:t>
      </w:r>
      <w:r w:rsidR="00CC7899">
        <w:rPr>
          <w:rFonts w:cs="Arial"/>
        </w:rPr>
        <w:t>, which is a state plan service that HCBS waiver participants may access</w:t>
      </w:r>
      <w:r w:rsidR="00074F43">
        <w:rPr>
          <w:rFonts w:cs="Arial"/>
        </w:rPr>
        <w:t xml:space="preserve">. MassHealth provides </w:t>
      </w:r>
      <w:r w:rsidR="00355159">
        <w:rPr>
          <w:rFonts w:cs="Arial"/>
        </w:rPr>
        <w:t xml:space="preserve">oversight of HCBS waiver </w:t>
      </w:r>
      <w:r w:rsidR="00355159">
        <w:rPr>
          <w:rFonts w:cs="Arial"/>
        </w:rPr>
        <w:lastRenderedPageBreak/>
        <w:t>participants living in MassHealth Adult Foster Care settings</w:t>
      </w:r>
      <w:r w:rsidR="001C71A4">
        <w:rPr>
          <w:rFonts w:cs="Arial"/>
        </w:rPr>
        <w:t xml:space="preserve"> </w:t>
      </w:r>
      <w:r w:rsidR="00E36444">
        <w:rPr>
          <w:rFonts w:cs="Arial"/>
        </w:rPr>
        <w:t>in relation to compliance with the</w:t>
      </w:r>
      <w:r w:rsidR="00D64EA7">
        <w:rPr>
          <w:rFonts w:cs="Arial"/>
        </w:rPr>
        <w:t xml:space="preserve"> Community Rule.</w:t>
      </w:r>
      <w:r w:rsidR="00E36444">
        <w:rPr>
          <w:rFonts w:cs="Arial"/>
        </w:rPr>
        <w:t xml:space="preserve"> </w:t>
      </w:r>
    </w:p>
    <w:p w14:paraId="6BC9B8AA" w14:textId="1312167A" w:rsidR="00914612" w:rsidRDefault="00914612" w:rsidP="00327DC1">
      <w:pPr>
        <w:rPr>
          <w:rFonts w:cs="Arial"/>
        </w:rPr>
      </w:pPr>
    </w:p>
    <w:p w14:paraId="16A2AA61" w14:textId="77777777" w:rsidR="00682427" w:rsidRPr="00B11E60" w:rsidRDefault="00682427" w:rsidP="00327DC1">
      <w:pPr>
        <w:rPr>
          <w:rFonts w:cs="Arial"/>
        </w:rPr>
      </w:pPr>
      <w:r>
        <w:rPr>
          <w:rFonts w:cs="Arial"/>
        </w:rPr>
        <w:t>Subsequent to the systemic and site-specific assessment processes, MassHealth continues to monitor</w:t>
      </w:r>
      <w:r w:rsidRPr="00B11E60">
        <w:rPr>
          <w:rFonts w:cs="Arial"/>
        </w:rPr>
        <w:t xml:space="preserve"> progress</w:t>
      </w:r>
      <w:r>
        <w:rPr>
          <w:rFonts w:cs="Arial"/>
        </w:rPr>
        <w:t xml:space="preserve"> toward milestones</w:t>
      </w:r>
      <w:r w:rsidRPr="00B11E60">
        <w:rPr>
          <w:rFonts w:cs="Arial"/>
        </w:rPr>
        <w:t xml:space="preserve"> at the agency level in implementing the plan as it relates to specific </w:t>
      </w:r>
      <w:proofErr w:type="gramStart"/>
      <w:r w:rsidRPr="00B11E60">
        <w:rPr>
          <w:rFonts w:cs="Arial"/>
        </w:rPr>
        <w:t>waivers</w:t>
      </w:r>
      <w:r w:rsidR="00B42D09">
        <w:rPr>
          <w:rFonts w:cs="Arial"/>
        </w:rPr>
        <w:t>, and</w:t>
      </w:r>
      <w:proofErr w:type="gramEnd"/>
      <w:r w:rsidR="00B42D09">
        <w:rPr>
          <w:rFonts w:cs="Arial"/>
        </w:rPr>
        <w:t xml:space="preserve"> engage in the HCB Settings Training and Small Group Discussion series facilitated by CMS</w:t>
      </w:r>
      <w:r>
        <w:rPr>
          <w:rFonts w:cs="Arial"/>
        </w:rPr>
        <w:t>.</w:t>
      </w:r>
    </w:p>
    <w:p w14:paraId="35EE98F5" w14:textId="77777777" w:rsidR="00327DC1" w:rsidRPr="009B6E6A" w:rsidRDefault="00327DC1" w:rsidP="00304C2F">
      <w:pPr>
        <w:pStyle w:val="Heading3"/>
        <w:rPr>
          <w:rStyle w:val="Strong"/>
          <w:bCs w:val="0"/>
        </w:rPr>
      </w:pPr>
      <w:r w:rsidRPr="009B6E6A">
        <w:rPr>
          <w:rStyle w:val="Strong"/>
          <w:b/>
          <w:bCs w:val="0"/>
        </w:rPr>
        <w:t>Role of the cross-agency workgroup in the STP</w:t>
      </w:r>
    </w:p>
    <w:p w14:paraId="1D6ECD0B" w14:textId="2755815D" w:rsidR="00327DC1" w:rsidRPr="00B11E60" w:rsidRDefault="00327DC1" w:rsidP="00327DC1">
      <w:pPr>
        <w:rPr>
          <w:rFonts w:cs="Arial"/>
        </w:rPr>
      </w:pPr>
      <w:r w:rsidRPr="00B11E60">
        <w:rPr>
          <w:rFonts w:cs="Arial"/>
        </w:rPr>
        <w:t xml:space="preserve">MassHealth’s Community Waiver Unit created and convened the Cross-Agency Workgroup for Development of the Statewide Transition Plan, which included representatives from the waiver-operating agencies </w:t>
      </w:r>
      <w:r w:rsidR="00D81C5F">
        <w:rPr>
          <w:rFonts w:cs="Arial"/>
        </w:rPr>
        <w:t xml:space="preserve">and initially </w:t>
      </w:r>
      <w:r w:rsidRPr="00B11E60">
        <w:rPr>
          <w:rFonts w:cs="Arial"/>
        </w:rPr>
        <w:t xml:space="preserve">from EOHHS. Starting in January 2014, the workgroup met monthly </w:t>
      </w:r>
      <w:r w:rsidR="000B0851">
        <w:rPr>
          <w:rFonts w:cs="Arial"/>
        </w:rPr>
        <w:t xml:space="preserve">for three years, </w:t>
      </w:r>
      <w:r w:rsidR="00405186">
        <w:rPr>
          <w:rFonts w:cs="Arial"/>
        </w:rPr>
        <w:t>and then on</w:t>
      </w:r>
      <w:r w:rsidR="000B0851">
        <w:rPr>
          <w:rFonts w:cs="Arial"/>
        </w:rPr>
        <w:t xml:space="preserve"> an ad hoc schedule </w:t>
      </w:r>
      <w:r w:rsidRPr="00B11E60">
        <w:rPr>
          <w:rFonts w:cs="Arial"/>
        </w:rPr>
        <w:t xml:space="preserve">to ensure that a cohesive statewide transition plan was established to address the unique needs of individuals across a wide variety of community-based settings. Through the Cross-Agency Workgroup, MassHealth ensured that best approaches were shared and leveraged to the benefit of the waiver-operating agencies as they created plans to comply with the final rule, and that each agency contributed to and collaborated on the development and production of the STP. </w:t>
      </w:r>
    </w:p>
    <w:p w14:paraId="3EBCD0E6" w14:textId="77777777" w:rsidR="00327DC1" w:rsidRPr="00B11E60" w:rsidRDefault="00327DC1" w:rsidP="00327DC1">
      <w:pPr>
        <w:rPr>
          <w:rFonts w:cs="Arial"/>
        </w:rPr>
      </w:pPr>
      <w:r w:rsidRPr="00B11E60">
        <w:rPr>
          <w:rFonts w:cs="Arial"/>
        </w:rPr>
        <w:t xml:space="preserve">MassHealth continued to convene </w:t>
      </w:r>
      <w:r w:rsidR="00682427">
        <w:rPr>
          <w:rFonts w:cs="Arial"/>
        </w:rPr>
        <w:t>the</w:t>
      </w:r>
      <w:r w:rsidR="00682427" w:rsidRPr="00B11E60">
        <w:rPr>
          <w:rFonts w:cs="Arial"/>
        </w:rPr>
        <w:t xml:space="preserve"> </w:t>
      </w:r>
      <w:r w:rsidRPr="00B11E60">
        <w:rPr>
          <w:rFonts w:cs="Arial"/>
        </w:rPr>
        <w:t xml:space="preserve">Cross-Agency Workgroup </w:t>
      </w:r>
      <w:r w:rsidR="00682427">
        <w:rPr>
          <w:rFonts w:cs="Arial"/>
        </w:rPr>
        <w:t xml:space="preserve">throughout and in follow-up to the systemic and site-specific assessment processes, </w:t>
      </w:r>
      <w:r w:rsidRPr="00B11E60">
        <w:rPr>
          <w:rFonts w:cs="Arial"/>
        </w:rPr>
        <w:t>in support of a coordinated approach to the following activities:</w:t>
      </w:r>
    </w:p>
    <w:p w14:paraId="6CA6E058" w14:textId="77777777" w:rsidR="00327DC1" w:rsidRPr="00B11E60" w:rsidRDefault="00327DC1" w:rsidP="004427AF">
      <w:pPr>
        <w:pStyle w:val="ListParagraph"/>
        <w:numPr>
          <w:ilvl w:val="0"/>
          <w:numId w:val="1"/>
        </w:numPr>
        <w:rPr>
          <w:rFonts w:cs="Arial"/>
        </w:rPr>
      </w:pPr>
      <w:r w:rsidRPr="00B11E60">
        <w:rPr>
          <w:rFonts w:cs="Arial"/>
        </w:rPr>
        <w:t xml:space="preserve">collaborative planning for the transition for each </w:t>
      </w:r>
      <w:proofErr w:type="gramStart"/>
      <w:r w:rsidRPr="00B11E60">
        <w:rPr>
          <w:rFonts w:cs="Arial"/>
        </w:rPr>
        <w:t>waiver;</w:t>
      </w:r>
      <w:proofErr w:type="gramEnd"/>
      <w:r w:rsidRPr="00B11E60">
        <w:rPr>
          <w:rFonts w:cs="Arial"/>
        </w:rPr>
        <w:t xml:space="preserve"> </w:t>
      </w:r>
    </w:p>
    <w:p w14:paraId="58F9732C" w14:textId="77777777" w:rsidR="00327DC1" w:rsidRPr="00B11E60" w:rsidRDefault="00327DC1" w:rsidP="004427AF">
      <w:pPr>
        <w:pStyle w:val="ListParagraph"/>
        <w:numPr>
          <w:ilvl w:val="0"/>
          <w:numId w:val="1"/>
        </w:numPr>
        <w:rPr>
          <w:rFonts w:cs="Arial"/>
        </w:rPr>
      </w:pPr>
      <w:r w:rsidRPr="00B11E60">
        <w:rPr>
          <w:rFonts w:cs="Arial"/>
        </w:rPr>
        <w:t xml:space="preserve">consultation on implementation objectives and </w:t>
      </w:r>
      <w:proofErr w:type="gramStart"/>
      <w:r w:rsidRPr="00B11E60">
        <w:rPr>
          <w:rFonts w:cs="Arial"/>
        </w:rPr>
        <w:t>methods;</w:t>
      </w:r>
      <w:proofErr w:type="gramEnd"/>
      <w:r w:rsidRPr="00B11E60">
        <w:rPr>
          <w:rFonts w:cs="Arial"/>
        </w:rPr>
        <w:t xml:space="preserve"> </w:t>
      </w:r>
    </w:p>
    <w:p w14:paraId="74C44BB4" w14:textId="77777777" w:rsidR="00327DC1" w:rsidRPr="00B11E60" w:rsidRDefault="00327DC1" w:rsidP="004427AF">
      <w:pPr>
        <w:pStyle w:val="ListParagraph"/>
        <w:numPr>
          <w:ilvl w:val="0"/>
          <w:numId w:val="1"/>
        </w:numPr>
        <w:rPr>
          <w:rFonts w:cs="Arial"/>
        </w:rPr>
      </w:pPr>
      <w:r w:rsidRPr="00B11E60">
        <w:rPr>
          <w:rFonts w:cs="Arial"/>
        </w:rPr>
        <w:t xml:space="preserve">sharing of best practices, </w:t>
      </w:r>
      <w:proofErr w:type="gramStart"/>
      <w:r w:rsidRPr="00B11E60">
        <w:rPr>
          <w:rFonts w:cs="Arial"/>
        </w:rPr>
        <w:t>techniques</w:t>
      </w:r>
      <w:proofErr w:type="gramEnd"/>
      <w:r w:rsidRPr="00B11E60">
        <w:rPr>
          <w:rFonts w:cs="Arial"/>
        </w:rPr>
        <w:t xml:space="preserve"> and approaches to ensure effective communication across the agencies involved in waiver operations; and </w:t>
      </w:r>
    </w:p>
    <w:p w14:paraId="299927BC" w14:textId="77777777" w:rsidR="00327DC1" w:rsidRPr="00B11E60" w:rsidRDefault="00327DC1" w:rsidP="004427AF">
      <w:pPr>
        <w:pStyle w:val="ListParagraph"/>
        <w:numPr>
          <w:ilvl w:val="0"/>
          <w:numId w:val="1"/>
        </w:numPr>
        <w:rPr>
          <w:rFonts w:cs="Arial"/>
        </w:rPr>
      </w:pPr>
      <w:r w:rsidRPr="00B11E60">
        <w:rPr>
          <w:rFonts w:cs="Arial"/>
        </w:rPr>
        <w:t xml:space="preserve">oversight </w:t>
      </w:r>
      <w:r w:rsidR="006A7337">
        <w:rPr>
          <w:rFonts w:cs="Arial"/>
        </w:rPr>
        <w:t xml:space="preserve">and updating </w:t>
      </w:r>
      <w:r w:rsidRPr="00B11E60">
        <w:rPr>
          <w:rFonts w:cs="Arial"/>
        </w:rPr>
        <w:t>of progress</w:t>
      </w:r>
      <w:r w:rsidR="006A7337">
        <w:rPr>
          <w:rFonts w:cs="Arial"/>
        </w:rPr>
        <w:t xml:space="preserve"> toward milestones</w:t>
      </w:r>
      <w:r w:rsidRPr="00B11E60">
        <w:rPr>
          <w:rFonts w:cs="Arial"/>
        </w:rPr>
        <w:t xml:space="preserve"> at the agency level in implementing the plan as it relates to specific waivers.  </w:t>
      </w:r>
    </w:p>
    <w:p w14:paraId="4822382C" w14:textId="77777777" w:rsidR="00F51D76" w:rsidRDefault="00327DC1" w:rsidP="00327DC1">
      <w:pPr>
        <w:rPr>
          <w:rFonts w:cs="Arial"/>
        </w:rPr>
      </w:pPr>
      <w:r w:rsidRPr="00B11E60">
        <w:rPr>
          <w:rFonts w:cs="Arial"/>
        </w:rPr>
        <w:t>The Cross-Agency Workgroup develop</w:t>
      </w:r>
      <w:r w:rsidR="00682427">
        <w:rPr>
          <w:rFonts w:cs="Arial"/>
        </w:rPr>
        <w:t>ed</w:t>
      </w:r>
      <w:r w:rsidRPr="00B11E60">
        <w:rPr>
          <w:rFonts w:cs="Arial"/>
        </w:rPr>
        <w:t xml:space="preserve"> the response to CMS’s letter of November 5, </w:t>
      </w:r>
      <w:proofErr w:type="gramStart"/>
      <w:r w:rsidRPr="00B11E60">
        <w:rPr>
          <w:rFonts w:cs="Arial"/>
        </w:rPr>
        <w:t>2015</w:t>
      </w:r>
      <w:proofErr w:type="gramEnd"/>
      <w:r w:rsidR="00B45B35">
        <w:rPr>
          <w:rFonts w:cs="Arial"/>
        </w:rPr>
        <w:t xml:space="preserve"> and </w:t>
      </w:r>
      <w:r w:rsidR="002973D7">
        <w:rPr>
          <w:rFonts w:cs="Arial"/>
        </w:rPr>
        <w:t xml:space="preserve">informal email of </w:t>
      </w:r>
      <w:r w:rsidR="00B45B35">
        <w:rPr>
          <w:rFonts w:cs="Arial"/>
        </w:rPr>
        <w:t>May 2, 2016</w:t>
      </w:r>
      <w:r w:rsidRPr="00B11E60">
        <w:rPr>
          <w:rFonts w:cs="Arial"/>
        </w:rPr>
        <w:t xml:space="preserve"> addressing the Commonwealth’s STP. MassHealth facilitated consensus among workgroup participants in jointly developing an approach to reformatting the ST</w:t>
      </w:r>
      <w:r w:rsidR="009174F1">
        <w:rPr>
          <w:rFonts w:cs="Arial"/>
        </w:rPr>
        <w:t xml:space="preserve">P into a consolidated document </w:t>
      </w:r>
      <w:r w:rsidRPr="00B11E60">
        <w:rPr>
          <w:rFonts w:cs="Arial"/>
        </w:rPr>
        <w:t xml:space="preserve">inclusive of residential and non-residential waiver </w:t>
      </w:r>
      <w:r w:rsidR="006A7337">
        <w:rPr>
          <w:rFonts w:cs="Arial"/>
        </w:rPr>
        <w:t xml:space="preserve">service </w:t>
      </w:r>
      <w:r w:rsidRPr="00B11E60">
        <w:rPr>
          <w:rFonts w:cs="Arial"/>
        </w:rPr>
        <w:t>settings across the three operating agencies, and to ensuring responsiveness to other CMS questions and input.</w:t>
      </w:r>
      <w:r w:rsidR="005959B1">
        <w:rPr>
          <w:rFonts w:cs="Arial"/>
        </w:rPr>
        <w:t xml:space="preserve">  </w:t>
      </w:r>
    </w:p>
    <w:p w14:paraId="47EC5B49" w14:textId="238341B9" w:rsidR="008336CF" w:rsidRPr="008E7527" w:rsidRDefault="008336CF" w:rsidP="00304C2F">
      <w:pPr>
        <w:pStyle w:val="Heading3"/>
        <w:rPr>
          <w:rStyle w:val="Strong"/>
          <w:bCs w:val="0"/>
        </w:rPr>
      </w:pPr>
      <w:r w:rsidRPr="008E7527">
        <w:rPr>
          <w:rStyle w:val="Strong"/>
          <w:b/>
          <w:bCs w:val="0"/>
        </w:rPr>
        <w:t>Reverse Integration</w:t>
      </w:r>
    </w:p>
    <w:p w14:paraId="73962E23" w14:textId="4856E06C" w:rsidR="00327DC1" w:rsidRPr="00B11E60" w:rsidRDefault="005959B1" w:rsidP="00327DC1">
      <w:pPr>
        <w:rPr>
          <w:rFonts w:cs="Arial"/>
        </w:rPr>
      </w:pPr>
      <w:r w:rsidRPr="005959B1">
        <w:rPr>
          <w:rFonts w:cs="Arial"/>
        </w:rPr>
        <w:t>The state does not use reverse integration as a strategy for complying with the community integration criteria.</w:t>
      </w:r>
    </w:p>
    <w:p w14:paraId="16246CE1" w14:textId="44EB1347" w:rsidR="00327DC1" w:rsidRPr="00A37881" w:rsidRDefault="00327DC1" w:rsidP="00304C2F">
      <w:pPr>
        <w:pStyle w:val="Heading2"/>
      </w:pPr>
      <w:r w:rsidRPr="00A37881">
        <w:t>III.</w:t>
      </w:r>
      <w:r>
        <w:tab/>
      </w:r>
      <w:r w:rsidRPr="00A37881">
        <w:t>Public Input</w:t>
      </w:r>
    </w:p>
    <w:p w14:paraId="44C20BA0" w14:textId="77777777" w:rsidR="00327DC1" w:rsidRPr="00B11E60" w:rsidRDefault="00327DC1" w:rsidP="00327DC1">
      <w:pPr>
        <w:rPr>
          <w:rFonts w:cs="Arial"/>
        </w:rPr>
      </w:pPr>
      <w:r w:rsidRPr="00B11E60">
        <w:rPr>
          <w:rFonts w:cs="Arial"/>
        </w:rPr>
        <w:lastRenderedPageBreak/>
        <w:t xml:space="preserve">Massachusetts is committed to ensuring that our statewide transition plan is reviewed </w:t>
      </w:r>
      <w:r w:rsidR="009F5522" w:rsidRPr="00B11E60">
        <w:rPr>
          <w:rFonts w:cs="Arial"/>
        </w:rPr>
        <w:t>publicly,</w:t>
      </w:r>
      <w:r w:rsidRPr="00B11E60">
        <w:rPr>
          <w:rFonts w:cs="Arial"/>
        </w:rPr>
        <w:t xml:space="preserve"> and that public input is incorporated into the final plan. The state provided opportunities for public comment as follows:</w:t>
      </w:r>
    </w:p>
    <w:p w14:paraId="6344C447" w14:textId="2C06CD9F" w:rsidR="00327DC1" w:rsidRPr="002B572C" w:rsidRDefault="00A84FCA" w:rsidP="004427AF">
      <w:pPr>
        <w:pStyle w:val="ListParagraph"/>
        <w:numPr>
          <w:ilvl w:val="0"/>
          <w:numId w:val="30"/>
        </w:numPr>
        <w:ind w:left="360"/>
        <w:rPr>
          <w:rFonts w:cs="Arial"/>
        </w:rPr>
      </w:pPr>
      <w:proofErr w:type="gramStart"/>
      <w:r w:rsidRPr="002B572C">
        <w:rPr>
          <w:rFonts w:cs="Arial"/>
        </w:rPr>
        <w:t>During</w:t>
      </w:r>
      <w:proofErr w:type="gramEnd"/>
      <w:r w:rsidRPr="002B572C">
        <w:rPr>
          <w:rFonts w:cs="Arial"/>
        </w:rPr>
        <w:t xml:space="preserve"> </w:t>
      </w:r>
      <w:r w:rsidR="00EE0299">
        <w:rPr>
          <w:rFonts w:cs="Arial"/>
        </w:rPr>
        <w:t>four</w:t>
      </w:r>
      <w:r w:rsidR="00B45B35" w:rsidRPr="002B572C">
        <w:rPr>
          <w:rFonts w:cs="Arial"/>
        </w:rPr>
        <w:t xml:space="preserve"> </w:t>
      </w:r>
      <w:r w:rsidR="00327DC1" w:rsidRPr="002B572C">
        <w:rPr>
          <w:rFonts w:cs="Arial"/>
        </w:rPr>
        <w:t>30-day public comment periods:</w:t>
      </w:r>
    </w:p>
    <w:p w14:paraId="602AB8C0" w14:textId="77777777" w:rsidR="00327DC1" w:rsidRPr="00B11E60" w:rsidRDefault="00327DC1" w:rsidP="004427AF">
      <w:pPr>
        <w:pStyle w:val="ListParagraph"/>
        <w:numPr>
          <w:ilvl w:val="0"/>
          <w:numId w:val="1"/>
        </w:numPr>
        <w:ind w:left="630" w:hanging="270"/>
        <w:rPr>
          <w:rFonts w:cs="Arial"/>
        </w:rPr>
      </w:pPr>
      <w:r w:rsidRPr="00B11E60">
        <w:rPr>
          <w:rFonts w:cs="Arial"/>
        </w:rPr>
        <w:t>October 15 through November 15, 2014 – on the statewide transition plan; and</w:t>
      </w:r>
    </w:p>
    <w:p w14:paraId="61FE793C" w14:textId="77777777" w:rsidR="00327DC1" w:rsidRDefault="00327DC1" w:rsidP="004427AF">
      <w:pPr>
        <w:pStyle w:val="ListParagraph"/>
        <w:numPr>
          <w:ilvl w:val="0"/>
          <w:numId w:val="1"/>
        </w:numPr>
        <w:ind w:left="630" w:hanging="270"/>
        <w:rPr>
          <w:rFonts w:cs="Arial"/>
        </w:rPr>
      </w:pPr>
      <w:r w:rsidRPr="00B11E60">
        <w:rPr>
          <w:rFonts w:cs="Arial"/>
        </w:rPr>
        <w:t xml:space="preserve">May 18, </w:t>
      </w:r>
      <w:proofErr w:type="gramStart"/>
      <w:r w:rsidRPr="00B11E60">
        <w:rPr>
          <w:rFonts w:cs="Arial"/>
        </w:rPr>
        <w:t>2015</w:t>
      </w:r>
      <w:proofErr w:type="gramEnd"/>
      <w:r w:rsidRPr="00B11E60">
        <w:rPr>
          <w:rFonts w:cs="Arial"/>
        </w:rPr>
        <w:t xml:space="preserve"> through June 18, 2015 – on the addendum to the statewide transition plan regarding non-residential waiver services. </w:t>
      </w:r>
    </w:p>
    <w:p w14:paraId="7A7DEAAE" w14:textId="77777777" w:rsidR="00B45B35" w:rsidRPr="00B11E60" w:rsidRDefault="00B45B35" w:rsidP="004427AF">
      <w:pPr>
        <w:pStyle w:val="ListParagraph"/>
        <w:numPr>
          <w:ilvl w:val="0"/>
          <w:numId w:val="1"/>
        </w:numPr>
        <w:ind w:left="630" w:hanging="270"/>
        <w:rPr>
          <w:rFonts w:cs="Arial"/>
        </w:rPr>
      </w:pPr>
      <w:r>
        <w:rPr>
          <w:rFonts w:cs="Arial"/>
        </w:rPr>
        <w:t xml:space="preserve">July </w:t>
      </w:r>
      <w:r w:rsidR="003B76AC">
        <w:rPr>
          <w:rFonts w:cs="Arial"/>
        </w:rPr>
        <w:t>8</w:t>
      </w:r>
      <w:r>
        <w:rPr>
          <w:rFonts w:cs="Arial"/>
        </w:rPr>
        <w:t xml:space="preserve">, </w:t>
      </w:r>
      <w:proofErr w:type="gramStart"/>
      <w:r>
        <w:rPr>
          <w:rFonts w:cs="Arial"/>
        </w:rPr>
        <w:t>2016</w:t>
      </w:r>
      <w:proofErr w:type="gramEnd"/>
      <w:r>
        <w:rPr>
          <w:rFonts w:cs="Arial"/>
        </w:rPr>
        <w:t xml:space="preserve"> through August </w:t>
      </w:r>
      <w:r w:rsidR="003B76AC">
        <w:rPr>
          <w:rFonts w:cs="Arial"/>
        </w:rPr>
        <w:t>10</w:t>
      </w:r>
      <w:r>
        <w:rPr>
          <w:rFonts w:cs="Arial"/>
        </w:rPr>
        <w:t>, 2016 – on the revised statewide transition plan including site-specific assessment</w:t>
      </w:r>
    </w:p>
    <w:p w14:paraId="4BA10707" w14:textId="77777777" w:rsidR="00631C23" w:rsidRPr="000422FA" w:rsidRDefault="7DEBB624" w:rsidP="004427AF">
      <w:pPr>
        <w:pStyle w:val="ListParagraph"/>
        <w:numPr>
          <w:ilvl w:val="0"/>
          <w:numId w:val="1"/>
        </w:numPr>
        <w:ind w:left="630" w:hanging="270"/>
        <w:rPr>
          <w:rFonts w:cs="Arial"/>
        </w:rPr>
      </w:pPr>
      <w:r w:rsidRPr="696A1A5A">
        <w:rPr>
          <w:rFonts w:cs="Arial"/>
        </w:rPr>
        <w:t xml:space="preserve">December 12, </w:t>
      </w:r>
      <w:proofErr w:type="gramStart"/>
      <w:r w:rsidRPr="696A1A5A">
        <w:rPr>
          <w:rFonts w:cs="Arial"/>
        </w:rPr>
        <w:t>2022</w:t>
      </w:r>
      <w:proofErr w:type="gramEnd"/>
      <w:r w:rsidRPr="696A1A5A">
        <w:rPr>
          <w:rFonts w:cs="Arial"/>
        </w:rPr>
        <w:t xml:space="preserve"> through January 11, 2023 – on the final statewide transition plan and heightened scrutiny packages</w:t>
      </w:r>
    </w:p>
    <w:p w14:paraId="7B976E15" w14:textId="3BE65049" w:rsidR="00A84FCA" w:rsidRPr="00FC0A21" w:rsidRDefault="00A84FCA" w:rsidP="004427AF">
      <w:pPr>
        <w:pStyle w:val="ListParagraph"/>
        <w:numPr>
          <w:ilvl w:val="0"/>
          <w:numId w:val="30"/>
        </w:numPr>
        <w:ind w:left="360"/>
        <w:rPr>
          <w:rFonts w:cs="Arial"/>
        </w:rPr>
      </w:pPr>
      <w:r w:rsidRPr="00FC0A21">
        <w:rPr>
          <w:rFonts w:cs="Arial"/>
        </w:rPr>
        <w:t xml:space="preserve">At </w:t>
      </w:r>
      <w:r w:rsidR="00631C23" w:rsidRPr="00FC0A21">
        <w:rPr>
          <w:rFonts w:cs="Arial"/>
        </w:rPr>
        <w:t xml:space="preserve">five </w:t>
      </w:r>
      <w:r w:rsidRPr="00FC0A21">
        <w:rPr>
          <w:rFonts w:cs="Arial"/>
        </w:rPr>
        <w:t>public forums:</w:t>
      </w:r>
    </w:p>
    <w:tbl>
      <w:tblPr>
        <w:tblStyle w:val="TableGrid"/>
        <w:tblW w:w="5000" w:type="pct"/>
        <w:tblCellMar>
          <w:top w:w="58" w:type="dxa"/>
          <w:left w:w="115" w:type="dxa"/>
          <w:bottom w:w="72" w:type="dxa"/>
          <w:right w:w="115" w:type="dxa"/>
        </w:tblCellMar>
        <w:tblLook w:val="04A0" w:firstRow="1" w:lastRow="0" w:firstColumn="1" w:lastColumn="0" w:noHBand="0" w:noVBand="1"/>
        <w:tblCaption w:val="Statewide Transition Plan Public Forums"/>
        <w:tblDescription w:val="Dates, times, and locations of public forums at which the state received public testimony regarding drafts of the Statewide Transition Plan"/>
      </w:tblPr>
      <w:tblGrid>
        <w:gridCol w:w="3007"/>
        <w:gridCol w:w="2197"/>
        <w:gridCol w:w="4146"/>
      </w:tblGrid>
      <w:tr w:rsidR="00A84FCA" w:rsidRPr="000422FA" w14:paraId="3BC0FD1F" w14:textId="77777777" w:rsidTr="003A00FB">
        <w:trPr>
          <w:tblHeader/>
        </w:trPr>
        <w:tc>
          <w:tcPr>
            <w:tcW w:w="1608" w:type="pct"/>
            <w:vAlign w:val="bottom"/>
          </w:tcPr>
          <w:p w14:paraId="7B6713F6"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Document</w:t>
            </w:r>
          </w:p>
        </w:tc>
        <w:tc>
          <w:tcPr>
            <w:tcW w:w="1175" w:type="pct"/>
            <w:vAlign w:val="bottom"/>
          </w:tcPr>
          <w:p w14:paraId="3C75B9C8" w14:textId="77777777" w:rsidR="00A84FCA" w:rsidRPr="000422FA" w:rsidRDefault="00A84FCA" w:rsidP="003A00FB">
            <w:pPr>
              <w:pStyle w:val="Default"/>
              <w:spacing w:line="276" w:lineRule="auto"/>
              <w:jc w:val="center"/>
              <w:rPr>
                <w:rFonts w:ascii="Arial" w:hAnsi="Arial" w:cs="Arial"/>
                <w:b/>
                <w:sz w:val="22"/>
                <w:szCs w:val="22"/>
              </w:rPr>
            </w:pPr>
            <w:r w:rsidRPr="000422FA">
              <w:rPr>
                <w:rFonts w:ascii="Arial" w:hAnsi="Arial" w:cs="Arial"/>
                <w:b/>
                <w:sz w:val="22"/>
                <w:szCs w:val="22"/>
              </w:rPr>
              <w:t>Public Forum   Date / Time</w:t>
            </w:r>
          </w:p>
        </w:tc>
        <w:tc>
          <w:tcPr>
            <w:tcW w:w="2217" w:type="pct"/>
            <w:vAlign w:val="bottom"/>
          </w:tcPr>
          <w:p w14:paraId="0B64F96A" w14:textId="77777777" w:rsidR="00A84FCA" w:rsidRPr="000422FA" w:rsidRDefault="00A84FCA" w:rsidP="003A00FB">
            <w:pPr>
              <w:pStyle w:val="Default"/>
              <w:spacing w:line="276" w:lineRule="auto"/>
              <w:jc w:val="center"/>
              <w:rPr>
                <w:rFonts w:ascii="Arial" w:hAnsi="Arial" w:cs="Arial"/>
                <w:b/>
                <w:sz w:val="22"/>
                <w:szCs w:val="22"/>
              </w:rPr>
            </w:pPr>
            <w:r w:rsidRPr="000422FA">
              <w:rPr>
                <w:rFonts w:ascii="Arial" w:hAnsi="Arial" w:cs="Arial"/>
                <w:b/>
                <w:sz w:val="22"/>
                <w:szCs w:val="22"/>
              </w:rPr>
              <w:t>Location</w:t>
            </w:r>
          </w:p>
        </w:tc>
      </w:tr>
      <w:tr w:rsidR="00A84FCA" w:rsidRPr="000422FA" w14:paraId="6D86FE47" w14:textId="77777777" w:rsidTr="003A00FB">
        <w:tc>
          <w:tcPr>
            <w:tcW w:w="1608" w:type="pct"/>
          </w:tcPr>
          <w:p w14:paraId="75BB6F24"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Statewide Transition Plan (STP)</w:t>
            </w:r>
          </w:p>
        </w:tc>
        <w:tc>
          <w:tcPr>
            <w:tcW w:w="1175" w:type="pct"/>
          </w:tcPr>
          <w:p w14:paraId="32A3B2F6" w14:textId="77777777" w:rsidR="00A84FCA" w:rsidRPr="000422FA" w:rsidRDefault="00A84FCA" w:rsidP="003A00FB">
            <w:pPr>
              <w:rPr>
                <w:rFonts w:cs="Arial"/>
              </w:rPr>
            </w:pPr>
            <w:r w:rsidRPr="000422FA">
              <w:rPr>
                <w:rFonts w:cs="Arial"/>
              </w:rPr>
              <w:t>November 6, 2014</w:t>
            </w:r>
          </w:p>
          <w:p w14:paraId="4D155D02" w14:textId="77777777" w:rsidR="00A84FCA" w:rsidRPr="000422FA" w:rsidRDefault="00A84FCA" w:rsidP="003A00FB">
            <w:pPr>
              <w:rPr>
                <w:rFonts w:cs="Arial"/>
              </w:rPr>
            </w:pPr>
            <w:r w:rsidRPr="000422FA">
              <w:rPr>
                <w:rFonts w:cs="Arial"/>
              </w:rPr>
              <w:t>6:00 PM</w:t>
            </w:r>
          </w:p>
        </w:tc>
        <w:tc>
          <w:tcPr>
            <w:tcW w:w="2217" w:type="pct"/>
          </w:tcPr>
          <w:p w14:paraId="479E072B" w14:textId="77777777" w:rsidR="00A84FCA" w:rsidRPr="000422FA" w:rsidRDefault="00A84FCA" w:rsidP="003A00FB">
            <w:pPr>
              <w:rPr>
                <w:rFonts w:cs="Arial"/>
              </w:rPr>
            </w:pPr>
            <w:r w:rsidRPr="000422FA">
              <w:rPr>
                <w:rFonts w:cs="Arial"/>
              </w:rPr>
              <w:t>Massachusetts Bay Community College</w:t>
            </w:r>
          </w:p>
          <w:p w14:paraId="1485D69D" w14:textId="77777777" w:rsidR="00A84FCA" w:rsidRPr="000422FA" w:rsidRDefault="00A84FCA" w:rsidP="003A00FB">
            <w:pPr>
              <w:rPr>
                <w:rFonts w:cs="Arial"/>
              </w:rPr>
            </w:pPr>
            <w:r w:rsidRPr="000422FA">
              <w:rPr>
                <w:rFonts w:cs="Arial"/>
              </w:rPr>
              <w:t>(Wellesley, MA)</w:t>
            </w:r>
          </w:p>
        </w:tc>
      </w:tr>
      <w:tr w:rsidR="00A84FCA" w:rsidRPr="000422FA" w14:paraId="1725B082" w14:textId="77777777" w:rsidTr="003A00FB">
        <w:tc>
          <w:tcPr>
            <w:tcW w:w="1608" w:type="pct"/>
          </w:tcPr>
          <w:p w14:paraId="6ED5E14D"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Statewide Transition Plan (STP)</w:t>
            </w:r>
          </w:p>
        </w:tc>
        <w:tc>
          <w:tcPr>
            <w:tcW w:w="1175" w:type="pct"/>
          </w:tcPr>
          <w:p w14:paraId="1E313C63" w14:textId="77777777" w:rsidR="00A84FCA" w:rsidRPr="000422FA" w:rsidRDefault="00A84FCA" w:rsidP="003A00FB">
            <w:pPr>
              <w:rPr>
                <w:rFonts w:cs="Arial"/>
              </w:rPr>
            </w:pPr>
            <w:r w:rsidRPr="000422FA">
              <w:rPr>
                <w:rFonts w:cs="Arial"/>
              </w:rPr>
              <w:t>November 12, 2014</w:t>
            </w:r>
          </w:p>
          <w:p w14:paraId="61E66DB7" w14:textId="77777777" w:rsidR="00A84FCA" w:rsidRPr="000422FA" w:rsidRDefault="00A84FCA" w:rsidP="003A00FB">
            <w:pPr>
              <w:rPr>
                <w:rFonts w:cs="Arial"/>
              </w:rPr>
            </w:pPr>
            <w:r w:rsidRPr="000422FA">
              <w:rPr>
                <w:rFonts w:cs="Arial"/>
              </w:rPr>
              <w:t>10:30 AM</w:t>
            </w:r>
          </w:p>
        </w:tc>
        <w:tc>
          <w:tcPr>
            <w:tcW w:w="2217" w:type="pct"/>
          </w:tcPr>
          <w:p w14:paraId="600BF7D2" w14:textId="77777777" w:rsidR="00A84FCA" w:rsidRPr="000422FA" w:rsidRDefault="00A84FCA" w:rsidP="003A00FB">
            <w:pPr>
              <w:rPr>
                <w:rFonts w:cs="Arial"/>
              </w:rPr>
            </w:pPr>
            <w:r w:rsidRPr="000422FA">
              <w:rPr>
                <w:rFonts w:cs="Arial"/>
              </w:rPr>
              <w:t>Westfield State University</w:t>
            </w:r>
          </w:p>
          <w:p w14:paraId="462F142C" w14:textId="77777777" w:rsidR="00A84FCA" w:rsidRPr="000422FA" w:rsidRDefault="00A84FCA" w:rsidP="003A00FB">
            <w:pPr>
              <w:rPr>
                <w:rFonts w:cs="Arial"/>
              </w:rPr>
            </w:pPr>
            <w:r w:rsidRPr="000422FA">
              <w:rPr>
                <w:rFonts w:cs="Arial"/>
              </w:rPr>
              <w:t>(Westfield, MA)</w:t>
            </w:r>
          </w:p>
        </w:tc>
      </w:tr>
      <w:tr w:rsidR="00A84FCA" w:rsidRPr="000422FA" w14:paraId="0A1AEEE3" w14:textId="77777777" w:rsidTr="003A00FB">
        <w:tc>
          <w:tcPr>
            <w:tcW w:w="1608" w:type="pct"/>
          </w:tcPr>
          <w:p w14:paraId="1BF11A82"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Non-residential Services Addendum</w:t>
            </w:r>
          </w:p>
        </w:tc>
        <w:tc>
          <w:tcPr>
            <w:tcW w:w="1175" w:type="pct"/>
          </w:tcPr>
          <w:p w14:paraId="0B92B84F" w14:textId="77777777" w:rsidR="00A84FCA" w:rsidRPr="000422FA" w:rsidRDefault="00A84FCA" w:rsidP="003A00FB">
            <w:pPr>
              <w:rPr>
                <w:rFonts w:cs="Arial"/>
              </w:rPr>
            </w:pPr>
            <w:r w:rsidRPr="000422FA">
              <w:rPr>
                <w:rFonts w:cs="Arial"/>
              </w:rPr>
              <w:t>June 1, 2015</w:t>
            </w:r>
          </w:p>
          <w:p w14:paraId="16B56254" w14:textId="77777777" w:rsidR="00A84FCA" w:rsidRPr="000422FA" w:rsidRDefault="00A84FCA" w:rsidP="003A00FB">
            <w:pPr>
              <w:rPr>
                <w:rFonts w:cs="Arial"/>
              </w:rPr>
            </w:pPr>
            <w:r w:rsidRPr="000422FA">
              <w:rPr>
                <w:rFonts w:cs="Arial"/>
              </w:rPr>
              <w:t>1:00 PM</w:t>
            </w:r>
          </w:p>
        </w:tc>
        <w:tc>
          <w:tcPr>
            <w:tcW w:w="2217" w:type="pct"/>
          </w:tcPr>
          <w:p w14:paraId="4789E9C3" w14:textId="77777777" w:rsidR="00A84FCA" w:rsidRPr="000422FA" w:rsidRDefault="00A84FCA" w:rsidP="003A00FB">
            <w:pPr>
              <w:rPr>
                <w:rFonts w:cs="Arial"/>
              </w:rPr>
            </w:pPr>
            <w:r w:rsidRPr="000422FA">
              <w:rPr>
                <w:rFonts w:cs="Arial"/>
              </w:rPr>
              <w:t>Worcester Public Library</w:t>
            </w:r>
          </w:p>
          <w:p w14:paraId="10D9AEFE" w14:textId="77777777" w:rsidR="00A84FCA" w:rsidRPr="000422FA" w:rsidRDefault="00A84FCA" w:rsidP="003A00FB">
            <w:pPr>
              <w:rPr>
                <w:rFonts w:cs="Arial"/>
              </w:rPr>
            </w:pPr>
            <w:r w:rsidRPr="000422FA">
              <w:rPr>
                <w:rFonts w:cs="Arial"/>
              </w:rPr>
              <w:t>(Worcester, MA)</w:t>
            </w:r>
          </w:p>
        </w:tc>
      </w:tr>
      <w:tr w:rsidR="00A84FCA" w:rsidRPr="000422FA" w14:paraId="1D60959A" w14:textId="77777777" w:rsidTr="003A00FB">
        <w:tc>
          <w:tcPr>
            <w:tcW w:w="1608" w:type="pct"/>
          </w:tcPr>
          <w:p w14:paraId="464B3F2D"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 xml:space="preserve">Revised STP </w:t>
            </w:r>
          </w:p>
        </w:tc>
        <w:tc>
          <w:tcPr>
            <w:tcW w:w="1175" w:type="pct"/>
          </w:tcPr>
          <w:p w14:paraId="4FC36A7A" w14:textId="77777777" w:rsidR="00A84FCA" w:rsidRPr="000422FA" w:rsidRDefault="00A84FCA" w:rsidP="003A00FB">
            <w:pPr>
              <w:rPr>
                <w:rFonts w:cs="Arial"/>
              </w:rPr>
            </w:pPr>
            <w:r w:rsidRPr="000422FA">
              <w:rPr>
                <w:rFonts w:cs="Arial"/>
              </w:rPr>
              <w:t>August 3, 2016</w:t>
            </w:r>
          </w:p>
          <w:p w14:paraId="16D8AEF4" w14:textId="77777777" w:rsidR="00A84FCA" w:rsidRPr="000422FA" w:rsidRDefault="00A84FCA" w:rsidP="003A00FB">
            <w:pPr>
              <w:rPr>
                <w:rFonts w:cs="Arial"/>
              </w:rPr>
            </w:pPr>
            <w:r w:rsidRPr="000422FA">
              <w:rPr>
                <w:rFonts w:cs="Arial"/>
              </w:rPr>
              <w:t xml:space="preserve">10:00 AM </w:t>
            </w:r>
          </w:p>
        </w:tc>
        <w:tc>
          <w:tcPr>
            <w:tcW w:w="2217" w:type="pct"/>
          </w:tcPr>
          <w:p w14:paraId="11BC77F2" w14:textId="77777777" w:rsidR="00A84FCA" w:rsidRPr="000422FA" w:rsidRDefault="00A84FCA" w:rsidP="003A00FB">
            <w:pPr>
              <w:rPr>
                <w:rFonts w:cs="Arial"/>
              </w:rPr>
            </w:pPr>
            <w:r w:rsidRPr="000422FA">
              <w:rPr>
                <w:rFonts w:cs="Arial"/>
              </w:rPr>
              <w:t>Worcester Public Library</w:t>
            </w:r>
          </w:p>
          <w:p w14:paraId="06524653" w14:textId="77777777" w:rsidR="00A84FCA" w:rsidRPr="000422FA" w:rsidRDefault="00A84FCA" w:rsidP="003A00FB">
            <w:pPr>
              <w:rPr>
                <w:rFonts w:cs="Arial"/>
              </w:rPr>
            </w:pPr>
            <w:r w:rsidRPr="000422FA">
              <w:rPr>
                <w:rFonts w:cs="Arial"/>
              </w:rPr>
              <w:t>(Worcester, MA)</w:t>
            </w:r>
          </w:p>
        </w:tc>
      </w:tr>
      <w:tr w:rsidR="00631C23" w:rsidRPr="000422FA" w14:paraId="677A0EAA" w14:textId="77777777" w:rsidTr="003A00FB">
        <w:tc>
          <w:tcPr>
            <w:tcW w:w="1608" w:type="pct"/>
          </w:tcPr>
          <w:p w14:paraId="7ED5048B" w14:textId="2398934F" w:rsidR="00631C23" w:rsidRPr="000422FA" w:rsidRDefault="00631C23" w:rsidP="00631C23">
            <w:pPr>
              <w:pStyle w:val="Default"/>
              <w:spacing w:line="276" w:lineRule="auto"/>
              <w:rPr>
                <w:rFonts w:ascii="Arial" w:hAnsi="Arial" w:cs="Arial"/>
                <w:b/>
                <w:sz w:val="22"/>
                <w:szCs w:val="22"/>
              </w:rPr>
            </w:pPr>
            <w:r w:rsidRPr="000422FA">
              <w:rPr>
                <w:rFonts w:ascii="Arial" w:hAnsi="Arial" w:cs="Arial"/>
                <w:b/>
                <w:sz w:val="22"/>
                <w:szCs w:val="22"/>
              </w:rPr>
              <w:t xml:space="preserve">Final STP </w:t>
            </w:r>
          </w:p>
        </w:tc>
        <w:tc>
          <w:tcPr>
            <w:tcW w:w="1175" w:type="pct"/>
          </w:tcPr>
          <w:p w14:paraId="2F581511" w14:textId="77777777" w:rsidR="00631C23" w:rsidRPr="000422FA" w:rsidRDefault="00631C23" w:rsidP="00631C23">
            <w:pPr>
              <w:rPr>
                <w:rFonts w:cs="Arial"/>
              </w:rPr>
            </w:pPr>
            <w:r w:rsidRPr="000422FA">
              <w:rPr>
                <w:rFonts w:cs="Arial"/>
              </w:rPr>
              <w:t>January 5, 2023</w:t>
            </w:r>
          </w:p>
          <w:p w14:paraId="4D1C4F4B" w14:textId="612CFF12" w:rsidR="00631C23" w:rsidRPr="000422FA" w:rsidRDefault="00631C23" w:rsidP="00631C23">
            <w:pPr>
              <w:rPr>
                <w:rFonts w:cs="Arial"/>
              </w:rPr>
            </w:pPr>
            <w:r w:rsidRPr="000422FA">
              <w:rPr>
                <w:rFonts w:cs="Arial"/>
              </w:rPr>
              <w:t>1:00 PM</w:t>
            </w:r>
          </w:p>
        </w:tc>
        <w:tc>
          <w:tcPr>
            <w:tcW w:w="2217" w:type="pct"/>
          </w:tcPr>
          <w:p w14:paraId="164243D6" w14:textId="77777777" w:rsidR="00631C23" w:rsidRPr="000422FA" w:rsidRDefault="00631C23" w:rsidP="00631C23">
            <w:pPr>
              <w:rPr>
                <w:rFonts w:cs="Arial"/>
              </w:rPr>
            </w:pPr>
            <w:r w:rsidRPr="000422FA">
              <w:rPr>
                <w:rFonts w:cs="Arial"/>
              </w:rPr>
              <w:t xml:space="preserve">Virtual </w:t>
            </w:r>
          </w:p>
          <w:p w14:paraId="521AC165" w14:textId="07312A9C" w:rsidR="00631C23" w:rsidRPr="000422FA" w:rsidRDefault="00631C23" w:rsidP="00631C23">
            <w:pPr>
              <w:rPr>
                <w:rFonts w:cs="Arial"/>
              </w:rPr>
            </w:pPr>
            <w:r w:rsidRPr="000422FA">
              <w:rPr>
                <w:rFonts w:cs="Arial"/>
              </w:rPr>
              <w:t>(</w:t>
            </w:r>
            <w:proofErr w:type="gramStart"/>
            <w:r w:rsidRPr="000422FA">
              <w:rPr>
                <w:rFonts w:cs="Arial"/>
              </w:rPr>
              <w:t>via</w:t>
            </w:r>
            <w:proofErr w:type="gramEnd"/>
            <w:r w:rsidRPr="000422FA">
              <w:rPr>
                <w:rFonts w:cs="Arial"/>
              </w:rPr>
              <w:t xml:space="preserve"> Zoom)</w:t>
            </w:r>
          </w:p>
        </w:tc>
      </w:tr>
    </w:tbl>
    <w:p w14:paraId="338E7B69" w14:textId="3E18A3AF" w:rsidR="00A84FCA" w:rsidRPr="00B11E60" w:rsidRDefault="00A84FCA" w:rsidP="00A84FCA">
      <w:pPr>
        <w:spacing w:before="100" w:beforeAutospacing="1"/>
        <w:rPr>
          <w:rFonts w:cs="Arial"/>
        </w:rPr>
      </w:pPr>
      <w:r w:rsidRPr="000422FA">
        <w:rPr>
          <w:rFonts w:cs="Arial"/>
        </w:rPr>
        <w:t xml:space="preserve">The public forums were advertised on October 15, 2014 (for the STP); on May 18, 2015 (for the addendum); on July 8, </w:t>
      </w:r>
      <w:proofErr w:type="gramStart"/>
      <w:r w:rsidRPr="000422FA">
        <w:rPr>
          <w:rFonts w:cs="Arial"/>
        </w:rPr>
        <w:t>2016</w:t>
      </w:r>
      <w:proofErr w:type="gramEnd"/>
      <w:r w:rsidRPr="000422FA">
        <w:rPr>
          <w:rFonts w:cs="Arial"/>
        </w:rPr>
        <w:t xml:space="preserve"> for the revised STP; </w:t>
      </w:r>
      <w:r w:rsidR="00BD5BC6" w:rsidRPr="000422FA">
        <w:rPr>
          <w:rFonts w:cs="Arial"/>
        </w:rPr>
        <w:t xml:space="preserve">and on December 12, 2022 for the final STP </w:t>
      </w:r>
      <w:r w:rsidRPr="000422FA">
        <w:rPr>
          <w:rFonts w:cs="Arial"/>
        </w:rPr>
        <w:t xml:space="preserve">in three newspapers each: the </w:t>
      </w:r>
      <w:r w:rsidRPr="000422FA">
        <w:rPr>
          <w:rFonts w:cs="Arial"/>
          <w:i/>
          <w:iCs/>
        </w:rPr>
        <w:t>Boston Globe</w:t>
      </w:r>
      <w:r w:rsidRPr="000422FA">
        <w:rPr>
          <w:rFonts w:cs="Arial"/>
        </w:rPr>
        <w:t xml:space="preserve">, </w:t>
      </w:r>
      <w:r w:rsidRPr="000422FA">
        <w:rPr>
          <w:rFonts w:cs="Arial"/>
          <w:i/>
          <w:iCs/>
        </w:rPr>
        <w:t>Worcester Telegram</w:t>
      </w:r>
      <w:r w:rsidRPr="000422FA">
        <w:rPr>
          <w:rFonts w:cs="Arial"/>
        </w:rPr>
        <w:t xml:space="preserve"> </w:t>
      </w:r>
      <w:r w:rsidRPr="000422FA">
        <w:rPr>
          <w:rFonts w:cs="Arial"/>
          <w:i/>
          <w:iCs/>
        </w:rPr>
        <w:t>and Gazette</w:t>
      </w:r>
      <w:r w:rsidRPr="000422FA">
        <w:rPr>
          <w:rFonts w:cs="Arial"/>
        </w:rPr>
        <w:t xml:space="preserve">, and the </w:t>
      </w:r>
      <w:r w:rsidRPr="000422FA">
        <w:rPr>
          <w:rFonts w:cs="Arial"/>
          <w:i/>
          <w:iCs/>
        </w:rPr>
        <w:t>Springfield Republican</w:t>
      </w:r>
      <w:r w:rsidRPr="000422FA">
        <w:rPr>
          <w:rFonts w:cs="Arial"/>
        </w:rPr>
        <w:t xml:space="preserve">. The 2014 and 2015 advertisements in each newspaper directed individuals to the EOHHS website at:  for further information; the 2016 </w:t>
      </w:r>
      <w:r w:rsidR="00510329" w:rsidRPr="000422FA">
        <w:rPr>
          <w:rFonts w:cs="Arial"/>
        </w:rPr>
        <w:t xml:space="preserve">and 2022 </w:t>
      </w:r>
      <w:r w:rsidRPr="000422FA">
        <w:rPr>
          <w:rFonts w:cs="Arial"/>
        </w:rPr>
        <w:t>newspaper</w:t>
      </w:r>
      <w:r>
        <w:rPr>
          <w:rFonts w:cs="Arial"/>
        </w:rPr>
        <w:t xml:space="preserve"> advertisements directed individuals to MassHealth’s Statewide Transition Plan website at</w:t>
      </w:r>
      <w:proofErr w:type="gramStart"/>
      <w:r>
        <w:rPr>
          <w:rFonts w:cs="Arial"/>
        </w:rPr>
        <w:t>:</w:t>
      </w:r>
      <w:r w:rsidRPr="00A5503A">
        <w:t xml:space="preserve"> </w:t>
      </w:r>
      <w:r>
        <w:rPr>
          <w:rFonts w:cs="Arial"/>
        </w:rPr>
        <w:t>.</w:t>
      </w:r>
      <w:proofErr w:type="gramEnd"/>
      <w:r>
        <w:rPr>
          <w:rFonts w:cs="Arial"/>
        </w:rPr>
        <w:t xml:space="preserve"> </w:t>
      </w:r>
      <w:r w:rsidRPr="00B11E60">
        <w:rPr>
          <w:rFonts w:cs="Arial"/>
        </w:rPr>
        <w:t>Information in th</w:t>
      </w:r>
      <w:r>
        <w:rPr>
          <w:rFonts w:cs="Arial"/>
        </w:rPr>
        <w:t>e</w:t>
      </w:r>
      <w:r w:rsidRPr="00B11E60">
        <w:rPr>
          <w:rFonts w:cs="Arial"/>
        </w:rPr>
        <w:t xml:space="preserve"> link as of October 15, </w:t>
      </w:r>
      <w:proofErr w:type="gramStart"/>
      <w:r w:rsidRPr="00B11E60">
        <w:rPr>
          <w:rFonts w:cs="Arial"/>
        </w:rPr>
        <w:t>2014</w:t>
      </w:r>
      <w:proofErr w:type="gramEnd"/>
      <w:r w:rsidRPr="00B11E60">
        <w:rPr>
          <w:rFonts w:cs="Arial"/>
        </w:rPr>
        <w:t xml:space="preserve"> included a summary of the new federal rule, the draft statewide transition plan, links to the draft DDS, MRC and EOEA agency-specific transition plans, and provided the mailing address and e-mail address for submission of public comment. </w:t>
      </w:r>
      <w:r>
        <w:rPr>
          <w:rFonts w:cs="Arial"/>
        </w:rPr>
        <w:t>M</w:t>
      </w:r>
      <w:r w:rsidRPr="00B11E60">
        <w:rPr>
          <w:rFonts w:cs="Arial"/>
        </w:rPr>
        <w:t xml:space="preserve">aterials accessible through this link as of May 18, </w:t>
      </w:r>
      <w:proofErr w:type="gramStart"/>
      <w:r w:rsidRPr="00B11E60">
        <w:rPr>
          <w:rFonts w:cs="Arial"/>
        </w:rPr>
        <w:t>2015</w:t>
      </w:r>
      <w:proofErr w:type="gramEnd"/>
      <w:r w:rsidRPr="00B11E60">
        <w:rPr>
          <w:rFonts w:cs="Arial"/>
        </w:rPr>
        <w:t xml:space="preserve"> included the draft addendum to the </w:t>
      </w:r>
      <w:r>
        <w:rPr>
          <w:rFonts w:cs="Arial"/>
        </w:rPr>
        <w:t>STP</w:t>
      </w:r>
      <w:r w:rsidRPr="00B11E60">
        <w:rPr>
          <w:rFonts w:cs="Arial"/>
        </w:rPr>
        <w:t xml:space="preserve">, links to the DDS, MRC and EOEA agency-specific transition plan addenda addressing non-residential service settings, a mailing address and an e-mail address to which public </w:t>
      </w:r>
      <w:r>
        <w:rPr>
          <w:rFonts w:cs="Arial"/>
        </w:rPr>
        <w:t>comment on</w:t>
      </w:r>
      <w:r w:rsidRPr="00B11E60">
        <w:rPr>
          <w:rFonts w:cs="Arial"/>
        </w:rPr>
        <w:t xml:space="preserve"> the transition plan addendum could be sent.</w:t>
      </w:r>
      <w:r>
        <w:rPr>
          <w:rFonts w:cs="Arial"/>
        </w:rPr>
        <w:t xml:space="preserve"> Materials accessible through the link provided in 2016 included the revised STP, a brief summary of changes in the STP, a mailing address and an email address to which public input could be sent, and information regarding the </w:t>
      </w:r>
      <w:r>
        <w:rPr>
          <w:rFonts w:cs="Arial"/>
        </w:rPr>
        <w:lastRenderedPageBreak/>
        <w:t xml:space="preserve">August 3, </w:t>
      </w:r>
      <w:proofErr w:type="gramStart"/>
      <w:r>
        <w:rPr>
          <w:rFonts w:cs="Arial"/>
        </w:rPr>
        <w:t>2016</w:t>
      </w:r>
      <w:proofErr w:type="gramEnd"/>
      <w:r>
        <w:rPr>
          <w:rFonts w:cs="Arial"/>
        </w:rPr>
        <w:t xml:space="preserve"> public forum. </w:t>
      </w:r>
      <w:r w:rsidR="00BF6913" w:rsidRPr="000422FA">
        <w:rPr>
          <w:rFonts w:cs="Arial"/>
        </w:rPr>
        <w:t xml:space="preserve">Finally, materials accessible through the link provided in 2022 included the final STP, a brief summary of changes in the STP, heightened scrutiny evidentiary packages, a mailing address and an email address to which public input could be sent, and information regarding the January 5, </w:t>
      </w:r>
      <w:proofErr w:type="gramStart"/>
      <w:r w:rsidR="00BF6913" w:rsidRPr="000422FA">
        <w:rPr>
          <w:rFonts w:cs="Arial"/>
        </w:rPr>
        <w:t>2023</w:t>
      </w:r>
      <w:proofErr w:type="gramEnd"/>
      <w:r w:rsidR="00BF6913" w:rsidRPr="000422FA">
        <w:rPr>
          <w:rFonts w:cs="Arial"/>
        </w:rPr>
        <w:t xml:space="preserve"> virtual public forum.</w:t>
      </w:r>
    </w:p>
    <w:p w14:paraId="5A09D0E2" w14:textId="14B25C8E" w:rsidR="00D34B43" w:rsidRDefault="00A84FCA" w:rsidP="00A84FCA">
      <w:pPr>
        <w:rPr>
          <w:rFonts w:cs="Arial"/>
        </w:rPr>
      </w:pPr>
      <w:r w:rsidRPr="00B11E60">
        <w:rPr>
          <w:rFonts w:cs="Arial"/>
        </w:rPr>
        <w:t>For the draft STP</w:t>
      </w:r>
      <w:r>
        <w:rPr>
          <w:rFonts w:cs="Arial"/>
        </w:rPr>
        <w:t>,</w:t>
      </w:r>
      <w:r w:rsidRPr="00B11E60">
        <w:rPr>
          <w:rFonts w:cs="Arial"/>
        </w:rPr>
        <w:t xml:space="preserve"> the draft addendum, </w:t>
      </w:r>
      <w:r>
        <w:rPr>
          <w:rFonts w:cs="Arial"/>
        </w:rPr>
        <w:t>the full, revised STP,</w:t>
      </w:r>
      <w:r w:rsidR="006D5943">
        <w:rPr>
          <w:rFonts w:cs="Arial"/>
        </w:rPr>
        <w:t xml:space="preserve"> and the full, final STP</w:t>
      </w:r>
      <w:r w:rsidR="00405286">
        <w:rPr>
          <w:rFonts w:cs="Arial"/>
        </w:rPr>
        <w:t>,</w:t>
      </w:r>
      <w:r>
        <w:rPr>
          <w:rFonts w:cs="Arial"/>
        </w:rPr>
        <w:t xml:space="preserve"> MassHealth </w:t>
      </w:r>
      <w:r w:rsidRPr="00B11E60">
        <w:rPr>
          <w:rFonts w:cs="Arial"/>
        </w:rPr>
        <w:t>also emailed links to the draft documents as well as information on the public comment periods to several hundred people, including key advocacy organizations and the Native American tribal contacts. The transition plan</w:t>
      </w:r>
      <w:r>
        <w:rPr>
          <w:rFonts w:cs="Arial"/>
        </w:rPr>
        <w:t>,</w:t>
      </w:r>
      <w:r w:rsidRPr="00B11E60">
        <w:rPr>
          <w:rFonts w:cs="Arial"/>
        </w:rPr>
        <w:t xml:space="preserve"> the addendum</w:t>
      </w:r>
      <w:r>
        <w:rPr>
          <w:rFonts w:cs="Arial"/>
        </w:rPr>
        <w:t>, and the revised full STP</w:t>
      </w:r>
      <w:r w:rsidRPr="00B11E60">
        <w:rPr>
          <w:rFonts w:cs="Arial"/>
        </w:rPr>
        <w:t xml:space="preserve"> were also discussed during quarterly conference calls with the tribal representatives on October 21, 2014</w:t>
      </w:r>
      <w:r>
        <w:rPr>
          <w:rFonts w:cs="Arial"/>
        </w:rPr>
        <w:t>,</w:t>
      </w:r>
      <w:r w:rsidRPr="00B11E60">
        <w:rPr>
          <w:rFonts w:cs="Arial"/>
        </w:rPr>
        <w:t xml:space="preserve"> July 20, 2015, </w:t>
      </w:r>
      <w:r>
        <w:rPr>
          <w:rFonts w:cs="Arial"/>
        </w:rPr>
        <w:t xml:space="preserve">and August 17, 2016, </w:t>
      </w:r>
      <w:r w:rsidRPr="00B11E60">
        <w:rPr>
          <w:rFonts w:cs="Arial"/>
        </w:rPr>
        <w:t xml:space="preserve">respectively. Pursuant to CMS’s instruction, the newspaper notice, email, and website all provided details for requesting a printed copy of the Non-Residential Services Addendum, and copies of the Non-Residential Services Addenda were made available at the </w:t>
      </w:r>
      <w:r>
        <w:rPr>
          <w:rFonts w:cs="Arial"/>
        </w:rPr>
        <w:t xml:space="preserve">June 1, </w:t>
      </w:r>
      <w:proofErr w:type="gramStart"/>
      <w:r>
        <w:rPr>
          <w:rFonts w:cs="Arial"/>
        </w:rPr>
        <w:t>2015</w:t>
      </w:r>
      <w:proofErr w:type="gramEnd"/>
      <w:r>
        <w:rPr>
          <w:rFonts w:cs="Arial"/>
        </w:rPr>
        <w:t xml:space="preserve"> </w:t>
      </w:r>
      <w:r w:rsidRPr="00B11E60">
        <w:rPr>
          <w:rFonts w:cs="Arial"/>
        </w:rPr>
        <w:t>public forum.</w:t>
      </w:r>
      <w:r>
        <w:rPr>
          <w:rFonts w:cs="Arial"/>
        </w:rPr>
        <w:t xml:space="preserve"> For the July 8 through August 10, </w:t>
      </w:r>
      <w:proofErr w:type="gramStart"/>
      <w:r>
        <w:rPr>
          <w:rFonts w:cs="Arial"/>
        </w:rPr>
        <w:t>2016</w:t>
      </w:r>
      <w:proofErr w:type="gramEnd"/>
      <w:r>
        <w:rPr>
          <w:rFonts w:cs="Arial"/>
        </w:rPr>
        <w:t xml:space="preserve"> public comment period, copies of the revised STP were available at DDS regional offices, by mail upon request, as well as at the August 3, 2016 pu</w:t>
      </w:r>
      <w:r w:rsidRPr="000422FA">
        <w:rPr>
          <w:rFonts w:cs="Arial"/>
        </w:rPr>
        <w:t>blic forum.</w:t>
      </w:r>
      <w:r w:rsidR="00775618" w:rsidRPr="000422FA">
        <w:rPr>
          <w:rFonts w:cs="Arial"/>
        </w:rPr>
        <w:t xml:space="preserve"> For the December 12, </w:t>
      </w:r>
      <w:proofErr w:type="gramStart"/>
      <w:r w:rsidR="00775618" w:rsidRPr="000422FA">
        <w:rPr>
          <w:rFonts w:cs="Arial"/>
        </w:rPr>
        <w:t>2022</w:t>
      </w:r>
      <w:proofErr w:type="gramEnd"/>
      <w:r w:rsidR="00775618" w:rsidRPr="000422FA">
        <w:rPr>
          <w:rFonts w:cs="Arial"/>
        </w:rPr>
        <w:t xml:space="preserve"> through January 11, 2023 public comment period, copies of the full, final STP were available by mail upon request</w:t>
      </w:r>
      <w:r w:rsidR="00D70A16">
        <w:rPr>
          <w:rFonts w:cs="Arial"/>
        </w:rPr>
        <w:t>.</w:t>
      </w:r>
      <w:r w:rsidR="00C16DF0">
        <w:rPr>
          <w:rFonts w:cs="Arial"/>
        </w:rPr>
        <w:t xml:space="preserve">  </w:t>
      </w:r>
      <w:r w:rsidR="00C16DF0" w:rsidRPr="00C16DF0">
        <w:rPr>
          <w:rFonts w:cs="Arial"/>
        </w:rPr>
        <w:t xml:space="preserve">The </w:t>
      </w:r>
      <w:r w:rsidR="00A07806">
        <w:rPr>
          <w:rFonts w:cs="Arial"/>
        </w:rPr>
        <w:t>three</w:t>
      </w:r>
      <w:r w:rsidR="00C16DF0" w:rsidRPr="00C16DF0">
        <w:rPr>
          <w:rFonts w:cs="Arial"/>
        </w:rPr>
        <w:t xml:space="preserve"> newspaper notices, MassHealth STP website, and stakeholder email all included an email address and a physical </w:t>
      </w:r>
      <w:r w:rsidR="00625EFB">
        <w:rPr>
          <w:rFonts w:cs="Arial"/>
        </w:rPr>
        <w:t xml:space="preserve">mailing </w:t>
      </w:r>
      <w:r w:rsidR="00C16DF0" w:rsidRPr="00C16DF0">
        <w:rPr>
          <w:rFonts w:cs="Arial"/>
        </w:rPr>
        <w:t>address by which the public could contact the state</w:t>
      </w:r>
      <w:r w:rsidR="00BF311A">
        <w:rPr>
          <w:rFonts w:cs="Arial"/>
        </w:rPr>
        <w:t xml:space="preserve"> to request </w:t>
      </w:r>
      <w:r w:rsidR="00EA6B51">
        <w:rPr>
          <w:rFonts w:cs="Arial"/>
        </w:rPr>
        <w:t>copies of the STP</w:t>
      </w:r>
      <w:r w:rsidR="00C16DF0" w:rsidRPr="00C16DF0">
        <w:rPr>
          <w:rFonts w:cs="Arial"/>
        </w:rPr>
        <w:t>.</w:t>
      </w:r>
    </w:p>
    <w:p w14:paraId="22E1F180" w14:textId="77777777" w:rsidR="00327DC1" w:rsidRPr="00B11E60" w:rsidRDefault="00327DC1" w:rsidP="00327DC1">
      <w:pPr>
        <w:rPr>
          <w:rFonts w:cs="Arial"/>
        </w:rPr>
      </w:pPr>
      <w:r w:rsidRPr="00B11E60">
        <w:rPr>
          <w:rFonts w:cs="Arial"/>
        </w:rPr>
        <w:t>In addition, DDS engaged stakeholders in a series of meetings and outreach activities:</w:t>
      </w:r>
    </w:p>
    <w:p w14:paraId="50FA7B7D" w14:textId="77777777" w:rsidR="00327DC1" w:rsidRPr="00B11E60" w:rsidRDefault="00327DC1" w:rsidP="004427AF">
      <w:pPr>
        <w:pStyle w:val="ListParagraph"/>
        <w:numPr>
          <w:ilvl w:val="0"/>
          <w:numId w:val="37"/>
        </w:numPr>
        <w:rPr>
          <w:rFonts w:cs="Arial"/>
        </w:rPr>
      </w:pPr>
      <w:r w:rsidRPr="00B11E60">
        <w:rPr>
          <w:rFonts w:cs="Arial"/>
        </w:rPr>
        <w:t xml:space="preserve">Initial introduction of the intent of the HCBS rule and the process DDS was going to use with DDS staff, providers, advocacy groups, individuals and </w:t>
      </w:r>
      <w:proofErr w:type="gramStart"/>
      <w:r w:rsidRPr="00B11E60">
        <w:rPr>
          <w:rFonts w:cs="Arial"/>
        </w:rPr>
        <w:t>families;</w:t>
      </w:r>
      <w:proofErr w:type="gramEnd"/>
    </w:p>
    <w:p w14:paraId="346048E5" w14:textId="46F14FF0" w:rsidR="00327DC1" w:rsidRPr="00B11E60" w:rsidRDefault="00327DC1" w:rsidP="004427AF">
      <w:pPr>
        <w:pStyle w:val="ListParagraph"/>
        <w:numPr>
          <w:ilvl w:val="0"/>
          <w:numId w:val="37"/>
        </w:numPr>
        <w:rPr>
          <w:rFonts w:cs="Arial"/>
        </w:rPr>
      </w:pPr>
      <w:r w:rsidRPr="00B11E60">
        <w:rPr>
          <w:rFonts w:cs="Arial"/>
        </w:rPr>
        <w:t xml:space="preserve">Ten regional meetings (April – June 2014) with providers and DDS staff to provide more </w:t>
      </w:r>
      <w:proofErr w:type="gramStart"/>
      <w:r w:rsidRPr="00B11E60">
        <w:rPr>
          <w:rFonts w:cs="Arial"/>
        </w:rPr>
        <w:t>details;</w:t>
      </w:r>
      <w:proofErr w:type="gramEnd"/>
    </w:p>
    <w:p w14:paraId="6CD954E7" w14:textId="77777777" w:rsidR="00E44D23" w:rsidRDefault="00327DC1" w:rsidP="004427AF">
      <w:pPr>
        <w:pStyle w:val="ListParagraph"/>
        <w:numPr>
          <w:ilvl w:val="0"/>
          <w:numId w:val="37"/>
        </w:numPr>
        <w:rPr>
          <w:rFonts w:cs="Arial"/>
        </w:rPr>
      </w:pPr>
      <w:r w:rsidRPr="00B11E60">
        <w:rPr>
          <w:rFonts w:cs="Arial"/>
        </w:rPr>
        <w:t xml:space="preserve">Formation of a stakeholder group to review and provide input into the draft transition plan. This stakeholder group included representation from several advocacy groups including but not limited to Arc/Massachusetts, Massachusetts Advocates Standing Strong, Disability Law Center, Massachusetts Families Organizing for Change, Massachusetts Developmental Disabilities Council, the Brain Injury Association of Massachusetts, and the Association of Developmental Disability </w:t>
      </w:r>
      <w:proofErr w:type="gramStart"/>
      <w:r w:rsidRPr="00B11E60">
        <w:rPr>
          <w:rFonts w:cs="Arial"/>
        </w:rPr>
        <w:t>Providers;</w:t>
      </w:r>
      <w:proofErr w:type="gramEnd"/>
      <w:r w:rsidRPr="00B11E60">
        <w:rPr>
          <w:rFonts w:cs="Arial"/>
        </w:rPr>
        <w:t xml:space="preserve"> </w:t>
      </w:r>
    </w:p>
    <w:p w14:paraId="689B0858" w14:textId="77777777" w:rsidR="00327DC1" w:rsidRPr="00B11E60" w:rsidRDefault="00E44D23" w:rsidP="004427AF">
      <w:pPr>
        <w:pStyle w:val="ListParagraph"/>
        <w:numPr>
          <w:ilvl w:val="0"/>
          <w:numId w:val="37"/>
        </w:numPr>
        <w:rPr>
          <w:rFonts w:cs="Arial"/>
        </w:rPr>
      </w:pPr>
      <w:r>
        <w:rPr>
          <w:rFonts w:cs="Arial"/>
        </w:rPr>
        <w:t xml:space="preserve">Periodic email updates to stakeholders; </w:t>
      </w:r>
      <w:r w:rsidR="00327DC1" w:rsidRPr="00B11E60">
        <w:rPr>
          <w:rFonts w:cs="Arial"/>
        </w:rPr>
        <w:t xml:space="preserve">and </w:t>
      </w:r>
    </w:p>
    <w:p w14:paraId="1E9BFD80" w14:textId="77777777" w:rsidR="00327DC1" w:rsidRPr="00B11E60" w:rsidRDefault="00A84FCA" w:rsidP="004427AF">
      <w:pPr>
        <w:pStyle w:val="ListParagraph"/>
        <w:numPr>
          <w:ilvl w:val="0"/>
          <w:numId w:val="37"/>
        </w:numPr>
        <w:rPr>
          <w:rFonts w:cs="Arial"/>
        </w:rPr>
      </w:pPr>
      <w:r w:rsidRPr="00956050">
        <w:rPr>
          <w:rFonts w:cs="Arial"/>
        </w:rPr>
        <w:t xml:space="preserve">Information and updates on the DDS website: </w:t>
      </w:r>
      <w:hyperlink r:id="rId19" w:tooltip="A link to the DDS/HCBS Community Rule web page." w:history="1">
        <w:r w:rsidRPr="00956050">
          <w:rPr>
            <w:rStyle w:val="Hyperlink"/>
            <w:rFonts w:cs="Arial"/>
          </w:rPr>
          <w:t>www.mass.gov/lists/ddshcbs-community-rule</w:t>
        </w:r>
      </w:hyperlink>
      <w:r w:rsidR="0041378B">
        <w:rPr>
          <w:rStyle w:val="Hyperlink"/>
        </w:rPr>
        <w:t xml:space="preserve"> </w:t>
      </w:r>
    </w:p>
    <w:p w14:paraId="6158CFB2" w14:textId="77777777" w:rsidR="00327DC1" w:rsidRPr="00B11E60" w:rsidRDefault="00327DC1" w:rsidP="00327DC1">
      <w:pPr>
        <w:rPr>
          <w:rFonts w:cs="Arial"/>
        </w:rPr>
      </w:pPr>
      <w:r w:rsidRPr="00B11E60">
        <w:rPr>
          <w:rFonts w:cs="Arial"/>
        </w:rPr>
        <w:t xml:space="preserve">In total, </w:t>
      </w:r>
      <w:r w:rsidR="006612CB">
        <w:rPr>
          <w:rFonts w:cs="Arial"/>
        </w:rPr>
        <w:t xml:space="preserve">for the initial plan and addendum, </w:t>
      </w:r>
      <w:r w:rsidRPr="00B11E60">
        <w:rPr>
          <w:rFonts w:cs="Arial"/>
        </w:rPr>
        <w:t xml:space="preserve">323 individuals or agencies submitted comments in writing, through email, </w:t>
      </w:r>
      <w:proofErr w:type="gramStart"/>
      <w:r w:rsidRPr="00B11E60">
        <w:rPr>
          <w:rFonts w:cs="Arial"/>
        </w:rPr>
        <w:t>mail</w:t>
      </w:r>
      <w:proofErr w:type="gramEnd"/>
      <w:r w:rsidRPr="00B11E60">
        <w:rPr>
          <w:rFonts w:cs="Arial"/>
        </w:rPr>
        <w:t xml:space="preserve"> and </w:t>
      </w:r>
      <w:r w:rsidR="00C22DB2">
        <w:rPr>
          <w:rFonts w:cs="Arial"/>
        </w:rPr>
        <w:t>oral</w:t>
      </w:r>
      <w:r w:rsidR="00C22DB2" w:rsidRPr="00B11E60">
        <w:rPr>
          <w:rFonts w:cs="Arial"/>
        </w:rPr>
        <w:t xml:space="preserve"> </w:t>
      </w:r>
      <w:r w:rsidRPr="00B11E60">
        <w:rPr>
          <w:rFonts w:cs="Arial"/>
        </w:rPr>
        <w:t>testimony, with nearly 100 people submitting comments through multiple formats. A summary of the comments received and the state’s response to these comments was submitted with the state’s original STP submission and the Addendum addressing non-residential services, each time as Attachment D</w:t>
      </w:r>
      <w:r w:rsidR="00636B13">
        <w:rPr>
          <w:rFonts w:cs="Arial"/>
        </w:rPr>
        <w:t xml:space="preserve"> (see Table 4</w:t>
      </w:r>
      <w:r w:rsidR="008D02B3">
        <w:rPr>
          <w:rFonts w:cs="Arial"/>
        </w:rPr>
        <w:t xml:space="preserve"> for link</w:t>
      </w:r>
      <w:r w:rsidR="00636B13">
        <w:rPr>
          <w:rFonts w:cs="Arial"/>
        </w:rPr>
        <w:t>)</w:t>
      </w:r>
      <w:r w:rsidRPr="00B11E60">
        <w:rPr>
          <w:rFonts w:cs="Arial"/>
        </w:rPr>
        <w:t xml:space="preserve">. </w:t>
      </w:r>
    </w:p>
    <w:p w14:paraId="2724C259" w14:textId="77777777" w:rsidR="006612CB" w:rsidRDefault="006612CB" w:rsidP="00327DC1">
      <w:pPr>
        <w:rPr>
          <w:rFonts w:cs="Arial"/>
        </w:rPr>
      </w:pPr>
      <w:r>
        <w:rPr>
          <w:rFonts w:cs="Arial"/>
        </w:rPr>
        <w:t xml:space="preserve">For the full, revised STP, a total of </w:t>
      </w:r>
      <w:r w:rsidR="00C22DB2">
        <w:rPr>
          <w:rFonts w:cs="Arial"/>
        </w:rPr>
        <w:t xml:space="preserve">37 </w:t>
      </w:r>
      <w:r>
        <w:rPr>
          <w:rFonts w:cs="Arial"/>
        </w:rPr>
        <w:t xml:space="preserve">individuals or agencies submitted comments, including approximately </w:t>
      </w:r>
      <w:r w:rsidR="00C22DB2">
        <w:rPr>
          <w:rFonts w:cs="Arial"/>
        </w:rPr>
        <w:t xml:space="preserve">4 individuals or agencies </w:t>
      </w:r>
      <w:r>
        <w:rPr>
          <w:rFonts w:cs="Arial"/>
        </w:rPr>
        <w:t xml:space="preserve">who submitted comments through multiple formats. A </w:t>
      </w:r>
      <w:r>
        <w:rPr>
          <w:rFonts w:cs="Arial"/>
        </w:rPr>
        <w:lastRenderedPageBreak/>
        <w:t xml:space="preserve">summary of the comments </w:t>
      </w:r>
      <w:r w:rsidR="00192F69">
        <w:rPr>
          <w:rFonts w:cs="Arial"/>
        </w:rPr>
        <w:t>received,</w:t>
      </w:r>
      <w:r>
        <w:rPr>
          <w:rFonts w:cs="Arial"/>
        </w:rPr>
        <w:t xml:space="preserve"> and the state’s response</w:t>
      </w:r>
      <w:r w:rsidR="00192F69">
        <w:rPr>
          <w:rFonts w:cs="Arial"/>
        </w:rPr>
        <w:t>,</w:t>
      </w:r>
      <w:r>
        <w:rPr>
          <w:rFonts w:cs="Arial"/>
        </w:rPr>
        <w:t xml:space="preserve"> </w:t>
      </w:r>
      <w:r w:rsidR="00A24418">
        <w:rPr>
          <w:rFonts w:cs="Arial"/>
        </w:rPr>
        <w:t>accompanies</w:t>
      </w:r>
      <w:r>
        <w:rPr>
          <w:rFonts w:cs="Arial"/>
        </w:rPr>
        <w:t xml:space="preserve"> the state’s submission of the revised STP to CMS.</w:t>
      </w:r>
    </w:p>
    <w:p w14:paraId="18C70272" w14:textId="5FB0AB40" w:rsidR="00E529A5" w:rsidRDefault="00E529A5" w:rsidP="00A84FCA">
      <w:pPr>
        <w:rPr>
          <w:rFonts w:cs="Arial"/>
        </w:rPr>
      </w:pPr>
      <w:r>
        <w:t>The state’s</w:t>
      </w:r>
      <w:r w:rsidR="00425A4E">
        <w:t xml:space="preserve"> full,</w:t>
      </w:r>
      <w:r>
        <w:t xml:space="preserve"> final </w:t>
      </w:r>
      <w:r w:rsidR="00425A4E">
        <w:t>STP</w:t>
      </w:r>
      <w:r>
        <w:t xml:space="preserve">, into which information originally contained in the addendum addressing non-residential service settings has been integrated, and including revisions based on the receipt of CMS feedback and public comments, </w:t>
      </w:r>
      <w:r w:rsidR="002B0363">
        <w:t>was</w:t>
      </w:r>
      <w:r>
        <w:t xml:space="preserve"> posted on the EOHHS website concurrent with submission</w:t>
      </w:r>
      <w:r w:rsidR="00947EE2">
        <w:t xml:space="preserve"> of the </w:t>
      </w:r>
      <w:r w:rsidR="004C0379">
        <w:t>full, revised STP</w:t>
      </w:r>
      <w:r>
        <w:t xml:space="preserve"> to CMS</w:t>
      </w:r>
      <w:r w:rsidR="004C0379">
        <w:t xml:space="preserve"> on December 2, 2022</w:t>
      </w:r>
      <w:r>
        <w:t>.</w:t>
      </w:r>
    </w:p>
    <w:p w14:paraId="0C9D9520" w14:textId="1C827551" w:rsidR="00327DC1" w:rsidRDefault="00DC5938" w:rsidP="00327DC1">
      <w:pPr>
        <w:rPr>
          <w:rFonts w:cs="Arial"/>
        </w:rPr>
      </w:pPr>
      <w:r>
        <w:rPr>
          <w:rFonts w:cs="Arial"/>
        </w:rPr>
        <w:t xml:space="preserve">For the full, final </w:t>
      </w:r>
      <w:r w:rsidRPr="001A5F6A">
        <w:rPr>
          <w:rFonts w:cs="Arial"/>
        </w:rPr>
        <w:t>STP</w:t>
      </w:r>
      <w:r w:rsidR="00D05C66">
        <w:rPr>
          <w:rFonts w:cs="Arial"/>
        </w:rPr>
        <w:t xml:space="preserve"> and Heightened Scrutiny materials</w:t>
      </w:r>
      <w:r w:rsidRPr="001A5F6A">
        <w:rPr>
          <w:rFonts w:cs="Arial"/>
        </w:rPr>
        <w:t xml:space="preserve">, </w:t>
      </w:r>
      <w:r w:rsidR="008E5804">
        <w:rPr>
          <w:rFonts w:cs="Arial"/>
        </w:rPr>
        <w:t xml:space="preserve">the state received </w:t>
      </w:r>
      <w:r w:rsidR="008E5804">
        <w:t>one letter with ten signatories representing advocacy groups</w:t>
      </w:r>
      <w:r w:rsidR="00566FA7">
        <w:t xml:space="preserve"> and</w:t>
      </w:r>
      <w:r w:rsidR="00D05C66">
        <w:t xml:space="preserve"> </w:t>
      </w:r>
      <w:r w:rsidR="0009681A">
        <w:t>17</w:t>
      </w:r>
      <w:r w:rsidR="00B45390">
        <w:t xml:space="preserve"> additi</w:t>
      </w:r>
      <w:r w:rsidR="00CD1C66">
        <w:t>onal</w:t>
      </w:r>
      <w:r w:rsidR="000B7572">
        <w:rPr>
          <w:rFonts w:cs="Arial"/>
        </w:rPr>
        <w:t xml:space="preserve"> </w:t>
      </w:r>
      <w:r w:rsidR="00B45390">
        <w:rPr>
          <w:rFonts w:cs="Arial"/>
        </w:rPr>
        <w:t xml:space="preserve">comments </w:t>
      </w:r>
      <w:r w:rsidR="000B7572">
        <w:rPr>
          <w:rFonts w:cs="Arial"/>
        </w:rPr>
        <w:t>from</w:t>
      </w:r>
      <w:r w:rsidR="00566FA7" w:rsidRPr="00566FA7">
        <w:rPr>
          <w:rFonts w:cs="Arial"/>
        </w:rPr>
        <w:t xml:space="preserve"> </w:t>
      </w:r>
      <w:r w:rsidR="00566FA7">
        <w:rPr>
          <w:rFonts w:cs="Arial"/>
        </w:rPr>
        <w:t>individuals or agencies</w:t>
      </w:r>
      <w:r w:rsidR="00FA00CA">
        <w:rPr>
          <w:rFonts w:cs="Arial"/>
        </w:rPr>
        <w:t xml:space="preserve">, including </w:t>
      </w:r>
      <w:r w:rsidR="00C94E56">
        <w:rPr>
          <w:rFonts w:cs="Arial"/>
        </w:rPr>
        <w:t>approximately 5 individuals or agencies who submitted comments through multiple formats</w:t>
      </w:r>
      <w:r w:rsidR="00566FA7">
        <w:rPr>
          <w:rFonts w:cs="Arial"/>
        </w:rPr>
        <w:t>.</w:t>
      </w:r>
      <w:r w:rsidR="00FA00CA">
        <w:rPr>
          <w:rFonts w:cs="Arial"/>
        </w:rPr>
        <w:t xml:space="preserve">  </w:t>
      </w:r>
      <w:r>
        <w:rPr>
          <w:rFonts w:cs="Arial"/>
        </w:rPr>
        <w:t>A summary of the comments received, and the state’s response, accompanies the state’s submission of the final STP to CMS.</w:t>
      </w:r>
    </w:p>
    <w:p w14:paraId="4FB4A26A" w14:textId="77777777" w:rsidR="00EC0007" w:rsidRPr="008E7527" w:rsidRDefault="00327DC1" w:rsidP="008E7527">
      <w:pPr>
        <w:pStyle w:val="Heading2"/>
      </w:pPr>
      <w:r w:rsidRPr="008E7527">
        <w:t>IV.</w:t>
      </w:r>
      <w:r w:rsidRPr="008E7527">
        <w:tab/>
        <w:t>Systemic Assessment</w:t>
      </w:r>
      <w:r w:rsidR="00CF558B" w:rsidRPr="008E7527">
        <w:br/>
      </w:r>
    </w:p>
    <w:p w14:paraId="7245FF85" w14:textId="763E50F4" w:rsidR="00327DC1" w:rsidRPr="00304C2F" w:rsidRDefault="00327DC1" w:rsidP="00144BE9">
      <w:pPr>
        <w:pStyle w:val="Heading3"/>
        <w:rPr>
          <w:sz w:val="26"/>
          <w:szCs w:val="26"/>
        </w:rPr>
      </w:pPr>
      <w:r w:rsidRPr="00304C2F">
        <w:rPr>
          <w:sz w:val="26"/>
          <w:szCs w:val="26"/>
        </w:rPr>
        <w:t>A.  Waivers operated by the Department of Developmental Services (DDS)</w:t>
      </w:r>
    </w:p>
    <w:p w14:paraId="02689066" w14:textId="77777777" w:rsidR="00327DC1" w:rsidRPr="00B11E60" w:rsidRDefault="00327DC1" w:rsidP="00BD794E">
      <w:r w:rsidRPr="001012DE">
        <w:t>The Department of Developmental Services (DDS) conducted systemic and site-specific</w:t>
      </w:r>
      <w:r w:rsidRPr="00B11E60">
        <w:t xml:space="preserve"> reviews to evaluate compliance with the final rule for the following DDS-operated HCBS Waiver Programs:</w:t>
      </w:r>
    </w:p>
    <w:p w14:paraId="00784EEF" w14:textId="77777777" w:rsidR="00327DC1" w:rsidRPr="004A16ED" w:rsidRDefault="00327DC1" w:rsidP="004427AF">
      <w:pPr>
        <w:pStyle w:val="ListParagraph"/>
        <w:numPr>
          <w:ilvl w:val="0"/>
          <w:numId w:val="2"/>
        </w:numPr>
        <w:spacing w:after="0" w:line="240" w:lineRule="auto"/>
        <w:jc w:val="both"/>
        <w:rPr>
          <w:rFonts w:eastAsia="Arial" w:cs="Arial"/>
          <w:spacing w:val="-1"/>
        </w:rPr>
      </w:pPr>
      <w:r w:rsidRPr="004A16ED">
        <w:rPr>
          <w:rFonts w:eastAsia="Arial" w:cs="Arial"/>
        </w:rPr>
        <w:t>Intensive Supports Waiver for Adults with</w:t>
      </w:r>
      <w:r w:rsidRPr="004A16ED">
        <w:rPr>
          <w:rFonts w:eastAsia="Arial" w:cs="Arial"/>
          <w:spacing w:val="-1"/>
        </w:rPr>
        <w:t xml:space="preserve"> </w:t>
      </w:r>
      <w:r w:rsidRPr="004A16ED">
        <w:rPr>
          <w:rFonts w:eastAsia="Arial" w:cs="Arial"/>
        </w:rPr>
        <w:t>I</w:t>
      </w:r>
      <w:r w:rsidRPr="004A16ED">
        <w:rPr>
          <w:rFonts w:eastAsia="Arial" w:cs="Arial"/>
          <w:spacing w:val="-1"/>
        </w:rPr>
        <w:t>D</w:t>
      </w:r>
      <w:r w:rsidRPr="004A16ED" w:rsidDel="00B05FD8">
        <w:rPr>
          <w:rFonts w:eastAsia="Arial" w:cs="Arial"/>
          <w:spacing w:val="-1"/>
        </w:rPr>
        <w:t xml:space="preserve"> </w:t>
      </w:r>
      <w:r w:rsidRPr="004A16ED">
        <w:rPr>
          <w:rFonts w:eastAsia="Arial" w:cs="Arial"/>
          <w:spacing w:val="-1"/>
        </w:rPr>
        <w:t>(MA.0827)</w:t>
      </w:r>
    </w:p>
    <w:p w14:paraId="2278CAF2" w14:textId="72786AD8" w:rsidR="00327DC1" w:rsidRPr="004A16ED" w:rsidRDefault="00327DC1" w:rsidP="004427AF">
      <w:pPr>
        <w:pStyle w:val="ListParagraph"/>
        <w:numPr>
          <w:ilvl w:val="0"/>
          <w:numId w:val="2"/>
        </w:numPr>
        <w:spacing w:after="0" w:line="240" w:lineRule="auto"/>
        <w:jc w:val="both"/>
        <w:rPr>
          <w:rFonts w:eastAsia="Arial" w:cs="Arial"/>
          <w:spacing w:val="-1"/>
        </w:rPr>
      </w:pPr>
      <w:r w:rsidRPr="004A16ED">
        <w:rPr>
          <w:rFonts w:eastAsia="Arial" w:cs="Arial"/>
          <w:spacing w:val="-1"/>
        </w:rPr>
        <w:t>Community Living Waiver for Adults with ID (MA.0826)</w:t>
      </w:r>
    </w:p>
    <w:p w14:paraId="0F0E5F28" w14:textId="77777777" w:rsidR="00327DC1" w:rsidRPr="004A16ED" w:rsidRDefault="00327DC1" w:rsidP="004427AF">
      <w:pPr>
        <w:pStyle w:val="ListParagraph"/>
        <w:numPr>
          <w:ilvl w:val="0"/>
          <w:numId w:val="2"/>
        </w:numPr>
        <w:spacing w:after="0" w:line="240" w:lineRule="auto"/>
        <w:jc w:val="both"/>
        <w:rPr>
          <w:rFonts w:eastAsia="Arial" w:cs="Arial"/>
          <w:spacing w:val="-1"/>
        </w:rPr>
      </w:pPr>
      <w:r w:rsidRPr="004A16ED">
        <w:rPr>
          <w:rFonts w:eastAsia="Arial" w:cs="Arial"/>
          <w:spacing w:val="-1"/>
        </w:rPr>
        <w:t>Adults Supports Waiver for Adults with ID</w:t>
      </w:r>
      <w:r w:rsidRPr="004A16ED" w:rsidDel="00B05FD8">
        <w:rPr>
          <w:rFonts w:eastAsia="Arial" w:cs="Arial"/>
          <w:spacing w:val="-1"/>
        </w:rPr>
        <w:t xml:space="preserve"> </w:t>
      </w:r>
      <w:r w:rsidRPr="004A16ED">
        <w:rPr>
          <w:rFonts w:eastAsia="Arial" w:cs="Arial"/>
          <w:spacing w:val="-1"/>
        </w:rPr>
        <w:t>(MA.0828)</w:t>
      </w:r>
    </w:p>
    <w:p w14:paraId="35653F89" w14:textId="77777777" w:rsidR="00327DC1" w:rsidRPr="004A16ED" w:rsidRDefault="00327DC1" w:rsidP="004427AF">
      <w:pPr>
        <w:pStyle w:val="ListParagraph"/>
        <w:numPr>
          <w:ilvl w:val="0"/>
          <w:numId w:val="2"/>
        </w:numPr>
        <w:spacing w:after="0" w:line="240" w:lineRule="auto"/>
        <w:jc w:val="both"/>
        <w:rPr>
          <w:rFonts w:eastAsia="Arial" w:cs="Arial"/>
          <w:spacing w:val="-1"/>
        </w:rPr>
      </w:pPr>
      <w:r w:rsidRPr="004A16ED">
        <w:rPr>
          <w:rFonts w:eastAsia="Arial" w:cs="Arial"/>
          <w:spacing w:val="-1"/>
        </w:rPr>
        <w:t>The Children’s Autism Spectrum Disorder Waiver (MA.40207)</w:t>
      </w:r>
    </w:p>
    <w:p w14:paraId="08433D3B" w14:textId="0EDF6C39" w:rsidR="00327DC1" w:rsidRPr="00F40A40" w:rsidRDefault="00327DC1" w:rsidP="004427AF">
      <w:pPr>
        <w:pStyle w:val="ListParagraph"/>
        <w:numPr>
          <w:ilvl w:val="0"/>
          <w:numId w:val="2"/>
        </w:numPr>
        <w:spacing w:after="0" w:line="240" w:lineRule="auto"/>
        <w:jc w:val="both"/>
        <w:rPr>
          <w:rFonts w:eastAsia="Arial" w:cs="Arial"/>
          <w:spacing w:val="-1"/>
        </w:rPr>
      </w:pPr>
      <w:r w:rsidRPr="003B4A8B">
        <w:rPr>
          <w:rFonts w:eastAsia="Arial" w:cs="Arial"/>
          <w:spacing w:val="-1"/>
        </w:rPr>
        <w:t>ABI Residential Habilitation Waiver</w:t>
      </w:r>
      <w:r w:rsidRPr="00F40A40" w:rsidDel="00B05FD8">
        <w:rPr>
          <w:rFonts w:eastAsia="Arial" w:cs="Arial"/>
          <w:spacing w:val="-1"/>
        </w:rPr>
        <w:t xml:space="preserve"> </w:t>
      </w:r>
      <w:r w:rsidRPr="003B4A8B">
        <w:rPr>
          <w:rFonts w:eastAsia="Arial" w:cs="Arial"/>
          <w:spacing w:val="-1"/>
        </w:rPr>
        <w:t>(MA.40701)</w:t>
      </w:r>
    </w:p>
    <w:p w14:paraId="1690C31F" w14:textId="77777777" w:rsidR="00327DC1" w:rsidRPr="004A16ED" w:rsidRDefault="00327DC1" w:rsidP="004427AF">
      <w:pPr>
        <w:pStyle w:val="ListParagraph"/>
        <w:numPr>
          <w:ilvl w:val="0"/>
          <w:numId w:val="2"/>
        </w:numPr>
        <w:spacing w:after="0" w:line="240" w:lineRule="auto"/>
        <w:jc w:val="both"/>
        <w:rPr>
          <w:rFonts w:cs="Arial"/>
        </w:rPr>
      </w:pPr>
      <w:r w:rsidRPr="004A16ED">
        <w:rPr>
          <w:rFonts w:eastAsia="Arial" w:cs="Arial"/>
          <w:spacing w:val="-1"/>
        </w:rPr>
        <w:t>MF</w:t>
      </w:r>
      <w:r w:rsidRPr="004A16ED">
        <w:rPr>
          <w:rFonts w:eastAsia="Arial" w:cs="Arial"/>
        </w:rPr>
        <w:t xml:space="preserve">P </w:t>
      </w:r>
      <w:r w:rsidRPr="004A16ED">
        <w:rPr>
          <w:rFonts w:eastAsia="Arial" w:cs="Arial"/>
          <w:spacing w:val="-1"/>
        </w:rPr>
        <w:t>Residentia</w:t>
      </w:r>
      <w:r w:rsidRPr="004A16ED">
        <w:rPr>
          <w:rFonts w:eastAsia="Arial" w:cs="Arial"/>
        </w:rPr>
        <w:t xml:space="preserve">l </w:t>
      </w:r>
      <w:r w:rsidRPr="004A16ED">
        <w:rPr>
          <w:rFonts w:eastAsia="Arial" w:cs="Arial"/>
          <w:spacing w:val="-1"/>
        </w:rPr>
        <w:t>Support</w:t>
      </w:r>
      <w:r w:rsidRPr="004A16ED">
        <w:rPr>
          <w:rFonts w:eastAsia="Arial" w:cs="Arial"/>
        </w:rPr>
        <w:t xml:space="preserve">s </w:t>
      </w:r>
      <w:r w:rsidRPr="004A16ED">
        <w:rPr>
          <w:rFonts w:eastAsia="Arial" w:cs="Arial"/>
          <w:spacing w:val="-1"/>
        </w:rPr>
        <w:t>Waiver (MA.1028)</w:t>
      </w:r>
    </w:p>
    <w:p w14:paraId="4A9A4910" w14:textId="77777777" w:rsidR="00327DC1" w:rsidRPr="00B11E60" w:rsidRDefault="00327DC1" w:rsidP="00457084">
      <w:pPr>
        <w:spacing w:before="100" w:beforeAutospacing="1"/>
        <w:rPr>
          <w:rFonts w:cs="Arial"/>
        </w:rPr>
      </w:pPr>
      <w:r w:rsidRPr="00B11E60">
        <w:rPr>
          <w:rFonts w:cs="Arial"/>
        </w:rPr>
        <w:t>These waivers support individuals in the community in their own homes or apartments, in homes and apartments with family members and other informal supports, and in 24-hour residential settings. DDS’s transition plan addresses 24-hour residential settings and non-residential supports, including day and employment supports.</w:t>
      </w:r>
    </w:p>
    <w:p w14:paraId="1BF1CB9F" w14:textId="77777777" w:rsidR="00327DC1" w:rsidRPr="00B11E60" w:rsidRDefault="00327DC1" w:rsidP="00327DC1">
      <w:pPr>
        <w:rPr>
          <w:rFonts w:cs="Arial"/>
        </w:rPr>
      </w:pPr>
      <w:r w:rsidRPr="00B11E60">
        <w:rPr>
          <w:rFonts w:cs="Arial"/>
        </w:rPr>
        <w:t xml:space="preserve">A thorough review of DDS’s regulations, policies and procedures, waiver service definitions, provider qualifications, and quality management and oversight systems </w:t>
      </w:r>
      <w:proofErr w:type="gramStart"/>
      <w:r w:rsidRPr="00B11E60">
        <w:rPr>
          <w:rFonts w:cs="Arial"/>
        </w:rPr>
        <w:t>was</w:t>
      </w:r>
      <w:proofErr w:type="gramEnd"/>
      <w:r w:rsidRPr="00B11E60">
        <w:rPr>
          <w:rFonts w:cs="Arial"/>
        </w:rPr>
        <w:t xml:space="preserve"> conducted to determine whether the systemic infrastructure was consistent with the principles of community integration. Listed below are the documents that were reviewed. Where areas for improvement were identified, they are indicated below as part of the transition plan.</w:t>
      </w:r>
    </w:p>
    <w:p w14:paraId="261D6050" w14:textId="77777777" w:rsidR="00327DC1" w:rsidRPr="00B11E60" w:rsidRDefault="00327DC1" w:rsidP="004427AF">
      <w:pPr>
        <w:pStyle w:val="ListParagraph"/>
        <w:numPr>
          <w:ilvl w:val="0"/>
          <w:numId w:val="3"/>
        </w:numPr>
        <w:spacing w:after="0" w:line="240" w:lineRule="auto"/>
        <w:jc w:val="both"/>
        <w:rPr>
          <w:rFonts w:cs="Arial"/>
          <w:u w:val="single"/>
        </w:rPr>
      </w:pPr>
      <w:r w:rsidRPr="00B11E60">
        <w:rPr>
          <w:rFonts w:cs="Arial"/>
        </w:rPr>
        <w:t>DDS regulations 115 CMR 1.00-10.00 were reviewed with an emphasis on the following chapters:</w:t>
      </w:r>
    </w:p>
    <w:p w14:paraId="5004B6D3" w14:textId="77777777" w:rsidR="00327DC1" w:rsidRPr="00B11E60" w:rsidRDefault="00327DC1" w:rsidP="004427AF">
      <w:pPr>
        <w:pStyle w:val="ListParagraph"/>
        <w:numPr>
          <w:ilvl w:val="1"/>
          <w:numId w:val="3"/>
        </w:numPr>
        <w:spacing w:after="0" w:line="240" w:lineRule="auto"/>
        <w:jc w:val="both"/>
        <w:rPr>
          <w:rFonts w:cs="Arial"/>
          <w:u w:val="single"/>
        </w:rPr>
      </w:pPr>
      <w:r w:rsidRPr="00B11E60">
        <w:rPr>
          <w:rFonts w:cs="Arial"/>
        </w:rPr>
        <w:t>115 CMR Chapter 5.00 – Standards to Promote Dignity</w:t>
      </w:r>
    </w:p>
    <w:p w14:paraId="5FE6ADB8" w14:textId="77777777" w:rsidR="00327DC1" w:rsidRPr="00B11E60" w:rsidRDefault="00327DC1" w:rsidP="004427AF">
      <w:pPr>
        <w:pStyle w:val="ListParagraph"/>
        <w:numPr>
          <w:ilvl w:val="1"/>
          <w:numId w:val="3"/>
        </w:numPr>
        <w:spacing w:after="0" w:line="240" w:lineRule="auto"/>
        <w:jc w:val="both"/>
        <w:rPr>
          <w:rFonts w:cs="Arial"/>
          <w:u w:val="single"/>
        </w:rPr>
      </w:pPr>
      <w:r w:rsidRPr="00B11E60">
        <w:rPr>
          <w:rFonts w:cs="Arial"/>
        </w:rPr>
        <w:t>115 CMR Chapter 7.00 – Standards for Services and Supports</w:t>
      </w:r>
    </w:p>
    <w:p w14:paraId="2FA3495B" w14:textId="77777777" w:rsidR="00327DC1" w:rsidRPr="00B11E60" w:rsidRDefault="00327DC1" w:rsidP="004427AF">
      <w:pPr>
        <w:pStyle w:val="ListParagraph"/>
        <w:numPr>
          <w:ilvl w:val="1"/>
          <w:numId w:val="3"/>
        </w:numPr>
        <w:spacing w:after="0" w:line="240" w:lineRule="auto"/>
        <w:jc w:val="both"/>
        <w:rPr>
          <w:rFonts w:cs="Arial"/>
          <w:u w:val="single"/>
        </w:rPr>
      </w:pPr>
      <w:r w:rsidRPr="00B11E60">
        <w:rPr>
          <w:rFonts w:cs="Arial"/>
        </w:rPr>
        <w:t>115 CMR Chapter 8.00 –</w:t>
      </w:r>
      <w:r>
        <w:rPr>
          <w:rFonts w:cs="Arial"/>
        </w:rPr>
        <w:t xml:space="preserve"> </w:t>
      </w:r>
      <w:r w:rsidRPr="00B11E60">
        <w:rPr>
          <w:rFonts w:cs="Arial"/>
        </w:rPr>
        <w:t>Licensure and Certification</w:t>
      </w:r>
    </w:p>
    <w:p w14:paraId="2641F5E9" w14:textId="4B32DF35" w:rsidR="00327DC1" w:rsidRPr="005466F8" w:rsidRDefault="00327DC1" w:rsidP="004427AF">
      <w:pPr>
        <w:pStyle w:val="ListParagraph"/>
        <w:numPr>
          <w:ilvl w:val="0"/>
          <w:numId w:val="3"/>
        </w:numPr>
        <w:spacing w:after="0" w:line="240" w:lineRule="auto"/>
        <w:jc w:val="both"/>
        <w:rPr>
          <w:rFonts w:cs="Arial"/>
          <w:u w:val="single"/>
        </w:rPr>
      </w:pPr>
      <w:r w:rsidRPr="00B11E60">
        <w:rPr>
          <w:rFonts w:cs="Arial"/>
        </w:rPr>
        <w:lastRenderedPageBreak/>
        <w:t>Policies and procedures</w:t>
      </w:r>
      <w:r w:rsidR="005D186E">
        <w:rPr>
          <w:rFonts w:cs="Arial"/>
        </w:rPr>
        <w:t>, including sub-regulatory guidance such as:</w:t>
      </w:r>
    </w:p>
    <w:p w14:paraId="66043A06" w14:textId="4FD0619F" w:rsidR="005D186E" w:rsidRPr="00157048" w:rsidRDefault="005D186E" w:rsidP="004427AF">
      <w:pPr>
        <w:pStyle w:val="ListParagraph"/>
        <w:numPr>
          <w:ilvl w:val="1"/>
          <w:numId w:val="3"/>
        </w:numPr>
        <w:spacing w:after="0" w:line="240" w:lineRule="auto"/>
        <w:jc w:val="both"/>
        <w:rPr>
          <w:rFonts w:cs="Arial"/>
        </w:rPr>
      </w:pPr>
      <w:r w:rsidRPr="00157048">
        <w:rPr>
          <w:rFonts w:cs="Arial"/>
        </w:rPr>
        <w:t>DDS guidance on locks</w:t>
      </w:r>
    </w:p>
    <w:p w14:paraId="4F1999CA" w14:textId="25E0D45D" w:rsidR="005D186E" w:rsidRPr="00157048" w:rsidRDefault="005D186E" w:rsidP="004427AF">
      <w:pPr>
        <w:pStyle w:val="ListParagraph"/>
        <w:numPr>
          <w:ilvl w:val="1"/>
          <w:numId w:val="3"/>
        </w:numPr>
        <w:spacing w:after="0" w:line="240" w:lineRule="auto"/>
        <w:jc w:val="both"/>
        <w:rPr>
          <w:rFonts w:cs="Arial"/>
        </w:rPr>
      </w:pPr>
      <w:r w:rsidRPr="00157048">
        <w:rPr>
          <w:rFonts w:cs="Arial"/>
        </w:rPr>
        <w:t>DDS Individual Support Plan (ISP) Manual</w:t>
      </w:r>
    </w:p>
    <w:p w14:paraId="3D3FBC51" w14:textId="178EFB24" w:rsidR="005D186E" w:rsidRPr="00157048" w:rsidRDefault="00236835" w:rsidP="004427AF">
      <w:pPr>
        <w:pStyle w:val="ListParagraph"/>
        <w:numPr>
          <w:ilvl w:val="1"/>
          <w:numId w:val="3"/>
        </w:numPr>
        <w:spacing w:after="0" w:line="240" w:lineRule="auto"/>
        <w:jc w:val="both"/>
        <w:rPr>
          <w:rFonts w:cs="Arial"/>
        </w:rPr>
      </w:pPr>
      <w:r w:rsidRPr="00157048">
        <w:rPr>
          <w:rFonts w:cs="Arial"/>
        </w:rPr>
        <w:t>DDS guidance on visitation</w:t>
      </w:r>
    </w:p>
    <w:p w14:paraId="3D90BC62" w14:textId="323808A8" w:rsidR="00AB5B52" w:rsidRPr="00157048" w:rsidRDefault="00AB5B52" w:rsidP="004427AF">
      <w:pPr>
        <w:pStyle w:val="ListParagraph"/>
        <w:numPr>
          <w:ilvl w:val="1"/>
          <w:numId w:val="3"/>
        </w:numPr>
        <w:spacing w:after="0" w:line="240" w:lineRule="auto"/>
        <w:jc w:val="both"/>
        <w:rPr>
          <w:rFonts w:cs="Arial"/>
        </w:rPr>
      </w:pPr>
      <w:r w:rsidRPr="00157048">
        <w:rPr>
          <w:rFonts w:cs="Arial"/>
        </w:rPr>
        <w:t xml:space="preserve">DDS </w:t>
      </w:r>
      <w:r w:rsidR="00AB6B26" w:rsidRPr="00157048">
        <w:rPr>
          <w:rFonts w:cs="Arial"/>
        </w:rPr>
        <w:t>Licensure and Certification process</w:t>
      </w:r>
    </w:p>
    <w:p w14:paraId="4B83BAEB" w14:textId="77777777" w:rsidR="00327DC1" w:rsidRPr="00B11E60" w:rsidRDefault="00327DC1" w:rsidP="004427AF">
      <w:pPr>
        <w:pStyle w:val="ListParagraph"/>
        <w:numPr>
          <w:ilvl w:val="0"/>
          <w:numId w:val="3"/>
        </w:numPr>
        <w:spacing w:after="0" w:line="240" w:lineRule="auto"/>
        <w:jc w:val="both"/>
        <w:rPr>
          <w:rFonts w:cs="Arial"/>
          <w:u w:val="single"/>
        </w:rPr>
      </w:pPr>
      <w:r w:rsidRPr="00B11E60">
        <w:rPr>
          <w:rFonts w:cs="Arial"/>
        </w:rPr>
        <w:t>Waiver service definitions</w:t>
      </w:r>
    </w:p>
    <w:p w14:paraId="17A6A9F5" w14:textId="77777777" w:rsidR="00327DC1" w:rsidRPr="00B11E60" w:rsidRDefault="00327DC1" w:rsidP="004427AF">
      <w:pPr>
        <w:pStyle w:val="ListParagraph"/>
        <w:numPr>
          <w:ilvl w:val="0"/>
          <w:numId w:val="3"/>
        </w:numPr>
        <w:spacing w:after="0" w:line="240" w:lineRule="auto"/>
        <w:jc w:val="both"/>
        <w:rPr>
          <w:rFonts w:cs="Arial"/>
          <w:u w:val="single"/>
        </w:rPr>
      </w:pPr>
      <w:r w:rsidRPr="00B11E60">
        <w:rPr>
          <w:rFonts w:cs="Arial"/>
        </w:rPr>
        <w:t>Provider qualifications – including review of the open bid process for providers</w:t>
      </w:r>
    </w:p>
    <w:p w14:paraId="6FD2D4A6" w14:textId="77777777" w:rsidR="00327DC1" w:rsidRPr="00B11E60" w:rsidRDefault="00327DC1" w:rsidP="004427AF">
      <w:pPr>
        <w:pStyle w:val="ListParagraph"/>
        <w:numPr>
          <w:ilvl w:val="0"/>
          <w:numId w:val="3"/>
        </w:numPr>
        <w:spacing w:after="0" w:line="240" w:lineRule="auto"/>
        <w:jc w:val="both"/>
        <w:rPr>
          <w:rFonts w:cs="Arial"/>
          <w:u w:val="single"/>
        </w:rPr>
      </w:pPr>
      <w:r w:rsidRPr="00B11E60">
        <w:rPr>
          <w:rFonts w:cs="Arial"/>
        </w:rPr>
        <w:t>Quality management and oversight systems – including review of the licensing and certification process</w:t>
      </w:r>
    </w:p>
    <w:p w14:paraId="0634CA70" w14:textId="77777777" w:rsidR="005A02F3" w:rsidRPr="009B6E6A" w:rsidRDefault="005A02F3" w:rsidP="00304C2F">
      <w:pPr>
        <w:pStyle w:val="Heading3"/>
        <w:rPr>
          <w:rStyle w:val="Strong"/>
          <w:bCs w:val="0"/>
        </w:rPr>
      </w:pPr>
      <w:r w:rsidRPr="009B6E6A">
        <w:rPr>
          <w:rStyle w:val="Strong"/>
          <w:b/>
          <w:bCs w:val="0"/>
        </w:rPr>
        <w:t xml:space="preserve">Review of Waivers Serving Adults </w:t>
      </w:r>
    </w:p>
    <w:p w14:paraId="3246CDFB" w14:textId="77777777" w:rsidR="00327DC1" w:rsidRPr="00B11E60" w:rsidRDefault="00327DC1" w:rsidP="00327DC1">
      <w:pPr>
        <w:rPr>
          <w:rFonts w:cs="Arial"/>
        </w:rPr>
      </w:pPr>
      <w:r w:rsidRPr="00B11E60">
        <w:rPr>
          <w:rFonts w:cs="Arial"/>
        </w:rPr>
        <w:t xml:space="preserve">DDS conducted separate review processes on 24-hour residential settings and non-residential supports (day and employment supports). In addition to this basic separation, in reviewing the status of DDS’s compliance with the requirements of the HCBS Community Rule for non-residential services, we found it helpful to separate out our analysis by employment services and what DDS terms Community-Based Day Services (CBDS). While some individuals in CBDS may be on a pathway to employment, many individuals served are of retirement age or are otherwise not participating in employment-focused activities. Therefore, the focus of many CBDS programs is on meaningful day activities with a variety of individualized goals. In addition, DDS is at different stages of evolution with respect to these two discrete service types. This transition plan therefore reports separately on progress towards achieving the outcomes articulated in the Community Rule for employment and CBDS services. </w:t>
      </w:r>
    </w:p>
    <w:p w14:paraId="6158DEDD" w14:textId="0D3EC419" w:rsidR="00327DC1" w:rsidRPr="00B11E60" w:rsidRDefault="00327DC1" w:rsidP="00327DC1">
      <w:pPr>
        <w:rPr>
          <w:rFonts w:cs="Arial"/>
        </w:rPr>
      </w:pPr>
      <w:r w:rsidRPr="00B11E60">
        <w:rPr>
          <w:rFonts w:cs="Arial"/>
        </w:rPr>
        <w:t>Specifically, for DDS’s actions to ensure compliance with the Community Rule with respect to employment settings, the transition plan relies heavily on the “Blueprint for Success: Employing Individuals with Intellectual Disabilities in Massachusetts” (</w:t>
      </w:r>
      <w:r w:rsidR="00636B13">
        <w:rPr>
          <w:rFonts w:cs="Arial"/>
        </w:rPr>
        <w:t>see Table 4</w:t>
      </w:r>
      <w:r w:rsidR="003F56DF">
        <w:rPr>
          <w:rFonts w:cs="Arial"/>
        </w:rPr>
        <w:t xml:space="preserve"> for link</w:t>
      </w:r>
      <w:r w:rsidRPr="00B11E60">
        <w:rPr>
          <w:rFonts w:cs="Arial"/>
        </w:rPr>
        <w:t>) and progress reports associated with it. With respect to CBDS services, this transition plan outlines the steps DDS has taken to identify and implement strategies needed to enhance outcomes for individuals in these settings to ensure full compliance with the Community Rule.</w:t>
      </w:r>
    </w:p>
    <w:p w14:paraId="296AA578" w14:textId="77777777" w:rsidR="00327DC1" w:rsidRPr="0063026F" w:rsidRDefault="00327DC1" w:rsidP="0063026F">
      <w:pPr>
        <w:rPr>
          <w:rStyle w:val="Strong"/>
        </w:rPr>
      </w:pPr>
      <w:r w:rsidRPr="0063026F">
        <w:rPr>
          <w:rStyle w:val="Strong"/>
        </w:rPr>
        <w:t>Review of the Children’s Autism Waiver</w:t>
      </w:r>
    </w:p>
    <w:p w14:paraId="7B5AB69F" w14:textId="68778DF4" w:rsidR="00327DC1" w:rsidRDefault="00327DC1" w:rsidP="00327DC1">
      <w:pPr>
        <w:rPr>
          <w:rFonts w:cs="Arial"/>
        </w:rPr>
      </w:pPr>
      <w:r w:rsidRPr="00B11E60">
        <w:rPr>
          <w:rFonts w:cs="Arial"/>
        </w:rPr>
        <w:t xml:space="preserve">Since the services and method of delivery are so unique, </w:t>
      </w:r>
      <w:r w:rsidR="00123AC2">
        <w:rPr>
          <w:rFonts w:cs="Arial"/>
        </w:rPr>
        <w:t xml:space="preserve">DDS conducted </w:t>
      </w:r>
      <w:r w:rsidRPr="00B11E60">
        <w:rPr>
          <w:rFonts w:cs="Arial"/>
        </w:rPr>
        <w:t>a separate assessment of the services and supports provided in the Children’s Autism waiver. The Autism waiver supports children who reside in their family home and receive services either within their family home, or in the broader community with the explicit goal of full and appropriate integration of the child into his or her community. DDS review</w:t>
      </w:r>
      <w:r w:rsidR="00123AC2">
        <w:rPr>
          <w:rFonts w:cs="Arial"/>
        </w:rPr>
        <w:t>ed</w:t>
      </w:r>
      <w:r w:rsidRPr="00B11E60">
        <w:rPr>
          <w:rFonts w:cs="Arial"/>
        </w:rPr>
        <w:t xml:space="preserve"> the specific settings in which Autism waiver services are delivered. All waiver services are delivered either in the family home or in community settings in which children typically socialize</w:t>
      </w:r>
      <w:r w:rsidR="002E6451">
        <w:rPr>
          <w:rFonts w:cs="Arial"/>
        </w:rPr>
        <w:t>,</w:t>
      </w:r>
      <w:r w:rsidRPr="00B11E60">
        <w:rPr>
          <w:rFonts w:cs="Arial"/>
        </w:rPr>
        <w:t xml:space="preserve"> for example in parks, YMCA</w:t>
      </w:r>
      <w:r w:rsidR="004D169D">
        <w:rPr>
          <w:rFonts w:cs="Arial"/>
        </w:rPr>
        <w:t>s</w:t>
      </w:r>
      <w:r w:rsidRPr="00B11E60">
        <w:rPr>
          <w:rFonts w:cs="Arial"/>
        </w:rPr>
        <w:t xml:space="preserve">, Boys and Girls Clubs, libraries, grocery stores, and outdoor public events, as well as other kinds of natural environments where children of similar chronological age are present in the community. Waiver services delivered in the community are designed to help participants develop and maintain skills to </w:t>
      </w:r>
      <w:proofErr w:type="gramStart"/>
      <w:r w:rsidRPr="00B11E60">
        <w:rPr>
          <w:rFonts w:cs="Arial"/>
        </w:rPr>
        <w:t>more fully and effectively participate in community activities</w:t>
      </w:r>
      <w:proofErr w:type="gramEnd"/>
      <w:r w:rsidRPr="00B11E60">
        <w:rPr>
          <w:rFonts w:cs="Arial"/>
        </w:rPr>
        <w:t xml:space="preserve">. Through this review, DDS confirmed that all services within the Autism waiver are, by their nature and under the terms of the waiver, available and delivered only in settings that are fully integrated into the community. </w:t>
      </w:r>
      <w:r w:rsidRPr="00B11E60">
        <w:rPr>
          <w:rFonts w:cs="Arial"/>
        </w:rPr>
        <w:lastRenderedPageBreak/>
        <w:t xml:space="preserve">DDS will undertake on-going review of new planned </w:t>
      </w:r>
      <w:r w:rsidR="00E15280">
        <w:rPr>
          <w:rFonts w:cs="Arial"/>
        </w:rPr>
        <w:t xml:space="preserve">Autism </w:t>
      </w:r>
      <w:r w:rsidRPr="00B11E60">
        <w:rPr>
          <w:rFonts w:cs="Arial"/>
        </w:rPr>
        <w:t>waiver service settings</w:t>
      </w:r>
      <w:r w:rsidR="002E6451">
        <w:rPr>
          <w:rFonts w:cs="Arial"/>
        </w:rPr>
        <w:t>, if any are developed,</w:t>
      </w:r>
      <w:r w:rsidRPr="00B11E60">
        <w:rPr>
          <w:rFonts w:cs="Arial"/>
        </w:rPr>
        <w:t xml:space="preserve"> to ensure compliance </w:t>
      </w:r>
      <w:r w:rsidR="00E15280">
        <w:rPr>
          <w:rFonts w:cs="Arial"/>
        </w:rPr>
        <w:t>with</w:t>
      </w:r>
      <w:r w:rsidR="005A02F3">
        <w:rPr>
          <w:rFonts w:cs="Arial"/>
        </w:rPr>
        <w:t xml:space="preserve"> the CMS Community Rule</w:t>
      </w:r>
      <w:r w:rsidRPr="00B11E60">
        <w:rPr>
          <w:rFonts w:cs="Arial"/>
        </w:rPr>
        <w:t>.</w:t>
      </w:r>
    </w:p>
    <w:p w14:paraId="13B51DD4" w14:textId="4C9BA9CF" w:rsidR="000E710F" w:rsidRDefault="000E710F" w:rsidP="00327DC1">
      <w:pPr>
        <w:rPr>
          <w:rFonts w:cs="Arial"/>
        </w:rPr>
      </w:pPr>
      <w:r>
        <w:rPr>
          <w:rFonts w:cs="Arial"/>
        </w:rPr>
        <w:br w:type="page"/>
      </w:r>
    </w:p>
    <w:p w14:paraId="621CDD48" w14:textId="330A8D95" w:rsidR="00327DC1" w:rsidRPr="00A37881" w:rsidRDefault="008C295F" w:rsidP="00144BE9">
      <w:pPr>
        <w:pStyle w:val="Heading3"/>
      </w:pPr>
      <w:r>
        <w:lastRenderedPageBreak/>
        <w:t xml:space="preserve">1. </w:t>
      </w:r>
      <w:r w:rsidR="00AF005E" w:rsidRPr="00A37881">
        <w:t>DDS Regulations</w:t>
      </w:r>
      <w:r w:rsidR="00327DC1" w:rsidRPr="00A37881">
        <w:t xml:space="preserve"> (See </w:t>
      </w:r>
      <w:r w:rsidR="005A02F3" w:rsidRPr="00A37881">
        <w:t>Table 1</w:t>
      </w:r>
      <w:r w:rsidR="00EF6B1A" w:rsidRPr="00A37881">
        <w:t>.</w:t>
      </w:r>
      <w:r w:rsidR="005A02F3" w:rsidRPr="00A37881">
        <w:t xml:space="preserve"> </w:t>
      </w:r>
      <w:r w:rsidR="00DB52E3" w:rsidRPr="00A37881">
        <w:t>Regulatory Crosswalk</w:t>
      </w:r>
      <w:r w:rsidR="00327DC1" w:rsidRPr="00A37881">
        <w:t>)</w:t>
      </w:r>
    </w:p>
    <w:p w14:paraId="0862062D" w14:textId="77777777" w:rsidR="0023437F" w:rsidRPr="00157048" w:rsidRDefault="00327DC1" w:rsidP="0023437F">
      <w:pPr>
        <w:contextualSpacing/>
        <w:rPr>
          <w:rStyle w:val="SubtleEmphasis"/>
        </w:rPr>
      </w:pPr>
      <w:r w:rsidRPr="00157048">
        <w:rPr>
          <w:rStyle w:val="SubtleEmphasis"/>
        </w:rPr>
        <w:t xml:space="preserve">115 CMR Chapter 5.00 – </w:t>
      </w:r>
      <w:r w:rsidR="0023437F" w:rsidRPr="00157048">
        <w:rPr>
          <w:rStyle w:val="SubtleEmphasis"/>
        </w:rPr>
        <w:t>Standards to Promote Dignity</w:t>
      </w:r>
      <w:r w:rsidRPr="00157048">
        <w:rPr>
          <w:rStyle w:val="SubtleEmphasis"/>
        </w:rPr>
        <w:t xml:space="preserve">  </w:t>
      </w:r>
    </w:p>
    <w:p w14:paraId="7E053174" w14:textId="29404EB1" w:rsidR="00AD3261" w:rsidRPr="002550CB" w:rsidRDefault="00327DC1" w:rsidP="0023437F">
      <w:pPr>
        <w:rPr>
          <w:rFonts w:cs="Arial"/>
          <w:i/>
          <w:sz w:val="24"/>
          <w:szCs w:val="24"/>
        </w:rPr>
      </w:pPr>
      <w:r w:rsidRPr="0023437F">
        <w:rPr>
          <w:rFonts w:cs="Arial"/>
        </w:rPr>
        <w:t xml:space="preserve">Chapter 5.00 articulates the outcomes regarding </w:t>
      </w:r>
      <w:r w:rsidR="00566A1F">
        <w:rPr>
          <w:rFonts w:cs="Arial"/>
        </w:rPr>
        <w:t xml:space="preserve">community </w:t>
      </w:r>
      <w:r w:rsidRPr="0023437F">
        <w:rPr>
          <w:rFonts w:cs="Arial"/>
        </w:rPr>
        <w:t xml:space="preserve">integration, choice, and quality of life </w:t>
      </w:r>
      <w:r w:rsidR="00D311D5">
        <w:rPr>
          <w:rFonts w:cs="Arial"/>
        </w:rPr>
        <w:t xml:space="preserve">consistent with the </w:t>
      </w:r>
      <w:r w:rsidR="00B76086">
        <w:rPr>
          <w:rFonts w:cs="Arial"/>
        </w:rPr>
        <w:t>Community R</w:t>
      </w:r>
      <w:r w:rsidR="00B76086" w:rsidRPr="0023437F">
        <w:rPr>
          <w:rFonts w:cs="Arial"/>
        </w:rPr>
        <w:t>ule</w:t>
      </w:r>
      <w:r w:rsidRPr="0023437F">
        <w:rPr>
          <w:rFonts w:cs="Arial"/>
        </w:rPr>
        <w:t xml:space="preserve">.  </w:t>
      </w:r>
      <w:r w:rsidR="002F727D">
        <w:rPr>
          <w:rFonts w:cs="Arial"/>
        </w:rPr>
        <w:t>I</w:t>
      </w:r>
      <w:r w:rsidR="00B56E8C">
        <w:rPr>
          <w:rFonts w:cs="Arial"/>
        </w:rPr>
        <w:t>n</w:t>
      </w:r>
      <w:r w:rsidR="002F727D">
        <w:rPr>
          <w:rFonts w:cs="Arial"/>
        </w:rPr>
        <w:t xml:space="preserve"> February 2020 </w:t>
      </w:r>
      <w:r w:rsidR="004D169D" w:rsidRPr="005A7223">
        <w:rPr>
          <w:rFonts w:cs="Arial"/>
        </w:rPr>
        <w:t>DDS</w:t>
      </w:r>
      <w:r w:rsidR="008167B6">
        <w:rPr>
          <w:rFonts w:cs="Arial"/>
        </w:rPr>
        <w:t xml:space="preserve"> promulgated</w:t>
      </w:r>
      <w:r w:rsidR="004D169D" w:rsidRPr="005A7223">
        <w:rPr>
          <w:rFonts w:cs="Arial"/>
        </w:rPr>
        <w:t xml:space="preserve"> amendments to Chapter </w:t>
      </w:r>
      <w:r w:rsidR="009F5522" w:rsidRPr="005A7223">
        <w:rPr>
          <w:rFonts w:cs="Arial"/>
        </w:rPr>
        <w:t>5.00</w:t>
      </w:r>
      <w:r w:rsidR="009F5522" w:rsidRPr="0023437F">
        <w:rPr>
          <w:rFonts w:cs="Arial"/>
        </w:rPr>
        <w:t xml:space="preserve"> to</w:t>
      </w:r>
      <w:r w:rsidR="004D169D" w:rsidRPr="0023437F">
        <w:rPr>
          <w:rFonts w:cs="Arial"/>
        </w:rPr>
        <w:t xml:space="preserve"> replace </w:t>
      </w:r>
      <w:r w:rsidR="00405186">
        <w:rPr>
          <w:rFonts w:cs="Arial"/>
        </w:rPr>
        <w:t>the previous</w:t>
      </w:r>
      <w:r w:rsidR="00405186" w:rsidRPr="0023437F">
        <w:rPr>
          <w:rFonts w:cs="Arial"/>
        </w:rPr>
        <w:t xml:space="preserve"> </w:t>
      </w:r>
      <w:r w:rsidR="006C0A54">
        <w:rPr>
          <w:rFonts w:cs="Arial"/>
        </w:rPr>
        <w:t>“Behavior Modification”</w:t>
      </w:r>
      <w:r w:rsidR="004D169D" w:rsidRPr="0023437F">
        <w:rPr>
          <w:rFonts w:cs="Arial"/>
        </w:rPr>
        <w:t xml:space="preserve"> standards with a system</w:t>
      </w:r>
      <w:r w:rsidR="00E67BA9" w:rsidRPr="0023437F">
        <w:rPr>
          <w:rFonts w:cs="Arial"/>
        </w:rPr>
        <w:t xml:space="preserve"> of </w:t>
      </w:r>
      <w:r w:rsidR="006C0A54">
        <w:rPr>
          <w:rFonts w:cs="Arial"/>
        </w:rPr>
        <w:t>“</w:t>
      </w:r>
      <w:r w:rsidR="00E67BA9" w:rsidRPr="0023437F">
        <w:rPr>
          <w:rFonts w:cs="Arial"/>
        </w:rPr>
        <w:t>Positive Behavior Supports,</w:t>
      </w:r>
      <w:r w:rsidR="006C0A54">
        <w:rPr>
          <w:rFonts w:cs="Arial"/>
        </w:rPr>
        <w:t>”</w:t>
      </w:r>
      <w:r w:rsidR="00E67BA9" w:rsidRPr="0023437F">
        <w:rPr>
          <w:rFonts w:cs="Arial"/>
        </w:rPr>
        <w:t xml:space="preserve"> a widely accepted and utilized framework for both systems change and individual treatment that supports individuals to grow and reach their maximum potential.</w:t>
      </w:r>
      <w:r w:rsidR="004D169D" w:rsidRPr="0023437F">
        <w:rPr>
          <w:rFonts w:cs="Arial"/>
        </w:rPr>
        <w:t xml:space="preserve"> </w:t>
      </w:r>
      <w:r w:rsidRPr="0023437F">
        <w:rPr>
          <w:rFonts w:cs="Arial"/>
        </w:rPr>
        <w:t xml:space="preserve">This </w:t>
      </w:r>
      <w:r w:rsidR="009F5522" w:rsidRPr="0023437F">
        <w:rPr>
          <w:rFonts w:cs="Arial"/>
        </w:rPr>
        <w:t xml:space="preserve">approach </w:t>
      </w:r>
      <w:r w:rsidR="009F5522">
        <w:rPr>
          <w:rFonts w:cs="Arial"/>
        </w:rPr>
        <w:t>limits</w:t>
      </w:r>
      <w:r w:rsidR="00D311D5">
        <w:rPr>
          <w:rFonts w:cs="Arial"/>
        </w:rPr>
        <w:t xml:space="preserve"> the use of restraint and </w:t>
      </w:r>
      <w:r w:rsidR="00780DCF">
        <w:rPr>
          <w:rFonts w:cs="Arial"/>
        </w:rPr>
        <w:t xml:space="preserve">prohibits </w:t>
      </w:r>
      <w:r w:rsidR="00566A1F">
        <w:rPr>
          <w:rFonts w:cs="Arial"/>
        </w:rPr>
        <w:t>highly restrictive interventions</w:t>
      </w:r>
      <w:r w:rsidRPr="0023437F">
        <w:rPr>
          <w:rFonts w:cs="Arial"/>
        </w:rPr>
        <w:t xml:space="preserve"> </w:t>
      </w:r>
      <w:r w:rsidR="00084927">
        <w:rPr>
          <w:rFonts w:cs="Arial"/>
        </w:rPr>
        <w:t>The a</w:t>
      </w:r>
      <w:r w:rsidR="00E67BA9" w:rsidRPr="0023437F">
        <w:rPr>
          <w:rFonts w:cs="Arial"/>
        </w:rPr>
        <w:t xml:space="preserve">mendments to </w:t>
      </w:r>
      <w:r w:rsidR="00D311D5">
        <w:rPr>
          <w:rFonts w:cs="Arial"/>
        </w:rPr>
        <w:t xml:space="preserve">the </w:t>
      </w:r>
      <w:r w:rsidR="00E67BA9" w:rsidRPr="0023437F">
        <w:rPr>
          <w:rFonts w:cs="Arial"/>
        </w:rPr>
        <w:t xml:space="preserve">Chapter 5.00 regulations codify the implementation of Positive Behavior Supports </w:t>
      </w:r>
      <w:r w:rsidR="002E6451" w:rsidRPr="0023437F">
        <w:rPr>
          <w:rFonts w:cs="Arial"/>
        </w:rPr>
        <w:t xml:space="preserve">and confirm </w:t>
      </w:r>
      <w:r w:rsidR="00D311D5">
        <w:rPr>
          <w:rFonts w:cs="Arial"/>
        </w:rPr>
        <w:t>conformity</w:t>
      </w:r>
      <w:r w:rsidR="002E6451" w:rsidRPr="0023437F">
        <w:rPr>
          <w:rFonts w:cs="Arial"/>
        </w:rPr>
        <w:t xml:space="preserve"> of </w:t>
      </w:r>
      <w:r w:rsidR="00D311D5" w:rsidRPr="0023437F">
        <w:rPr>
          <w:rFonts w:cs="Arial"/>
        </w:rPr>
        <w:t>th</w:t>
      </w:r>
      <w:r w:rsidR="00D311D5">
        <w:rPr>
          <w:rFonts w:cs="Arial"/>
        </w:rPr>
        <w:t>e</w:t>
      </w:r>
      <w:r w:rsidR="00D311D5" w:rsidRPr="0023437F">
        <w:rPr>
          <w:rFonts w:cs="Arial"/>
        </w:rPr>
        <w:t xml:space="preserve"> </w:t>
      </w:r>
      <w:r w:rsidR="002E6451" w:rsidRPr="0023437F">
        <w:rPr>
          <w:rFonts w:cs="Arial"/>
        </w:rPr>
        <w:t>regulation</w:t>
      </w:r>
      <w:r w:rsidR="00D311D5">
        <w:rPr>
          <w:rFonts w:cs="Arial"/>
        </w:rPr>
        <w:t>s</w:t>
      </w:r>
      <w:r w:rsidR="002E6451" w:rsidRPr="0023437F">
        <w:rPr>
          <w:rFonts w:cs="Arial"/>
        </w:rPr>
        <w:t xml:space="preserve"> with the Community Rule</w:t>
      </w:r>
      <w:r w:rsidR="00681898">
        <w:rPr>
          <w:rFonts w:cs="Arial"/>
        </w:rPr>
        <w:t>’s</w:t>
      </w:r>
      <w:r w:rsidR="00D311D5">
        <w:rPr>
          <w:rFonts w:cs="Arial"/>
        </w:rPr>
        <w:t xml:space="preserve"> protection of </w:t>
      </w:r>
      <w:r w:rsidR="009F5522">
        <w:rPr>
          <w:rFonts w:cs="Arial"/>
        </w:rPr>
        <w:t>participant’s</w:t>
      </w:r>
      <w:r w:rsidR="00D311D5">
        <w:rPr>
          <w:rFonts w:cs="Arial"/>
        </w:rPr>
        <w:t xml:space="preserve"> freedom from restraint and coercion</w:t>
      </w:r>
      <w:r w:rsidR="00681898">
        <w:rPr>
          <w:rFonts w:cs="Arial"/>
        </w:rPr>
        <w:t>.</w:t>
      </w:r>
      <w:r w:rsidR="0023437F" w:rsidRPr="0023437F">
        <w:rPr>
          <w:rFonts w:cs="Arial"/>
        </w:rPr>
        <w:t xml:space="preserve"> </w:t>
      </w:r>
      <w:r w:rsidRPr="0023437F">
        <w:rPr>
          <w:rFonts w:cs="Arial"/>
        </w:rPr>
        <w:t>(</w:t>
      </w:r>
      <w:r w:rsidR="000A1EC3">
        <w:rPr>
          <w:rFonts w:cs="Arial"/>
        </w:rPr>
        <w:t>S</w:t>
      </w:r>
      <w:r w:rsidRPr="0023437F">
        <w:rPr>
          <w:rFonts w:cs="Arial"/>
        </w:rPr>
        <w:t xml:space="preserve">ee Table 3. </w:t>
      </w:r>
      <w:r w:rsidRPr="00123AC2">
        <w:rPr>
          <w:rFonts w:cs="Arial"/>
        </w:rPr>
        <w:t>Summary of Transition Plan Tasks and Timelines</w:t>
      </w:r>
      <w:r w:rsidR="005842ED">
        <w:rPr>
          <w:rFonts w:cs="Arial"/>
        </w:rPr>
        <w:t>).</w:t>
      </w:r>
      <w:r w:rsidR="00934A92">
        <w:rPr>
          <w:rFonts w:cs="Arial"/>
        </w:rPr>
        <w:t xml:space="preserve"> </w:t>
      </w:r>
      <w:r w:rsidR="00FD2BFB">
        <w:rPr>
          <w:rFonts w:cs="Arial"/>
        </w:rPr>
        <w:t xml:space="preserve">Chapter 5.00 also addresses person centered planning-based protections </w:t>
      </w:r>
      <w:r w:rsidR="001B24D1">
        <w:rPr>
          <w:rFonts w:cs="Arial"/>
        </w:rPr>
        <w:t>and</w:t>
      </w:r>
      <w:r w:rsidR="00FD2BFB">
        <w:rPr>
          <w:rFonts w:cs="Arial"/>
        </w:rPr>
        <w:t xml:space="preserve"> freedoms related to individual autonomy and choice, including privacy</w:t>
      </w:r>
      <w:r w:rsidR="00DA13E5">
        <w:rPr>
          <w:rFonts w:cs="Arial"/>
        </w:rPr>
        <w:t xml:space="preserve"> and visitation</w:t>
      </w:r>
      <w:r w:rsidR="00FD2BFB">
        <w:rPr>
          <w:rFonts w:cs="Arial"/>
        </w:rPr>
        <w:t xml:space="preserve">. </w:t>
      </w:r>
      <w:r w:rsidR="00D92B07" w:rsidRPr="00D92B07">
        <w:rPr>
          <w:rFonts w:cs="Arial"/>
        </w:rPr>
        <w:t xml:space="preserve">The DDS Individual Support Plan (ISP) Manual (see Table 4 for </w:t>
      </w:r>
      <w:r w:rsidR="00D92B07">
        <w:rPr>
          <w:rFonts w:cs="Arial"/>
        </w:rPr>
        <w:t>l</w:t>
      </w:r>
      <w:r w:rsidR="00D92B07" w:rsidRPr="00D92B07">
        <w:rPr>
          <w:rFonts w:cs="Arial"/>
        </w:rPr>
        <w:t xml:space="preserve">ink) instructs Service Coordinators during the ISP process to note the restrictions to rights of the individual to visitation, possessions, or privacy and the reason for the restriction.    </w:t>
      </w:r>
    </w:p>
    <w:p w14:paraId="405BDF5A" w14:textId="7B0556F3" w:rsidR="0023437F" w:rsidRPr="00157048" w:rsidRDefault="00327DC1" w:rsidP="0023437F">
      <w:pPr>
        <w:contextualSpacing/>
        <w:rPr>
          <w:rStyle w:val="SubtleEmphasis"/>
        </w:rPr>
      </w:pPr>
      <w:r w:rsidRPr="00157048">
        <w:rPr>
          <w:rStyle w:val="SubtleEmphasis"/>
        </w:rPr>
        <w:t>115 CMR Chapter 7.00 – Standa</w:t>
      </w:r>
      <w:r w:rsidR="0023437F" w:rsidRPr="00157048">
        <w:rPr>
          <w:rStyle w:val="SubtleEmphasis"/>
        </w:rPr>
        <w:t>rds for Services and Supports</w:t>
      </w:r>
    </w:p>
    <w:p w14:paraId="1F9458B6" w14:textId="786C3A53" w:rsidR="00327DC1" w:rsidRPr="0023437F" w:rsidRDefault="00327DC1" w:rsidP="0023437F">
      <w:pPr>
        <w:rPr>
          <w:rFonts w:cs="Arial"/>
        </w:rPr>
      </w:pPr>
      <w:r w:rsidRPr="0023437F">
        <w:rPr>
          <w:rFonts w:cs="Arial"/>
        </w:rPr>
        <w:t xml:space="preserve">Chapter 7.00 articulates the expectations that DDS has of its providers with respect to qualifications of staff, environmental </w:t>
      </w:r>
      <w:r w:rsidR="009F5522" w:rsidRPr="0023437F">
        <w:rPr>
          <w:rFonts w:cs="Arial"/>
        </w:rPr>
        <w:t>standards,</w:t>
      </w:r>
      <w:r w:rsidRPr="0023437F">
        <w:rPr>
          <w:rFonts w:cs="Arial"/>
        </w:rPr>
        <w:t xml:space="preserve"> and outcomes for individuals. </w:t>
      </w:r>
      <w:r w:rsidR="00E67BA9" w:rsidRPr="0023437F">
        <w:rPr>
          <w:rFonts w:cs="Arial"/>
        </w:rPr>
        <w:t xml:space="preserve">Such </w:t>
      </w:r>
      <w:r w:rsidRPr="0023437F">
        <w:rPr>
          <w:rFonts w:cs="Arial"/>
        </w:rPr>
        <w:t xml:space="preserve">standards were found to be consistent with the CMS </w:t>
      </w:r>
      <w:r w:rsidR="002E6451" w:rsidRPr="0023437F">
        <w:rPr>
          <w:rFonts w:cs="Arial"/>
        </w:rPr>
        <w:t>Community Rule</w:t>
      </w:r>
      <w:r w:rsidRPr="0023437F">
        <w:rPr>
          <w:rFonts w:cs="Arial"/>
        </w:rPr>
        <w:t>, with two exceptions</w:t>
      </w:r>
      <w:r w:rsidR="00E67BA9" w:rsidRPr="0023437F">
        <w:rPr>
          <w:rFonts w:cs="Arial"/>
        </w:rPr>
        <w:t>. DDS</w:t>
      </w:r>
      <w:r w:rsidR="00616917">
        <w:rPr>
          <w:rFonts w:cs="Arial"/>
        </w:rPr>
        <w:t xml:space="preserve"> amended Chapter 7.00 to</w:t>
      </w:r>
      <w:r w:rsidR="00E67BA9" w:rsidRPr="0023437F">
        <w:rPr>
          <w:rFonts w:cs="Arial"/>
        </w:rPr>
        <w:t xml:space="preserve"> </w:t>
      </w:r>
      <w:r w:rsidR="002E6451" w:rsidRPr="0023437F">
        <w:rPr>
          <w:rFonts w:cs="Arial"/>
        </w:rPr>
        <w:t xml:space="preserve">specifically </w:t>
      </w:r>
      <w:r w:rsidR="00E67BA9" w:rsidRPr="0023437F">
        <w:rPr>
          <w:rFonts w:cs="Arial"/>
        </w:rPr>
        <w:t>address such inconsistency</w:t>
      </w:r>
      <w:r w:rsidRPr="0023437F">
        <w:rPr>
          <w:rFonts w:cs="Arial"/>
        </w:rPr>
        <w:t>:</w:t>
      </w:r>
    </w:p>
    <w:p w14:paraId="191C0FDE" w14:textId="6CB2DA35" w:rsidR="00327DC1" w:rsidRPr="0023437F" w:rsidRDefault="00266251" w:rsidP="004427AF">
      <w:pPr>
        <w:pStyle w:val="ListParagraph"/>
        <w:numPr>
          <w:ilvl w:val="0"/>
          <w:numId w:val="26"/>
        </w:numPr>
        <w:ind w:left="720"/>
        <w:rPr>
          <w:rFonts w:cs="Arial"/>
        </w:rPr>
      </w:pPr>
      <w:r>
        <w:rPr>
          <w:rFonts w:cs="Arial"/>
        </w:rPr>
        <w:t xml:space="preserve">Locks on bedroom doors. </w:t>
      </w:r>
      <w:r w:rsidR="00616917">
        <w:rPr>
          <w:rFonts w:cs="Arial"/>
        </w:rPr>
        <w:t>Previous</w:t>
      </w:r>
      <w:r w:rsidR="00616917" w:rsidRPr="0023437F">
        <w:rPr>
          <w:rFonts w:cs="Arial"/>
        </w:rPr>
        <w:t xml:space="preserve"> </w:t>
      </w:r>
      <w:r w:rsidR="00327DC1" w:rsidRPr="0023437F">
        <w:rPr>
          <w:rFonts w:cs="Arial"/>
        </w:rPr>
        <w:t>regulations stipulate</w:t>
      </w:r>
      <w:r w:rsidR="00616917">
        <w:rPr>
          <w:rFonts w:cs="Arial"/>
        </w:rPr>
        <w:t>d</w:t>
      </w:r>
      <w:r w:rsidR="00327DC1" w:rsidRPr="0023437F">
        <w:rPr>
          <w:rFonts w:cs="Arial"/>
        </w:rPr>
        <w:t xml:space="preserve"> </w:t>
      </w:r>
      <w:proofErr w:type="gramStart"/>
      <w:r w:rsidR="00327DC1" w:rsidRPr="0023437F">
        <w:rPr>
          <w:rFonts w:cs="Arial"/>
        </w:rPr>
        <w:t>that locks</w:t>
      </w:r>
      <w:proofErr w:type="gramEnd"/>
      <w:r w:rsidR="00327DC1" w:rsidRPr="0023437F">
        <w:rPr>
          <w:rFonts w:cs="Arial"/>
        </w:rPr>
        <w:t xml:space="preserve"> on bedroom doors that provide access to an egress </w:t>
      </w:r>
      <w:r w:rsidR="00E67BA9" w:rsidRPr="0023437F">
        <w:rPr>
          <w:rFonts w:cs="Arial"/>
        </w:rPr>
        <w:t xml:space="preserve">from the home </w:t>
      </w:r>
      <w:r w:rsidR="004C1E40">
        <w:rPr>
          <w:rFonts w:cs="Arial"/>
        </w:rPr>
        <w:t>were</w:t>
      </w:r>
      <w:r w:rsidR="004C1E40" w:rsidRPr="0023437F">
        <w:rPr>
          <w:rFonts w:cs="Arial"/>
        </w:rPr>
        <w:t xml:space="preserve"> </w:t>
      </w:r>
      <w:r w:rsidR="00327DC1" w:rsidRPr="0023437F">
        <w:rPr>
          <w:rFonts w:cs="Arial"/>
        </w:rPr>
        <w:t xml:space="preserve">not permitted. This stipulation </w:t>
      </w:r>
      <w:r w:rsidR="004C1E40">
        <w:rPr>
          <w:rFonts w:cs="Arial"/>
        </w:rPr>
        <w:t>was included</w:t>
      </w:r>
      <w:r w:rsidR="00327DC1" w:rsidRPr="0023437F">
        <w:rPr>
          <w:rFonts w:cs="Arial"/>
        </w:rPr>
        <w:t xml:space="preserve"> to ensure the swift evacuation of all </w:t>
      </w:r>
      <w:r w:rsidR="00180D31">
        <w:rPr>
          <w:rFonts w:cs="Arial"/>
        </w:rPr>
        <w:t>participants</w:t>
      </w:r>
      <w:r w:rsidR="00180D31" w:rsidRPr="0023437F">
        <w:rPr>
          <w:rFonts w:cs="Arial"/>
        </w:rPr>
        <w:t xml:space="preserve"> </w:t>
      </w:r>
      <w:r w:rsidR="00327DC1" w:rsidRPr="0023437F">
        <w:rPr>
          <w:rFonts w:cs="Arial"/>
        </w:rPr>
        <w:t>in the event of a fire or other emergency. In order to protect individual safety</w:t>
      </w:r>
      <w:r w:rsidR="00E67BA9" w:rsidRPr="0023437F">
        <w:rPr>
          <w:rFonts w:cs="Arial"/>
        </w:rPr>
        <w:t xml:space="preserve"> and</w:t>
      </w:r>
      <w:r w:rsidR="00327DC1" w:rsidRPr="0023437F">
        <w:rPr>
          <w:rFonts w:cs="Arial"/>
        </w:rPr>
        <w:t xml:space="preserve"> at the same time safeguard individuals’ right to privacy and choice, </w:t>
      </w:r>
      <w:r w:rsidR="00FF5E90">
        <w:rPr>
          <w:rFonts w:cs="Arial"/>
        </w:rPr>
        <w:t xml:space="preserve">DDS </w:t>
      </w:r>
      <w:r w:rsidR="003C62FD">
        <w:rPr>
          <w:rFonts w:cs="Arial"/>
        </w:rPr>
        <w:t xml:space="preserve">current </w:t>
      </w:r>
      <w:r w:rsidR="00FF5E90">
        <w:rPr>
          <w:rFonts w:cs="Arial"/>
        </w:rPr>
        <w:t>regulation encompass</w:t>
      </w:r>
      <w:r w:rsidR="003C62FD">
        <w:rPr>
          <w:rFonts w:cs="Arial"/>
        </w:rPr>
        <w:t>es</w:t>
      </w:r>
      <w:r w:rsidR="00FF5E90">
        <w:rPr>
          <w:rFonts w:cs="Arial"/>
        </w:rPr>
        <w:t xml:space="preserve"> the general rule that bedroom doors shall be </w:t>
      </w:r>
      <w:proofErr w:type="gramStart"/>
      <w:r w:rsidR="00FF5E90">
        <w:rPr>
          <w:rFonts w:cs="Arial"/>
        </w:rPr>
        <w:t>lockable, but</w:t>
      </w:r>
      <w:proofErr w:type="gramEnd"/>
      <w:r w:rsidR="00FF5E90">
        <w:rPr>
          <w:rFonts w:cs="Arial"/>
        </w:rPr>
        <w:t xml:space="preserve"> recognize</w:t>
      </w:r>
      <w:r w:rsidR="003C62FD">
        <w:rPr>
          <w:rFonts w:cs="Arial"/>
        </w:rPr>
        <w:t>s</w:t>
      </w:r>
      <w:r w:rsidR="00FF5E90">
        <w:rPr>
          <w:rFonts w:cs="Arial"/>
        </w:rPr>
        <w:t xml:space="preserve"> that some exceptions to the general rule may be necessary</w:t>
      </w:r>
      <w:r w:rsidR="00E22386">
        <w:rPr>
          <w:rFonts w:cs="Arial"/>
        </w:rPr>
        <w:t xml:space="preserve"> (115 CMR 7.07(7)(f)</w:t>
      </w:r>
      <w:r w:rsidR="00FF5E90">
        <w:rPr>
          <w:rFonts w:cs="Arial"/>
        </w:rPr>
        <w:t>.</w:t>
      </w:r>
      <w:r w:rsidR="00327DC1" w:rsidRPr="0023437F">
        <w:rPr>
          <w:rFonts w:cs="Arial"/>
        </w:rPr>
        <w:t>:</w:t>
      </w:r>
    </w:p>
    <w:p w14:paraId="7D697BF8" w14:textId="04E0781A" w:rsidR="00A72233" w:rsidRDefault="00782BC3" w:rsidP="00892708">
      <w:pPr>
        <w:ind w:left="720" w:right="720"/>
        <w:rPr>
          <w:rFonts w:cs="Arial"/>
        </w:rPr>
      </w:pPr>
      <w:r>
        <w:rPr>
          <w:rFonts w:cs="Arial"/>
        </w:rPr>
        <w:t xml:space="preserve">To further support </w:t>
      </w:r>
      <w:r w:rsidR="000030DD">
        <w:rPr>
          <w:rFonts w:cs="Arial"/>
        </w:rPr>
        <w:t>the</w:t>
      </w:r>
      <w:r>
        <w:rPr>
          <w:rFonts w:cs="Arial"/>
        </w:rPr>
        <w:t xml:space="preserve"> regulatory language</w:t>
      </w:r>
      <w:r w:rsidR="00A72233">
        <w:rPr>
          <w:rFonts w:cs="Arial"/>
        </w:rPr>
        <w:t xml:space="preserve"> and provide context</w:t>
      </w:r>
      <w:r w:rsidR="00B61471">
        <w:rPr>
          <w:rFonts w:cs="Arial"/>
        </w:rPr>
        <w:t>, specifically consistency with</w:t>
      </w:r>
      <w:r w:rsidR="00A72233">
        <w:rPr>
          <w:rFonts w:cs="Arial"/>
        </w:rPr>
        <w:t xml:space="preserve"> the Community Rule</w:t>
      </w:r>
      <w:r>
        <w:rPr>
          <w:rFonts w:cs="Arial"/>
        </w:rPr>
        <w:t xml:space="preserve">, </w:t>
      </w:r>
      <w:r w:rsidR="009179F7">
        <w:rPr>
          <w:rFonts w:cs="Arial"/>
        </w:rPr>
        <w:t xml:space="preserve">DDS issued </w:t>
      </w:r>
      <w:r>
        <w:rPr>
          <w:rFonts w:cs="Arial"/>
        </w:rPr>
        <w:t xml:space="preserve">guidance to providers on the requirement for locks on bedroom doors. (See </w:t>
      </w:r>
      <w:r w:rsidR="007A6717">
        <w:rPr>
          <w:rFonts w:cs="Arial"/>
        </w:rPr>
        <w:t xml:space="preserve">DDS 2016 Guidance on Locks and </w:t>
      </w:r>
      <w:r w:rsidR="000E38C1">
        <w:rPr>
          <w:rFonts w:cs="Arial"/>
        </w:rPr>
        <w:t xml:space="preserve">DDS </w:t>
      </w:r>
      <w:r w:rsidR="009179F7">
        <w:rPr>
          <w:rFonts w:cs="Arial"/>
        </w:rPr>
        <w:t xml:space="preserve">2022 </w:t>
      </w:r>
      <w:r>
        <w:rPr>
          <w:rFonts w:cs="Arial"/>
        </w:rPr>
        <w:t xml:space="preserve">Guidance on Locks, </w:t>
      </w:r>
      <w:r w:rsidR="002B4B6E">
        <w:rPr>
          <w:rFonts w:cs="Arial"/>
        </w:rPr>
        <w:t xml:space="preserve">see </w:t>
      </w:r>
      <w:r>
        <w:rPr>
          <w:rFonts w:cs="Arial"/>
        </w:rPr>
        <w:t>Table 4</w:t>
      </w:r>
      <w:r w:rsidR="002B4B6E">
        <w:rPr>
          <w:rFonts w:cs="Arial"/>
        </w:rPr>
        <w:t xml:space="preserve"> for links</w:t>
      </w:r>
      <w:r>
        <w:rPr>
          <w:rFonts w:cs="Arial"/>
        </w:rPr>
        <w:t xml:space="preserve">) </w:t>
      </w:r>
    </w:p>
    <w:p w14:paraId="1D51FAA5" w14:textId="45A9A1FB" w:rsidR="005466F8" w:rsidRDefault="00721BB6" w:rsidP="00892708">
      <w:pPr>
        <w:ind w:left="720" w:right="720"/>
        <w:rPr>
          <w:rFonts w:cs="Arial"/>
        </w:rPr>
      </w:pPr>
      <w:r>
        <w:rPr>
          <w:rFonts w:cs="Arial"/>
        </w:rPr>
        <w:t xml:space="preserve">In any specific </w:t>
      </w:r>
      <w:r w:rsidR="0040592F">
        <w:rPr>
          <w:rFonts w:cs="Arial"/>
        </w:rPr>
        <w:t>situation that contraindicates or otherwise results in the participant’s bedroom door not being lockable,</w:t>
      </w:r>
      <w:r>
        <w:rPr>
          <w:rFonts w:cs="Arial"/>
        </w:rPr>
        <w:t xml:space="preserve"> </w:t>
      </w:r>
      <w:r w:rsidR="00DF25FC">
        <w:rPr>
          <w:rFonts w:cs="Arial"/>
        </w:rPr>
        <w:t xml:space="preserve">a specific assessed need must be established via the </w:t>
      </w:r>
      <w:proofErr w:type="gramStart"/>
      <w:r w:rsidR="00DF25FC">
        <w:rPr>
          <w:rFonts w:cs="Arial"/>
        </w:rPr>
        <w:t xml:space="preserve">person </w:t>
      </w:r>
      <w:r w:rsidR="00957099">
        <w:rPr>
          <w:rFonts w:cs="Arial"/>
        </w:rPr>
        <w:t>centered</w:t>
      </w:r>
      <w:proofErr w:type="gramEnd"/>
      <w:r w:rsidR="00957099">
        <w:rPr>
          <w:rFonts w:cs="Arial"/>
        </w:rPr>
        <w:t xml:space="preserve"> </w:t>
      </w:r>
      <w:r w:rsidR="00DF25FC">
        <w:rPr>
          <w:rFonts w:cs="Arial"/>
        </w:rPr>
        <w:t xml:space="preserve">planning process, including discussion with </w:t>
      </w:r>
      <w:proofErr w:type="spellStart"/>
      <w:r w:rsidR="00DF25FC">
        <w:rPr>
          <w:rFonts w:cs="Arial"/>
        </w:rPr>
        <w:t>and</w:t>
      </w:r>
      <w:proofErr w:type="spellEnd"/>
      <w:r w:rsidR="00DF25FC">
        <w:rPr>
          <w:rFonts w:cs="Arial"/>
        </w:rPr>
        <w:t xml:space="preserve"> agreement by</w:t>
      </w:r>
      <w:r w:rsidR="005E6F54">
        <w:rPr>
          <w:rFonts w:cs="Arial"/>
        </w:rPr>
        <w:t xml:space="preserve"> the </w:t>
      </w:r>
      <w:r>
        <w:rPr>
          <w:rFonts w:cs="Arial"/>
        </w:rPr>
        <w:t>participant and documented</w:t>
      </w:r>
      <w:r w:rsidR="00576E6C">
        <w:rPr>
          <w:rFonts w:cs="Arial"/>
        </w:rPr>
        <w:t xml:space="preserve"> in the </w:t>
      </w:r>
      <w:r w:rsidR="00957099">
        <w:rPr>
          <w:rFonts w:cs="Arial"/>
        </w:rPr>
        <w:t xml:space="preserve">participant’s </w:t>
      </w:r>
      <w:r w:rsidR="00576E6C">
        <w:rPr>
          <w:rFonts w:cs="Arial"/>
        </w:rPr>
        <w:t>ISP</w:t>
      </w:r>
      <w:r>
        <w:rPr>
          <w:rFonts w:cs="Arial"/>
        </w:rPr>
        <w:t>.</w:t>
      </w:r>
      <w:r w:rsidR="00782BC3">
        <w:rPr>
          <w:rFonts w:cs="Arial"/>
        </w:rPr>
        <w:t xml:space="preserve"> </w:t>
      </w:r>
      <w:r w:rsidR="00782BC3" w:rsidRPr="00782BC3">
        <w:rPr>
          <w:rFonts w:cs="Arial"/>
        </w:rPr>
        <w:t xml:space="preserve">(115 CMR </w:t>
      </w:r>
      <w:r w:rsidR="005043FD">
        <w:rPr>
          <w:rFonts w:cs="Arial"/>
        </w:rPr>
        <w:t xml:space="preserve">6.20 - </w:t>
      </w:r>
      <w:r w:rsidR="00782BC3" w:rsidRPr="00782BC3">
        <w:rPr>
          <w:rFonts w:cs="Arial"/>
        </w:rPr>
        <w:t>6.25)</w:t>
      </w:r>
      <w:r w:rsidR="005043FD">
        <w:rPr>
          <w:rFonts w:cs="Arial"/>
        </w:rPr>
        <w:t xml:space="preserve"> </w:t>
      </w:r>
    </w:p>
    <w:p w14:paraId="1D2E457D" w14:textId="66426208" w:rsidR="00327DC1" w:rsidRPr="00B11E60" w:rsidRDefault="0016570D" w:rsidP="004427AF">
      <w:pPr>
        <w:pStyle w:val="ListParagraph"/>
        <w:numPr>
          <w:ilvl w:val="0"/>
          <w:numId w:val="26"/>
        </w:numPr>
        <w:ind w:left="720"/>
        <w:rPr>
          <w:rFonts w:cs="Arial"/>
        </w:rPr>
      </w:pPr>
      <w:r>
        <w:rPr>
          <w:rFonts w:cs="Arial"/>
        </w:rPr>
        <w:t xml:space="preserve">Capacity. </w:t>
      </w:r>
      <w:r w:rsidR="00327DC1" w:rsidRPr="00B11E60">
        <w:rPr>
          <w:rFonts w:cs="Arial"/>
        </w:rPr>
        <w:t xml:space="preserve">While the </w:t>
      </w:r>
      <w:r w:rsidR="002714E2">
        <w:rPr>
          <w:rFonts w:cs="Arial"/>
        </w:rPr>
        <w:t>Community</w:t>
      </w:r>
      <w:r w:rsidR="002714E2" w:rsidRPr="00B11E60">
        <w:rPr>
          <w:rFonts w:cs="Arial"/>
        </w:rPr>
        <w:t xml:space="preserve"> </w:t>
      </w:r>
      <w:r w:rsidR="00F549FA">
        <w:rPr>
          <w:rFonts w:cs="Arial"/>
        </w:rPr>
        <w:t>R</w:t>
      </w:r>
      <w:r w:rsidR="00327DC1" w:rsidRPr="00B11E60">
        <w:rPr>
          <w:rFonts w:cs="Arial"/>
        </w:rPr>
        <w:t xml:space="preserve">ule does not establish a maximum capacity for residential settings, it clearly reflects an overall commitment to community integration and a move away from settings with institutional-like qualities. </w:t>
      </w:r>
      <w:r w:rsidR="000E7C08" w:rsidRPr="00B11E60">
        <w:rPr>
          <w:rFonts w:cs="Arial"/>
        </w:rPr>
        <w:t xml:space="preserve">In this vein, DDS </w:t>
      </w:r>
      <w:r w:rsidR="00616917">
        <w:rPr>
          <w:rFonts w:cs="Arial"/>
        </w:rPr>
        <w:lastRenderedPageBreak/>
        <w:t>amended</w:t>
      </w:r>
      <w:r w:rsidR="000E7C08" w:rsidRPr="00B11E60">
        <w:rPr>
          <w:rFonts w:cs="Arial"/>
        </w:rPr>
        <w:t xml:space="preserve"> an existing </w:t>
      </w:r>
      <w:r w:rsidR="00DA15B3">
        <w:rPr>
          <w:rFonts w:cs="Arial"/>
        </w:rPr>
        <w:t xml:space="preserve">regulatory provision to </w:t>
      </w:r>
      <w:r w:rsidR="000E7C08" w:rsidRPr="00B11E60">
        <w:rPr>
          <w:rFonts w:cs="Arial"/>
        </w:rPr>
        <w:t xml:space="preserve">limit the capacity of residential settings to no greater than five residents </w:t>
      </w:r>
      <w:r w:rsidR="00DA15B3">
        <w:rPr>
          <w:rFonts w:cs="Arial"/>
        </w:rPr>
        <w:t>(115 CMR 7.08(1)</w:t>
      </w:r>
      <w:r w:rsidR="00D92486">
        <w:rPr>
          <w:rFonts w:cs="Arial"/>
        </w:rPr>
        <w:t>)</w:t>
      </w:r>
      <w:r w:rsidR="00DA15B3">
        <w:rPr>
          <w:rFonts w:cs="Arial"/>
        </w:rPr>
        <w:t>. The regulations provide an exception to this limitation, h</w:t>
      </w:r>
      <w:r w:rsidR="00327DC1" w:rsidRPr="00B11E60">
        <w:rPr>
          <w:rFonts w:cs="Arial"/>
        </w:rPr>
        <w:t xml:space="preserve">owever, </w:t>
      </w:r>
      <w:r w:rsidR="00DA15B3">
        <w:rPr>
          <w:rFonts w:cs="Arial"/>
        </w:rPr>
        <w:t>and provide that the 151 homes identified by DDS that had a licensed capacity greater than five prior to 1995 will be permitted to retain the capacity approved in the license for the life of the original building if the site can accommodate more than five individuals (115 CMR 7.08(2)</w:t>
      </w:r>
      <w:r w:rsidR="00C6654F">
        <w:rPr>
          <w:rFonts w:cs="Arial"/>
        </w:rPr>
        <w:t>)</w:t>
      </w:r>
      <w:r w:rsidR="00DA15B3">
        <w:rPr>
          <w:rFonts w:cs="Arial"/>
        </w:rPr>
        <w:t>.</w:t>
      </w:r>
      <w:r w:rsidR="0023437F">
        <w:rPr>
          <w:rFonts w:cs="Arial"/>
        </w:rPr>
        <w:t xml:space="preserve"> </w:t>
      </w:r>
      <w:r w:rsidR="00616917">
        <w:rPr>
          <w:rFonts w:cs="Arial"/>
        </w:rPr>
        <w:t xml:space="preserve">The </w:t>
      </w:r>
      <w:r w:rsidR="00DA15B3">
        <w:rPr>
          <w:rFonts w:cs="Arial"/>
        </w:rPr>
        <w:t>regulations further provide</w:t>
      </w:r>
      <w:r w:rsidR="00327DC1" w:rsidRPr="00B11E60">
        <w:rPr>
          <w:rFonts w:cs="Arial"/>
        </w:rPr>
        <w:t xml:space="preserve"> that capacity </w:t>
      </w:r>
      <w:proofErr w:type="gramStart"/>
      <w:r w:rsidR="00327DC1" w:rsidRPr="00B11E60">
        <w:rPr>
          <w:rFonts w:cs="Arial"/>
        </w:rPr>
        <w:t>in excess of</w:t>
      </w:r>
      <w:proofErr w:type="gramEnd"/>
      <w:r w:rsidR="00327DC1" w:rsidRPr="00B11E60">
        <w:rPr>
          <w:rFonts w:cs="Arial"/>
        </w:rPr>
        <w:t xml:space="preserve"> five </w:t>
      </w:r>
      <w:r w:rsidR="00DA15B3">
        <w:rPr>
          <w:rFonts w:cs="Arial"/>
        </w:rPr>
        <w:t>must</w:t>
      </w:r>
      <w:r w:rsidR="00DA15B3" w:rsidRPr="00B11E60">
        <w:rPr>
          <w:rFonts w:cs="Arial"/>
        </w:rPr>
        <w:t xml:space="preserve"> </w:t>
      </w:r>
      <w:r w:rsidR="00327DC1" w:rsidRPr="00B11E60">
        <w:rPr>
          <w:rFonts w:cs="Arial"/>
        </w:rPr>
        <w:t xml:space="preserve">be reduced if the Department determines at any time that the site can no longer accommodate more than five individuals. </w:t>
      </w:r>
      <w:proofErr w:type="gramStart"/>
      <w:r w:rsidR="00DA15B3">
        <w:rPr>
          <w:rFonts w:cs="Arial"/>
        </w:rPr>
        <w:t>In the event that</w:t>
      </w:r>
      <w:proofErr w:type="gramEnd"/>
      <w:r w:rsidR="00DA15B3">
        <w:rPr>
          <w:rFonts w:cs="Arial"/>
        </w:rPr>
        <w:t xml:space="preserve"> DDS</w:t>
      </w:r>
      <w:r w:rsidR="00327DC1" w:rsidRPr="00B11E60">
        <w:rPr>
          <w:rFonts w:cs="Arial"/>
        </w:rPr>
        <w:t xml:space="preserve"> </w:t>
      </w:r>
      <w:r w:rsidR="00DA15B3" w:rsidRPr="00B11E60">
        <w:rPr>
          <w:rFonts w:cs="Arial"/>
        </w:rPr>
        <w:t>determine</w:t>
      </w:r>
      <w:r w:rsidR="00DA15B3">
        <w:rPr>
          <w:rFonts w:cs="Arial"/>
        </w:rPr>
        <w:t>s</w:t>
      </w:r>
      <w:r w:rsidR="00DA15B3" w:rsidRPr="00B11E60">
        <w:rPr>
          <w:rFonts w:cs="Arial"/>
        </w:rPr>
        <w:t xml:space="preserve"> </w:t>
      </w:r>
      <w:r w:rsidR="00327DC1" w:rsidRPr="00B11E60">
        <w:rPr>
          <w:rFonts w:cs="Arial"/>
        </w:rPr>
        <w:t xml:space="preserve">that a </w:t>
      </w:r>
      <w:r w:rsidR="00DA15B3">
        <w:rPr>
          <w:rFonts w:cs="Arial"/>
        </w:rPr>
        <w:t>site can no longer accommodate more than five individuals</w:t>
      </w:r>
      <w:r w:rsidR="00327DC1" w:rsidRPr="00B11E60">
        <w:rPr>
          <w:rFonts w:cs="Arial"/>
        </w:rPr>
        <w:t xml:space="preserve">, </w:t>
      </w:r>
      <w:r w:rsidR="00DA15B3">
        <w:rPr>
          <w:rFonts w:cs="Arial"/>
        </w:rPr>
        <w:t>the provider must</w:t>
      </w:r>
      <w:r w:rsidR="00327DC1" w:rsidRPr="00B11E60">
        <w:rPr>
          <w:rFonts w:cs="Arial"/>
        </w:rPr>
        <w:t xml:space="preserve"> develop and implement a plan to reduce the capacity. DDS will work collaboratively with the provider on plans to </w:t>
      </w:r>
      <w:r w:rsidR="00DA15B3">
        <w:rPr>
          <w:rFonts w:cs="Arial"/>
        </w:rPr>
        <w:t xml:space="preserve">effectuate the </w:t>
      </w:r>
      <w:r w:rsidR="00327DC1" w:rsidRPr="00B11E60">
        <w:rPr>
          <w:rFonts w:cs="Arial"/>
        </w:rPr>
        <w:t>reduc</w:t>
      </w:r>
      <w:r w:rsidR="00DA15B3">
        <w:rPr>
          <w:rFonts w:cs="Arial"/>
        </w:rPr>
        <w:t>tion</w:t>
      </w:r>
      <w:r w:rsidR="00327DC1" w:rsidRPr="00B11E60">
        <w:rPr>
          <w:rFonts w:cs="Arial"/>
        </w:rPr>
        <w:t xml:space="preserve"> </w:t>
      </w:r>
      <w:r w:rsidR="00DA15B3">
        <w:rPr>
          <w:rFonts w:cs="Arial"/>
        </w:rPr>
        <w:t xml:space="preserve">in </w:t>
      </w:r>
      <w:r w:rsidR="00327DC1" w:rsidRPr="00B11E60">
        <w:rPr>
          <w:rFonts w:cs="Arial"/>
        </w:rPr>
        <w:t xml:space="preserve">capacity to five or fewer individuals. </w:t>
      </w:r>
    </w:p>
    <w:p w14:paraId="132C94DE" w14:textId="0149EC22" w:rsidR="00327DC1" w:rsidRDefault="00327DC1" w:rsidP="00327DC1">
      <w:pPr>
        <w:ind w:left="720"/>
        <w:rPr>
          <w:rFonts w:cs="Arial"/>
        </w:rPr>
      </w:pPr>
      <w:r w:rsidRPr="00B11E60">
        <w:rPr>
          <w:rFonts w:cs="Arial"/>
        </w:rPr>
        <w:t xml:space="preserve">DDS </w:t>
      </w:r>
      <w:r w:rsidR="00DA15B3">
        <w:rPr>
          <w:rFonts w:cs="Arial"/>
        </w:rPr>
        <w:t xml:space="preserve">also </w:t>
      </w:r>
      <w:r w:rsidR="00616917">
        <w:rPr>
          <w:rFonts w:cs="Arial"/>
        </w:rPr>
        <w:t>added</w:t>
      </w:r>
      <w:r w:rsidR="00DA15B3">
        <w:rPr>
          <w:rFonts w:cs="Arial"/>
        </w:rPr>
        <w:t xml:space="preserve"> </w:t>
      </w:r>
      <w:r w:rsidRPr="00B11E60">
        <w:rPr>
          <w:rFonts w:cs="Arial"/>
        </w:rPr>
        <w:t xml:space="preserve">a section to Chapter 7.00 </w:t>
      </w:r>
      <w:r w:rsidR="00DA15B3">
        <w:rPr>
          <w:rFonts w:cs="Arial"/>
        </w:rPr>
        <w:t>regulations that set forth</w:t>
      </w:r>
      <w:r w:rsidRPr="00B11E60">
        <w:rPr>
          <w:rFonts w:cs="Arial"/>
        </w:rPr>
        <w:t xml:space="preserve"> standards for both employment and day supports. </w:t>
      </w:r>
      <w:r w:rsidR="00DA15B3">
        <w:rPr>
          <w:rFonts w:cs="Arial"/>
        </w:rPr>
        <w:t xml:space="preserve">(115 CMR 7.09). </w:t>
      </w:r>
      <w:r w:rsidRPr="00B11E60">
        <w:rPr>
          <w:rFonts w:cs="Arial"/>
        </w:rPr>
        <w:t xml:space="preserve">The section is consistent with the requirements of the </w:t>
      </w:r>
      <w:r w:rsidR="002E6451">
        <w:rPr>
          <w:rFonts w:cs="Arial"/>
        </w:rPr>
        <w:t>Community Rule</w:t>
      </w:r>
      <w:r w:rsidRPr="00B11E60">
        <w:rPr>
          <w:rFonts w:cs="Arial"/>
        </w:rPr>
        <w:t xml:space="preserve"> and emphasizes DDS’s commitment to employment as the first option for all individuals of working age. </w:t>
      </w:r>
    </w:p>
    <w:p w14:paraId="3057D4ED" w14:textId="56957449" w:rsidR="000B6FEA" w:rsidRPr="00157048" w:rsidRDefault="00327DC1" w:rsidP="000B6FEA">
      <w:pPr>
        <w:contextualSpacing/>
        <w:rPr>
          <w:rStyle w:val="SubtleEmphasis"/>
        </w:rPr>
      </w:pPr>
      <w:r w:rsidRPr="768B82E9">
        <w:rPr>
          <w:rStyle w:val="SubtleEmphasis"/>
        </w:rPr>
        <w:t>115 CMR Chapter 8.00 – Licensure and Certification</w:t>
      </w:r>
    </w:p>
    <w:p w14:paraId="34905E7E" w14:textId="69FDBE28" w:rsidR="00327DC1" w:rsidRDefault="00327DC1" w:rsidP="000B6FEA">
      <w:pPr>
        <w:tabs>
          <w:tab w:val="left" w:pos="0"/>
        </w:tabs>
        <w:rPr>
          <w:rFonts w:cs="Arial"/>
        </w:rPr>
      </w:pPr>
      <w:r w:rsidRPr="000B6FEA">
        <w:rPr>
          <w:rFonts w:cs="Arial"/>
        </w:rPr>
        <w:t xml:space="preserve">Chapter 8.00 articulates the system DDS uses to license and certify its providers. The stringent standards and processes specified in Chapter 8.00 ensure that all providers that achieve licensure and/or certification meet all the components consistent with the HCBS </w:t>
      </w:r>
      <w:r w:rsidR="002E6451" w:rsidRPr="000B6FEA">
        <w:rPr>
          <w:rFonts w:cs="Arial"/>
        </w:rPr>
        <w:t>Community Rule</w:t>
      </w:r>
      <w:r w:rsidRPr="000B6FEA">
        <w:rPr>
          <w:rFonts w:cs="Arial"/>
        </w:rPr>
        <w:t xml:space="preserve">. DDS identified within Chapter 8.00 an opportunity to strengthen this regulation by more clearly aligning certain elements regarding certification with the requirements of the </w:t>
      </w:r>
      <w:r w:rsidR="002714E2">
        <w:rPr>
          <w:rFonts w:cs="Arial"/>
        </w:rPr>
        <w:t>Community</w:t>
      </w:r>
      <w:r w:rsidR="002714E2" w:rsidRPr="000B6FEA">
        <w:rPr>
          <w:rFonts w:cs="Arial"/>
        </w:rPr>
        <w:t xml:space="preserve"> </w:t>
      </w:r>
      <w:r w:rsidR="00F549FA">
        <w:rPr>
          <w:rFonts w:cs="Arial"/>
        </w:rPr>
        <w:t>R</w:t>
      </w:r>
      <w:r w:rsidRPr="000B6FEA">
        <w:rPr>
          <w:rFonts w:cs="Arial"/>
        </w:rPr>
        <w:t xml:space="preserve">ule. </w:t>
      </w:r>
      <w:r w:rsidR="000E7C08" w:rsidRPr="000B6FEA">
        <w:rPr>
          <w:rFonts w:cs="Arial"/>
        </w:rPr>
        <w:t xml:space="preserve">Revisions to this certification process are </w:t>
      </w:r>
      <w:r w:rsidR="006C0C46">
        <w:rPr>
          <w:rFonts w:cs="Arial"/>
        </w:rPr>
        <w:t>complete</w:t>
      </w:r>
      <w:r w:rsidR="00633FB7">
        <w:rPr>
          <w:rFonts w:cs="Arial"/>
        </w:rPr>
        <w:t xml:space="preserve"> and were implemented on September 1, 2016</w:t>
      </w:r>
      <w:r w:rsidR="000E7C08" w:rsidRPr="00E63AF4">
        <w:rPr>
          <w:rFonts w:cs="Arial"/>
        </w:rPr>
        <w:t>.</w:t>
      </w:r>
      <w:r w:rsidR="000E7C08" w:rsidRPr="000B6FEA">
        <w:rPr>
          <w:rFonts w:cs="Arial"/>
        </w:rPr>
        <w:t xml:space="preserve"> (See Table 3. </w:t>
      </w:r>
      <w:r w:rsidRPr="00123AC2">
        <w:rPr>
          <w:rFonts w:cs="Arial"/>
        </w:rPr>
        <w:t>Summary of Transition Plan Tasks and Timelines</w:t>
      </w:r>
      <w:r w:rsidRPr="000B6FEA">
        <w:rPr>
          <w:rFonts w:cs="Arial"/>
        </w:rPr>
        <w:t>).</w:t>
      </w:r>
    </w:p>
    <w:p w14:paraId="2DDF2D74" w14:textId="2A2E724E" w:rsidR="007758F4" w:rsidRPr="00E72E9A" w:rsidRDefault="007758F4" w:rsidP="00337A23">
      <w:r w:rsidRPr="00E72E9A">
        <w:t xml:space="preserve">DDS Licensure and Certification is the process by which providers’ compliance is assessed and determined. The licensure and certification process applies to all providers subject to the requirements of Chapter 19B; section 15(a) of the Massachusetts General Laws.  The licensing review is conducted in a 2-year cycle if all thresholds are met.  Other conditions may require a 60-day follow-up or a mid-cycle review where the agency is reviewed for those indicators where the threshold has not been met.  In some circumstances, both a 60-day follow-up and a mid-cycle review are conducted.  Providers are certified for two years, concurrent with their Two-Year Licensure.  If the certification threshold is not met, the provider is required to complete a progress report at the one-year mark.    </w:t>
      </w:r>
    </w:p>
    <w:p w14:paraId="4BC82559" w14:textId="13C4F770" w:rsidR="007758F4" w:rsidRPr="00E72E9A" w:rsidRDefault="007758F4" w:rsidP="00337A23">
      <w:r w:rsidRPr="00E72E9A">
        <w:t xml:space="preserve">Licensure and certification results are reported separately, with Certification findings specific to individual service types and measuring key areas such as human rights, choice and control, and community access and integration.  </w:t>
      </w:r>
    </w:p>
    <w:p w14:paraId="372F6F82" w14:textId="0F91E5DF" w:rsidR="007758F4" w:rsidRPr="00E72E9A" w:rsidRDefault="007758F4" w:rsidP="00337A23">
      <w:r w:rsidRPr="00E72E9A">
        <w:t xml:space="preserve">The certification tool and process set forth standards for specific services that promote quality and responsiveness and when implemented are predictive of positive outcomes in the lives of individuals.   The tool has its foundation in DDS Regulations (115 CMR Chapters 5, 7, and 8) and covers areas of respect, individual choice and control, and community integration; the tool was expanded in 2016 to align with the Community Rule.  At that time, DDS revised the </w:t>
      </w:r>
      <w:r w:rsidRPr="00E72E9A">
        <w:lastRenderedPageBreak/>
        <w:t xml:space="preserve">licensure and certification tool to clarify expectations and even more closely and strongly align the tool with the critical elements of the Community Rule in terms of both residential and non-residential settings. The specific support expectations in certification fall into several domains, each of which is evaluated separately.  These include, but are not limited to planning and quality improvement, </w:t>
      </w:r>
      <w:proofErr w:type="gramStart"/>
      <w:r w:rsidRPr="00E72E9A">
        <w:t>choice</w:t>
      </w:r>
      <w:proofErr w:type="gramEnd"/>
      <w:r w:rsidRPr="00E72E9A">
        <w:t xml:space="preserve"> and personal growth, supporting and enhancing relationships, career planning and development, and access and integration, to reflect the community rule. </w:t>
      </w:r>
    </w:p>
    <w:p w14:paraId="6B3BD5C1" w14:textId="0BAE7832" w:rsidR="007758F4" w:rsidRPr="00E72E9A" w:rsidRDefault="007758F4" w:rsidP="00337A23">
      <w:r w:rsidRPr="00E72E9A">
        <w:t xml:space="preserve">The Licensure and Certification review is conducted by DDS Quality Enhancement surveyors.  The survey includes preparatory documentation review, administrative review and interview, on-site visits, individual observation and interviews, and individual documentation reviews.  Survey findings are made based on extensive evidence obtained through these various processes.   </w:t>
      </w:r>
    </w:p>
    <w:p w14:paraId="76FF4324" w14:textId="668ABC2B" w:rsidR="007758F4" w:rsidRPr="00E72E9A" w:rsidRDefault="007758F4" w:rsidP="00337A23">
      <w:r w:rsidRPr="00E72E9A">
        <w:t xml:space="preserve">Upon the completion of the survey, a feedback meeting is held for the purpose of presenting the survey team’s findings.  In addition to outlining the level of licensure and certification results, the meeting allows sufficient time to discuss any areas where additional agency effort might be needed.  The goal of this meeting is to support continuous service quality improvement.   </w:t>
      </w:r>
    </w:p>
    <w:p w14:paraId="39BFA102" w14:textId="77777777" w:rsidR="007758F4" w:rsidRPr="00E72E9A" w:rsidRDefault="007758F4" w:rsidP="00337A23">
      <w:pPr>
        <w:rPr>
          <w:highlight w:val="yellow"/>
        </w:rPr>
      </w:pPr>
      <w:r w:rsidRPr="00E72E9A">
        <w:t xml:space="preserve">Providers are required to make corrections when indicators are not </w:t>
      </w:r>
      <w:proofErr w:type="gramStart"/>
      <w:r w:rsidRPr="00E72E9A">
        <w:t>met, and</w:t>
      </w:r>
      <w:proofErr w:type="gramEnd"/>
      <w:r w:rsidRPr="00E72E9A">
        <w:t xml:space="preserve"> are subject to follow-up by DDS surveyor staff or provider staff. These indicators are supportive of and fully in compliance with the HCBS Community Rule. </w:t>
      </w:r>
    </w:p>
    <w:p w14:paraId="2185CBCF" w14:textId="33AEA722" w:rsidR="00327DC1" w:rsidRPr="00A37881" w:rsidRDefault="008C295F" w:rsidP="00144BE9">
      <w:pPr>
        <w:pStyle w:val="Heading3"/>
      </w:pPr>
      <w:r>
        <w:t xml:space="preserve">2. </w:t>
      </w:r>
      <w:r w:rsidR="00327DC1" w:rsidRPr="00A37881">
        <w:t>Policies and procedures</w:t>
      </w:r>
    </w:p>
    <w:p w14:paraId="24E89B58" w14:textId="43AB3D2B" w:rsidR="00327DC1" w:rsidRPr="00157048" w:rsidRDefault="00327DC1" w:rsidP="00327DC1">
      <w:pPr>
        <w:rPr>
          <w:rStyle w:val="Strong"/>
        </w:rPr>
      </w:pPr>
      <w:r w:rsidRPr="00157048">
        <w:rPr>
          <w:rStyle w:val="Strong"/>
        </w:rPr>
        <w:t>Residential Settings</w:t>
      </w:r>
    </w:p>
    <w:p w14:paraId="0A9C3BF7" w14:textId="3E9AF40E" w:rsidR="00EE71DF" w:rsidRPr="00157048" w:rsidRDefault="006E37D8" w:rsidP="000B6FEA">
      <w:pPr>
        <w:contextualSpacing/>
        <w:rPr>
          <w:rStyle w:val="SubtleEmphasis"/>
        </w:rPr>
      </w:pPr>
      <w:r w:rsidRPr="768B82E9">
        <w:rPr>
          <w:rStyle w:val="SubtleEmphasis"/>
        </w:rPr>
        <w:t xml:space="preserve">Tenancy protection </w:t>
      </w:r>
    </w:p>
    <w:p w14:paraId="26B520AA" w14:textId="428CEF8C" w:rsidR="001601CB" w:rsidRDefault="00327DC1" w:rsidP="000B6FEA">
      <w:pPr>
        <w:rPr>
          <w:rFonts w:cs="Arial"/>
        </w:rPr>
      </w:pPr>
      <w:r w:rsidRPr="000B6FEA">
        <w:rPr>
          <w:rFonts w:cs="Arial"/>
        </w:rPr>
        <w:t xml:space="preserve">The CMS rule requires individuals to have a legally enforceable agreement </w:t>
      </w:r>
      <w:r w:rsidR="00CB4A3D" w:rsidRPr="000B6FEA">
        <w:rPr>
          <w:rFonts w:cs="Arial"/>
        </w:rPr>
        <w:t xml:space="preserve">that provides protections </w:t>
      </w:r>
      <w:r w:rsidRPr="000B6FEA">
        <w:rPr>
          <w:rFonts w:cs="Arial"/>
        </w:rPr>
        <w:t xml:space="preserve">comparable to </w:t>
      </w:r>
      <w:r w:rsidR="00CB4A3D" w:rsidRPr="000B6FEA">
        <w:rPr>
          <w:rFonts w:cs="Arial"/>
        </w:rPr>
        <w:t>those provided under landlord-tenant law</w:t>
      </w:r>
      <w:r w:rsidRPr="000B6FEA">
        <w:rPr>
          <w:rFonts w:cs="Arial"/>
        </w:rPr>
        <w:t xml:space="preserve">. The intent of this rule is to safeguard individuals against an arbitrary or capricious eviction from their home. </w:t>
      </w:r>
      <w:r w:rsidR="00CB4A3D" w:rsidRPr="000B6FEA">
        <w:rPr>
          <w:rFonts w:cs="Arial"/>
        </w:rPr>
        <w:t>Based on analysis</w:t>
      </w:r>
      <w:r w:rsidRPr="000B6FEA">
        <w:rPr>
          <w:rFonts w:cs="Arial"/>
        </w:rPr>
        <w:t xml:space="preserve"> </w:t>
      </w:r>
      <w:r w:rsidR="00CB4A3D" w:rsidRPr="000B6FEA">
        <w:rPr>
          <w:rFonts w:cs="Arial"/>
        </w:rPr>
        <w:t xml:space="preserve">of landlord-tenant law and other applicable law, DDS developed guidance </w:t>
      </w:r>
      <w:r w:rsidRPr="000B6FEA">
        <w:rPr>
          <w:rFonts w:cs="Arial"/>
        </w:rPr>
        <w:t xml:space="preserve">for such an agreement </w:t>
      </w:r>
      <w:r w:rsidR="59192822" w:rsidRPr="2388C515">
        <w:rPr>
          <w:rFonts w:cs="Arial"/>
        </w:rPr>
        <w:t>(see Table 4</w:t>
      </w:r>
      <w:r w:rsidR="2A240B7C" w:rsidRPr="5699E447">
        <w:rPr>
          <w:rFonts w:cs="Arial"/>
        </w:rPr>
        <w:t>.</w:t>
      </w:r>
      <w:r w:rsidR="59192822" w:rsidRPr="2388C515">
        <w:rPr>
          <w:rFonts w:cs="Arial"/>
        </w:rPr>
        <w:t xml:space="preserve"> </w:t>
      </w:r>
      <w:r w:rsidR="00C60FA9">
        <w:rPr>
          <w:rFonts w:cs="Arial"/>
        </w:rPr>
        <w:t xml:space="preserve">Links to Related </w:t>
      </w:r>
      <w:proofErr w:type="gramStart"/>
      <w:r w:rsidR="00C60FA9">
        <w:rPr>
          <w:rFonts w:cs="Arial"/>
        </w:rPr>
        <w:t>Documents</w:t>
      </w:r>
      <w:r w:rsidR="680DEFAE" w:rsidRPr="5699E447">
        <w:rPr>
          <w:rFonts w:cs="Arial"/>
        </w:rPr>
        <w:t>)</w:t>
      </w:r>
      <w:r w:rsidR="59192822" w:rsidRPr="2388C515">
        <w:rPr>
          <w:rFonts w:cs="Arial"/>
        </w:rPr>
        <w:t xml:space="preserve"> </w:t>
      </w:r>
      <w:r w:rsidRPr="2388C515">
        <w:rPr>
          <w:rFonts w:cs="Arial"/>
        </w:rPr>
        <w:t xml:space="preserve"> </w:t>
      </w:r>
      <w:r w:rsidRPr="000B6FEA">
        <w:rPr>
          <w:rFonts w:cs="Arial"/>
        </w:rPr>
        <w:t>and</w:t>
      </w:r>
      <w:proofErr w:type="gramEnd"/>
      <w:r w:rsidRPr="000B6FEA">
        <w:rPr>
          <w:rFonts w:cs="Arial"/>
        </w:rPr>
        <w:t xml:space="preserve"> </w:t>
      </w:r>
      <w:r w:rsidR="00CB4A3D" w:rsidRPr="000B6FEA">
        <w:rPr>
          <w:rFonts w:cs="Arial"/>
        </w:rPr>
        <w:t>incorporated requirements related to legally enforceable agreements into the revised licensure and certification tool</w:t>
      </w:r>
      <w:r w:rsidRPr="000B6FEA">
        <w:rPr>
          <w:rFonts w:cs="Arial"/>
        </w:rPr>
        <w:t xml:space="preserve"> (see Table 3. </w:t>
      </w:r>
      <w:r w:rsidRPr="00123AC2">
        <w:rPr>
          <w:rFonts w:cs="Arial"/>
        </w:rPr>
        <w:t>Summary of Transition Plan Tasks and Timelines</w:t>
      </w:r>
      <w:r w:rsidRPr="000B6FEA">
        <w:rPr>
          <w:rFonts w:cs="Arial"/>
        </w:rPr>
        <w:t xml:space="preserve">). </w:t>
      </w:r>
    </w:p>
    <w:p w14:paraId="63F763E2" w14:textId="0B6DABA9" w:rsidR="00DF3F51" w:rsidRDefault="00DF3F51" w:rsidP="000B6FEA">
      <w:pPr>
        <w:rPr>
          <w:rFonts w:cs="Arial"/>
        </w:rPr>
      </w:pPr>
      <w:r w:rsidRPr="00DF3F51">
        <w:rPr>
          <w:rFonts w:cs="Arial"/>
        </w:rPr>
        <w:t>Emergency transfer is rare, but available when it is necessary to protect a DDS consumer, both waiver participants and non-waiver participants, from abuse or imminent harm in their own household. DDS transfer statute/regulations are more robust than Massachusetts landlord tenant law, and MA landlord/tenant law is considered one of the most "tenant friendly" states in the country. See 115 CMR 6.63.</w:t>
      </w:r>
    </w:p>
    <w:p w14:paraId="6B3297D0" w14:textId="77777777" w:rsidR="00E72E9A" w:rsidRDefault="00E72E9A" w:rsidP="000B6FEA">
      <w:pPr>
        <w:contextualSpacing/>
        <w:rPr>
          <w:rStyle w:val="SubtleEmphasis"/>
        </w:rPr>
      </w:pPr>
    </w:p>
    <w:p w14:paraId="5D72B1C1" w14:textId="694BA1A4" w:rsidR="00971933" w:rsidRPr="00157048" w:rsidRDefault="00971933" w:rsidP="000B6FEA">
      <w:pPr>
        <w:contextualSpacing/>
        <w:rPr>
          <w:rStyle w:val="SubtleEmphasis"/>
        </w:rPr>
      </w:pPr>
      <w:r w:rsidRPr="768B82E9">
        <w:rPr>
          <w:rStyle w:val="SubtleEmphasis"/>
        </w:rPr>
        <w:t xml:space="preserve">Adult Foster Care </w:t>
      </w:r>
    </w:p>
    <w:p w14:paraId="3244F145" w14:textId="128EE455" w:rsidR="00B67FB1" w:rsidRPr="00030CCB" w:rsidRDefault="00B67FB1" w:rsidP="00B67FB1">
      <w:r>
        <w:t xml:space="preserve">All Massachusetts HCBS waiver participants have access to the Adult Foster Care (AFC) service, which is a MassHealth state plan service, not a HCBS waiver service. </w:t>
      </w:r>
      <w:proofErr w:type="gramStart"/>
      <w:r>
        <w:t>The majority of</w:t>
      </w:r>
      <w:proofErr w:type="gramEnd"/>
      <w:r>
        <w:t xml:space="preserve"> AFC caregivers are family members. </w:t>
      </w:r>
      <w:r w:rsidRPr="00030CCB">
        <w:t xml:space="preserve">While MassHealth’s AFC program regulation 130 CMR 408.435(A) addresses qualified AFC settings and explicitly states that AFC settings are not structured as provider operated settings, some waiver participants </w:t>
      </w:r>
      <w:r>
        <w:t xml:space="preserve">may choose to move into the </w:t>
      </w:r>
      <w:r>
        <w:lastRenderedPageBreak/>
        <w:t>home of an unrelated AFC caregiver concurrent to receiving HCBS waiver services</w:t>
      </w:r>
      <w:r w:rsidR="00BC0AD5">
        <w:t xml:space="preserve"> in the home</w:t>
      </w:r>
      <w:r w:rsidRPr="00030CCB">
        <w:t xml:space="preserve">. </w:t>
      </w:r>
      <w:r>
        <w:t>In</w:t>
      </w:r>
      <w:r w:rsidRPr="00030CCB">
        <w:t xml:space="preserve"> those instances where the caregiver </w:t>
      </w:r>
      <w:r>
        <w:t>is</w:t>
      </w:r>
      <w:r w:rsidRPr="00030CCB">
        <w:t xml:space="preserve"> unrelated and the participant d</w:t>
      </w:r>
      <w:r>
        <w:t>oes</w:t>
      </w:r>
      <w:r w:rsidRPr="00030CCB">
        <w:t xml:space="preserve"> not own </w:t>
      </w:r>
      <w:r>
        <w:t xml:space="preserve">or lease </w:t>
      </w:r>
      <w:r w:rsidRPr="00030CCB">
        <w:t>the home, MassHealth will review those AFC settings to ensure they conform to the requirements of community settings including that the participant has a lease or other legally enforceable agreement providing similar protections.</w:t>
      </w:r>
    </w:p>
    <w:p w14:paraId="5DA37941" w14:textId="49DF0590" w:rsidR="00C17FC6" w:rsidRDefault="00C17FC6" w:rsidP="00C17FC6">
      <w:r w:rsidRPr="00030CCB">
        <w:t xml:space="preserve">MassHealth </w:t>
      </w:r>
      <w:r w:rsidR="00E72302">
        <w:t>has</w:t>
      </w:r>
      <w:r w:rsidR="00E72302" w:rsidRPr="00030CCB">
        <w:t xml:space="preserve"> </w:t>
      </w:r>
      <w:r w:rsidRPr="00030CCB">
        <w:t>develop</w:t>
      </w:r>
      <w:r w:rsidR="00E72302">
        <w:t>ed</w:t>
      </w:r>
      <w:r w:rsidRPr="00030CCB">
        <w:t xml:space="preserve"> guidance for AFC provider </w:t>
      </w:r>
      <w:r>
        <w:t>agencies</w:t>
      </w:r>
      <w:r w:rsidRPr="00030CCB">
        <w:t xml:space="preserve"> regarding </w:t>
      </w:r>
      <w:r>
        <w:t xml:space="preserve">the need to complete the </w:t>
      </w:r>
      <w:r w:rsidR="00363F51">
        <w:rPr>
          <w:rStyle w:val="ui-provider"/>
        </w:rPr>
        <w:t>Home- and Community-Based Services Community</w:t>
      </w:r>
      <w:r w:rsidR="00870970">
        <w:rPr>
          <w:rStyle w:val="ui-provider"/>
        </w:rPr>
        <w:t xml:space="preserve"> </w:t>
      </w:r>
      <w:r w:rsidR="00363F51">
        <w:rPr>
          <w:rStyle w:val="ui-provider"/>
        </w:rPr>
        <w:t xml:space="preserve">Rule Attestation for Waiver Participants Receiving Adult Foster Care </w:t>
      </w:r>
      <w:r w:rsidR="00363F51" w:rsidRPr="481C9B70">
        <w:rPr>
          <w:rStyle w:val="ui-provider"/>
        </w:rPr>
        <w:t>Services</w:t>
      </w:r>
      <w:r w:rsidR="166898D1" w:rsidRPr="481C9B70">
        <w:rPr>
          <w:rStyle w:val="ui-provider"/>
        </w:rPr>
        <w:t xml:space="preserve"> </w:t>
      </w:r>
      <w:r>
        <w:t>and implement remediation strategies to ensure compliance with the community rule</w:t>
      </w:r>
      <w:r w:rsidR="00957099">
        <w:t xml:space="preserve"> in</w:t>
      </w:r>
      <w:r w:rsidR="00957099" w:rsidRPr="00030CCB">
        <w:t xml:space="preserve"> those instances where the </w:t>
      </w:r>
      <w:r w:rsidR="00957099">
        <w:t xml:space="preserve">AFC </w:t>
      </w:r>
      <w:r w:rsidR="00957099" w:rsidRPr="00030CCB">
        <w:t xml:space="preserve">caregiver </w:t>
      </w:r>
      <w:r w:rsidR="00957099">
        <w:t>is</w:t>
      </w:r>
      <w:r w:rsidR="00957099" w:rsidRPr="00030CCB">
        <w:t xml:space="preserve"> unrelated </w:t>
      </w:r>
      <w:r w:rsidR="00957099">
        <w:t xml:space="preserve">to the </w:t>
      </w:r>
      <w:r w:rsidR="00BC0AD5">
        <w:t xml:space="preserve">HCBS waiver </w:t>
      </w:r>
      <w:proofErr w:type="gramStart"/>
      <w:r w:rsidR="00957099">
        <w:t>participant</w:t>
      </w:r>
      <w:proofErr w:type="gramEnd"/>
      <w:r w:rsidR="00957099">
        <w:t xml:space="preserve"> </w:t>
      </w:r>
      <w:r w:rsidR="00957099" w:rsidRPr="00030CCB">
        <w:t>and the participant d</w:t>
      </w:r>
      <w:r w:rsidR="00957099">
        <w:t>oes</w:t>
      </w:r>
      <w:r w:rsidR="00957099" w:rsidRPr="00030CCB">
        <w:t xml:space="preserve"> not own </w:t>
      </w:r>
      <w:r w:rsidR="00957099">
        <w:t xml:space="preserve">or lease </w:t>
      </w:r>
      <w:r w:rsidR="00957099" w:rsidRPr="00030CCB">
        <w:t>the home</w:t>
      </w:r>
      <w:r>
        <w:t xml:space="preserve">.  </w:t>
      </w:r>
    </w:p>
    <w:p w14:paraId="0DB2DA80" w14:textId="7DBDA09B" w:rsidR="00EE71DF" w:rsidRPr="00157048" w:rsidRDefault="00CC68E2" w:rsidP="000B6FEA">
      <w:pPr>
        <w:contextualSpacing/>
        <w:rPr>
          <w:rStyle w:val="SubtleEmphasis"/>
        </w:rPr>
      </w:pPr>
      <w:r>
        <w:rPr>
          <w:rStyle w:val="SubtleEmphasis"/>
        </w:rPr>
        <w:t>F</w:t>
      </w:r>
      <w:r w:rsidR="006E37D8" w:rsidRPr="00157048">
        <w:rPr>
          <w:rStyle w:val="SubtleEmphasis"/>
        </w:rPr>
        <w:t xml:space="preserve">uture </w:t>
      </w:r>
      <w:r w:rsidR="000063BE">
        <w:rPr>
          <w:rStyle w:val="SubtleEmphasis"/>
        </w:rPr>
        <w:t xml:space="preserve">DDS licensed </w:t>
      </w:r>
      <w:r w:rsidR="001A348D">
        <w:rPr>
          <w:rStyle w:val="SubtleEmphasis"/>
        </w:rPr>
        <w:t xml:space="preserve">and certified </w:t>
      </w:r>
      <w:r w:rsidR="006E37D8" w:rsidRPr="00157048">
        <w:rPr>
          <w:rStyle w:val="SubtleEmphasis"/>
        </w:rPr>
        <w:t>settings</w:t>
      </w:r>
    </w:p>
    <w:p w14:paraId="21751195" w14:textId="18344D32" w:rsidR="00327DC1" w:rsidRPr="000B6FEA" w:rsidRDefault="00327DC1" w:rsidP="000B6FEA">
      <w:pPr>
        <w:rPr>
          <w:rFonts w:cs="Arial"/>
        </w:rPr>
      </w:pPr>
      <w:r w:rsidRPr="000B6FEA">
        <w:rPr>
          <w:rFonts w:cs="Arial"/>
        </w:rPr>
        <w:t xml:space="preserve">DDS did not have a specific policy in place prior to CMS’s issuance of its Community Rule that clearly articulated </w:t>
      </w:r>
      <w:r w:rsidR="679618ED" w:rsidRPr="4B5B40F1">
        <w:rPr>
          <w:rFonts w:cs="Arial"/>
        </w:rPr>
        <w:t xml:space="preserve">its </w:t>
      </w:r>
      <w:r w:rsidRPr="000B6FEA">
        <w:rPr>
          <w:rFonts w:cs="Arial"/>
        </w:rPr>
        <w:t>position on settings that CMS considers not to meet the criteria for community</w:t>
      </w:r>
      <w:r w:rsidR="00AC1048">
        <w:rPr>
          <w:rFonts w:cs="Arial"/>
        </w:rPr>
        <w:t>-</w:t>
      </w:r>
      <w:r w:rsidRPr="000B6FEA">
        <w:rPr>
          <w:rFonts w:cs="Arial"/>
        </w:rPr>
        <w:t xml:space="preserve">based settings. Therefore, DDS developed and disseminated a policy (dated September 2, 2014) that spells out the Department’s position on future development of settings as well as how existing settings that </w:t>
      </w:r>
      <w:r w:rsidR="00BA4A1C">
        <w:rPr>
          <w:rFonts w:cs="Arial"/>
        </w:rPr>
        <w:t xml:space="preserve">have </w:t>
      </w:r>
      <w:r w:rsidR="00061FE3">
        <w:rPr>
          <w:rFonts w:cs="Arial"/>
        </w:rPr>
        <w:t>transition</w:t>
      </w:r>
      <w:r w:rsidR="00BA4A1C">
        <w:rPr>
          <w:rFonts w:cs="Arial"/>
        </w:rPr>
        <w:t>ed</w:t>
      </w:r>
      <w:r w:rsidRPr="000B6FEA">
        <w:rPr>
          <w:rFonts w:cs="Arial"/>
        </w:rPr>
        <w:t xml:space="preserve"> into compliance with the rule </w:t>
      </w:r>
      <w:r w:rsidR="00BA4A1C">
        <w:rPr>
          <w:rFonts w:cs="Arial"/>
        </w:rPr>
        <w:t>were</w:t>
      </w:r>
      <w:r w:rsidRPr="000B6FEA">
        <w:rPr>
          <w:rFonts w:cs="Arial"/>
        </w:rPr>
        <w:t xml:space="preserve"> addressed</w:t>
      </w:r>
      <w:r w:rsidR="00BA4A1C">
        <w:rPr>
          <w:rFonts w:cs="Arial"/>
        </w:rPr>
        <w:t xml:space="preserve"> (See Section V</w:t>
      </w:r>
      <w:r w:rsidR="00C84FAA">
        <w:rPr>
          <w:rFonts w:cs="Arial"/>
        </w:rPr>
        <w:t>. Site-Specific Assessment)</w:t>
      </w:r>
      <w:r w:rsidRPr="000B6FEA">
        <w:rPr>
          <w:rFonts w:cs="Arial"/>
        </w:rPr>
        <w:t xml:space="preserve">. This policy is now in force. (See Table 3. </w:t>
      </w:r>
      <w:r w:rsidRPr="00123AC2">
        <w:rPr>
          <w:rFonts w:cs="Arial"/>
        </w:rPr>
        <w:t>Summary of Transition Plan Tasks and Timelines</w:t>
      </w:r>
      <w:r w:rsidRPr="000B6FEA">
        <w:rPr>
          <w:rFonts w:cs="Arial"/>
        </w:rPr>
        <w:t xml:space="preserve">).  </w:t>
      </w:r>
    </w:p>
    <w:p w14:paraId="233033A2" w14:textId="77777777" w:rsidR="00327DC1" w:rsidRPr="0063026F" w:rsidRDefault="00327DC1" w:rsidP="00327DC1">
      <w:pPr>
        <w:rPr>
          <w:rStyle w:val="Strong"/>
        </w:rPr>
      </w:pPr>
      <w:r w:rsidRPr="0063026F">
        <w:rPr>
          <w:rStyle w:val="Strong"/>
        </w:rPr>
        <w:t>Non-Residential Settings</w:t>
      </w:r>
    </w:p>
    <w:p w14:paraId="0B3991AA" w14:textId="77777777" w:rsidR="00EE71DF" w:rsidRPr="00B67FB0" w:rsidRDefault="006E37D8" w:rsidP="0063026F">
      <w:pPr>
        <w:rPr>
          <w:rStyle w:val="SubtleEmphasis"/>
        </w:rPr>
      </w:pPr>
      <w:r w:rsidRPr="00B67FB0">
        <w:rPr>
          <w:rStyle w:val="SubtleEmphasis"/>
        </w:rPr>
        <w:t>Individual Supported Employment</w:t>
      </w:r>
    </w:p>
    <w:p w14:paraId="3A95E8FF" w14:textId="0885B645" w:rsidR="00327DC1" w:rsidRPr="006E37D8" w:rsidRDefault="00327DC1" w:rsidP="006E37D8">
      <w:pPr>
        <w:rPr>
          <w:rFonts w:cs="Arial"/>
        </w:rPr>
      </w:pPr>
      <w:r w:rsidRPr="006E37D8">
        <w:rPr>
          <w:rFonts w:cs="Arial"/>
        </w:rPr>
        <w:t xml:space="preserve">On July 20, 2010, DDS issued an “Employment First Policy.” This policy </w:t>
      </w:r>
      <w:r w:rsidR="002A1B36" w:rsidRPr="006E37D8">
        <w:rPr>
          <w:rFonts w:cs="Arial"/>
        </w:rPr>
        <w:t>articulate</w:t>
      </w:r>
      <w:r w:rsidR="002A1B36">
        <w:rPr>
          <w:rFonts w:cs="Arial"/>
        </w:rPr>
        <w:t>d</w:t>
      </w:r>
      <w:r w:rsidR="002A1B36" w:rsidRPr="006E37D8">
        <w:rPr>
          <w:rFonts w:cs="Arial"/>
        </w:rPr>
        <w:t xml:space="preserve"> </w:t>
      </w:r>
      <w:r w:rsidRPr="006E37D8">
        <w:rPr>
          <w:rFonts w:cs="Arial"/>
        </w:rPr>
        <w:t xml:space="preserve">DDS’s commitment to individual integrated employment as the preferred option for individuals of working age. Since its issuance, DDS </w:t>
      </w:r>
      <w:r w:rsidR="00AD339E">
        <w:rPr>
          <w:rFonts w:cs="Arial"/>
        </w:rPr>
        <w:t>has worked and continues to work</w:t>
      </w:r>
      <w:r w:rsidRPr="006E37D8">
        <w:rPr>
          <w:rFonts w:cs="Arial"/>
        </w:rPr>
        <w:t xml:space="preserve"> collaboratively with providers and stakeholders to ensure that individuals are assisted to enter integrated employment options.</w:t>
      </w:r>
    </w:p>
    <w:p w14:paraId="241847FE" w14:textId="77777777" w:rsidR="00EE71DF" w:rsidRPr="00B67FB0" w:rsidRDefault="006E37D8" w:rsidP="0063026F">
      <w:pPr>
        <w:rPr>
          <w:rStyle w:val="SubtleEmphasis"/>
        </w:rPr>
      </w:pPr>
      <w:r w:rsidRPr="00B67FB0">
        <w:rPr>
          <w:rStyle w:val="SubtleEmphasis"/>
        </w:rPr>
        <w:t>Group Supported Employment</w:t>
      </w:r>
    </w:p>
    <w:p w14:paraId="528EAE71" w14:textId="407D3647" w:rsidR="00327DC1" w:rsidRPr="006E37D8" w:rsidRDefault="00327DC1" w:rsidP="006E37D8">
      <w:pPr>
        <w:rPr>
          <w:rFonts w:cs="Arial"/>
        </w:rPr>
      </w:pPr>
      <w:r w:rsidRPr="768B82E9">
        <w:rPr>
          <w:rFonts w:cs="Arial"/>
        </w:rPr>
        <w:t xml:space="preserve">Issued in November 2013, “The Blueprint for Success: Employing Individuals with ID in Massachusetts” </w:t>
      </w:r>
      <w:r w:rsidR="002A1B36" w:rsidRPr="768B82E9">
        <w:rPr>
          <w:rFonts w:cs="Arial"/>
        </w:rPr>
        <w:t xml:space="preserve">set forth </w:t>
      </w:r>
      <w:r w:rsidRPr="768B82E9">
        <w:rPr>
          <w:rFonts w:cs="Arial"/>
        </w:rPr>
        <w:t xml:space="preserve">DDS’s plan to increase integrated employment opportunities for people with intellectual disabilities and transform sheltered workshop settings. To accomplish this goal, which aligned with the HCBS Community Rule, key policy initiatives </w:t>
      </w:r>
      <w:r w:rsidR="002A1B36" w:rsidRPr="768B82E9">
        <w:rPr>
          <w:rFonts w:cs="Arial"/>
        </w:rPr>
        <w:t>were</w:t>
      </w:r>
      <w:r w:rsidRPr="768B82E9">
        <w:rPr>
          <w:rFonts w:cs="Arial"/>
        </w:rPr>
        <w:t xml:space="preserve"> implemented: </w:t>
      </w:r>
      <w:r w:rsidR="002A1B36" w:rsidRPr="768B82E9">
        <w:rPr>
          <w:rFonts w:cs="Arial"/>
        </w:rPr>
        <w:t xml:space="preserve">DDS halted </w:t>
      </w:r>
      <w:r w:rsidRPr="768B82E9">
        <w:rPr>
          <w:rFonts w:cs="Arial"/>
        </w:rPr>
        <w:t xml:space="preserve">new referrals to sheltered workshops, </w:t>
      </w:r>
      <w:r w:rsidR="002A1B36" w:rsidRPr="768B82E9">
        <w:rPr>
          <w:rFonts w:cs="Arial"/>
        </w:rPr>
        <w:t xml:space="preserve">closed </w:t>
      </w:r>
      <w:r w:rsidRPr="768B82E9">
        <w:rPr>
          <w:rFonts w:cs="Arial"/>
        </w:rPr>
        <w:t xml:space="preserve">sheltered workshops, and </w:t>
      </w:r>
      <w:r w:rsidR="002A1B36" w:rsidRPr="768B82E9">
        <w:rPr>
          <w:rFonts w:cs="Arial"/>
        </w:rPr>
        <w:t xml:space="preserve">transitioned </w:t>
      </w:r>
      <w:r w:rsidRPr="768B82E9">
        <w:rPr>
          <w:rFonts w:cs="Arial"/>
        </w:rPr>
        <w:t xml:space="preserve">individuals in sheltered workshops to integrated individual or group employment or </w:t>
      </w:r>
      <w:r w:rsidR="00F35BEA" w:rsidRPr="768B82E9">
        <w:rPr>
          <w:rFonts w:cs="Arial"/>
        </w:rPr>
        <w:t>Community Based Day Supports</w:t>
      </w:r>
      <w:r w:rsidRPr="768B82E9">
        <w:rPr>
          <w:rFonts w:cs="Arial"/>
        </w:rPr>
        <w:t xml:space="preserve"> or both. </w:t>
      </w:r>
      <w:r w:rsidR="00C5549A" w:rsidRPr="768B82E9">
        <w:rPr>
          <w:rFonts w:cs="Arial"/>
        </w:rPr>
        <w:t>Since</w:t>
      </w:r>
      <w:r w:rsidRPr="768B82E9">
        <w:rPr>
          <w:rFonts w:cs="Arial"/>
        </w:rPr>
        <w:t xml:space="preserve"> FY </w:t>
      </w:r>
      <w:r w:rsidR="00717C4C" w:rsidRPr="768B82E9">
        <w:rPr>
          <w:rFonts w:cs="Arial"/>
        </w:rPr>
        <w:t>20</w:t>
      </w:r>
      <w:r w:rsidRPr="768B82E9">
        <w:rPr>
          <w:rFonts w:cs="Arial"/>
        </w:rPr>
        <w:t xml:space="preserve">14, DDS </w:t>
      </w:r>
      <w:r w:rsidR="00C5549A" w:rsidRPr="768B82E9">
        <w:rPr>
          <w:rFonts w:cs="Arial"/>
        </w:rPr>
        <w:t xml:space="preserve">has been </w:t>
      </w:r>
      <w:r w:rsidRPr="768B82E9">
        <w:rPr>
          <w:rFonts w:cs="Arial"/>
        </w:rPr>
        <w:t>committed to funding a capacity-building initiative for its provider agencies. In partnership with the Institute for Community Inclusion/UMass Boston (ICI), this initiative focuse</w:t>
      </w:r>
      <w:r w:rsidR="00266757" w:rsidRPr="768B82E9">
        <w:rPr>
          <w:rFonts w:cs="Arial"/>
        </w:rPr>
        <w:t>d and continues to focus</w:t>
      </w:r>
      <w:r w:rsidRPr="768B82E9">
        <w:rPr>
          <w:rFonts w:cs="Arial"/>
        </w:rPr>
        <w:t xml:space="preserve"> on staff training, organizational change consultation efforts, expanding an employment collaborative model, providing technical assistance, and supporting forums for individuals and families. The ICI is a nationally recognized organization with demonstrated expertise </w:t>
      </w:r>
      <w:proofErr w:type="gramStart"/>
      <w:r w:rsidRPr="768B82E9">
        <w:rPr>
          <w:rFonts w:cs="Arial"/>
        </w:rPr>
        <w:t>in the area of</w:t>
      </w:r>
      <w:proofErr w:type="gramEnd"/>
      <w:r w:rsidRPr="768B82E9">
        <w:rPr>
          <w:rFonts w:cs="Arial"/>
        </w:rPr>
        <w:t xml:space="preserve"> supporting employment and inclusion for individuals with disabilities. An important area of focus for these </w:t>
      </w:r>
      <w:r w:rsidRPr="768B82E9">
        <w:rPr>
          <w:rFonts w:cs="Arial"/>
        </w:rPr>
        <w:lastRenderedPageBreak/>
        <w:t>efforts has been on program design and quality features of inclusive CBDS programs, including three statewide trainings with national experts that reached more than 200 providers and DDS staff as well as technical assistance and consultation services with specific providers.</w:t>
      </w:r>
    </w:p>
    <w:p w14:paraId="46C716B8" w14:textId="1B5C6FD5" w:rsidR="00327DC1" w:rsidRPr="006E37D8" w:rsidRDefault="00327DC1" w:rsidP="006E37D8">
      <w:pPr>
        <w:rPr>
          <w:rFonts w:cs="Arial"/>
        </w:rPr>
      </w:pPr>
      <w:r w:rsidRPr="006E37D8">
        <w:rPr>
          <w:rFonts w:cs="Arial"/>
        </w:rPr>
        <w:t xml:space="preserve">Previous policy initiatives supporting compliance with the HCBS Community Rule are the Department’s commitment to developing alternatives to sheltered workshops as seen in FY2010 procurements for day and employment programs, and </w:t>
      </w:r>
      <w:r w:rsidR="00CB4A3D" w:rsidRPr="006E37D8">
        <w:rPr>
          <w:rFonts w:cs="Arial"/>
        </w:rPr>
        <w:t xml:space="preserve">the establishment of </w:t>
      </w:r>
      <w:r w:rsidRPr="006E37D8">
        <w:rPr>
          <w:rFonts w:cs="Arial"/>
        </w:rPr>
        <w:t xml:space="preserve">new rates (2013) that incentivized integrated employment and </w:t>
      </w:r>
      <w:r w:rsidR="00974D8C" w:rsidRPr="006E37D8">
        <w:rPr>
          <w:rFonts w:cs="Arial"/>
        </w:rPr>
        <w:t>community-based</w:t>
      </w:r>
      <w:r w:rsidRPr="006E37D8">
        <w:rPr>
          <w:rFonts w:cs="Arial"/>
        </w:rPr>
        <w:t xml:space="preserve"> day services. </w:t>
      </w:r>
    </w:p>
    <w:p w14:paraId="5EBF595F" w14:textId="77777777" w:rsidR="00EE71DF" w:rsidRPr="00B67FB0" w:rsidRDefault="006E37D8" w:rsidP="002E72BD">
      <w:pPr>
        <w:rPr>
          <w:rStyle w:val="SubtleEmphasis"/>
        </w:rPr>
      </w:pPr>
      <w:r w:rsidRPr="00B67FB0">
        <w:rPr>
          <w:rStyle w:val="SubtleEmphasis"/>
        </w:rPr>
        <w:t>Community-Based Day Supports</w:t>
      </w:r>
      <w:r w:rsidR="00F35BEA" w:rsidRPr="00B67FB0">
        <w:rPr>
          <w:rStyle w:val="SubtleEmphasis"/>
        </w:rPr>
        <w:t xml:space="preserve"> (CBDS)</w:t>
      </w:r>
    </w:p>
    <w:p w14:paraId="6DD48B1E" w14:textId="0D9071C8" w:rsidR="00327DC1" w:rsidRPr="006E37D8" w:rsidRDefault="00327DC1" w:rsidP="006E37D8">
      <w:pPr>
        <w:rPr>
          <w:rFonts w:cs="Arial"/>
        </w:rPr>
      </w:pPr>
      <w:r w:rsidRPr="006E37D8">
        <w:rPr>
          <w:rFonts w:cs="Arial"/>
        </w:rPr>
        <w:t>The pillar of DDS’s systemic assessment of CBDS programs was a voluntary survey developed by DDS and distributed to 98 Community-Based Day Support</w:t>
      </w:r>
      <w:r w:rsidR="00F35BEA">
        <w:rPr>
          <w:rFonts w:cs="Arial"/>
        </w:rPr>
        <w:t>s</w:t>
      </w:r>
      <w:r w:rsidRPr="006E37D8">
        <w:rPr>
          <w:rFonts w:cs="Arial"/>
        </w:rPr>
        <w:t xml:space="preserve"> providers, representing 170 CBDS settings. The purpose of the survey was to gather data about establishing standards for what constitutes a meaningful day for individuals, best practices, challenges, and qualitative and quantitative measures for CBDS services. Specifically, it incorporated questions that allowed a provider to discuss areas that were particularly challenging to it related to the Community Rule </w:t>
      </w:r>
      <w:proofErr w:type="gramStart"/>
      <w:r w:rsidRPr="006E37D8">
        <w:rPr>
          <w:rFonts w:cs="Arial"/>
        </w:rPr>
        <w:t>as a way to</w:t>
      </w:r>
      <w:proofErr w:type="gramEnd"/>
      <w:r w:rsidRPr="006E37D8">
        <w:rPr>
          <w:rFonts w:cs="Arial"/>
        </w:rPr>
        <w:t xml:space="preserve"> note areas that require systemic improvement. The results of the voluntary provider survey </w:t>
      </w:r>
      <w:r w:rsidR="00AD339E">
        <w:rPr>
          <w:rFonts w:cs="Arial"/>
        </w:rPr>
        <w:t>have been</w:t>
      </w:r>
      <w:r w:rsidRPr="006E37D8">
        <w:rPr>
          <w:rFonts w:cs="Arial"/>
        </w:rPr>
        <w:t xml:space="preserve"> used to determine systemic changes needed, including but not limited to:</w:t>
      </w:r>
    </w:p>
    <w:p w14:paraId="0DE9F689" w14:textId="77777777" w:rsidR="00327DC1" w:rsidRPr="00B11E60" w:rsidRDefault="00327DC1" w:rsidP="004427AF">
      <w:pPr>
        <w:pStyle w:val="ListParagraph"/>
        <w:numPr>
          <w:ilvl w:val="0"/>
          <w:numId w:val="7"/>
        </w:numPr>
        <w:rPr>
          <w:rFonts w:cs="Arial"/>
        </w:rPr>
      </w:pPr>
      <w:r w:rsidRPr="00B11E60">
        <w:rPr>
          <w:rFonts w:cs="Arial"/>
        </w:rPr>
        <w:t xml:space="preserve">Development of clear guidelines/standards that define CBDS services, including what constitutes meaningful day activities, and how services and supports can be integrated into the community more </w:t>
      </w:r>
      <w:proofErr w:type="gramStart"/>
      <w:r w:rsidRPr="00B11E60">
        <w:rPr>
          <w:rFonts w:cs="Arial"/>
        </w:rPr>
        <w:t>successfully;</w:t>
      </w:r>
      <w:proofErr w:type="gramEnd"/>
    </w:p>
    <w:p w14:paraId="63A3AA54" w14:textId="77777777" w:rsidR="00327DC1" w:rsidRPr="00B11E60" w:rsidRDefault="00327DC1" w:rsidP="004427AF">
      <w:pPr>
        <w:pStyle w:val="ListParagraph"/>
        <w:numPr>
          <w:ilvl w:val="0"/>
          <w:numId w:val="7"/>
        </w:numPr>
        <w:rPr>
          <w:rFonts w:cs="Arial"/>
        </w:rPr>
      </w:pPr>
      <w:r w:rsidRPr="00B11E60">
        <w:rPr>
          <w:rFonts w:cs="Arial"/>
        </w:rPr>
        <w:t>Provision of training and staff development activities to enhance the knowledge of providers and their staff with respect to successful strategies to support individuals in meaningful day activities (in part, through the ICI initiative</w:t>
      </w:r>
      <w:proofErr w:type="gramStart"/>
      <w:r w:rsidRPr="00B11E60">
        <w:rPr>
          <w:rFonts w:cs="Arial"/>
        </w:rPr>
        <w:t>);</w:t>
      </w:r>
      <w:proofErr w:type="gramEnd"/>
    </w:p>
    <w:p w14:paraId="18CA3A13" w14:textId="77777777" w:rsidR="00327DC1" w:rsidRPr="00B11E60" w:rsidRDefault="00327DC1" w:rsidP="004427AF">
      <w:pPr>
        <w:pStyle w:val="ListParagraph"/>
        <w:numPr>
          <w:ilvl w:val="0"/>
          <w:numId w:val="7"/>
        </w:numPr>
        <w:rPr>
          <w:rFonts w:cs="Arial"/>
        </w:rPr>
      </w:pPr>
      <w:r w:rsidRPr="00B11E60">
        <w:rPr>
          <w:rFonts w:cs="Arial"/>
        </w:rPr>
        <w:t xml:space="preserve">Development of revised certification indicators against which to measure provider performance and quality of </w:t>
      </w:r>
      <w:proofErr w:type="gramStart"/>
      <w:r w:rsidRPr="00B11E60">
        <w:rPr>
          <w:rFonts w:cs="Arial"/>
        </w:rPr>
        <w:t>services;</w:t>
      </w:r>
      <w:proofErr w:type="gramEnd"/>
      <w:r w:rsidRPr="00B11E60">
        <w:rPr>
          <w:rFonts w:cs="Arial"/>
        </w:rPr>
        <w:t xml:space="preserve"> </w:t>
      </w:r>
    </w:p>
    <w:p w14:paraId="2122B169" w14:textId="77777777" w:rsidR="00327DC1" w:rsidRPr="00B11E60" w:rsidRDefault="00327DC1" w:rsidP="004427AF">
      <w:pPr>
        <w:pStyle w:val="ListParagraph"/>
        <w:numPr>
          <w:ilvl w:val="0"/>
          <w:numId w:val="7"/>
        </w:numPr>
        <w:rPr>
          <w:rFonts w:cs="Arial"/>
        </w:rPr>
      </w:pPr>
      <w:r w:rsidRPr="00B11E60">
        <w:rPr>
          <w:rFonts w:cs="Arial"/>
        </w:rPr>
        <w:t>Technical assistance to providers to assist in enhancing their program design and operation; and</w:t>
      </w:r>
    </w:p>
    <w:p w14:paraId="4AFCE010" w14:textId="77777777" w:rsidR="00327DC1" w:rsidRPr="00B11E60" w:rsidRDefault="00327DC1" w:rsidP="004427AF">
      <w:pPr>
        <w:pStyle w:val="ListParagraph"/>
        <w:numPr>
          <w:ilvl w:val="0"/>
          <w:numId w:val="8"/>
        </w:numPr>
        <w:ind w:left="720"/>
        <w:rPr>
          <w:rFonts w:cs="Arial"/>
        </w:rPr>
      </w:pPr>
      <w:r w:rsidRPr="00B11E60">
        <w:rPr>
          <w:rFonts w:cs="Arial"/>
        </w:rPr>
        <w:t>DDS review of contracting provisions to ensure appropriate incentives towards outcomes required by the Community Rule.</w:t>
      </w:r>
    </w:p>
    <w:p w14:paraId="622C9443" w14:textId="625CBBA9" w:rsidR="00327DC1" w:rsidRPr="00B11E60" w:rsidRDefault="00327DC1" w:rsidP="006E37D8">
      <w:pPr>
        <w:rPr>
          <w:rFonts w:cs="Arial"/>
        </w:rPr>
      </w:pPr>
      <w:r w:rsidRPr="00B11E60">
        <w:rPr>
          <w:rFonts w:cs="Arial"/>
        </w:rPr>
        <w:t xml:space="preserve">Data gleaned from the survey </w:t>
      </w:r>
      <w:r w:rsidR="000A659C">
        <w:rPr>
          <w:rFonts w:cs="Arial"/>
        </w:rPr>
        <w:t>has been</w:t>
      </w:r>
      <w:r w:rsidRPr="00B11E60">
        <w:rPr>
          <w:rFonts w:cs="Arial"/>
        </w:rPr>
        <w:t xml:space="preserve"> used to inform the existing DDS Employment Work Group </w:t>
      </w:r>
      <w:r w:rsidR="00F35BEA">
        <w:rPr>
          <w:rFonts w:cs="Arial"/>
        </w:rPr>
        <w:t>regarding</w:t>
      </w:r>
      <w:r w:rsidRPr="00B11E60">
        <w:rPr>
          <w:rFonts w:cs="Arial"/>
        </w:rPr>
        <w:t xml:space="preserve"> enhancement of </w:t>
      </w:r>
      <w:r w:rsidR="00F35BEA">
        <w:rPr>
          <w:rFonts w:cs="Arial"/>
        </w:rPr>
        <w:t>Community Based Day Supports</w:t>
      </w:r>
      <w:r w:rsidR="001107F8">
        <w:rPr>
          <w:rFonts w:cs="Arial"/>
        </w:rPr>
        <w:t>,</w:t>
      </w:r>
      <w:r w:rsidRPr="00B11E60">
        <w:rPr>
          <w:rFonts w:cs="Arial"/>
        </w:rPr>
        <w:t xml:space="preserve"> as well as a group of advocates, participants/family members, </w:t>
      </w:r>
      <w:r w:rsidR="00266757">
        <w:rPr>
          <w:rFonts w:cs="Arial"/>
        </w:rPr>
        <w:t xml:space="preserve">state staff </w:t>
      </w:r>
      <w:r w:rsidRPr="00B11E60">
        <w:rPr>
          <w:rFonts w:cs="Arial"/>
        </w:rPr>
        <w:t>and other stakeholders regarding the following:</w:t>
      </w:r>
    </w:p>
    <w:p w14:paraId="6340AEFF" w14:textId="77777777" w:rsidR="00327DC1" w:rsidRPr="00B11E60" w:rsidRDefault="00327DC1" w:rsidP="004427AF">
      <w:pPr>
        <w:pStyle w:val="ListParagraph"/>
        <w:numPr>
          <w:ilvl w:val="0"/>
          <w:numId w:val="7"/>
        </w:numPr>
        <w:rPr>
          <w:rFonts w:cs="Arial"/>
        </w:rPr>
      </w:pPr>
      <w:r w:rsidRPr="00B11E60">
        <w:rPr>
          <w:rFonts w:cs="Arial"/>
        </w:rPr>
        <w:t>The development of definitions and standards for what constitutes a meaningful day,</w:t>
      </w:r>
    </w:p>
    <w:p w14:paraId="4386529D" w14:textId="77777777" w:rsidR="00327DC1" w:rsidRPr="00B11E60" w:rsidRDefault="00327DC1" w:rsidP="004427AF">
      <w:pPr>
        <w:pStyle w:val="ListParagraph"/>
        <w:numPr>
          <w:ilvl w:val="0"/>
          <w:numId w:val="7"/>
        </w:numPr>
        <w:rPr>
          <w:rFonts w:cs="Arial"/>
        </w:rPr>
      </w:pPr>
      <w:r w:rsidRPr="00B11E60">
        <w:rPr>
          <w:rFonts w:cs="Arial"/>
        </w:rPr>
        <w:t>The incorporation of both qualitative and quantitative measures into the DDS licensure and certification process, and</w:t>
      </w:r>
    </w:p>
    <w:p w14:paraId="131C330B" w14:textId="77777777" w:rsidR="00327DC1" w:rsidRDefault="00327DC1" w:rsidP="004427AF">
      <w:pPr>
        <w:pStyle w:val="ListParagraph"/>
        <w:numPr>
          <w:ilvl w:val="0"/>
          <w:numId w:val="8"/>
        </w:numPr>
        <w:ind w:left="720"/>
        <w:rPr>
          <w:rFonts w:cs="Arial"/>
        </w:rPr>
      </w:pPr>
      <w:r w:rsidRPr="00892708">
        <w:rPr>
          <w:rFonts w:cs="Arial"/>
        </w:rPr>
        <w:t>Systemic strategies to assist all CBDS providers to achieve the outcomes of the Community Rule, including but not limited to technical assistance, staff development and training.</w:t>
      </w:r>
    </w:p>
    <w:p w14:paraId="3BDEF6F3" w14:textId="443AFBAC" w:rsidR="00274850" w:rsidRPr="00274850" w:rsidRDefault="00274850" w:rsidP="00274850">
      <w:pPr>
        <w:rPr>
          <w:rFonts w:cs="Arial"/>
        </w:rPr>
      </w:pPr>
      <w:r>
        <w:rPr>
          <w:rFonts w:cs="Arial"/>
        </w:rPr>
        <w:lastRenderedPageBreak/>
        <w:t>DDS also used data from the survey in the development of a</w:t>
      </w:r>
      <w:r w:rsidR="00B6042C">
        <w:rPr>
          <w:rFonts w:cs="Arial"/>
        </w:rPr>
        <w:t xml:space="preserve"> Req</w:t>
      </w:r>
      <w:r w:rsidR="00774CF0">
        <w:rPr>
          <w:rFonts w:cs="Arial"/>
        </w:rPr>
        <w:t>uest for Responses</w:t>
      </w:r>
      <w:r>
        <w:rPr>
          <w:rFonts w:cs="Arial"/>
        </w:rPr>
        <w:t xml:space="preserve"> </w:t>
      </w:r>
      <w:r w:rsidR="004F08C3">
        <w:rPr>
          <w:rFonts w:cs="Arial"/>
        </w:rPr>
        <w:t>(</w:t>
      </w:r>
      <w:r>
        <w:rPr>
          <w:rFonts w:cs="Arial"/>
        </w:rPr>
        <w:t>RFR</w:t>
      </w:r>
      <w:r w:rsidR="004F08C3">
        <w:rPr>
          <w:rFonts w:cs="Arial"/>
        </w:rPr>
        <w:t>)</w:t>
      </w:r>
      <w:r>
        <w:rPr>
          <w:rFonts w:cs="Arial"/>
        </w:rPr>
        <w:t xml:space="preserve"> (see p.14).</w:t>
      </w:r>
      <w:r w:rsidR="00C5549A">
        <w:rPr>
          <w:rFonts w:cs="Arial"/>
        </w:rPr>
        <w:t xml:space="preserve"> In part, the RFR </w:t>
      </w:r>
      <w:r w:rsidR="00C5549A" w:rsidRPr="00C5549A">
        <w:rPr>
          <w:rFonts w:cs="Arial"/>
        </w:rPr>
        <w:t>solidified expectations for integration, choice, and meaningful activities</w:t>
      </w:r>
      <w:r w:rsidR="00961CA7">
        <w:rPr>
          <w:rFonts w:cs="Arial"/>
        </w:rPr>
        <w:t>.</w:t>
      </w:r>
      <w:r w:rsidR="00C5549A">
        <w:rPr>
          <w:rFonts w:cs="Arial"/>
        </w:rPr>
        <w:t xml:space="preserve"> </w:t>
      </w:r>
      <w:r w:rsidR="00961CA7">
        <w:rPr>
          <w:rFonts w:cs="Arial"/>
        </w:rPr>
        <w:t>P</w:t>
      </w:r>
      <w:r w:rsidR="00C5549A">
        <w:rPr>
          <w:rFonts w:cs="Arial"/>
        </w:rPr>
        <w:t>roviders qualified through this procurement/RFR initiated services in July 2019</w:t>
      </w:r>
      <w:r w:rsidR="006467A5">
        <w:rPr>
          <w:rFonts w:cs="Arial"/>
        </w:rPr>
        <w:t xml:space="preserve"> (see p. 3</w:t>
      </w:r>
      <w:r w:rsidR="0026563F">
        <w:rPr>
          <w:rFonts w:cs="Arial"/>
        </w:rPr>
        <w:t>5</w:t>
      </w:r>
      <w:r w:rsidR="006467A5">
        <w:rPr>
          <w:rFonts w:cs="Arial"/>
        </w:rPr>
        <w:t>)</w:t>
      </w:r>
      <w:r w:rsidR="00C5549A" w:rsidRPr="00C5549A">
        <w:rPr>
          <w:rFonts w:cs="Arial"/>
        </w:rPr>
        <w:t>.</w:t>
      </w:r>
    </w:p>
    <w:p w14:paraId="73B4ACD4" w14:textId="6B3484CE" w:rsidR="00327DC1" w:rsidRPr="00A37881" w:rsidRDefault="008C295F" w:rsidP="00144BE9">
      <w:pPr>
        <w:pStyle w:val="Heading3"/>
        <w:rPr>
          <w:rStyle w:val="Strong"/>
          <w:rFonts w:cs="Arial"/>
          <w:b/>
          <w:bCs w:val="0"/>
          <w:sz w:val="24"/>
          <w:szCs w:val="24"/>
        </w:rPr>
      </w:pPr>
      <w:r>
        <w:rPr>
          <w:rStyle w:val="Strong"/>
          <w:rFonts w:cs="Arial"/>
          <w:b/>
          <w:sz w:val="24"/>
          <w:szCs w:val="24"/>
        </w:rPr>
        <w:t xml:space="preserve">3. </w:t>
      </w:r>
      <w:r w:rsidR="00327DC1" w:rsidRPr="00A37881">
        <w:rPr>
          <w:rStyle w:val="Strong"/>
          <w:rFonts w:cs="Arial"/>
          <w:b/>
          <w:sz w:val="24"/>
          <w:szCs w:val="24"/>
        </w:rPr>
        <w:t>Waiver service definitions</w:t>
      </w:r>
    </w:p>
    <w:p w14:paraId="75573813" w14:textId="77777777" w:rsidR="00327DC1" w:rsidRPr="00B11E60" w:rsidRDefault="00327DC1" w:rsidP="00327DC1">
      <w:pPr>
        <w:rPr>
          <w:rFonts w:cs="Arial"/>
        </w:rPr>
      </w:pPr>
      <w:r w:rsidRPr="00B11E60">
        <w:rPr>
          <w:rFonts w:cs="Arial"/>
        </w:rPr>
        <w:t>DDS reviewed all waiver service definitions to determine if the definitions themselves meet the following requirements:</w:t>
      </w:r>
    </w:p>
    <w:p w14:paraId="2E0F22DF" w14:textId="25D5BF4A" w:rsidR="00327DC1" w:rsidRPr="00B11E60" w:rsidRDefault="00327DC1" w:rsidP="004427AF">
      <w:pPr>
        <w:pStyle w:val="ListParagraph"/>
        <w:numPr>
          <w:ilvl w:val="0"/>
          <w:numId w:val="13"/>
        </w:numPr>
        <w:ind w:left="720"/>
        <w:rPr>
          <w:rFonts w:cs="Arial"/>
        </w:rPr>
      </w:pPr>
      <w:r w:rsidRPr="00B11E60">
        <w:rPr>
          <w:rFonts w:cs="Arial"/>
        </w:rPr>
        <w:t>Does the service ensure individuals receive services in the community to the same degree of access as individuals not receiving Medicaid Home and Community-based services?</w:t>
      </w:r>
    </w:p>
    <w:p w14:paraId="15B98321" w14:textId="77777777" w:rsidR="00327DC1" w:rsidRPr="00B11E60" w:rsidRDefault="00327DC1" w:rsidP="004427AF">
      <w:pPr>
        <w:pStyle w:val="ListParagraph"/>
        <w:numPr>
          <w:ilvl w:val="0"/>
          <w:numId w:val="13"/>
        </w:numPr>
        <w:ind w:left="720"/>
        <w:rPr>
          <w:rFonts w:cs="Arial"/>
        </w:rPr>
      </w:pPr>
      <w:r w:rsidRPr="00B11E60">
        <w:rPr>
          <w:rFonts w:cs="Arial"/>
        </w:rPr>
        <w:t>Does the service definition allow for integration and access to the greater community?</w:t>
      </w:r>
    </w:p>
    <w:p w14:paraId="08E852B9" w14:textId="77777777" w:rsidR="00327DC1" w:rsidRPr="00B11E60" w:rsidRDefault="00327DC1" w:rsidP="004427AF">
      <w:pPr>
        <w:pStyle w:val="ListParagraph"/>
        <w:numPr>
          <w:ilvl w:val="0"/>
          <w:numId w:val="13"/>
        </w:numPr>
        <w:ind w:left="720"/>
        <w:rPr>
          <w:rFonts w:cs="Arial"/>
        </w:rPr>
      </w:pPr>
      <w:r w:rsidRPr="00B11E60">
        <w:rPr>
          <w:rFonts w:cs="Arial"/>
        </w:rPr>
        <w:t xml:space="preserve">Are the services selected by the individual? </w:t>
      </w:r>
    </w:p>
    <w:p w14:paraId="53BA2C7E" w14:textId="0B04A6F0" w:rsidR="00327DC1" w:rsidRPr="00B11E60" w:rsidRDefault="00327DC1" w:rsidP="004427AF">
      <w:pPr>
        <w:pStyle w:val="ListParagraph"/>
        <w:numPr>
          <w:ilvl w:val="0"/>
          <w:numId w:val="13"/>
        </w:numPr>
        <w:ind w:left="720"/>
        <w:rPr>
          <w:rFonts w:cs="Arial"/>
        </w:rPr>
      </w:pPr>
      <w:r w:rsidRPr="00B11E60">
        <w:rPr>
          <w:rFonts w:cs="Arial"/>
        </w:rPr>
        <w:t>Does the service optimize interaction, autonomy</w:t>
      </w:r>
      <w:r w:rsidR="00477F33">
        <w:rPr>
          <w:rFonts w:cs="Arial"/>
        </w:rPr>
        <w:t>,</w:t>
      </w:r>
      <w:r w:rsidRPr="00B11E60">
        <w:rPr>
          <w:rFonts w:cs="Arial"/>
        </w:rPr>
        <w:t xml:space="preserve"> and independence in making life choices?</w:t>
      </w:r>
    </w:p>
    <w:p w14:paraId="2849BAD6" w14:textId="77777777" w:rsidR="00327DC1" w:rsidRPr="00B11E60" w:rsidRDefault="00327DC1" w:rsidP="004427AF">
      <w:pPr>
        <w:pStyle w:val="ListParagraph"/>
        <w:numPr>
          <w:ilvl w:val="0"/>
          <w:numId w:val="13"/>
        </w:numPr>
        <w:ind w:left="720"/>
        <w:rPr>
          <w:rFonts w:cs="Arial"/>
        </w:rPr>
      </w:pPr>
      <w:r w:rsidRPr="00B11E60">
        <w:rPr>
          <w:rFonts w:cs="Arial"/>
        </w:rPr>
        <w:t xml:space="preserve">Does the service facilitate choices regarding supports and who provides them?  </w:t>
      </w:r>
    </w:p>
    <w:p w14:paraId="55E32474" w14:textId="77777777" w:rsidR="00C41353" w:rsidRDefault="00327DC1" w:rsidP="00327DC1">
      <w:pPr>
        <w:rPr>
          <w:rFonts w:cs="Arial"/>
        </w:rPr>
      </w:pPr>
      <w:r w:rsidRPr="00B11E60">
        <w:rPr>
          <w:rFonts w:cs="Arial"/>
        </w:rPr>
        <w:t xml:space="preserve">Based on these criteria, we determined that all current waiver service definitions </w:t>
      </w:r>
      <w:proofErr w:type="gramStart"/>
      <w:r w:rsidRPr="00B11E60">
        <w:rPr>
          <w:rFonts w:cs="Arial"/>
        </w:rPr>
        <w:t>are in compliance with</w:t>
      </w:r>
      <w:proofErr w:type="gramEnd"/>
      <w:r w:rsidRPr="00B11E60">
        <w:rPr>
          <w:rFonts w:cs="Arial"/>
        </w:rPr>
        <w:t xml:space="preserve"> the </w:t>
      </w:r>
      <w:r w:rsidR="004319F8">
        <w:rPr>
          <w:rFonts w:cs="Arial"/>
        </w:rPr>
        <w:t>Community</w:t>
      </w:r>
      <w:r w:rsidR="004319F8" w:rsidRPr="00B11E60">
        <w:rPr>
          <w:rFonts w:cs="Arial"/>
        </w:rPr>
        <w:t xml:space="preserve"> </w:t>
      </w:r>
      <w:r w:rsidR="004319F8">
        <w:rPr>
          <w:rFonts w:cs="Arial"/>
        </w:rPr>
        <w:t>R</w:t>
      </w:r>
      <w:r w:rsidR="004319F8" w:rsidRPr="00B11E60">
        <w:rPr>
          <w:rFonts w:cs="Arial"/>
        </w:rPr>
        <w:t>ule</w:t>
      </w:r>
      <w:r w:rsidRPr="00B11E60">
        <w:rPr>
          <w:rFonts w:cs="Arial"/>
        </w:rPr>
        <w:t xml:space="preserve">. </w:t>
      </w:r>
    </w:p>
    <w:p w14:paraId="2F916E26" w14:textId="4B75365A" w:rsidR="00327DC1" w:rsidRPr="00B11E60" w:rsidRDefault="00007A0B" w:rsidP="00327DC1">
      <w:pPr>
        <w:rPr>
          <w:rFonts w:cs="Arial"/>
        </w:rPr>
      </w:pPr>
      <w:r w:rsidRPr="00B11E60">
        <w:rPr>
          <w:rFonts w:cs="Arial"/>
        </w:rPr>
        <w:t>Th</w:t>
      </w:r>
      <w:r>
        <w:rPr>
          <w:rFonts w:cs="Arial"/>
        </w:rPr>
        <w:t xml:space="preserve">e </w:t>
      </w:r>
      <w:r w:rsidRPr="00B11E60">
        <w:rPr>
          <w:rFonts w:cs="Arial"/>
        </w:rPr>
        <w:t>Day Habilitation Supplement</w:t>
      </w:r>
      <w:r>
        <w:rPr>
          <w:rFonts w:cs="Arial"/>
        </w:rPr>
        <w:t xml:space="preserve"> service</w:t>
      </w:r>
      <w:r w:rsidRPr="00B11E60">
        <w:rPr>
          <w:rFonts w:cs="Arial"/>
        </w:rPr>
        <w:t>, which provides additional support for individuals</w:t>
      </w:r>
      <w:r>
        <w:rPr>
          <w:rFonts w:cs="Arial"/>
        </w:rPr>
        <w:t xml:space="preserve"> who require one-on-one assistance </w:t>
      </w:r>
      <w:proofErr w:type="gramStart"/>
      <w:r>
        <w:rPr>
          <w:rFonts w:cs="Arial"/>
        </w:rPr>
        <w:t>in order to</w:t>
      </w:r>
      <w:proofErr w:type="gramEnd"/>
      <w:r>
        <w:rPr>
          <w:rFonts w:cs="Arial"/>
        </w:rPr>
        <w:t xml:space="preserve"> utilize</w:t>
      </w:r>
      <w:r w:rsidRPr="00B11E60">
        <w:rPr>
          <w:rFonts w:cs="Arial"/>
        </w:rPr>
        <w:t xml:space="preserve"> the Day Habilitation</w:t>
      </w:r>
      <w:r>
        <w:rPr>
          <w:rFonts w:cs="Arial"/>
        </w:rPr>
        <w:t xml:space="preserve"> </w:t>
      </w:r>
      <w:r w:rsidRPr="00B11E60">
        <w:rPr>
          <w:rFonts w:cs="Arial"/>
        </w:rPr>
        <w:t>State Plan Service</w:t>
      </w:r>
      <w:r>
        <w:rPr>
          <w:rFonts w:cs="Arial"/>
        </w:rPr>
        <w:t xml:space="preserve">, </w:t>
      </w:r>
      <w:r w:rsidR="006F2322">
        <w:rPr>
          <w:rFonts w:cs="Arial"/>
        </w:rPr>
        <w:t>has</w:t>
      </w:r>
      <w:r>
        <w:rPr>
          <w:rFonts w:cs="Arial"/>
        </w:rPr>
        <w:t xml:space="preserve"> </w:t>
      </w:r>
      <w:r w:rsidR="009F5522">
        <w:rPr>
          <w:rFonts w:cs="Arial"/>
        </w:rPr>
        <w:t>be</w:t>
      </w:r>
      <w:r w:rsidR="006F2322">
        <w:rPr>
          <w:rFonts w:cs="Arial"/>
        </w:rPr>
        <w:t>en</w:t>
      </w:r>
      <w:r w:rsidR="009F5522">
        <w:rPr>
          <w:rFonts w:cs="Arial"/>
        </w:rPr>
        <w:t xml:space="preserve"> removed</w:t>
      </w:r>
      <w:r>
        <w:rPr>
          <w:rFonts w:cs="Arial"/>
        </w:rPr>
        <w:t xml:space="preserve"> from the </w:t>
      </w:r>
      <w:r w:rsidRPr="00B11E60">
        <w:rPr>
          <w:rFonts w:cs="Arial"/>
        </w:rPr>
        <w:t>DDS Adult waivers</w:t>
      </w:r>
      <w:r>
        <w:rPr>
          <w:rFonts w:cs="Arial"/>
        </w:rPr>
        <w:t xml:space="preserve">. This service </w:t>
      </w:r>
      <w:r w:rsidR="001821CD">
        <w:rPr>
          <w:rFonts w:cs="Arial"/>
        </w:rPr>
        <w:t>has been</w:t>
      </w:r>
      <w:r>
        <w:rPr>
          <w:rFonts w:cs="Arial"/>
        </w:rPr>
        <w:t xml:space="preserve"> incorporated into the Day Habilitation State Plan service with a modernized rate structure that includes individualized staffing supports</w:t>
      </w:r>
      <w:r w:rsidRPr="00B11E60">
        <w:rPr>
          <w:rFonts w:cs="Arial"/>
        </w:rPr>
        <w:t xml:space="preserve">. </w:t>
      </w:r>
      <w:r>
        <w:rPr>
          <w:rFonts w:cs="Arial"/>
        </w:rPr>
        <w:t xml:space="preserve">Individualized Staffing Supports </w:t>
      </w:r>
      <w:r w:rsidRPr="00B11E60">
        <w:rPr>
          <w:rFonts w:cs="Arial"/>
        </w:rPr>
        <w:t xml:space="preserve">allow individuals with substantial clinical needs to </w:t>
      </w:r>
      <w:r>
        <w:rPr>
          <w:rFonts w:cs="Arial"/>
        </w:rPr>
        <w:t xml:space="preserve">access and </w:t>
      </w:r>
      <w:r w:rsidRPr="00B11E60">
        <w:rPr>
          <w:rFonts w:cs="Arial"/>
        </w:rPr>
        <w:t xml:space="preserve">benefit from </w:t>
      </w:r>
      <w:r>
        <w:rPr>
          <w:rFonts w:cs="Arial"/>
        </w:rPr>
        <w:t>Day Habilitation services and participate in the community</w:t>
      </w:r>
      <w:r w:rsidRPr="00B11E60">
        <w:rPr>
          <w:rFonts w:cs="Arial"/>
        </w:rPr>
        <w:t xml:space="preserve">. </w:t>
      </w:r>
    </w:p>
    <w:p w14:paraId="793B6970" w14:textId="08CCB1C4" w:rsidR="00327DC1" w:rsidRPr="00A37881" w:rsidRDefault="008C295F" w:rsidP="00144BE9">
      <w:pPr>
        <w:pStyle w:val="Heading3"/>
        <w:rPr>
          <w:rStyle w:val="Strong"/>
          <w:rFonts w:cs="Arial"/>
          <w:b/>
          <w:bCs w:val="0"/>
          <w:sz w:val="24"/>
          <w:szCs w:val="24"/>
        </w:rPr>
      </w:pPr>
      <w:r>
        <w:rPr>
          <w:rStyle w:val="Strong"/>
          <w:rFonts w:cs="Arial"/>
          <w:b/>
          <w:sz w:val="24"/>
          <w:szCs w:val="24"/>
        </w:rPr>
        <w:t xml:space="preserve">4. </w:t>
      </w:r>
      <w:r w:rsidR="00327DC1" w:rsidRPr="00A37881">
        <w:rPr>
          <w:rStyle w:val="Strong"/>
          <w:rFonts w:cs="Arial"/>
          <w:b/>
          <w:sz w:val="24"/>
          <w:szCs w:val="24"/>
        </w:rPr>
        <w:t>Provider qualification</w:t>
      </w:r>
    </w:p>
    <w:p w14:paraId="7748F262" w14:textId="77777777" w:rsidR="00327DC1" w:rsidRPr="00B67FB0" w:rsidRDefault="00327DC1" w:rsidP="005842ED">
      <w:pPr>
        <w:rPr>
          <w:rStyle w:val="Strong"/>
        </w:rPr>
      </w:pPr>
      <w:r w:rsidRPr="00B67FB0">
        <w:rPr>
          <w:rStyle w:val="Strong"/>
        </w:rPr>
        <w:t>Residential Settings</w:t>
      </w:r>
    </w:p>
    <w:p w14:paraId="44878DD1" w14:textId="6655D25C" w:rsidR="00327DC1" w:rsidRPr="00B11E60" w:rsidRDefault="00327DC1" w:rsidP="00327DC1">
      <w:pPr>
        <w:rPr>
          <w:rFonts w:cs="Arial"/>
        </w:rPr>
      </w:pPr>
      <w:r w:rsidRPr="00B11E60">
        <w:rPr>
          <w:rFonts w:cs="Arial"/>
        </w:rPr>
        <w:t xml:space="preserve">Providers of 24-hour residential settings were the subject of an open bid process and were required to be qualified to provide services and supports. </w:t>
      </w:r>
      <w:r w:rsidR="00B42984" w:rsidRPr="00B11E60">
        <w:rPr>
          <w:rFonts w:cs="Arial"/>
        </w:rPr>
        <w:t xml:space="preserve">The RFR that providers responded to outlined critical outcomes with respect </w:t>
      </w:r>
      <w:proofErr w:type="gramStart"/>
      <w:r w:rsidR="00B42984" w:rsidRPr="00B11E60">
        <w:rPr>
          <w:rFonts w:cs="Arial"/>
        </w:rPr>
        <w:t>to choice</w:t>
      </w:r>
      <w:proofErr w:type="gramEnd"/>
      <w:r w:rsidR="00B42984" w:rsidRPr="00B11E60">
        <w:rPr>
          <w:rFonts w:cs="Arial"/>
        </w:rPr>
        <w:t xml:space="preserve">, control, privacy, rights, </w:t>
      </w:r>
      <w:r w:rsidR="009F5522" w:rsidRPr="00B11E60">
        <w:rPr>
          <w:rFonts w:cs="Arial"/>
        </w:rPr>
        <w:t>integration,</w:t>
      </w:r>
      <w:r w:rsidR="00B42984" w:rsidRPr="00B11E60">
        <w:rPr>
          <w:rFonts w:cs="Arial"/>
        </w:rPr>
        <w:t xml:space="preserve"> and inclusion in community life, consistent with the HCBS settings requirements. </w:t>
      </w:r>
      <w:r w:rsidRPr="00B11E60">
        <w:rPr>
          <w:rFonts w:cs="Arial"/>
        </w:rPr>
        <w:t xml:space="preserve">All providers that were qualified were shown to adhere to the </w:t>
      </w:r>
      <w:r w:rsidR="00B42984">
        <w:rPr>
          <w:rFonts w:cs="Arial"/>
        </w:rPr>
        <w:t xml:space="preserve">RFR’s </w:t>
      </w:r>
      <w:r w:rsidRPr="00B11E60">
        <w:rPr>
          <w:rFonts w:cs="Arial"/>
        </w:rPr>
        <w:t xml:space="preserve">requirements for supports to individuals. On an on-going basis, provider qualifications are reviewed through the DDS licensure and certification process described below in DDS’s section on Quality Management. No changes are recommended as part of the transition plan for the way in which providers become qualified.  </w:t>
      </w:r>
    </w:p>
    <w:p w14:paraId="1B8C16FC" w14:textId="4EFE3BD5" w:rsidR="00327DC1" w:rsidRPr="005842ED" w:rsidRDefault="00327DC1" w:rsidP="00327DC1">
      <w:pPr>
        <w:rPr>
          <w:rStyle w:val="Strong"/>
        </w:rPr>
      </w:pPr>
      <w:r w:rsidRPr="005842ED">
        <w:rPr>
          <w:rStyle w:val="Strong"/>
        </w:rPr>
        <w:t>Non-Residential Settings</w:t>
      </w:r>
    </w:p>
    <w:p w14:paraId="685A7612" w14:textId="4C13F38F" w:rsidR="00327DC1" w:rsidRDefault="00327DC1" w:rsidP="00327DC1">
      <w:pPr>
        <w:rPr>
          <w:rFonts w:cs="Arial"/>
        </w:rPr>
      </w:pPr>
      <w:r w:rsidRPr="00B11E60">
        <w:rPr>
          <w:rFonts w:cs="Arial"/>
        </w:rPr>
        <w:t xml:space="preserve">Providers of Day and Employment services are the subject of an open bid process and are required to be qualified to provide services and supports. All providers that have been qualified are thus shown to adhere to the requirements for supports to individuals. The </w:t>
      </w:r>
      <w:r w:rsidR="00AD339E">
        <w:rPr>
          <w:rFonts w:cs="Arial"/>
        </w:rPr>
        <w:t xml:space="preserve">previous </w:t>
      </w:r>
      <w:r w:rsidRPr="00B11E60">
        <w:rPr>
          <w:rFonts w:cs="Arial"/>
        </w:rPr>
        <w:t xml:space="preserve">Request </w:t>
      </w:r>
      <w:r w:rsidRPr="00B11E60">
        <w:rPr>
          <w:rFonts w:cs="Arial"/>
        </w:rPr>
        <w:lastRenderedPageBreak/>
        <w:t xml:space="preserve">for Responses (RFR, 2009) that providers responded to outlines critical outcomes with respect </w:t>
      </w:r>
      <w:proofErr w:type="gramStart"/>
      <w:r w:rsidRPr="00B11E60">
        <w:rPr>
          <w:rFonts w:cs="Arial"/>
        </w:rPr>
        <w:t>to choice</w:t>
      </w:r>
      <w:proofErr w:type="gramEnd"/>
      <w:r w:rsidRPr="00B11E60">
        <w:rPr>
          <w:rFonts w:cs="Arial"/>
        </w:rPr>
        <w:t>, control, career exploration, employment, rights, integration</w:t>
      </w:r>
      <w:r w:rsidR="00AC2551">
        <w:rPr>
          <w:rFonts w:cs="Arial"/>
        </w:rPr>
        <w:t>,</w:t>
      </w:r>
      <w:r w:rsidRPr="00B11E60">
        <w:rPr>
          <w:rFonts w:cs="Arial"/>
        </w:rPr>
        <w:t xml:space="preserve"> and inclusion in community life. This process demonstrates, for all Day and Employment providers, DDS’s commitment to the HCBS settings requirements. An integral part of the procurement process was a requirement that providers re-structure their services to create alternative employment program options. Providers were required to submit their plan to DDS about how they would increase the number of individuals working in integrated employment, and how they would phase out sheltered workshop services within a five-</w:t>
      </w:r>
      <w:r>
        <w:rPr>
          <w:rFonts w:cs="Arial"/>
        </w:rPr>
        <w:t xml:space="preserve">year period. </w:t>
      </w:r>
      <w:r w:rsidRPr="00B11E60">
        <w:rPr>
          <w:rFonts w:cs="Arial"/>
        </w:rPr>
        <w:t xml:space="preserve">The RFR became an important precursor to the “Blueprint for Success.” </w:t>
      </w:r>
    </w:p>
    <w:p w14:paraId="7170770A" w14:textId="18B0315F" w:rsidR="00266757" w:rsidRPr="00B11E60" w:rsidRDefault="00266757" w:rsidP="00327DC1">
      <w:pPr>
        <w:rPr>
          <w:rFonts w:cs="Arial"/>
        </w:rPr>
      </w:pPr>
      <w:r>
        <w:rPr>
          <w:rFonts w:cs="Arial"/>
        </w:rPr>
        <w:t xml:space="preserve">Day and Employment services </w:t>
      </w:r>
      <w:r w:rsidR="00AD339E">
        <w:rPr>
          <w:rFonts w:cs="Arial"/>
        </w:rPr>
        <w:t>have been</w:t>
      </w:r>
      <w:r>
        <w:rPr>
          <w:rFonts w:cs="Arial"/>
        </w:rPr>
        <w:t xml:space="preserve"> re-procured through a Request for Responses in the winter of 2019</w:t>
      </w:r>
      <w:r w:rsidR="006467A5">
        <w:rPr>
          <w:rFonts w:cs="Arial"/>
        </w:rPr>
        <w:t xml:space="preserve"> (see p. 3</w:t>
      </w:r>
      <w:r w:rsidR="0026563F">
        <w:rPr>
          <w:rFonts w:cs="Arial"/>
        </w:rPr>
        <w:t>5</w:t>
      </w:r>
      <w:r w:rsidR="006467A5">
        <w:rPr>
          <w:rFonts w:cs="Arial"/>
        </w:rPr>
        <w:t>)</w:t>
      </w:r>
      <w:r>
        <w:rPr>
          <w:rFonts w:cs="Arial"/>
        </w:rPr>
        <w:t xml:space="preserve">.  In addition to maintaining the critical outcomes as noted above, the RFR process </w:t>
      </w:r>
      <w:r w:rsidR="00AD339E">
        <w:rPr>
          <w:rFonts w:cs="Arial"/>
        </w:rPr>
        <w:t>provided</w:t>
      </w:r>
      <w:r>
        <w:rPr>
          <w:rFonts w:cs="Arial"/>
        </w:rPr>
        <w:t xml:space="preserve"> further guidance to CBDS providers related to addressing the requirements of the Community Rule.</w:t>
      </w:r>
    </w:p>
    <w:p w14:paraId="0293A70F" w14:textId="77777777" w:rsidR="00327DC1" w:rsidRPr="00B11E60" w:rsidRDefault="00327DC1" w:rsidP="00327DC1">
      <w:pPr>
        <w:rPr>
          <w:rFonts w:cs="Arial"/>
        </w:rPr>
      </w:pPr>
      <w:r w:rsidRPr="00B11E60">
        <w:rPr>
          <w:rFonts w:cs="Arial"/>
        </w:rPr>
        <w:t>Following qualification, providers of day and 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w:t>
      </w:r>
      <w:r w:rsidR="00D05EF8">
        <w:rPr>
          <w:rFonts w:cs="Arial"/>
        </w:rPr>
        <w:t>d</w:t>
      </w:r>
      <w:r w:rsidRPr="00B11E60">
        <w:rPr>
          <w:rFonts w:cs="Arial"/>
        </w:rPr>
        <w:t xml:space="preserve"> its licensure and certification tool to clarify expectations and even more closely and strongly align the tool with the critical elements of the Community Rule (see Table 3. Summary of Transition Plan Tasks and Timelines).  </w:t>
      </w:r>
    </w:p>
    <w:p w14:paraId="757C97A1" w14:textId="7CD8BAF6" w:rsidR="00327DC1" w:rsidRDefault="00327DC1" w:rsidP="00327DC1">
      <w:pPr>
        <w:rPr>
          <w:rFonts w:cs="Arial"/>
        </w:rPr>
      </w:pPr>
      <w:r w:rsidRPr="00B11E60">
        <w:rPr>
          <w:rFonts w:cs="Arial"/>
        </w:rPr>
        <w:t xml:space="preserve">In addition, for ABI and </w:t>
      </w:r>
      <w:proofErr w:type="gramStart"/>
      <w:r w:rsidRPr="00B11E60">
        <w:rPr>
          <w:rFonts w:cs="Arial"/>
        </w:rPr>
        <w:t>MFP day</w:t>
      </w:r>
      <w:proofErr w:type="gramEnd"/>
      <w:r w:rsidRPr="00B11E60">
        <w:rPr>
          <w:rFonts w:cs="Arial"/>
        </w:rPr>
        <w:t xml:space="preserve"> and employment providers not qualified through the above process by DDS, the </w:t>
      </w:r>
      <w:r w:rsidR="009C288A">
        <w:rPr>
          <w:rFonts w:cs="Arial"/>
        </w:rPr>
        <w:t>Massachusetts Rehabilitation Commission</w:t>
      </w:r>
      <w:r w:rsidR="009C288A" w:rsidRPr="00B11E60">
        <w:rPr>
          <w:rFonts w:cs="Arial"/>
        </w:rPr>
        <w:t xml:space="preserve"> </w:t>
      </w:r>
      <w:r w:rsidRPr="00B11E60">
        <w:rPr>
          <w:rFonts w:cs="Arial"/>
        </w:rPr>
        <w:t xml:space="preserve">Provider Standards for Acquired Brain Injury (ABI) and </w:t>
      </w:r>
      <w:r w:rsidR="00207B14">
        <w:rPr>
          <w:rFonts w:cs="Arial"/>
        </w:rPr>
        <w:t>Moving Forward Plan</w:t>
      </w:r>
      <w:r w:rsidRPr="00B11E60">
        <w:rPr>
          <w:rFonts w:cs="Arial"/>
        </w:rPr>
        <w:t xml:space="preserve"> (MFP) Waiver Service Providers identify the requirements to become credentialed to provide waiver day and employment services. Regardless of the state agency that is directly responsible to qualify a particular provider, </w:t>
      </w:r>
      <w:r w:rsidR="002B0459">
        <w:rPr>
          <w:rFonts w:cs="Arial"/>
        </w:rPr>
        <w:t xml:space="preserve">Massachusetts will consistently meet the requirements of the </w:t>
      </w:r>
      <w:r>
        <w:rPr>
          <w:rFonts w:cs="Arial"/>
        </w:rPr>
        <w:t>C</w:t>
      </w:r>
      <w:r w:rsidRPr="00B11E60">
        <w:rPr>
          <w:rFonts w:cs="Arial"/>
        </w:rPr>
        <w:t xml:space="preserve">ommunity </w:t>
      </w:r>
      <w:r>
        <w:rPr>
          <w:rFonts w:cs="Arial"/>
        </w:rPr>
        <w:t>R</w:t>
      </w:r>
      <w:r w:rsidRPr="00B11E60">
        <w:rPr>
          <w:rFonts w:cs="Arial"/>
        </w:rPr>
        <w:t xml:space="preserve">ule </w:t>
      </w:r>
      <w:r w:rsidR="002B0459">
        <w:rPr>
          <w:rFonts w:cs="Arial"/>
        </w:rPr>
        <w:t>across providers, settings, and services</w:t>
      </w:r>
      <w:r w:rsidRPr="00B11E60">
        <w:rPr>
          <w:rFonts w:cs="Arial"/>
        </w:rPr>
        <w:t xml:space="preserve">. Please refer to Section </w:t>
      </w:r>
      <w:r>
        <w:rPr>
          <w:rFonts w:cs="Arial"/>
        </w:rPr>
        <w:t>V (Site-Specific Assessment)</w:t>
      </w:r>
      <w:r w:rsidRPr="00B11E60">
        <w:rPr>
          <w:rFonts w:cs="Arial"/>
        </w:rPr>
        <w:t xml:space="preserve"> below for more specific information.</w:t>
      </w:r>
    </w:p>
    <w:p w14:paraId="47D1E9A3" w14:textId="33CFDEF7" w:rsidR="00327DC1" w:rsidRPr="00A37881" w:rsidRDefault="008C295F" w:rsidP="00144BE9">
      <w:pPr>
        <w:pStyle w:val="Heading3"/>
        <w:rPr>
          <w:rStyle w:val="Strong"/>
          <w:rFonts w:cs="Arial"/>
          <w:b/>
          <w:bCs w:val="0"/>
          <w:sz w:val="24"/>
          <w:szCs w:val="24"/>
        </w:rPr>
      </w:pPr>
      <w:r>
        <w:rPr>
          <w:rStyle w:val="Strong"/>
          <w:rFonts w:cs="Arial"/>
          <w:b/>
          <w:sz w:val="24"/>
          <w:szCs w:val="24"/>
        </w:rPr>
        <w:t xml:space="preserve">5. </w:t>
      </w:r>
      <w:r w:rsidR="00327DC1" w:rsidRPr="00A37881">
        <w:rPr>
          <w:rStyle w:val="Strong"/>
          <w:rFonts w:cs="Arial"/>
          <w:b/>
          <w:sz w:val="24"/>
          <w:szCs w:val="24"/>
        </w:rPr>
        <w:t>Quality management and oversight systems</w:t>
      </w:r>
    </w:p>
    <w:p w14:paraId="31BF805E" w14:textId="6242C034" w:rsidR="00457084" w:rsidRDefault="00327DC1" w:rsidP="006E37D8">
      <w:pPr>
        <w:rPr>
          <w:rFonts w:cs="Arial"/>
        </w:rPr>
      </w:pPr>
      <w:r w:rsidRPr="00B11E60">
        <w:rPr>
          <w:rFonts w:cs="Arial"/>
        </w:rPr>
        <w:t xml:space="preserve">DDS has an extensive and robust quality management system (QMIS) that addresses the criteria in the </w:t>
      </w:r>
      <w:r>
        <w:rPr>
          <w:rFonts w:cs="Arial"/>
        </w:rPr>
        <w:t>Community Rule</w:t>
      </w:r>
      <w:r w:rsidRPr="00B11E60">
        <w:rPr>
          <w:rFonts w:cs="Arial"/>
        </w:rPr>
        <w:t xml:space="preserve"> in every aspect of the system. These processes have been in place for many years, and through DDS’s review were determined to be responsive to the outcomes addressed in the </w:t>
      </w:r>
      <w:r>
        <w:rPr>
          <w:rFonts w:cs="Arial"/>
        </w:rPr>
        <w:t>Community</w:t>
      </w:r>
      <w:r w:rsidRPr="00B11E60">
        <w:rPr>
          <w:rFonts w:cs="Arial"/>
        </w:rPr>
        <w:t xml:space="preserve"> Rule. Listed below are those components that most directly relate to the HCBS rule</w:t>
      </w:r>
      <w:r w:rsidR="00AF005E">
        <w:rPr>
          <w:rFonts w:cs="Arial"/>
        </w:rPr>
        <w:t>.</w:t>
      </w:r>
    </w:p>
    <w:p w14:paraId="1AAC5384" w14:textId="77777777" w:rsidR="006E37D8" w:rsidRPr="00B67FB0" w:rsidRDefault="00327DC1" w:rsidP="00DD2C9F">
      <w:pPr>
        <w:rPr>
          <w:rStyle w:val="SubtleEmphasis"/>
        </w:rPr>
      </w:pPr>
      <w:r w:rsidRPr="00B67FB0">
        <w:rPr>
          <w:rStyle w:val="SubtleEmphasis"/>
        </w:rPr>
        <w:t xml:space="preserve">Licensure and certification process </w:t>
      </w:r>
    </w:p>
    <w:p w14:paraId="600CBFB9" w14:textId="77777777" w:rsidR="00327DC1" w:rsidRPr="006E37D8" w:rsidRDefault="00327DC1" w:rsidP="006E37D8">
      <w:pPr>
        <w:rPr>
          <w:rFonts w:cs="Arial"/>
          <w:b/>
        </w:rPr>
      </w:pPr>
      <w:r w:rsidRPr="006E37D8">
        <w:rPr>
          <w:rFonts w:cs="Arial"/>
        </w:rPr>
        <w:t xml:space="preserve">The licensure and certification process </w:t>
      </w:r>
      <w:proofErr w:type="gramStart"/>
      <w:r w:rsidRPr="006E37D8">
        <w:rPr>
          <w:rFonts w:cs="Arial"/>
        </w:rPr>
        <w:t>is</w:t>
      </w:r>
      <w:proofErr w:type="gramEnd"/>
      <w:r w:rsidRPr="006E37D8">
        <w:rPr>
          <w:rFonts w:cs="Arial"/>
        </w:rPr>
        <w:t xml:space="preserve"> the basis for qualifying providers doing business with the Department. The process applies to all public and private providers of residential, work/day, site-based </w:t>
      </w:r>
      <w:proofErr w:type="gramStart"/>
      <w:r w:rsidRPr="006E37D8">
        <w:rPr>
          <w:rFonts w:cs="Arial"/>
        </w:rPr>
        <w:t>respite</w:t>
      </w:r>
      <w:proofErr w:type="gramEnd"/>
      <w:r w:rsidRPr="006E37D8">
        <w:rPr>
          <w:rFonts w:cs="Arial"/>
        </w:rPr>
        <w:t xml:space="preserve"> and individualized home support services. The system measures important indicators relating to health, personal safety, environmental safety, communication, human </w:t>
      </w:r>
      <w:r w:rsidRPr="006E37D8">
        <w:rPr>
          <w:rFonts w:cs="Arial"/>
        </w:rPr>
        <w:lastRenderedPageBreak/>
        <w:t xml:space="preserve">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DDS survey teams review provider performance through on-site reviews on a prescribed cycle. </w:t>
      </w:r>
      <w:r w:rsidR="007E3175">
        <w:rPr>
          <w:rFonts w:cs="Arial"/>
        </w:rPr>
        <w:t>Survey teams observe and interview a statistically significant number of individuals as part of the on-site review for residential and day/employment services. Interview topics for individuals include, but are not limited to, community integration, choice and control, social relationships (friends and family), intimacy and companionship, and</w:t>
      </w:r>
      <w:r w:rsidR="007E3175" w:rsidRPr="00FF5B84">
        <w:rPr>
          <w:rFonts w:cs="Arial"/>
        </w:rPr>
        <w:t xml:space="preserve"> </w:t>
      </w:r>
      <w:r w:rsidR="007E3175">
        <w:rPr>
          <w:rFonts w:cs="Arial"/>
        </w:rPr>
        <w:t xml:space="preserve">their experiences in providing feedback to their provider and how the provider responds to that feedback. </w:t>
      </w:r>
      <w:r w:rsidRPr="006E37D8">
        <w:rPr>
          <w:rFonts w:cs="Arial"/>
        </w:rPr>
        <w:t xml:space="preserve">Providers are required to make corrections when indicators are not </w:t>
      </w:r>
      <w:proofErr w:type="gramStart"/>
      <w:r w:rsidRPr="006E37D8">
        <w:rPr>
          <w:rFonts w:cs="Arial"/>
        </w:rPr>
        <w:t>met, and</w:t>
      </w:r>
      <w:proofErr w:type="gramEnd"/>
      <w:r w:rsidRPr="006E37D8">
        <w:rPr>
          <w:rFonts w:cs="Arial"/>
        </w:rPr>
        <w:t xml:space="preserve"> are subject to follow-up by surveyor staff</w:t>
      </w:r>
      <w:r w:rsidR="002714E2">
        <w:rPr>
          <w:rFonts w:cs="Arial"/>
        </w:rPr>
        <w:t xml:space="preserve"> or provider staff</w:t>
      </w:r>
      <w:r w:rsidRPr="006E37D8">
        <w:rPr>
          <w:rFonts w:cs="Arial"/>
        </w:rPr>
        <w:t xml:space="preserve">. These indicators are supportive of and fully in compliance with the HCBS Community Rule. </w:t>
      </w:r>
      <w:r w:rsidR="00C26441">
        <w:rPr>
          <w:rFonts w:cs="Arial"/>
        </w:rPr>
        <w:t>DDS revised the</w:t>
      </w:r>
      <w:r w:rsidRPr="006E37D8">
        <w:rPr>
          <w:rFonts w:cs="Arial"/>
        </w:rPr>
        <w:t xml:space="preserve"> licensure and certification tool to clarify expectations and even more closely and strongly align the tool with the critical elements of the Community Rule in terms of both residential and non-residential settings (see Table 3. </w:t>
      </w:r>
      <w:r w:rsidRPr="00717FAF">
        <w:rPr>
          <w:rFonts w:cs="Arial"/>
        </w:rPr>
        <w:t>Summary of Transition Plan Tasks and Timelines</w:t>
      </w:r>
      <w:r w:rsidRPr="006E37D8">
        <w:rPr>
          <w:rFonts w:cs="Arial"/>
        </w:rPr>
        <w:t>).</w:t>
      </w:r>
    </w:p>
    <w:p w14:paraId="64241511" w14:textId="77777777" w:rsidR="006E37D8" w:rsidRPr="00B67FB0" w:rsidRDefault="00327DC1" w:rsidP="00DD2C9F">
      <w:pPr>
        <w:rPr>
          <w:rStyle w:val="SubtleEmphasis"/>
        </w:rPr>
      </w:pPr>
      <w:r w:rsidRPr="00B67FB0">
        <w:rPr>
          <w:rStyle w:val="SubtleEmphasis"/>
        </w:rPr>
        <w:t xml:space="preserve">Area </w:t>
      </w:r>
      <w:r w:rsidR="00EE71DF" w:rsidRPr="00B67FB0">
        <w:rPr>
          <w:rStyle w:val="SubtleEmphasis"/>
        </w:rPr>
        <w:t>O</w:t>
      </w:r>
      <w:r w:rsidRPr="00B67FB0">
        <w:rPr>
          <w:rStyle w:val="SubtleEmphasis"/>
        </w:rPr>
        <w:t xml:space="preserve">ffice oversight </w:t>
      </w:r>
    </w:p>
    <w:p w14:paraId="5749067D" w14:textId="06D4AFEE" w:rsidR="00327DC1" w:rsidRPr="006E37D8" w:rsidRDefault="00327DC1" w:rsidP="006E37D8">
      <w:pPr>
        <w:rPr>
          <w:rFonts w:cs="Arial"/>
          <w:b/>
        </w:rPr>
      </w:pPr>
      <w:r w:rsidRPr="006E37D8">
        <w:rPr>
          <w:rFonts w:cs="Arial"/>
        </w:rPr>
        <w:t xml:space="preserve">DDS Area Office staff conduct bi-monthly visits to all homes providing 24-hour support, and quarterly visits to homes providing less than 24-hour support. A standardized form is used to ensure that health, safety, and human rights protections are in place. Results from these visits are monitored by Area Office staff. Visits ensure an on-going presence </w:t>
      </w:r>
      <w:r w:rsidR="002B0459" w:rsidRPr="006E37D8">
        <w:rPr>
          <w:rFonts w:cs="Arial"/>
        </w:rPr>
        <w:t xml:space="preserve">and oversight </w:t>
      </w:r>
      <w:r w:rsidRPr="006E37D8">
        <w:rPr>
          <w:rFonts w:cs="Arial"/>
        </w:rPr>
        <w:t xml:space="preserve">by Department staff. </w:t>
      </w:r>
    </w:p>
    <w:p w14:paraId="278AD708" w14:textId="77777777" w:rsidR="006E37D8" w:rsidRPr="00B67FB0" w:rsidRDefault="00327DC1" w:rsidP="00DD2C9F">
      <w:pPr>
        <w:rPr>
          <w:rStyle w:val="SubtleEmphasis"/>
        </w:rPr>
      </w:pPr>
      <w:r w:rsidRPr="00B67FB0">
        <w:rPr>
          <w:rStyle w:val="SubtleEmphasis"/>
        </w:rPr>
        <w:t>Service coordinator (SC) supervisor tool</w:t>
      </w:r>
    </w:p>
    <w:p w14:paraId="14681DC8" w14:textId="4F6EEDD4" w:rsidR="004F173F" w:rsidRDefault="005C6C8B" w:rsidP="006E37D8">
      <w:pPr>
        <w:rPr>
          <w:rFonts w:cs="Arial"/>
        </w:rPr>
      </w:pPr>
      <w:r>
        <w:rPr>
          <w:rFonts w:cs="Arial"/>
        </w:rPr>
        <w:t>DDS</w:t>
      </w:r>
      <w:r w:rsidRPr="004F173F">
        <w:rPr>
          <w:rFonts w:cs="Arial"/>
        </w:rPr>
        <w:t xml:space="preserve"> </w:t>
      </w:r>
      <w:r w:rsidR="007E3175" w:rsidRPr="004F173F">
        <w:rPr>
          <w:rFonts w:cs="Arial"/>
        </w:rPr>
        <w:t>Service Coordinator</w:t>
      </w:r>
      <w:r>
        <w:rPr>
          <w:rFonts w:cs="Arial"/>
        </w:rPr>
        <w:t>s</w:t>
      </w:r>
      <w:r w:rsidR="007E3175" w:rsidRPr="004F173F">
        <w:rPr>
          <w:rFonts w:cs="Arial"/>
        </w:rPr>
        <w:t xml:space="preserve"> support </w:t>
      </w:r>
      <w:r w:rsidR="007E3175">
        <w:rPr>
          <w:rFonts w:cs="Arial"/>
        </w:rPr>
        <w:t xml:space="preserve">waiver </w:t>
      </w:r>
      <w:r w:rsidR="007E3175" w:rsidRPr="004F173F">
        <w:rPr>
          <w:rFonts w:cs="Arial"/>
        </w:rPr>
        <w:t>participant</w:t>
      </w:r>
      <w:r>
        <w:rPr>
          <w:rFonts w:cs="Arial"/>
        </w:rPr>
        <w:t>s</w:t>
      </w:r>
      <w:r w:rsidR="007E3175" w:rsidRPr="004F173F">
        <w:rPr>
          <w:rFonts w:cs="Arial"/>
        </w:rPr>
        <w:t xml:space="preserve"> through the entire service planning</w:t>
      </w:r>
      <w:r w:rsidR="007E3175">
        <w:rPr>
          <w:rFonts w:cs="Arial"/>
        </w:rPr>
        <w:t xml:space="preserve"> process</w:t>
      </w:r>
      <w:r w:rsidR="007E3175" w:rsidRPr="004F173F">
        <w:rPr>
          <w:rFonts w:cs="Arial"/>
        </w:rPr>
        <w:t>. This</w:t>
      </w:r>
      <w:r w:rsidR="007E3175">
        <w:rPr>
          <w:rFonts w:cs="Arial"/>
        </w:rPr>
        <w:t xml:space="preserve"> person-centered</w:t>
      </w:r>
      <w:r w:rsidR="007E3175" w:rsidRPr="004F173F">
        <w:rPr>
          <w:rFonts w:cs="Arial"/>
        </w:rPr>
        <w:t xml:space="preserve"> support </w:t>
      </w:r>
      <w:r w:rsidR="007E3175">
        <w:rPr>
          <w:rFonts w:cs="Arial"/>
        </w:rPr>
        <w:t xml:space="preserve">begins by explaining the service planning process, and </w:t>
      </w:r>
      <w:r w:rsidR="007E3175" w:rsidRPr="004F173F">
        <w:rPr>
          <w:rFonts w:cs="Arial"/>
        </w:rPr>
        <w:t>includes</w:t>
      </w:r>
      <w:r w:rsidR="007E3175">
        <w:rPr>
          <w:rFonts w:cs="Arial"/>
        </w:rPr>
        <w:t xml:space="preserve">, but is not limited to, </w:t>
      </w:r>
      <w:r w:rsidR="007E3175" w:rsidRPr="004F173F">
        <w:rPr>
          <w:rFonts w:cs="Arial"/>
        </w:rPr>
        <w:t xml:space="preserve">helping the participant prepare for </w:t>
      </w:r>
      <w:r w:rsidR="007E3175">
        <w:rPr>
          <w:rFonts w:cs="Arial"/>
        </w:rPr>
        <w:t xml:space="preserve">service planning </w:t>
      </w:r>
      <w:r w:rsidR="007E3175" w:rsidRPr="004F173F">
        <w:rPr>
          <w:rFonts w:cs="Arial"/>
        </w:rPr>
        <w:t>meeting</w:t>
      </w:r>
      <w:r w:rsidR="007E3175">
        <w:rPr>
          <w:rFonts w:cs="Arial"/>
        </w:rPr>
        <w:t xml:space="preserve">s, discussing who to include in the meetings, reviewing the participant’s circumstances, and deciding which issues the participants wants to talk about at the meeting. Throughout, the Service Coordinator assists the participant </w:t>
      </w:r>
      <w:r w:rsidR="007E3175" w:rsidRPr="004F173F">
        <w:rPr>
          <w:rFonts w:cs="Arial"/>
        </w:rPr>
        <w:t xml:space="preserve">to voice </w:t>
      </w:r>
      <w:r w:rsidR="007E3175">
        <w:rPr>
          <w:rFonts w:cs="Arial"/>
        </w:rPr>
        <w:t>wants and needs</w:t>
      </w:r>
      <w:r w:rsidR="007E3175" w:rsidRPr="004F173F">
        <w:rPr>
          <w:rFonts w:cs="Arial"/>
        </w:rPr>
        <w:t>.</w:t>
      </w:r>
      <w:r w:rsidR="007E3175">
        <w:rPr>
          <w:rFonts w:cs="Arial"/>
        </w:rPr>
        <w:t xml:space="preserve"> Importantly, the preparation involves a discussion with the participant about the person’s own</w:t>
      </w:r>
      <w:r w:rsidR="007E3175" w:rsidRPr="004F173F">
        <w:rPr>
          <w:rFonts w:cs="Arial"/>
        </w:rPr>
        <w:t xml:space="preserve"> goals and vision for the future</w:t>
      </w:r>
      <w:r w:rsidR="007E3175">
        <w:rPr>
          <w:rFonts w:cs="Arial"/>
        </w:rPr>
        <w:t xml:space="preserve">, from </w:t>
      </w:r>
      <w:r w:rsidR="5B017F0C" w:rsidRPr="1A583581">
        <w:rPr>
          <w:rFonts w:cs="Arial"/>
        </w:rPr>
        <w:t>their</w:t>
      </w:r>
      <w:r w:rsidR="007E3175">
        <w:rPr>
          <w:rFonts w:cs="Arial"/>
        </w:rPr>
        <w:t xml:space="preserve"> own perspective, ensuring that</w:t>
      </w:r>
      <w:r w:rsidR="007E3175" w:rsidRPr="004F173F">
        <w:rPr>
          <w:rFonts w:cs="Arial"/>
        </w:rPr>
        <w:t xml:space="preserve"> the individual </w:t>
      </w:r>
      <w:r w:rsidR="007E3175">
        <w:rPr>
          <w:rFonts w:cs="Arial"/>
        </w:rPr>
        <w:t xml:space="preserve">has </w:t>
      </w:r>
      <w:r w:rsidR="007E3175" w:rsidRPr="004F173F">
        <w:rPr>
          <w:rFonts w:cs="Arial"/>
        </w:rPr>
        <w:t>goals that are personally relevant and meaningful</w:t>
      </w:r>
      <w:r w:rsidR="007E3175">
        <w:rPr>
          <w:rFonts w:cs="Arial"/>
        </w:rPr>
        <w:t>.</w:t>
      </w:r>
      <w:r w:rsidR="007E3175" w:rsidRPr="004F173F">
        <w:rPr>
          <w:rFonts w:cs="Arial"/>
        </w:rPr>
        <w:t xml:space="preserve"> </w:t>
      </w:r>
      <w:r w:rsidR="00361B99">
        <w:rPr>
          <w:rFonts w:cs="Arial"/>
        </w:rPr>
        <w:t xml:space="preserve">For each participant, this planning process explores, validates, and supports the person’s goals for community integration. </w:t>
      </w:r>
    </w:p>
    <w:p w14:paraId="794B4D41" w14:textId="44A9DC9F" w:rsidR="00327DC1" w:rsidRDefault="00327DC1" w:rsidP="006E37D8">
      <w:pPr>
        <w:rPr>
          <w:rFonts w:cs="Arial"/>
        </w:rPr>
      </w:pPr>
      <w:r w:rsidRPr="006E37D8">
        <w:rPr>
          <w:rFonts w:cs="Arial"/>
        </w:rPr>
        <w:t xml:space="preserve">The SC Supervisor tool measures the quality, content and oversight of the </w:t>
      </w:r>
      <w:r w:rsidR="002B0459" w:rsidRPr="006E37D8">
        <w:rPr>
          <w:rFonts w:cs="Arial"/>
        </w:rPr>
        <w:t xml:space="preserve">person-centered </w:t>
      </w:r>
      <w:r w:rsidRPr="006E37D8">
        <w:rPr>
          <w:rFonts w:cs="Arial"/>
        </w:rPr>
        <w:t xml:space="preserve">service planning process and its implementation. The tool measures how effective the service planning process is in involving the individual, how well the objectives reflect the vision of the individual, whether the services being delivered address both individual needs and goals, whether the services are modified as needs and goals change, and whether service coordinators are aware of and addressing issues of concern raised by the individual. As this tool reviews important indicators of a process that </w:t>
      </w:r>
      <w:r w:rsidR="002B0459" w:rsidRPr="006E37D8">
        <w:rPr>
          <w:rFonts w:cs="Arial"/>
        </w:rPr>
        <w:t xml:space="preserve">fully supports the person-centered approach, </w:t>
      </w:r>
      <w:r w:rsidR="002B0459" w:rsidRPr="006E37D8">
        <w:rPr>
          <w:rFonts w:cs="Arial"/>
        </w:rPr>
        <w:lastRenderedPageBreak/>
        <w:t>building</w:t>
      </w:r>
      <w:r w:rsidRPr="006E37D8">
        <w:rPr>
          <w:rFonts w:cs="Arial"/>
        </w:rPr>
        <w:t xml:space="preserve"> </w:t>
      </w:r>
      <w:proofErr w:type="gramStart"/>
      <w:r w:rsidRPr="006E37D8">
        <w:rPr>
          <w:rFonts w:cs="Arial"/>
        </w:rPr>
        <w:t>off of</w:t>
      </w:r>
      <w:proofErr w:type="gramEnd"/>
      <w:r w:rsidRPr="006E37D8">
        <w:rPr>
          <w:rFonts w:cs="Arial"/>
        </w:rPr>
        <w:t xml:space="preserve"> an individual’s desired goals and objectives and </w:t>
      </w:r>
      <w:r w:rsidR="002B0459" w:rsidRPr="006E37D8">
        <w:rPr>
          <w:rFonts w:cs="Arial"/>
        </w:rPr>
        <w:t xml:space="preserve">ensuring </w:t>
      </w:r>
      <w:r w:rsidRPr="006E37D8">
        <w:rPr>
          <w:rFonts w:cs="Arial"/>
        </w:rPr>
        <w:t>that individuals exercise choice and control of their services and supports, no changes are needed.</w:t>
      </w:r>
    </w:p>
    <w:p w14:paraId="58DFC161" w14:textId="77777777" w:rsidR="006E37D8" w:rsidRPr="00B67FB0" w:rsidRDefault="00327DC1" w:rsidP="00DD2C9F">
      <w:pPr>
        <w:rPr>
          <w:rStyle w:val="SubtleEmphasis"/>
        </w:rPr>
      </w:pPr>
      <w:r w:rsidRPr="00B67FB0">
        <w:rPr>
          <w:rStyle w:val="SubtleEmphasis"/>
        </w:rPr>
        <w:t>Incident reporting</w:t>
      </w:r>
    </w:p>
    <w:p w14:paraId="1B0A8F5E" w14:textId="1AEB8E18" w:rsidR="00327DC1" w:rsidRPr="006E37D8" w:rsidRDefault="00327DC1" w:rsidP="006E37D8">
      <w:pPr>
        <w:rPr>
          <w:rFonts w:cs="Arial"/>
          <w:b/>
        </w:rPr>
      </w:pPr>
      <w:r w:rsidRPr="006E37D8">
        <w:rPr>
          <w:rFonts w:cs="Arial"/>
        </w:rPr>
        <w:t xml:space="preserve">DDS has a web-based incident reporting and management system that requires providers to report a specifically defined set of incidents within 24 hours. The provider must report specific details regarding the incident as well as what actions they took to protect the health and safety of the individual and what long-range actions they may take. For an incident </w:t>
      </w:r>
      <w:r w:rsidR="00B27E3A">
        <w:rPr>
          <w:rFonts w:cs="Arial"/>
        </w:rPr>
        <w:t xml:space="preserve">report </w:t>
      </w:r>
      <w:r w:rsidRPr="006E37D8">
        <w:rPr>
          <w:rFonts w:cs="Arial"/>
        </w:rPr>
        <w:t xml:space="preserve">to be </w:t>
      </w:r>
      <w:r w:rsidR="00B27E3A">
        <w:rPr>
          <w:rFonts w:cs="Arial"/>
        </w:rPr>
        <w:t>finalized</w:t>
      </w:r>
      <w:r w:rsidRPr="006E37D8">
        <w:rPr>
          <w:rFonts w:cs="Arial"/>
        </w:rPr>
        <w:t xml:space="preserve">, DDS staff must review </w:t>
      </w:r>
      <w:r w:rsidR="00B27E3A">
        <w:rPr>
          <w:rFonts w:cs="Arial"/>
        </w:rPr>
        <w:t xml:space="preserve">and approve </w:t>
      </w:r>
      <w:r w:rsidRPr="006E37D8">
        <w:rPr>
          <w:rFonts w:cs="Arial"/>
        </w:rPr>
        <w:t>the report. Aggregate information from the system is reviewed and analyzed and forms the basis for service improvement targets. Some incidents may involve events that directly relate to the Community Rule; the current Incident Reporting system will continue to be used to monitor these events, as well as identify any systemic issues that must be addressed.</w:t>
      </w:r>
    </w:p>
    <w:p w14:paraId="7F2AB68D" w14:textId="77777777" w:rsidR="006E37D8" w:rsidRPr="00B67FB0" w:rsidRDefault="00327DC1" w:rsidP="00DD2C9F">
      <w:pPr>
        <w:rPr>
          <w:rStyle w:val="SubtleEmphasis"/>
        </w:rPr>
      </w:pPr>
      <w:r w:rsidRPr="00B67FB0">
        <w:rPr>
          <w:rStyle w:val="SubtleEmphasis"/>
        </w:rPr>
        <w:t>Human rights protections</w:t>
      </w:r>
    </w:p>
    <w:p w14:paraId="24AA4246" w14:textId="49DCA28D" w:rsidR="00327DC1" w:rsidRPr="006E37D8" w:rsidRDefault="00327DC1" w:rsidP="006E37D8">
      <w:pPr>
        <w:rPr>
          <w:rFonts w:cs="Arial"/>
          <w:b/>
        </w:rPr>
      </w:pPr>
      <w:r w:rsidRPr="006E37D8">
        <w:rPr>
          <w:rFonts w:cs="Arial"/>
        </w:rPr>
        <w:t xml:space="preserve">The Department’s Human Rights System is based on the principle that affirmation and protection of individual rights must occur on all levels of the organization and in all services and supports. Therefore, each location where individuals </w:t>
      </w:r>
      <w:proofErr w:type="gramStart"/>
      <w:r w:rsidRPr="006E37D8">
        <w:rPr>
          <w:rFonts w:cs="Arial"/>
        </w:rPr>
        <w:t>live</w:t>
      </w:r>
      <w:proofErr w:type="gramEnd"/>
      <w:r w:rsidRPr="006E37D8">
        <w:rPr>
          <w:rFonts w:cs="Arial"/>
        </w:rPr>
        <w:t xml:space="preserve"> or work</w:t>
      </w:r>
      <w:r w:rsidR="00A51441">
        <w:rPr>
          <w:rFonts w:cs="Arial"/>
        </w:rPr>
        <w:t xml:space="preserve"> (including CBDS)</w:t>
      </w:r>
      <w:r w:rsidRPr="006E37D8">
        <w:rPr>
          <w:rFonts w:cs="Arial"/>
        </w:rPr>
        <w:t xml:space="preserve"> has a Human Rights officer and providers have </w:t>
      </w:r>
      <w:r w:rsidR="002714E2">
        <w:rPr>
          <w:rFonts w:cs="Arial"/>
        </w:rPr>
        <w:t xml:space="preserve">a </w:t>
      </w:r>
      <w:r w:rsidRPr="006E37D8">
        <w:rPr>
          <w:rFonts w:cs="Arial"/>
        </w:rPr>
        <w:t>Human Rights Coordinator. On all levels of a provider’s service system, individuals are supported to understand their rights, know who they can turn to if they have a complaint, and to speak up on their own behalf. In addition, Human Rights Committees with representation from individuals, families and professionals monitor human rights issues, including the review of behavioral interventions and restraint reports. By virtue of this strong human rights system, individuals are supported to exercise choice, control and informed decision making consistent with the</w:t>
      </w:r>
      <w:r w:rsidR="00892708">
        <w:rPr>
          <w:rFonts w:cs="Arial"/>
        </w:rPr>
        <w:t xml:space="preserve"> intent of the Community Rule.</w:t>
      </w:r>
    </w:p>
    <w:p w14:paraId="32BD456E" w14:textId="77777777" w:rsidR="006E37D8" w:rsidRPr="00B67FB0" w:rsidRDefault="00327DC1" w:rsidP="00DD2C9F">
      <w:pPr>
        <w:rPr>
          <w:rStyle w:val="SubtleEmphasis"/>
        </w:rPr>
      </w:pPr>
      <w:r w:rsidRPr="00B67FB0">
        <w:rPr>
          <w:rStyle w:val="SubtleEmphasis"/>
        </w:rPr>
        <w:t>Site feasibility</w:t>
      </w:r>
    </w:p>
    <w:p w14:paraId="221D6A2D" w14:textId="5560643A" w:rsidR="003138C5" w:rsidRPr="006E37D8" w:rsidRDefault="00327DC1" w:rsidP="006E37D8">
      <w:pPr>
        <w:rPr>
          <w:rFonts w:cs="Arial"/>
          <w:b/>
        </w:rPr>
      </w:pPr>
      <w:r w:rsidRPr="006E37D8">
        <w:rPr>
          <w:rFonts w:cs="Arial"/>
        </w:rPr>
        <w:t xml:space="preserve">Providers intending to serve individuals in 24-hour residential supports, site-based respite, </w:t>
      </w:r>
      <w:r w:rsidR="00BA51E9">
        <w:rPr>
          <w:rFonts w:cs="Arial"/>
        </w:rPr>
        <w:t xml:space="preserve">or </w:t>
      </w:r>
      <w:r w:rsidRPr="006E37D8">
        <w:rPr>
          <w:rFonts w:cs="Arial"/>
        </w:rPr>
        <w:t xml:space="preserve">site-based day supports must have any proposed sites reviewed for their feasibility to provide the necessary physical site requirements for the individuals proposed to be served. Prior to moving any individual into a home, day or work site, state agency staff </w:t>
      </w:r>
      <w:r w:rsidR="003138C5" w:rsidRPr="006E37D8">
        <w:rPr>
          <w:rFonts w:cs="Arial"/>
        </w:rPr>
        <w:t xml:space="preserve">of the Office of Quality Enhancement (OQE), who license and certify providers, </w:t>
      </w:r>
      <w:r w:rsidRPr="006E37D8">
        <w:rPr>
          <w:rFonts w:cs="Arial"/>
        </w:rPr>
        <w:t xml:space="preserve">review the </w:t>
      </w:r>
      <w:proofErr w:type="gramStart"/>
      <w:r w:rsidRPr="006E37D8">
        <w:rPr>
          <w:rFonts w:cs="Arial"/>
        </w:rPr>
        <w:t>location</w:t>
      </w:r>
      <w:proofErr w:type="gramEnd"/>
      <w:r w:rsidRPr="006E37D8">
        <w:rPr>
          <w:rFonts w:cs="Arial"/>
        </w:rPr>
        <w:t xml:space="preserve"> and ensure that all necessary safeguards are in place and the location can be approved for occupancy. </w:t>
      </w:r>
    </w:p>
    <w:p w14:paraId="5D7EF253" w14:textId="14185081" w:rsidR="00327DC1" w:rsidRPr="003138C5" w:rsidRDefault="003138C5" w:rsidP="006E37D8">
      <w:pPr>
        <w:rPr>
          <w:rFonts w:cs="Arial"/>
          <w:b/>
        </w:rPr>
      </w:pPr>
      <w:r w:rsidRPr="003138C5">
        <w:rPr>
          <w:rFonts w:cs="Arial"/>
        </w:rPr>
        <w:t xml:space="preserve">Specifically, the site feasibility process is conducted to determine if a proposed site offers a safe and suitable living and day support environment for the individuals it is intended to serve. The review is designed to provide technical assistance to providers and Area/Regional staff by identifying any features of the home or day support affecting the well-being of individuals that would need to be addressed before it can be occupied. The review includes how the </w:t>
      </w:r>
      <w:r w:rsidR="002B0459">
        <w:rPr>
          <w:rFonts w:cs="Arial"/>
        </w:rPr>
        <w:t>anticipated</w:t>
      </w:r>
      <w:r w:rsidRPr="003138C5">
        <w:rPr>
          <w:rFonts w:cs="Arial"/>
        </w:rPr>
        <w:t xml:space="preserve"> physical features of a proposed home impact programmatic outcomes, such as adequate bedroom size and number to assure privacy, bathroom design to support individuals’ needs for privacy and personal care, common dining and living space conducive to interaction with housemates and entertain</w:t>
      </w:r>
      <w:r w:rsidR="002B0459">
        <w:rPr>
          <w:rFonts w:cs="Arial"/>
        </w:rPr>
        <w:t>ing</w:t>
      </w:r>
      <w:r w:rsidRPr="003138C5">
        <w:rPr>
          <w:rFonts w:cs="Arial"/>
        </w:rPr>
        <w:t xml:space="preserve"> visitors. A separate set of features</w:t>
      </w:r>
      <w:r w:rsidR="002B0459">
        <w:rPr>
          <w:rFonts w:cs="Arial"/>
        </w:rPr>
        <w:t xml:space="preserve">, consistent with Community </w:t>
      </w:r>
      <w:r w:rsidR="002B0459">
        <w:rPr>
          <w:rFonts w:cs="Arial"/>
        </w:rPr>
        <w:lastRenderedPageBreak/>
        <w:t>Rule requirements,</w:t>
      </w:r>
      <w:r w:rsidRPr="003138C5">
        <w:rPr>
          <w:rFonts w:cs="Arial"/>
        </w:rPr>
        <w:t xml:space="preserve"> is reviewed for day supports. In addition to the site feasibility process, Area and Regional Office staff are integrally involved in working with providers to determine whether a proposed location is integrated in the community, whether it facilitates access to community activities, is consistent with the needs and desires of the individuals as identified through the person</w:t>
      </w:r>
      <w:r w:rsidR="00940986">
        <w:rPr>
          <w:rFonts w:cs="Arial"/>
        </w:rPr>
        <w:t>-</w:t>
      </w:r>
      <w:r w:rsidRPr="003138C5">
        <w:rPr>
          <w:rFonts w:cs="Arial"/>
        </w:rPr>
        <w:t xml:space="preserve">centered planning </w:t>
      </w:r>
      <w:proofErr w:type="gramStart"/>
      <w:r w:rsidRPr="003138C5">
        <w:rPr>
          <w:rFonts w:cs="Arial"/>
        </w:rPr>
        <w:t>process, and</w:t>
      </w:r>
      <w:proofErr w:type="gramEnd"/>
      <w:r w:rsidRPr="003138C5">
        <w:rPr>
          <w:rFonts w:cs="Arial"/>
        </w:rPr>
        <w:t xml:space="preserve"> does not result in homes being clustered together. These questions are also incorporated into the initial intake process prior to the feasibility review. Taken in their entirety, these processes assure that any proposed residential setting or day setting complies with both</w:t>
      </w:r>
      <w:r>
        <w:rPr>
          <w:rFonts w:cs="Arial"/>
        </w:rPr>
        <w:t xml:space="preserve"> </w:t>
      </w:r>
      <w:r w:rsidRPr="003138C5">
        <w:rPr>
          <w:rFonts w:cs="Arial"/>
        </w:rPr>
        <w:t xml:space="preserve">the physical/site and programmatic requirements of the </w:t>
      </w:r>
      <w:r w:rsidR="002E6451">
        <w:rPr>
          <w:rFonts w:cs="Arial"/>
        </w:rPr>
        <w:t>Community Rule</w:t>
      </w:r>
      <w:r w:rsidR="00327DC1" w:rsidRPr="003138C5">
        <w:rPr>
          <w:rFonts w:cs="Arial"/>
        </w:rPr>
        <w:t>.</w:t>
      </w:r>
    </w:p>
    <w:p w14:paraId="6A2339E9" w14:textId="77777777" w:rsidR="006E37D8" w:rsidRPr="00B67FB0" w:rsidRDefault="00327DC1" w:rsidP="00DD2C9F">
      <w:pPr>
        <w:rPr>
          <w:rStyle w:val="SubtleEmphasis"/>
        </w:rPr>
      </w:pPr>
      <w:r w:rsidRPr="00B67FB0">
        <w:rPr>
          <w:rStyle w:val="SubtleEmphasis"/>
        </w:rPr>
        <w:t>Quality Council</w:t>
      </w:r>
    </w:p>
    <w:p w14:paraId="64717EBA" w14:textId="77777777" w:rsidR="00327DC1" w:rsidRPr="006E37D8" w:rsidRDefault="00327DC1" w:rsidP="006E37D8">
      <w:pPr>
        <w:rPr>
          <w:rFonts w:cs="Arial"/>
          <w:b/>
        </w:rPr>
      </w:pPr>
      <w:r w:rsidRPr="006E37D8">
        <w:rPr>
          <w:rFonts w:cs="Arial"/>
        </w:rPr>
        <w:t>The Department has a Statewide Quality Council that includes representation from self-advocates, family members, providers, and DDS staff. The Council is dedicated to reviewing and analyzing data, making recommendations for statewide and local service improvement targets, and monitoring progress toward achieving targets. Since its inception, the Council has reviewed and monitored, among other outcomes, statewide efforts to assist individuals to develop relationships and obtain empl</w:t>
      </w:r>
      <w:r w:rsidR="00892708">
        <w:rPr>
          <w:rFonts w:cs="Arial"/>
        </w:rPr>
        <w:t>oyment in integrated settings.</w:t>
      </w:r>
    </w:p>
    <w:p w14:paraId="711792AA" w14:textId="77777777" w:rsidR="006E37D8" w:rsidRPr="00B67FB0" w:rsidRDefault="00327DC1" w:rsidP="00DD2C9F">
      <w:pPr>
        <w:rPr>
          <w:rStyle w:val="SubtleEmphasis"/>
        </w:rPr>
      </w:pPr>
      <w:r w:rsidRPr="00B67FB0">
        <w:rPr>
          <w:rStyle w:val="SubtleEmphasis"/>
        </w:rPr>
        <w:t>National Core Indicator Surveys</w:t>
      </w:r>
    </w:p>
    <w:p w14:paraId="30626F95" w14:textId="77777777" w:rsidR="00E63AF4" w:rsidRDefault="00327DC1" w:rsidP="00327DC1">
      <w:pPr>
        <w:rPr>
          <w:rFonts w:cs="Arial"/>
        </w:rPr>
      </w:pPr>
      <w:r w:rsidRPr="006E37D8">
        <w:rPr>
          <w:rFonts w:cs="Arial"/>
        </w:rPr>
        <w:t>Massachusetts has participated in the National Core indicators (NCI) survey for many years. Participation in NCI has enabled the Department to benchmark its performance on several key indicators of quality against other states and the national averages. Data from NCI is incorporated into the QA Briefs. NCI involves indicators related to the experience of individuals in settings. However, because NCI’s data collection methods are anonymous, DDS does not intend to use NCI data to review a specific setting. Rather, NCI is but one small part of DDS’s quality assurance process. Continued involvement in the NCI surveys reinforces DDS’s commitment to the principles and outcomes delineated in the HCBS Community Rule.</w:t>
      </w:r>
    </w:p>
    <w:p w14:paraId="3F9329E1" w14:textId="75C3C45A" w:rsidR="004B4D7D" w:rsidRPr="00B67FB0" w:rsidRDefault="001A56BA" w:rsidP="002D5510">
      <w:pPr>
        <w:rPr>
          <w:rStyle w:val="SubtleEmphasis"/>
        </w:rPr>
      </w:pPr>
      <w:r w:rsidRPr="00B67FB0">
        <w:rPr>
          <w:rStyle w:val="SubtleEmphasis"/>
        </w:rPr>
        <w:t>Adult Foster Care</w:t>
      </w:r>
      <w:r w:rsidR="00825075" w:rsidRPr="00B67FB0">
        <w:rPr>
          <w:rStyle w:val="SubtleEmphasis"/>
        </w:rPr>
        <w:t xml:space="preserve"> </w:t>
      </w:r>
    </w:p>
    <w:p w14:paraId="495C9D33" w14:textId="6D144C2F" w:rsidR="00A341C0" w:rsidRDefault="003D58C3" w:rsidP="00A341C0">
      <w:pPr>
        <w:rPr>
          <w:rStyle w:val="Strong"/>
          <w:b w:val="0"/>
          <w:bCs w:val="0"/>
        </w:rPr>
      </w:pPr>
      <w:r w:rsidRPr="00030CCB">
        <w:t xml:space="preserve">By March </w:t>
      </w:r>
      <w:r w:rsidR="008B78BF">
        <w:t xml:space="preserve">17, </w:t>
      </w:r>
      <w:r w:rsidRPr="00030CCB">
        <w:t xml:space="preserve">2023, AFC providers will </w:t>
      </w:r>
      <w:r w:rsidR="005A59CA">
        <w:t xml:space="preserve">ensure that AFC caregivers and AFC </w:t>
      </w:r>
      <w:r w:rsidR="008E4897">
        <w:t>members</w:t>
      </w:r>
      <w:r w:rsidR="005A59CA">
        <w:t xml:space="preserve"> </w:t>
      </w:r>
      <w:r w:rsidRPr="00030CCB">
        <w:t>have completed</w:t>
      </w:r>
      <w:r w:rsidR="005A59CA">
        <w:t xml:space="preserve"> the required </w:t>
      </w:r>
      <w:r w:rsidR="008E4897">
        <w:t xml:space="preserve">joint </w:t>
      </w:r>
      <w:r w:rsidR="009B210D">
        <w:t>Attestation form,</w:t>
      </w:r>
      <w:r w:rsidRPr="00030CCB">
        <w:t xml:space="preserve"> and executed </w:t>
      </w:r>
      <w:r w:rsidR="009B210D">
        <w:t xml:space="preserve">lease </w:t>
      </w:r>
      <w:r w:rsidRPr="00030CCB">
        <w:t>agreements</w:t>
      </w:r>
      <w:r w:rsidR="009B210D">
        <w:t xml:space="preserve"> wh</w:t>
      </w:r>
      <w:r w:rsidR="008E4897">
        <w:t>ere</w:t>
      </w:r>
      <w:r w:rsidR="009B210D">
        <w:t xml:space="preserve"> necessary,</w:t>
      </w:r>
      <w:r w:rsidRPr="00030CCB">
        <w:t xml:space="preserve"> </w:t>
      </w:r>
      <w:r w:rsidR="00907684">
        <w:t>for</w:t>
      </w:r>
      <w:r w:rsidR="00907684" w:rsidRPr="00030CCB">
        <w:t xml:space="preserve"> </w:t>
      </w:r>
      <w:r w:rsidR="00BC0AD5">
        <w:t xml:space="preserve">HCBS waiver </w:t>
      </w:r>
      <w:r w:rsidRPr="00030CCB">
        <w:t xml:space="preserve">participants </w:t>
      </w:r>
      <w:r>
        <w:t xml:space="preserve">whose residential settings are subject to the community rule </w:t>
      </w:r>
      <w:r w:rsidRPr="00030CCB">
        <w:t xml:space="preserve">and </w:t>
      </w:r>
      <w:r>
        <w:t>will</w:t>
      </w:r>
      <w:r w:rsidRPr="00030CCB">
        <w:t xml:space="preserve"> continue to do so as a matter of practice. </w:t>
      </w:r>
      <w:r w:rsidR="00A341C0">
        <w:rPr>
          <w:rFonts w:cs="Arial"/>
        </w:rPr>
        <w:t xml:space="preserve">MassHealth </w:t>
      </w:r>
      <w:r w:rsidR="00990FC6">
        <w:rPr>
          <w:rFonts w:cs="Arial"/>
        </w:rPr>
        <w:t xml:space="preserve">or the </w:t>
      </w:r>
      <w:r w:rsidR="008106A0">
        <w:rPr>
          <w:rFonts w:cs="Arial"/>
        </w:rPr>
        <w:t xml:space="preserve">MassHealth </w:t>
      </w:r>
      <w:r w:rsidR="00477A2A" w:rsidRPr="005804D1">
        <w:rPr>
          <w:rFonts w:cs="Arial"/>
        </w:rPr>
        <w:t>L</w:t>
      </w:r>
      <w:r w:rsidR="00477A2A">
        <w:rPr>
          <w:rFonts w:cs="Arial"/>
        </w:rPr>
        <w:t xml:space="preserve">ong </w:t>
      </w:r>
      <w:r w:rsidR="00477A2A" w:rsidRPr="005804D1">
        <w:rPr>
          <w:rFonts w:cs="Arial"/>
        </w:rPr>
        <w:t>T</w:t>
      </w:r>
      <w:r w:rsidR="00477A2A">
        <w:rPr>
          <w:rFonts w:cs="Arial"/>
        </w:rPr>
        <w:t xml:space="preserve">erm </w:t>
      </w:r>
      <w:r w:rsidR="00477A2A" w:rsidRPr="005804D1">
        <w:rPr>
          <w:rFonts w:cs="Arial"/>
        </w:rPr>
        <w:t>S</w:t>
      </w:r>
      <w:r w:rsidR="00477A2A">
        <w:rPr>
          <w:rFonts w:cs="Arial"/>
        </w:rPr>
        <w:t xml:space="preserve">ervices and </w:t>
      </w:r>
      <w:r w:rsidR="00477A2A" w:rsidRPr="005804D1">
        <w:rPr>
          <w:rFonts w:cs="Arial"/>
        </w:rPr>
        <w:t>S</w:t>
      </w:r>
      <w:r w:rsidR="00477A2A">
        <w:rPr>
          <w:rFonts w:cs="Arial"/>
        </w:rPr>
        <w:t>upports</w:t>
      </w:r>
      <w:r w:rsidR="00477A2A" w:rsidRPr="005804D1">
        <w:rPr>
          <w:rFonts w:cs="Arial"/>
        </w:rPr>
        <w:t xml:space="preserve"> T</w:t>
      </w:r>
      <w:r w:rsidR="00477A2A">
        <w:rPr>
          <w:rFonts w:cs="Arial"/>
        </w:rPr>
        <w:t xml:space="preserve">hird </w:t>
      </w:r>
      <w:r w:rsidR="00477A2A" w:rsidRPr="005804D1">
        <w:rPr>
          <w:rFonts w:cs="Arial"/>
        </w:rPr>
        <w:t>P</w:t>
      </w:r>
      <w:r w:rsidR="00477A2A">
        <w:rPr>
          <w:rFonts w:cs="Arial"/>
        </w:rPr>
        <w:t xml:space="preserve">arty Administrator </w:t>
      </w:r>
      <w:r w:rsidR="008106A0">
        <w:rPr>
          <w:rFonts w:cs="Arial"/>
        </w:rPr>
        <w:t>(</w:t>
      </w:r>
      <w:r w:rsidR="00990FC6">
        <w:rPr>
          <w:rFonts w:cs="Arial"/>
        </w:rPr>
        <w:t>LTSS TPA</w:t>
      </w:r>
      <w:r w:rsidR="008106A0">
        <w:rPr>
          <w:rFonts w:cs="Arial"/>
        </w:rPr>
        <w:t>)</w:t>
      </w:r>
      <w:r w:rsidR="00990FC6">
        <w:rPr>
          <w:rFonts w:cs="Arial"/>
        </w:rPr>
        <w:t xml:space="preserve"> </w:t>
      </w:r>
      <w:r w:rsidR="00A341C0">
        <w:rPr>
          <w:rFonts w:cs="Arial"/>
        </w:rPr>
        <w:t xml:space="preserve">will conduct </w:t>
      </w:r>
      <w:r w:rsidR="00990FC6">
        <w:rPr>
          <w:rFonts w:cs="Arial"/>
        </w:rPr>
        <w:t xml:space="preserve">site visits </w:t>
      </w:r>
      <w:r w:rsidR="00A341C0">
        <w:rPr>
          <w:rFonts w:cs="Arial"/>
        </w:rPr>
        <w:t xml:space="preserve">for a sample of </w:t>
      </w:r>
      <w:r w:rsidR="00A341C0" w:rsidRPr="0085687D">
        <w:rPr>
          <w:rStyle w:val="Strong"/>
          <w:b w:val="0"/>
          <w:bCs w:val="0"/>
        </w:rPr>
        <w:t>AFC member</w:t>
      </w:r>
      <w:r w:rsidR="00A341C0">
        <w:rPr>
          <w:rStyle w:val="Strong"/>
          <w:b w:val="0"/>
          <w:bCs w:val="0"/>
        </w:rPr>
        <w:t xml:space="preserve">s who are </w:t>
      </w:r>
      <w:r w:rsidR="00A341C0" w:rsidRPr="0085687D">
        <w:rPr>
          <w:rStyle w:val="Strong"/>
          <w:b w:val="0"/>
          <w:bCs w:val="0"/>
        </w:rPr>
        <w:t>HCBS Waiver participant</w:t>
      </w:r>
      <w:r w:rsidR="00A341C0">
        <w:rPr>
          <w:rStyle w:val="Strong"/>
          <w:b w:val="0"/>
          <w:bCs w:val="0"/>
        </w:rPr>
        <w:t>s</w:t>
      </w:r>
      <w:r w:rsidR="00A341C0" w:rsidRPr="0085687D">
        <w:rPr>
          <w:rStyle w:val="Strong"/>
          <w:b w:val="0"/>
          <w:bCs w:val="0"/>
        </w:rPr>
        <w:t xml:space="preserve"> residing in the home of an unrelated caregiver</w:t>
      </w:r>
      <w:r w:rsidR="00A341C0" w:rsidDel="00257B75">
        <w:rPr>
          <w:rFonts w:cs="Arial"/>
        </w:rPr>
        <w:t xml:space="preserve"> </w:t>
      </w:r>
      <w:r w:rsidR="00A341C0" w:rsidRPr="00A839CF">
        <w:rPr>
          <w:rFonts w:cs="Arial"/>
        </w:rPr>
        <w:t xml:space="preserve">as an additional layer of ongoing monitoring and oversight to ensure compliance of </w:t>
      </w:r>
      <w:r w:rsidR="00A341C0">
        <w:rPr>
          <w:rFonts w:cs="Arial"/>
        </w:rPr>
        <w:t>AFC</w:t>
      </w:r>
      <w:r w:rsidR="00A341C0" w:rsidRPr="00A839CF">
        <w:rPr>
          <w:rFonts w:cs="Arial"/>
        </w:rPr>
        <w:t xml:space="preserve"> settings with the Community Rule</w:t>
      </w:r>
      <w:r w:rsidR="00A341C0">
        <w:rPr>
          <w:rFonts w:cs="Arial"/>
        </w:rPr>
        <w:t>.</w:t>
      </w:r>
    </w:p>
    <w:p w14:paraId="3380F955" w14:textId="77777777" w:rsidR="00E72E9A" w:rsidRDefault="00E72E9A" w:rsidP="002D5510">
      <w:pPr>
        <w:rPr>
          <w:rStyle w:val="Strong"/>
        </w:rPr>
      </w:pPr>
    </w:p>
    <w:p w14:paraId="2BB69906" w14:textId="77777777" w:rsidR="000E710F" w:rsidRDefault="000E710F">
      <w:pPr>
        <w:pStyle w:val="Heading3"/>
        <w:rPr>
          <w:rStyle w:val="Strong"/>
          <w:b/>
          <w:bCs w:val="0"/>
          <w:sz w:val="28"/>
          <w:szCs w:val="28"/>
        </w:rPr>
      </w:pPr>
      <w:r>
        <w:rPr>
          <w:rStyle w:val="Strong"/>
          <w:b/>
          <w:bCs w:val="0"/>
          <w:sz w:val="28"/>
          <w:szCs w:val="28"/>
        </w:rPr>
        <w:br w:type="page"/>
      </w:r>
    </w:p>
    <w:p w14:paraId="4B5F694A" w14:textId="7B920429" w:rsidR="00327DC1" w:rsidRPr="00304C2F" w:rsidRDefault="00327DC1" w:rsidP="00304C2F">
      <w:pPr>
        <w:pStyle w:val="Heading3"/>
        <w:rPr>
          <w:rStyle w:val="Strong"/>
          <w:bCs w:val="0"/>
          <w:sz w:val="26"/>
          <w:szCs w:val="26"/>
        </w:rPr>
      </w:pPr>
      <w:r w:rsidRPr="00304C2F">
        <w:rPr>
          <w:rStyle w:val="Strong"/>
          <w:b/>
          <w:bCs w:val="0"/>
          <w:sz w:val="26"/>
          <w:szCs w:val="26"/>
        </w:rPr>
        <w:lastRenderedPageBreak/>
        <w:t xml:space="preserve">B.  </w:t>
      </w:r>
      <w:r w:rsidRPr="00304C2F">
        <w:rPr>
          <w:rStyle w:val="Heading2Char"/>
          <w:b/>
          <w:bCs w:val="0"/>
          <w:sz w:val="26"/>
          <w:szCs w:val="26"/>
        </w:rPr>
        <w:t>Waivers operated by the Massachusetts Rehabilitation Commission (MRC)</w:t>
      </w:r>
    </w:p>
    <w:p w14:paraId="265724A2" w14:textId="77777777" w:rsidR="00327DC1" w:rsidRPr="00B11E60" w:rsidRDefault="00327DC1" w:rsidP="00533E24">
      <w:pPr>
        <w:rPr>
          <w:rFonts w:cs="Arial"/>
        </w:rPr>
      </w:pPr>
      <w:r w:rsidRPr="00B11E60">
        <w:rPr>
          <w:rFonts w:cs="Arial"/>
        </w:rPr>
        <w:t xml:space="preserve">The Massachusetts Rehabilitation Commission (MRC) conducted a review and assessment of </w:t>
      </w:r>
      <w:r w:rsidR="009C288A">
        <w:rPr>
          <w:rFonts w:cs="Arial"/>
        </w:rPr>
        <w:t>its</w:t>
      </w:r>
      <w:r w:rsidR="009C288A" w:rsidRPr="00B11E60">
        <w:rPr>
          <w:rFonts w:cs="Arial"/>
        </w:rPr>
        <w:t xml:space="preserve"> </w:t>
      </w:r>
      <w:r w:rsidRPr="00B11E60">
        <w:rPr>
          <w:rFonts w:cs="Arial"/>
        </w:rPr>
        <w:t>compliance for the following three HCBS waivers operated by MRC:</w:t>
      </w:r>
    </w:p>
    <w:p w14:paraId="78253224" w14:textId="77777777" w:rsidR="00327DC1" w:rsidRPr="00B11E60" w:rsidRDefault="00327DC1" w:rsidP="004427AF">
      <w:pPr>
        <w:pStyle w:val="ListParagraph"/>
        <w:numPr>
          <w:ilvl w:val="0"/>
          <w:numId w:val="11"/>
        </w:numPr>
        <w:rPr>
          <w:rFonts w:cs="Arial"/>
        </w:rPr>
      </w:pPr>
      <w:r w:rsidRPr="00B11E60">
        <w:rPr>
          <w:rFonts w:cs="Arial"/>
        </w:rPr>
        <w:t>the Traumatic Brain Injury (TBI) Waiver (MA.0359</w:t>
      </w:r>
      <w:proofErr w:type="gramStart"/>
      <w:r w:rsidRPr="00B11E60">
        <w:rPr>
          <w:rFonts w:cs="Arial"/>
        </w:rPr>
        <w:t>);</w:t>
      </w:r>
      <w:proofErr w:type="gramEnd"/>
      <w:r w:rsidRPr="00B11E60">
        <w:rPr>
          <w:rFonts w:cs="Arial"/>
        </w:rPr>
        <w:t xml:space="preserve"> </w:t>
      </w:r>
    </w:p>
    <w:p w14:paraId="4601805F" w14:textId="77777777" w:rsidR="00327DC1" w:rsidRPr="00B11E60" w:rsidRDefault="00327DC1" w:rsidP="004427AF">
      <w:pPr>
        <w:pStyle w:val="ListParagraph"/>
        <w:numPr>
          <w:ilvl w:val="0"/>
          <w:numId w:val="11"/>
        </w:numPr>
        <w:rPr>
          <w:rFonts w:cs="Arial"/>
        </w:rPr>
      </w:pPr>
      <w:r w:rsidRPr="00B11E60">
        <w:rPr>
          <w:rFonts w:cs="Arial"/>
        </w:rPr>
        <w:t>the ABI Non</w:t>
      </w:r>
      <w:r w:rsidR="009C288A">
        <w:rPr>
          <w:rFonts w:cs="Arial"/>
        </w:rPr>
        <w:t>-</w:t>
      </w:r>
      <w:r w:rsidRPr="00B11E60">
        <w:rPr>
          <w:rFonts w:cs="Arial"/>
        </w:rPr>
        <w:t xml:space="preserve">Residential Waiver (MA.40702); and </w:t>
      </w:r>
    </w:p>
    <w:p w14:paraId="42A68890" w14:textId="1EC4F33C" w:rsidR="00327DC1" w:rsidRPr="00B11E60" w:rsidRDefault="00327DC1" w:rsidP="004427AF">
      <w:pPr>
        <w:pStyle w:val="ListParagraph"/>
        <w:numPr>
          <w:ilvl w:val="0"/>
          <w:numId w:val="11"/>
        </w:numPr>
        <w:rPr>
          <w:rFonts w:cs="Arial"/>
        </w:rPr>
      </w:pPr>
      <w:r w:rsidRPr="00B11E60">
        <w:rPr>
          <w:rFonts w:cs="Arial"/>
        </w:rPr>
        <w:t>the MFP Community Living Waiver (MA</w:t>
      </w:r>
      <w:r w:rsidR="00006F53">
        <w:rPr>
          <w:rFonts w:cs="Arial"/>
        </w:rPr>
        <w:t>.</w:t>
      </w:r>
      <w:r w:rsidRPr="00B11E60">
        <w:rPr>
          <w:rFonts w:cs="Arial"/>
        </w:rPr>
        <w:t>1027).</w:t>
      </w:r>
    </w:p>
    <w:p w14:paraId="09D1E42B" w14:textId="77777777" w:rsidR="00327DC1" w:rsidRPr="00B11E60" w:rsidRDefault="00327DC1" w:rsidP="00327DC1">
      <w:pPr>
        <w:rPr>
          <w:rFonts w:cs="Arial"/>
        </w:rPr>
      </w:pPr>
      <w:r w:rsidRPr="00B11E60">
        <w:rPr>
          <w:rFonts w:cs="Arial"/>
        </w:rPr>
        <w:t>All three of these waivers support individuals in the community in their own homes or apartments, or in homes and apartments with family members and other informal supports. In addition, the TBI waiver also support</w:t>
      </w:r>
      <w:r w:rsidR="009C288A">
        <w:rPr>
          <w:rFonts w:cs="Arial"/>
        </w:rPr>
        <w:t>s</w:t>
      </w:r>
      <w:r w:rsidRPr="00B11E60">
        <w:rPr>
          <w:rFonts w:cs="Arial"/>
        </w:rPr>
        <w:t xml:space="preserve"> participants in 24-hour, provider-operated residential settings.</w:t>
      </w:r>
    </w:p>
    <w:p w14:paraId="542AEFA8" w14:textId="6DF1E8B9" w:rsidR="00327DC1" w:rsidRPr="00B11E60" w:rsidRDefault="00327DC1" w:rsidP="00327DC1">
      <w:pPr>
        <w:rPr>
          <w:rFonts w:cs="Arial"/>
        </w:rPr>
      </w:pPr>
      <w:r w:rsidRPr="00B11E60">
        <w:rPr>
          <w:rFonts w:cs="Arial"/>
        </w:rPr>
        <w:t xml:space="preserve">MRC’s systemic assessment of these three waivers included a thorough review of MRC’s regulations, policies and procedures, provider qualifications and quality management and oversight systems to determine whether the systemic infrastructure was consistent with the principles of community integration as outlined in the Community Rule. In reviewing the status of MRC’s compliance with the requirements of the Rule for the non-residential services (day supports and employment services), </w:t>
      </w:r>
      <w:r w:rsidR="00DB70A8">
        <w:rPr>
          <w:rFonts w:cs="Arial"/>
        </w:rPr>
        <w:t>the state (MassHealth, MRC, and DDS) coordinate</w:t>
      </w:r>
      <w:r w:rsidR="009E55DB">
        <w:rPr>
          <w:rFonts w:cs="Arial"/>
        </w:rPr>
        <w:t>s</w:t>
      </w:r>
      <w:r w:rsidR="00DB70A8">
        <w:rPr>
          <w:rFonts w:cs="Arial"/>
        </w:rPr>
        <w:t xml:space="preserve"> work undertaken across both MRC and DDS to ensure</w:t>
      </w:r>
      <w:r w:rsidRPr="00B11E60">
        <w:rPr>
          <w:rFonts w:cs="Arial"/>
        </w:rPr>
        <w:t xml:space="preserve"> </w:t>
      </w:r>
      <w:r w:rsidR="009E55DB">
        <w:rPr>
          <w:rFonts w:cs="Arial"/>
        </w:rPr>
        <w:t xml:space="preserve">ongoing </w:t>
      </w:r>
      <w:r w:rsidRPr="00B11E60">
        <w:rPr>
          <w:rFonts w:cs="Arial"/>
        </w:rPr>
        <w:t xml:space="preserve">consistency in practices, </w:t>
      </w:r>
      <w:proofErr w:type="gramStart"/>
      <w:r w:rsidRPr="00B11E60">
        <w:rPr>
          <w:rFonts w:cs="Arial"/>
        </w:rPr>
        <w:t>standards</w:t>
      </w:r>
      <w:proofErr w:type="gramEnd"/>
      <w:r w:rsidRPr="00B11E60">
        <w:rPr>
          <w:rFonts w:cs="Arial"/>
        </w:rPr>
        <w:t xml:space="preserve"> and qualifications of the many shared providers of day and employment services.</w:t>
      </w:r>
    </w:p>
    <w:p w14:paraId="0E38D60D" w14:textId="77777777" w:rsidR="00327DC1" w:rsidRPr="00B11E60" w:rsidRDefault="00327DC1" w:rsidP="00327DC1">
      <w:pPr>
        <w:rPr>
          <w:rFonts w:cs="Arial"/>
        </w:rPr>
      </w:pPr>
      <w:r w:rsidRPr="00B11E60">
        <w:rPr>
          <w:rFonts w:cs="Arial"/>
        </w:rPr>
        <w:t xml:space="preserve">Listed below are the areas that were reviewed to determine whether and how MRC is positioned to ensure that our standards are consistent with those outlined in the </w:t>
      </w:r>
      <w:r w:rsidR="002E6451">
        <w:rPr>
          <w:rFonts w:cs="Arial"/>
        </w:rPr>
        <w:t>Community Rule</w:t>
      </w:r>
      <w:r w:rsidRPr="00B11E60">
        <w:rPr>
          <w:rFonts w:cs="Arial"/>
        </w:rPr>
        <w:t>. Where areas for improvement were identified, they are indicated below as part of the transition plan.</w:t>
      </w:r>
    </w:p>
    <w:p w14:paraId="35787848" w14:textId="77777777" w:rsidR="00327DC1" w:rsidRPr="00B11E60" w:rsidRDefault="00327DC1" w:rsidP="004427AF">
      <w:pPr>
        <w:pStyle w:val="ListParagraph"/>
        <w:numPr>
          <w:ilvl w:val="0"/>
          <w:numId w:val="11"/>
        </w:numPr>
        <w:rPr>
          <w:rFonts w:cs="Arial"/>
        </w:rPr>
      </w:pPr>
      <w:r w:rsidRPr="00B11E60">
        <w:rPr>
          <w:rFonts w:cs="Arial"/>
        </w:rPr>
        <w:t xml:space="preserve">MRC regulations 107 CMR 12.00 </w:t>
      </w:r>
      <w:r w:rsidRPr="00B11E60">
        <w:rPr>
          <w:rFonts w:cs="Arial"/>
          <w:i/>
        </w:rPr>
        <w:t>et seq</w:t>
      </w:r>
      <w:r w:rsidRPr="00B11E60">
        <w:rPr>
          <w:rFonts w:cs="Arial"/>
        </w:rPr>
        <w:t>.: Statewide Head Injury Program</w:t>
      </w:r>
    </w:p>
    <w:p w14:paraId="69AB278A" w14:textId="77777777" w:rsidR="00327DC1" w:rsidRPr="00B11E60" w:rsidRDefault="00327DC1" w:rsidP="004427AF">
      <w:pPr>
        <w:pStyle w:val="ListParagraph"/>
        <w:numPr>
          <w:ilvl w:val="0"/>
          <w:numId w:val="11"/>
        </w:numPr>
        <w:rPr>
          <w:rFonts w:cs="Arial"/>
        </w:rPr>
      </w:pPr>
      <w:r w:rsidRPr="00B11E60">
        <w:rPr>
          <w:rFonts w:cs="Arial"/>
        </w:rPr>
        <w:t>MRC Community Living Division Policies and Procedures</w:t>
      </w:r>
      <w:r w:rsidR="002609E3">
        <w:rPr>
          <w:rFonts w:cs="Arial"/>
        </w:rPr>
        <w:t xml:space="preserve"> Manual</w:t>
      </w:r>
    </w:p>
    <w:p w14:paraId="6618BA9D" w14:textId="77777777" w:rsidR="00327DC1" w:rsidRPr="00B11E60" w:rsidRDefault="00327DC1" w:rsidP="004427AF">
      <w:pPr>
        <w:pStyle w:val="ListParagraph"/>
        <w:numPr>
          <w:ilvl w:val="0"/>
          <w:numId w:val="11"/>
        </w:numPr>
        <w:rPr>
          <w:rFonts w:cs="Arial"/>
        </w:rPr>
      </w:pPr>
      <w:r w:rsidRPr="00B11E60">
        <w:rPr>
          <w:rFonts w:cs="Arial"/>
        </w:rPr>
        <w:t>HCBS waiver service definitions</w:t>
      </w:r>
    </w:p>
    <w:p w14:paraId="5DBBFEF0" w14:textId="77777777" w:rsidR="00327DC1" w:rsidRPr="00B11E60" w:rsidRDefault="00327DC1" w:rsidP="004427AF">
      <w:pPr>
        <w:pStyle w:val="ListParagraph"/>
        <w:numPr>
          <w:ilvl w:val="0"/>
          <w:numId w:val="11"/>
        </w:numPr>
        <w:rPr>
          <w:rFonts w:cs="Arial"/>
        </w:rPr>
      </w:pPr>
      <w:r w:rsidRPr="00B11E60">
        <w:rPr>
          <w:rFonts w:cs="Arial"/>
        </w:rPr>
        <w:t>Provider qualification standards and processes</w:t>
      </w:r>
    </w:p>
    <w:p w14:paraId="1030183B" w14:textId="41F20C66" w:rsidR="00327DC1" w:rsidRPr="00B11E60" w:rsidRDefault="00327DC1" w:rsidP="004427AF">
      <w:pPr>
        <w:pStyle w:val="ListParagraph"/>
        <w:numPr>
          <w:ilvl w:val="0"/>
          <w:numId w:val="11"/>
        </w:numPr>
        <w:rPr>
          <w:rFonts w:cs="Arial"/>
          <w:b/>
        </w:rPr>
      </w:pPr>
      <w:r w:rsidRPr="00B11E60">
        <w:rPr>
          <w:rFonts w:cs="Arial"/>
        </w:rPr>
        <w:t>Quality Management and oversight systems including review of the Annual Monitoring Tool</w:t>
      </w:r>
      <w:r w:rsidR="005444D7">
        <w:rPr>
          <w:rFonts w:cs="Arial"/>
        </w:rPr>
        <w:br/>
      </w:r>
    </w:p>
    <w:p w14:paraId="201E3726" w14:textId="6023ED70" w:rsidR="00327DC1" w:rsidRPr="00B86DDF" w:rsidRDefault="008C295F" w:rsidP="00144BE9">
      <w:pPr>
        <w:pStyle w:val="Heading3"/>
      </w:pPr>
      <w:r>
        <w:t xml:space="preserve">1. </w:t>
      </w:r>
      <w:r w:rsidR="00AF005E" w:rsidRPr="00B86DDF">
        <w:t>MRC Regulations</w:t>
      </w:r>
      <w:r w:rsidR="00327DC1" w:rsidRPr="00B86DDF">
        <w:t xml:space="preserve"> (See Table 1</w:t>
      </w:r>
      <w:r w:rsidR="00EF6B1A" w:rsidRPr="00B86DDF">
        <w:t>.</w:t>
      </w:r>
      <w:r w:rsidR="00327DC1" w:rsidRPr="00B86DDF">
        <w:t xml:space="preserve"> Regulatory Crosswalk)</w:t>
      </w:r>
    </w:p>
    <w:p w14:paraId="5B3BD60B" w14:textId="77777777" w:rsidR="00B86DDF" w:rsidRDefault="00B86DDF" w:rsidP="00B86DDF">
      <w:pPr>
        <w:spacing w:after="0" w:line="240" w:lineRule="auto"/>
        <w:rPr>
          <w:rFonts w:cs="Arial"/>
        </w:rPr>
      </w:pPr>
    </w:p>
    <w:p w14:paraId="42366A9F" w14:textId="50C05AFD" w:rsidR="00E57D66" w:rsidRDefault="00327DC1" w:rsidP="00B86DDF">
      <w:pPr>
        <w:spacing w:after="0" w:line="240" w:lineRule="auto"/>
        <w:rPr>
          <w:rFonts w:cs="Arial"/>
        </w:rPr>
      </w:pPr>
      <w:r w:rsidRPr="00B11E60">
        <w:rPr>
          <w:rFonts w:cs="Arial"/>
        </w:rPr>
        <w:t xml:space="preserve">107 CMR Chapter 12.00: MRC regulations for the Statewide Head Injury Program describe the referral, application, and eligibility determination process, case closure process, and rights to appeal. MRC manages compliance with regulations through contractual agreements with providers. These regulations were reviewed and were found to </w:t>
      </w:r>
      <w:proofErr w:type="gramStart"/>
      <w:r w:rsidRPr="00B11E60">
        <w:rPr>
          <w:rFonts w:cs="Arial"/>
        </w:rPr>
        <w:t>be in compliance with</w:t>
      </w:r>
      <w:proofErr w:type="gramEnd"/>
      <w:r w:rsidRPr="00B11E60">
        <w:rPr>
          <w:rFonts w:cs="Arial"/>
        </w:rPr>
        <w:t xml:space="preserve"> the Community Rule; no changes are recommended.</w:t>
      </w:r>
      <w:r w:rsidR="0090785D">
        <w:rPr>
          <w:rFonts w:cs="Arial"/>
        </w:rPr>
        <w:br/>
      </w:r>
      <w:r w:rsidR="0090785D">
        <w:rPr>
          <w:rFonts w:cs="Arial"/>
        </w:rPr>
        <w:br/>
      </w:r>
    </w:p>
    <w:p w14:paraId="3CA529FB" w14:textId="33793D00" w:rsidR="00327DC1" w:rsidRPr="00B86DDF" w:rsidRDefault="008C295F" w:rsidP="00144BE9">
      <w:pPr>
        <w:pStyle w:val="Heading3"/>
      </w:pPr>
      <w:r>
        <w:lastRenderedPageBreak/>
        <w:t xml:space="preserve">2. </w:t>
      </w:r>
      <w:r w:rsidR="00DB52E3" w:rsidRPr="00B86DDF">
        <w:t>Policies and procedures</w:t>
      </w:r>
      <w:r w:rsidR="00883571" w:rsidRPr="00B86DDF">
        <w:t xml:space="preserve"> (See Table 3. Summary of Transition Plan Tasks and Timelines)</w:t>
      </w:r>
    </w:p>
    <w:p w14:paraId="1597B1D4" w14:textId="77777777" w:rsidR="0090785D" w:rsidRDefault="0090785D" w:rsidP="00327DC1">
      <w:pPr>
        <w:rPr>
          <w:rStyle w:val="Strong"/>
        </w:rPr>
      </w:pPr>
    </w:p>
    <w:p w14:paraId="27486252" w14:textId="7E6F7991" w:rsidR="00327DC1" w:rsidRPr="00DD2C9F" w:rsidRDefault="00327DC1" w:rsidP="00327DC1">
      <w:pPr>
        <w:rPr>
          <w:rStyle w:val="Strong"/>
        </w:rPr>
      </w:pPr>
      <w:r w:rsidRPr="00DD2C9F">
        <w:rPr>
          <w:rStyle w:val="Strong"/>
        </w:rPr>
        <w:t>Residential Settings</w:t>
      </w:r>
    </w:p>
    <w:p w14:paraId="1EF098FE" w14:textId="6F3F658C" w:rsidR="00327DC1" w:rsidRPr="00B11E60" w:rsidRDefault="00D04D8E" w:rsidP="00327DC1">
      <w:pPr>
        <w:rPr>
          <w:rFonts w:cs="Arial"/>
        </w:rPr>
      </w:pPr>
      <w:r>
        <w:rPr>
          <w:rFonts w:cs="Arial"/>
        </w:rPr>
        <w:t>The</w:t>
      </w:r>
      <w:r w:rsidR="00327DC1" w:rsidRPr="00B11E60">
        <w:rPr>
          <w:rFonts w:cs="Arial"/>
        </w:rPr>
        <w:t xml:space="preserve"> following policies were identified as needing modifications or revisions </w:t>
      </w:r>
      <w:proofErr w:type="gramStart"/>
      <w:r w:rsidR="00327DC1" w:rsidRPr="00B11E60">
        <w:rPr>
          <w:rFonts w:cs="Arial"/>
        </w:rPr>
        <w:t>in order to</w:t>
      </w:r>
      <w:proofErr w:type="gramEnd"/>
      <w:r w:rsidR="00327DC1" w:rsidRPr="00B11E60">
        <w:rPr>
          <w:rFonts w:cs="Arial"/>
        </w:rPr>
        <w:t xml:space="preserve"> ensure compliance with the </w:t>
      </w:r>
      <w:r>
        <w:rPr>
          <w:rFonts w:cs="Arial"/>
        </w:rPr>
        <w:t>Community Rule</w:t>
      </w:r>
      <w:r w:rsidR="00327DC1" w:rsidRPr="00B11E60">
        <w:rPr>
          <w:rFonts w:cs="Arial"/>
        </w:rPr>
        <w:t>:</w:t>
      </w:r>
    </w:p>
    <w:p w14:paraId="0F29FA67" w14:textId="77777777" w:rsidR="00883571" w:rsidRPr="00B86DDF" w:rsidRDefault="00883571" w:rsidP="00DD2C9F">
      <w:pPr>
        <w:rPr>
          <w:rStyle w:val="SubtleEmphasis"/>
        </w:rPr>
      </w:pPr>
      <w:r w:rsidRPr="00B86DDF">
        <w:rPr>
          <w:rStyle w:val="SubtleEmphasis"/>
        </w:rPr>
        <w:t>Tenancy protection</w:t>
      </w:r>
    </w:p>
    <w:p w14:paraId="0EFC45D9" w14:textId="17B7FF6A" w:rsidR="00651F8A" w:rsidRPr="00651F8A" w:rsidRDefault="00327DC1" w:rsidP="00651F8A">
      <w:pPr>
        <w:autoSpaceDE w:val="0"/>
        <w:autoSpaceDN w:val="0"/>
        <w:adjustRightInd w:val="0"/>
        <w:spacing w:after="0" w:line="240" w:lineRule="auto"/>
        <w:rPr>
          <w:rFonts w:cs="Arial"/>
        </w:rPr>
      </w:pPr>
      <w:r w:rsidRPr="00883571">
        <w:rPr>
          <w:rFonts w:cs="Arial"/>
        </w:rPr>
        <w:t xml:space="preserve">The Community Rule requires individuals to have a legally enforceable agreement comparable to a lease. The intent of this rule is to safeguard individuals against an arbitrary or capricious eviction from their home. Residential providers, however, </w:t>
      </w:r>
      <w:r w:rsidR="00DB70A8" w:rsidRPr="00883571">
        <w:rPr>
          <w:rFonts w:cs="Arial"/>
        </w:rPr>
        <w:t xml:space="preserve">did </w:t>
      </w:r>
      <w:r w:rsidRPr="00883571">
        <w:rPr>
          <w:rFonts w:cs="Arial"/>
        </w:rPr>
        <w:t xml:space="preserve">not necessarily have a specific document that either the individual and/or his/her guardian sign to ensure that they will not be evicted without due process. </w:t>
      </w:r>
      <w:r w:rsidR="001B4E4E" w:rsidRPr="00883571">
        <w:rPr>
          <w:rFonts w:cs="Arial"/>
        </w:rPr>
        <w:t xml:space="preserve">MRC developed guidance for providers regarding development of documents safeguarding individuals as discussed above in </w:t>
      </w:r>
      <w:r w:rsidR="00D54363">
        <w:rPr>
          <w:rFonts w:cs="Arial"/>
        </w:rPr>
        <w:t>April</w:t>
      </w:r>
      <w:r w:rsidR="00D54363" w:rsidRPr="00883571">
        <w:rPr>
          <w:rFonts w:cs="Arial"/>
        </w:rPr>
        <w:t xml:space="preserve"> </w:t>
      </w:r>
      <w:r w:rsidR="001B4E4E" w:rsidRPr="00883571">
        <w:rPr>
          <w:rFonts w:cs="Arial"/>
        </w:rPr>
        <w:t>2016</w:t>
      </w:r>
      <w:r w:rsidR="00D52324">
        <w:rPr>
          <w:rFonts w:cs="Arial"/>
        </w:rPr>
        <w:t xml:space="preserve"> to</w:t>
      </w:r>
      <w:r w:rsidR="001B4E4E" w:rsidRPr="00883571">
        <w:rPr>
          <w:rFonts w:cs="Arial"/>
        </w:rPr>
        <w:t xml:space="preserve"> support providers in developing </w:t>
      </w:r>
      <w:r w:rsidR="00D52324">
        <w:rPr>
          <w:rFonts w:cs="Arial"/>
        </w:rPr>
        <w:t xml:space="preserve">and documenting </w:t>
      </w:r>
      <w:r w:rsidR="001B4E4E" w:rsidRPr="00883571">
        <w:rPr>
          <w:rFonts w:cs="Arial"/>
        </w:rPr>
        <w:t>agreements with individuals.</w:t>
      </w:r>
      <w:r w:rsidR="00651F8A">
        <w:rPr>
          <w:rFonts w:cs="Arial"/>
        </w:rPr>
        <w:t xml:space="preserve"> </w:t>
      </w:r>
      <w:r w:rsidR="00651F8A" w:rsidRPr="00651F8A">
        <w:rPr>
          <w:rFonts w:cs="Arial"/>
        </w:rPr>
        <w:t xml:space="preserve">This policy states </w:t>
      </w:r>
      <w:bookmarkStart w:id="0" w:name="_Hlk115855486"/>
      <w:r w:rsidR="00651F8A" w:rsidRPr="00651F8A">
        <w:rPr>
          <w:rFonts w:cs="Arial"/>
        </w:rPr>
        <w:t xml:space="preserve">a legally enforceable agreement shall provide </w:t>
      </w:r>
      <w:r w:rsidR="00651F8A">
        <w:rPr>
          <w:rFonts w:cs="Arial"/>
        </w:rPr>
        <w:t>the</w:t>
      </w:r>
      <w:r w:rsidR="00651F8A" w:rsidRPr="00651F8A">
        <w:rPr>
          <w:rFonts w:cs="Arial"/>
        </w:rPr>
        <w:t xml:space="preserve"> </w:t>
      </w:r>
      <w:r w:rsidR="00651F8A">
        <w:rPr>
          <w:rFonts w:cs="Arial"/>
        </w:rPr>
        <w:t>participant</w:t>
      </w:r>
      <w:r w:rsidR="00651F8A" w:rsidRPr="00651F8A">
        <w:rPr>
          <w:rFonts w:cs="Arial"/>
        </w:rPr>
        <w:t xml:space="preserve"> with the same responsibilities</w:t>
      </w:r>
    </w:p>
    <w:p w14:paraId="7F103E24" w14:textId="77777777" w:rsidR="00651F8A" w:rsidRPr="00651F8A" w:rsidRDefault="00651F8A" w:rsidP="00651F8A">
      <w:pPr>
        <w:autoSpaceDE w:val="0"/>
        <w:autoSpaceDN w:val="0"/>
        <w:adjustRightInd w:val="0"/>
        <w:spacing w:after="0" w:line="240" w:lineRule="auto"/>
        <w:rPr>
          <w:rFonts w:cs="Arial"/>
        </w:rPr>
      </w:pPr>
      <w:r w:rsidRPr="00651F8A">
        <w:rPr>
          <w:rFonts w:cs="Arial"/>
        </w:rPr>
        <w:t>and protections from eviction that tenants have under the landlord/tenant law(s) in</w:t>
      </w:r>
    </w:p>
    <w:p w14:paraId="587808C0" w14:textId="4A1D013C" w:rsidR="00327DC1" w:rsidRPr="00883571" w:rsidRDefault="00651F8A" w:rsidP="00651F8A">
      <w:pPr>
        <w:rPr>
          <w:rFonts w:cs="Arial"/>
        </w:rPr>
      </w:pPr>
      <w:r w:rsidRPr="00651F8A">
        <w:rPr>
          <w:rFonts w:cs="Arial"/>
        </w:rPr>
        <w:t xml:space="preserve">Massachusetts as well as the county or town/city where the </w:t>
      </w:r>
      <w:r>
        <w:rPr>
          <w:rFonts w:cs="Arial"/>
        </w:rPr>
        <w:t>participant</w:t>
      </w:r>
      <w:r w:rsidRPr="00651F8A">
        <w:rPr>
          <w:rFonts w:cs="Arial"/>
        </w:rPr>
        <w:t xml:space="preserve"> resides.</w:t>
      </w:r>
      <w:r w:rsidR="001B4E4E" w:rsidRPr="00651F8A">
        <w:rPr>
          <w:rFonts w:cs="Arial"/>
        </w:rPr>
        <w:t xml:space="preserve"> </w:t>
      </w:r>
      <w:bookmarkEnd w:id="0"/>
      <w:r w:rsidR="00D04D8E">
        <w:rPr>
          <w:rFonts w:cs="Arial"/>
        </w:rPr>
        <w:t>B</w:t>
      </w:r>
      <w:r w:rsidR="00D04D8E" w:rsidRPr="00883571">
        <w:rPr>
          <w:rFonts w:cs="Arial"/>
        </w:rPr>
        <w:t xml:space="preserve">y </w:t>
      </w:r>
      <w:r w:rsidR="00D04D8E">
        <w:rPr>
          <w:rFonts w:cs="Arial"/>
        </w:rPr>
        <w:t xml:space="preserve">June 2017, residential </w:t>
      </w:r>
      <w:r w:rsidR="00D52324">
        <w:rPr>
          <w:rFonts w:cs="Arial"/>
        </w:rPr>
        <w:t>p</w:t>
      </w:r>
      <w:r w:rsidR="001B4E4E" w:rsidRPr="00883571">
        <w:rPr>
          <w:rFonts w:cs="Arial"/>
        </w:rPr>
        <w:t xml:space="preserve">roviders </w:t>
      </w:r>
      <w:r w:rsidR="00D04D8E">
        <w:rPr>
          <w:rFonts w:cs="Arial"/>
        </w:rPr>
        <w:t xml:space="preserve">had </w:t>
      </w:r>
      <w:r w:rsidR="004C2E50">
        <w:rPr>
          <w:rFonts w:cs="Arial"/>
        </w:rPr>
        <w:t xml:space="preserve">completed and </w:t>
      </w:r>
      <w:r w:rsidR="00D52324">
        <w:rPr>
          <w:rFonts w:cs="Arial"/>
        </w:rPr>
        <w:t xml:space="preserve">executed such agreements with </w:t>
      </w:r>
      <w:r w:rsidR="009F5522">
        <w:rPr>
          <w:rFonts w:cs="Arial"/>
        </w:rPr>
        <w:t>participants and</w:t>
      </w:r>
      <w:r w:rsidR="00207B14">
        <w:rPr>
          <w:rFonts w:cs="Arial"/>
        </w:rPr>
        <w:t xml:space="preserve"> </w:t>
      </w:r>
      <w:r w:rsidR="00D04D8E">
        <w:rPr>
          <w:rFonts w:cs="Arial"/>
        </w:rPr>
        <w:t xml:space="preserve">continue to </w:t>
      </w:r>
      <w:r w:rsidR="00207B14">
        <w:rPr>
          <w:rFonts w:cs="Arial"/>
        </w:rPr>
        <w:t>do so</w:t>
      </w:r>
      <w:r w:rsidR="00E57D66">
        <w:rPr>
          <w:rFonts w:cs="Arial"/>
        </w:rPr>
        <w:t xml:space="preserve"> as a matter of practice</w:t>
      </w:r>
      <w:r w:rsidR="001B4E4E" w:rsidRPr="00883571">
        <w:rPr>
          <w:rFonts w:cs="Arial"/>
        </w:rPr>
        <w:t>.</w:t>
      </w:r>
      <w:r w:rsidR="00327DC1" w:rsidRPr="00883571">
        <w:rPr>
          <w:rFonts w:cs="Arial"/>
        </w:rPr>
        <w:t xml:space="preserve"> </w:t>
      </w:r>
    </w:p>
    <w:p w14:paraId="0FF48498" w14:textId="77777777" w:rsidR="00883571" w:rsidRPr="00B86DDF" w:rsidRDefault="00883571" w:rsidP="00DD2C9F">
      <w:pPr>
        <w:rPr>
          <w:rStyle w:val="SubtleEmphasis"/>
        </w:rPr>
      </w:pPr>
      <w:r w:rsidRPr="00B86DDF">
        <w:rPr>
          <w:rStyle w:val="SubtleEmphasis"/>
        </w:rPr>
        <w:t>Locks on doors</w:t>
      </w:r>
    </w:p>
    <w:p w14:paraId="328F82B4" w14:textId="1EE333A9" w:rsidR="00327DC1" w:rsidRPr="00883571" w:rsidRDefault="00327DC1" w:rsidP="00883571">
      <w:pPr>
        <w:rPr>
          <w:rFonts w:cs="Arial"/>
        </w:rPr>
      </w:pPr>
      <w:r w:rsidRPr="00883571">
        <w:rPr>
          <w:rFonts w:cs="Arial"/>
        </w:rPr>
        <w:t xml:space="preserve">The Community Rule requires that </w:t>
      </w:r>
      <w:r w:rsidR="00E81CD7" w:rsidRPr="00883571">
        <w:rPr>
          <w:rFonts w:cs="Arial"/>
        </w:rPr>
        <w:t>u</w:t>
      </w:r>
      <w:r w:rsidRPr="00883571">
        <w:rPr>
          <w:rFonts w:cs="Arial"/>
        </w:rPr>
        <w:t xml:space="preserve">nits have entrance doors lockable by the individual, with only appropriate staff having keys to doors. For reasons associated with health and safety (chiefly, </w:t>
      </w:r>
      <w:proofErr w:type="gramStart"/>
      <w:r w:rsidRPr="00883571">
        <w:rPr>
          <w:rFonts w:cs="Arial"/>
        </w:rPr>
        <w:t>in order to</w:t>
      </w:r>
      <w:proofErr w:type="gramEnd"/>
      <w:r w:rsidRPr="00883571">
        <w:rPr>
          <w:rFonts w:cs="Arial"/>
        </w:rPr>
        <w:t xml:space="preserve"> ensure the swift evacuation of all individuals in the event of a fire or other emergency), this </w:t>
      </w:r>
      <w:r w:rsidR="00D04D8E">
        <w:rPr>
          <w:rFonts w:cs="Arial"/>
        </w:rPr>
        <w:t>w</w:t>
      </w:r>
      <w:r w:rsidR="00D04D8E" w:rsidRPr="00883571">
        <w:rPr>
          <w:rFonts w:cs="Arial"/>
        </w:rPr>
        <w:t xml:space="preserve">as </w:t>
      </w:r>
      <w:r w:rsidRPr="00883571">
        <w:rPr>
          <w:rFonts w:cs="Arial"/>
        </w:rPr>
        <w:t xml:space="preserve">not a common practice in MRC residential homes (provider owned/leased </w:t>
      </w:r>
      <w:r w:rsidR="00565A96" w:rsidRPr="00883571">
        <w:rPr>
          <w:rFonts w:cs="Arial"/>
        </w:rPr>
        <w:t>residences</w:t>
      </w:r>
      <w:r w:rsidRPr="00883571">
        <w:rPr>
          <w:rFonts w:cs="Arial"/>
        </w:rPr>
        <w:t>)</w:t>
      </w:r>
      <w:r w:rsidR="00D04D8E">
        <w:rPr>
          <w:rFonts w:cs="Arial"/>
        </w:rPr>
        <w:t xml:space="preserve"> at the time MRC conducted its systemic review</w:t>
      </w:r>
      <w:r w:rsidRPr="00883571">
        <w:rPr>
          <w:rFonts w:cs="Arial"/>
        </w:rPr>
        <w:t xml:space="preserve">. MRC </w:t>
      </w:r>
      <w:r w:rsidR="004C2E50">
        <w:rPr>
          <w:rFonts w:cs="Arial"/>
        </w:rPr>
        <w:t>issued</w:t>
      </w:r>
      <w:r w:rsidR="004C2E50" w:rsidRPr="00883571">
        <w:rPr>
          <w:rFonts w:cs="Arial"/>
        </w:rPr>
        <w:t xml:space="preserve"> </w:t>
      </w:r>
      <w:r w:rsidRPr="00883571">
        <w:rPr>
          <w:rFonts w:cs="Arial"/>
        </w:rPr>
        <w:t>a policy</w:t>
      </w:r>
      <w:r w:rsidR="00CD6752">
        <w:rPr>
          <w:rFonts w:cs="Arial"/>
        </w:rPr>
        <w:t xml:space="preserve"> as part of the Community Living Division Provider Manual</w:t>
      </w:r>
      <w:r w:rsidRPr="00883571">
        <w:rPr>
          <w:rFonts w:cs="Arial"/>
        </w:rPr>
        <w:t xml:space="preserve"> </w:t>
      </w:r>
      <w:r w:rsidR="004C2E50">
        <w:rPr>
          <w:rFonts w:cs="Arial"/>
        </w:rPr>
        <w:t>in</w:t>
      </w:r>
      <w:r w:rsidR="004C2E50" w:rsidRPr="00883571">
        <w:rPr>
          <w:rFonts w:cs="Arial"/>
        </w:rPr>
        <w:t xml:space="preserve"> </w:t>
      </w:r>
      <w:r w:rsidRPr="00883571">
        <w:rPr>
          <w:rFonts w:cs="Arial"/>
        </w:rPr>
        <w:t xml:space="preserve">January 2016 to address this requirement. In any specific instances where health and safety issues necessitate an exception, the modification will be discussed </w:t>
      </w:r>
      <w:r w:rsidR="00565A96" w:rsidRPr="00883571">
        <w:rPr>
          <w:rFonts w:cs="Arial"/>
        </w:rPr>
        <w:t xml:space="preserve">through </w:t>
      </w:r>
      <w:r w:rsidRPr="00883571">
        <w:rPr>
          <w:rFonts w:cs="Arial"/>
        </w:rPr>
        <w:t>the participant’s person-centered planning process</w:t>
      </w:r>
      <w:r w:rsidR="00565A96" w:rsidRPr="00883571">
        <w:rPr>
          <w:rFonts w:cs="Arial"/>
        </w:rPr>
        <w:t>, and agreement obtained</w:t>
      </w:r>
      <w:r w:rsidRPr="00883571">
        <w:rPr>
          <w:rFonts w:cs="Arial"/>
        </w:rPr>
        <w:t xml:space="preserve"> and documented. (See Table 3. Summary of Transition Plan Tasks and Timel</w:t>
      </w:r>
      <w:r w:rsidR="00616920">
        <w:rPr>
          <w:rFonts w:cs="Arial"/>
        </w:rPr>
        <w:t>ines.</w:t>
      </w:r>
      <w:r w:rsidRPr="00883571">
        <w:rPr>
          <w:rFonts w:cs="Arial"/>
        </w:rPr>
        <w:t>)</w:t>
      </w:r>
    </w:p>
    <w:p w14:paraId="4695F1CE" w14:textId="77777777" w:rsidR="00883571" w:rsidRPr="00A37881" w:rsidRDefault="00883571" w:rsidP="00DD2C9F">
      <w:pPr>
        <w:rPr>
          <w:rStyle w:val="SubtleEmphasis"/>
        </w:rPr>
      </w:pPr>
      <w:r w:rsidRPr="00A37881">
        <w:rPr>
          <w:rStyle w:val="SubtleEmphasis"/>
        </w:rPr>
        <w:t>Number of residents</w:t>
      </w:r>
    </w:p>
    <w:p w14:paraId="016A5171" w14:textId="77777777" w:rsidR="00327DC1" w:rsidRPr="00883571" w:rsidRDefault="00327DC1" w:rsidP="00883571">
      <w:pPr>
        <w:rPr>
          <w:rFonts w:cs="Arial"/>
        </w:rPr>
      </w:pPr>
      <w:r w:rsidRPr="00883571">
        <w:rPr>
          <w:rFonts w:cs="Arial"/>
        </w:rPr>
        <w:t xml:space="preserve">MRC recognizes the importance of developing homes that are in settings that are integrated into and support full access to the greater community; as a result, MRC will </w:t>
      </w:r>
      <w:r w:rsidR="00207B14">
        <w:rPr>
          <w:rFonts w:cs="Arial"/>
        </w:rPr>
        <w:t>not develop</w:t>
      </w:r>
      <w:r w:rsidRPr="00883571">
        <w:rPr>
          <w:rFonts w:cs="Arial"/>
        </w:rPr>
        <w:t xml:space="preserve"> new homes </w:t>
      </w:r>
      <w:proofErr w:type="gramStart"/>
      <w:r w:rsidRPr="00883571">
        <w:rPr>
          <w:rFonts w:cs="Arial"/>
        </w:rPr>
        <w:t>in excess of</w:t>
      </w:r>
      <w:proofErr w:type="gramEnd"/>
      <w:r w:rsidRPr="00883571">
        <w:rPr>
          <w:rFonts w:cs="Arial"/>
        </w:rPr>
        <w:t xml:space="preserve"> five people. </w:t>
      </w:r>
    </w:p>
    <w:p w14:paraId="66C31B37" w14:textId="77777777" w:rsidR="00883571" w:rsidRPr="00A37881" w:rsidRDefault="00883571" w:rsidP="00883571">
      <w:pPr>
        <w:contextualSpacing/>
        <w:rPr>
          <w:rStyle w:val="SubtleEmphasis"/>
        </w:rPr>
      </w:pPr>
      <w:r w:rsidRPr="00A37881">
        <w:rPr>
          <w:rStyle w:val="SubtleEmphasis"/>
        </w:rPr>
        <w:t>Dignity, independence, and individual choice and control</w:t>
      </w:r>
    </w:p>
    <w:p w14:paraId="65F7EB8A" w14:textId="77777777" w:rsidR="00327DC1" w:rsidRPr="00883571" w:rsidRDefault="00327DC1" w:rsidP="00883571">
      <w:pPr>
        <w:rPr>
          <w:rFonts w:cs="Arial"/>
        </w:rPr>
      </w:pPr>
      <w:r w:rsidRPr="00883571">
        <w:rPr>
          <w:rFonts w:cs="Arial"/>
        </w:rPr>
        <w:t xml:space="preserve">In addition to the requirements around locks and leases, MRC identified opportunities to improve and/or strengthen its policies related to the following conditions of the Community Rule: </w:t>
      </w:r>
    </w:p>
    <w:p w14:paraId="7313FB46" w14:textId="77777777" w:rsidR="00327DC1" w:rsidRPr="00B11E60" w:rsidRDefault="00327DC1" w:rsidP="004427AF">
      <w:pPr>
        <w:pStyle w:val="ListParagraph"/>
        <w:numPr>
          <w:ilvl w:val="0"/>
          <w:numId w:val="12"/>
        </w:numPr>
        <w:ind w:left="720"/>
        <w:rPr>
          <w:rFonts w:cs="Arial"/>
        </w:rPr>
      </w:pPr>
      <w:r w:rsidRPr="00B11E60">
        <w:rPr>
          <w:rFonts w:cs="Arial"/>
        </w:rPr>
        <w:t xml:space="preserve">Any HCBS setting ensures an individual's rights of privacy, dignity and respect, and freedom from coercion and </w:t>
      </w:r>
      <w:proofErr w:type="gramStart"/>
      <w:r w:rsidRPr="00B11E60">
        <w:rPr>
          <w:rFonts w:cs="Arial"/>
        </w:rPr>
        <w:t>restraint;</w:t>
      </w:r>
      <w:proofErr w:type="gramEnd"/>
    </w:p>
    <w:p w14:paraId="609BAD14" w14:textId="77777777" w:rsidR="00327DC1" w:rsidRPr="00B11E60" w:rsidRDefault="00327DC1" w:rsidP="004427AF">
      <w:pPr>
        <w:pStyle w:val="ListParagraph"/>
        <w:numPr>
          <w:ilvl w:val="0"/>
          <w:numId w:val="12"/>
        </w:numPr>
        <w:ind w:left="720"/>
        <w:rPr>
          <w:rFonts w:cs="Arial"/>
        </w:rPr>
      </w:pPr>
      <w:r w:rsidRPr="00B11E60">
        <w:rPr>
          <w:rFonts w:cs="Arial"/>
        </w:rPr>
        <w:lastRenderedPageBreak/>
        <w:t xml:space="preserve">Any HCBS setting optimizes, but does not regiment, individual initiative, autonomy, and independence in making life choices, including but not limited to, daily activities, physical environment, and with whom to </w:t>
      </w:r>
      <w:proofErr w:type="gramStart"/>
      <w:r w:rsidRPr="00B11E60">
        <w:rPr>
          <w:rFonts w:cs="Arial"/>
        </w:rPr>
        <w:t>interact;</w:t>
      </w:r>
      <w:proofErr w:type="gramEnd"/>
    </w:p>
    <w:p w14:paraId="4F4BD3D2" w14:textId="77777777" w:rsidR="00327DC1" w:rsidRPr="00B11E60" w:rsidRDefault="00327DC1" w:rsidP="004427AF">
      <w:pPr>
        <w:pStyle w:val="ListParagraph"/>
        <w:numPr>
          <w:ilvl w:val="0"/>
          <w:numId w:val="12"/>
        </w:numPr>
        <w:ind w:left="720"/>
        <w:rPr>
          <w:rFonts w:cs="Arial"/>
        </w:rPr>
      </w:pPr>
      <w:r w:rsidRPr="00B11E60">
        <w:rPr>
          <w:rFonts w:cs="Arial"/>
        </w:rPr>
        <w:t>In a provider-owned or controlled residential setting, individuals have the freedom and support to control their own schedules and activities, and have access to food at any time; and</w:t>
      </w:r>
    </w:p>
    <w:p w14:paraId="2B0A0D49" w14:textId="77777777" w:rsidR="00327DC1" w:rsidRPr="00B11E60" w:rsidRDefault="00327DC1" w:rsidP="004427AF">
      <w:pPr>
        <w:pStyle w:val="ListParagraph"/>
        <w:numPr>
          <w:ilvl w:val="0"/>
          <w:numId w:val="12"/>
        </w:numPr>
        <w:ind w:left="720"/>
        <w:rPr>
          <w:rFonts w:cs="Arial"/>
        </w:rPr>
      </w:pPr>
      <w:r w:rsidRPr="00B11E60">
        <w:rPr>
          <w:rFonts w:cs="Arial"/>
        </w:rPr>
        <w:t xml:space="preserve">In a provider-owned or controlled residential setting, individuals </w:t>
      </w:r>
      <w:proofErr w:type="gramStart"/>
      <w:r w:rsidRPr="00B11E60">
        <w:rPr>
          <w:rFonts w:cs="Arial"/>
        </w:rPr>
        <w:t>are able to</w:t>
      </w:r>
      <w:proofErr w:type="gramEnd"/>
      <w:r w:rsidRPr="00B11E60">
        <w:rPr>
          <w:rFonts w:cs="Arial"/>
        </w:rPr>
        <w:t xml:space="preserve"> have visitors of their choosing at any time; and, furthermore,</w:t>
      </w:r>
    </w:p>
    <w:p w14:paraId="3BAC75DF" w14:textId="740C26AD" w:rsidR="00327DC1" w:rsidRPr="00B11E60" w:rsidRDefault="00327DC1" w:rsidP="004427AF">
      <w:pPr>
        <w:pStyle w:val="ListParagraph"/>
        <w:numPr>
          <w:ilvl w:val="0"/>
          <w:numId w:val="12"/>
        </w:numPr>
        <w:ind w:left="720"/>
        <w:rPr>
          <w:rFonts w:cs="Arial"/>
        </w:rPr>
      </w:pPr>
      <w:r w:rsidRPr="00B11E60">
        <w:rPr>
          <w:rFonts w:cs="Arial"/>
        </w:rPr>
        <w:t xml:space="preserve">Any modification to these and other conditions specified must be supported by a specific assessed need and justified in the </w:t>
      </w:r>
      <w:r w:rsidR="00CF35A4">
        <w:rPr>
          <w:rFonts w:cs="Arial"/>
        </w:rPr>
        <w:t>p</w:t>
      </w:r>
      <w:r w:rsidRPr="00B11E60">
        <w:rPr>
          <w:rFonts w:cs="Arial"/>
        </w:rPr>
        <w:t>erson-</w:t>
      </w:r>
      <w:r w:rsidR="00CF35A4">
        <w:rPr>
          <w:rFonts w:cs="Arial"/>
        </w:rPr>
        <w:t>c</w:t>
      </w:r>
      <w:r w:rsidRPr="00B11E60">
        <w:rPr>
          <w:rFonts w:cs="Arial"/>
        </w:rPr>
        <w:t xml:space="preserve">entered </w:t>
      </w:r>
      <w:r w:rsidR="00CF35A4">
        <w:rPr>
          <w:rFonts w:cs="Arial"/>
        </w:rPr>
        <w:t>s</w:t>
      </w:r>
      <w:r w:rsidRPr="00B11E60">
        <w:rPr>
          <w:rFonts w:cs="Arial"/>
        </w:rPr>
        <w:t xml:space="preserve">ervice </w:t>
      </w:r>
      <w:r w:rsidR="00CF35A4">
        <w:rPr>
          <w:rFonts w:cs="Arial"/>
        </w:rPr>
        <w:t>p</w:t>
      </w:r>
      <w:r w:rsidRPr="00B11E60">
        <w:rPr>
          <w:rFonts w:cs="Arial"/>
        </w:rPr>
        <w:t xml:space="preserve">lan. </w:t>
      </w:r>
    </w:p>
    <w:p w14:paraId="6232C95F" w14:textId="4D59EDA8" w:rsidR="00327DC1" w:rsidRPr="00B11E60" w:rsidRDefault="00327DC1" w:rsidP="00883571">
      <w:pPr>
        <w:rPr>
          <w:rFonts w:cs="Arial"/>
        </w:rPr>
      </w:pPr>
      <w:r w:rsidRPr="00B11E60">
        <w:rPr>
          <w:rFonts w:cs="Arial"/>
        </w:rPr>
        <w:t xml:space="preserve">Specifically, MRC determined that the following 10 </w:t>
      </w:r>
      <w:r w:rsidR="00696025">
        <w:rPr>
          <w:rFonts w:cs="Arial"/>
        </w:rPr>
        <w:t xml:space="preserve">key </w:t>
      </w:r>
      <w:r w:rsidRPr="00B11E60">
        <w:rPr>
          <w:rFonts w:cs="Arial"/>
        </w:rPr>
        <w:t>policies for residential providers require</w:t>
      </w:r>
      <w:r w:rsidR="00A631C1">
        <w:rPr>
          <w:rFonts w:cs="Arial"/>
        </w:rPr>
        <w:t>d</w:t>
      </w:r>
      <w:r w:rsidRPr="00B11E60">
        <w:rPr>
          <w:rFonts w:cs="Arial"/>
        </w:rPr>
        <w:t xml:space="preserve"> revision to ensure compliance with the </w:t>
      </w:r>
      <w:r w:rsidR="008B0026">
        <w:rPr>
          <w:rFonts w:cs="Arial"/>
        </w:rPr>
        <w:t>Community Rule</w:t>
      </w:r>
      <w:r w:rsidRPr="00B11E60">
        <w:rPr>
          <w:rFonts w:cs="Arial"/>
        </w:rPr>
        <w:t xml:space="preserve">: (See Table 3. </w:t>
      </w:r>
      <w:r w:rsidR="005B1D29" w:rsidRPr="00B11E60">
        <w:rPr>
          <w:rFonts w:cs="Arial"/>
        </w:rPr>
        <w:t>Summary of Transition Plan Tasks and Timelines)</w:t>
      </w:r>
    </w:p>
    <w:p w14:paraId="516427CA" w14:textId="132C6BA7" w:rsidR="00327DC1" w:rsidRPr="00B11E60" w:rsidRDefault="00327DC1" w:rsidP="004427AF">
      <w:pPr>
        <w:pStyle w:val="ListParagraph"/>
        <w:numPr>
          <w:ilvl w:val="0"/>
          <w:numId w:val="12"/>
        </w:numPr>
        <w:ind w:left="720"/>
        <w:rPr>
          <w:rFonts w:cs="Arial"/>
        </w:rPr>
      </w:pPr>
      <w:r w:rsidRPr="00B11E60">
        <w:rPr>
          <w:rFonts w:cs="Arial"/>
        </w:rPr>
        <w:t xml:space="preserve">Residential Guidelines regarding family members, significant others, </w:t>
      </w:r>
      <w:r w:rsidR="009F5522" w:rsidRPr="00B11E60">
        <w:rPr>
          <w:rFonts w:cs="Arial"/>
        </w:rPr>
        <w:t>friends,</w:t>
      </w:r>
      <w:r w:rsidRPr="00B11E60">
        <w:rPr>
          <w:rFonts w:cs="Arial"/>
        </w:rPr>
        <w:t xml:space="preserve"> and legal guardians</w:t>
      </w:r>
    </w:p>
    <w:p w14:paraId="0A5747E7" w14:textId="77777777" w:rsidR="00327DC1" w:rsidRPr="00B11E60" w:rsidRDefault="00327DC1" w:rsidP="004427AF">
      <w:pPr>
        <w:pStyle w:val="ListParagraph"/>
        <w:numPr>
          <w:ilvl w:val="0"/>
          <w:numId w:val="12"/>
        </w:numPr>
        <w:ind w:left="720"/>
        <w:rPr>
          <w:rFonts w:cs="Arial"/>
        </w:rPr>
      </w:pPr>
      <w:r w:rsidRPr="00B11E60">
        <w:rPr>
          <w:rFonts w:cs="Arial"/>
        </w:rPr>
        <w:t>Program participant expectations</w:t>
      </w:r>
    </w:p>
    <w:p w14:paraId="516E2263" w14:textId="77777777" w:rsidR="00327DC1" w:rsidRPr="00B11E60" w:rsidRDefault="00327DC1" w:rsidP="004427AF">
      <w:pPr>
        <w:pStyle w:val="ListParagraph"/>
        <w:numPr>
          <w:ilvl w:val="0"/>
          <w:numId w:val="12"/>
        </w:numPr>
        <w:ind w:left="720"/>
        <w:rPr>
          <w:rFonts w:cs="Arial"/>
        </w:rPr>
      </w:pPr>
      <w:r w:rsidRPr="00B11E60">
        <w:rPr>
          <w:rFonts w:cs="Arial"/>
        </w:rPr>
        <w:t xml:space="preserve">Elopement policy for </w:t>
      </w:r>
      <w:proofErr w:type="gramStart"/>
      <w:r w:rsidRPr="00B11E60">
        <w:rPr>
          <w:rFonts w:cs="Arial"/>
        </w:rPr>
        <w:t>site based</w:t>
      </w:r>
      <w:proofErr w:type="gramEnd"/>
      <w:r w:rsidRPr="00B11E60">
        <w:rPr>
          <w:rFonts w:cs="Arial"/>
        </w:rPr>
        <w:t xml:space="preserve"> programs</w:t>
      </w:r>
    </w:p>
    <w:p w14:paraId="092A1605" w14:textId="77777777" w:rsidR="00327DC1" w:rsidRPr="00B11E60" w:rsidRDefault="00327DC1" w:rsidP="004427AF">
      <w:pPr>
        <w:pStyle w:val="ListParagraph"/>
        <w:numPr>
          <w:ilvl w:val="0"/>
          <w:numId w:val="12"/>
        </w:numPr>
        <w:ind w:left="720"/>
        <w:rPr>
          <w:rFonts w:cs="Arial"/>
        </w:rPr>
      </w:pPr>
      <w:r w:rsidRPr="00B11E60">
        <w:rPr>
          <w:rFonts w:cs="Arial"/>
        </w:rPr>
        <w:t>Alcohol and Drug Abstinence Policy</w:t>
      </w:r>
    </w:p>
    <w:p w14:paraId="2E9B806E" w14:textId="77777777" w:rsidR="00327DC1" w:rsidRPr="00B11E60" w:rsidRDefault="00327DC1" w:rsidP="004427AF">
      <w:pPr>
        <w:pStyle w:val="ListParagraph"/>
        <w:numPr>
          <w:ilvl w:val="0"/>
          <w:numId w:val="12"/>
        </w:numPr>
        <w:ind w:left="720"/>
        <w:rPr>
          <w:rFonts w:cs="Arial"/>
        </w:rPr>
      </w:pPr>
      <w:r w:rsidRPr="00B11E60">
        <w:rPr>
          <w:rFonts w:cs="Arial"/>
        </w:rPr>
        <w:t>Leave of Absence Policy</w:t>
      </w:r>
    </w:p>
    <w:p w14:paraId="1E9AC1CC" w14:textId="77777777" w:rsidR="00327DC1" w:rsidRPr="00B11E60" w:rsidRDefault="00327DC1" w:rsidP="004427AF">
      <w:pPr>
        <w:pStyle w:val="ListParagraph"/>
        <w:numPr>
          <w:ilvl w:val="0"/>
          <w:numId w:val="12"/>
        </w:numPr>
        <w:ind w:left="720"/>
        <w:rPr>
          <w:rFonts w:cs="Arial"/>
        </w:rPr>
      </w:pPr>
      <w:r w:rsidRPr="00B11E60">
        <w:rPr>
          <w:rFonts w:cs="Arial"/>
        </w:rPr>
        <w:t>Sharps Policy</w:t>
      </w:r>
    </w:p>
    <w:p w14:paraId="32096DAD" w14:textId="77777777" w:rsidR="00327DC1" w:rsidRPr="00B11E60" w:rsidRDefault="00327DC1" w:rsidP="004427AF">
      <w:pPr>
        <w:pStyle w:val="ListParagraph"/>
        <w:numPr>
          <w:ilvl w:val="0"/>
          <w:numId w:val="12"/>
        </w:numPr>
        <w:ind w:left="720"/>
        <w:rPr>
          <w:rFonts w:cs="Arial"/>
        </w:rPr>
      </w:pPr>
      <w:r w:rsidRPr="00B11E60">
        <w:rPr>
          <w:rFonts w:cs="Arial"/>
        </w:rPr>
        <w:t>Smoking Policy</w:t>
      </w:r>
    </w:p>
    <w:p w14:paraId="2EC15306" w14:textId="77777777" w:rsidR="00327DC1" w:rsidRPr="00B11E60" w:rsidRDefault="00327DC1" w:rsidP="004427AF">
      <w:pPr>
        <w:pStyle w:val="ListParagraph"/>
        <w:numPr>
          <w:ilvl w:val="0"/>
          <w:numId w:val="12"/>
        </w:numPr>
        <w:ind w:left="720"/>
        <w:rPr>
          <w:rFonts w:cs="Arial"/>
        </w:rPr>
      </w:pPr>
      <w:r w:rsidRPr="00B11E60">
        <w:rPr>
          <w:rFonts w:cs="Arial"/>
        </w:rPr>
        <w:t xml:space="preserve">Telephone, </w:t>
      </w:r>
      <w:proofErr w:type="gramStart"/>
      <w:r w:rsidRPr="00B11E60">
        <w:rPr>
          <w:rFonts w:cs="Arial"/>
        </w:rPr>
        <w:t>Cable</w:t>
      </w:r>
      <w:proofErr w:type="gramEnd"/>
      <w:r w:rsidRPr="00B11E60">
        <w:rPr>
          <w:rFonts w:cs="Arial"/>
        </w:rPr>
        <w:t xml:space="preserve"> and Internet Usage Policy</w:t>
      </w:r>
    </w:p>
    <w:p w14:paraId="499AEA77" w14:textId="77777777" w:rsidR="00327DC1" w:rsidRPr="00B11E60" w:rsidRDefault="00327DC1" w:rsidP="004427AF">
      <w:pPr>
        <w:pStyle w:val="ListParagraph"/>
        <w:numPr>
          <w:ilvl w:val="0"/>
          <w:numId w:val="12"/>
        </w:numPr>
        <w:ind w:left="720"/>
        <w:rPr>
          <w:rFonts w:cs="Arial"/>
        </w:rPr>
      </w:pPr>
      <w:r w:rsidRPr="00B11E60">
        <w:rPr>
          <w:rFonts w:cs="Arial"/>
        </w:rPr>
        <w:t>Unsupervised time in Residence/community Policy</w:t>
      </w:r>
    </w:p>
    <w:p w14:paraId="5721B68A" w14:textId="77777777" w:rsidR="00327DC1" w:rsidRPr="00B11E60" w:rsidRDefault="00327DC1" w:rsidP="004427AF">
      <w:pPr>
        <w:pStyle w:val="ListParagraph"/>
        <w:numPr>
          <w:ilvl w:val="0"/>
          <w:numId w:val="12"/>
        </w:numPr>
        <w:ind w:left="720"/>
        <w:rPr>
          <w:rFonts w:cs="Arial"/>
        </w:rPr>
      </w:pPr>
      <w:r w:rsidRPr="00B11E60">
        <w:rPr>
          <w:rFonts w:cs="Arial"/>
        </w:rPr>
        <w:t>Vacation Policy</w:t>
      </w:r>
    </w:p>
    <w:p w14:paraId="4364A7C5" w14:textId="097167F6" w:rsidR="00327DC1" w:rsidRPr="00B11E60" w:rsidRDefault="00327DC1" w:rsidP="00883571">
      <w:pPr>
        <w:rPr>
          <w:rFonts w:cs="Arial"/>
        </w:rPr>
      </w:pPr>
      <w:r w:rsidRPr="00B11E60">
        <w:rPr>
          <w:rFonts w:cs="Arial"/>
        </w:rPr>
        <w:t>MRC convened an internal work group to revise the policies identified above consistent with the Community Rule. The revisions completed by this group remove</w:t>
      </w:r>
      <w:r w:rsidR="008B0026">
        <w:rPr>
          <w:rFonts w:cs="Arial"/>
        </w:rPr>
        <w:t>d</w:t>
      </w:r>
      <w:r w:rsidRPr="00B11E60">
        <w:rPr>
          <w:rFonts w:cs="Arial"/>
        </w:rPr>
        <w:t xml:space="preserve"> any restrictive policies or procedures while ensuring the use of comprehensive and ongoing assessments to inform individualized plans. These draft policies were reviewed with stakeholders in March 2015 to ensure MRC fully understood the implications of these changes for providers and participants. MRC shared changes made to </w:t>
      </w:r>
      <w:r w:rsidR="00E57D66">
        <w:rPr>
          <w:rFonts w:cs="Arial"/>
        </w:rPr>
        <w:t>its</w:t>
      </w:r>
      <w:r w:rsidR="00E57D66" w:rsidRPr="00B11E60">
        <w:rPr>
          <w:rFonts w:cs="Arial"/>
        </w:rPr>
        <w:t xml:space="preserve"> </w:t>
      </w:r>
      <w:r w:rsidRPr="00B11E60">
        <w:rPr>
          <w:rFonts w:cs="Arial"/>
        </w:rPr>
        <w:t xml:space="preserve">policies and procedures with DDS, as well as with the Statewide Transition Plan </w:t>
      </w:r>
      <w:r w:rsidR="00207B14">
        <w:rPr>
          <w:rFonts w:cs="Arial"/>
        </w:rPr>
        <w:t>Cross-Agency W</w:t>
      </w:r>
      <w:r w:rsidRPr="00B11E60">
        <w:rPr>
          <w:rFonts w:cs="Arial"/>
        </w:rPr>
        <w:t xml:space="preserve">orkgroup to promote consistency between agencies. Once the draft policies were finalized in April 2015, MRC held a statewide training for all staff and providers. These trainings were completed in June 2015. </w:t>
      </w:r>
      <w:r w:rsidR="00D52324">
        <w:rPr>
          <w:rFonts w:cs="Arial"/>
        </w:rPr>
        <w:t xml:space="preserve">Additional changes were made to </w:t>
      </w:r>
      <w:r w:rsidR="001B4E4E" w:rsidRPr="001B4E4E">
        <w:rPr>
          <w:rFonts w:cs="Arial"/>
        </w:rPr>
        <w:t xml:space="preserve">the </w:t>
      </w:r>
      <w:r w:rsidR="00A36C5D">
        <w:rPr>
          <w:rFonts w:cs="Arial"/>
        </w:rPr>
        <w:t xml:space="preserve">Community Living Division Practices, Policies and Procedures Manual (also referred to as the </w:t>
      </w:r>
      <w:r w:rsidR="001B4E4E" w:rsidRPr="001B4E4E">
        <w:rPr>
          <w:rFonts w:cs="Arial"/>
        </w:rPr>
        <w:t>Provider Policy Manual</w:t>
      </w:r>
      <w:r w:rsidR="00A36C5D">
        <w:rPr>
          <w:rFonts w:cs="Arial"/>
        </w:rPr>
        <w:t>)</w:t>
      </w:r>
      <w:r w:rsidR="001B4E4E" w:rsidRPr="001B4E4E">
        <w:rPr>
          <w:rFonts w:cs="Arial"/>
        </w:rPr>
        <w:t xml:space="preserve"> </w:t>
      </w:r>
      <w:r w:rsidR="00D52324">
        <w:rPr>
          <w:rFonts w:cs="Arial"/>
        </w:rPr>
        <w:t>in 2016</w:t>
      </w:r>
      <w:r w:rsidR="001B4E4E" w:rsidRPr="001B4E4E">
        <w:rPr>
          <w:rFonts w:cs="Arial"/>
        </w:rPr>
        <w:t xml:space="preserve">. </w:t>
      </w:r>
      <w:r w:rsidR="008B0026">
        <w:rPr>
          <w:rFonts w:cs="Arial"/>
        </w:rPr>
        <w:t xml:space="preserve">Both </w:t>
      </w:r>
      <w:r w:rsidR="001B4E4E" w:rsidRPr="001B4E4E">
        <w:rPr>
          <w:rFonts w:cs="Arial"/>
        </w:rPr>
        <w:t xml:space="preserve">MRC staff </w:t>
      </w:r>
      <w:r w:rsidR="008B0026">
        <w:rPr>
          <w:rFonts w:cs="Arial"/>
        </w:rPr>
        <w:t xml:space="preserve">and provider staff </w:t>
      </w:r>
      <w:r w:rsidR="001B4E4E" w:rsidRPr="001B4E4E">
        <w:rPr>
          <w:rFonts w:cs="Arial"/>
        </w:rPr>
        <w:t xml:space="preserve">were trained in the complete 2016 </w:t>
      </w:r>
      <w:r w:rsidR="008B6F24">
        <w:rPr>
          <w:rFonts w:cs="Arial"/>
        </w:rPr>
        <w:t>M</w:t>
      </w:r>
      <w:r w:rsidR="001B4E4E" w:rsidRPr="001B4E4E">
        <w:rPr>
          <w:rFonts w:cs="Arial"/>
        </w:rPr>
        <w:t>anual</w:t>
      </w:r>
      <w:r w:rsidR="002C4C58">
        <w:rPr>
          <w:rFonts w:cs="Arial"/>
        </w:rPr>
        <w:t xml:space="preserve"> </w:t>
      </w:r>
      <w:r w:rsidR="008B0026">
        <w:rPr>
          <w:rFonts w:cs="Arial"/>
        </w:rPr>
        <w:t>by</w:t>
      </w:r>
      <w:r w:rsidR="001B4E4E" w:rsidRPr="001B4E4E">
        <w:rPr>
          <w:rFonts w:cs="Arial"/>
        </w:rPr>
        <w:t xml:space="preserve"> May 2016.</w:t>
      </w:r>
    </w:p>
    <w:p w14:paraId="07851007" w14:textId="43DC2F1C" w:rsidR="00327DC1" w:rsidRDefault="00BC7F9E" w:rsidP="00883571">
      <w:pPr>
        <w:rPr>
          <w:rFonts w:cs="Arial"/>
        </w:rPr>
      </w:pPr>
      <w:r>
        <w:rPr>
          <w:rFonts w:cs="Arial"/>
        </w:rPr>
        <w:t>In response to the policy changes described above, t</w:t>
      </w:r>
      <w:r w:rsidR="00327DC1" w:rsidRPr="00B11E60">
        <w:rPr>
          <w:rFonts w:cs="Arial"/>
        </w:rPr>
        <w:t>he MRC clinical and program staff, working collaboratively with providers, completed initial assessment of each participant to determine if an individual may require a behavioral intervention plan stemming from clinical support need</w:t>
      </w:r>
      <w:r w:rsidR="00A2546B">
        <w:rPr>
          <w:rFonts w:cs="Arial"/>
        </w:rPr>
        <w:t>s</w:t>
      </w:r>
      <w:r w:rsidR="00327DC1" w:rsidRPr="00B11E60">
        <w:rPr>
          <w:rFonts w:cs="Arial"/>
        </w:rPr>
        <w:t xml:space="preserve"> and necessitating a modification to their </w:t>
      </w:r>
      <w:r w:rsidR="00CF35A4">
        <w:rPr>
          <w:rFonts w:cs="Arial"/>
        </w:rPr>
        <w:t>p</w:t>
      </w:r>
      <w:r w:rsidR="00327DC1" w:rsidRPr="00B11E60">
        <w:rPr>
          <w:rFonts w:cs="Arial"/>
        </w:rPr>
        <w:t>erson-</w:t>
      </w:r>
      <w:r w:rsidR="00CF35A4">
        <w:rPr>
          <w:rFonts w:cs="Arial"/>
        </w:rPr>
        <w:t>c</w:t>
      </w:r>
      <w:r w:rsidR="00327DC1" w:rsidRPr="00B11E60">
        <w:rPr>
          <w:rFonts w:cs="Arial"/>
        </w:rPr>
        <w:t xml:space="preserve">entered </w:t>
      </w:r>
      <w:r w:rsidR="00CF35A4">
        <w:rPr>
          <w:rFonts w:cs="Arial"/>
        </w:rPr>
        <w:t>p</w:t>
      </w:r>
      <w:r w:rsidR="00327DC1" w:rsidRPr="00B11E60">
        <w:rPr>
          <w:rFonts w:cs="Arial"/>
        </w:rPr>
        <w:t>lan consistent with the Community Rule.</w:t>
      </w:r>
    </w:p>
    <w:p w14:paraId="6A56FBAB" w14:textId="77777777" w:rsidR="005A7DFD" w:rsidRPr="00A37881" w:rsidRDefault="005A7DFD" w:rsidP="005A7DFD">
      <w:pPr>
        <w:contextualSpacing/>
        <w:rPr>
          <w:rStyle w:val="SubtleEmphasis"/>
        </w:rPr>
      </w:pPr>
      <w:r w:rsidRPr="00A37881">
        <w:rPr>
          <w:rStyle w:val="SubtleEmphasis"/>
        </w:rPr>
        <w:lastRenderedPageBreak/>
        <w:t xml:space="preserve">Adult Foster Care </w:t>
      </w:r>
    </w:p>
    <w:p w14:paraId="2601C91B" w14:textId="5AA8EBD9" w:rsidR="005A7DFD" w:rsidRPr="00030CCB" w:rsidRDefault="005A7DFD" w:rsidP="005A7DFD">
      <w:r>
        <w:t xml:space="preserve">All Massachusetts HCBS waiver participants have access to the Adult Foster Care (AFC) service, which is a MassHealth state plan service, not a HCBS waiver service. </w:t>
      </w:r>
      <w:proofErr w:type="gramStart"/>
      <w:r>
        <w:t>The majority of</w:t>
      </w:r>
      <w:proofErr w:type="gramEnd"/>
      <w:r>
        <w:t xml:space="preserve"> AFC caregivers are family members. </w:t>
      </w:r>
      <w:r w:rsidRPr="00030CCB">
        <w:t xml:space="preserve">While MassHealth’s AFC program regulation 130 CMR 408.435(A) addresses qualified AFC settings and explicitly states that AFC settings are not structured as provider operated settings, some waiver participants </w:t>
      </w:r>
      <w:r>
        <w:t>may choose to move into the home of an unrelated AFC caregiver concurrent to receiving HCBS waiver services</w:t>
      </w:r>
      <w:r w:rsidR="00BC0AD5">
        <w:t xml:space="preserve"> in the home</w:t>
      </w:r>
      <w:r w:rsidRPr="00030CCB">
        <w:t xml:space="preserve">. </w:t>
      </w:r>
      <w:r>
        <w:t>In</w:t>
      </w:r>
      <w:r w:rsidRPr="00030CCB">
        <w:t xml:space="preserve"> those instances where the caregiver </w:t>
      </w:r>
      <w:r>
        <w:t>is</w:t>
      </w:r>
      <w:r w:rsidRPr="00030CCB">
        <w:t xml:space="preserve"> unrelated and the participant d</w:t>
      </w:r>
      <w:r>
        <w:t>oes</w:t>
      </w:r>
      <w:r w:rsidRPr="00030CCB">
        <w:t xml:space="preserve"> not own </w:t>
      </w:r>
      <w:r>
        <w:t xml:space="preserve">or lease </w:t>
      </w:r>
      <w:r w:rsidRPr="00030CCB">
        <w:t>the home, MassHealth will review those AFC settings to ensure they conform to the requirements of community settings including that the participant has a lease or other legally enforceable agreement providing similar protections.</w:t>
      </w:r>
    </w:p>
    <w:p w14:paraId="1069471F" w14:textId="778DD91F" w:rsidR="005A7DFD" w:rsidRPr="00A37881" w:rsidRDefault="005A7DFD" w:rsidP="005A7DFD">
      <w:pPr>
        <w:rPr>
          <w:rStyle w:val="Strong"/>
        </w:rPr>
      </w:pPr>
      <w:r w:rsidRPr="00030CCB">
        <w:t xml:space="preserve">MassHealth </w:t>
      </w:r>
      <w:r w:rsidR="009913A5">
        <w:t>has</w:t>
      </w:r>
      <w:r w:rsidR="009913A5" w:rsidRPr="00030CCB">
        <w:t xml:space="preserve"> </w:t>
      </w:r>
      <w:r w:rsidRPr="00030CCB">
        <w:t>develop</w:t>
      </w:r>
      <w:r w:rsidR="009913A5">
        <w:t>ed</w:t>
      </w:r>
      <w:r w:rsidRPr="00030CCB">
        <w:t xml:space="preserve"> guidance for AFC provider </w:t>
      </w:r>
      <w:r>
        <w:t>agencies</w:t>
      </w:r>
      <w:r w:rsidRPr="00030CCB">
        <w:t xml:space="preserve"> regarding </w:t>
      </w:r>
      <w:r>
        <w:t xml:space="preserve">the need to complete the </w:t>
      </w:r>
      <w:r w:rsidR="00280B1B">
        <w:rPr>
          <w:rStyle w:val="ui-provider"/>
        </w:rPr>
        <w:t>Home- and Community-Based Services Community</w:t>
      </w:r>
      <w:r w:rsidR="00FC0A21">
        <w:rPr>
          <w:rStyle w:val="ui-provider"/>
        </w:rPr>
        <w:t xml:space="preserve"> </w:t>
      </w:r>
      <w:r w:rsidR="00280B1B">
        <w:rPr>
          <w:rStyle w:val="ui-provider"/>
        </w:rPr>
        <w:t>Rule Attestation for Waiver Participants Receiving Adult Foster Care Services</w:t>
      </w:r>
      <w:r w:rsidR="00FC0A21">
        <w:rPr>
          <w:rStyle w:val="ui-provider"/>
        </w:rPr>
        <w:t xml:space="preserve"> </w:t>
      </w:r>
      <w:r>
        <w:t>and implement remediation strategies to ensure compliance with the community rule</w:t>
      </w:r>
      <w:r w:rsidR="00957099" w:rsidRPr="00957099">
        <w:t xml:space="preserve"> </w:t>
      </w:r>
      <w:r w:rsidR="00957099">
        <w:t>in</w:t>
      </w:r>
      <w:r w:rsidR="00957099" w:rsidRPr="00030CCB">
        <w:t xml:space="preserve"> those instances where the </w:t>
      </w:r>
      <w:r w:rsidR="00957099">
        <w:t xml:space="preserve">AFC </w:t>
      </w:r>
      <w:r w:rsidR="00957099" w:rsidRPr="00030CCB">
        <w:t xml:space="preserve">caregiver </w:t>
      </w:r>
      <w:r w:rsidR="00957099">
        <w:t>is</w:t>
      </w:r>
      <w:r w:rsidR="00957099" w:rsidRPr="00030CCB">
        <w:t xml:space="preserve"> unrelated </w:t>
      </w:r>
      <w:r w:rsidR="00957099">
        <w:t xml:space="preserve">to the </w:t>
      </w:r>
      <w:r w:rsidR="00BC0AD5">
        <w:t xml:space="preserve">HCBS waiver </w:t>
      </w:r>
      <w:proofErr w:type="gramStart"/>
      <w:r w:rsidR="00957099">
        <w:t>participant</w:t>
      </w:r>
      <w:proofErr w:type="gramEnd"/>
      <w:r w:rsidR="00957099">
        <w:t xml:space="preserve"> </w:t>
      </w:r>
      <w:r w:rsidR="00957099" w:rsidRPr="00030CCB">
        <w:t>and the participant d</w:t>
      </w:r>
      <w:r w:rsidR="00957099">
        <w:t>oes</w:t>
      </w:r>
      <w:r w:rsidR="00957099" w:rsidRPr="00030CCB">
        <w:t xml:space="preserve"> not own </w:t>
      </w:r>
      <w:r w:rsidR="00957099">
        <w:t xml:space="preserve">or lease </w:t>
      </w:r>
      <w:r w:rsidR="00957099" w:rsidRPr="00030CCB">
        <w:t>the home</w:t>
      </w:r>
      <w:r>
        <w:t xml:space="preserve">.  </w:t>
      </w:r>
    </w:p>
    <w:p w14:paraId="16C49FC2" w14:textId="77777777" w:rsidR="00327DC1" w:rsidRPr="00A37881" w:rsidRDefault="00327DC1" w:rsidP="00DD2C9F">
      <w:pPr>
        <w:rPr>
          <w:rStyle w:val="Strong"/>
        </w:rPr>
      </w:pPr>
      <w:r w:rsidRPr="00A37881">
        <w:rPr>
          <w:rStyle w:val="Strong"/>
        </w:rPr>
        <w:t>Non-residential Settings</w:t>
      </w:r>
    </w:p>
    <w:p w14:paraId="10318655" w14:textId="2AFBF5B2" w:rsidR="00327DC1" w:rsidRPr="004D010F" w:rsidRDefault="00327DC1" w:rsidP="004D010F">
      <w:pPr>
        <w:rPr>
          <w:rFonts w:cs="Arial"/>
        </w:rPr>
      </w:pPr>
      <w:r w:rsidRPr="004D010F">
        <w:rPr>
          <w:rFonts w:cs="Arial"/>
        </w:rPr>
        <w:t xml:space="preserve">MRC </w:t>
      </w:r>
      <w:r w:rsidR="00677E06" w:rsidRPr="004D010F">
        <w:rPr>
          <w:rFonts w:cs="Arial"/>
        </w:rPr>
        <w:t xml:space="preserve">reviewed its </w:t>
      </w:r>
      <w:r w:rsidRPr="004D010F">
        <w:rPr>
          <w:rFonts w:cs="Arial"/>
        </w:rPr>
        <w:t xml:space="preserve">Community Living Division Policies and Procedures </w:t>
      </w:r>
      <w:r w:rsidR="002609E3">
        <w:rPr>
          <w:rFonts w:cs="Arial"/>
        </w:rPr>
        <w:t>M</w:t>
      </w:r>
      <w:r w:rsidR="002609E3" w:rsidRPr="004D010F">
        <w:rPr>
          <w:rFonts w:cs="Arial"/>
        </w:rPr>
        <w:t xml:space="preserve">anual </w:t>
      </w:r>
      <w:r w:rsidRPr="004D010F">
        <w:rPr>
          <w:rFonts w:cs="Arial"/>
        </w:rPr>
        <w:t xml:space="preserve">to ensure compliance with the Community Rule for day and employment settings. Revisions </w:t>
      </w:r>
      <w:r w:rsidR="00677E06" w:rsidRPr="004D010F">
        <w:rPr>
          <w:rFonts w:cs="Arial"/>
        </w:rPr>
        <w:t>were</w:t>
      </w:r>
      <w:r w:rsidRPr="004D010F">
        <w:rPr>
          <w:rFonts w:cs="Arial"/>
        </w:rPr>
        <w:t xml:space="preserve"> made with input from stakeholders. </w:t>
      </w:r>
      <w:r w:rsidR="00677E06" w:rsidRPr="004D010F">
        <w:rPr>
          <w:rFonts w:cs="Arial"/>
        </w:rPr>
        <w:t>C</w:t>
      </w:r>
      <w:r w:rsidRPr="004D010F">
        <w:rPr>
          <w:rFonts w:cs="Arial"/>
        </w:rPr>
        <w:t xml:space="preserve">hanges </w:t>
      </w:r>
      <w:r w:rsidR="00677E06" w:rsidRPr="004D010F">
        <w:rPr>
          <w:rFonts w:cs="Arial"/>
        </w:rPr>
        <w:t xml:space="preserve">applicable </w:t>
      </w:r>
      <w:proofErr w:type="gramStart"/>
      <w:r w:rsidR="00677E06" w:rsidRPr="004D010F">
        <w:rPr>
          <w:rFonts w:cs="Arial"/>
        </w:rPr>
        <w:t>to day</w:t>
      </w:r>
      <w:proofErr w:type="gramEnd"/>
      <w:r w:rsidR="00677E06" w:rsidRPr="004D010F">
        <w:rPr>
          <w:rFonts w:cs="Arial"/>
        </w:rPr>
        <w:t xml:space="preserve"> and employment settings were </w:t>
      </w:r>
      <w:r w:rsidRPr="004D010F">
        <w:rPr>
          <w:rFonts w:cs="Arial"/>
        </w:rPr>
        <w:t xml:space="preserve">limited to the incorporation of behavioral assessment and management into the </w:t>
      </w:r>
      <w:r w:rsidR="00CF35A4">
        <w:rPr>
          <w:rFonts w:cs="Arial"/>
        </w:rPr>
        <w:t>p</w:t>
      </w:r>
      <w:r w:rsidRPr="004D010F">
        <w:rPr>
          <w:rFonts w:cs="Arial"/>
        </w:rPr>
        <w:t>erson-</w:t>
      </w:r>
      <w:r w:rsidR="00CF35A4">
        <w:rPr>
          <w:rFonts w:cs="Arial"/>
        </w:rPr>
        <w:t>c</w:t>
      </w:r>
      <w:r w:rsidRPr="004D010F">
        <w:rPr>
          <w:rFonts w:cs="Arial"/>
        </w:rPr>
        <w:t xml:space="preserve">entered </w:t>
      </w:r>
      <w:r w:rsidR="00CF35A4">
        <w:rPr>
          <w:rFonts w:cs="Arial"/>
        </w:rPr>
        <w:t>p</w:t>
      </w:r>
      <w:r w:rsidRPr="004D010F">
        <w:rPr>
          <w:rFonts w:cs="Arial"/>
        </w:rPr>
        <w:t>lan</w:t>
      </w:r>
      <w:r w:rsidR="00677E06" w:rsidRPr="004D010F">
        <w:rPr>
          <w:rFonts w:cs="Arial"/>
        </w:rPr>
        <w:t xml:space="preserve">. </w:t>
      </w:r>
      <w:r w:rsidR="008B0026">
        <w:rPr>
          <w:rFonts w:cs="Arial"/>
        </w:rPr>
        <w:t xml:space="preserve">As noted above, both </w:t>
      </w:r>
      <w:r w:rsidR="00677E06" w:rsidRPr="004D010F">
        <w:rPr>
          <w:rFonts w:cs="Arial"/>
        </w:rPr>
        <w:t xml:space="preserve">MRC staff </w:t>
      </w:r>
      <w:r w:rsidR="008B0026">
        <w:rPr>
          <w:rFonts w:cs="Arial"/>
        </w:rPr>
        <w:t xml:space="preserve">and provider staff </w:t>
      </w:r>
      <w:r w:rsidR="00677E06" w:rsidRPr="004D010F">
        <w:rPr>
          <w:rFonts w:cs="Arial"/>
        </w:rPr>
        <w:t xml:space="preserve">were trained in the complete </w:t>
      </w:r>
      <w:r w:rsidR="008B6F24">
        <w:rPr>
          <w:rFonts w:cs="Arial"/>
        </w:rPr>
        <w:t>M</w:t>
      </w:r>
      <w:r w:rsidR="008B6F24" w:rsidRPr="004D010F">
        <w:rPr>
          <w:rFonts w:cs="Arial"/>
        </w:rPr>
        <w:t xml:space="preserve">anual </w:t>
      </w:r>
      <w:r w:rsidR="008B0026">
        <w:rPr>
          <w:rFonts w:cs="Arial"/>
        </w:rPr>
        <w:t>by</w:t>
      </w:r>
      <w:r w:rsidR="00677E06" w:rsidRPr="004D010F">
        <w:rPr>
          <w:rFonts w:cs="Arial"/>
        </w:rPr>
        <w:t xml:space="preserve"> May 2016</w:t>
      </w:r>
      <w:r w:rsidRPr="004D010F">
        <w:rPr>
          <w:rFonts w:cs="Arial"/>
        </w:rPr>
        <w:t xml:space="preserve">.  </w:t>
      </w:r>
    </w:p>
    <w:p w14:paraId="56FB2ED6" w14:textId="39FDDE79" w:rsidR="00327DC1" w:rsidRPr="004D010F" w:rsidRDefault="00327DC1" w:rsidP="004D010F">
      <w:pPr>
        <w:rPr>
          <w:rFonts w:cs="Arial"/>
        </w:rPr>
      </w:pPr>
      <w:r w:rsidRPr="004D010F">
        <w:rPr>
          <w:rFonts w:cs="Arial"/>
        </w:rPr>
        <w:t xml:space="preserve">In concert with DDS, MRC utilized the Day Services survey tool developed by DDS for shared providers of waiver day services, </w:t>
      </w:r>
      <w:proofErr w:type="gramStart"/>
      <w:r w:rsidRPr="004D010F">
        <w:rPr>
          <w:rFonts w:cs="Arial"/>
        </w:rPr>
        <w:t>in order to</w:t>
      </w:r>
      <w:proofErr w:type="gramEnd"/>
      <w:r w:rsidRPr="004D010F">
        <w:rPr>
          <w:rFonts w:cs="Arial"/>
        </w:rPr>
        <w:t xml:space="preserve"> avoid duplication of effort. As described above (see Section IV.A.2 Non-residential Settings), the purpose of the survey was to gather data from DDS-qualified Community-Based Day Support (CBDS) providers to inform the establishment or enhancement of existing standards for what constitutes a meaningful day for individuals for whom employment is not a goal, as well as best practices, challenges, and qualitative and quantitative measures for CBDS services. </w:t>
      </w:r>
      <w:r w:rsidR="00BC7F9E" w:rsidRPr="004D010F">
        <w:rPr>
          <w:rFonts w:cs="Arial"/>
        </w:rPr>
        <w:t>MRC staff reviewed the survey responses, and i</w:t>
      </w:r>
      <w:r w:rsidRPr="004D010F">
        <w:rPr>
          <w:rFonts w:cs="Arial"/>
        </w:rPr>
        <w:t xml:space="preserve">n several instances, </w:t>
      </w:r>
      <w:r w:rsidR="00BC7F9E" w:rsidRPr="004D010F">
        <w:rPr>
          <w:rFonts w:cs="Arial"/>
        </w:rPr>
        <w:t xml:space="preserve">contacted </w:t>
      </w:r>
      <w:r w:rsidRPr="004D010F">
        <w:rPr>
          <w:rFonts w:cs="Arial"/>
        </w:rPr>
        <w:t xml:space="preserve">providers </w:t>
      </w:r>
      <w:r w:rsidR="00BC7F9E" w:rsidRPr="004D010F">
        <w:rPr>
          <w:rFonts w:cs="Arial"/>
        </w:rPr>
        <w:t>where</w:t>
      </w:r>
      <w:r w:rsidRPr="004D010F">
        <w:rPr>
          <w:rFonts w:cs="Arial"/>
        </w:rPr>
        <w:t xml:space="preserve"> clarif</w:t>
      </w:r>
      <w:r w:rsidR="00BC7F9E" w:rsidRPr="004D010F">
        <w:rPr>
          <w:rFonts w:cs="Arial"/>
        </w:rPr>
        <w:t>ication was needed</w:t>
      </w:r>
      <w:r w:rsidRPr="004D010F">
        <w:rPr>
          <w:rFonts w:cs="Arial"/>
        </w:rPr>
        <w:t xml:space="preserve">. MRC determined that one day program provider </w:t>
      </w:r>
      <w:r w:rsidR="008B0026">
        <w:rPr>
          <w:rFonts w:cs="Arial"/>
        </w:rPr>
        <w:t>did</w:t>
      </w:r>
      <w:r w:rsidR="008B0026" w:rsidRPr="004D010F">
        <w:rPr>
          <w:rFonts w:cs="Arial"/>
        </w:rPr>
        <w:t xml:space="preserve"> </w:t>
      </w:r>
      <w:r w:rsidRPr="004D010F">
        <w:rPr>
          <w:rFonts w:cs="Arial"/>
        </w:rPr>
        <w:t xml:space="preserve">not meet these criteria. </w:t>
      </w:r>
      <w:r w:rsidR="008B0026">
        <w:rPr>
          <w:rFonts w:cs="Arial"/>
        </w:rPr>
        <w:t>At the time of MRC’s review, that</w:t>
      </w:r>
      <w:r w:rsidRPr="004D010F">
        <w:rPr>
          <w:rFonts w:cs="Arial"/>
        </w:rPr>
        <w:t xml:space="preserve"> program </w:t>
      </w:r>
      <w:r w:rsidR="008B0026">
        <w:rPr>
          <w:rFonts w:cs="Arial"/>
        </w:rPr>
        <w:t>was</w:t>
      </w:r>
      <w:r w:rsidR="008B0026" w:rsidRPr="004D010F">
        <w:rPr>
          <w:rFonts w:cs="Arial"/>
        </w:rPr>
        <w:t xml:space="preserve"> </w:t>
      </w:r>
      <w:r w:rsidRPr="004D010F">
        <w:rPr>
          <w:rFonts w:cs="Arial"/>
        </w:rPr>
        <w:t xml:space="preserve">not utilized by any waiver participant. If </w:t>
      </w:r>
      <w:r w:rsidR="008B0026">
        <w:rPr>
          <w:rFonts w:cs="Arial"/>
        </w:rPr>
        <w:t xml:space="preserve">at any time </w:t>
      </w:r>
      <w:r w:rsidRPr="004D010F">
        <w:rPr>
          <w:rFonts w:cs="Arial"/>
        </w:rPr>
        <w:t xml:space="preserve">the program wishes to commit to changes in services and settings, MRC will offer support through this process. Unless that occurs, the program </w:t>
      </w:r>
      <w:r w:rsidR="008B0026">
        <w:rPr>
          <w:rFonts w:cs="Arial"/>
        </w:rPr>
        <w:t xml:space="preserve">is not and </w:t>
      </w:r>
      <w:r w:rsidRPr="004D010F">
        <w:rPr>
          <w:rFonts w:cs="Arial"/>
        </w:rPr>
        <w:t>will not be utilized</w:t>
      </w:r>
      <w:r w:rsidR="00FD4EE6" w:rsidRPr="004D010F">
        <w:rPr>
          <w:rFonts w:cs="Arial"/>
        </w:rPr>
        <w:t xml:space="preserve"> for any waiver participants</w:t>
      </w:r>
      <w:r w:rsidRPr="004D010F">
        <w:rPr>
          <w:rFonts w:cs="Arial"/>
        </w:rPr>
        <w:t xml:space="preserve">. </w:t>
      </w:r>
    </w:p>
    <w:p w14:paraId="7D40BE46" w14:textId="5B4CA398" w:rsidR="00327DC1" w:rsidRPr="00B11E60" w:rsidRDefault="00327DC1" w:rsidP="004D010F">
      <w:pPr>
        <w:rPr>
          <w:rFonts w:cs="Arial"/>
        </w:rPr>
      </w:pPr>
      <w:r w:rsidRPr="00B11E60">
        <w:rPr>
          <w:rFonts w:cs="Arial"/>
        </w:rPr>
        <w:t xml:space="preserve">Data gleaned from the surveys </w:t>
      </w:r>
      <w:r w:rsidR="0009187E">
        <w:rPr>
          <w:rFonts w:cs="Arial"/>
        </w:rPr>
        <w:t>was</w:t>
      </w:r>
      <w:r w:rsidRPr="00B11E60">
        <w:rPr>
          <w:rFonts w:cs="Arial"/>
        </w:rPr>
        <w:t xml:space="preserve"> shared with MRC and used by DDS to inform the existing Employment Work Group that is also addressing enhancement of CBDS as well as a group of advocates, participants/family members, and other stakeholders regarding the following:</w:t>
      </w:r>
    </w:p>
    <w:p w14:paraId="37D09145" w14:textId="77777777" w:rsidR="00327DC1" w:rsidRPr="00B11E60" w:rsidRDefault="00327DC1" w:rsidP="004427AF">
      <w:pPr>
        <w:pStyle w:val="ListParagraph"/>
        <w:numPr>
          <w:ilvl w:val="0"/>
          <w:numId w:val="14"/>
        </w:numPr>
        <w:rPr>
          <w:rFonts w:cs="Arial"/>
        </w:rPr>
      </w:pPr>
      <w:r w:rsidRPr="00B11E60">
        <w:rPr>
          <w:rFonts w:cs="Arial"/>
        </w:rPr>
        <w:t>The development of definitions and standards for what constitutes a meaningful day,</w:t>
      </w:r>
    </w:p>
    <w:p w14:paraId="5761D80F" w14:textId="77777777" w:rsidR="00327DC1" w:rsidRPr="00B11E60" w:rsidRDefault="00327DC1" w:rsidP="004427AF">
      <w:pPr>
        <w:pStyle w:val="ListParagraph"/>
        <w:numPr>
          <w:ilvl w:val="0"/>
          <w:numId w:val="14"/>
        </w:numPr>
        <w:rPr>
          <w:rFonts w:cs="Arial"/>
        </w:rPr>
      </w:pPr>
      <w:r w:rsidRPr="00B11E60">
        <w:rPr>
          <w:rFonts w:cs="Arial"/>
        </w:rPr>
        <w:lastRenderedPageBreak/>
        <w:t>The incorporation of both qualitative and quantitative measures into the DDS licensure and certification process,</w:t>
      </w:r>
    </w:p>
    <w:p w14:paraId="5FAAA90A" w14:textId="77777777" w:rsidR="00327DC1" w:rsidRPr="00B11E60" w:rsidRDefault="00327DC1" w:rsidP="004427AF">
      <w:pPr>
        <w:pStyle w:val="ListParagraph"/>
        <w:numPr>
          <w:ilvl w:val="0"/>
          <w:numId w:val="14"/>
        </w:numPr>
        <w:rPr>
          <w:rFonts w:cs="Arial"/>
        </w:rPr>
      </w:pPr>
      <w:r w:rsidRPr="00B11E60">
        <w:rPr>
          <w:rFonts w:cs="Arial"/>
        </w:rPr>
        <w:t>The modification of the MRC monitoring tool to reflect changes in pro</w:t>
      </w:r>
      <w:r>
        <w:rPr>
          <w:rFonts w:cs="Arial"/>
        </w:rPr>
        <w:t>gram expectations and standards, and</w:t>
      </w:r>
    </w:p>
    <w:p w14:paraId="3123CC8F" w14:textId="77777777" w:rsidR="00327DC1" w:rsidRPr="00B11E60" w:rsidRDefault="00327DC1" w:rsidP="004427AF">
      <w:pPr>
        <w:pStyle w:val="ListParagraph"/>
        <w:numPr>
          <w:ilvl w:val="0"/>
          <w:numId w:val="14"/>
        </w:numPr>
        <w:contextualSpacing w:val="0"/>
        <w:rPr>
          <w:rFonts w:cs="Arial"/>
        </w:rPr>
      </w:pPr>
      <w:r w:rsidRPr="00B11E60">
        <w:rPr>
          <w:rFonts w:cs="Arial"/>
        </w:rPr>
        <w:t>Systemic strategies to assist all CBDS providers to achieve the outcomes of the Community Rule including but not limited to technical assistance</w:t>
      </w:r>
      <w:r w:rsidR="00457084">
        <w:rPr>
          <w:rFonts w:cs="Arial"/>
        </w:rPr>
        <w:t xml:space="preserve"> and</w:t>
      </w:r>
      <w:r w:rsidRPr="00B11E60">
        <w:rPr>
          <w:rFonts w:cs="Arial"/>
        </w:rPr>
        <w:t xml:space="preserve"> staff development and training.</w:t>
      </w:r>
    </w:p>
    <w:p w14:paraId="456B6151" w14:textId="602216E3" w:rsidR="00327DC1" w:rsidRDefault="00327DC1" w:rsidP="004D010F">
      <w:pPr>
        <w:rPr>
          <w:rFonts w:cs="Arial"/>
        </w:rPr>
      </w:pPr>
      <w:r w:rsidRPr="004D010F">
        <w:rPr>
          <w:rFonts w:cs="Arial"/>
        </w:rPr>
        <w:t xml:space="preserve">MRC distributed the same Day Services survey to seven TBI, ABI, or MFP waiver day service providers who </w:t>
      </w:r>
      <w:r w:rsidR="00F832D1">
        <w:rPr>
          <w:rFonts w:cs="Arial"/>
        </w:rPr>
        <w:t>we</w:t>
      </w:r>
      <w:r w:rsidRPr="004D010F">
        <w:rPr>
          <w:rFonts w:cs="Arial"/>
        </w:rPr>
        <w:t xml:space="preserve">re not also licensed or certified by DDS as CBDS providers. Again, the intent was to </w:t>
      </w:r>
      <w:r w:rsidR="00BC7F9E" w:rsidRPr="004D010F">
        <w:rPr>
          <w:rFonts w:cs="Arial"/>
        </w:rPr>
        <w:t xml:space="preserve">ensure consistency across the programs of multiple state agencies, and to </w:t>
      </w:r>
      <w:r w:rsidRPr="004D010F">
        <w:rPr>
          <w:rFonts w:cs="Arial"/>
        </w:rPr>
        <w:t xml:space="preserve">collect data to support the establishment of standards around what constitutes a meaningful day for individuals, best practices, challenges, and qualitative and quantitative measures for day services. </w:t>
      </w:r>
      <w:r w:rsidR="00D05EF8">
        <w:rPr>
          <w:rFonts w:cs="Arial"/>
        </w:rPr>
        <w:t>S</w:t>
      </w:r>
      <w:r w:rsidRPr="004D010F">
        <w:rPr>
          <w:rFonts w:cs="Arial"/>
        </w:rPr>
        <w:t xml:space="preserve">urveys </w:t>
      </w:r>
      <w:r w:rsidR="00BC7F9E" w:rsidRPr="004D010F">
        <w:rPr>
          <w:rFonts w:cs="Arial"/>
        </w:rPr>
        <w:t>were</w:t>
      </w:r>
      <w:r w:rsidRPr="004D010F">
        <w:rPr>
          <w:rFonts w:cs="Arial"/>
        </w:rPr>
        <w:t xml:space="preserve"> reviewed</w:t>
      </w:r>
      <w:r w:rsidR="00BC7F9E" w:rsidRPr="004D010F">
        <w:rPr>
          <w:rFonts w:cs="Arial"/>
        </w:rPr>
        <w:t xml:space="preserve">, and </w:t>
      </w:r>
      <w:r w:rsidRPr="004D010F">
        <w:rPr>
          <w:rFonts w:cs="Arial"/>
        </w:rPr>
        <w:t xml:space="preserve">providers were contacted </w:t>
      </w:r>
      <w:r w:rsidR="00BC7F9E" w:rsidRPr="004D010F">
        <w:rPr>
          <w:rFonts w:cs="Arial"/>
        </w:rPr>
        <w:t xml:space="preserve">as necessary </w:t>
      </w:r>
      <w:r w:rsidRPr="004D010F">
        <w:rPr>
          <w:rFonts w:cs="Arial"/>
        </w:rPr>
        <w:t xml:space="preserve">to clarify responses. </w:t>
      </w:r>
      <w:r w:rsidR="00D05EF8" w:rsidRPr="00B11E60">
        <w:rPr>
          <w:rFonts w:cs="Arial"/>
        </w:rPr>
        <w:t>(See Table 3. Summary of Transition Plan Tasks and Timelines.)</w:t>
      </w:r>
      <w:r w:rsidR="00D05EF8">
        <w:rPr>
          <w:rFonts w:cs="Arial"/>
        </w:rPr>
        <w:t xml:space="preserve"> </w:t>
      </w:r>
    </w:p>
    <w:p w14:paraId="43813253" w14:textId="0BBD8641" w:rsidR="00327DC1" w:rsidRPr="00A37881" w:rsidRDefault="008C295F" w:rsidP="00144BE9">
      <w:pPr>
        <w:pStyle w:val="Heading3"/>
      </w:pPr>
      <w:r>
        <w:t xml:space="preserve">3. </w:t>
      </w:r>
      <w:r w:rsidR="00327DC1" w:rsidRPr="00A37881">
        <w:t>Waiv</w:t>
      </w:r>
      <w:r w:rsidR="00DB52E3" w:rsidRPr="00A37881">
        <w:t>er service definitions</w:t>
      </w:r>
    </w:p>
    <w:p w14:paraId="4E746215" w14:textId="262CDDAE" w:rsidR="00327DC1" w:rsidRPr="00B11E60" w:rsidRDefault="00327DC1" w:rsidP="00327DC1">
      <w:pPr>
        <w:rPr>
          <w:rFonts w:cs="Arial"/>
        </w:rPr>
      </w:pPr>
      <w:r w:rsidRPr="00B11E60">
        <w:rPr>
          <w:rFonts w:cs="Arial"/>
        </w:rPr>
        <w:t>MRC reviewed all waiver service definitions to determine if the definitions themselves met the following requirements:</w:t>
      </w:r>
    </w:p>
    <w:p w14:paraId="61E3A7DA" w14:textId="77777777" w:rsidR="00327DC1" w:rsidRPr="00B11E60" w:rsidRDefault="00327DC1" w:rsidP="004427AF">
      <w:pPr>
        <w:pStyle w:val="ListParagraph"/>
        <w:numPr>
          <w:ilvl w:val="0"/>
          <w:numId w:val="12"/>
        </w:numPr>
        <w:ind w:left="720"/>
        <w:rPr>
          <w:rFonts w:cs="Arial"/>
        </w:rPr>
      </w:pPr>
      <w:r w:rsidRPr="00B11E60">
        <w:rPr>
          <w:rFonts w:cs="Arial"/>
        </w:rPr>
        <w:t>Does the service ensure individuals receive services in the community to the same degree of access as individuals not receiving Medicaid Home and Community-based services?</w:t>
      </w:r>
    </w:p>
    <w:p w14:paraId="75AB496F" w14:textId="77777777" w:rsidR="00327DC1" w:rsidRPr="00B11E60" w:rsidRDefault="00327DC1" w:rsidP="004427AF">
      <w:pPr>
        <w:pStyle w:val="ListParagraph"/>
        <w:numPr>
          <w:ilvl w:val="0"/>
          <w:numId w:val="12"/>
        </w:numPr>
        <w:ind w:left="720"/>
        <w:rPr>
          <w:rFonts w:cs="Arial"/>
        </w:rPr>
      </w:pPr>
      <w:r w:rsidRPr="00B11E60">
        <w:rPr>
          <w:rFonts w:cs="Arial"/>
        </w:rPr>
        <w:t>Does the service definition allow for integration and access to the greater community?</w:t>
      </w:r>
    </w:p>
    <w:p w14:paraId="472D0F1A" w14:textId="77777777" w:rsidR="00327DC1" w:rsidRPr="00B11E60" w:rsidRDefault="00327DC1" w:rsidP="004427AF">
      <w:pPr>
        <w:pStyle w:val="ListParagraph"/>
        <w:numPr>
          <w:ilvl w:val="0"/>
          <w:numId w:val="12"/>
        </w:numPr>
        <w:ind w:left="720"/>
        <w:rPr>
          <w:rFonts w:cs="Arial"/>
        </w:rPr>
      </w:pPr>
      <w:r w:rsidRPr="00B11E60">
        <w:rPr>
          <w:rFonts w:cs="Arial"/>
        </w:rPr>
        <w:t xml:space="preserve">Are the services selected by the individual? </w:t>
      </w:r>
    </w:p>
    <w:p w14:paraId="26A921F4" w14:textId="2A2A9C11" w:rsidR="00327DC1" w:rsidRPr="00B11E60" w:rsidRDefault="00327DC1" w:rsidP="004427AF">
      <w:pPr>
        <w:pStyle w:val="ListParagraph"/>
        <w:numPr>
          <w:ilvl w:val="0"/>
          <w:numId w:val="12"/>
        </w:numPr>
        <w:ind w:left="720"/>
        <w:rPr>
          <w:rFonts w:cs="Arial"/>
        </w:rPr>
      </w:pPr>
      <w:r w:rsidRPr="00B11E60">
        <w:rPr>
          <w:rFonts w:cs="Arial"/>
        </w:rPr>
        <w:t xml:space="preserve">Does the service optimize interaction, </w:t>
      </w:r>
      <w:r w:rsidR="009F5522" w:rsidRPr="00B11E60">
        <w:rPr>
          <w:rFonts w:cs="Arial"/>
        </w:rPr>
        <w:t>autonomy,</w:t>
      </w:r>
      <w:r w:rsidRPr="00B11E60">
        <w:rPr>
          <w:rFonts w:cs="Arial"/>
        </w:rPr>
        <w:t xml:space="preserve"> and independence in making life choices?</w:t>
      </w:r>
    </w:p>
    <w:p w14:paraId="41884862" w14:textId="77777777" w:rsidR="00327DC1" w:rsidRPr="00B11E60" w:rsidRDefault="00327DC1" w:rsidP="004427AF">
      <w:pPr>
        <w:pStyle w:val="ListParagraph"/>
        <w:numPr>
          <w:ilvl w:val="0"/>
          <w:numId w:val="12"/>
        </w:numPr>
        <w:ind w:left="720"/>
        <w:rPr>
          <w:rFonts w:cs="Arial"/>
        </w:rPr>
      </w:pPr>
      <w:r w:rsidRPr="00B11E60">
        <w:rPr>
          <w:rFonts w:cs="Arial"/>
        </w:rPr>
        <w:t>Does the service facilitate choices regarding supports and who provides them?</w:t>
      </w:r>
    </w:p>
    <w:p w14:paraId="244DC107" w14:textId="682637BC" w:rsidR="00327DC1" w:rsidRDefault="00327DC1" w:rsidP="00327DC1">
      <w:pPr>
        <w:rPr>
          <w:rFonts w:cs="Arial"/>
        </w:rPr>
      </w:pPr>
      <w:r w:rsidRPr="00B11E60">
        <w:rPr>
          <w:rFonts w:cs="Arial"/>
        </w:rPr>
        <w:t xml:space="preserve">Based on these criteria, </w:t>
      </w:r>
      <w:r w:rsidR="002D6E9B">
        <w:rPr>
          <w:rFonts w:cs="Arial"/>
        </w:rPr>
        <w:t>MRC</w:t>
      </w:r>
      <w:r w:rsidR="002D6E9B" w:rsidRPr="00B11E60">
        <w:rPr>
          <w:rFonts w:cs="Arial"/>
        </w:rPr>
        <w:t xml:space="preserve"> </w:t>
      </w:r>
      <w:r w:rsidRPr="00B11E60">
        <w:rPr>
          <w:rFonts w:cs="Arial"/>
        </w:rPr>
        <w:t xml:space="preserve">determined that all waiver service definitions </w:t>
      </w:r>
      <w:proofErr w:type="gramStart"/>
      <w:r w:rsidR="001E6880">
        <w:rPr>
          <w:rFonts w:cs="Arial"/>
        </w:rPr>
        <w:t>were</w:t>
      </w:r>
      <w:r w:rsidR="001E6880" w:rsidRPr="00B11E60">
        <w:rPr>
          <w:rFonts w:cs="Arial"/>
        </w:rPr>
        <w:t xml:space="preserve"> </w:t>
      </w:r>
      <w:r w:rsidRPr="00B11E60">
        <w:rPr>
          <w:rFonts w:cs="Arial"/>
        </w:rPr>
        <w:t>in compliance with</w:t>
      </w:r>
      <w:proofErr w:type="gramEnd"/>
      <w:r w:rsidRPr="00B11E60">
        <w:rPr>
          <w:rFonts w:cs="Arial"/>
        </w:rPr>
        <w:t xml:space="preserve"> the HCBS rule. In addition, the flexibility of these waivers to use multiple providers or diverse day or employment service settings ensures maximum choice and opportunity for participants to access various settings and specialized services based on individualized interests.</w:t>
      </w:r>
    </w:p>
    <w:p w14:paraId="55F2F2D2" w14:textId="66223DC5" w:rsidR="00327DC1" w:rsidRPr="00A37881" w:rsidRDefault="008C295F" w:rsidP="00144BE9">
      <w:pPr>
        <w:pStyle w:val="Heading3"/>
      </w:pPr>
      <w:r>
        <w:t xml:space="preserve">4. </w:t>
      </w:r>
      <w:r w:rsidR="00DB52E3" w:rsidRPr="00A37881">
        <w:t>Provider qualification</w:t>
      </w:r>
    </w:p>
    <w:p w14:paraId="645A54DA" w14:textId="77777777" w:rsidR="00327DC1" w:rsidRPr="00AE064A" w:rsidRDefault="00327DC1" w:rsidP="00327DC1">
      <w:pPr>
        <w:rPr>
          <w:rStyle w:val="Strong"/>
        </w:rPr>
      </w:pPr>
      <w:r w:rsidRPr="00AE064A">
        <w:rPr>
          <w:rStyle w:val="Strong"/>
        </w:rPr>
        <w:t>Residential Settings</w:t>
      </w:r>
    </w:p>
    <w:p w14:paraId="787624FB" w14:textId="3FB20D12" w:rsidR="00327DC1" w:rsidRPr="00B11E60" w:rsidRDefault="00327DC1" w:rsidP="00327DC1">
      <w:pPr>
        <w:rPr>
          <w:rFonts w:cs="Arial"/>
        </w:rPr>
      </w:pPr>
      <w:r w:rsidRPr="00B11E60">
        <w:rPr>
          <w:rFonts w:cs="Arial"/>
        </w:rPr>
        <w:t>Provider owned/leased residential settings were the subject of an open bid process in 2014 and were required to be qualified</w:t>
      </w:r>
      <w:r w:rsidR="002D6E9B">
        <w:rPr>
          <w:rFonts w:cs="Arial"/>
        </w:rPr>
        <w:t xml:space="preserve"> to begin or continue to provide residential services</w:t>
      </w:r>
      <w:r w:rsidRPr="00B11E60">
        <w:rPr>
          <w:rFonts w:cs="Arial"/>
        </w:rPr>
        <w:t xml:space="preserve">. The RFR that providers responded to outlined critical outcomes with respect </w:t>
      </w:r>
      <w:proofErr w:type="gramStart"/>
      <w:r w:rsidRPr="00B11E60">
        <w:rPr>
          <w:rFonts w:cs="Arial"/>
        </w:rPr>
        <w:t>to choice</w:t>
      </w:r>
      <w:proofErr w:type="gramEnd"/>
      <w:r w:rsidRPr="00B11E60">
        <w:rPr>
          <w:rFonts w:cs="Arial"/>
        </w:rPr>
        <w:t xml:space="preserve">, control, privacy, rights, </w:t>
      </w:r>
      <w:r w:rsidR="009F5522" w:rsidRPr="00B11E60">
        <w:rPr>
          <w:rFonts w:cs="Arial"/>
        </w:rPr>
        <w:t>integration,</w:t>
      </w:r>
      <w:r w:rsidRPr="00B11E60">
        <w:rPr>
          <w:rFonts w:cs="Arial"/>
        </w:rPr>
        <w:t xml:space="preserve"> and inclusion in community life, consistent with the requirements of the Community Rule. All providers that were determined qualified to provide services and supports were shown to adhere to the requirements for supports to individuals. In addition to the initial review of </w:t>
      </w:r>
      <w:r w:rsidRPr="00B11E60">
        <w:rPr>
          <w:rFonts w:cs="Arial"/>
        </w:rPr>
        <w:lastRenderedPageBreak/>
        <w:t xml:space="preserve">qualifications involved in the procurement process, provider qualifications are reviewed through the Annual Monitoring process described in the quality management and oversight section below. No changes </w:t>
      </w:r>
      <w:r w:rsidR="001E6880">
        <w:rPr>
          <w:rFonts w:cs="Arial"/>
        </w:rPr>
        <w:t>were</w:t>
      </w:r>
      <w:r w:rsidR="001E6880" w:rsidRPr="00B11E60">
        <w:rPr>
          <w:rFonts w:cs="Arial"/>
        </w:rPr>
        <w:t xml:space="preserve"> </w:t>
      </w:r>
      <w:r w:rsidRPr="00B11E60">
        <w:rPr>
          <w:rFonts w:cs="Arial"/>
        </w:rPr>
        <w:t>recommended as part of the transition plan for the process MRC uses to qualify providers.</w:t>
      </w:r>
    </w:p>
    <w:p w14:paraId="67759FB3" w14:textId="77777777" w:rsidR="00327DC1" w:rsidRPr="00AE064A" w:rsidRDefault="00327DC1" w:rsidP="00327DC1">
      <w:pPr>
        <w:rPr>
          <w:rStyle w:val="Strong"/>
        </w:rPr>
      </w:pPr>
      <w:r w:rsidRPr="00AE064A">
        <w:rPr>
          <w:rStyle w:val="Strong"/>
        </w:rPr>
        <w:t>Non-residential Settings</w:t>
      </w:r>
    </w:p>
    <w:p w14:paraId="267C933C" w14:textId="77777777" w:rsidR="003603A8" w:rsidRPr="00A37881" w:rsidRDefault="00327DC1" w:rsidP="003603A8">
      <w:pPr>
        <w:contextualSpacing/>
        <w:rPr>
          <w:rStyle w:val="SubtleEmphasis"/>
        </w:rPr>
      </w:pPr>
      <w:r w:rsidRPr="00A37881">
        <w:rPr>
          <w:rStyle w:val="SubtleEmphasis"/>
        </w:rPr>
        <w:t>Provider standards</w:t>
      </w:r>
    </w:p>
    <w:p w14:paraId="14292C48" w14:textId="2CAC3DA9" w:rsidR="00327DC1" w:rsidRPr="003603A8" w:rsidRDefault="00327DC1" w:rsidP="003603A8">
      <w:pPr>
        <w:rPr>
          <w:rFonts w:cs="Arial"/>
        </w:rPr>
      </w:pPr>
      <w:r w:rsidRPr="003603A8">
        <w:rPr>
          <w:rFonts w:cs="Arial"/>
        </w:rPr>
        <w:t xml:space="preserve">The MRC Provider Standards for Acquired Brain Injury (ABI) and </w:t>
      </w:r>
      <w:r w:rsidR="006F5653">
        <w:rPr>
          <w:rFonts w:cs="Arial"/>
        </w:rPr>
        <w:t>Moving Forward Plan</w:t>
      </w:r>
      <w:r w:rsidRPr="003603A8">
        <w:rPr>
          <w:rFonts w:cs="Arial"/>
        </w:rPr>
        <w:t xml:space="preserve"> (MFP) Waiver Service Providers identify the requirements to become credentialed to provide waiver day and employment services. These standards have general requirements for all providers and additional requirements for each type of service a provider is seeking to provide. A thorough review identified no areas where the standards </w:t>
      </w:r>
      <w:proofErr w:type="gramStart"/>
      <w:r w:rsidRPr="003603A8">
        <w:rPr>
          <w:rFonts w:cs="Arial"/>
        </w:rPr>
        <w:t>were in conflict with</w:t>
      </w:r>
      <w:proofErr w:type="gramEnd"/>
      <w:r w:rsidRPr="003603A8">
        <w:rPr>
          <w:rFonts w:cs="Arial"/>
        </w:rPr>
        <w:t xml:space="preserve"> the Community Rule. Overall, the standards appropriately speak to community inclusion and individualized, person-centered service planning. They also point directly to the MRC Community Living Division Provider Manual, which articulates policies and procedures in alignment with the Community Rule. Changes in the MRC Community Living Division Provider Manual were finalized in February 2016</w:t>
      </w:r>
      <w:r w:rsidR="005875C9">
        <w:rPr>
          <w:rFonts w:cs="Arial"/>
        </w:rPr>
        <w:t xml:space="preserve"> to</w:t>
      </w:r>
      <w:r w:rsidRPr="003603A8">
        <w:rPr>
          <w:rFonts w:cs="Arial"/>
        </w:rPr>
        <w:t xml:space="preserve"> strengthen language and ensure alignment with the Community Rule. Under the revised Provider Manual, providers </w:t>
      </w:r>
      <w:r w:rsidR="00D21B6D" w:rsidRPr="003603A8">
        <w:rPr>
          <w:rFonts w:cs="Arial"/>
        </w:rPr>
        <w:t>must</w:t>
      </w:r>
      <w:r w:rsidRPr="003603A8">
        <w:rPr>
          <w:rFonts w:cs="Arial"/>
        </w:rPr>
        <w:t xml:space="preserve"> provide services consistent with the principles of person-centered </w:t>
      </w:r>
      <w:r w:rsidR="009F5522" w:rsidRPr="003603A8">
        <w:rPr>
          <w:rFonts w:cs="Arial"/>
        </w:rPr>
        <w:t>planning and</w:t>
      </w:r>
      <w:r w:rsidRPr="003603A8">
        <w:rPr>
          <w:rFonts w:cs="Arial"/>
        </w:rPr>
        <w:t xml:space="preserve"> establish a complaint resolution process that includes providing consumers with a </w:t>
      </w:r>
      <w:r w:rsidR="000E7C08" w:rsidRPr="003603A8">
        <w:rPr>
          <w:rFonts w:cs="Arial"/>
        </w:rPr>
        <w:t>cognitively accessible</w:t>
      </w:r>
      <w:r w:rsidRPr="003603A8">
        <w:rPr>
          <w:rFonts w:cs="Arial"/>
        </w:rPr>
        <w:t>, written copy of this process.</w:t>
      </w:r>
    </w:p>
    <w:p w14:paraId="0A948493" w14:textId="77777777" w:rsidR="003603A8" w:rsidRPr="00A37881" w:rsidRDefault="003603A8" w:rsidP="003603A8">
      <w:pPr>
        <w:contextualSpacing/>
        <w:rPr>
          <w:rStyle w:val="SubtleEmphasis"/>
        </w:rPr>
      </w:pPr>
      <w:r w:rsidRPr="00A37881">
        <w:rPr>
          <w:rStyle w:val="SubtleEmphasis"/>
        </w:rPr>
        <w:t>Provider credentialing</w:t>
      </w:r>
    </w:p>
    <w:p w14:paraId="103B0B1C" w14:textId="00CA5706" w:rsidR="00457084" w:rsidRDefault="00327DC1" w:rsidP="003603A8">
      <w:pPr>
        <w:rPr>
          <w:rFonts w:cs="Arial"/>
          <w:i/>
          <w:sz w:val="24"/>
          <w:szCs w:val="24"/>
        </w:rPr>
      </w:pPr>
      <w:r w:rsidRPr="003603A8">
        <w:rPr>
          <w:rFonts w:cs="Arial"/>
        </w:rPr>
        <w:t xml:space="preserve">Under the ABI and MFP waivers, MRC uses the University of Massachusetts Medical School Provider Network Administration </w:t>
      </w:r>
      <w:r w:rsidR="002D6E9B" w:rsidRPr="003603A8">
        <w:rPr>
          <w:rFonts w:cs="Arial"/>
        </w:rPr>
        <w:t>unit</w:t>
      </w:r>
      <w:r w:rsidRPr="003603A8">
        <w:rPr>
          <w:rFonts w:cs="Arial"/>
        </w:rPr>
        <w:t xml:space="preserve"> (UMMS-PNA) to credential day and employment services providers. UMMS-PNA, under a contract with MassHealth, credentials organizations following the MRC Provider Standards. Additionally, MRC supports the credentialing process of new day service providers by conducting an initial site visit and subsequent annual site visits. These visits use a comprehensive monitoring tool inclusive of an assessment of the physical site; policies and procedures to ensure safety and quality; staffing requirements and qualifications; individualized service planning; and community integration. For the credentialing of employment providers, </w:t>
      </w:r>
      <w:r w:rsidRPr="00F23099">
        <w:rPr>
          <w:rFonts w:cs="Arial"/>
        </w:rPr>
        <w:t xml:space="preserve">MRC </w:t>
      </w:r>
      <w:r w:rsidR="00F23099">
        <w:rPr>
          <w:rFonts w:cs="Arial"/>
        </w:rPr>
        <w:t>collaborated</w:t>
      </w:r>
      <w:r w:rsidRPr="00F23099">
        <w:rPr>
          <w:rFonts w:cs="Arial"/>
        </w:rPr>
        <w:t xml:space="preserve"> with UMMS-PNA to ensure that the requirements of the Community Rule are reflected in the review tool used by the UMMS-PNA in the credentialing and recredentialing process.</w:t>
      </w:r>
      <w:r w:rsidRPr="003603A8">
        <w:rPr>
          <w:rFonts w:cs="Arial"/>
        </w:rPr>
        <w:t xml:space="preserve"> (See Table 3. </w:t>
      </w:r>
      <w:r w:rsidRPr="00616920">
        <w:rPr>
          <w:rFonts w:cs="Arial"/>
        </w:rPr>
        <w:t>Summary of Transition Plan Tasks and Timelines</w:t>
      </w:r>
      <w:r w:rsidRPr="003603A8">
        <w:rPr>
          <w:rFonts w:cs="Arial"/>
        </w:rPr>
        <w:t>.)</w:t>
      </w:r>
    </w:p>
    <w:p w14:paraId="4425E971" w14:textId="77777777" w:rsidR="003603A8" w:rsidRPr="00A37881" w:rsidRDefault="003603A8" w:rsidP="003603A8">
      <w:pPr>
        <w:contextualSpacing/>
        <w:rPr>
          <w:rStyle w:val="SubtleEmphasis"/>
        </w:rPr>
      </w:pPr>
      <w:r w:rsidRPr="00A37881">
        <w:rPr>
          <w:rStyle w:val="SubtleEmphasis"/>
        </w:rPr>
        <w:t>Procurement</w:t>
      </w:r>
    </w:p>
    <w:p w14:paraId="7D797DB2" w14:textId="77777777" w:rsidR="00327DC1" w:rsidRPr="003603A8" w:rsidRDefault="00327DC1" w:rsidP="003603A8">
      <w:pPr>
        <w:rPr>
          <w:rFonts w:cs="Arial"/>
        </w:rPr>
      </w:pPr>
      <w:r w:rsidRPr="003603A8">
        <w:rPr>
          <w:rFonts w:cs="Arial"/>
        </w:rPr>
        <w:t>Providers of day and employment services under the TBI Waiver are the subject of open bid processes and are qualified by either MRC or DDS (or both agencies) to provide these services and supports. The Request for Responses (RFR) that day and employment providers respond to outline</w:t>
      </w:r>
      <w:r w:rsidR="00D37578" w:rsidRPr="003603A8">
        <w:rPr>
          <w:rFonts w:cs="Arial"/>
        </w:rPr>
        <w:t>s</w:t>
      </w:r>
      <w:r w:rsidRPr="003603A8">
        <w:rPr>
          <w:rFonts w:cs="Arial"/>
        </w:rPr>
        <w:t xml:space="preserve"> critical outcomes with respect </w:t>
      </w:r>
      <w:proofErr w:type="gramStart"/>
      <w:r w:rsidRPr="003603A8">
        <w:rPr>
          <w:rFonts w:cs="Arial"/>
        </w:rPr>
        <w:t>to choice</w:t>
      </w:r>
      <w:proofErr w:type="gramEnd"/>
      <w:r w:rsidRPr="003603A8">
        <w:rPr>
          <w:rFonts w:cs="Arial"/>
        </w:rPr>
        <w:t xml:space="preserve">, control, career exploration, employment, rights, integration and inclusion in community life. MRC reviews the credentials of those waiver service providers who are not qualified by DDS through annual, onsite monitoring to ensure that all day and employment settings utilized for TBI waiver services meet the requirements of the </w:t>
      </w:r>
      <w:r w:rsidR="002E6451" w:rsidRPr="003603A8">
        <w:rPr>
          <w:rFonts w:cs="Arial"/>
        </w:rPr>
        <w:t>Community Rule</w:t>
      </w:r>
      <w:r w:rsidRPr="003603A8">
        <w:rPr>
          <w:rFonts w:cs="Arial"/>
        </w:rPr>
        <w:t xml:space="preserve">. </w:t>
      </w:r>
    </w:p>
    <w:p w14:paraId="38D81A37" w14:textId="20F114D5" w:rsidR="00327DC1" w:rsidRPr="00B941C6" w:rsidRDefault="002A3108" w:rsidP="006C134E">
      <w:pPr>
        <w:rPr>
          <w:rFonts w:cs="Arial"/>
        </w:rPr>
      </w:pPr>
      <w:r>
        <w:rPr>
          <w:rFonts w:cs="Arial"/>
        </w:rPr>
        <w:lastRenderedPageBreak/>
        <w:t>At the time the Community Rule went into effect</w:t>
      </w:r>
      <w:r w:rsidR="00327DC1" w:rsidRPr="00B11E60">
        <w:rPr>
          <w:rFonts w:cs="Arial"/>
        </w:rPr>
        <w:t xml:space="preserve">, MRC </w:t>
      </w:r>
      <w:r>
        <w:rPr>
          <w:rFonts w:cs="Arial"/>
        </w:rPr>
        <w:t>was utilizing</w:t>
      </w:r>
      <w:r w:rsidRPr="00B11E60">
        <w:rPr>
          <w:rFonts w:cs="Arial"/>
        </w:rPr>
        <w:t xml:space="preserve"> </w:t>
      </w:r>
      <w:proofErr w:type="gramStart"/>
      <w:r w:rsidR="00B941C6">
        <w:rPr>
          <w:rFonts w:cs="Arial"/>
        </w:rPr>
        <w:t>33</w:t>
      </w:r>
      <w:r w:rsidR="00327DC1" w:rsidRPr="00B11E60">
        <w:rPr>
          <w:rFonts w:cs="Arial"/>
        </w:rPr>
        <w:t xml:space="preserve"> day</w:t>
      </w:r>
      <w:proofErr w:type="gramEnd"/>
      <w:r w:rsidR="00327DC1" w:rsidRPr="00B11E60">
        <w:rPr>
          <w:rFonts w:cs="Arial"/>
        </w:rPr>
        <w:t xml:space="preserve"> </w:t>
      </w:r>
      <w:r w:rsidR="00B941C6">
        <w:rPr>
          <w:rFonts w:cs="Arial"/>
        </w:rPr>
        <w:t>services</w:t>
      </w:r>
      <w:r w:rsidR="00327DC1" w:rsidRPr="00B11E60">
        <w:rPr>
          <w:rFonts w:cs="Arial"/>
        </w:rPr>
        <w:t xml:space="preserve"> supports providers</w:t>
      </w:r>
      <w:r>
        <w:rPr>
          <w:rFonts w:cs="Arial"/>
        </w:rPr>
        <w:t xml:space="preserve"> for the ABI/MFP waivers</w:t>
      </w:r>
      <w:r w:rsidR="00327DC1" w:rsidRPr="00B11E60">
        <w:rPr>
          <w:rFonts w:cs="Arial"/>
        </w:rPr>
        <w:t xml:space="preserve">. Of these providers, 26 </w:t>
      </w:r>
      <w:r>
        <w:rPr>
          <w:rFonts w:cs="Arial"/>
        </w:rPr>
        <w:t>were</w:t>
      </w:r>
      <w:r w:rsidRPr="00B11E60">
        <w:rPr>
          <w:rFonts w:cs="Arial"/>
        </w:rPr>
        <w:t xml:space="preserve"> </w:t>
      </w:r>
      <w:r w:rsidR="00327DC1" w:rsidRPr="00B941C6">
        <w:rPr>
          <w:rFonts w:cs="Arial"/>
        </w:rPr>
        <w:t>certified or licensed for comparable day services by DDS</w:t>
      </w:r>
      <w:r w:rsidR="00460F8B">
        <w:rPr>
          <w:rFonts w:cs="Arial"/>
        </w:rPr>
        <w:t xml:space="preserve"> and </w:t>
      </w:r>
      <w:r>
        <w:rPr>
          <w:rFonts w:cs="Arial"/>
        </w:rPr>
        <w:t xml:space="preserve">were </w:t>
      </w:r>
      <w:r w:rsidR="00460F8B">
        <w:rPr>
          <w:rFonts w:cs="Arial"/>
        </w:rPr>
        <w:t>credentialed to provide day services for ABI/MFP through the above UMMS-PNA credentialing process</w:t>
      </w:r>
      <w:r w:rsidR="00327DC1" w:rsidRPr="00B941C6">
        <w:rPr>
          <w:rFonts w:cs="Arial"/>
        </w:rPr>
        <w:t xml:space="preserve">. As part of this transition plan, DDS </w:t>
      </w:r>
      <w:r w:rsidR="002714E2" w:rsidRPr="00B941C6">
        <w:rPr>
          <w:rFonts w:cs="Arial"/>
        </w:rPr>
        <w:t>expand</w:t>
      </w:r>
      <w:r w:rsidR="002714E2">
        <w:rPr>
          <w:rFonts w:cs="Arial"/>
        </w:rPr>
        <w:t>ed</w:t>
      </w:r>
      <w:r w:rsidR="002714E2" w:rsidRPr="00B941C6">
        <w:rPr>
          <w:rFonts w:cs="Arial"/>
        </w:rPr>
        <w:t xml:space="preserve"> </w:t>
      </w:r>
      <w:r w:rsidR="00327DC1" w:rsidRPr="00B941C6">
        <w:rPr>
          <w:rFonts w:cs="Arial"/>
        </w:rPr>
        <w:t xml:space="preserve">their licensure/certification process to include the requirements of the Community Rule to ensure compliance. The remaining seven qualified </w:t>
      </w:r>
      <w:r w:rsidR="006F5653">
        <w:rPr>
          <w:rFonts w:cs="Arial"/>
        </w:rPr>
        <w:t>waiver</w:t>
      </w:r>
      <w:r w:rsidR="006F5653" w:rsidRPr="00B941C6">
        <w:rPr>
          <w:rFonts w:cs="Arial"/>
        </w:rPr>
        <w:t xml:space="preserve"> </w:t>
      </w:r>
      <w:r w:rsidR="00327DC1" w:rsidRPr="00B941C6">
        <w:rPr>
          <w:rFonts w:cs="Arial"/>
        </w:rPr>
        <w:t xml:space="preserve">day service providers </w:t>
      </w:r>
      <w:r w:rsidR="00645955">
        <w:rPr>
          <w:rFonts w:cs="Arial"/>
        </w:rPr>
        <w:t xml:space="preserve">and any newly qualified providers </w:t>
      </w:r>
      <w:r>
        <w:rPr>
          <w:rFonts w:cs="Arial"/>
        </w:rPr>
        <w:t>are subject to</w:t>
      </w:r>
      <w:r w:rsidR="00327DC1" w:rsidRPr="00B941C6">
        <w:rPr>
          <w:rFonts w:cs="Arial"/>
        </w:rPr>
        <w:t xml:space="preserve"> on-site reviews</w:t>
      </w:r>
      <w:r w:rsidR="006F5653">
        <w:rPr>
          <w:rFonts w:cs="Arial"/>
        </w:rPr>
        <w:t xml:space="preserve"> incorporating applicable Community Rule requirements by MRC staff, as described above,</w:t>
      </w:r>
      <w:r w:rsidR="00327DC1" w:rsidRPr="00B941C6">
        <w:rPr>
          <w:rFonts w:cs="Arial"/>
        </w:rPr>
        <w:t xml:space="preserve"> to support the full credenti</w:t>
      </w:r>
      <w:r w:rsidR="00892708" w:rsidRPr="00B941C6">
        <w:rPr>
          <w:rFonts w:cs="Arial"/>
        </w:rPr>
        <w:t>aling requirement by UMMS-PNA.</w:t>
      </w:r>
    </w:p>
    <w:p w14:paraId="55726FE5" w14:textId="01F44CE8" w:rsidR="008F5358" w:rsidRDefault="00B941C6" w:rsidP="00327DC1">
      <w:pPr>
        <w:rPr>
          <w:rFonts w:cs="Arial"/>
        </w:rPr>
      </w:pPr>
      <w:r>
        <w:rPr>
          <w:rFonts w:cs="Arial"/>
        </w:rPr>
        <w:t xml:space="preserve">Similarly, for the ABI/MFP waivers, MRC </w:t>
      </w:r>
      <w:r w:rsidR="00CB568F">
        <w:rPr>
          <w:rFonts w:cs="Arial"/>
        </w:rPr>
        <w:t>utilized</w:t>
      </w:r>
      <w:r w:rsidR="00CB568F" w:rsidRPr="00B941C6">
        <w:rPr>
          <w:rFonts w:cs="Arial"/>
        </w:rPr>
        <w:t xml:space="preserve"> </w:t>
      </w:r>
      <w:r w:rsidR="00327DC1" w:rsidRPr="00B941C6">
        <w:rPr>
          <w:rFonts w:cs="Arial"/>
        </w:rPr>
        <w:t xml:space="preserve">37 supported employment providers, </w:t>
      </w:r>
      <w:r w:rsidR="006C134E">
        <w:rPr>
          <w:rFonts w:cs="Arial"/>
        </w:rPr>
        <w:t xml:space="preserve">29 of which </w:t>
      </w:r>
      <w:r w:rsidR="00CB568F">
        <w:rPr>
          <w:rFonts w:cs="Arial"/>
        </w:rPr>
        <w:t>were</w:t>
      </w:r>
      <w:r w:rsidR="00CB568F" w:rsidRPr="00B941C6">
        <w:rPr>
          <w:rFonts w:cs="Arial"/>
        </w:rPr>
        <w:t xml:space="preserve"> </w:t>
      </w:r>
      <w:r w:rsidR="00327DC1" w:rsidRPr="00B941C6">
        <w:rPr>
          <w:rFonts w:cs="Arial"/>
        </w:rPr>
        <w:t xml:space="preserve">licensed or certified by DDS. </w:t>
      </w:r>
      <w:r w:rsidR="006C134E" w:rsidRPr="00B941C6">
        <w:rPr>
          <w:rFonts w:cs="Arial"/>
        </w:rPr>
        <w:t>The</w:t>
      </w:r>
      <w:r w:rsidR="006C134E">
        <w:rPr>
          <w:rFonts w:cs="Arial"/>
        </w:rPr>
        <w:t xml:space="preserve"> remaining</w:t>
      </w:r>
      <w:r w:rsidR="006C134E" w:rsidRPr="00B941C6">
        <w:rPr>
          <w:rFonts w:cs="Arial"/>
        </w:rPr>
        <w:t xml:space="preserve"> </w:t>
      </w:r>
      <w:r w:rsidR="00327DC1" w:rsidRPr="00B941C6">
        <w:rPr>
          <w:rFonts w:cs="Arial"/>
        </w:rPr>
        <w:t xml:space="preserve">eight providers </w:t>
      </w:r>
      <w:r w:rsidR="00F84493">
        <w:rPr>
          <w:rFonts w:cs="Arial"/>
        </w:rPr>
        <w:t>and any newly qualified providers</w:t>
      </w:r>
      <w:r w:rsidR="00F84493" w:rsidRPr="00B941C6">
        <w:rPr>
          <w:rFonts w:cs="Arial"/>
        </w:rPr>
        <w:t xml:space="preserve"> </w:t>
      </w:r>
      <w:r w:rsidR="00327DC1" w:rsidRPr="00B941C6">
        <w:rPr>
          <w:rFonts w:cs="Arial"/>
        </w:rPr>
        <w:t xml:space="preserve">undergo monitoring and credentialing for this service by either UMMS-PNA or MRC to ensure compliance with the standards of this service and the requirements of the </w:t>
      </w:r>
      <w:r w:rsidR="00FC4617" w:rsidRPr="00B941C6">
        <w:rPr>
          <w:rFonts w:cs="Arial"/>
        </w:rPr>
        <w:t>C</w:t>
      </w:r>
      <w:r w:rsidR="00327DC1" w:rsidRPr="00B941C6">
        <w:rPr>
          <w:rFonts w:cs="Arial"/>
        </w:rPr>
        <w:t xml:space="preserve">ommunity </w:t>
      </w:r>
      <w:r w:rsidR="00FC4617" w:rsidRPr="00B941C6">
        <w:rPr>
          <w:rFonts w:cs="Arial"/>
        </w:rPr>
        <w:t>R</w:t>
      </w:r>
      <w:r w:rsidR="00327DC1" w:rsidRPr="00B941C6">
        <w:rPr>
          <w:rFonts w:cs="Arial"/>
        </w:rPr>
        <w:t>ule.</w:t>
      </w:r>
    </w:p>
    <w:p w14:paraId="223B7BB6" w14:textId="3BC4AAFA" w:rsidR="00327DC1" w:rsidRPr="00A37881" w:rsidRDefault="008C295F" w:rsidP="00144BE9">
      <w:pPr>
        <w:pStyle w:val="Heading3"/>
      </w:pPr>
      <w:r>
        <w:t xml:space="preserve">5. </w:t>
      </w:r>
      <w:r w:rsidR="00327DC1" w:rsidRPr="00A37881">
        <w:t>Quality management</w:t>
      </w:r>
      <w:r w:rsidR="00DB52E3" w:rsidRPr="00A37881">
        <w:t xml:space="preserve"> and oversight systems</w:t>
      </w:r>
    </w:p>
    <w:p w14:paraId="5F05AE96" w14:textId="77777777" w:rsidR="00327DC1" w:rsidRPr="00B11E60" w:rsidRDefault="00327DC1" w:rsidP="00327DC1">
      <w:pPr>
        <w:rPr>
          <w:rFonts w:cs="Arial"/>
        </w:rPr>
      </w:pPr>
      <w:r w:rsidRPr="00B11E60">
        <w:rPr>
          <w:rFonts w:cs="Arial"/>
        </w:rPr>
        <w:t xml:space="preserve">MRC has an extensive and robust quality management system that addresses the criteria in the HCBS rule in every aspect of the system. Below are those components of the MRC system that monitor and relate to outcomes addressed in the </w:t>
      </w:r>
      <w:r w:rsidR="002E6451">
        <w:rPr>
          <w:rFonts w:cs="Arial"/>
        </w:rPr>
        <w:t>Community Rule</w:t>
      </w:r>
      <w:r w:rsidR="00D62E44">
        <w:rPr>
          <w:rFonts w:cs="Arial"/>
        </w:rPr>
        <w:t>; DDS, in close partnership with MRC, has responsibility for quality oversight for the ABI-N and MFP-CL waivers</w:t>
      </w:r>
      <w:r w:rsidR="00892708">
        <w:rPr>
          <w:rFonts w:cs="Arial"/>
        </w:rPr>
        <w:t>.</w:t>
      </w:r>
    </w:p>
    <w:p w14:paraId="7807968B" w14:textId="77777777" w:rsidR="00731053" w:rsidRPr="00DD2C9F" w:rsidRDefault="00731053" w:rsidP="00731053">
      <w:pPr>
        <w:contextualSpacing/>
        <w:rPr>
          <w:rStyle w:val="SubtleEmphasis"/>
        </w:rPr>
      </w:pPr>
      <w:r w:rsidRPr="00DD2C9F">
        <w:rPr>
          <w:rStyle w:val="SubtleEmphasis"/>
        </w:rPr>
        <w:t>MRC Monitoring Tool</w:t>
      </w:r>
      <w:r w:rsidR="00327DC1" w:rsidRPr="00DD2C9F">
        <w:rPr>
          <w:rStyle w:val="SubtleEmphasis"/>
        </w:rPr>
        <w:t xml:space="preserve"> </w:t>
      </w:r>
    </w:p>
    <w:p w14:paraId="56273B78" w14:textId="5BB8ED7E" w:rsidR="00327DC1" w:rsidRPr="00731053" w:rsidRDefault="00327DC1" w:rsidP="00731053">
      <w:pPr>
        <w:rPr>
          <w:rFonts w:cs="Arial"/>
        </w:rPr>
      </w:pPr>
      <w:r w:rsidRPr="00731053">
        <w:rPr>
          <w:rFonts w:cs="Arial"/>
        </w:rPr>
        <w:t xml:space="preserve">The Monitoring Tool measures the quality, content and oversight of the </w:t>
      </w:r>
      <w:r w:rsidR="00D37578" w:rsidRPr="00731053">
        <w:rPr>
          <w:rFonts w:cs="Arial"/>
        </w:rPr>
        <w:t xml:space="preserve">person-centered </w:t>
      </w:r>
      <w:r w:rsidRPr="00731053">
        <w:rPr>
          <w:rFonts w:cs="Arial"/>
        </w:rPr>
        <w:t>service planning process and its implementation. This tool measures how effective the service planning process is in involving the individual, how well the objectives reflect the vision of the individual, whether the services being delivered address both individual needs and goals, whether the services are modified as needs and goals change, and whether</w:t>
      </w:r>
      <w:r w:rsidR="0050156B" w:rsidRPr="00731053">
        <w:rPr>
          <w:rFonts w:cs="Arial"/>
        </w:rPr>
        <w:t xml:space="preserve"> case managers </w:t>
      </w:r>
      <w:r w:rsidRPr="00731053">
        <w:rPr>
          <w:rFonts w:cs="Arial"/>
        </w:rPr>
        <w:t xml:space="preserve">are aware of and addressing issues of concern raised by the individual. Proper implementation of this tool is targeted to ensure optimal </w:t>
      </w:r>
      <w:r w:rsidR="00736EF9" w:rsidRPr="00731053">
        <w:rPr>
          <w:rFonts w:cs="Arial"/>
        </w:rPr>
        <w:t>person-centered</w:t>
      </w:r>
      <w:r w:rsidRPr="00731053">
        <w:rPr>
          <w:rFonts w:cs="Arial"/>
        </w:rPr>
        <w:t xml:space="preserve"> outcomes. </w:t>
      </w:r>
    </w:p>
    <w:p w14:paraId="3A2156DE" w14:textId="189F9D4C" w:rsidR="00731053" w:rsidRPr="00DD2C9F" w:rsidRDefault="00327DC1" w:rsidP="00731053">
      <w:pPr>
        <w:contextualSpacing/>
        <w:rPr>
          <w:rStyle w:val="SubtleEmphasis"/>
        </w:rPr>
      </w:pPr>
      <w:r w:rsidRPr="00DD2C9F">
        <w:rPr>
          <w:rStyle w:val="SubtleEmphasis"/>
        </w:rPr>
        <w:t xml:space="preserve">Residential Monitoring </w:t>
      </w:r>
    </w:p>
    <w:p w14:paraId="2C0E482F" w14:textId="12271373" w:rsidR="00327DC1" w:rsidRPr="00731053" w:rsidRDefault="007E041B" w:rsidP="00731053">
      <w:pPr>
        <w:rPr>
          <w:rFonts w:cs="Arial"/>
        </w:rPr>
      </w:pPr>
      <w:r>
        <w:rPr>
          <w:rFonts w:cs="Arial"/>
        </w:rPr>
        <w:t>MRC staff conduct monthly site visits for all residential providers in connection with routine, in-person case management meetings with participants. As part of these visits, MRC staff utilize a residential monitoring tool that</w:t>
      </w:r>
      <w:r w:rsidR="00327DC1" w:rsidRPr="00731053">
        <w:rPr>
          <w:rFonts w:cs="Arial"/>
        </w:rPr>
        <w:t xml:space="preserve"> assesses provider compliance with all MRC requirements, ensuring that participants are receiving services consistent with their desired goals and objectives as described in their </w:t>
      </w:r>
      <w:r w:rsidR="00CF35A4">
        <w:rPr>
          <w:rFonts w:cs="Arial"/>
        </w:rPr>
        <w:t>p</w:t>
      </w:r>
      <w:r w:rsidR="00327DC1" w:rsidRPr="00731053">
        <w:rPr>
          <w:rFonts w:cs="Arial"/>
        </w:rPr>
        <w:t>erson</w:t>
      </w:r>
      <w:r w:rsidR="00014843">
        <w:rPr>
          <w:rFonts w:cs="Arial"/>
        </w:rPr>
        <w:t>-</w:t>
      </w:r>
      <w:r w:rsidR="00CF35A4">
        <w:rPr>
          <w:rFonts w:cs="Arial"/>
        </w:rPr>
        <w:t>c</w:t>
      </w:r>
      <w:r w:rsidR="00327DC1" w:rsidRPr="00731053">
        <w:rPr>
          <w:rFonts w:cs="Arial"/>
        </w:rPr>
        <w:t xml:space="preserve">entered </w:t>
      </w:r>
      <w:r w:rsidR="00CF35A4">
        <w:rPr>
          <w:rFonts w:cs="Arial"/>
        </w:rPr>
        <w:t>p</w:t>
      </w:r>
      <w:r w:rsidR="00327DC1" w:rsidRPr="00731053">
        <w:rPr>
          <w:rFonts w:cs="Arial"/>
        </w:rPr>
        <w:t>lan. No changes were identified</w:t>
      </w:r>
      <w:r w:rsidR="009E0D81" w:rsidRPr="00731053">
        <w:rPr>
          <w:rFonts w:cs="Arial"/>
        </w:rPr>
        <w:t xml:space="preserve"> as being necessary</w:t>
      </w:r>
      <w:r w:rsidR="00327DC1" w:rsidRPr="00731053">
        <w:rPr>
          <w:rFonts w:cs="Arial"/>
        </w:rPr>
        <w:t xml:space="preserve"> to ensure that this tool reviews appropriate indicators to ensure compliance with Community Rule requirements.</w:t>
      </w:r>
    </w:p>
    <w:p w14:paraId="3AF3FC21" w14:textId="77777777" w:rsidR="00731053" w:rsidRPr="00DD2C9F" w:rsidRDefault="00AA2D80" w:rsidP="00731053">
      <w:pPr>
        <w:contextualSpacing/>
        <w:rPr>
          <w:rStyle w:val="SubtleEmphasis"/>
        </w:rPr>
      </w:pPr>
      <w:r w:rsidRPr="00DD2C9F">
        <w:rPr>
          <w:rStyle w:val="SubtleEmphasis"/>
        </w:rPr>
        <w:t xml:space="preserve">Credentialing </w:t>
      </w:r>
      <w:r w:rsidR="00731053" w:rsidRPr="00DD2C9F">
        <w:rPr>
          <w:rStyle w:val="SubtleEmphasis"/>
        </w:rPr>
        <w:t>process</w:t>
      </w:r>
    </w:p>
    <w:p w14:paraId="3D1C5BA6" w14:textId="5E2C1E36" w:rsidR="00327DC1" w:rsidRDefault="00327DC1" w:rsidP="00731053">
      <w:pPr>
        <w:rPr>
          <w:rFonts w:cs="Arial"/>
        </w:rPr>
      </w:pPr>
      <w:r w:rsidRPr="00DD2C9F">
        <w:rPr>
          <w:rFonts w:cs="Arial"/>
        </w:rPr>
        <w:t xml:space="preserve">The </w:t>
      </w:r>
      <w:r w:rsidR="00AA2D80" w:rsidRPr="00DD2C9F">
        <w:rPr>
          <w:rFonts w:cs="Arial"/>
        </w:rPr>
        <w:t xml:space="preserve">credentialing </w:t>
      </w:r>
      <w:r w:rsidRPr="00DD2C9F">
        <w:rPr>
          <w:rFonts w:cs="Arial"/>
        </w:rPr>
        <w:t>process conducted by UMMS-PNA is the basis for qualifying providers under</w:t>
      </w:r>
      <w:r w:rsidRPr="00731053">
        <w:rPr>
          <w:rFonts w:cs="Arial"/>
        </w:rPr>
        <w:t xml:space="preserve"> the ABI and MFP waivers. As detailed above in the section on provider qualification standards and processes, this process occurs for both initial </w:t>
      </w:r>
      <w:r w:rsidR="00AA2D80">
        <w:rPr>
          <w:rFonts w:cs="Arial"/>
        </w:rPr>
        <w:t>qualification</w:t>
      </w:r>
      <w:r w:rsidR="00AA2D80" w:rsidRPr="00731053">
        <w:rPr>
          <w:rFonts w:cs="Arial"/>
        </w:rPr>
        <w:t xml:space="preserve"> </w:t>
      </w:r>
      <w:r w:rsidRPr="00731053">
        <w:rPr>
          <w:rFonts w:cs="Arial"/>
        </w:rPr>
        <w:t xml:space="preserve">of a provider for a specific waiver </w:t>
      </w:r>
      <w:r w:rsidRPr="00731053">
        <w:rPr>
          <w:rFonts w:cs="Arial"/>
        </w:rPr>
        <w:lastRenderedPageBreak/>
        <w:t xml:space="preserve">service as well as annually thereafter to ensure continued qualification for these services. The annual </w:t>
      </w:r>
      <w:r w:rsidR="00AA2D80">
        <w:rPr>
          <w:rFonts w:cs="Arial"/>
        </w:rPr>
        <w:t>credentialing</w:t>
      </w:r>
      <w:r w:rsidR="00AA2D80" w:rsidRPr="00731053">
        <w:rPr>
          <w:rFonts w:cs="Arial"/>
        </w:rPr>
        <w:t xml:space="preserve"> </w:t>
      </w:r>
      <w:r w:rsidRPr="00731053">
        <w:rPr>
          <w:rFonts w:cs="Arial"/>
        </w:rPr>
        <w:t>visits are conducted by MRC agency staff.</w:t>
      </w:r>
    </w:p>
    <w:p w14:paraId="03F4CB19" w14:textId="77777777" w:rsidR="00731053" w:rsidRPr="00DD2C9F" w:rsidRDefault="00731053" w:rsidP="00731053">
      <w:pPr>
        <w:contextualSpacing/>
        <w:rPr>
          <w:rStyle w:val="SubtleEmphasis"/>
        </w:rPr>
      </w:pPr>
      <w:r w:rsidRPr="00DD2C9F">
        <w:rPr>
          <w:rStyle w:val="SubtleEmphasis"/>
        </w:rPr>
        <w:t>Incident reporting</w:t>
      </w:r>
    </w:p>
    <w:p w14:paraId="61201EC0" w14:textId="1D0CAD09" w:rsidR="00327DC1" w:rsidRDefault="00327DC1" w:rsidP="00731053">
      <w:pPr>
        <w:rPr>
          <w:rFonts w:cs="Arial"/>
        </w:rPr>
      </w:pPr>
      <w:r w:rsidRPr="00731053">
        <w:rPr>
          <w:rFonts w:cs="Arial"/>
        </w:rPr>
        <w:t>MRC uses access to a web-based incident reporting and management system, HCSIS, for two of its referenced waivers, ABI-N and MFP-CL. This incident reporting system is the result of a collaborative interagency project that leveraged and expanded the functionality of DDS’s robust incident management system used with other HCBS waivers</w:t>
      </w:r>
      <w:r w:rsidR="009E0D81" w:rsidRPr="00731053">
        <w:rPr>
          <w:rFonts w:cs="Arial"/>
        </w:rPr>
        <w:t xml:space="preserve"> that are operated by DDS</w:t>
      </w:r>
      <w:r w:rsidRPr="00731053">
        <w:rPr>
          <w:rFonts w:cs="Arial"/>
        </w:rPr>
        <w:t>. For TBI waiver participants, a separate incident reporting system is maintained but with a nearly identical incident reporting tool</w:t>
      </w:r>
      <w:r w:rsidR="009E0D81" w:rsidRPr="00731053">
        <w:rPr>
          <w:rFonts w:cs="Arial"/>
        </w:rPr>
        <w:t xml:space="preserve"> and requirements</w:t>
      </w:r>
      <w:r w:rsidRPr="00731053">
        <w:rPr>
          <w:rFonts w:cs="Arial"/>
        </w:rPr>
        <w:t xml:space="preserve">. In both systems, the provider must report specific details regarding the incident as well as what actions they took to protect the health and safety of the individual and what additional </w:t>
      </w:r>
      <w:r w:rsidR="00616920" w:rsidRPr="00731053">
        <w:rPr>
          <w:rFonts w:cs="Arial"/>
        </w:rPr>
        <w:t>long-range</w:t>
      </w:r>
      <w:r w:rsidRPr="00731053">
        <w:rPr>
          <w:rFonts w:cs="Arial"/>
        </w:rPr>
        <w:t xml:space="preserve"> actions they may take. Aggregate information from both systems is reviewed and analyzed and forms the basis for service improvement targets.</w:t>
      </w:r>
    </w:p>
    <w:p w14:paraId="28488D15" w14:textId="77777777" w:rsidR="00731053" w:rsidRPr="00DD2C9F" w:rsidRDefault="00327DC1" w:rsidP="00731053">
      <w:pPr>
        <w:contextualSpacing/>
        <w:rPr>
          <w:rStyle w:val="SubtleEmphasis"/>
        </w:rPr>
      </w:pPr>
      <w:r w:rsidRPr="00DD2C9F">
        <w:rPr>
          <w:rStyle w:val="SubtleEmphasis"/>
        </w:rPr>
        <w:t>Site feasibility</w:t>
      </w:r>
    </w:p>
    <w:p w14:paraId="02593699" w14:textId="528235E2" w:rsidR="00327DC1" w:rsidRDefault="00327DC1" w:rsidP="00731053">
      <w:pPr>
        <w:rPr>
          <w:rFonts w:cs="Arial"/>
        </w:rPr>
      </w:pPr>
      <w:r w:rsidRPr="00731053">
        <w:rPr>
          <w:rFonts w:cs="Arial"/>
        </w:rPr>
        <w:t>Providers intending to serve individuals in site-based settings must have any proposed sites reviewed by MRC staff for their feasibility to provide the necessary physical site requirements for the individual</w:t>
      </w:r>
      <w:r w:rsidR="00D37578" w:rsidRPr="00731053">
        <w:rPr>
          <w:rFonts w:cs="Arial"/>
        </w:rPr>
        <w:t xml:space="preserve"> participants</w:t>
      </w:r>
      <w:r w:rsidRPr="00731053">
        <w:rPr>
          <w:rFonts w:cs="Arial"/>
        </w:rPr>
        <w:t xml:space="preserve">. Prior to serving any </w:t>
      </w:r>
      <w:r w:rsidR="00D37578" w:rsidRPr="00731053">
        <w:rPr>
          <w:rFonts w:cs="Arial"/>
        </w:rPr>
        <w:t xml:space="preserve">participant </w:t>
      </w:r>
      <w:r w:rsidRPr="00731053">
        <w:rPr>
          <w:rFonts w:cs="Arial"/>
        </w:rPr>
        <w:t xml:space="preserve">in a </w:t>
      </w:r>
      <w:r w:rsidR="003C1C7B" w:rsidRPr="00731053">
        <w:rPr>
          <w:rFonts w:cs="Arial"/>
        </w:rPr>
        <w:t xml:space="preserve">residential, </w:t>
      </w:r>
      <w:r w:rsidRPr="00731053">
        <w:rPr>
          <w:rFonts w:cs="Arial"/>
        </w:rPr>
        <w:t xml:space="preserve">day or </w:t>
      </w:r>
      <w:r w:rsidR="00D37578" w:rsidRPr="00731053">
        <w:rPr>
          <w:rFonts w:cs="Arial"/>
        </w:rPr>
        <w:t xml:space="preserve">employment </w:t>
      </w:r>
      <w:r w:rsidRPr="00731053">
        <w:rPr>
          <w:rFonts w:cs="Arial"/>
        </w:rPr>
        <w:t>site, review of the location is conducted to ensure that all necessary safeguards are in place and the location can be approved for occupancy. These safeguards include accessibility issues, so ongoing compliance with certain aspects of the Community Rule will be monitored for new providers and settings.</w:t>
      </w:r>
    </w:p>
    <w:p w14:paraId="052294E5" w14:textId="77777777" w:rsidR="005A7DFD" w:rsidRPr="00A37881" w:rsidRDefault="005A7DFD" w:rsidP="00DB3B96">
      <w:pPr>
        <w:spacing w:after="0"/>
        <w:rPr>
          <w:rStyle w:val="SubtleEmphasis"/>
        </w:rPr>
      </w:pPr>
      <w:r w:rsidRPr="00A37881">
        <w:rPr>
          <w:rStyle w:val="SubtleEmphasis"/>
        </w:rPr>
        <w:t xml:space="preserve">Adult Foster Care </w:t>
      </w:r>
    </w:p>
    <w:p w14:paraId="1AB6B5DD" w14:textId="3BA6533C" w:rsidR="005A7DFD" w:rsidRPr="00030CCB" w:rsidRDefault="005A7DFD" w:rsidP="00DB3B96">
      <w:pPr>
        <w:spacing w:after="0"/>
      </w:pPr>
      <w:r w:rsidRPr="00030CCB">
        <w:t xml:space="preserve">By March </w:t>
      </w:r>
      <w:r w:rsidR="007D5F8B">
        <w:t xml:space="preserve">17, </w:t>
      </w:r>
      <w:r w:rsidRPr="00030CCB">
        <w:t xml:space="preserve">2023, AFC providers will </w:t>
      </w:r>
      <w:proofErr w:type="spellStart"/>
      <w:r w:rsidR="00D86D59">
        <w:t>ensurethat</w:t>
      </w:r>
      <w:proofErr w:type="spellEnd"/>
      <w:r w:rsidR="00D86D59">
        <w:t xml:space="preserve"> AFC caregivers and AFC members </w:t>
      </w:r>
      <w:r w:rsidRPr="00030CCB">
        <w:t xml:space="preserve">have completed </w:t>
      </w:r>
      <w:r w:rsidR="00D86D59">
        <w:t>the required joint Attestation form</w:t>
      </w:r>
      <w:r w:rsidR="00533C6C">
        <w:t>,</w:t>
      </w:r>
      <w:r w:rsidR="00D86D59">
        <w:t xml:space="preserve"> </w:t>
      </w:r>
      <w:r w:rsidRPr="00030CCB">
        <w:t xml:space="preserve">and executed </w:t>
      </w:r>
      <w:r w:rsidR="00533C6C">
        <w:t xml:space="preserve">lease </w:t>
      </w:r>
      <w:r w:rsidRPr="00030CCB">
        <w:t>agreements</w:t>
      </w:r>
      <w:r w:rsidR="00533C6C">
        <w:t xml:space="preserve"> where necessary,</w:t>
      </w:r>
      <w:r w:rsidRPr="00030CCB">
        <w:t xml:space="preserve"> </w:t>
      </w:r>
      <w:r w:rsidR="00533C6C">
        <w:t>for</w:t>
      </w:r>
      <w:r w:rsidR="00533C6C" w:rsidRPr="00030CCB">
        <w:t xml:space="preserve"> </w:t>
      </w:r>
      <w:r w:rsidR="00BC0AD5">
        <w:t xml:space="preserve">HCBS waiver </w:t>
      </w:r>
      <w:r w:rsidRPr="00030CCB">
        <w:t xml:space="preserve">participants </w:t>
      </w:r>
      <w:r>
        <w:t xml:space="preserve">whose residential settings are subject to the community rule </w:t>
      </w:r>
      <w:r w:rsidRPr="00030CCB">
        <w:t xml:space="preserve">and </w:t>
      </w:r>
      <w:r>
        <w:t>will</w:t>
      </w:r>
      <w:r w:rsidRPr="00030CCB">
        <w:t xml:space="preserve"> continue to do so as a matter of practice. </w:t>
      </w:r>
      <w:r w:rsidR="00CC6F1E">
        <w:t xml:space="preserve"> </w:t>
      </w:r>
      <w:r w:rsidR="00CC6F1E" w:rsidRPr="00CC6F1E">
        <w:t xml:space="preserve">MassHealth </w:t>
      </w:r>
      <w:r w:rsidR="00533C6C">
        <w:t xml:space="preserve">or the </w:t>
      </w:r>
      <w:r w:rsidR="009C2CAC">
        <w:t xml:space="preserve">LTSS TPA </w:t>
      </w:r>
      <w:r w:rsidR="00CC6F1E" w:rsidRPr="00CC6F1E">
        <w:t xml:space="preserve">will conduct </w:t>
      </w:r>
      <w:r w:rsidR="009C2CAC">
        <w:t>site visits</w:t>
      </w:r>
      <w:r w:rsidR="00CC6F1E" w:rsidRPr="00CC6F1E">
        <w:t xml:space="preserve"> for a sample of AFC members who are HCBS Waiver participants residing in the home of an unrelated caregiver as an additional layer of ongoing monitoring and oversight to ensure compliance of AFC settings with the Community Rule.</w:t>
      </w:r>
    </w:p>
    <w:p w14:paraId="656F97E2" w14:textId="77777777" w:rsidR="005A7DFD" w:rsidRPr="00731053" w:rsidRDefault="005A7DFD" w:rsidP="00731053">
      <w:pPr>
        <w:rPr>
          <w:rFonts w:cs="Arial"/>
        </w:rPr>
      </w:pPr>
    </w:p>
    <w:p w14:paraId="33904880" w14:textId="77777777" w:rsidR="00327DC1" w:rsidRPr="00122579" w:rsidRDefault="00327DC1" w:rsidP="00122579">
      <w:pPr>
        <w:pStyle w:val="Heading3"/>
        <w:rPr>
          <w:rStyle w:val="Strong"/>
          <w:rFonts w:cs="Arial"/>
          <w:b/>
          <w:bCs w:val="0"/>
          <w:sz w:val="26"/>
          <w:szCs w:val="26"/>
        </w:rPr>
      </w:pPr>
      <w:r w:rsidRPr="00122579">
        <w:rPr>
          <w:rStyle w:val="Strong"/>
          <w:rFonts w:cs="Arial"/>
          <w:b/>
          <w:sz w:val="26"/>
          <w:szCs w:val="26"/>
        </w:rPr>
        <w:t>C.  Waiver operated by the Executive Office of Elder Affairs (EOEA)</w:t>
      </w:r>
    </w:p>
    <w:p w14:paraId="413A23D4" w14:textId="35B26945" w:rsidR="00327DC1" w:rsidRPr="00B11E60" w:rsidRDefault="00327DC1" w:rsidP="00327DC1">
      <w:pPr>
        <w:rPr>
          <w:rFonts w:cs="Arial"/>
        </w:rPr>
      </w:pPr>
      <w:r w:rsidRPr="00B11E60">
        <w:rPr>
          <w:rFonts w:cs="Arial"/>
        </w:rPr>
        <w:t>The Executive office of Elder Affairs (EOEA) is the Massachusetts state agency responsible for helping to support elders in the Commonwealth to live independently and with dignity in the settings of their choice. EOEA is the operating agency for the state’s 1915(c) Frail Elder Waiver (FEW). This waiver does not include services intended to provide 24/7 care or supervision to participants, such as residential group homes, assisted living residences, or other such settings. Rather, the goal of the FEW is to support elders’ abilities to age</w:t>
      </w:r>
      <w:r w:rsidR="00910C9E">
        <w:rPr>
          <w:rFonts w:cs="Arial"/>
        </w:rPr>
        <w:t xml:space="preserve"> </w:t>
      </w:r>
      <w:r w:rsidRPr="00B11E60">
        <w:rPr>
          <w:rFonts w:cs="Arial"/>
        </w:rPr>
        <w:t>in</w:t>
      </w:r>
      <w:r w:rsidR="00910C9E">
        <w:rPr>
          <w:rFonts w:cs="Arial"/>
        </w:rPr>
        <w:t xml:space="preserve"> </w:t>
      </w:r>
      <w:r w:rsidRPr="00B11E60">
        <w:rPr>
          <w:rFonts w:cs="Arial"/>
        </w:rPr>
        <w:t xml:space="preserve">place, in the community settings of their choice, including one’s own private home or apartment or family home. To support this overarching goal, FEW services are provided to participants who typically reside in the community in their own private home or apartment or in a private family home. </w:t>
      </w:r>
      <w:proofErr w:type="gramStart"/>
      <w:r w:rsidRPr="00B11E60">
        <w:rPr>
          <w:rFonts w:cs="Arial"/>
        </w:rPr>
        <w:t>With the exception of</w:t>
      </w:r>
      <w:proofErr w:type="gramEnd"/>
      <w:r w:rsidRPr="00B11E60">
        <w:rPr>
          <w:rFonts w:cs="Arial"/>
        </w:rPr>
        <w:t xml:space="preserve"> </w:t>
      </w:r>
      <w:r w:rsidR="00492B90">
        <w:rPr>
          <w:rFonts w:cs="Arial"/>
        </w:rPr>
        <w:t xml:space="preserve">the following </w:t>
      </w:r>
      <w:r w:rsidRPr="00B11E60">
        <w:rPr>
          <w:rFonts w:cs="Arial"/>
        </w:rPr>
        <w:t>waiver services</w:t>
      </w:r>
      <w:r w:rsidR="00492B90">
        <w:rPr>
          <w:rFonts w:cs="Arial"/>
        </w:rPr>
        <w:t>:</w:t>
      </w:r>
      <w:r w:rsidRPr="00B11E60">
        <w:rPr>
          <w:rFonts w:cs="Arial"/>
        </w:rPr>
        <w:t xml:space="preserve"> Supportive Day Program services, transportation, </w:t>
      </w:r>
      <w:r w:rsidRPr="00B11E60">
        <w:rPr>
          <w:rFonts w:cs="Arial"/>
        </w:rPr>
        <w:lastRenderedPageBreak/>
        <w:t xml:space="preserve">and respite services, all other FEW services are delivered in a participant’s home </w:t>
      </w:r>
      <w:r w:rsidR="00136CC5">
        <w:rPr>
          <w:rFonts w:cs="Arial"/>
        </w:rPr>
        <w:t>which the state considers</w:t>
      </w:r>
      <w:r w:rsidRPr="00B11E60">
        <w:rPr>
          <w:rFonts w:cs="Arial"/>
        </w:rPr>
        <w:t xml:space="preserve"> fully compliant with the Community Rule. </w:t>
      </w:r>
      <w:r w:rsidR="00492B90">
        <w:rPr>
          <w:rFonts w:cs="Arial"/>
        </w:rPr>
        <w:t xml:space="preserve">In addition, </w:t>
      </w:r>
      <w:proofErr w:type="gramStart"/>
      <w:r w:rsidR="00492B90">
        <w:rPr>
          <w:rFonts w:cs="Arial"/>
        </w:rPr>
        <w:t>in an effort to</w:t>
      </w:r>
      <w:proofErr w:type="gramEnd"/>
      <w:r w:rsidR="00492B90">
        <w:rPr>
          <w:rFonts w:cs="Arial"/>
        </w:rPr>
        <w:t xml:space="preserve"> demonstrate full commitment to the Community Rule, the state notes that FEW participants may reside, based on their personal choice, in congregate housing settings. </w:t>
      </w:r>
      <w:r w:rsidRPr="00B11E60">
        <w:rPr>
          <w:rFonts w:cs="Arial"/>
        </w:rPr>
        <w:t xml:space="preserve">The transition plan for the FEW, therefore, addresses EOEA’s review of elder Supportive Day Program settings as well as certain congregate housing settings in which a small number of FEW participants live. (While there is no specific “congregate housing” or “congregate” </w:t>
      </w:r>
      <w:r w:rsidR="00492B90">
        <w:rPr>
          <w:rFonts w:cs="Arial"/>
        </w:rPr>
        <w:t>waiver</w:t>
      </w:r>
      <w:r w:rsidR="00492B90" w:rsidRPr="00B11E60">
        <w:rPr>
          <w:rFonts w:cs="Arial"/>
        </w:rPr>
        <w:t xml:space="preserve"> </w:t>
      </w:r>
      <w:r w:rsidRPr="00B11E60">
        <w:rPr>
          <w:rFonts w:cs="Arial"/>
        </w:rPr>
        <w:t>service, participants who reside in such a setting may receive FEW services in their homes; therefore, the state reviewed these spec</w:t>
      </w:r>
      <w:r w:rsidR="00892708">
        <w:rPr>
          <w:rFonts w:cs="Arial"/>
        </w:rPr>
        <w:t>ific settings for compliance.)</w:t>
      </w:r>
      <w:r w:rsidR="00C70DCF">
        <w:rPr>
          <w:rFonts w:cs="Arial"/>
        </w:rPr>
        <w:t xml:space="preserve"> </w:t>
      </w:r>
    </w:p>
    <w:p w14:paraId="6E7D57E0" w14:textId="77777777" w:rsidR="00327DC1" w:rsidRPr="00B11E60" w:rsidRDefault="00327DC1" w:rsidP="00327DC1">
      <w:pPr>
        <w:rPr>
          <w:rFonts w:cs="Arial"/>
        </w:rPr>
      </w:pPr>
      <w:r w:rsidRPr="00B11E60">
        <w:rPr>
          <w:rFonts w:cs="Arial"/>
        </w:rPr>
        <w:t xml:space="preserve">The </w:t>
      </w:r>
      <w:proofErr w:type="gramStart"/>
      <w:r w:rsidRPr="00B11E60">
        <w:rPr>
          <w:rFonts w:cs="Arial"/>
        </w:rPr>
        <w:t>basic foundation</w:t>
      </w:r>
      <w:proofErr w:type="gramEnd"/>
      <w:r w:rsidRPr="00B11E60">
        <w:rPr>
          <w:rFonts w:cs="Arial"/>
        </w:rPr>
        <w:t xml:space="preserve"> of </w:t>
      </w:r>
      <w:r w:rsidR="00492B90">
        <w:rPr>
          <w:rFonts w:cs="Arial"/>
        </w:rPr>
        <w:t>the state’s</w:t>
      </w:r>
      <w:r w:rsidR="00492B90" w:rsidRPr="00B11E60">
        <w:rPr>
          <w:rFonts w:cs="Arial"/>
        </w:rPr>
        <w:t xml:space="preserve"> </w:t>
      </w:r>
      <w:r w:rsidRPr="00B11E60">
        <w:rPr>
          <w:rFonts w:cs="Arial"/>
        </w:rPr>
        <w:t xml:space="preserve">administration of the Frail Elder Waiver is the state law that establishes </w:t>
      </w:r>
      <w:r w:rsidR="00492B90">
        <w:rPr>
          <w:rFonts w:cs="Arial"/>
        </w:rPr>
        <w:t>EOEA</w:t>
      </w:r>
      <w:r w:rsidRPr="00B11E60">
        <w:rPr>
          <w:rFonts w:cs="Arial"/>
        </w:rPr>
        <w:t xml:space="preserve">’s responsibility to implement the elder Home Care Program, which in its focus on independence and community-based programming is aligned well with the Community Rule. Specifically, M.G.L. c. 19A § 4 provides that EOEA “shall be the principal agency of the Commonwealth to mobilize the human, physical, and financial resources available to plan, develop, and implement innovative programs </w:t>
      </w:r>
      <w:r w:rsidRPr="00B11E60">
        <w:rPr>
          <w:rFonts w:cs="Arial"/>
          <w:i/>
        </w:rPr>
        <w:t>to insure</w:t>
      </w:r>
      <w:r>
        <w:rPr>
          <w:rFonts w:cs="Arial"/>
          <w:i/>
        </w:rPr>
        <w:t xml:space="preserve"> </w:t>
      </w:r>
      <w:r w:rsidRPr="00977744">
        <w:rPr>
          <w:rFonts w:cs="Arial"/>
        </w:rPr>
        <w:t>[sic]</w:t>
      </w:r>
      <w:r w:rsidRPr="00B11E60">
        <w:rPr>
          <w:rFonts w:cs="Arial"/>
          <w:i/>
        </w:rPr>
        <w:t xml:space="preserve"> the dignity and independence of elders</w:t>
      </w:r>
      <w:r w:rsidRPr="00B11E60">
        <w:rPr>
          <w:rFonts w:cs="Arial"/>
        </w:rPr>
        <w:t xml:space="preserve">, including the planning, development, and implementation of a Home Care program for the elderly </w:t>
      </w:r>
      <w:r w:rsidRPr="00B11E60">
        <w:rPr>
          <w:rFonts w:cs="Arial"/>
          <w:i/>
        </w:rPr>
        <w:t>in the communities of the Commonwealth</w:t>
      </w:r>
      <w:r w:rsidRPr="00B11E60">
        <w:rPr>
          <w:rFonts w:cs="Arial"/>
        </w:rPr>
        <w:t>.” (</w:t>
      </w:r>
      <w:proofErr w:type="gramStart"/>
      <w:r w:rsidRPr="00B11E60">
        <w:rPr>
          <w:rFonts w:cs="Arial"/>
          <w:i/>
        </w:rPr>
        <w:t>emphasis</w:t>
      </w:r>
      <w:proofErr w:type="gramEnd"/>
      <w:r w:rsidRPr="00B11E60">
        <w:rPr>
          <w:rFonts w:cs="Arial"/>
          <w:i/>
        </w:rPr>
        <w:t xml:space="preserve"> added</w:t>
      </w:r>
      <w:r w:rsidRPr="00B11E60">
        <w:rPr>
          <w:rFonts w:cs="Arial"/>
        </w:rPr>
        <w:t>)</w:t>
      </w:r>
    </w:p>
    <w:p w14:paraId="59A120BD" w14:textId="77777777" w:rsidR="00EF6B1A" w:rsidRPr="00B11E60" w:rsidRDefault="00327DC1" w:rsidP="00327DC1">
      <w:pPr>
        <w:rPr>
          <w:rFonts w:cs="Arial"/>
        </w:rPr>
      </w:pPr>
      <w:r w:rsidRPr="00B11E60">
        <w:rPr>
          <w:rFonts w:cs="Arial"/>
        </w:rPr>
        <w:t xml:space="preserve">In the context of this state law, EOEA administers the Frail Elder Waiver pursuant to the approved 1915(c) waiver application and in accordance with EOEA Home Care Program Regulations and additional sub-regulatory guidance. The systemic review process for the Frail Elder Waiver’s compliance with the Community Rule evaluated each of these areas and is described below; see </w:t>
      </w:r>
      <w:r w:rsidR="00EF6B1A">
        <w:rPr>
          <w:rFonts w:cs="Arial"/>
        </w:rPr>
        <w:t>Table 1. Regulatory Crosswalk for additional detail.</w:t>
      </w:r>
    </w:p>
    <w:p w14:paraId="1571CFF3" w14:textId="6DA7C9A2" w:rsidR="00327DC1" w:rsidRPr="00AE064A" w:rsidRDefault="008C295F" w:rsidP="00144BE9">
      <w:pPr>
        <w:pStyle w:val="Heading3"/>
      </w:pPr>
      <w:r>
        <w:t xml:space="preserve">1. </w:t>
      </w:r>
      <w:r w:rsidR="00AF005E" w:rsidRPr="00AE064A">
        <w:t xml:space="preserve">EOEA </w:t>
      </w:r>
      <w:r w:rsidR="00327DC1" w:rsidRPr="00AE064A">
        <w:t xml:space="preserve">Regulations </w:t>
      </w:r>
      <w:r w:rsidR="00DB52E3" w:rsidRPr="00AE064A">
        <w:t>(See Table 1</w:t>
      </w:r>
      <w:r w:rsidR="00EF6B1A" w:rsidRPr="00AE064A">
        <w:t>.</w:t>
      </w:r>
      <w:r w:rsidR="00DB52E3" w:rsidRPr="00AE064A">
        <w:t xml:space="preserve"> Regulatory Crosswalk)</w:t>
      </w:r>
    </w:p>
    <w:p w14:paraId="4A435639" w14:textId="77777777" w:rsidR="00327DC1" w:rsidRPr="00B11E60" w:rsidRDefault="00327DC1" w:rsidP="00327DC1">
      <w:pPr>
        <w:rPr>
          <w:rFonts w:cs="Arial"/>
        </w:rPr>
      </w:pPr>
      <w:r w:rsidRPr="00B11E60">
        <w:rPr>
          <w:rFonts w:cs="Arial"/>
        </w:rPr>
        <w:t xml:space="preserve">The Frail Elder Waiver is administered pursuant to EOEA’s Home Care Program regulations (651 CMR 3.00 </w:t>
      </w:r>
      <w:r w:rsidRPr="00B11E60">
        <w:rPr>
          <w:rFonts w:cs="Arial"/>
          <w:i/>
        </w:rPr>
        <w:t>et seq</w:t>
      </w:r>
      <w:r w:rsidR="00616920">
        <w:rPr>
          <w:rFonts w:cs="Arial"/>
          <w:i/>
        </w:rPr>
        <w:t>.</w:t>
      </w:r>
      <w:r w:rsidRPr="00B11E60">
        <w:rPr>
          <w:rFonts w:cs="Arial"/>
        </w:rPr>
        <w:t xml:space="preserve">), which set forth requirements for EOEA in the administration of the Home Care Program, as well as the functions and responsibilities of EOEA’s </w:t>
      </w:r>
      <w:r w:rsidR="00BB618E">
        <w:rPr>
          <w:rFonts w:cs="Arial"/>
        </w:rPr>
        <w:t>agents</w:t>
      </w:r>
      <w:r w:rsidR="00BB618E" w:rsidRPr="00B11E60">
        <w:rPr>
          <w:rFonts w:cs="Arial"/>
        </w:rPr>
        <w:t xml:space="preserve"> </w:t>
      </w:r>
      <w:r w:rsidRPr="00B11E60">
        <w:rPr>
          <w:rFonts w:cs="Arial"/>
        </w:rPr>
        <w:t>(Aging Service</w:t>
      </w:r>
      <w:r w:rsidR="00910C9E">
        <w:rPr>
          <w:rFonts w:cs="Arial"/>
        </w:rPr>
        <w:t>s</w:t>
      </w:r>
      <w:r w:rsidRPr="00B11E60">
        <w:rPr>
          <w:rFonts w:cs="Arial"/>
        </w:rPr>
        <w:t xml:space="preserve"> Ac</w:t>
      </w:r>
      <w:r>
        <w:rPr>
          <w:rFonts w:cs="Arial"/>
        </w:rPr>
        <w:t xml:space="preserve">cess Points, </w:t>
      </w:r>
      <w:r w:rsidR="00BB618E">
        <w:rPr>
          <w:rFonts w:cs="Arial"/>
        </w:rPr>
        <w:t xml:space="preserve">or “ASAPs,” </w:t>
      </w:r>
      <w:r>
        <w:rPr>
          <w:rFonts w:cs="Arial"/>
        </w:rPr>
        <w:t xml:space="preserve">described below under </w:t>
      </w:r>
      <w:r w:rsidRPr="00B11E60">
        <w:rPr>
          <w:rFonts w:cs="Arial"/>
        </w:rPr>
        <w:t xml:space="preserve">Policies and Procedures). Our review of these regulations focused on the standards and requirements outlined in the CMS Community Rule. The Commonwealth determined that EOEA’s Home Care Program regulations, as they apply to administration of the FEW, are fully compliant with the Community Rule. </w:t>
      </w:r>
    </w:p>
    <w:p w14:paraId="144FA459" w14:textId="5BF40C71" w:rsidR="00327DC1" w:rsidRPr="00AE064A" w:rsidRDefault="008C295F" w:rsidP="00144BE9">
      <w:pPr>
        <w:pStyle w:val="Heading3"/>
      </w:pPr>
      <w:r>
        <w:t xml:space="preserve">2. </w:t>
      </w:r>
      <w:r w:rsidR="00327DC1" w:rsidRPr="00AE064A">
        <w:t>P</w:t>
      </w:r>
      <w:r w:rsidR="00DB52E3" w:rsidRPr="00AE064A">
        <w:t>olicies and procedures</w:t>
      </w:r>
    </w:p>
    <w:p w14:paraId="4E60A36D" w14:textId="52844874" w:rsidR="00327DC1" w:rsidRPr="00B11E60" w:rsidRDefault="00136CC5" w:rsidP="00014843">
      <w:pPr>
        <w:rPr>
          <w:rFonts w:cs="Arial"/>
        </w:rPr>
      </w:pPr>
      <w:r>
        <w:rPr>
          <w:rFonts w:cs="Arial"/>
        </w:rPr>
        <w:t xml:space="preserve">EOEA contracts with a </w:t>
      </w:r>
      <w:proofErr w:type="gramStart"/>
      <w:r>
        <w:rPr>
          <w:rFonts w:cs="Arial"/>
        </w:rPr>
        <w:t>geographically-based</w:t>
      </w:r>
      <w:proofErr w:type="gramEnd"/>
      <w:r>
        <w:rPr>
          <w:rFonts w:cs="Arial"/>
        </w:rPr>
        <w:t xml:space="preserve"> network of Aging Services Access Points (ASAPs) through a procurement process. The ASAPs provide </w:t>
      </w:r>
      <w:r w:rsidR="00327DC1" w:rsidRPr="00B11E60">
        <w:rPr>
          <w:rFonts w:cs="Arial"/>
        </w:rPr>
        <w:t xml:space="preserve">comprehensive </w:t>
      </w:r>
      <w:r w:rsidR="009A0DC3" w:rsidRPr="00B11E60">
        <w:rPr>
          <w:rFonts w:cs="Arial"/>
        </w:rPr>
        <w:t>Protective Services</w:t>
      </w:r>
      <w:r w:rsidR="009A0DC3">
        <w:rPr>
          <w:rFonts w:cs="Arial"/>
        </w:rPr>
        <w:t xml:space="preserve"> and</w:t>
      </w:r>
      <w:r w:rsidR="009A0DC3" w:rsidRPr="00B11E60">
        <w:rPr>
          <w:rFonts w:cs="Arial"/>
        </w:rPr>
        <w:t xml:space="preserve"> </w:t>
      </w:r>
      <w:r w:rsidR="00327DC1" w:rsidRPr="00B11E60">
        <w:rPr>
          <w:rFonts w:cs="Arial"/>
        </w:rPr>
        <w:t>Information and Referral</w:t>
      </w:r>
      <w:r w:rsidR="009A0DC3">
        <w:rPr>
          <w:rFonts w:cs="Arial"/>
        </w:rPr>
        <w:t xml:space="preserve"> services</w:t>
      </w:r>
      <w:r w:rsidR="00327DC1" w:rsidRPr="00B11E60">
        <w:rPr>
          <w:rFonts w:cs="Arial"/>
        </w:rPr>
        <w:t xml:space="preserve">, </w:t>
      </w:r>
      <w:r w:rsidR="009A0DC3">
        <w:rPr>
          <w:rFonts w:cs="Arial"/>
        </w:rPr>
        <w:t xml:space="preserve">as well as coordinate </w:t>
      </w:r>
      <w:r w:rsidR="00327DC1" w:rsidRPr="00B11E60">
        <w:rPr>
          <w:rFonts w:cs="Arial"/>
        </w:rPr>
        <w:t xml:space="preserve">Home Care, </w:t>
      </w:r>
      <w:r w:rsidR="009A0DC3">
        <w:rPr>
          <w:rFonts w:cs="Arial"/>
        </w:rPr>
        <w:t>for</w:t>
      </w:r>
      <w:r w:rsidR="009A0DC3" w:rsidRPr="00B11E60">
        <w:rPr>
          <w:rFonts w:cs="Arial"/>
        </w:rPr>
        <w:t xml:space="preserve"> </w:t>
      </w:r>
      <w:r w:rsidR="00327DC1" w:rsidRPr="00B11E60">
        <w:rPr>
          <w:rFonts w:cs="Arial"/>
        </w:rPr>
        <w:t xml:space="preserve">Massachusetts elders. In conjunction with the EOEA Home Care Program regulations described above, </w:t>
      </w:r>
      <w:r w:rsidR="00555D2D">
        <w:rPr>
          <w:rFonts w:cs="Arial"/>
        </w:rPr>
        <w:t>s</w:t>
      </w:r>
      <w:r w:rsidR="00327DC1" w:rsidRPr="00B11E60">
        <w:rPr>
          <w:rFonts w:cs="Arial"/>
        </w:rPr>
        <w:t xml:space="preserve">ection </w:t>
      </w:r>
      <w:r w:rsidR="005B6EFB">
        <w:rPr>
          <w:rFonts w:cs="Arial"/>
        </w:rPr>
        <w:t>3.5</w:t>
      </w:r>
      <w:r w:rsidR="00555D2D">
        <w:rPr>
          <w:rFonts w:cs="Arial"/>
        </w:rPr>
        <w:t xml:space="preserve"> </w:t>
      </w:r>
      <w:r w:rsidR="00956A51">
        <w:rPr>
          <w:rFonts w:cs="Arial"/>
        </w:rPr>
        <w:t>(</w:t>
      </w:r>
      <w:r w:rsidR="00FA544A">
        <w:rPr>
          <w:rFonts w:cs="Arial"/>
        </w:rPr>
        <w:t>c</w:t>
      </w:r>
      <w:r w:rsidR="00327DC1" w:rsidRPr="00B11E60">
        <w:rPr>
          <w:rFonts w:cs="Arial"/>
        </w:rPr>
        <w:t xml:space="preserve">ontract </w:t>
      </w:r>
      <w:r w:rsidR="00FA544A">
        <w:rPr>
          <w:rFonts w:cs="Arial"/>
        </w:rPr>
        <w:t>m</w:t>
      </w:r>
      <w:r w:rsidR="00327DC1" w:rsidRPr="00B11E60">
        <w:rPr>
          <w:rFonts w:cs="Arial"/>
        </w:rPr>
        <w:t>anagement</w:t>
      </w:r>
      <w:r w:rsidR="00555D2D">
        <w:rPr>
          <w:rFonts w:cs="Arial"/>
        </w:rPr>
        <w:t>)</w:t>
      </w:r>
      <w:r w:rsidR="00327DC1" w:rsidRPr="00B11E60">
        <w:rPr>
          <w:rFonts w:cs="Arial"/>
        </w:rPr>
        <w:t xml:space="preserve"> of the </w:t>
      </w:r>
      <w:r w:rsidR="005B6EFB">
        <w:rPr>
          <w:rFonts w:cs="Arial"/>
        </w:rPr>
        <w:t>ASAP</w:t>
      </w:r>
      <w:r w:rsidR="00555D2D">
        <w:rPr>
          <w:rFonts w:cs="Arial"/>
        </w:rPr>
        <w:t xml:space="preserve"> </w:t>
      </w:r>
      <w:r w:rsidR="00F27631">
        <w:rPr>
          <w:rFonts w:cs="Arial"/>
        </w:rPr>
        <w:t xml:space="preserve">contract </w:t>
      </w:r>
      <w:r w:rsidR="00327DC1" w:rsidRPr="00B11E60">
        <w:rPr>
          <w:rFonts w:cs="Arial"/>
        </w:rPr>
        <w:t xml:space="preserve">sets out the ASAPs’ responsibilities and requirements </w:t>
      </w:r>
      <w:r w:rsidR="00C9531D">
        <w:rPr>
          <w:rFonts w:cs="Arial"/>
        </w:rPr>
        <w:t xml:space="preserve">as EOEA’s agents </w:t>
      </w:r>
      <w:r w:rsidR="00327DC1" w:rsidRPr="00B11E60">
        <w:rPr>
          <w:rFonts w:cs="Arial"/>
        </w:rPr>
        <w:t xml:space="preserve">for contract management, compliance, and corrective action with service providers. ASAPs are </w:t>
      </w:r>
      <w:r w:rsidR="00327DC1" w:rsidRPr="00B11E60">
        <w:rPr>
          <w:rFonts w:cs="Arial"/>
          <w:b/>
        </w:rPr>
        <w:t>not</w:t>
      </w:r>
      <w:r w:rsidR="00327DC1" w:rsidRPr="00B11E60">
        <w:rPr>
          <w:rFonts w:cs="Arial"/>
        </w:rPr>
        <w:t xml:space="preserve"> providers of direct services; this prohibition ensures there </w:t>
      </w:r>
      <w:r w:rsidR="00327DC1" w:rsidRPr="00B11E60">
        <w:rPr>
          <w:rFonts w:cs="Arial"/>
        </w:rPr>
        <w:lastRenderedPageBreak/>
        <w:t xml:space="preserve">is no conflict of interest in the establishment of plans of care, the provision of needed services, or in participant and </w:t>
      </w:r>
      <w:r w:rsidR="00892708">
        <w:rPr>
          <w:rFonts w:cs="Arial"/>
        </w:rPr>
        <w:t>provider monitoring processes.</w:t>
      </w:r>
    </w:p>
    <w:p w14:paraId="6C6A762B" w14:textId="77777777" w:rsidR="00327DC1" w:rsidRPr="00B11E60" w:rsidRDefault="00327DC1" w:rsidP="00327DC1">
      <w:pPr>
        <w:rPr>
          <w:rFonts w:cs="Arial"/>
        </w:rPr>
      </w:pPr>
      <w:r w:rsidRPr="00B11E60">
        <w:rPr>
          <w:rFonts w:cs="Arial"/>
        </w:rPr>
        <w:t xml:space="preserve">Administration of the FEW also includes sub-regulatory guidance in the form of </w:t>
      </w:r>
      <w:r w:rsidR="00C9531D">
        <w:rPr>
          <w:rFonts w:cs="Arial"/>
        </w:rPr>
        <w:t>overarching</w:t>
      </w:r>
      <w:r w:rsidR="00B900DB">
        <w:rPr>
          <w:rFonts w:cs="Arial"/>
        </w:rPr>
        <w:t xml:space="preserve"> </w:t>
      </w:r>
      <w:r w:rsidR="00C9531D">
        <w:rPr>
          <w:rFonts w:cs="Arial"/>
        </w:rPr>
        <w:t>HCB</w:t>
      </w:r>
      <w:r w:rsidR="009A1FEC">
        <w:rPr>
          <w:rFonts w:cs="Arial"/>
        </w:rPr>
        <w:t xml:space="preserve">S </w:t>
      </w:r>
      <w:r w:rsidR="00C9531D">
        <w:rPr>
          <w:rFonts w:cs="Arial"/>
        </w:rPr>
        <w:t>Program Guidelines</w:t>
      </w:r>
      <w:r w:rsidR="00B900DB">
        <w:rPr>
          <w:rFonts w:cs="Arial"/>
        </w:rPr>
        <w:t xml:space="preserve"> and specific </w:t>
      </w:r>
      <w:r w:rsidRPr="00B11E60">
        <w:rPr>
          <w:rFonts w:cs="Arial"/>
        </w:rPr>
        <w:t>Program Instructions (PI</w:t>
      </w:r>
      <w:r w:rsidR="00F939A1">
        <w:rPr>
          <w:rFonts w:cs="Arial"/>
        </w:rPr>
        <w:t>s</w:t>
      </w:r>
      <w:r w:rsidRPr="00B11E60">
        <w:rPr>
          <w:rFonts w:cs="Arial"/>
        </w:rPr>
        <w:t>) and Information Memoranda (IM</w:t>
      </w:r>
      <w:r w:rsidR="00F939A1">
        <w:rPr>
          <w:rFonts w:cs="Arial"/>
        </w:rPr>
        <w:t>s</w:t>
      </w:r>
      <w:r w:rsidRPr="00B11E60">
        <w:rPr>
          <w:rFonts w:cs="Arial"/>
        </w:rPr>
        <w:t xml:space="preserve">) </w:t>
      </w:r>
      <w:r w:rsidR="00F939A1">
        <w:rPr>
          <w:rFonts w:cs="Arial"/>
        </w:rPr>
        <w:t>that</w:t>
      </w:r>
      <w:r w:rsidRPr="00B11E60">
        <w:rPr>
          <w:rFonts w:cs="Arial"/>
        </w:rPr>
        <w:t xml:space="preserve"> set out programmatic </w:t>
      </w:r>
      <w:r w:rsidR="00B900DB">
        <w:rPr>
          <w:rFonts w:cs="Arial"/>
        </w:rPr>
        <w:t>requirements</w:t>
      </w:r>
      <w:r w:rsidR="00B900DB" w:rsidRPr="00B11E60">
        <w:rPr>
          <w:rFonts w:cs="Arial"/>
        </w:rPr>
        <w:t xml:space="preserve"> </w:t>
      </w:r>
      <w:r w:rsidRPr="00B11E60">
        <w:rPr>
          <w:rFonts w:cs="Arial"/>
        </w:rPr>
        <w:t xml:space="preserve">and through which EOEA dictates and communicates certain business practices and policy and program changes to its </w:t>
      </w:r>
      <w:r w:rsidR="00C9531D">
        <w:rPr>
          <w:rFonts w:cs="Arial"/>
        </w:rPr>
        <w:t>agents</w:t>
      </w:r>
      <w:r w:rsidRPr="00B11E60">
        <w:rPr>
          <w:rFonts w:cs="Arial"/>
        </w:rPr>
        <w:t>.</w:t>
      </w:r>
    </w:p>
    <w:p w14:paraId="4B444D33" w14:textId="76D40959" w:rsidR="00327DC1" w:rsidRDefault="00327DC1" w:rsidP="00327DC1">
      <w:pPr>
        <w:rPr>
          <w:rFonts w:cs="Arial"/>
        </w:rPr>
      </w:pPr>
      <w:r w:rsidRPr="6BCBFDE4">
        <w:rPr>
          <w:rFonts w:cs="Arial"/>
        </w:rPr>
        <w:t xml:space="preserve">EOEA does not recommend any changes to </w:t>
      </w:r>
      <w:r w:rsidR="00B900DB" w:rsidRPr="6BCBFDE4">
        <w:rPr>
          <w:rFonts w:cs="Arial"/>
        </w:rPr>
        <w:t xml:space="preserve">the </w:t>
      </w:r>
      <w:r w:rsidR="00EB1D65" w:rsidRPr="6BCBFDE4">
        <w:rPr>
          <w:rFonts w:cs="Arial"/>
        </w:rPr>
        <w:t xml:space="preserve">sub-regulatory guidance, which includes the </w:t>
      </w:r>
      <w:r w:rsidR="00F03E63" w:rsidRPr="6BCBFDE4">
        <w:rPr>
          <w:rFonts w:cs="Arial"/>
        </w:rPr>
        <w:t xml:space="preserve">ASAP contract, </w:t>
      </w:r>
      <w:r w:rsidR="00B900DB" w:rsidRPr="6BCBFDE4">
        <w:rPr>
          <w:rFonts w:cs="Arial"/>
        </w:rPr>
        <w:t xml:space="preserve">PI, and IM </w:t>
      </w:r>
      <w:r w:rsidRPr="6BCBFDE4">
        <w:rPr>
          <w:rFonts w:cs="Arial"/>
        </w:rPr>
        <w:t xml:space="preserve">documents as part of the transition plan. </w:t>
      </w:r>
      <w:r w:rsidR="00842F70" w:rsidRPr="6BCBFDE4">
        <w:rPr>
          <w:rFonts w:cs="Arial"/>
        </w:rPr>
        <w:t>EOEA</w:t>
      </w:r>
      <w:r w:rsidR="006B3873" w:rsidRPr="6BCBFDE4">
        <w:rPr>
          <w:rFonts w:cs="Arial"/>
        </w:rPr>
        <w:t xml:space="preserve"> </w:t>
      </w:r>
      <w:r w:rsidR="00B900DB" w:rsidRPr="6BCBFDE4">
        <w:rPr>
          <w:rFonts w:cs="Arial"/>
        </w:rPr>
        <w:t xml:space="preserve">identified an opportunity to </w:t>
      </w:r>
      <w:r w:rsidR="006B3873" w:rsidRPr="6BCBFDE4">
        <w:rPr>
          <w:rFonts w:cs="Arial"/>
        </w:rPr>
        <w:t xml:space="preserve">update and </w:t>
      </w:r>
      <w:r w:rsidR="00B900DB" w:rsidRPr="6BCBFDE4">
        <w:rPr>
          <w:rFonts w:cs="Arial"/>
        </w:rPr>
        <w:t xml:space="preserve">revise </w:t>
      </w:r>
      <w:r w:rsidR="00842F70" w:rsidRPr="6BCBFDE4">
        <w:rPr>
          <w:rFonts w:cs="Arial"/>
        </w:rPr>
        <w:t>the HCB</w:t>
      </w:r>
      <w:r w:rsidR="007F3395" w:rsidRPr="6BCBFDE4">
        <w:rPr>
          <w:rFonts w:cs="Arial"/>
        </w:rPr>
        <w:t>S</w:t>
      </w:r>
      <w:r w:rsidR="00842F70" w:rsidRPr="6BCBFDE4">
        <w:rPr>
          <w:rFonts w:cs="Arial"/>
        </w:rPr>
        <w:t xml:space="preserve"> </w:t>
      </w:r>
      <w:r w:rsidR="00516C68" w:rsidRPr="6BCBFDE4">
        <w:rPr>
          <w:rFonts w:cs="Arial"/>
        </w:rPr>
        <w:t xml:space="preserve">Waiver </w:t>
      </w:r>
      <w:r w:rsidR="00842F70" w:rsidRPr="6BCBFDE4">
        <w:rPr>
          <w:rFonts w:cs="Arial"/>
        </w:rPr>
        <w:t>Program Guidelines</w:t>
      </w:r>
      <w:r w:rsidR="006B3873" w:rsidRPr="6BCBFDE4">
        <w:rPr>
          <w:rFonts w:cs="Arial"/>
        </w:rPr>
        <w:t xml:space="preserve"> </w:t>
      </w:r>
      <w:r w:rsidR="00B900DB" w:rsidRPr="6BCBFDE4">
        <w:rPr>
          <w:rFonts w:cs="Arial"/>
        </w:rPr>
        <w:t xml:space="preserve">to </w:t>
      </w:r>
      <w:proofErr w:type="gramStart"/>
      <w:r w:rsidR="00B900DB" w:rsidRPr="6BCBFDE4">
        <w:rPr>
          <w:rFonts w:cs="Arial"/>
        </w:rPr>
        <w:t xml:space="preserve">more clearly align with the requirements of the </w:t>
      </w:r>
      <w:r w:rsidR="002E6451" w:rsidRPr="6BCBFDE4">
        <w:rPr>
          <w:rFonts w:cs="Arial"/>
        </w:rPr>
        <w:t>Community Rule</w:t>
      </w:r>
      <w:r w:rsidR="00842F70" w:rsidRPr="6BCBFDE4">
        <w:rPr>
          <w:rFonts w:cs="Arial"/>
        </w:rPr>
        <w:t xml:space="preserve">, including to clarify </w:t>
      </w:r>
      <w:r w:rsidR="003F4012" w:rsidRPr="6BCBFDE4">
        <w:rPr>
          <w:rFonts w:cs="Arial"/>
        </w:rPr>
        <w:t xml:space="preserve">the </w:t>
      </w:r>
      <w:r w:rsidR="00842F70" w:rsidRPr="6BCBFDE4">
        <w:rPr>
          <w:rFonts w:cs="Arial"/>
        </w:rPr>
        <w:t>requirements</w:t>
      </w:r>
      <w:proofErr w:type="gramEnd"/>
      <w:r w:rsidR="00842F70" w:rsidRPr="6BCBFDE4">
        <w:rPr>
          <w:rFonts w:cs="Arial"/>
        </w:rPr>
        <w:t xml:space="preserve"> for settings</w:t>
      </w:r>
      <w:r w:rsidR="00171FD6" w:rsidRPr="6BCBFDE4">
        <w:rPr>
          <w:rFonts w:cs="Arial"/>
        </w:rPr>
        <w:t xml:space="preserve"> in which FEW participants</w:t>
      </w:r>
      <w:r w:rsidR="26386463" w:rsidRPr="6BCBFDE4">
        <w:rPr>
          <w:rFonts w:cs="Arial"/>
        </w:rPr>
        <w:t xml:space="preserve"> reside and</w:t>
      </w:r>
      <w:r w:rsidR="00171FD6" w:rsidRPr="6BCBFDE4">
        <w:rPr>
          <w:rFonts w:cs="Arial"/>
        </w:rPr>
        <w:t xml:space="preserve"> receive services</w:t>
      </w:r>
      <w:r w:rsidR="00B900DB" w:rsidRPr="6BCBFDE4">
        <w:rPr>
          <w:rFonts w:cs="Arial"/>
        </w:rPr>
        <w:t>.</w:t>
      </w:r>
      <w:r w:rsidR="122EADE1" w:rsidRPr="6BCBFDE4">
        <w:rPr>
          <w:rFonts w:cs="Arial"/>
        </w:rPr>
        <w:t xml:space="preserve"> Within the updated HCBS </w:t>
      </w:r>
      <w:r w:rsidR="000C64F6" w:rsidRPr="6BCBFDE4">
        <w:rPr>
          <w:rFonts w:cs="Arial"/>
        </w:rPr>
        <w:t xml:space="preserve">Waiver </w:t>
      </w:r>
      <w:r w:rsidR="122EADE1" w:rsidRPr="6BCBFDE4">
        <w:rPr>
          <w:rFonts w:cs="Arial"/>
        </w:rPr>
        <w:t>Program Gu</w:t>
      </w:r>
      <w:r w:rsidR="00B63FE2" w:rsidRPr="6BCBFDE4">
        <w:rPr>
          <w:rFonts w:cs="Arial"/>
        </w:rPr>
        <w:t>ide</w:t>
      </w:r>
      <w:r w:rsidR="122EADE1" w:rsidRPr="6BCBFDE4">
        <w:rPr>
          <w:rFonts w:cs="Arial"/>
        </w:rPr>
        <w:t>lines the components and areas of review to ensure compliance with the community rule are included and these guidelines outline the requirement that any new wa</w:t>
      </w:r>
      <w:r w:rsidR="158B6E02" w:rsidRPr="6BCBFDE4">
        <w:rPr>
          <w:rFonts w:cs="Arial"/>
        </w:rPr>
        <w:t xml:space="preserve">iver applicant’s residential setting </w:t>
      </w:r>
      <w:r w:rsidR="00E42E5F">
        <w:rPr>
          <w:rFonts w:cs="Arial"/>
        </w:rPr>
        <w:t>and any new provider</w:t>
      </w:r>
      <w:r w:rsidR="00DC18DC">
        <w:rPr>
          <w:rFonts w:cs="Arial"/>
        </w:rPr>
        <w:t xml:space="preserve"> settings </w:t>
      </w:r>
      <w:r w:rsidR="158B6E02" w:rsidRPr="6BCBFDE4">
        <w:rPr>
          <w:rFonts w:cs="Arial"/>
        </w:rPr>
        <w:t xml:space="preserve">must be reviewed for </w:t>
      </w:r>
      <w:r w:rsidR="00FD4C12">
        <w:rPr>
          <w:rFonts w:cs="Arial"/>
        </w:rPr>
        <w:t xml:space="preserve">compliance with the community </w:t>
      </w:r>
      <w:r w:rsidR="00DC18DC">
        <w:rPr>
          <w:rFonts w:cs="Arial"/>
        </w:rPr>
        <w:t xml:space="preserve">rule. </w:t>
      </w:r>
      <w:r w:rsidR="00C9531D" w:rsidRPr="6BCBFDE4">
        <w:rPr>
          <w:rFonts w:cs="Arial"/>
        </w:rPr>
        <w:t>EOEA issue</w:t>
      </w:r>
      <w:r w:rsidR="001976EE">
        <w:rPr>
          <w:rFonts w:cs="Arial"/>
        </w:rPr>
        <w:t>d</w:t>
      </w:r>
      <w:r w:rsidR="00C9531D" w:rsidRPr="6BCBFDE4">
        <w:rPr>
          <w:rFonts w:cs="Arial"/>
        </w:rPr>
        <w:t xml:space="preserve"> revised HCB</w:t>
      </w:r>
      <w:r w:rsidR="007F3395" w:rsidRPr="6BCBFDE4">
        <w:rPr>
          <w:rFonts w:cs="Arial"/>
        </w:rPr>
        <w:t>S</w:t>
      </w:r>
      <w:r w:rsidR="00C9531D" w:rsidRPr="6BCBFDE4">
        <w:rPr>
          <w:rFonts w:cs="Arial"/>
        </w:rPr>
        <w:t xml:space="preserve"> Program Guidelines </w:t>
      </w:r>
      <w:r w:rsidR="006D5EC8">
        <w:rPr>
          <w:rFonts w:cs="Arial"/>
        </w:rPr>
        <w:t xml:space="preserve">in </w:t>
      </w:r>
      <w:r w:rsidR="00103832">
        <w:rPr>
          <w:rFonts w:cs="Arial"/>
        </w:rPr>
        <w:t>January</w:t>
      </w:r>
      <w:r w:rsidR="006D5EC8">
        <w:rPr>
          <w:rFonts w:cs="Arial"/>
        </w:rPr>
        <w:t xml:space="preserve"> 2023</w:t>
      </w:r>
      <w:r w:rsidR="00C9531D" w:rsidRPr="6BCBFDE4">
        <w:rPr>
          <w:rFonts w:cs="Arial"/>
        </w:rPr>
        <w:t xml:space="preserve"> (see Table 3. Summary of Transition Plan Tasks and Timelines).</w:t>
      </w:r>
    </w:p>
    <w:p w14:paraId="2BA85834" w14:textId="39AFCF71" w:rsidR="00E37969" w:rsidRDefault="007E0DE8" w:rsidP="007E0DE8">
      <w:pPr>
        <w:rPr>
          <w:rStyle w:val="SubtleEmphasis"/>
        </w:rPr>
      </w:pPr>
      <w:r>
        <w:rPr>
          <w:rStyle w:val="SubtleEmphasis"/>
        </w:rPr>
        <w:t>Service Plans</w:t>
      </w:r>
    </w:p>
    <w:p w14:paraId="6EDBC55B" w14:textId="7409CDD4" w:rsidR="007E0DE8" w:rsidRPr="00EC0007" w:rsidRDefault="007E0DE8" w:rsidP="007E0DE8">
      <w:pPr>
        <w:rPr>
          <w:rStyle w:val="SubtleEmphasis"/>
        </w:rPr>
      </w:pPr>
      <w:r w:rsidRPr="00EC0007">
        <w:t xml:space="preserve">ASAPs are responsible for conducting assessments and developing service plans based on the needs of FEW participants. </w:t>
      </w:r>
      <w:r w:rsidR="00692C8B" w:rsidRPr="00EC0007">
        <w:t xml:space="preserve">Program </w:t>
      </w:r>
      <w:r w:rsidR="009D638C" w:rsidRPr="00EC0007">
        <w:t xml:space="preserve">instructions developed and distributed to </w:t>
      </w:r>
      <w:r w:rsidR="00AF0B29" w:rsidRPr="00EC0007">
        <w:t xml:space="preserve">all ASAPs </w:t>
      </w:r>
      <w:r w:rsidR="003B4019" w:rsidRPr="00EC0007">
        <w:t>lays out fundamental requirements of all service plans</w:t>
      </w:r>
      <w:r w:rsidR="0015687D" w:rsidRPr="00EC0007">
        <w:t xml:space="preserve">, </w:t>
      </w:r>
      <w:r w:rsidR="002D7B40" w:rsidRPr="00EC0007">
        <w:t xml:space="preserve">in </w:t>
      </w:r>
      <w:proofErr w:type="gramStart"/>
      <w:r w:rsidR="002D7B40" w:rsidRPr="00EC0007">
        <w:t>particular that</w:t>
      </w:r>
      <w:proofErr w:type="gramEnd"/>
      <w:r w:rsidR="002D7B40" w:rsidRPr="00EC0007">
        <w:t xml:space="preserve"> they must incorporate the values and preferences of the </w:t>
      </w:r>
      <w:r w:rsidR="00202A60" w:rsidRPr="00EC0007">
        <w:t xml:space="preserve">HCBS waiver participant </w:t>
      </w:r>
      <w:r w:rsidR="00FB367D" w:rsidRPr="00EC0007">
        <w:t xml:space="preserve">and be developed in conjunction with the </w:t>
      </w:r>
      <w:r w:rsidR="005876A9" w:rsidRPr="00EC0007">
        <w:t xml:space="preserve">participant and </w:t>
      </w:r>
      <w:r w:rsidR="00B12ADD" w:rsidRPr="00EC0007">
        <w:t>his/her repr</w:t>
      </w:r>
      <w:r w:rsidR="00935036" w:rsidRPr="00EC0007">
        <w:t>esentative(s)</w:t>
      </w:r>
      <w:r w:rsidR="00A96168" w:rsidRPr="00EC0007">
        <w:t xml:space="preserve"> and having free choice of providers</w:t>
      </w:r>
      <w:r w:rsidR="00935036" w:rsidRPr="00EC0007">
        <w:t xml:space="preserve">. </w:t>
      </w:r>
      <w:r w:rsidR="00B537E6" w:rsidRPr="00EC0007">
        <w:t xml:space="preserve">The ASAP contract includes specific </w:t>
      </w:r>
      <w:r w:rsidR="00A53CFC" w:rsidRPr="00EC0007">
        <w:t xml:space="preserve">program instructions related to </w:t>
      </w:r>
      <w:r w:rsidR="003F5377" w:rsidRPr="00EC0007">
        <w:t>service plan development</w:t>
      </w:r>
      <w:r w:rsidR="005C6979" w:rsidRPr="00EC0007">
        <w:t xml:space="preserve"> and review</w:t>
      </w:r>
      <w:r w:rsidR="0082762B" w:rsidRPr="00EC0007">
        <w:t xml:space="preserve">, such as </w:t>
      </w:r>
      <w:r w:rsidR="004C6A70" w:rsidRPr="00EC0007">
        <w:t>at</w:t>
      </w:r>
      <w:r w:rsidR="00B83FFA" w:rsidRPr="00EC0007">
        <w:t xml:space="preserve"> a </w:t>
      </w:r>
      <w:r w:rsidR="0014453E" w:rsidRPr="00EC0007">
        <w:t>minimum annual update</w:t>
      </w:r>
      <w:r w:rsidR="004C6A70" w:rsidRPr="00EC0007">
        <w:t xml:space="preserve"> and more frequently as required by changes </w:t>
      </w:r>
      <w:r w:rsidR="00640DA0" w:rsidRPr="00EC0007">
        <w:t>with the waiver participant.</w:t>
      </w:r>
    </w:p>
    <w:p w14:paraId="3AC4D3F4" w14:textId="77777777" w:rsidR="00342017" w:rsidRPr="00AE064A" w:rsidRDefault="00342017" w:rsidP="00342017">
      <w:pPr>
        <w:contextualSpacing/>
        <w:rPr>
          <w:rStyle w:val="SubtleEmphasis"/>
        </w:rPr>
      </w:pPr>
      <w:r w:rsidRPr="00AE064A">
        <w:rPr>
          <w:rStyle w:val="SubtleEmphasis"/>
        </w:rPr>
        <w:t xml:space="preserve">Adult Foster Care </w:t>
      </w:r>
    </w:p>
    <w:p w14:paraId="2C040CD6" w14:textId="1F672D0F" w:rsidR="00342017" w:rsidRPr="00030CCB" w:rsidRDefault="00342017" w:rsidP="00342017">
      <w:r>
        <w:t xml:space="preserve">All Massachusetts HCBS waiver participants have access to the Adult Foster Care (AFC) service, which is a MassHealth state plan service, not a HCBS waiver service. </w:t>
      </w:r>
      <w:proofErr w:type="gramStart"/>
      <w:r>
        <w:t>The majority of</w:t>
      </w:r>
      <w:proofErr w:type="gramEnd"/>
      <w:r>
        <w:t xml:space="preserve"> AFC caregivers are family members. </w:t>
      </w:r>
      <w:r w:rsidRPr="00030CCB">
        <w:t xml:space="preserve">While MassHealth’s AFC program regulation 130 CMR 408.435(A) addresses qualified AFC settings and explicitly states that AFC settings are not structured as provider operated settings, some waiver participants </w:t>
      </w:r>
      <w:r>
        <w:t>may choose to move into the home of an unrelated AFC caregiver concurrent to receiving HCBS waiver services</w:t>
      </w:r>
      <w:r w:rsidR="00BC0AD5">
        <w:t xml:space="preserve"> in the home</w:t>
      </w:r>
      <w:r w:rsidRPr="00030CCB">
        <w:t xml:space="preserve">. </w:t>
      </w:r>
      <w:r>
        <w:t>In</w:t>
      </w:r>
      <w:r w:rsidRPr="00030CCB">
        <w:t xml:space="preserve"> those instances where the caregiver </w:t>
      </w:r>
      <w:r>
        <w:t>is</w:t>
      </w:r>
      <w:r w:rsidRPr="00030CCB">
        <w:t xml:space="preserve"> unrelated and the participant d</w:t>
      </w:r>
      <w:r>
        <w:t>oes</w:t>
      </w:r>
      <w:r w:rsidRPr="00030CCB">
        <w:t xml:space="preserve"> not own </w:t>
      </w:r>
      <w:r>
        <w:t xml:space="preserve">or lease </w:t>
      </w:r>
      <w:r w:rsidRPr="00030CCB">
        <w:t>the home, MassHealth will review those AFC settings to ensure they conform to the requirements of community settings including that the participant has a lease or other legally enforceable agreement providing similar protections.</w:t>
      </w:r>
    </w:p>
    <w:p w14:paraId="326D3560" w14:textId="58356070" w:rsidR="00342017" w:rsidRDefault="00342017" w:rsidP="00342017">
      <w:r w:rsidRPr="00030CCB">
        <w:t xml:space="preserve">MassHealth </w:t>
      </w:r>
      <w:r w:rsidR="00991736">
        <w:t>has</w:t>
      </w:r>
      <w:r w:rsidR="00991736" w:rsidRPr="00030CCB">
        <w:t xml:space="preserve"> </w:t>
      </w:r>
      <w:r w:rsidRPr="00030CCB">
        <w:t>develop</w:t>
      </w:r>
      <w:r w:rsidR="00991736">
        <w:t>ed</w:t>
      </w:r>
      <w:r w:rsidRPr="00030CCB">
        <w:t xml:space="preserve"> guidance for AFC provider </w:t>
      </w:r>
      <w:r>
        <w:t>agencies</w:t>
      </w:r>
      <w:r w:rsidRPr="00030CCB">
        <w:t xml:space="preserve"> regarding </w:t>
      </w:r>
      <w:r>
        <w:t xml:space="preserve">the need to complete the </w:t>
      </w:r>
      <w:r w:rsidR="007D5F8B">
        <w:rPr>
          <w:rStyle w:val="ui-provider"/>
        </w:rPr>
        <w:t>Home- and Community-Based Services Community</w:t>
      </w:r>
      <w:r w:rsidR="00FC0A21">
        <w:rPr>
          <w:rStyle w:val="ui-provider"/>
        </w:rPr>
        <w:t xml:space="preserve"> </w:t>
      </w:r>
      <w:r w:rsidR="007D5F8B">
        <w:rPr>
          <w:rStyle w:val="ui-provider"/>
        </w:rPr>
        <w:t>Rule Attestation for Waiver Participants Receiving Adult Foster Care Services</w:t>
      </w:r>
      <w:r w:rsidR="00B15749">
        <w:rPr>
          <w:rStyle w:val="ui-provider"/>
        </w:rPr>
        <w:t xml:space="preserve"> </w:t>
      </w:r>
      <w:r>
        <w:t xml:space="preserve">and implement remediation strategies to ensure </w:t>
      </w:r>
      <w:r>
        <w:lastRenderedPageBreak/>
        <w:t>compliance with the community rule</w:t>
      </w:r>
      <w:r w:rsidR="00957099">
        <w:t xml:space="preserve"> in</w:t>
      </w:r>
      <w:r w:rsidR="00957099" w:rsidRPr="00030CCB">
        <w:t xml:space="preserve"> those instances where the </w:t>
      </w:r>
      <w:r w:rsidR="00957099">
        <w:t xml:space="preserve">AFC </w:t>
      </w:r>
      <w:r w:rsidR="00957099" w:rsidRPr="00030CCB">
        <w:t xml:space="preserve">caregiver </w:t>
      </w:r>
      <w:r w:rsidR="00957099">
        <w:t>is</w:t>
      </w:r>
      <w:r w:rsidR="00957099" w:rsidRPr="00030CCB">
        <w:t xml:space="preserve"> unrelated </w:t>
      </w:r>
      <w:r w:rsidR="00957099">
        <w:t xml:space="preserve">to the </w:t>
      </w:r>
      <w:r w:rsidR="00BC0AD5">
        <w:t xml:space="preserve">HCBS waiver </w:t>
      </w:r>
      <w:proofErr w:type="gramStart"/>
      <w:r w:rsidR="00957099">
        <w:t>participant</w:t>
      </w:r>
      <w:proofErr w:type="gramEnd"/>
      <w:r w:rsidR="00957099">
        <w:t xml:space="preserve"> </w:t>
      </w:r>
      <w:r w:rsidR="00957099" w:rsidRPr="00030CCB">
        <w:t>and the participant d</w:t>
      </w:r>
      <w:r w:rsidR="00957099">
        <w:t>oes</w:t>
      </w:r>
      <w:r w:rsidR="00957099" w:rsidRPr="00030CCB">
        <w:t xml:space="preserve"> not own </w:t>
      </w:r>
      <w:r w:rsidR="00957099">
        <w:t xml:space="preserve">or lease </w:t>
      </w:r>
      <w:r w:rsidR="00957099" w:rsidRPr="00030CCB">
        <w:t>the home</w:t>
      </w:r>
      <w:r>
        <w:t xml:space="preserve">.  </w:t>
      </w:r>
    </w:p>
    <w:p w14:paraId="165287DA" w14:textId="177BF875" w:rsidR="00327DC1" w:rsidRPr="00AE064A" w:rsidRDefault="008C295F" w:rsidP="00144BE9">
      <w:pPr>
        <w:pStyle w:val="Heading3"/>
      </w:pPr>
      <w:r>
        <w:t xml:space="preserve">3. </w:t>
      </w:r>
      <w:r w:rsidR="00327DC1" w:rsidRPr="00AE064A">
        <w:t>Waiv</w:t>
      </w:r>
      <w:r w:rsidR="00DB52E3" w:rsidRPr="00AE064A">
        <w:t>er service definitions</w:t>
      </w:r>
    </w:p>
    <w:p w14:paraId="7732865E" w14:textId="77777777" w:rsidR="00327DC1" w:rsidRPr="00B11E60" w:rsidRDefault="00117F8F" w:rsidP="00327DC1">
      <w:pPr>
        <w:rPr>
          <w:rFonts w:cs="Arial"/>
        </w:rPr>
      </w:pPr>
      <w:r>
        <w:rPr>
          <w:rFonts w:cs="Arial"/>
        </w:rPr>
        <w:t>EOEA</w:t>
      </w:r>
      <w:r w:rsidRPr="00B11E60">
        <w:rPr>
          <w:rFonts w:cs="Arial"/>
        </w:rPr>
        <w:t xml:space="preserve"> </w:t>
      </w:r>
      <w:r w:rsidR="00327DC1" w:rsidRPr="00B11E60">
        <w:rPr>
          <w:rFonts w:cs="Arial"/>
        </w:rPr>
        <w:t>reviewed all waiver service definitions to determine if the definitions themselves meet the following requirements:</w:t>
      </w:r>
    </w:p>
    <w:p w14:paraId="6859AB9F" w14:textId="77777777" w:rsidR="00327DC1" w:rsidRPr="00B11E60" w:rsidRDefault="00327DC1" w:rsidP="004427AF">
      <w:pPr>
        <w:pStyle w:val="ListParagraph"/>
        <w:numPr>
          <w:ilvl w:val="0"/>
          <w:numId w:val="12"/>
        </w:numPr>
        <w:ind w:left="720"/>
        <w:rPr>
          <w:rFonts w:cs="Arial"/>
        </w:rPr>
      </w:pPr>
      <w:r w:rsidRPr="00B11E60">
        <w:rPr>
          <w:rFonts w:cs="Arial"/>
        </w:rPr>
        <w:t xml:space="preserve">Does the service ensure individuals receive services in the community to the same degree of access as individuals not receiving Medicaid </w:t>
      </w:r>
      <w:r w:rsidR="00F939A1">
        <w:rPr>
          <w:rFonts w:cs="Arial"/>
        </w:rPr>
        <w:t>HCBS</w:t>
      </w:r>
      <w:r w:rsidRPr="00B11E60">
        <w:rPr>
          <w:rFonts w:cs="Arial"/>
        </w:rPr>
        <w:t>?</w:t>
      </w:r>
    </w:p>
    <w:p w14:paraId="5319ED1E" w14:textId="77777777" w:rsidR="00327DC1" w:rsidRPr="00B11E60" w:rsidRDefault="00327DC1" w:rsidP="004427AF">
      <w:pPr>
        <w:pStyle w:val="ListParagraph"/>
        <w:numPr>
          <w:ilvl w:val="0"/>
          <w:numId w:val="12"/>
        </w:numPr>
        <w:ind w:left="720"/>
        <w:rPr>
          <w:rFonts w:cs="Arial"/>
        </w:rPr>
      </w:pPr>
      <w:r w:rsidRPr="00B11E60">
        <w:rPr>
          <w:rFonts w:cs="Arial"/>
        </w:rPr>
        <w:t>Does the service definition allow for integration and access to the greater community?</w:t>
      </w:r>
    </w:p>
    <w:p w14:paraId="24AA897E" w14:textId="77777777" w:rsidR="00327DC1" w:rsidRPr="00B11E60" w:rsidRDefault="00327DC1" w:rsidP="004427AF">
      <w:pPr>
        <w:pStyle w:val="ListParagraph"/>
        <w:numPr>
          <w:ilvl w:val="0"/>
          <w:numId w:val="12"/>
        </w:numPr>
        <w:ind w:left="720"/>
        <w:rPr>
          <w:rFonts w:cs="Arial"/>
        </w:rPr>
      </w:pPr>
      <w:r w:rsidRPr="00B11E60">
        <w:rPr>
          <w:rFonts w:cs="Arial"/>
        </w:rPr>
        <w:t xml:space="preserve">Are the services selected by the individual? </w:t>
      </w:r>
    </w:p>
    <w:p w14:paraId="3D696856" w14:textId="77777777" w:rsidR="00327DC1" w:rsidRPr="00B11E60" w:rsidRDefault="00327DC1" w:rsidP="004427AF">
      <w:pPr>
        <w:pStyle w:val="ListParagraph"/>
        <w:numPr>
          <w:ilvl w:val="0"/>
          <w:numId w:val="12"/>
        </w:numPr>
        <w:ind w:left="720"/>
        <w:rPr>
          <w:rFonts w:cs="Arial"/>
        </w:rPr>
      </w:pPr>
      <w:r w:rsidRPr="00B11E60">
        <w:rPr>
          <w:rFonts w:cs="Arial"/>
        </w:rPr>
        <w:t>Does the service optimize interaction, autonomy</w:t>
      </w:r>
      <w:r w:rsidR="00F939A1">
        <w:rPr>
          <w:rFonts w:cs="Arial"/>
        </w:rPr>
        <w:t>,</w:t>
      </w:r>
      <w:r w:rsidRPr="00B11E60">
        <w:rPr>
          <w:rFonts w:cs="Arial"/>
        </w:rPr>
        <w:t xml:space="preserve"> and independence in making life choices?</w:t>
      </w:r>
    </w:p>
    <w:p w14:paraId="0FD4829D" w14:textId="77777777" w:rsidR="00327DC1" w:rsidRPr="00B11E60" w:rsidRDefault="00327DC1" w:rsidP="004427AF">
      <w:pPr>
        <w:pStyle w:val="ListParagraph"/>
        <w:numPr>
          <w:ilvl w:val="0"/>
          <w:numId w:val="12"/>
        </w:numPr>
        <w:ind w:left="720"/>
        <w:rPr>
          <w:rFonts w:cs="Arial"/>
        </w:rPr>
      </w:pPr>
      <w:r w:rsidRPr="00B11E60">
        <w:rPr>
          <w:rFonts w:cs="Arial"/>
        </w:rPr>
        <w:t>Does the service facilitate choices regarding supports and who provides them?</w:t>
      </w:r>
    </w:p>
    <w:p w14:paraId="66A36C91" w14:textId="2C8B979C" w:rsidR="00327DC1" w:rsidRPr="00B11E60" w:rsidRDefault="00327DC1" w:rsidP="00327DC1">
      <w:pPr>
        <w:rPr>
          <w:rFonts w:cs="Arial"/>
        </w:rPr>
      </w:pPr>
      <w:r w:rsidRPr="00B11E60">
        <w:rPr>
          <w:rFonts w:cs="Arial"/>
        </w:rPr>
        <w:t xml:space="preserve">Based on these criteria, </w:t>
      </w:r>
      <w:r w:rsidR="00D566E6">
        <w:rPr>
          <w:rFonts w:cs="Arial"/>
        </w:rPr>
        <w:t>EOEA</w:t>
      </w:r>
      <w:r w:rsidR="00D566E6" w:rsidRPr="00B11E60">
        <w:rPr>
          <w:rFonts w:cs="Arial"/>
        </w:rPr>
        <w:t xml:space="preserve"> </w:t>
      </w:r>
      <w:r w:rsidRPr="00B11E60">
        <w:rPr>
          <w:rFonts w:cs="Arial"/>
        </w:rPr>
        <w:t xml:space="preserve">determined that all current waiver service definitions </w:t>
      </w:r>
      <w:proofErr w:type="gramStart"/>
      <w:r w:rsidRPr="00B11E60">
        <w:rPr>
          <w:rFonts w:cs="Arial"/>
        </w:rPr>
        <w:t>are in compliance with</w:t>
      </w:r>
      <w:proofErr w:type="gramEnd"/>
      <w:r w:rsidRPr="00B11E60">
        <w:rPr>
          <w:rFonts w:cs="Arial"/>
        </w:rPr>
        <w:t xml:space="preserve"> the HCBS rule. As noted above, aside from Supportive Day Program services, transportation, and respite services, all FEW services are delivered in a participant’s home</w:t>
      </w:r>
      <w:r w:rsidR="00492B90">
        <w:rPr>
          <w:rFonts w:cs="Arial"/>
        </w:rPr>
        <w:t xml:space="preserve">; and, as noted, a FEW </w:t>
      </w:r>
      <w:proofErr w:type="gramStart"/>
      <w:r w:rsidR="00492B90">
        <w:rPr>
          <w:rFonts w:cs="Arial"/>
        </w:rPr>
        <w:t>participant’s</w:t>
      </w:r>
      <w:proofErr w:type="gramEnd"/>
      <w:r w:rsidR="00492B90">
        <w:rPr>
          <w:rFonts w:cs="Arial"/>
        </w:rPr>
        <w:t xml:space="preserve"> home may be a congregate housing setting, if such setting is fully compliant with the Community Rule</w:t>
      </w:r>
      <w:r w:rsidRPr="00B11E60">
        <w:rPr>
          <w:rFonts w:cs="Arial"/>
        </w:rPr>
        <w:t>.</w:t>
      </w:r>
    </w:p>
    <w:p w14:paraId="2688E4F9" w14:textId="022D51BA" w:rsidR="00327DC1" w:rsidRPr="00AE064A" w:rsidRDefault="008C295F" w:rsidP="00144BE9">
      <w:pPr>
        <w:pStyle w:val="Heading3"/>
      </w:pPr>
      <w:r>
        <w:t xml:space="preserve">4. </w:t>
      </w:r>
      <w:r w:rsidR="00327DC1" w:rsidRPr="00AE064A">
        <w:t xml:space="preserve">Provider qualifications </w:t>
      </w:r>
    </w:p>
    <w:p w14:paraId="6CC4E651" w14:textId="29D71EF8" w:rsidR="00327DC1" w:rsidRPr="00B11E60" w:rsidRDefault="00327DC1" w:rsidP="00327DC1">
      <w:pPr>
        <w:rPr>
          <w:rFonts w:cs="Arial"/>
        </w:rPr>
      </w:pPr>
      <w:r w:rsidRPr="00B11E60">
        <w:rPr>
          <w:rFonts w:cs="Arial"/>
        </w:rPr>
        <w:t xml:space="preserve">Pursuant </w:t>
      </w:r>
      <w:r w:rsidR="00CF35A4">
        <w:rPr>
          <w:rFonts w:cs="Arial"/>
        </w:rPr>
        <w:t xml:space="preserve">to </w:t>
      </w:r>
      <w:r w:rsidRPr="00B11E60">
        <w:rPr>
          <w:rFonts w:cs="Arial"/>
        </w:rPr>
        <w:t>t</w:t>
      </w:r>
      <w:r w:rsidR="00796DF6">
        <w:rPr>
          <w:rFonts w:cs="Arial"/>
        </w:rPr>
        <w:t>he provider contract management section</w:t>
      </w:r>
      <w:r w:rsidR="005B6EFB">
        <w:rPr>
          <w:rFonts w:cs="Arial"/>
        </w:rPr>
        <w:t xml:space="preserve"> 3.5</w:t>
      </w:r>
      <w:r w:rsidR="00796DF6">
        <w:rPr>
          <w:rFonts w:cs="Arial"/>
        </w:rPr>
        <w:t xml:space="preserve"> </w:t>
      </w:r>
      <w:r w:rsidRPr="00B11E60">
        <w:rPr>
          <w:rFonts w:cs="Arial"/>
        </w:rPr>
        <w:t xml:space="preserve">of the </w:t>
      </w:r>
      <w:r w:rsidR="00796DF6">
        <w:rPr>
          <w:rFonts w:cs="Arial"/>
        </w:rPr>
        <w:t xml:space="preserve">ASAP </w:t>
      </w:r>
      <w:r w:rsidR="00F27631">
        <w:rPr>
          <w:rFonts w:cs="Arial"/>
        </w:rPr>
        <w:t>contract</w:t>
      </w:r>
      <w:r w:rsidRPr="00B11E60">
        <w:rPr>
          <w:rFonts w:cs="Arial"/>
        </w:rPr>
        <w:t xml:space="preserve">, ASAPs review the qualifications of waiver service providers, including Supportive Day Program services. Qualifications are reviewed as part of initial on-site review visits with new providers, as well as when conducting regular monitoring visits of each provider at a minimum of every three years as part of the provider contract renewal process. EOEA has developed and, through its </w:t>
      </w:r>
      <w:r w:rsidR="00BB618E">
        <w:rPr>
          <w:rFonts w:cs="Arial"/>
        </w:rPr>
        <w:t>agents</w:t>
      </w:r>
      <w:r w:rsidRPr="00B11E60">
        <w:rPr>
          <w:rFonts w:cs="Arial"/>
        </w:rPr>
        <w:t xml:space="preserve"> implemented</w:t>
      </w:r>
      <w:r w:rsidR="00492B90">
        <w:rPr>
          <w:rFonts w:cs="Arial"/>
        </w:rPr>
        <w:t>,</w:t>
      </w:r>
      <w:r w:rsidRPr="00B11E60">
        <w:rPr>
          <w:rFonts w:cs="Arial"/>
        </w:rPr>
        <w:t xml:space="preserve"> tools designed to detect, monitor</w:t>
      </w:r>
      <w:r w:rsidR="009A1EB4">
        <w:rPr>
          <w:rFonts w:cs="Arial"/>
        </w:rPr>
        <w:t>,</w:t>
      </w:r>
      <w:r w:rsidRPr="00B11E60">
        <w:rPr>
          <w:rFonts w:cs="Arial"/>
        </w:rPr>
        <w:t xml:space="preserve"> and ensure provider compliance with the CMS Community Rule on an on-going basis. </w:t>
      </w:r>
      <w:r w:rsidR="000E7C08" w:rsidRPr="00B11E60">
        <w:rPr>
          <w:rFonts w:cs="Arial"/>
        </w:rPr>
        <w:t xml:space="preserve">Although EOEA found that the previous tool ASAPs used to review providers was consistent with the Community Rule, </w:t>
      </w:r>
      <w:r w:rsidR="00DE7927">
        <w:rPr>
          <w:rFonts w:cs="Arial"/>
        </w:rPr>
        <w:t>EOEA</w:t>
      </w:r>
      <w:r w:rsidR="00DE7927" w:rsidRPr="00B11E60">
        <w:rPr>
          <w:rFonts w:cs="Arial"/>
        </w:rPr>
        <w:t xml:space="preserve"> </w:t>
      </w:r>
      <w:r w:rsidR="000E7C08" w:rsidRPr="00B11E60">
        <w:rPr>
          <w:rFonts w:cs="Arial"/>
        </w:rPr>
        <w:t>identified an opportunity to strengthen the tool to align</w:t>
      </w:r>
      <w:r w:rsidR="000E7C08">
        <w:rPr>
          <w:rFonts w:cs="Arial"/>
        </w:rPr>
        <w:t xml:space="preserve"> more clearly</w:t>
      </w:r>
      <w:r w:rsidR="000E7C08" w:rsidRPr="00B11E60">
        <w:rPr>
          <w:rFonts w:cs="Arial"/>
        </w:rPr>
        <w:t xml:space="preserve"> with the requirements of the </w:t>
      </w:r>
      <w:r w:rsidR="00DE7927">
        <w:rPr>
          <w:rFonts w:cs="Arial"/>
        </w:rPr>
        <w:t>R</w:t>
      </w:r>
      <w:r w:rsidR="00DE7927" w:rsidRPr="00B11E60">
        <w:rPr>
          <w:rFonts w:cs="Arial"/>
        </w:rPr>
        <w:t>ule</w:t>
      </w:r>
      <w:r w:rsidR="000E7C08" w:rsidRPr="00B11E60">
        <w:rPr>
          <w:rFonts w:cs="Arial"/>
        </w:rPr>
        <w:t xml:space="preserve">. </w:t>
      </w:r>
      <w:r w:rsidR="00E307A8">
        <w:rPr>
          <w:rFonts w:cs="Arial"/>
        </w:rPr>
        <w:t>The Supportive Day p</w:t>
      </w:r>
      <w:r w:rsidRPr="00B11E60">
        <w:rPr>
          <w:rFonts w:cs="Arial"/>
        </w:rPr>
        <w:t xml:space="preserve">rovider review tool </w:t>
      </w:r>
      <w:r w:rsidR="00E307A8">
        <w:rPr>
          <w:rFonts w:cs="Arial"/>
        </w:rPr>
        <w:t xml:space="preserve">was therefore revised to </w:t>
      </w:r>
      <w:r w:rsidRPr="00B11E60">
        <w:rPr>
          <w:rFonts w:cs="Arial"/>
        </w:rPr>
        <w:t xml:space="preserve">incorporate </w:t>
      </w:r>
      <w:r w:rsidR="00E307A8">
        <w:rPr>
          <w:rFonts w:cs="Arial"/>
        </w:rPr>
        <w:t xml:space="preserve">specific </w:t>
      </w:r>
      <w:r w:rsidRPr="00B11E60">
        <w:rPr>
          <w:rFonts w:cs="Arial"/>
        </w:rPr>
        <w:t xml:space="preserve">questions </w:t>
      </w:r>
      <w:r w:rsidR="00E307A8">
        <w:rPr>
          <w:rFonts w:cs="Arial"/>
        </w:rPr>
        <w:t xml:space="preserve">related to </w:t>
      </w:r>
      <w:r w:rsidR="00E307A8" w:rsidRPr="00B11E60">
        <w:rPr>
          <w:rFonts w:cs="Arial"/>
        </w:rPr>
        <w:t xml:space="preserve">the </w:t>
      </w:r>
      <w:r w:rsidR="00E307A8">
        <w:rPr>
          <w:rFonts w:cs="Arial"/>
        </w:rPr>
        <w:t>Rule’s requirements to better facilitate</w:t>
      </w:r>
      <w:r w:rsidR="00E307A8" w:rsidRPr="00B11E60">
        <w:rPr>
          <w:rFonts w:cs="Arial"/>
        </w:rPr>
        <w:t xml:space="preserve"> compliance monitoring</w:t>
      </w:r>
      <w:r w:rsidRPr="00B11E60">
        <w:rPr>
          <w:rFonts w:cs="Arial"/>
        </w:rPr>
        <w:t xml:space="preserve">. For example, the tool includes questions </w:t>
      </w:r>
      <w:r w:rsidR="00E307A8">
        <w:rPr>
          <w:rFonts w:cs="Arial"/>
        </w:rPr>
        <w:t>about</w:t>
      </w:r>
      <w:r w:rsidRPr="00B11E60">
        <w:rPr>
          <w:rFonts w:cs="Arial"/>
        </w:rPr>
        <w:t xml:space="preserve"> Plan</w:t>
      </w:r>
      <w:r w:rsidR="00E307A8">
        <w:rPr>
          <w:rFonts w:cs="Arial"/>
        </w:rPr>
        <w:t>s</w:t>
      </w:r>
      <w:r w:rsidRPr="00B11E60">
        <w:rPr>
          <w:rFonts w:cs="Arial"/>
        </w:rPr>
        <w:t xml:space="preserve"> of Care, meaningful activities, and physical setting. In addition, Program Instruction PI-</w:t>
      </w:r>
      <w:r w:rsidR="00E307A8">
        <w:rPr>
          <w:rFonts w:cs="Arial"/>
        </w:rPr>
        <w:t>09</w:t>
      </w:r>
      <w:r w:rsidRPr="00B11E60">
        <w:rPr>
          <w:rFonts w:cs="Arial"/>
        </w:rPr>
        <w:t>-</w:t>
      </w:r>
      <w:r w:rsidR="00E307A8">
        <w:rPr>
          <w:rFonts w:cs="Arial"/>
        </w:rPr>
        <w:t>13</w:t>
      </w:r>
      <w:r w:rsidRPr="00B11E60">
        <w:rPr>
          <w:rFonts w:cs="Arial"/>
        </w:rPr>
        <w:t xml:space="preserve"> (Home Care </w:t>
      </w:r>
      <w:r w:rsidR="00E307A8">
        <w:rPr>
          <w:rFonts w:cs="Arial"/>
        </w:rPr>
        <w:t>Program</w:t>
      </w:r>
      <w:r w:rsidRPr="00B11E60">
        <w:rPr>
          <w:rFonts w:cs="Arial"/>
        </w:rPr>
        <w:t xml:space="preserve"> Service </w:t>
      </w:r>
      <w:r w:rsidR="00E307A8">
        <w:rPr>
          <w:rFonts w:cs="Arial"/>
        </w:rPr>
        <w:t>Definitions, Attachment A</w:t>
      </w:r>
      <w:r w:rsidRPr="00B11E60">
        <w:rPr>
          <w:rFonts w:cs="Arial"/>
        </w:rPr>
        <w:t xml:space="preserve">) establishes detailed Home Care program service definitions for Supportive Day services that </w:t>
      </w:r>
      <w:r w:rsidR="00492B90">
        <w:rPr>
          <w:rFonts w:cs="Arial"/>
        </w:rPr>
        <w:t>are consistent</w:t>
      </w:r>
      <w:r w:rsidR="00492B90" w:rsidRPr="00B11E60">
        <w:rPr>
          <w:rFonts w:cs="Arial"/>
        </w:rPr>
        <w:t xml:space="preserve"> </w:t>
      </w:r>
      <w:r w:rsidRPr="00B11E60">
        <w:rPr>
          <w:rFonts w:cs="Arial"/>
        </w:rPr>
        <w:t xml:space="preserve">with requirements outlined in the CMS Community Rule. </w:t>
      </w:r>
    </w:p>
    <w:p w14:paraId="58C4A4AA" w14:textId="77777777" w:rsidR="00327DC1" w:rsidRPr="00AF005E" w:rsidRDefault="00327DC1" w:rsidP="00327DC1">
      <w:pPr>
        <w:rPr>
          <w:rFonts w:cs="Arial"/>
        </w:rPr>
      </w:pPr>
      <w:r w:rsidRPr="00AF005E">
        <w:rPr>
          <w:rFonts w:cs="Arial"/>
        </w:rPr>
        <w:t>HCBS services provided</w:t>
      </w:r>
      <w:r w:rsidR="00BA00AA" w:rsidRPr="00AF005E">
        <w:rPr>
          <w:rFonts w:cs="Arial"/>
        </w:rPr>
        <w:t xml:space="preserve"> through the FEW are largely delivered</w:t>
      </w:r>
      <w:r w:rsidRPr="00AF005E">
        <w:rPr>
          <w:rFonts w:cs="Arial"/>
        </w:rPr>
        <w:t xml:space="preserve"> to participants in their current </w:t>
      </w:r>
      <w:r w:rsidR="00BA00AA" w:rsidRPr="00AF005E">
        <w:rPr>
          <w:rFonts w:cs="Arial"/>
        </w:rPr>
        <w:t>home</w:t>
      </w:r>
      <w:r w:rsidRPr="00AF005E">
        <w:rPr>
          <w:rFonts w:cs="Arial"/>
        </w:rPr>
        <w:t xml:space="preserve"> setting</w:t>
      </w:r>
      <w:r w:rsidR="00BA00AA" w:rsidRPr="00AF005E">
        <w:rPr>
          <w:rFonts w:cs="Arial"/>
        </w:rPr>
        <w:t xml:space="preserve">. The participant’s home </w:t>
      </w:r>
      <w:r w:rsidRPr="00AF005E">
        <w:rPr>
          <w:rFonts w:cs="Arial"/>
        </w:rPr>
        <w:t xml:space="preserve">is not chosen as part of FEW </w:t>
      </w:r>
      <w:proofErr w:type="gramStart"/>
      <w:r w:rsidRPr="00AF005E">
        <w:rPr>
          <w:rFonts w:cs="Arial"/>
        </w:rPr>
        <w:t>enrollment</w:t>
      </w:r>
      <w:proofErr w:type="gramEnd"/>
      <w:r w:rsidRPr="00AF005E">
        <w:rPr>
          <w:rFonts w:cs="Arial"/>
        </w:rPr>
        <w:t xml:space="preserve">. </w:t>
      </w:r>
      <w:r w:rsidR="00BA00AA" w:rsidRPr="00AF005E">
        <w:rPr>
          <w:rFonts w:cs="Arial"/>
        </w:rPr>
        <w:t xml:space="preserve">Some participants have chosen to live in congregate housing. Congregate housing is not a </w:t>
      </w:r>
      <w:r w:rsidR="00E307A8">
        <w:rPr>
          <w:rFonts w:cs="Arial"/>
        </w:rPr>
        <w:t xml:space="preserve">waiver </w:t>
      </w:r>
      <w:r w:rsidR="00BA00AA" w:rsidRPr="00AF005E">
        <w:rPr>
          <w:rFonts w:cs="Arial"/>
        </w:rPr>
        <w:t>service within the FEW. However, since some participants live in such settings, EOEA reviewed these settings to confirm their community character.</w:t>
      </w:r>
    </w:p>
    <w:p w14:paraId="0AEDF5B0" w14:textId="370E4CDA" w:rsidR="00327DC1" w:rsidRPr="00AE064A" w:rsidRDefault="008C295F" w:rsidP="00144BE9">
      <w:pPr>
        <w:pStyle w:val="Heading3"/>
      </w:pPr>
      <w:r>
        <w:lastRenderedPageBreak/>
        <w:t xml:space="preserve">5. </w:t>
      </w:r>
      <w:r w:rsidR="00327DC1" w:rsidRPr="00AE064A">
        <w:t>Quality management and oversight systems</w:t>
      </w:r>
      <w:r w:rsidR="00830531" w:rsidRPr="00AE064A">
        <w:t xml:space="preserve">  </w:t>
      </w:r>
    </w:p>
    <w:p w14:paraId="65F711F0" w14:textId="77777777" w:rsidR="00327DC1" w:rsidRPr="00B11E60" w:rsidRDefault="00327DC1" w:rsidP="00327DC1">
      <w:pPr>
        <w:rPr>
          <w:rFonts w:cs="Arial"/>
        </w:rPr>
      </w:pPr>
      <w:r w:rsidRPr="00B11E60">
        <w:rPr>
          <w:rFonts w:cs="Arial"/>
        </w:rPr>
        <w:t>The administrative structure in place for the Frail Elder Waiver includes several layers of program oversight and quality management. At the state level, EOEA is the operating agency for the Massachusetts 1915(c) Frail Elder Home and Community Based Services Waiver. Reporting to the Executive Office of Health and Human Services (EOHHS), EOEA is subject to EOHHS’s oversight authority. The Office of Medicaid, the medical assistance unit within EOHHS, oversees EOEA’s administration of the FEW. Within this structure, the Director of Home and Community Programs and the Home Care Unit Quality Manager at EOEA have responsibility for ensuring that effective quality management systems are in place.</w:t>
      </w:r>
    </w:p>
    <w:p w14:paraId="6BE5AF92" w14:textId="77777777" w:rsidR="00857E0B" w:rsidRDefault="00BB618E" w:rsidP="00327DC1">
      <w:pPr>
        <w:rPr>
          <w:rFonts w:cs="Arial"/>
        </w:rPr>
      </w:pPr>
      <w:r>
        <w:rPr>
          <w:rFonts w:cs="Arial"/>
        </w:rPr>
        <w:t xml:space="preserve">As </w:t>
      </w:r>
      <w:r w:rsidR="00327DC1" w:rsidRPr="00B11E60">
        <w:rPr>
          <w:rFonts w:cs="Arial"/>
        </w:rPr>
        <w:t xml:space="preserve">EOEA’s </w:t>
      </w:r>
      <w:r>
        <w:rPr>
          <w:rFonts w:cs="Arial"/>
        </w:rPr>
        <w:t xml:space="preserve">agents, </w:t>
      </w:r>
      <w:r w:rsidR="00327DC1" w:rsidRPr="00B11E60">
        <w:rPr>
          <w:rFonts w:cs="Arial"/>
        </w:rPr>
        <w:t xml:space="preserve">ASAPs implement </w:t>
      </w:r>
      <w:r w:rsidR="00492B90">
        <w:rPr>
          <w:rFonts w:cs="Arial"/>
        </w:rPr>
        <w:t xml:space="preserve">clinical </w:t>
      </w:r>
      <w:r w:rsidR="00327DC1" w:rsidRPr="00B11E60">
        <w:rPr>
          <w:rFonts w:cs="Arial"/>
        </w:rPr>
        <w:t>eligibility, financial, contract management, quality, and other administrative functions of the Home Care Program, including with respect to FEW participants. EOEA’s oversight of ASAP operations includes on-site visits</w:t>
      </w:r>
      <w:r w:rsidR="006A5FD0">
        <w:rPr>
          <w:rFonts w:cs="Arial"/>
        </w:rPr>
        <w:t xml:space="preserve"> (“designation reviews”)</w:t>
      </w:r>
      <w:r w:rsidR="00327DC1" w:rsidRPr="00B11E60">
        <w:rPr>
          <w:rFonts w:cs="Arial"/>
        </w:rPr>
        <w:t xml:space="preserve"> every three years. In addition, each ASAP must submit annually an attestation of compliance with program guidelines and waiver requirements </w:t>
      </w:r>
      <w:proofErr w:type="gramStart"/>
      <w:r w:rsidR="00327DC1" w:rsidRPr="00B11E60">
        <w:rPr>
          <w:rFonts w:cs="Arial"/>
        </w:rPr>
        <w:t>in order to</w:t>
      </w:r>
      <w:proofErr w:type="gramEnd"/>
      <w:r w:rsidR="00327DC1" w:rsidRPr="00B11E60">
        <w:rPr>
          <w:rFonts w:cs="Arial"/>
        </w:rPr>
        <w:t xml:space="preserve"> maintain continued designation as an appropriate contractor. At the local level, ASAPs conduct operational and administrative functions such as quality monitoring, service provider contracting</w:t>
      </w:r>
      <w:r w:rsidR="00E307A8">
        <w:rPr>
          <w:rFonts w:cs="Arial"/>
        </w:rPr>
        <w:t>,</w:t>
      </w:r>
      <w:r w:rsidR="00327DC1" w:rsidRPr="00B11E60">
        <w:rPr>
          <w:rFonts w:cs="Arial"/>
        </w:rPr>
        <w:t xml:space="preserve"> and monitoring and incident reporting under the direction of EOEA. </w:t>
      </w:r>
    </w:p>
    <w:p w14:paraId="5B2D722C" w14:textId="0892341B" w:rsidR="00342017" w:rsidRDefault="00327DC1" w:rsidP="00327DC1">
      <w:pPr>
        <w:rPr>
          <w:rFonts w:cs="Arial"/>
        </w:rPr>
      </w:pPr>
      <w:r w:rsidRPr="00B11E60">
        <w:rPr>
          <w:rFonts w:cs="Arial"/>
        </w:rPr>
        <w:t>Each ASAP</w:t>
      </w:r>
      <w:r w:rsidR="00E307A8">
        <w:rPr>
          <w:rFonts w:cs="Arial"/>
        </w:rPr>
        <w:t>’s</w:t>
      </w:r>
      <w:r w:rsidRPr="00B11E60">
        <w:rPr>
          <w:rFonts w:cs="Arial"/>
        </w:rPr>
        <w:t xml:space="preserve"> Executive Director</w:t>
      </w:r>
      <w:r w:rsidR="00E307A8" w:rsidRPr="00E307A8">
        <w:rPr>
          <w:rFonts w:cs="Arial"/>
        </w:rPr>
        <w:t xml:space="preserve"> </w:t>
      </w:r>
      <w:r w:rsidR="00E307A8" w:rsidRPr="00B11E60">
        <w:rPr>
          <w:rFonts w:cs="Arial"/>
        </w:rPr>
        <w:t>manage</w:t>
      </w:r>
      <w:r w:rsidR="00E307A8">
        <w:rPr>
          <w:rFonts w:cs="Arial"/>
        </w:rPr>
        <w:t>s</w:t>
      </w:r>
      <w:r w:rsidR="00E307A8" w:rsidRPr="00B11E60">
        <w:rPr>
          <w:rFonts w:cs="Arial"/>
        </w:rPr>
        <w:t xml:space="preserve"> day-to-day compliance with waiver guidelines</w:t>
      </w:r>
      <w:r w:rsidRPr="00B11E60">
        <w:rPr>
          <w:rFonts w:cs="Arial"/>
        </w:rPr>
        <w:t xml:space="preserve"> along with the ASAP Home Care Program Manager and RN Manager. The provider contract manager, an employee of the ASAP, conducts all provider monitoring, including quality monitoring for all waiver services delivered to FEW participants. </w:t>
      </w:r>
    </w:p>
    <w:p w14:paraId="2D1DE45A" w14:textId="77777777" w:rsidR="001432A4" w:rsidRDefault="001432A4" w:rsidP="001432A4">
      <w:r w:rsidRPr="341548A0">
        <w:rPr>
          <w:rStyle w:val="Strong"/>
          <w:b w:val="0"/>
          <w:bCs w:val="0"/>
        </w:rPr>
        <w:t xml:space="preserve">A standing quality improvement committee which meets at least monthly is an ASAP requirement. This includes </w:t>
      </w:r>
      <w:r>
        <w:t>an agency quality improvement plan that is updated at least annually and a staff member with assigned responsibility for operational management of quality improvement activities. Tracking performance measures, including aggregation, remediation, and follow up with EOEA is specified in the ASAP contract.</w:t>
      </w:r>
    </w:p>
    <w:p w14:paraId="52C7943A" w14:textId="7F26C954" w:rsidR="00E64F0F" w:rsidRPr="00AE064A" w:rsidRDefault="00E64F0F" w:rsidP="341548A0">
      <w:pPr>
        <w:rPr>
          <w:rStyle w:val="SubtleEmphasis"/>
        </w:rPr>
      </w:pPr>
      <w:r w:rsidRPr="00AE064A">
        <w:rPr>
          <w:rStyle w:val="SubtleEmphasis"/>
        </w:rPr>
        <w:t>Provider network management and quality assurance</w:t>
      </w:r>
    </w:p>
    <w:p w14:paraId="446B4C4E" w14:textId="3EBC10D6" w:rsidR="00E64F0F" w:rsidRDefault="00E64F0F" w:rsidP="00E64F0F">
      <w:pPr>
        <w:rPr>
          <w:rStyle w:val="Strong"/>
          <w:b w:val="0"/>
          <w:bCs w:val="0"/>
        </w:rPr>
      </w:pPr>
      <w:r w:rsidRPr="5C5C78E7">
        <w:rPr>
          <w:rStyle w:val="Strong"/>
          <w:b w:val="0"/>
          <w:bCs w:val="0"/>
        </w:rPr>
        <w:t>A</w:t>
      </w:r>
      <w:r w:rsidR="00274BA8" w:rsidRPr="5C5C78E7">
        <w:rPr>
          <w:rStyle w:val="Strong"/>
          <w:b w:val="0"/>
          <w:bCs w:val="0"/>
        </w:rPr>
        <w:t xml:space="preserve">SPs </w:t>
      </w:r>
      <w:r w:rsidR="00D85784" w:rsidRPr="5C5C78E7">
        <w:rPr>
          <w:rStyle w:val="Strong"/>
          <w:b w:val="0"/>
          <w:bCs w:val="0"/>
        </w:rPr>
        <w:t>proactively manage the performance of providers in accordance with the Provider Network Quality Assurance Manual</w:t>
      </w:r>
      <w:r w:rsidR="00410FEF" w:rsidRPr="5C5C78E7">
        <w:rPr>
          <w:rStyle w:val="Strong"/>
          <w:b w:val="0"/>
          <w:bCs w:val="0"/>
        </w:rPr>
        <w:t xml:space="preserve">, </w:t>
      </w:r>
      <w:r w:rsidR="0043365B" w:rsidRPr="5C5C78E7">
        <w:rPr>
          <w:rStyle w:val="Strong"/>
          <w:b w:val="0"/>
          <w:bCs w:val="0"/>
        </w:rPr>
        <w:t xml:space="preserve">including </w:t>
      </w:r>
      <w:r w:rsidR="005D3E61" w:rsidRPr="5C5C78E7">
        <w:rPr>
          <w:rStyle w:val="Strong"/>
          <w:b w:val="0"/>
          <w:bCs w:val="0"/>
        </w:rPr>
        <w:t>monitoring and enfor</w:t>
      </w:r>
      <w:r w:rsidR="001D3257" w:rsidRPr="5C5C78E7">
        <w:rPr>
          <w:rStyle w:val="Strong"/>
          <w:b w:val="0"/>
          <w:bCs w:val="0"/>
        </w:rPr>
        <w:t xml:space="preserve">cing standards </w:t>
      </w:r>
      <w:r w:rsidR="00565AB8" w:rsidRPr="5C5C78E7">
        <w:rPr>
          <w:rStyle w:val="Strong"/>
          <w:b w:val="0"/>
          <w:bCs w:val="0"/>
        </w:rPr>
        <w:t xml:space="preserve">and instruction </w:t>
      </w:r>
      <w:r w:rsidR="00AF30C5">
        <w:rPr>
          <w:rStyle w:val="Strong"/>
          <w:b w:val="0"/>
          <w:bCs w:val="0"/>
        </w:rPr>
        <w:t xml:space="preserve">from </w:t>
      </w:r>
      <w:r w:rsidR="00565AB8" w:rsidRPr="5C5C78E7">
        <w:rPr>
          <w:rStyle w:val="Strong"/>
          <w:b w:val="0"/>
          <w:bCs w:val="0"/>
        </w:rPr>
        <w:t>EOEA</w:t>
      </w:r>
      <w:r w:rsidR="00E850F6" w:rsidRPr="5C5C78E7">
        <w:rPr>
          <w:rStyle w:val="Strong"/>
          <w:b w:val="0"/>
          <w:bCs w:val="0"/>
        </w:rPr>
        <w:t xml:space="preserve">. These requirements </w:t>
      </w:r>
      <w:r w:rsidR="000C525D" w:rsidRPr="5C5C78E7">
        <w:rPr>
          <w:rStyle w:val="Strong"/>
          <w:b w:val="0"/>
          <w:bCs w:val="0"/>
        </w:rPr>
        <w:t xml:space="preserve">include </w:t>
      </w:r>
      <w:r w:rsidR="008B08B0" w:rsidRPr="5C5C78E7">
        <w:rPr>
          <w:rStyle w:val="Strong"/>
          <w:b w:val="0"/>
          <w:bCs w:val="0"/>
        </w:rPr>
        <w:t xml:space="preserve">ensuring </w:t>
      </w:r>
      <w:r w:rsidR="00C96DC2" w:rsidRPr="5C5C78E7">
        <w:rPr>
          <w:rStyle w:val="Strong"/>
          <w:b w:val="0"/>
          <w:bCs w:val="0"/>
        </w:rPr>
        <w:t>l</w:t>
      </w:r>
      <w:r w:rsidR="003B5F1D" w:rsidRPr="5C5C78E7">
        <w:rPr>
          <w:rStyle w:val="Strong"/>
          <w:b w:val="0"/>
          <w:bCs w:val="0"/>
        </w:rPr>
        <w:t xml:space="preserve">icensure and certification, when </w:t>
      </w:r>
      <w:r w:rsidR="001A22E6" w:rsidRPr="5C5C78E7">
        <w:rPr>
          <w:rStyle w:val="Strong"/>
          <w:b w:val="0"/>
          <w:bCs w:val="0"/>
        </w:rPr>
        <w:t xml:space="preserve">applicable, </w:t>
      </w:r>
      <w:r w:rsidR="009D17F6" w:rsidRPr="5C5C78E7">
        <w:rPr>
          <w:rStyle w:val="Strong"/>
          <w:b w:val="0"/>
          <w:bCs w:val="0"/>
        </w:rPr>
        <w:t>implement</w:t>
      </w:r>
      <w:r w:rsidR="008B08B0" w:rsidRPr="5C5C78E7">
        <w:rPr>
          <w:rStyle w:val="Strong"/>
          <w:b w:val="0"/>
          <w:bCs w:val="0"/>
        </w:rPr>
        <w:t>ing</w:t>
      </w:r>
      <w:r w:rsidR="009D17F6" w:rsidRPr="5C5C78E7">
        <w:rPr>
          <w:rStyle w:val="Strong"/>
          <w:b w:val="0"/>
          <w:bCs w:val="0"/>
        </w:rPr>
        <w:t xml:space="preserve"> </w:t>
      </w:r>
      <w:r w:rsidR="000F4F52" w:rsidRPr="5C5C78E7">
        <w:rPr>
          <w:rStyle w:val="Strong"/>
          <w:b w:val="0"/>
          <w:bCs w:val="0"/>
        </w:rPr>
        <w:t>satisfaction s</w:t>
      </w:r>
      <w:r w:rsidR="00B25012" w:rsidRPr="5C5C78E7">
        <w:rPr>
          <w:rStyle w:val="Strong"/>
          <w:b w:val="0"/>
          <w:bCs w:val="0"/>
        </w:rPr>
        <w:t xml:space="preserve">urveys, </w:t>
      </w:r>
      <w:r w:rsidR="008B08B0" w:rsidRPr="5C5C78E7">
        <w:rPr>
          <w:rStyle w:val="Strong"/>
          <w:b w:val="0"/>
          <w:bCs w:val="0"/>
        </w:rPr>
        <w:t xml:space="preserve">having processes </w:t>
      </w:r>
      <w:r w:rsidR="006F4409" w:rsidRPr="5C5C78E7">
        <w:rPr>
          <w:rStyle w:val="Strong"/>
          <w:b w:val="0"/>
          <w:bCs w:val="0"/>
        </w:rPr>
        <w:t xml:space="preserve">to log, track, and respond appropriately to </w:t>
      </w:r>
      <w:r w:rsidR="00183E62" w:rsidRPr="5C5C78E7">
        <w:rPr>
          <w:rStyle w:val="Strong"/>
          <w:b w:val="0"/>
          <w:bCs w:val="0"/>
        </w:rPr>
        <w:t>provider</w:t>
      </w:r>
      <w:r w:rsidR="4D6EFEF1" w:rsidRPr="5C5C78E7">
        <w:rPr>
          <w:rStyle w:val="Strong"/>
          <w:b w:val="0"/>
          <w:bCs w:val="0"/>
        </w:rPr>
        <w:t>, critical incidents,</w:t>
      </w:r>
      <w:r w:rsidR="00183E62" w:rsidRPr="5C5C78E7">
        <w:rPr>
          <w:rStyle w:val="Strong"/>
          <w:b w:val="0"/>
          <w:bCs w:val="0"/>
        </w:rPr>
        <w:t xml:space="preserve"> </w:t>
      </w:r>
      <w:proofErr w:type="gramStart"/>
      <w:r w:rsidR="00183E62" w:rsidRPr="5C5C78E7">
        <w:rPr>
          <w:rStyle w:val="Strong"/>
          <w:b w:val="0"/>
          <w:bCs w:val="0"/>
        </w:rPr>
        <w:t>complaints</w:t>
      </w:r>
      <w:proofErr w:type="gramEnd"/>
      <w:r w:rsidR="00183E62" w:rsidRPr="5C5C78E7">
        <w:rPr>
          <w:rStyle w:val="Strong"/>
          <w:b w:val="0"/>
          <w:bCs w:val="0"/>
        </w:rPr>
        <w:t xml:space="preserve"> and compliments</w:t>
      </w:r>
      <w:r w:rsidR="00093009" w:rsidRPr="5C5C78E7">
        <w:rPr>
          <w:rStyle w:val="Strong"/>
          <w:b w:val="0"/>
          <w:bCs w:val="0"/>
        </w:rPr>
        <w:t>, and co</w:t>
      </w:r>
      <w:r w:rsidR="00C63F73" w:rsidRPr="5C5C78E7">
        <w:rPr>
          <w:rStyle w:val="Strong"/>
          <w:b w:val="0"/>
          <w:bCs w:val="0"/>
        </w:rPr>
        <w:t xml:space="preserve">nducting </w:t>
      </w:r>
      <w:r w:rsidR="00853D34">
        <w:rPr>
          <w:rStyle w:val="Strong"/>
          <w:b w:val="0"/>
          <w:bCs w:val="0"/>
        </w:rPr>
        <w:t xml:space="preserve">monitoring </w:t>
      </w:r>
      <w:r w:rsidR="00B10AFA" w:rsidRPr="5C5C78E7">
        <w:rPr>
          <w:rStyle w:val="Strong"/>
          <w:b w:val="0"/>
          <w:bCs w:val="0"/>
        </w:rPr>
        <w:t>reviews</w:t>
      </w:r>
      <w:r w:rsidR="00EA6C4E" w:rsidRPr="5C5C78E7">
        <w:rPr>
          <w:rStyle w:val="Strong"/>
          <w:b w:val="0"/>
          <w:bCs w:val="0"/>
        </w:rPr>
        <w:t xml:space="preserve"> in accordance with </w:t>
      </w:r>
      <w:r w:rsidR="009A1316" w:rsidRPr="5C5C78E7">
        <w:rPr>
          <w:rStyle w:val="Strong"/>
          <w:b w:val="0"/>
          <w:bCs w:val="0"/>
        </w:rPr>
        <w:t xml:space="preserve">EOEA standards. </w:t>
      </w:r>
    </w:p>
    <w:p w14:paraId="1CE30806" w14:textId="7B6FECC1" w:rsidR="0045479F" w:rsidRPr="001432A4" w:rsidRDefault="0051139C" w:rsidP="341548A0">
      <w:pPr>
        <w:rPr>
          <w:rStyle w:val="SubtleEmphasis"/>
        </w:rPr>
      </w:pPr>
      <w:r w:rsidRPr="001432A4">
        <w:rPr>
          <w:rStyle w:val="SubtleEmphasis"/>
        </w:rPr>
        <w:t>Service Plan Quality Improvement</w:t>
      </w:r>
    </w:p>
    <w:p w14:paraId="6C2A1F65" w14:textId="214B9C2C" w:rsidR="00415E4F" w:rsidRPr="00415E4F" w:rsidRDefault="0051139C" w:rsidP="00415E4F">
      <w:r w:rsidRPr="5C5C78E7">
        <w:rPr>
          <w:rStyle w:val="Strong"/>
          <w:b w:val="0"/>
          <w:bCs w:val="0"/>
        </w:rPr>
        <w:t xml:space="preserve">The </w:t>
      </w:r>
      <w:r w:rsidR="00742D79" w:rsidRPr="5C5C78E7">
        <w:rPr>
          <w:rStyle w:val="Strong"/>
          <w:b w:val="0"/>
          <w:bCs w:val="0"/>
        </w:rPr>
        <w:t xml:space="preserve">approved </w:t>
      </w:r>
      <w:r w:rsidR="005F138D" w:rsidRPr="5C5C78E7">
        <w:rPr>
          <w:rStyle w:val="Strong"/>
          <w:b w:val="0"/>
          <w:bCs w:val="0"/>
        </w:rPr>
        <w:t xml:space="preserve">FEW </w:t>
      </w:r>
      <w:proofErr w:type="gramStart"/>
      <w:r w:rsidR="005F138D" w:rsidRPr="5C5C78E7">
        <w:rPr>
          <w:rStyle w:val="Strong"/>
          <w:b w:val="0"/>
          <w:bCs w:val="0"/>
        </w:rPr>
        <w:t>application</w:t>
      </w:r>
      <w:proofErr w:type="gramEnd"/>
      <w:r w:rsidR="005F138D" w:rsidRPr="5C5C78E7">
        <w:rPr>
          <w:rStyle w:val="Strong"/>
          <w:b w:val="0"/>
          <w:bCs w:val="0"/>
        </w:rPr>
        <w:t xml:space="preserve"> details the </w:t>
      </w:r>
      <w:r w:rsidR="004C23A5" w:rsidRPr="5C5C78E7">
        <w:rPr>
          <w:rStyle w:val="Strong"/>
          <w:b w:val="0"/>
          <w:bCs w:val="0"/>
        </w:rPr>
        <w:t xml:space="preserve">performance measures that are </w:t>
      </w:r>
      <w:r w:rsidR="00790BFE" w:rsidRPr="5C5C78E7">
        <w:rPr>
          <w:rStyle w:val="Strong"/>
          <w:b w:val="0"/>
          <w:bCs w:val="0"/>
        </w:rPr>
        <w:t>tracked and acted upon</w:t>
      </w:r>
      <w:r w:rsidR="00A96168" w:rsidRPr="5C5C78E7">
        <w:rPr>
          <w:rStyle w:val="Strong"/>
          <w:b w:val="0"/>
          <w:bCs w:val="0"/>
        </w:rPr>
        <w:t xml:space="preserve"> to ensure</w:t>
      </w:r>
      <w:r w:rsidR="0054427E" w:rsidRPr="5C5C78E7">
        <w:rPr>
          <w:rStyle w:val="Strong"/>
          <w:b w:val="0"/>
          <w:bCs w:val="0"/>
        </w:rPr>
        <w:t xml:space="preserve"> waiver </w:t>
      </w:r>
      <w:r w:rsidR="0054427E">
        <w:t>services are delivered in accordance with the service plan and that they are meeting the participant’s needs and preferences.</w:t>
      </w:r>
      <w:r w:rsidR="00B34CB3">
        <w:t xml:space="preserve"> Case managers document their revie</w:t>
      </w:r>
      <w:r w:rsidR="00DD109F">
        <w:t xml:space="preserve">w of waiver participant service plans </w:t>
      </w:r>
      <w:r w:rsidR="001279D1">
        <w:t xml:space="preserve">in the </w:t>
      </w:r>
      <w:r w:rsidR="009E5C8F">
        <w:t xml:space="preserve">data </w:t>
      </w:r>
      <w:r w:rsidR="001279D1">
        <w:t xml:space="preserve">management system, and </w:t>
      </w:r>
      <w:r w:rsidR="00711A3C">
        <w:t xml:space="preserve">an annual report is produced </w:t>
      </w:r>
      <w:r w:rsidR="00970589">
        <w:t>out of th</w:t>
      </w:r>
      <w:r w:rsidR="002C2E41">
        <w:t xml:space="preserve">at system </w:t>
      </w:r>
      <w:r w:rsidR="00970589">
        <w:t xml:space="preserve">for use in </w:t>
      </w:r>
      <w:r w:rsidR="005947DF">
        <w:t xml:space="preserve">FEW </w:t>
      </w:r>
      <w:proofErr w:type="gramStart"/>
      <w:r w:rsidR="005947DF">
        <w:t>quality</w:t>
      </w:r>
      <w:proofErr w:type="gramEnd"/>
      <w:r w:rsidR="005947DF">
        <w:t xml:space="preserve"> </w:t>
      </w:r>
      <w:r w:rsidR="00932F7B">
        <w:t xml:space="preserve">performance </w:t>
      </w:r>
      <w:r w:rsidR="00191FCC">
        <w:t xml:space="preserve">reporting. </w:t>
      </w:r>
      <w:r w:rsidR="009E5088">
        <w:t xml:space="preserve">For the FEW </w:t>
      </w:r>
      <w:r w:rsidR="009E5088">
        <w:lastRenderedPageBreak/>
        <w:t xml:space="preserve">participants who are SCO members, </w:t>
      </w:r>
      <w:r w:rsidR="005C5900">
        <w:t xml:space="preserve">the SCO plans </w:t>
      </w:r>
      <w:r w:rsidR="004D64CB">
        <w:t xml:space="preserve">provide similar data. </w:t>
      </w:r>
      <w:r w:rsidR="00D0363E">
        <w:t>I</w:t>
      </w:r>
      <w:r w:rsidR="00415E4F">
        <w:t>n the event problems are discovered</w:t>
      </w:r>
      <w:r w:rsidR="005250A9">
        <w:t>,</w:t>
      </w:r>
      <w:r w:rsidR="00415E4F">
        <w:t xml:space="preserve"> EOEA</w:t>
      </w:r>
      <w:r w:rsidR="007A5AA9">
        <w:t xml:space="preserve"> and </w:t>
      </w:r>
      <w:r w:rsidR="00415E4F">
        <w:t>MassHealth</w:t>
      </w:r>
      <w:r w:rsidR="005250A9">
        <w:t xml:space="preserve"> </w:t>
      </w:r>
      <w:r w:rsidR="00415E4F">
        <w:t>will ensure that a corrective action plan is created, approved, and implemented within appropriate timelines. Timelines for remediation will be dependent on the nature and severity of the issue to be addressed. Further, EOEA,</w:t>
      </w:r>
      <w:r w:rsidR="5FE882A9">
        <w:t xml:space="preserve"> and MassHealth</w:t>
      </w:r>
      <w:r w:rsidR="001432A4">
        <w:t xml:space="preserve"> </w:t>
      </w:r>
      <w:r w:rsidR="00415E4F">
        <w:t xml:space="preserve">are responsible for identifying and analyzing trends related to the </w:t>
      </w:r>
      <w:r w:rsidR="00C81877">
        <w:t xml:space="preserve">service plans and operations of </w:t>
      </w:r>
      <w:r w:rsidR="00415E4F">
        <w:t xml:space="preserve">the </w:t>
      </w:r>
      <w:r w:rsidR="00C81877">
        <w:t xml:space="preserve">FEW </w:t>
      </w:r>
      <w:r w:rsidR="00415E4F">
        <w:t xml:space="preserve">waiver and determining strategies to address quality-related issues. </w:t>
      </w:r>
    </w:p>
    <w:p w14:paraId="7981E1BD" w14:textId="75EA0EF0" w:rsidR="00342017" w:rsidRPr="001432A4" w:rsidRDefault="00342017" w:rsidP="00342017">
      <w:pPr>
        <w:rPr>
          <w:rStyle w:val="SubtleEmphasis"/>
        </w:rPr>
      </w:pPr>
      <w:r w:rsidRPr="001432A4">
        <w:rPr>
          <w:rStyle w:val="SubtleEmphasis"/>
        </w:rPr>
        <w:t xml:space="preserve">Adult Foster Care </w:t>
      </w:r>
    </w:p>
    <w:p w14:paraId="06BE151C" w14:textId="6937F84B" w:rsidR="00342017" w:rsidRPr="00030CCB" w:rsidRDefault="00342017" w:rsidP="00342017">
      <w:r w:rsidRPr="00030CCB">
        <w:t xml:space="preserve">By March </w:t>
      </w:r>
      <w:r w:rsidR="007D5F8B">
        <w:t xml:space="preserve">17, </w:t>
      </w:r>
      <w:r w:rsidRPr="00030CCB">
        <w:t xml:space="preserve">2023, AFC providers will </w:t>
      </w:r>
      <w:r w:rsidR="008A639D">
        <w:t xml:space="preserve">ensure that AFC caregivers and AFC members </w:t>
      </w:r>
      <w:r w:rsidRPr="00030CCB">
        <w:t xml:space="preserve">have completed </w:t>
      </w:r>
      <w:r w:rsidR="008A639D">
        <w:t xml:space="preserve">the required joint Attestation form, </w:t>
      </w:r>
      <w:r w:rsidRPr="00030CCB">
        <w:t xml:space="preserve">and executed </w:t>
      </w:r>
      <w:r w:rsidR="008A639D">
        <w:t xml:space="preserve">lease </w:t>
      </w:r>
      <w:r w:rsidRPr="00030CCB">
        <w:t>agreements</w:t>
      </w:r>
      <w:r w:rsidR="00B761A8">
        <w:t xml:space="preserve"> where necessary,</w:t>
      </w:r>
      <w:r w:rsidRPr="00030CCB">
        <w:t xml:space="preserve"> </w:t>
      </w:r>
      <w:r w:rsidR="00B761A8">
        <w:t>for</w:t>
      </w:r>
      <w:r w:rsidR="00B761A8" w:rsidRPr="00030CCB">
        <w:t xml:space="preserve"> </w:t>
      </w:r>
      <w:r w:rsidR="00BC0AD5">
        <w:t xml:space="preserve">HCBS waiver </w:t>
      </w:r>
      <w:r w:rsidRPr="00030CCB">
        <w:t xml:space="preserve">participants </w:t>
      </w:r>
      <w:r>
        <w:t xml:space="preserve">whose residential settings are subject to the community rule </w:t>
      </w:r>
      <w:r w:rsidRPr="00030CCB">
        <w:t xml:space="preserve">and </w:t>
      </w:r>
      <w:r>
        <w:t>will</w:t>
      </w:r>
      <w:r w:rsidRPr="00030CCB">
        <w:t xml:space="preserve"> continue to do so as a matter of practice. </w:t>
      </w:r>
      <w:r w:rsidR="00CC6F1E" w:rsidRPr="00CC6F1E">
        <w:t xml:space="preserve"> MassHealth</w:t>
      </w:r>
      <w:r w:rsidR="00B761A8">
        <w:t xml:space="preserve"> or the LTSS TPA</w:t>
      </w:r>
      <w:r w:rsidR="00CC6F1E" w:rsidRPr="00CC6F1E">
        <w:t xml:space="preserve"> will conduct </w:t>
      </w:r>
      <w:r w:rsidR="00B761A8">
        <w:t>site visits</w:t>
      </w:r>
      <w:r w:rsidR="00CC6F1E" w:rsidRPr="00CC6F1E">
        <w:t xml:space="preserve"> for a sample of AFC members who are HCBS Waiver participants residing in the home of an unrelated caregiver as an additional layer of ongoing monitoring and oversight to ensure compliance of AFC settings with the Community Rule.</w:t>
      </w:r>
    </w:p>
    <w:p w14:paraId="371D6AC4" w14:textId="7B7E0BF9" w:rsidR="002D5510" w:rsidRPr="001432A4" w:rsidRDefault="00327DC1" w:rsidP="00122579">
      <w:pPr>
        <w:pStyle w:val="Heading2"/>
      </w:pPr>
      <w:r w:rsidRPr="001432A4">
        <w:t>V.</w:t>
      </w:r>
      <w:r w:rsidRPr="001432A4">
        <w:tab/>
        <w:t>Site-Spec</w:t>
      </w:r>
      <w:r w:rsidR="00B14E7C" w:rsidRPr="001432A4">
        <w:t>ific Assessment</w:t>
      </w:r>
    </w:p>
    <w:p w14:paraId="3A7B1AFB" w14:textId="0F7C9B9F" w:rsidR="00327DC1" w:rsidRPr="00122579" w:rsidRDefault="00327DC1" w:rsidP="00122579">
      <w:pPr>
        <w:pStyle w:val="Heading2"/>
        <w:spacing w:before="360"/>
        <w:contextualSpacing w:val="0"/>
        <w:rPr>
          <w:sz w:val="26"/>
          <w:szCs w:val="26"/>
        </w:rPr>
      </w:pPr>
      <w:r w:rsidRPr="00122579">
        <w:rPr>
          <w:sz w:val="26"/>
          <w:szCs w:val="26"/>
        </w:rPr>
        <w:t>A.  Waivers operated by the Department of Developmental Services (DDS)</w:t>
      </w:r>
    </w:p>
    <w:p w14:paraId="1FC6DC10" w14:textId="77777777" w:rsidR="00327DC1" w:rsidRPr="00B11E60" w:rsidRDefault="00327DC1" w:rsidP="008E6F7E">
      <w:pPr>
        <w:rPr>
          <w:rFonts w:cs="Arial"/>
        </w:rPr>
      </w:pPr>
      <w:r w:rsidRPr="00B11E60">
        <w:rPr>
          <w:rFonts w:cs="Arial"/>
        </w:rPr>
        <w:t xml:space="preserve">In conjunction with its providers, DDS Senior and Regional Staff reviewed residential and non-residential settings in which DDS-operated waiver services are provided to assess their compliance with the Community Rule. </w:t>
      </w:r>
    </w:p>
    <w:p w14:paraId="2AF5133A" w14:textId="77777777" w:rsidR="00327DC1" w:rsidRPr="00B11E60" w:rsidRDefault="00327DC1" w:rsidP="00327DC1">
      <w:pPr>
        <w:rPr>
          <w:rFonts w:cs="Arial"/>
        </w:rPr>
      </w:pPr>
      <w:r w:rsidRPr="00B11E60">
        <w:rPr>
          <w:rFonts w:cs="Arial"/>
        </w:rPr>
        <w:t xml:space="preserve">For the limited number of day service providers providing services only under the MFP and ABI waivers, please refer to Section </w:t>
      </w:r>
      <w:r>
        <w:rPr>
          <w:rFonts w:cs="Arial"/>
        </w:rPr>
        <w:t>4.B.4 above</w:t>
      </w:r>
      <w:r w:rsidRPr="00B11E60">
        <w:rPr>
          <w:rFonts w:cs="Arial"/>
        </w:rPr>
        <w:t>, describing the Massachusetts Rehabilitation Commission (MRC) monitoring tool used for these providers, which fully assesses and ensures compliance with the Community Rule.</w:t>
      </w:r>
      <w:r w:rsidR="00FD5B97">
        <w:rPr>
          <w:rFonts w:cs="Arial"/>
        </w:rPr>
        <w:t xml:space="preserve"> Also see Section B, below, describing MRC’s site-specific review process, findings, and remedial actions/actions related to compliance.</w:t>
      </w:r>
    </w:p>
    <w:p w14:paraId="16EF6181" w14:textId="12C4E569" w:rsidR="00327DC1" w:rsidRPr="001432A4" w:rsidRDefault="00B02375" w:rsidP="00144BE9">
      <w:pPr>
        <w:pStyle w:val="Heading3"/>
      </w:pPr>
      <w:r>
        <w:t xml:space="preserve">1. </w:t>
      </w:r>
      <w:r w:rsidR="00327DC1" w:rsidRPr="001432A4">
        <w:t xml:space="preserve">Process (See </w:t>
      </w:r>
      <w:r w:rsidR="00D579F0" w:rsidRPr="001432A4">
        <w:t>Table 3</w:t>
      </w:r>
      <w:r w:rsidR="00EF6B1A" w:rsidRPr="001432A4">
        <w:t>.</w:t>
      </w:r>
      <w:r w:rsidR="00D579F0" w:rsidRPr="001432A4">
        <w:t xml:space="preserve"> </w:t>
      </w:r>
      <w:r w:rsidR="00327DC1" w:rsidRPr="001432A4">
        <w:t>Summary of Transition Plan Tasks and Timelines)</w:t>
      </w:r>
    </w:p>
    <w:p w14:paraId="787C45A3" w14:textId="77777777" w:rsidR="00A32FE8" w:rsidRPr="001432A4" w:rsidRDefault="00327DC1" w:rsidP="00FD56B6">
      <w:pPr>
        <w:rPr>
          <w:rStyle w:val="Strong"/>
        </w:rPr>
      </w:pPr>
      <w:r w:rsidRPr="001432A4">
        <w:rPr>
          <w:rStyle w:val="Strong"/>
        </w:rPr>
        <w:t>Residential settings</w:t>
      </w:r>
    </w:p>
    <w:p w14:paraId="52886BC2" w14:textId="2B147872" w:rsidR="00327DC1" w:rsidRDefault="00811C6D" w:rsidP="00A32FE8">
      <w:pPr>
        <w:rPr>
          <w:rFonts w:cs="Arial"/>
        </w:rPr>
      </w:pPr>
      <w:r w:rsidRPr="628C881F">
        <w:rPr>
          <w:rFonts w:cs="Arial"/>
        </w:rPr>
        <w:t xml:space="preserve">DDS has approximately </w:t>
      </w:r>
      <w:r w:rsidR="006C5D9C">
        <w:rPr>
          <w:rFonts w:cs="Arial"/>
        </w:rPr>
        <w:t>4</w:t>
      </w:r>
      <w:r w:rsidRPr="628C881F">
        <w:rPr>
          <w:rFonts w:cs="Arial"/>
        </w:rPr>
        <w:t>,</w:t>
      </w:r>
      <w:r w:rsidR="006C5D9C">
        <w:rPr>
          <w:rFonts w:cs="Arial"/>
        </w:rPr>
        <w:t>000</w:t>
      </w:r>
      <w:r w:rsidRPr="628C881F">
        <w:rPr>
          <w:rFonts w:cs="Arial"/>
        </w:rPr>
        <w:t xml:space="preserve"> community residences, both public and private, that offer 24-hour supports</w:t>
      </w:r>
      <w:r w:rsidR="003642C0">
        <w:rPr>
          <w:rFonts w:cs="Arial"/>
        </w:rPr>
        <w:t>:</w:t>
      </w:r>
      <w:r w:rsidRPr="628C881F">
        <w:rPr>
          <w:rFonts w:cs="Arial"/>
        </w:rPr>
        <w:t xml:space="preserve"> approximately 2,500 are group home settings and over </w:t>
      </w:r>
      <w:r w:rsidR="0024691D">
        <w:rPr>
          <w:rFonts w:cs="Arial"/>
        </w:rPr>
        <w:t xml:space="preserve">1,400 </w:t>
      </w:r>
      <w:r w:rsidRPr="628C881F">
        <w:rPr>
          <w:rFonts w:cs="Arial"/>
        </w:rPr>
        <w:t xml:space="preserve">are placement services (shared living) in private homes (see Table </w:t>
      </w:r>
      <w:r w:rsidR="006C5D9C">
        <w:rPr>
          <w:rFonts w:cs="Arial"/>
        </w:rPr>
        <w:t>2</w:t>
      </w:r>
      <w:r w:rsidRPr="628C881F">
        <w:rPr>
          <w:rFonts w:cs="Arial"/>
        </w:rPr>
        <w:t xml:space="preserve"> for additional details). </w:t>
      </w:r>
      <w:proofErr w:type="gramStart"/>
      <w:r w:rsidRPr="628C881F">
        <w:rPr>
          <w:rFonts w:cs="Arial"/>
        </w:rPr>
        <w:t>The vast majority of</w:t>
      </w:r>
      <w:proofErr w:type="gramEnd"/>
      <w:r w:rsidRPr="628C881F">
        <w:rPr>
          <w:rFonts w:cs="Arial"/>
        </w:rPr>
        <w:t xml:space="preserve"> these homes are located in the community and integrated into the many neighborhoods of the State</w:t>
      </w:r>
      <w:r w:rsidR="00327DC1" w:rsidRPr="628C881F">
        <w:rPr>
          <w:rFonts w:cs="Arial"/>
        </w:rPr>
        <w:t xml:space="preserve">. </w:t>
      </w:r>
    </w:p>
    <w:p w14:paraId="2307E0C5" w14:textId="6715D6A2" w:rsidR="000865C1" w:rsidRPr="000865C1" w:rsidRDefault="000865C1" w:rsidP="000865C1">
      <w:pPr>
        <w:rPr>
          <w:rFonts w:cs="Arial"/>
        </w:rPr>
      </w:pPr>
      <w:r w:rsidRPr="000865C1">
        <w:rPr>
          <w:rFonts w:cs="Arial"/>
        </w:rPr>
        <w:t>DDS Licensure and Certification is the process by which providers’ compliance is assessed and determined. The licensure and certification process applies to all providers subject to the requirements of Chapter 19B; section 15(a) of the Massachusetts General Laws.  The licensing review is conducted in a 2-year cycle if all thresholds are met.  Other conditions may require a 60-day follow-up or a mid-cycle review where the agency is reviewed for those indicators where the threshold has not been met.  In some circumstances, both a 60-day follow-up and a mid-</w:t>
      </w:r>
      <w:r w:rsidRPr="000865C1">
        <w:rPr>
          <w:rFonts w:cs="Arial"/>
        </w:rPr>
        <w:lastRenderedPageBreak/>
        <w:t xml:space="preserve">cycle review are conducted.  Providers are certified for two years, concurrent with their Two-Year Licensure.  If the certification threshold is not met, the provider is required to complete a progress report at the one-year mark.    </w:t>
      </w:r>
    </w:p>
    <w:p w14:paraId="2F7B4BE5" w14:textId="3BA9D6FC" w:rsidR="000865C1" w:rsidRPr="000865C1" w:rsidRDefault="000865C1" w:rsidP="000865C1">
      <w:pPr>
        <w:rPr>
          <w:rFonts w:cs="Arial"/>
        </w:rPr>
      </w:pPr>
      <w:r w:rsidRPr="000865C1">
        <w:rPr>
          <w:rFonts w:cs="Arial"/>
        </w:rPr>
        <w:t xml:space="preserve">Licensure and certification results are reported separately, with Certification findings specific to individual service types and measuring key areas such as human rights, choice and control, and community access and integration.  </w:t>
      </w:r>
    </w:p>
    <w:p w14:paraId="43B87983" w14:textId="0554E99C" w:rsidR="000865C1" w:rsidRPr="000865C1" w:rsidRDefault="000865C1" w:rsidP="000865C1">
      <w:pPr>
        <w:rPr>
          <w:rFonts w:cs="Arial"/>
        </w:rPr>
      </w:pPr>
      <w:r w:rsidRPr="000865C1">
        <w:rPr>
          <w:rFonts w:cs="Arial"/>
        </w:rPr>
        <w:t xml:space="preserve">The certification tool and process set forth standards for specific services that promote quality and responsiveness and when implemented are predictive of positive outcomes in the lives of individuals.   The tool has its foundation in DDS Regulations (115 CMR Chapters 5, 7, and 8) and covers areas of respect, individual choice and control, and community integration; the tool was expanded in 2016 to align with the Community Rule.  At that time, DDS revised the licensure and certification tool to clarify expectations and even more closely and strongly align the tool with the critical elements of the Community Rule in terms of both residential and non-residential settings. The specific support expectations in certification fall into several domains, each of which is evaluated separately.  These include, but are not limited to planning and quality improvement, </w:t>
      </w:r>
      <w:proofErr w:type="gramStart"/>
      <w:r w:rsidRPr="000865C1">
        <w:rPr>
          <w:rFonts w:cs="Arial"/>
        </w:rPr>
        <w:t>choice</w:t>
      </w:r>
      <w:proofErr w:type="gramEnd"/>
      <w:r w:rsidRPr="000865C1">
        <w:rPr>
          <w:rFonts w:cs="Arial"/>
        </w:rPr>
        <w:t xml:space="preserve"> and personal growth, supporting and enhancing relationships, career planning and development, and access and integration, to reflect the community rule. </w:t>
      </w:r>
    </w:p>
    <w:p w14:paraId="2ECAB4A3" w14:textId="239F72A2" w:rsidR="000865C1" w:rsidRPr="000865C1" w:rsidRDefault="000865C1" w:rsidP="000865C1">
      <w:pPr>
        <w:rPr>
          <w:rFonts w:cs="Arial"/>
        </w:rPr>
      </w:pPr>
      <w:r w:rsidRPr="000865C1">
        <w:rPr>
          <w:rFonts w:cs="Arial"/>
        </w:rPr>
        <w:t xml:space="preserve">The Licensure and Certification review is conducted by DDS Quality Enhancement surveyors.  The survey includes preparatory documentation review, administrative review and interview, on-site visits, individual observation and interviews, and individual documentation reviews.  Survey findings are made based on extensive evidence obtained through these various processes.  </w:t>
      </w:r>
    </w:p>
    <w:p w14:paraId="2C74B4B2" w14:textId="2D3FEBA9" w:rsidR="000865C1" w:rsidRPr="000865C1" w:rsidRDefault="000865C1" w:rsidP="000865C1">
      <w:pPr>
        <w:rPr>
          <w:rFonts w:cs="Arial"/>
        </w:rPr>
      </w:pPr>
      <w:r w:rsidRPr="000865C1">
        <w:rPr>
          <w:rFonts w:cs="Arial"/>
        </w:rPr>
        <w:t xml:space="preserve">Upon the completion of the survey, a feedback meeting is held for the purpose of presenting the survey team’s findings.  In addition to outlining the level of licensure and certification results, the meeting allows sufficient time to discuss any areas where additional agency effort might be needed.  The goal of this meeting is to support continuous service quality improvement.   </w:t>
      </w:r>
    </w:p>
    <w:p w14:paraId="6E5A7C0E" w14:textId="1444DD2B" w:rsidR="000865C1" w:rsidRPr="00A32FE8" w:rsidRDefault="000865C1" w:rsidP="000865C1">
      <w:pPr>
        <w:rPr>
          <w:rFonts w:cs="Arial"/>
        </w:rPr>
      </w:pPr>
      <w:r w:rsidRPr="000865C1">
        <w:rPr>
          <w:rFonts w:cs="Arial"/>
        </w:rPr>
        <w:t xml:space="preserve">Providers are required to make corrections when indicators are not </w:t>
      </w:r>
      <w:proofErr w:type="gramStart"/>
      <w:r w:rsidRPr="000865C1">
        <w:rPr>
          <w:rFonts w:cs="Arial"/>
        </w:rPr>
        <w:t>met, and</w:t>
      </w:r>
      <w:proofErr w:type="gramEnd"/>
      <w:r w:rsidRPr="000865C1">
        <w:rPr>
          <w:rFonts w:cs="Arial"/>
        </w:rPr>
        <w:t xml:space="preserve"> are subject to follow-up by DDS surveyor staff or provider staff. These indicators are supportive of and fully in compliance with the HCBS Community Rule.</w:t>
      </w:r>
    </w:p>
    <w:p w14:paraId="77492B5C" w14:textId="233D39A7" w:rsidR="008120A2" w:rsidRPr="008120A2" w:rsidRDefault="00327DC1" w:rsidP="008120A2">
      <w:pPr>
        <w:rPr>
          <w:rFonts w:cs="Arial"/>
        </w:rPr>
      </w:pPr>
      <w:r w:rsidRPr="00A32FE8">
        <w:rPr>
          <w:rFonts w:cs="Arial"/>
        </w:rPr>
        <w:t xml:space="preserve">DDS conducted a review of existing 24-hour residential settings to determine those settings that had a license and certification in good standing. (For Assisted Living sites that are part of ABI and MFP waivers, where </w:t>
      </w:r>
      <w:r w:rsidR="006A5FD0">
        <w:rPr>
          <w:rFonts w:cs="Arial"/>
        </w:rPr>
        <w:t xml:space="preserve">DDS </w:t>
      </w:r>
      <w:r w:rsidRPr="00A32FE8">
        <w:rPr>
          <w:rFonts w:cs="Arial"/>
        </w:rPr>
        <w:t xml:space="preserve">licensure is not applicable, the review determined whether they were credentialed in good standing.) Given the outcomes that are reviewed during the licensure and certification process conducted by DDS surveyors independent of the agency being reviewed, DDS </w:t>
      </w:r>
      <w:r w:rsidR="00FD5B97" w:rsidRPr="00A32FE8">
        <w:rPr>
          <w:rFonts w:cs="Arial"/>
        </w:rPr>
        <w:t>assures</w:t>
      </w:r>
      <w:r w:rsidRPr="00A32FE8">
        <w:rPr>
          <w:rFonts w:cs="Arial"/>
        </w:rPr>
        <w:t xml:space="preserve"> that providers that have received a full license and certification meet the standards established in the </w:t>
      </w:r>
      <w:r w:rsidR="000E7C08" w:rsidRPr="00A32FE8">
        <w:rPr>
          <w:rFonts w:cs="Arial"/>
        </w:rPr>
        <w:t>C</w:t>
      </w:r>
      <w:r w:rsidRPr="00A32FE8">
        <w:rPr>
          <w:rFonts w:cs="Arial"/>
        </w:rPr>
        <w:t xml:space="preserve">ommunity </w:t>
      </w:r>
      <w:r w:rsidR="000E7C08" w:rsidRPr="00A32FE8">
        <w:rPr>
          <w:rFonts w:cs="Arial"/>
        </w:rPr>
        <w:t>R</w:t>
      </w:r>
      <w:r w:rsidRPr="00A32FE8">
        <w:rPr>
          <w:rFonts w:cs="Arial"/>
        </w:rPr>
        <w:t>ule</w:t>
      </w:r>
      <w:r w:rsidR="000E7C08" w:rsidRPr="00A32FE8">
        <w:rPr>
          <w:rFonts w:cs="Arial"/>
        </w:rPr>
        <w:t>—</w:t>
      </w:r>
      <w:proofErr w:type="gramStart"/>
      <w:r w:rsidR="000E7C08" w:rsidRPr="00A32FE8">
        <w:rPr>
          <w:rFonts w:cs="Arial"/>
        </w:rPr>
        <w:t>with</w:t>
      </w:r>
      <w:r w:rsidRPr="00A32FE8">
        <w:rPr>
          <w:rFonts w:cs="Arial"/>
        </w:rPr>
        <w:t xml:space="preserve"> the exception of</w:t>
      </w:r>
      <w:proofErr w:type="gramEnd"/>
      <w:r w:rsidRPr="00A32FE8">
        <w:rPr>
          <w:rFonts w:cs="Arial"/>
        </w:rPr>
        <w:t xml:space="preserve"> the </w:t>
      </w:r>
      <w:r w:rsidR="000E7C08" w:rsidRPr="00A32FE8">
        <w:rPr>
          <w:rFonts w:cs="Arial"/>
        </w:rPr>
        <w:t xml:space="preserve">requirements for </w:t>
      </w:r>
      <w:r w:rsidRPr="00A32FE8">
        <w:rPr>
          <w:rFonts w:cs="Arial"/>
        </w:rPr>
        <w:t>legally enforceable written agreement</w:t>
      </w:r>
      <w:r w:rsidR="000E7C08" w:rsidRPr="00A32FE8">
        <w:rPr>
          <w:rFonts w:cs="Arial"/>
        </w:rPr>
        <w:t>s</w:t>
      </w:r>
      <w:r w:rsidRPr="00A32FE8">
        <w:rPr>
          <w:rFonts w:cs="Arial"/>
        </w:rPr>
        <w:t xml:space="preserve"> and locks on bedroom doors</w:t>
      </w:r>
      <w:r w:rsidR="000E7C08" w:rsidRPr="00A32FE8">
        <w:rPr>
          <w:rFonts w:cs="Arial"/>
        </w:rPr>
        <w:t>,</w:t>
      </w:r>
      <w:r w:rsidRPr="00A32FE8">
        <w:rPr>
          <w:rFonts w:cs="Arial"/>
        </w:rPr>
        <w:t xml:space="preserve"> which </w:t>
      </w:r>
      <w:r w:rsidR="002714E2">
        <w:rPr>
          <w:rFonts w:cs="Arial"/>
        </w:rPr>
        <w:t>has been</w:t>
      </w:r>
      <w:r w:rsidRPr="00A32FE8">
        <w:rPr>
          <w:rFonts w:cs="Arial"/>
        </w:rPr>
        <w:t xml:space="preserve"> dealt with on a statewide</w:t>
      </w:r>
      <w:r w:rsidR="000E7C08" w:rsidRPr="00A32FE8">
        <w:rPr>
          <w:rFonts w:cs="Arial"/>
        </w:rPr>
        <w:t>,</w:t>
      </w:r>
      <w:r w:rsidRPr="00A32FE8">
        <w:rPr>
          <w:rFonts w:cs="Arial"/>
        </w:rPr>
        <w:t xml:space="preserve"> systemic basis. </w:t>
      </w:r>
      <w:r w:rsidR="002714E2">
        <w:rPr>
          <w:rFonts w:cs="Arial"/>
        </w:rPr>
        <w:t>I</w:t>
      </w:r>
      <w:r w:rsidR="002714E2" w:rsidRPr="002714E2">
        <w:rPr>
          <w:rFonts w:cs="Arial"/>
        </w:rPr>
        <w:t xml:space="preserve">n the rare situation in which providers were reviewed and leases / locks were not in place, </w:t>
      </w:r>
      <w:r w:rsidR="00942FC7">
        <w:rPr>
          <w:rFonts w:cs="Arial"/>
        </w:rPr>
        <w:t xml:space="preserve">a </w:t>
      </w:r>
      <w:r w:rsidR="002714E2" w:rsidRPr="002714E2">
        <w:rPr>
          <w:rFonts w:cs="Arial"/>
        </w:rPr>
        <w:t>follow-up process was activated to ensure that the provider will comply</w:t>
      </w:r>
      <w:r w:rsidRPr="00A32FE8">
        <w:rPr>
          <w:rFonts w:cs="Arial"/>
        </w:rPr>
        <w:t>.</w:t>
      </w:r>
      <w:r w:rsidRPr="00A32FE8" w:rsidDel="00666BD2">
        <w:rPr>
          <w:rFonts w:cs="Arial"/>
        </w:rPr>
        <w:t xml:space="preserve"> </w:t>
      </w:r>
      <w:r w:rsidR="008120A2" w:rsidRPr="008120A2">
        <w:rPr>
          <w:rFonts w:cs="Arial"/>
        </w:rPr>
        <w:t>DDS residential provider licensure and certification reports are publicly available on the state website (See Table 4. Links to Related Documents).</w:t>
      </w:r>
    </w:p>
    <w:p w14:paraId="0EB28EDB" w14:textId="7ED97E6D" w:rsidR="00327DC1" w:rsidRPr="00A32FE8" w:rsidRDefault="00327DC1" w:rsidP="00A32FE8">
      <w:pPr>
        <w:rPr>
          <w:rFonts w:cs="Arial"/>
        </w:rPr>
      </w:pPr>
      <w:r w:rsidRPr="00A32FE8">
        <w:rPr>
          <w:rFonts w:cs="Arial"/>
        </w:rPr>
        <w:lastRenderedPageBreak/>
        <w:t xml:space="preserve">Central, Regional, and Area Office DDS staff identified specific 24-hour residential settings as potentially presumed to have the qualities of an institution. Staff closely followed </w:t>
      </w:r>
      <w:r w:rsidR="004D4216">
        <w:rPr>
          <w:rFonts w:cs="Arial"/>
        </w:rPr>
        <w:t xml:space="preserve">2014 </w:t>
      </w:r>
      <w:r w:rsidRPr="00A32FE8">
        <w:rPr>
          <w:rFonts w:cs="Arial"/>
        </w:rPr>
        <w:t xml:space="preserve">CMS guidance for this identification, looking at settings that </w:t>
      </w:r>
      <w:r w:rsidR="007A43DE">
        <w:rPr>
          <w:rFonts w:cs="Arial"/>
        </w:rPr>
        <w:t>were</w:t>
      </w:r>
      <w:r w:rsidR="007A43DE" w:rsidRPr="00A32FE8">
        <w:rPr>
          <w:rFonts w:cs="Arial"/>
        </w:rPr>
        <w:t xml:space="preserve"> </w:t>
      </w:r>
      <w:r w:rsidRPr="00A32FE8">
        <w:rPr>
          <w:rFonts w:cs="Arial"/>
        </w:rPr>
        <w:t>campus based; located in a building on the grounds of, or immediately adjacent to a public institution; include</w:t>
      </w:r>
      <w:r w:rsidR="007A43DE">
        <w:rPr>
          <w:rFonts w:cs="Arial"/>
        </w:rPr>
        <w:t>d</w:t>
      </w:r>
      <w:r w:rsidRPr="00A32FE8">
        <w:rPr>
          <w:rFonts w:cs="Arial"/>
        </w:rPr>
        <w:t xml:space="preserve"> a cluster of homes co-located next to one another or that </w:t>
      </w:r>
      <w:r w:rsidR="007A43DE">
        <w:rPr>
          <w:rFonts w:cs="Arial"/>
        </w:rPr>
        <w:t xml:space="preserve">may </w:t>
      </w:r>
      <w:r w:rsidRPr="00A32FE8">
        <w:rPr>
          <w:rFonts w:cs="Arial"/>
        </w:rPr>
        <w:t xml:space="preserve">have </w:t>
      </w:r>
      <w:r w:rsidR="007A43DE">
        <w:rPr>
          <w:rFonts w:cs="Arial"/>
        </w:rPr>
        <w:t xml:space="preserve">had </w:t>
      </w:r>
      <w:r w:rsidRPr="00A32FE8">
        <w:rPr>
          <w:rFonts w:cs="Arial"/>
        </w:rPr>
        <w:t xml:space="preserve">the effect of isolating individuals from the broader community. Based on this </w:t>
      </w:r>
      <w:proofErr w:type="gramStart"/>
      <w:r w:rsidRPr="00A32FE8">
        <w:rPr>
          <w:rFonts w:cs="Arial"/>
        </w:rPr>
        <w:t xml:space="preserve">analysis, </w:t>
      </w:r>
      <w:r w:rsidR="006467A5" w:rsidRPr="00A32FE8" w:rsidDel="00B871A5">
        <w:rPr>
          <w:rFonts w:cs="Arial"/>
        </w:rPr>
        <w:t xml:space="preserve"> </w:t>
      </w:r>
      <w:r w:rsidR="00BC730C">
        <w:rPr>
          <w:rFonts w:cs="Arial"/>
        </w:rPr>
        <w:t>2</w:t>
      </w:r>
      <w:proofErr w:type="gramEnd"/>
      <w:r w:rsidR="00BC730C">
        <w:rPr>
          <w:rFonts w:cs="Arial"/>
        </w:rPr>
        <w:t xml:space="preserve"> </w:t>
      </w:r>
      <w:r w:rsidRPr="00A32FE8">
        <w:rPr>
          <w:rFonts w:cs="Arial"/>
        </w:rPr>
        <w:t>providers</w:t>
      </w:r>
      <w:r w:rsidR="00B871A5">
        <w:rPr>
          <w:rFonts w:cs="Arial"/>
        </w:rPr>
        <w:t>, representing 25 settings,</w:t>
      </w:r>
      <w:r w:rsidRPr="00A32FE8">
        <w:rPr>
          <w:rFonts w:cs="Arial"/>
        </w:rPr>
        <w:t xml:space="preserve"> were identified for in-depth review</w:t>
      </w:r>
      <w:r w:rsidR="009858FD">
        <w:rPr>
          <w:rFonts w:cs="Arial"/>
        </w:rPr>
        <w:t xml:space="preserve"> and </w:t>
      </w:r>
      <w:r w:rsidR="00442C66">
        <w:rPr>
          <w:rFonts w:cs="Arial"/>
        </w:rPr>
        <w:t xml:space="preserve">further identified for </w:t>
      </w:r>
      <w:r w:rsidR="00284644">
        <w:rPr>
          <w:rFonts w:cs="Arial"/>
        </w:rPr>
        <w:t>Heightened</w:t>
      </w:r>
      <w:r w:rsidR="00442C66">
        <w:rPr>
          <w:rFonts w:cs="Arial"/>
        </w:rPr>
        <w:t xml:space="preserve"> Scrutiny</w:t>
      </w:r>
      <w:r w:rsidR="00FB581B">
        <w:rPr>
          <w:rFonts w:cs="Arial"/>
        </w:rPr>
        <w:t xml:space="preserve"> due to having the effect of isolating individuals from the broader community</w:t>
      </w:r>
      <w:r w:rsidRPr="00A32FE8">
        <w:rPr>
          <w:rFonts w:cs="Arial"/>
        </w:rPr>
        <w:t>.</w:t>
      </w:r>
      <w:r w:rsidR="007A43DE">
        <w:rPr>
          <w:rStyle w:val="FootnoteReference"/>
          <w:rFonts w:cs="Arial"/>
        </w:rPr>
        <w:footnoteReference w:id="2"/>
      </w:r>
      <w:r w:rsidR="002714E2">
        <w:rPr>
          <w:rFonts w:cs="Arial"/>
        </w:rPr>
        <w:t xml:space="preserve"> </w:t>
      </w:r>
      <w:r w:rsidR="008603AA">
        <w:rPr>
          <w:rFonts w:cs="Arial"/>
        </w:rPr>
        <w:t>These settings are reflected in Table 2</w:t>
      </w:r>
      <w:r w:rsidR="00733954">
        <w:rPr>
          <w:rFonts w:cs="Arial"/>
        </w:rPr>
        <w:t xml:space="preserve">. </w:t>
      </w:r>
      <w:r w:rsidRPr="00A32FE8">
        <w:rPr>
          <w:rFonts w:cs="Arial"/>
        </w:rPr>
        <w:t xml:space="preserve">To facilitate </w:t>
      </w:r>
      <w:r w:rsidR="00FD5B97" w:rsidRPr="00A32FE8">
        <w:rPr>
          <w:rFonts w:cs="Arial"/>
        </w:rPr>
        <w:t xml:space="preserve">further </w:t>
      </w:r>
      <w:r w:rsidRPr="00A32FE8">
        <w:rPr>
          <w:rFonts w:cs="Arial"/>
        </w:rPr>
        <w:t xml:space="preserve">evaluation of </w:t>
      </w:r>
      <w:r w:rsidR="007A43DE">
        <w:rPr>
          <w:rFonts w:cs="Arial"/>
        </w:rPr>
        <w:t>that</w:t>
      </w:r>
      <w:r w:rsidR="007A43DE" w:rsidRPr="00A32FE8">
        <w:rPr>
          <w:rFonts w:cs="Arial"/>
        </w:rPr>
        <w:t xml:space="preserve"> </w:t>
      </w:r>
      <w:r w:rsidR="008D610D">
        <w:rPr>
          <w:rFonts w:cs="Arial"/>
        </w:rPr>
        <w:t>set of</w:t>
      </w:r>
      <w:r w:rsidR="008D610D" w:rsidRPr="00A32FE8">
        <w:rPr>
          <w:rFonts w:cs="Arial"/>
        </w:rPr>
        <w:t xml:space="preserve"> </w:t>
      </w:r>
      <w:r w:rsidRPr="00A32FE8">
        <w:rPr>
          <w:rFonts w:cs="Arial"/>
        </w:rPr>
        <w:t>providers, DDS developed and deployed a provider self-assessment tool that borrowed substantially from the exploratory questions that CMS had published:</w:t>
      </w:r>
    </w:p>
    <w:p w14:paraId="731F1CFB" w14:textId="77777777" w:rsidR="00327DC1" w:rsidRPr="00B11E60" w:rsidRDefault="00327DC1" w:rsidP="004427AF">
      <w:pPr>
        <w:pStyle w:val="ListParagraph"/>
        <w:numPr>
          <w:ilvl w:val="0"/>
          <w:numId w:val="15"/>
        </w:numPr>
        <w:ind w:left="720"/>
        <w:rPr>
          <w:rFonts w:cs="Arial"/>
        </w:rPr>
      </w:pPr>
      <w:r w:rsidRPr="00B11E60">
        <w:rPr>
          <w:rFonts w:cs="Arial"/>
        </w:rPr>
        <w:t xml:space="preserve">The tool was piloted with a specific provider for whom DDS anticipated there might be challenges to meeting the Community Rule requirements. </w:t>
      </w:r>
    </w:p>
    <w:p w14:paraId="0BA7B695" w14:textId="77777777" w:rsidR="00327DC1" w:rsidRPr="00B11E60" w:rsidRDefault="00327DC1" w:rsidP="004427AF">
      <w:pPr>
        <w:pStyle w:val="ListParagraph"/>
        <w:numPr>
          <w:ilvl w:val="0"/>
          <w:numId w:val="15"/>
        </w:numPr>
        <w:ind w:left="720"/>
        <w:rPr>
          <w:rFonts w:cs="Arial"/>
        </w:rPr>
      </w:pPr>
      <w:r w:rsidRPr="00B11E60">
        <w:rPr>
          <w:rFonts w:cs="Arial"/>
        </w:rPr>
        <w:t>Based on the pilot, the tool was modified and finalized for implementation.</w:t>
      </w:r>
    </w:p>
    <w:p w14:paraId="3C142D19" w14:textId="77777777" w:rsidR="00327DC1" w:rsidRPr="00B11E60" w:rsidRDefault="00327DC1" w:rsidP="004427AF">
      <w:pPr>
        <w:pStyle w:val="ListParagraph"/>
        <w:numPr>
          <w:ilvl w:val="0"/>
          <w:numId w:val="15"/>
        </w:numPr>
        <w:ind w:left="720"/>
        <w:rPr>
          <w:rFonts w:cs="Arial"/>
        </w:rPr>
      </w:pPr>
      <w:r w:rsidRPr="00B11E60">
        <w:rPr>
          <w:rFonts w:cs="Arial"/>
        </w:rPr>
        <w:t>The provider self-assessments were completed by each identified provider, with review by DDS Central and Regional Office staff to identify areas for remediation and improvement.</w:t>
      </w:r>
    </w:p>
    <w:p w14:paraId="6D12F00C" w14:textId="77777777" w:rsidR="00327DC1" w:rsidRPr="00B11E60" w:rsidRDefault="00327DC1" w:rsidP="004427AF">
      <w:pPr>
        <w:pStyle w:val="ListParagraph"/>
        <w:numPr>
          <w:ilvl w:val="0"/>
          <w:numId w:val="15"/>
        </w:numPr>
        <w:ind w:left="720"/>
        <w:rPr>
          <w:rFonts w:cs="Arial"/>
        </w:rPr>
      </w:pPr>
      <w:r w:rsidRPr="00B11E60">
        <w:rPr>
          <w:rFonts w:cs="Arial"/>
        </w:rPr>
        <w:t xml:space="preserve">Verification of </w:t>
      </w:r>
      <w:r w:rsidR="00FD5B97">
        <w:rPr>
          <w:rFonts w:cs="Arial"/>
        </w:rPr>
        <w:t xml:space="preserve">each of </w:t>
      </w:r>
      <w:r w:rsidRPr="00B11E60">
        <w:rPr>
          <w:rFonts w:cs="Arial"/>
        </w:rPr>
        <w:t>the providers’ self-assessments was conducted by DDS staff through on-site visits and meetings with key agency staff.</w:t>
      </w:r>
    </w:p>
    <w:p w14:paraId="0A8FDFA5" w14:textId="17060C47" w:rsidR="00327DC1" w:rsidRDefault="00327DC1" w:rsidP="004427AF">
      <w:pPr>
        <w:pStyle w:val="ListParagraph"/>
        <w:numPr>
          <w:ilvl w:val="0"/>
          <w:numId w:val="15"/>
        </w:numPr>
        <w:ind w:left="720"/>
        <w:contextualSpacing w:val="0"/>
        <w:rPr>
          <w:rFonts w:cs="Arial"/>
        </w:rPr>
      </w:pPr>
      <w:r w:rsidRPr="00B11E60">
        <w:rPr>
          <w:rFonts w:cs="Arial"/>
        </w:rPr>
        <w:t>DDS staff then categorized each site as fully compliant, compliant with changes, or as settings that cannot meet the requirements.</w:t>
      </w:r>
    </w:p>
    <w:p w14:paraId="25DE481A" w14:textId="77777777" w:rsidR="00AC1F70" w:rsidRPr="00E72E9A" w:rsidRDefault="00AC1F70" w:rsidP="009C2B1B">
      <w:pPr>
        <w:spacing w:after="0"/>
      </w:pPr>
      <w:r w:rsidRPr="00E72E9A">
        <w:t>The self-assessment tool included all settings rule criteria as noted in the “CMS Exploratory Questions to Assist States in Assessment of Residential Settings” including provider-specific assessment questions related to:</w:t>
      </w:r>
    </w:p>
    <w:p w14:paraId="5B80E017" w14:textId="77777777" w:rsidR="00AC1F70" w:rsidRPr="00E72E9A" w:rsidRDefault="00AC1F70" w:rsidP="004427AF">
      <w:pPr>
        <w:pStyle w:val="ListParagraph"/>
        <w:numPr>
          <w:ilvl w:val="0"/>
          <w:numId w:val="38"/>
        </w:numPr>
        <w:spacing w:after="0"/>
      </w:pPr>
      <w:r w:rsidRPr="00E72E9A">
        <w:t>The setting was selected by the individual.</w:t>
      </w:r>
    </w:p>
    <w:p w14:paraId="7A21B99A" w14:textId="77777777" w:rsidR="00AC1F70" w:rsidRPr="00E72E9A" w:rsidRDefault="00AC1F70" w:rsidP="004427AF">
      <w:pPr>
        <w:pStyle w:val="ListParagraph"/>
        <w:numPr>
          <w:ilvl w:val="0"/>
          <w:numId w:val="38"/>
        </w:numPr>
        <w:spacing w:after="0"/>
      </w:pPr>
      <w:r w:rsidRPr="00E72E9A">
        <w:t>The individual participates in unscheduled and scheduled community activities in the same manner as individuals not receiving Medicaid HCB services.</w:t>
      </w:r>
    </w:p>
    <w:p w14:paraId="7ADA54AF" w14:textId="77777777" w:rsidR="00AC1F70" w:rsidRPr="00E72E9A" w:rsidRDefault="00AC1F70" w:rsidP="004427AF">
      <w:pPr>
        <w:pStyle w:val="ListParagraph"/>
        <w:numPr>
          <w:ilvl w:val="0"/>
          <w:numId w:val="38"/>
        </w:numPr>
        <w:spacing w:after="0"/>
      </w:pPr>
      <w:r w:rsidRPr="00E72E9A">
        <w:t>The individual is employed or active in the community outside of the setting.</w:t>
      </w:r>
    </w:p>
    <w:p w14:paraId="24EFB4A3" w14:textId="77777777" w:rsidR="00AC1F70" w:rsidRPr="00E72E9A" w:rsidRDefault="00AC1F70" w:rsidP="004427AF">
      <w:pPr>
        <w:pStyle w:val="ListParagraph"/>
        <w:numPr>
          <w:ilvl w:val="0"/>
          <w:numId w:val="38"/>
        </w:numPr>
        <w:spacing w:after="0"/>
      </w:pPr>
      <w:r w:rsidRPr="00E72E9A">
        <w:t>The individual has his/her own bedroom or shares a room with a roommate of choice.</w:t>
      </w:r>
    </w:p>
    <w:p w14:paraId="1AF19CD2" w14:textId="77777777" w:rsidR="00AC1F70" w:rsidRPr="00E72E9A" w:rsidRDefault="00AC1F70" w:rsidP="004427AF">
      <w:pPr>
        <w:pStyle w:val="ListParagraph"/>
        <w:numPr>
          <w:ilvl w:val="0"/>
          <w:numId w:val="38"/>
        </w:numPr>
        <w:spacing w:after="0"/>
      </w:pPr>
      <w:r w:rsidRPr="00E72E9A">
        <w:t>The individual chooses and controls a schedule that meets his/her wishes in accordance with a person-centered plan.</w:t>
      </w:r>
    </w:p>
    <w:p w14:paraId="4219E254" w14:textId="77777777" w:rsidR="00AC1F70" w:rsidRPr="00E72E9A" w:rsidRDefault="00AC1F70" w:rsidP="004427AF">
      <w:pPr>
        <w:pStyle w:val="ListParagraph"/>
        <w:numPr>
          <w:ilvl w:val="0"/>
          <w:numId w:val="38"/>
        </w:numPr>
        <w:spacing w:after="0"/>
      </w:pPr>
      <w:r w:rsidRPr="00E72E9A">
        <w:t>The individual controls his/her personal resources.</w:t>
      </w:r>
    </w:p>
    <w:p w14:paraId="760C99A3" w14:textId="77777777" w:rsidR="00AC1F70" w:rsidRPr="00E72E9A" w:rsidRDefault="00AC1F70" w:rsidP="004427AF">
      <w:pPr>
        <w:pStyle w:val="ListParagraph"/>
        <w:numPr>
          <w:ilvl w:val="0"/>
          <w:numId w:val="38"/>
        </w:numPr>
        <w:spacing w:after="0"/>
      </w:pPr>
      <w:r w:rsidRPr="00E72E9A">
        <w:t>The individual chooses when and what to eat.</w:t>
      </w:r>
    </w:p>
    <w:p w14:paraId="5C6EFC59" w14:textId="77777777" w:rsidR="00AC1F70" w:rsidRPr="00E72E9A" w:rsidRDefault="00AC1F70" w:rsidP="004427AF">
      <w:pPr>
        <w:pStyle w:val="ListParagraph"/>
        <w:numPr>
          <w:ilvl w:val="0"/>
          <w:numId w:val="38"/>
        </w:numPr>
        <w:spacing w:after="0"/>
      </w:pPr>
      <w:r w:rsidRPr="00E72E9A">
        <w:t>The individual chooses with whom to eat or to eat alone.</w:t>
      </w:r>
    </w:p>
    <w:p w14:paraId="28D3BF2C" w14:textId="77777777" w:rsidR="00AC1F70" w:rsidRPr="00E72E9A" w:rsidRDefault="00AC1F70" w:rsidP="004427AF">
      <w:pPr>
        <w:pStyle w:val="ListParagraph"/>
        <w:numPr>
          <w:ilvl w:val="0"/>
          <w:numId w:val="38"/>
        </w:numPr>
        <w:spacing w:after="0"/>
      </w:pPr>
      <w:r w:rsidRPr="00E72E9A">
        <w:t>Individual choices are incorporated into the services and supports received.</w:t>
      </w:r>
    </w:p>
    <w:p w14:paraId="5E59B07B" w14:textId="77777777" w:rsidR="00AC1F70" w:rsidRPr="00E72E9A" w:rsidRDefault="00AC1F70" w:rsidP="004427AF">
      <w:pPr>
        <w:pStyle w:val="ListParagraph"/>
        <w:numPr>
          <w:ilvl w:val="0"/>
          <w:numId w:val="38"/>
        </w:numPr>
        <w:spacing w:after="0"/>
      </w:pPr>
      <w:r w:rsidRPr="00E72E9A">
        <w:t>The individual chooses from whom they receive services and supports.</w:t>
      </w:r>
    </w:p>
    <w:p w14:paraId="31D4530C" w14:textId="77777777" w:rsidR="00AC1F70" w:rsidRPr="00E72E9A" w:rsidRDefault="00AC1F70" w:rsidP="004427AF">
      <w:pPr>
        <w:pStyle w:val="ListParagraph"/>
        <w:numPr>
          <w:ilvl w:val="0"/>
          <w:numId w:val="38"/>
        </w:numPr>
        <w:spacing w:after="0"/>
      </w:pPr>
      <w:r w:rsidRPr="00E72E9A">
        <w:lastRenderedPageBreak/>
        <w:t>The individual has access to make private telephone calls/text/email at the individual’s preference and convenience.</w:t>
      </w:r>
    </w:p>
    <w:p w14:paraId="3982D092" w14:textId="77777777" w:rsidR="00AC1F70" w:rsidRPr="00E72E9A" w:rsidRDefault="00AC1F70" w:rsidP="004427AF">
      <w:pPr>
        <w:pStyle w:val="ListParagraph"/>
        <w:numPr>
          <w:ilvl w:val="0"/>
          <w:numId w:val="38"/>
        </w:numPr>
        <w:spacing w:after="0"/>
      </w:pPr>
      <w:r w:rsidRPr="00E72E9A">
        <w:t>Individuals are free from coercion.</w:t>
      </w:r>
    </w:p>
    <w:p w14:paraId="6A884961" w14:textId="77777777" w:rsidR="00AC1F70" w:rsidRPr="00E72E9A" w:rsidRDefault="00AC1F70" w:rsidP="004427AF">
      <w:pPr>
        <w:pStyle w:val="ListParagraph"/>
        <w:numPr>
          <w:ilvl w:val="0"/>
          <w:numId w:val="38"/>
        </w:numPr>
        <w:spacing w:after="0"/>
      </w:pPr>
      <w:r w:rsidRPr="00E72E9A">
        <w:t>The individual, or a person chosen by the individual, has an active role in the development and update of the individual’s person-centered plan.</w:t>
      </w:r>
    </w:p>
    <w:p w14:paraId="0973EE00" w14:textId="77777777" w:rsidR="00AC1F70" w:rsidRPr="00E72E9A" w:rsidRDefault="00AC1F70" w:rsidP="004427AF">
      <w:pPr>
        <w:pStyle w:val="ListParagraph"/>
        <w:numPr>
          <w:ilvl w:val="0"/>
          <w:numId w:val="38"/>
        </w:numPr>
        <w:spacing w:after="0"/>
      </w:pPr>
      <w:r w:rsidRPr="00E72E9A">
        <w:t>The setting does not isolate individuals from individuals not receiving Medicaid HCBS in the broader community.</w:t>
      </w:r>
    </w:p>
    <w:p w14:paraId="3F7E2EB9" w14:textId="77777777" w:rsidR="00AC1F70" w:rsidRPr="00E72E9A" w:rsidRDefault="00AC1F70" w:rsidP="004427AF">
      <w:pPr>
        <w:pStyle w:val="ListParagraph"/>
        <w:numPr>
          <w:ilvl w:val="0"/>
          <w:numId w:val="38"/>
        </w:numPr>
        <w:spacing w:after="0"/>
      </w:pPr>
      <w:r w:rsidRPr="00E72E9A">
        <w:t xml:space="preserve">The setting is an environment that supports individual comfort, </w:t>
      </w:r>
      <w:proofErr w:type="gramStart"/>
      <w:r w:rsidRPr="00E72E9A">
        <w:t>independence</w:t>
      </w:r>
      <w:proofErr w:type="gramEnd"/>
      <w:r w:rsidRPr="00E72E9A">
        <w:t xml:space="preserve"> and preferences.</w:t>
      </w:r>
    </w:p>
    <w:p w14:paraId="66D335F0" w14:textId="77777777" w:rsidR="00AC1F70" w:rsidRPr="00E72E9A" w:rsidRDefault="00AC1F70" w:rsidP="004427AF">
      <w:pPr>
        <w:pStyle w:val="ListParagraph"/>
        <w:numPr>
          <w:ilvl w:val="0"/>
          <w:numId w:val="38"/>
        </w:numPr>
        <w:spacing w:after="0"/>
      </w:pPr>
      <w:r w:rsidRPr="00E72E9A">
        <w:t>The individual has unrestricted access in the setting.</w:t>
      </w:r>
    </w:p>
    <w:p w14:paraId="4FC92402" w14:textId="77777777" w:rsidR="00AC1F70" w:rsidRPr="00E72E9A" w:rsidRDefault="00AC1F70" w:rsidP="004427AF">
      <w:pPr>
        <w:pStyle w:val="ListParagraph"/>
        <w:numPr>
          <w:ilvl w:val="0"/>
          <w:numId w:val="38"/>
        </w:numPr>
        <w:spacing w:after="0"/>
      </w:pPr>
      <w:r w:rsidRPr="00E72E9A">
        <w:t>The physical environment meets the needs of those individuals who require supports.</w:t>
      </w:r>
    </w:p>
    <w:p w14:paraId="7277492D" w14:textId="77777777" w:rsidR="00AC1F70" w:rsidRPr="00E72E9A" w:rsidRDefault="00AC1F70" w:rsidP="004427AF">
      <w:pPr>
        <w:pStyle w:val="ListParagraph"/>
        <w:numPr>
          <w:ilvl w:val="0"/>
          <w:numId w:val="38"/>
        </w:numPr>
        <w:spacing w:after="0"/>
      </w:pPr>
      <w:r w:rsidRPr="00E72E9A">
        <w:t>Individuals have full access to the community.</w:t>
      </w:r>
    </w:p>
    <w:p w14:paraId="653F2521" w14:textId="77777777" w:rsidR="00AC1F70" w:rsidRPr="00E72E9A" w:rsidRDefault="00AC1F70" w:rsidP="004427AF">
      <w:pPr>
        <w:pStyle w:val="ListParagraph"/>
        <w:numPr>
          <w:ilvl w:val="0"/>
          <w:numId w:val="38"/>
        </w:numPr>
        <w:spacing w:after="0"/>
      </w:pPr>
      <w:r w:rsidRPr="00E72E9A">
        <w:t>The individual’s right to dignity and privacy is respected.</w:t>
      </w:r>
    </w:p>
    <w:p w14:paraId="42803E7A" w14:textId="77777777" w:rsidR="00AC1F70" w:rsidRPr="00E72E9A" w:rsidRDefault="00AC1F70" w:rsidP="004427AF">
      <w:pPr>
        <w:pStyle w:val="ListParagraph"/>
        <w:numPr>
          <w:ilvl w:val="0"/>
          <w:numId w:val="38"/>
        </w:numPr>
        <w:spacing w:after="0"/>
      </w:pPr>
      <w:r w:rsidRPr="00E72E9A">
        <w:t>Individuals who need assistance to dress are dressed in their own clothes appropriate to the time of day and individual preferences.</w:t>
      </w:r>
    </w:p>
    <w:p w14:paraId="4CE99FD8" w14:textId="77777777" w:rsidR="00AC1F70" w:rsidRPr="00E72E9A" w:rsidRDefault="00AC1F70" w:rsidP="004427AF">
      <w:pPr>
        <w:pStyle w:val="ListParagraph"/>
        <w:numPr>
          <w:ilvl w:val="0"/>
          <w:numId w:val="38"/>
        </w:numPr>
        <w:spacing w:after="0"/>
      </w:pPr>
      <w:r w:rsidRPr="00E72E9A">
        <w:t>Staff communicates with individuals in a dignified manner.</w:t>
      </w:r>
    </w:p>
    <w:p w14:paraId="39A5ECEC" w14:textId="77777777" w:rsidR="00AC1F70" w:rsidRPr="00E72E9A" w:rsidRDefault="00AC1F70" w:rsidP="004427AF">
      <w:pPr>
        <w:pStyle w:val="ListParagraph"/>
        <w:numPr>
          <w:ilvl w:val="0"/>
          <w:numId w:val="38"/>
        </w:numPr>
        <w:spacing w:after="0"/>
      </w:pPr>
      <w:r w:rsidRPr="00E72E9A">
        <w:t>Modifications of the setting requirements for an individual are supported by an assessed need and justified in the person-centered plan.</w:t>
      </w:r>
    </w:p>
    <w:p w14:paraId="2D7EF034" w14:textId="77777777" w:rsidR="00AC1F70" w:rsidRPr="00E72E9A" w:rsidRDefault="00AC1F70" w:rsidP="004427AF">
      <w:pPr>
        <w:pStyle w:val="ListParagraph"/>
        <w:numPr>
          <w:ilvl w:val="0"/>
          <w:numId w:val="38"/>
        </w:numPr>
        <w:spacing w:after="0"/>
      </w:pPr>
      <w:r w:rsidRPr="00E72E9A">
        <w:t>Individuals have privacy in their sleeping space and toileting facility.</w:t>
      </w:r>
    </w:p>
    <w:p w14:paraId="79D1C5E4" w14:textId="77777777" w:rsidR="00AC1F70" w:rsidRPr="00E72E9A" w:rsidRDefault="00AC1F70" w:rsidP="004427AF">
      <w:pPr>
        <w:pStyle w:val="ListParagraph"/>
        <w:numPr>
          <w:ilvl w:val="0"/>
          <w:numId w:val="38"/>
        </w:numPr>
        <w:spacing w:after="0"/>
      </w:pPr>
      <w:r w:rsidRPr="00E72E9A">
        <w:t>The individual has privacy in his/her living space.</w:t>
      </w:r>
    </w:p>
    <w:p w14:paraId="7FA1B535" w14:textId="77777777" w:rsidR="00AC1F70" w:rsidRPr="00E72E9A" w:rsidRDefault="00AC1F70" w:rsidP="004427AF">
      <w:pPr>
        <w:pStyle w:val="ListParagraph"/>
        <w:numPr>
          <w:ilvl w:val="0"/>
          <w:numId w:val="38"/>
        </w:numPr>
        <w:spacing w:after="0"/>
      </w:pPr>
      <w:r w:rsidRPr="00E72E9A">
        <w:t>The individuals have comfortable places for private visits with family and friends.</w:t>
      </w:r>
    </w:p>
    <w:p w14:paraId="79B1BC58" w14:textId="77777777" w:rsidR="00AC1F70" w:rsidRPr="00E72E9A" w:rsidRDefault="00AC1F70" w:rsidP="004427AF">
      <w:pPr>
        <w:pStyle w:val="ListParagraph"/>
        <w:numPr>
          <w:ilvl w:val="0"/>
          <w:numId w:val="38"/>
        </w:numPr>
        <w:spacing w:after="0"/>
      </w:pPr>
      <w:r w:rsidRPr="00E72E9A">
        <w:t>Individuals furnish and decorate their sleeping and/or living units in the way that suits them.</w:t>
      </w:r>
    </w:p>
    <w:p w14:paraId="3293732E" w14:textId="77777777" w:rsidR="00AC1F70" w:rsidRPr="00E72E9A" w:rsidRDefault="00AC1F70" w:rsidP="004427AF">
      <w:pPr>
        <w:pStyle w:val="ListParagraph"/>
        <w:numPr>
          <w:ilvl w:val="0"/>
          <w:numId w:val="38"/>
        </w:numPr>
        <w:spacing w:after="0"/>
      </w:pPr>
      <w:r w:rsidRPr="00E72E9A">
        <w:t>There is a legally enforceable agreement for the unit or dwelling where the individual resides.</w:t>
      </w:r>
    </w:p>
    <w:p w14:paraId="5DB68540" w14:textId="77777777" w:rsidR="00AC1F70" w:rsidRPr="00E72E9A" w:rsidRDefault="00AC1F70" w:rsidP="004427AF">
      <w:pPr>
        <w:pStyle w:val="ListParagraph"/>
        <w:numPr>
          <w:ilvl w:val="0"/>
          <w:numId w:val="38"/>
        </w:numPr>
        <w:spacing w:after="0"/>
      </w:pPr>
      <w:r w:rsidRPr="00E72E9A">
        <w:t>Individuals are protected from eviction and afforded appeal rights in the same manner as all persons in the State who are not receiving Medicaid HCBS.</w:t>
      </w:r>
    </w:p>
    <w:p w14:paraId="537788D2" w14:textId="77777777" w:rsidR="00CB5600" w:rsidRDefault="0045113E" w:rsidP="00122579">
      <w:pPr>
        <w:spacing w:before="120"/>
      </w:pPr>
      <w:r>
        <w:t>There are approximately 13,700 recipients of the MassHealth AFC state plan service</w:t>
      </w:r>
      <w:r w:rsidR="009E6AF2">
        <w:t xml:space="preserve"> </w:t>
      </w:r>
      <w:r w:rsidR="00E95FB7">
        <w:t>as of</w:t>
      </w:r>
      <w:r w:rsidR="009E6AF2">
        <w:t xml:space="preserve"> July 2022</w:t>
      </w:r>
      <w:r>
        <w:t xml:space="preserve">, 2,154 of whom are DDS HCBS waiver participants. Of those waiver participants, 1,805 reside with a related AFC caregiver. The remaining 349 </w:t>
      </w:r>
      <w:r w:rsidRPr="00030CCB">
        <w:t xml:space="preserve">waiver participants </w:t>
      </w:r>
      <w:r>
        <w:t>appear to be living in settings with an unrelated caregiver.</w:t>
      </w:r>
      <w:r w:rsidRPr="00030CCB">
        <w:t xml:space="preserve"> For that subset, MassHealth </w:t>
      </w:r>
      <w:r>
        <w:t>deploy</w:t>
      </w:r>
      <w:r w:rsidR="00AA294B">
        <w:t>ed</w:t>
      </w:r>
      <w:r w:rsidRPr="00030CCB">
        <w:t xml:space="preserve"> a</w:t>
      </w:r>
      <w:r w:rsidR="00187686">
        <w:t>n</w:t>
      </w:r>
      <w:r w:rsidRPr="00030CCB">
        <w:t xml:space="preserve"> </w:t>
      </w:r>
      <w:r w:rsidR="0057035F">
        <w:t>attestation</w:t>
      </w:r>
      <w:r w:rsidR="00187686">
        <w:t xml:space="preserve"> form</w:t>
      </w:r>
      <w:r w:rsidR="0057035F">
        <w:t xml:space="preserve"> </w:t>
      </w:r>
      <w:r w:rsidRPr="00030CCB">
        <w:t xml:space="preserve">that </w:t>
      </w:r>
      <w:r>
        <w:t>will identify residential situations that will need</w:t>
      </w:r>
      <w:r w:rsidRPr="00030CCB">
        <w:t xml:space="preserve"> to </w:t>
      </w:r>
      <w:r>
        <w:t>come into compliance.</w:t>
      </w:r>
      <w:r w:rsidR="00E41980">
        <w:t xml:space="preserve">  Attestations are a combination of provider self-assessment and participant e</w:t>
      </w:r>
      <w:r w:rsidR="00E41980" w:rsidRPr="00866A9B">
        <w:t xml:space="preserve">xperience </w:t>
      </w:r>
      <w:r w:rsidR="00E41980">
        <w:t>a</w:t>
      </w:r>
      <w:r w:rsidR="00E41980" w:rsidRPr="00866A9B">
        <w:t>ssessment</w:t>
      </w:r>
      <w:r w:rsidR="00E41980">
        <w:t xml:space="preserve"> in one document; the provider and participant both </w:t>
      </w:r>
      <w:proofErr w:type="gramStart"/>
      <w:r w:rsidR="00E41980">
        <w:t>have the opportunity to</w:t>
      </w:r>
      <w:proofErr w:type="gramEnd"/>
      <w:r w:rsidR="00E41980">
        <w:t xml:space="preserve"> confirm a setting</w:t>
      </w:r>
      <w:r w:rsidR="00896EF4">
        <w:t>’</w:t>
      </w:r>
      <w:r w:rsidR="00E41980">
        <w:t xml:space="preserve">s compliance with </w:t>
      </w:r>
      <w:r w:rsidR="00896EF4">
        <w:t xml:space="preserve">all </w:t>
      </w:r>
      <w:r w:rsidR="00E41980">
        <w:t>community rule criteria.</w:t>
      </w:r>
      <w:r w:rsidR="00E41980" w:rsidRPr="00866A9B">
        <w:t xml:space="preserve"> </w:t>
      </w:r>
      <w:r w:rsidR="00E41980">
        <w:t>Attestations are completed by the AFC caregiver and AFC member with facilitation by the AFC provider and all three parties sign the document.</w:t>
      </w:r>
      <w:r w:rsidR="00CB5600">
        <w:t xml:space="preserve">  </w:t>
      </w:r>
      <w:r w:rsidR="00CB5600" w:rsidRPr="000D4D79">
        <w:t>The Attestation captures the specific address and setting in which the participant resides.</w:t>
      </w:r>
    </w:p>
    <w:p w14:paraId="50B98675" w14:textId="48E83739" w:rsidR="0045113E" w:rsidRDefault="005D7A69" w:rsidP="0045113E">
      <w:r>
        <w:t>To</w:t>
      </w:r>
      <w:r w:rsidR="00A615DD">
        <w:t xml:space="preserve"> ensure identification of all HCBS </w:t>
      </w:r>
      <w:r w:rsidR="006B0FE7">
        <w:t>w</w:t>
      </w:r>
      <w:r w:rsidR="00A615DD">
        <w:t>aiver participants living with an unrelated caregiver, further data analysis was completed</w:t>
      </w:r>
      <w:r w:rsidR="00B60FD8">
        <w:t xml:space="preserve"> to remove duplicates</w:t>
      </w:r>
      <w:r w:rsidR="000A5461">
        <w:t xml:space="preserve"> and </w:t>
      </w:r>
      <w:r w:rsidR="006429A3">
        <w:t>p</w:t>
      </w:r>
      <w:r w:rsidR="00B60FD8">
        <w:t>artic</w:t>
      </w:r>
      <w:r w:rsidR="006429A3">
        <w:t>i</w:t>
      </w:r>
      <w:r w:rsidR="00B60FD8">
        <w:t>p</w:t>
      </w:r>
      <w:r w:rsidR="006429A3">
        <w:t>a</w:t>
      </w:r>
      <w:r w:rsidR="00B60FD8">
        <w:t>nt</w:t>
      </w:r>
      <w:r w:rsidR="006429A3">
        <w:t>s</w:t>
      </w:r>
      <w:r w:rsidR="00B60FD8">
        <w:t xml:space="preserve"> who have disenrolled</w:t>
      </w:r>
      <w:r w:rsidR="008B781B">
        <w:t>, and to add new enrollees.  The final number of waiver participants</w:t>
      </w:r>
      <w:r w:rsidR="006E4E8C">
        <w:t xml:space="preserve"> </w:t>
      </w:r>
      <w:r w:rsidR="003178A3">
        <w:t xml:space="preserve">who </w:t>
      </w:r>
      <w:r w:rsidR="0080508F">
        <w:t xml:space="preserve">appear to </w:t>
      </w:r>
      <w:r w:rsidR="003178A3">
        <w:t>be l</w:t>
      </w:r>
      <w:r w:rsidR="005B7165">
        <w:t>i</w:t>
      </w:r>
      <w:r w:rsidR="003178A3">
        <w:t xml:space="preserve">ving in settings with an unrelated caregiver is </w:t>
      </w:r>
      <w:r w:rsidR="000E5C10">
        <w:t>30</w:t>
      </w:r>
      <w:r w:rsidR="006011C5">
        <w:t>8</w:t>
      </w:r>
      <w:r w:rsidR="000E5C10">
        <w:t>.</w:t>
      </w:r>
      <w:r w:rsidR="003178A3">
        <w:t xml:space="preserve"> </w:t>
      </w:r>
    </w:p>
    <w:p w14:paraId="4C8363FB" w14:textId="59918744" w:rsidR="00327DC1" w:rsidRPr="00FD56B6" w:rsidRDefault="00327DC1" w:rsidP="00FD56B6">
      <w:pPr>
        <w:rPr>
          <w:rStyle w:val="Strong"/>
        </w:rPr>
      </w:pPr>
      <w:r w:rsidRPr="768B82E9">
        <w:rPr>
          <w:rStyle w:val="Strong"/>
        </w:rPr>
        <w:lastRenderedPageBreak/>
        <w:t>Non-residential settings</w:t>
      </w:r>
    </w:p>
    <w:p w14:paraId="679F6002" w14:textId="2CD3FB3F" w:rsidR="00A32FE8" w:rsidRPr="00FD56B6" w:rsidRDefault="008D4E92" w:rsidP="768B82E9">
      <w:pPr>
        <w:rPr>
          <w:i/>
          <w:iCs/>
        </w:rPr>
      </w:pPr>
      <w:r w:rsidRPr="768B82E9">
        <w:rPr>
          <w:rStyle w:val="SubtleEmphasis"/>
        </w:rPr>
        <w:t>Employment</w:t>
      </w:r>
    </w:p>
    <w:p w14:paraId="68332609" w14:textId="093B7E7C" w:rsidR="008D4E92" w:rsidRPr="00A32FE8" w:rsidRDefault="008D4E92" w:rsidP="00A32FE8">
      <w:pPr>
        <w:rPr>
          <w:rFonts w:cs="Arial"/>
        </w:rPr>
      </w:pPr>
      <w:r w:rsidRPr="628C881F">
        <w:rPr>
          <w:rFonts w:cs="Arial"/>
        </w:rPr>
        <w:t xml:space="preserve">As identified in Table 2, there are </w:t>
      </w:r>
      <w:r w:rsidR="00F411B6">
        <w:rPr>
          <w:rFonts w:cs="Arial"/>
        </w:rPr>
        <w:t>116</w:t>
      </w:r>
      <w:r w:rsidR="00F411B6" w:rsidRPr="628C881F">
        <w:rPr>
          <w:rFonts w:cs="Arial"/>
        </w:rPr>
        <w:t xml:space="preserve"> </w:t>
      </w:r>
      <w:r w:rsidRPr="628C881F">
        <w:rPr>
          <w:rFonts w:cs="Arial"/>
        </w:rPr>
        <w:t xml:space="preserve">group </w:t>
      </w:r>
      <w:r w:rsidR="00C01DD2" w:rsidRPr="628C881F">
        <w:rPr>
          <w:rFonts w:cs="Arial"/>
        </w:rPr>
        <w:t xml:space="preserve">supported </w:t>
      </w:r>
      <w:r w:rsidRPr="628C881F">
        <w:rPr>
          <w:rFonts w:cs="Arial"/>
        </w:rPr>
        <w:t xml:space="preserve">employment settings and </w:t>
      </w:r>
      <w:r w:rsidR="00B325FD">
        <w:rPr>
          <w:rFonts w:cs="Arial"/>
        </w:rPr>
        <w:t>183</w:t>
      </w:r>
      <w:r w:rsidR="00B737C4" w:rsidRPr="628C881F">
        <w:rPr>
          <w:rFonts w:cs="Arial"/>
        </w:rPr>
        <w:t xml:space="preserve"> </w:t>
      </w:r>
      <w:r w:rsidRPr="628C881F">
        <w:rPr>
          <w:rFonts w:cs="Arial"/>
        </w:rPr>
        <w:t xml:space="preserve">individual </w:t>
      </w:r>
      <w:r w:rsidR="00537C3C">
        <w:rPr>
          <w:rFonts w:cs="Arial"/>
        </w:rPr>
        <w:t xml:space="preserve">employment </w:t>
      </w:r>
      <w:r w:rsidR="00150EF8">
        <w:rPr>
          <w:rFonts w:cs="Arial"/>
        </w:rPr>
        <w:t>support provider locations</w:t>
      </w:r>
      <w:r w:rsidRPr="628C881F">
        <w:rPr>
          <w:rFonts w:cs="Arial"/>
        </w:rPr>
        <w:t xml:space="preserve">. The process described in the Blueprint for Success, including Next Steps and Progress Reports, represents </w:t>
      </w:r>
      <w:r w:rsidR="007A43DE" w:rsidRPr="628C881F">
        <w:rPr>
          <w:rFonts w:cs="Arial"/>
        </w:rPr>
        <w:t xml:space="preserve">DDS’s </w:t>
      </w:r>
      <w:r w:rsidRPr="628C881F">
        <w:rPr>
          <w:rFonts w:cs="Arial"/>
        </w:rPr>
        <w:t>system-wide approach to transforming sheltered workshops and supporting integrated individual employment options consistent with the Community Rule.</w:t>
      </w:r>
    </w:p>
    <w:p w14:paraId="0D470409" w14:textId="43EB32C1" w:rsidR="008D4E92" w:rsidRDefault="00840B84" w:rsidP="00A32FE8">
      <w:pPr>
        <w:rPr>
          <w:rFonts w:cs="Arial"/>
        </w:rPr>
      </w:pPr>
      <w:r w:rsidRPr="00840B84">
        <w:rPr>
          <w:rFonts w:cs="Arial"/>
        </w:rPr>
        <w:t xml:space="preserve">As DDS closed </w:t>
      </w:r>
      <w:proofErr w:type="gramStart"/>
      <w:r w:rsidRPr="00840B84">
        <w:rPr>
          <w:rFonts w:cs="Arial"/>
        </w:rPr>
        <w:t>all of</w:t>
      </w:r>
      <w:proofErr w:type="gramEnd"/>
      <w:r w:rsidRPr="00840B84">
        <w:rPr>
          <w:rFonts w:cs="Arial"/>
        </w:rPr>
        <w:t xml:space="preserve"> its sheltered workshops, the focus of the Employment Workgroup shifted to a systemic review of both group employment and CBDS day supports settings. With the revision process to the statewide transition plan, DDS took the opportunity to re-evaluate the Group Supported Employment settings to ensure that all settings comply with the Community Rule. </w:t>
      </w:r>
      <w:r w:rsidR="007E437F" w:rsidRPr="007E437F">
        <w:rPr>
          <w:rFonts w:cs="Arial"/>
        </w:rPr>
        <w:t>Group employment supports include mobile work crews and other business-based workgroups employing small groups of workers with disabilities in employment in the community. Typically, group supported employment consists of 2-8 participants, working in the community under the supervision of a licensed provider agency.</w:t>
      </w:r>
      <w:r w:rsidR="007E437F">
        <w:rPr>
          <w:rFonts w:cs="Arial"/>
        </w:rPr>
        <w:t xml:space="preserve">  </w:t>
      </w:r>
      <w:r w:rsidRPr="00840B84">
        <w:rPr>
          <w:rFonts w:cs="Arial"/>
        </w:rPr>
        <w:t xml:space="preserve">DDS reviewed site-specific data, including licensure and certification information, for a variety of different group employment settings, including but not limited to hospitals, retail, and community business settings, </w:t>
      </w:r>
      <w:proofErr w:type="gramStart"/>
      <w:r w:rsidRPr="00840B84">
        <w:rPr>
          <w:rFonts w:cs="Arial"/>
        </w:rPr>
        <w:t>in order to</w:t>
      </w:r>
      <w:proofErr w:type="gramEnd"/>
      <w:r w:rsidRPr="00840B84">
        <w:rPr>
          <w:rFonts w:cs="Arial"/>
        </w:rPr>
        <w:t xml:space="preserve"> evaluate provider practices at a range of different types of sites. Given that these employment settings are typical workplaces fully integrated into the community in terms of their overall community integration, DDS’s review focused on the </w:t>
      </w:r>
      <w:r w:rsidRPr="00840B84">
        <w:rPr>
          <w:rFonts w:cs="Arial"/>
          <w:i/>
        </w:rPr>
        <w:t>experiences</w:t>
      </w:r>
      <w:r w:rsidRPr="00840B84">
        <w:rPr>
          <w:rFonts w:cs="Arial"/>
        </w:rPr>
        <w:t xml:space="preserve"> of individuals within each setting, including the following major domains:</w:t>
      </w:r>
    </w:p>
    <w:p w14:paraId="78727BCC" w14:textId="77777777" w:rsidR="008D4E92" w:rsidRDefault="008D4E92" w:rsidP="004427AF">
      <w:pPr>
        <w:pStyle w:val="ListParagraph"/>
        <w:numPr>
          <w:ilvl w:val="0"/>
          <w:numId w:val="18"/>
        </w:numPr>
        <w:ind w:left="720"/>
        <w:rPr>
          <w:rFonts w:cs="Arial"/>
        </w:rPr>
      </w:pPr>
      <w:r>
        <w:rPr>
          <w:rFonts w:cs="Arial"/>
        </w:rPr>
        <w:t>Integration within the workplace (e.g., clusters of individuals with disabilities versus individuals with disabilities working in scattered ways throughout the workplace</w:t>
      </w:r>
      <w:proofErr w:type="gramStart"/>
      <w:r>
        <w:rPr>
          <w:rFonts w:cs="Arial"/>
        </w:rPr>
        <w:t>);</w:t>
      </w:r>
      <w:proofErr w:type="gramEnd"/>
    </w:p>
    <w:p w14:paraId="441A867C" w14:textId="77777777" w:rsidR="00FC0A21" w:rsidRDefault="008D4E92" w:rsidP="004427AF">
      <w:pPr>
        <w:pStyle w:val="ListParagraph"/>
        <w:numPr>
          <w:ilvl w:val="0"/>
          <w:numId w:val="18"/>
        </w:numPr>
        <w:ind w:left="720"/>
        <w:rPr>
          <w:rFonts w:cs="Arial"/>
        </w:rPr>
      </w:pPr>
      <w:r>
        <w:rPr>
          <w:rFonts w:cs="Arial"/>
        </w:rPr>
        <w:t>Access to workplace amenities to the same degree as non-disabled workers; and</w:t>
      </w:r>
    </w:p>
    <w:p w14:paraId="635B2680" w14:textId="60875D7E" w:rsidR="008D4E92" w:rsidRPr="00FC0A21" w:rsidRDefault="008D4E92" w:rsidP="004427AF">
      <w:pPr>
        <w:pStyle w:val="ListParagraph"/>
        <w:numPr>
          <w:ilvl w:val="0"/>
          <w:numId w:val="18"/>
        </w:numPr>
        <w:ind w:left="720"/>
        <w:rPr>
          <w:rFonts w:cs="Arial"/>
        </w:rPr>
      </w:pPr>
      <w:r w:rsidRPr="00FC0A21">
        <w:rPr>
          <w:rFonts w:cs="Arial"/>
        </w:rPr>
        <w:t>Incorporation of individual interests and preferences.</w:t>
      </w:r>
    </w:p>
    <w:p w14:paraId="5CBF49F2" w14:textId="79728BC5" w:rsidR="00A32FE8" w:rsidRPr="001432A4" w:rsidRDefault="005B414B" w:rsidP="00A32FE8">
      <w:pPr>
        <w:contextualSpacing/>
        <w:rPr>
          <w:rStyle w:val="SubtleEmphasis"/>
        </w:rPr>
      </w:pPr>
      <w:r w:rsidRPr="001432A4">
        <w:rPr>
          <w:rStyle w:val="SubtleEmphasis"/>
        </w:rPr>
        <w:t>CBDS</w:t>
      </w:r>
    </w:p>
    <w:p w14:paraId="3184BD47" w14:textId="1AE88F60" w:rsidR="005B414B" w:rsidRPr="00A32FE8" w:rsidRDefault="00235F12" w:rsidP="00A32FE8">
      <w:pPr>
        <w:rPr>
          <w:rFonts w:cs="Arial"/>
        </w:rPr>
      </w:pPr>
      <w:r w:rsidRPr="628C881F">
        <w:rPr>
          <w:rFonts w:cs="Arial"/>
        </w:rPr>
        <w:t xml:space="preserve">There are </w:t>
      </w:r>
      <w:r w:rsidR="00D81F59">
        <w:rPr>
          <w:rFonts w:cs="Arial"/>
        </w:rPr>
        <w:t>225</w:t>
      </w:r>
      <w:r w:rsidR="00B737C4" w:rsidRPr="628C881F">
        <w:rPr>
          <w:rFonts w:cs="Arial"/>
        </w:rPr>
        <w:t xml:space="preserve"> </w:t>
      </w:r>
      <w:r w:rsidRPr="628C881F">
        <w:rPr>
          <w:rFonts w:cs="Arial"/>
        </w:rPr>
        <w:t>CBDS setting</w:t>
      </w:r>
      <w:r w:rsidR="002C5B1D" w:rsidRPr="628C881F">
        <w:rPr>
          <w:rFonts w:cs="Arial"/>
        </w:rPr>
        <w:t>s</w:t>
      </w:r>
      <w:r w:rsidRPr="628C881F">
        <w:rPr>
          <w:rFonts w:cs="Arial"/>
        </w:rPr>
        <w:t xml:space="preserve"> in 2022. </w:t>
      </w:r>
      <w:r w:rsidR="005B414B" w:rsidRPr="628C881F">
        <w:rPr>
          <w:rFonts w:cs="Arial"/>
        </w:rPr>
        <w:t xml:space="preserve">As described in the discussion of DDS’s systemic assessment approach, DDS developed a voluntary survey that was distributed </w:t>
      </w:r>
      <w:r w:rsidR="002C5B1D" w:rsidRPr="628C881F">
        <w:rPr>
          <w:rFonts w:cs="Arial"/>
        </w:rPr>
        <w:t xml:space="preserve">in 2015 </w:t>
      </w:r>
      <w:r w:rsidR="005B414B" w:rsidRPr="628C881F">
        <w:rPr>
          <w:rFonts w:cs="Arial"/>
        </w:rPr>
        <w:t xml:space="preserve">to </w:t>
      </w:r>
      <w:r w:rsidR="000D07BC" w:rsidRPr="628C881F">
        <w:rPr>
          <w:rFonts w:cs="Arial"/>
        </w:rPr>
        <w:t xml:space="preserve">all </w:t>
      </w:r>
      <w:r w:rsidR="005B414B" w:rsidRPr="628C881F">
        <w:rPr>
          <w:rFonts w:cs="Arial"/>
        </w:rPr>
        <w:t xml:space="preserve">98 Community-Based Day Support (CBDS) providers at the time, representing 170 CBDS settings.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w:t>
      </w:r>
      <w:r w:rsidR="009874ED" w:rsidRPr="628C881F">
        <w:rPr>
          <w:rFonts w:cs="Arial"/>
        </w:rPr>
        <w:t xml:space="preserve">and </w:t>
      </w:r>
      <w:r w:rsidR="005B414B" w:rsidRPr="628C881F">
        <w:rPr>
          <w:rFonts w:cs="Arial"/>
        </w:rPr>
        <w:t xml:space="preserve">training. </w:t>
      </w:r>
    </w:p>
    <w:p w14:paraId="4C5E2A01" w14:textId="681F6BFA" w:rsidR="005B414B" w:rsidRDefault="00FC3E6D" w:rsidP="00A32FE8">
      <w:pPr>
        <w:pStyle w:val="ListParagraph"/>
        <w:ind w:left="0"/>
        <w:rPr>
          <w:rFonts w:cs="Arial"/>
        </w:rPr>
      </w:pPr>
      <w:r w:rsidRPr="29712154">
        <w:rPr>
          <w:rFonts w:cs="Arial"/>
        </w:rPr>
        <w:t xml:space="preserve">Although voluntary in nature, the survey provided rich and generalizable information upon which to base a broad compliance action strategy that </w:t>
      </w:r>
      <w:r w:rsidR="004D4216" w:rsidRPr="29712154">
        <w:rPr>
          <w:rFonts w:cs="Arial"/>
        </w:rPr>
        <w:t>was</w:t>
      </w:r>
      <w:r w:rsidRPr="29712154">
        <w:rPr>
          <w:rFonts w:cs="Arial"/>
        </w:rPr>
        <w:t xml:space="preserve"> deployed at the site level across all CBDS providers and settings. Senior DDS staff utilized site-specific program data including licensure and certification information in combination with review of the site-level data from the CBDS survey responses to establish a comprehensive understanding of this setting type in relation to requirements of the Community Rule. These review steps informed a thorough picture of the need for remediation of all CBDS sites </w:t>
      </w:r>
      <w:proofErr w:type="gramStart"/>
      <w:r w:rsidRPr="29712154">
        <w:rPr>
          <w:rFonts w:cs="Arial"/>
        </w:rPr>
        <w:t>in order to</w:t>
      </w:r>
      <w:proofErr w:type="gramEnd"/>
      <w:r w:rsidRPr="29712154">
        <w:rPr>
          <w:rFonts w:cs="Arial"/>
        </w:rPr>
        <w:t xml:space="preserve"> ensure comprehensive site-level compliance</w:t>
      </w:r>
      <w:r w:rsidR="004D4216" w:rsidRPr="29712154">
        <w:rPr>
          <w:rFonts w:cs="Arial"/>
        </w:rPr>
        <w:t xml:space="preserve"> </w:t>
      </w:r>
      <w:r w:rsidR="004D4216" w:rsidRPr="29712154">
        <w:rPr>
          <w:rFonts w:cs="Arial"/>
        </w:rPr>
        <w:lastRenderedPageBreak/>
        <w:t xml:space="preserve">as part of the </w:t>
      </w:r>
      <w:r w:rsidR="002714E2" w:rsidRPr="29712154">
        <w:rPr>
          <w:rFonts w:cs="Arial"/>
        </w:rPr>
        <w:t xml:space="preserve">2019 </w:t>
      </w:r>
      <w:r w:rsidR="004D4216" w:rsidRPr="29712154">
        <w:rPr>
          <w:rFonts w:cs="Arial"/>
        </w:rPr>
        <w:t>RFR process documented in the systemic assessment section</w:t>
      </w:r>
      <w:r w:rsidR="006467A5" w:rsidRPr="29712154">
        <w:rPr>
          <w:rFonts w:cs="Arial"/>
        </w:rPr>
        <w:t xml:space="preserve"> and </w:t>
      </w:r>
      <w:r w:rsidR="66DC4BDA" w:rsidRPr="29712154">
        <w:rPr>
          <w:rFonts w:cs="Arial"/>
        </w:rPr>
        <w:t>Section 3 below</w:t>
      </w:r>
      <w:r w:rsidRPr="29712154">
        <w:rPr>
          <w:rFonts w:cs="Arial"/>
        </w:rPr>
        <w:t>.</w:t>
      </w:r>
    </w:p>
    <w:p w14:paraId="1CB37A85" w14:textId="77777777" w:rsidR="00E72E9A" w:rsidRDefault="00E72E9A" w:rsidP="00A32FE8">
      <w:pPr>
        <w:pStyle w:val="ListParagraph"/>
        <w:ind w:left="0"/>
        <w:rPr>
          <w:rStyle w:val="SubtleEmphasis"/>
        </w:rPr>
      </w:pPr>
    </w:p>
    <w:p w14:paraId="04A98B0E" w14:textId="6613B27E" w:rsidR="00895F05" w:rsidRPr="001432A4" w:rsidRDefault="00895F05" w:rsidP="00A32FE8">
      <w:pPr>
        <w:pStyle w:val="ListParagraph"/>
        <w:ind w:left="0"/>
        <w:rPr>
          <w:rStyle w:val="SubtleEmphasis"/>
        </w:rPr>
      </w:pPr>
      <w:r w:rsidRPr="001432A4">
        <w:rPr>
          <w:rStyle w:val="SubtleEmphasis"/>
        </w:rPr>
        <w:t>Day Habilitation</w:t>
      </w:r>
    </w:p>
    <w:p w14:paraId="09CE3E58" w14:textId="03D6C249" w:rsidR="00103509" w:rsidRDefault="00103509" w:rsidP="00A32FE8">
      <w:pPr>
        <w:pStyle w:val="ListParagraph"/>
        <w:ind w:left="0"/>
        <w:rPr>
          <w:rFonts w:cs="Arial"/>
        </w:rPr>
      </w:pPr>
      <w:r w:rsidRPr="00C9721A">
        <w:rPr>
          <w:rFonts w:cs="Arial"/>
        </w:rPr>
        <w:t xml:space="preserve">As identified in Table 2, there are </w:t>
      </w:r>
      <w:r w:rsidR="009470FA">
        <w:rPr>
          <w:rFonts w:cs="Arial"/>
        </w:rPr>
        <w:t>161</w:t>
      </w:r>
      <w:r w:rsidR="00EA3413" w:rsidRPr="00C9721A">
        <w:rPr>
          <w:rFonts w:cs="Arial"/>
        </w:rPr>
        <w:t xml:space="preserve"> Day Habilitation providers</w:t>
      </w:r>
      <w:r w:rsidR="00907CC4" w:rsidRPr="00C9721A">
        <w:rPr>
          <w:rFonts w:cs="Arial"/>
        </w:rPr>
        <w:t xml:space="preserve">. Day Habilitation providers are not </w:t>
      </w:r>
      <w:r w:rsidR="003C7411" w:rsidRPr="00C9721A">
        <w:rPr>
          <w:rFonts w:cs="Arial"/>
        </w:rPr>
        <w:t xml:space="preserve">inherently covered settings as the Day Habilitation service is </w:t>
      </w:r>
      <w:r w:rsidR="005D5B83" w:rsidRPr="00C9721A">
        <w:rPr>
          <w:rFonts w:cs="Arial"/>
        </w:rPr>
        <w:t>not</w:t>
      </w:r>
      <w:r w:rsidR="00774208" w:rsidRPr="00C9721A">
        <w:rPr>
          <w:rFonts w:cs="Arial"/>
        </w:rPr>
        <w:t xml:space="preserve"> included in a 1915(c), 1915(</w:t>
      </w:r>
      <w:proofErr w:type="spellStart"/>
      <w:r w:rsidR="00774208" w:rsidRPr="00C9721A">
        <w:rPr>
          <w:rFonts w:cs="Arial"/>
        </w:rPr>
        <w:t>i</w:t>
      </w:r>
      <w:proofErr w:type="spellEnd"/>
      <w:r w:rsidR="00774208" w:rsidRPr="00C9721A">
        <w:rPr>
          <w:rFonts w:cs="Arial"/>
        </w:rPr>
        <w:t>), or 1915(k) authority</w:t>
      </w:r>
      <w:r w:rsidR="003C7411" w:rsidRPr="00C9721A">
        <w:rPr>
          <w:rFonts w:cs="Arial"/>
        </w:rPr>
        <w:t xml:space="preserve">. However, </w:t>
      </w:r>
      <w:r w:rsidR="00401B24">
        <w:rPr>
          <w:rFonts w:cs="Arial"/>
        </w:rPr>
        <w:t xml:space="preserve">there are DDS </w:t>
      </w:r>
      <w:r w:rsidR="009F5522">
        <w:rPr>
          <w:rFonts w:cs="Arial"/>
        </w:rPr>
        <w:t>A</w:t>
      </w:r>
      <w:r w:rsidR="00401B24">
        <w:rPr>
          <w:rFonts w:cs="Arial"/>
        </w:rPr>
        <w:t xml:space="preserve">dult waiver participants who receive Day Habilitation Supplement in </w:t>
      </w:r>
      <w:r w:rsidR="009C1E6B">
        <w:rPr>
          <w:rFonts w:cs="Arial"/>
        </w:rPr>
        <w:t>Day Habilitation settings. The Day Habilitation Supplement service is</w:t>
      </w:r>
      <w:r w:rsidR="00547D7B">
        <w:rPr>
          <w:rFonts w:cs="Arial"/>
        </w:rPr>
        <w:t xml:space="preserve"> </w:t>
      </w:r>
      <w:r w:rsidR="000E71B5">
        <w:rPr>
          <w:rFonts w:cs="Arial"/>
        </w:rPr>
        <w:t>in</w:t>
      </w:r>
      <w:r w:rsidR="003F4012">
        <w:rPr>
          <w:rFonts w:cs="Arial"/>
        </w:rPr>
        <w:t xml:space="preserve"> the</w:t>
      </w:r>
      <w:r w:rsidR="000E71B5">
        <w:rPr>
          <w:rFonts w:cs="Arial"/>
        </w:rPr>
        <w:t xml:space="preserve"> </w:t>
      </w:r>
      <w:r w:rsidR="00547D7B">
        <w:rPr>
          <w:rFonts w:cs="Arial"/>
        </w:rPr>
        <w:t xml:space="preserve">process </w:t>
      </w:r>
      <w:r w:rsidR="003F4012">
        <w:rPr>
          <w:rFonts w:cs="Arial"/>
        </w:rPr>
        <w:t>of</w:t>
      </w:r>
      <w:r w:rsidR="00705399">
        <w:rPr>
          <w:rFonts w:cs="Arial"/>
        </w:rPr>
        <w:t xml:space="preserve"> </w:t>
      </w:r>
      <w:r w:rsidR="00547D7B">
        <w:rPr>
          <w:rFonts w:cs="Arial"/>
        </w:rPr>
        <w:t>phas</w:t>
      </w:r>
      <w:r w:rsidR="003F4012">
        <w:rPr>
          <w:rFonts w:cs="Arial"/>
        </w:rPr>
        <w:t>ing</w:t>
      </w:r>
      <w:r w:rsidR="00547D7B">
        <w:rPr>
          <w:rFonts w:cs="Arial"/>
        </w:rPr>
        <w:t xml:space="preserve"> out as a waiver service and transition</w:t>
      </w:r>
      <w:r w:rsidR="003F4012">
        <w:rPr>
          <w:rFonts w:cs="Arial"/>
        </w:rPr>
        <w:t>ing</w:t>
      </w:r>
      <w:r w:rsidR="00EB67EC">
        <w:rPr>
          <w:rFonts w:cs="Arial"/>
        </w:rPr>
        <w:t xml:space="preserve"> </w:t>
      </w:r>
      <w:r w:rsidR="003F4012">
        <w:rPr>
          <w:rFonts w:cs="Arial"/>
        </w:rPr>
        <w:t>to</w:t>
      </w:r>
      <w:r w:rsidR="00EB67EC">
        <w:rPr>
          <w:rFonts w:cs="Arial"/>
        </w:rPr>
        <w:t xml:space="preserve"> Individualized Staffing Supports, a c</w:t>
      </w:r>
      <w:r w:rsidR="004F7691">
        <w:rPr>
          <w:rFonts w:cs="Arial"/>
        </w:rPr>
        <w:t xml:space="preserve">omponent </w:t>
      </w:r>
      <w:r w:rsidR="00EB67EC">
        <w:rPr>
          <w:rFonts w:cs="Arial"/>
        </w:rPr>
        <w:t xml:space="preserve">of the Day Habilitation </w:t>
      </w:r>
      <w:r w:rsidR="00E35588">
        <w:rPr>
          <w:rFonts w:cs="Arial"/>
        </w:rPr>
        <w:t>S</w:t>
      </w:r>
      <w:r w:rsidR="00547D7B">
        <w:rPr>
          <w:rFonts w:cs="Arial"/>
        </w:rPr>
        <w:t xml:space="preserve">tate </w:t>
      </w:r>
      <w:r w:rsidR="00E35588">
        <w:rPr>
          <w:rFonts w:cs="Arial"/>
        </w:rPr>
        <w:t>P</w:t>
      </w:r>
      <w:r w:rsidR="00547D7B">
        <w:rPr>
          <w:rFonts w:cs="Arial"/>
        </w:rPr>
        <w:t>lan service</w:t>
      </w:r>
      <w:r w:rsidR="00AF0548">
        <w:rPr>
          <w:rFonts w:cs="Arial"/>
        </w:rPr>
        <w:t xml:space="preserve">. </w:t>
      </w:r>
      <w:r w:rsidR="005F468E">
        <w:rPr>
          <w:rFonts w:cs="Arial"/>
        </w:rPr>
        <w:t xml:space="preserve">Now </w:t>
      </w:r>
      <w:r w:rsidR="00AF0548">
        <w:rPr>
          <w:rFonts w:cs="Arial"/>
        </w:rPr>
        <w:t xml:space="preserve">that </w:t>
      </w:r>
      <w:r w:rsidR="00C76B62">
        <w:rPr>
          <w:rFonts w:cs="Arial"/>
        </w:rPr>
        <w:t>transition</w:t>
      </w:r>
      <w:r w:rsidR="00AF0548">
        <w:rPr>
          <w:rFonts w:cs="Arial"/>
        </w:rPr>
        <w:t xml:space="preserve"> is complete</w:t>
      </w:r>
      <w:r w:rsidR="00186775">
        <w:rPr>
          <w:rFonts w:cs="Arial"/>
        </w:rPr>
        <w:t xml:space="preserve"> </w:t>
      </w:r>
      <w:r w:rsidR="00C76B62">
        <w:rPr>
          <w:rFonts w:cs="Arial"/>
        </w:rPr>
        <w:t>(</w:t>
      </w:r>
      <w:r w:rsidR="00027B75">
        <w:rPr>
          <w:rFonts w:cs="Arial"/>
        </w:rPr>
        <w:t>as of</w:t>
      </w:r>
      <w:r w:rsidR="00186775">
        <w:rPr>
          <w:rFonts w:cs="Arial"/>
        </w:rPr>
        <w:t xml:space="preserve"> the end of 2022</w:t>
      </w:r>
      <w:r w:rsidR="00C76B62">
        <w:rPr>
          <w:rFonts w:cs="Arial"/>
        </w:rPr>
        <w:t>)</w:t>
      </w:r>
      <w:r w:rsidR="007146C2">
        <w:rPr>
          <w:rFonts w:cs="Arial"/>
        </w:rPr>
        <w:t>,</w:t>
      </w:r>
      <w:r w:rsidR="00186775">
        <w:rPr>
          <w:rFonts w:cs="Arial"/>
        </w:rPr>
        <w:t xml:space="preserve"> Day Habilitation providers will not be a setting for any services</w:t>
      </w:r>
      <w:r w:rsidR="003C2682">
        <w:rPr>
          <w:rFonts w:cs="Arial"/>
        </w:rPr>
        <w:t xml:space="preserve"> covered under the Community Rule authorities. </w:t>
      </w:r>
    </w:p>
    <w:p w14:paraId="3EA8817C" w14:textId="491A15CC" w:rsidR="007C11D4" w:rsidRPr="00647AB9" w:rsidRDefault="007C11D4" w:rsidP="007C11D4">
      <w:r w:rsidRPr="00647AB9">
        <w:t xml:space="preserve">DDS </w:t>
      </w:r>
      <w:r>
        <w:t xml:space="preserve">non-residential </w:t>
      </w:r>
      <w:r w:rsidRPr="00647AB9">
        <w:t>provider licensure and certification reports</w:t>
      </w:r>
      <w:r w:rsidR="008C1F92">
        <w:t xml:space="preserve">, including </w:t>
      </w:r>
      <w:r w:rsidR="007723D4">
        <w:t xml:space="preserve">day and </w:t>
      </w:r>
      <w:r w:rsidR="008C1F92">
        <w:t xml:space="preserve">employment, </w:t>
      </w:r>
      <w:r w:rsidR="00A30F4C">
        <w:t xml:space="preserve">services, </w:t>
      </w:r>
      <w:r w:rsidRPr="00647AB9">
        <w:t xml:space="preserve">are publicly available on the state website (See Table 4. Links to Related Documents).  </w:t>
      </w:r>
    </w:p>
    <w:p w14:paraId="537E40B4" w14:textId="3AE4677E" w:rsidR="00327DC1" w:rsidRPr="001432A4" w:rsidRDefault="00B02375" w:rsidP="00144BE9">
      <w:pPr>
        <w:pStyle w:val="Heading3"/>
      </w:pPr>
      <w:r>
        <w:t xml:space="preserve">2. </w:t>
      </w:r>
      <w:r w:rsidR="00327DC1" w:rsidRPr="001432A4">
        <w:t>Findings</w:t>
      </w:r>
    </w:p>
    <w:p w14:paraId="2D851927" w14:textId="77777777" w:rsidR="00327DC1" w:rsidRPr="00FD56B6" w:rsidRDefault="00A32FE8" w:rsidP="00A32FE8">
      <w:pPr>
        <w:rPr>
          <w:rStyle w:val="Strong"/>
          <w:i/>
        </w:rPr>
      </w:pPr>
      <w:r w:rsidRPr="00FD56B6">
        <w:rPr>
          <w:rStyle w:val="Strong"/>
          <w:i/>
        </w:rPr>
        <w:t>Residential settings</w:t>
      </w:r>
    </w:p>
    <w:p w14:paraId="6622A5E3" w14:textId="08A602A7" w:rsidR="00327DC1" w:rsidRPr="00B11E60" w:rsidRDefault="00327DC1" w:rsidP="00A32FE8">
      <w:pPr>
        <w:rPr>
          <w:rFonts w:cs="Arial"/>
        </w:rPr>
      </w:pPr>
      <w:r w:rsidRPr="00B11E60">
        <w:rPr>
          <w:rFonts w:cs="Arial"/>
        </w:rPr>
        <w:t>Based upon the review and assessment, and as further described in the attached Analysis of Waiver Settings, the residential settings described in section 1(a) above fall into the following designations</w:t>
      </w:r>
      <w:r w:rsidR="003A0A6C">
        <w:rPr>
          <w:rFonts w:cs="Arial"/>
        </w:rPr>
        <w:t xml:space="preserve"> as of </w:t>
      </w:r>
      <w:r w:rsidR="00516E10">
        <w:rPr>
          <w:rFonts w:cs="Arial"/>
        </w:rPr>
        <w:t>February 2022</w:t>
      </w:r>
      <w:r w:rsidRPr="00B11E60">
        <w:rPr>
          <w:rFonts w:cs="Arial"/>
        </w:rPr>
        <w:t xml:space="preserve">:  </w:t>
      </w:r>
    </w:p>
    <w:p w14:paraId="5A42E28F" w14:textId="6FC9F597" w:rsidR="00327DC1" w:rsidRPr="00B11E60" w:rsidRDefault="00327DC1" w:rsidP="004427AF">
      <w:pPr>
        <w:pStyle w:val="ListParagraph"/>
        <w:numPr>
          <w:ilvl w:val="0"/>
          <w:numId w:val="4"/>
        </w:numPr>
        <w:ind w:left="720"/>
        <w:rPr>
          <w:rFonts w:asciiTheme="minorHAnsi" w:hAnsiTheme="minorHAnsi"/>
        </w:rPr>
      </w:pPr>
      <w:r w:rsidRPr="628C881F">
        <w:rPr>
          <w:rFonts w:cs="Arial"/>
        </w:rPr>
        <w:t xml:space="preserve">The residential setting complies: </w:t>
      </w:r>
      <w:r w:rsidR="00046D39">
        <w:rPr>
          <w:rFonts w:cs="Arial"/>
        </w:rPr>
        <w:t xml:space="preserve">4,055 </w:t>
      </w:r>
    </w:p>
    <w:p w14:paraId="52FA73C5" w14:textId="6D8910CA" w:rsidR="00327DC1" w:rsidRPr="00B11E60" w:rsidRDefault="00327DC1" w:rsidP="004427AF">
      <w:pPr>
        <w:pStyle w:val="ListParagraph"/>
        <w:numPr>
          <w:ilvl w:val="0"/>
          <w:numId w:val="4"/>
        </w:numPr>
        <w:spacing w:after="0"/>
        <w:ind w:left="720"/>
        <w:rPr>
          <w:rFonts w:cs="Arial"/>
        </w:rPr>
      </w:pPr>
      <w:r w:rsidRPr="628C881F">
        <w:rPr>
          <w:rFonts w:cs="Arial"/>
        </w:rPr>
        <w:t>The residential setting</w:t>
      </w:r>
      <w:r w:rsidR="00DD4A79">
        <w:rPr>
          <w:rFonts w:cs="Arial"/>
        </w:rPr>
        <w:t xml:space="preserve"> </w:t>
      </w:r>
      <w:r w:rsidR="009C63D2">
        <w:rPr>
          <w:rFonts w:cs="Arial"/>
        </w:rPr>
        <w:t>meets HCBS but subject to Heightened Scrutiny:</w:t>
      </w:r>
      <w:r w:rsidR="00EC0007">
        <w:rPr>
          <w:rFonts w:cs="Arial"/>
        </w:rPr>
        <w:t xml:space="preserve"> </w:t>
      </w:r>
      <w:r w:rsidR="00DD4A79">
        <w:rPr>
          <w:rFonts w:cs="Arial"/>
        </w:rPr>
        <w:t>25</w:t>
      </w:r>
    </w:p>
    <w:p w14:paraId="2056BC3D" w14:textId="3C75AF1D" w:rsidR="00327DC1" w:rsidRPr="00B11E60" w:rsidRDefault="00327DC1" w:rsidP="004427AF">
      <w:pPr>
        <w:pStyle w:val="ListParagraph"/>
        <w:numPr>
          <w:ilvl w:val="0"/>
          <w:numId w:val="4"/>
        </w:numPr>
        <w:spacing w:after="100" w:afterAutospacing="1"/>
        <w:ind w:left="720"/>
        <w:rPr>
          <w:rFonts w:cs="Arial"/>
        </w:rPr>
      </w:pPr>
      <w:r w:rsidRPr="628C881F">
        <w:rPr>
          <w:rFonts w:cs="Arial"/>
        </w:rPr>
        <w:t>The residential setting cannot meet the requirements: none</w:t>
      </w:r>
    </w:p>
    <w:p w14:paraId="3A802549" w14:textId="07633607" w:rsidR="00327DC1" w:rsidRPr="00B11E60" w:rsidRDefault="008D610D" w:rsidP="00A32FE8">
      <w:pPr>
        <w:spacing w:after="100" w:afterAutospacing="1"/>
        <w:rPr>
          <w:rFonts w:cs="Arial"/>
        </w:rPr>
      </w:pPr>
      <w:r w:rsidRPr="0CD39CED">
        <w:rPr>
          <w:rFonts w:cs="Arial"/>
        </w:rPr>
        <w:t>Given the above numbers, a</w:t>
      </w:r>
      <w:r>
        <w:rPr>
          <w:rFonts w:cs="Arial"/>
        </w:rPr>
        <w:t xml:space="preserve">lmost </w:t>
      </w:r>
      <w:proofErr w:type="gramStart"/>
      <w:r>
        <w:rPr>
          <w:rFonts w:cs="Arial"/>
        </w:rPr>
        <w:t>all of</w:t>
      </w:r>
      <w:proofErr w:type="gramEnd"/>
      <w:r>
        <w:rPr>
          <w:rFonts w:cs="Arial"/>
        </w:rPr>
        <w:t xml:space="preserve"> the set of providers and settings that had been originally identified for in-depth review </w:t>
      </w:r>
      <w:r w:rsidR="004D4216">
        <w:rPr>
          <w:rFonts w:cs="Arial"/>
        </w:rPr>
        <w:t xml:space="preserve">are now no longer identified as such.  </w:t>
      </w:r>
      <w:r>
        <w:rPr>
          <w:rFonts w:cs="Arial"/>
        </w:rPr>
        <w:t>These</w:t>
      </w:r>
      <w:r w:rsidR="004D4216">
        <w:rPr>
          <w:rFonts w:cs="Arial"/>
        </w:rPr>
        <w:t xml:space="preserve"> providers initiated and completed the substantive changes required and have been licensed and certified through the enhanced and strengthened licensure and certification process. The work completed by these providers included </w:t>
      </w:r>
      <w:r w:rsidR="00327DC1" w:rsidRPr="00B11E60">
        <w:rPr>
          <w:rFonts w:cs="Arial"/>
        </w:rPr>
        <w:t>compliance actions relate</w:t>
      </w:r>
      <w:r w:rsidR="00942FC7">
        <w:rPr>
          <w:rFonts w:cs="Arial"/>
        </w:rPr>
        <w:t>d</w:t>
      </w:r>
      <w:r w:rsidR="00327DC1" w:rsidRPr="00B11E60">
        <w:rPr>
          <w:rFonts w:cs="Arial"/>
        </w:rPr>
        <w:t xml:space="preserve"> to the following Community Rule domains:</w:t>
      </w:r>
    </w:p>
    <w:p w14:paraId="6123330A" w14:textId="18124BF8" w:rsidR="00D50B16" w:rsidRPr="00FD5B97" w:rsidRDefault="00D50B16" w:rsidP="004427AF">
      <w:pPr>
        <w:pStyle w:val="ListParagraph"/>
        <w:numPr>
          <w:ilvl w:val="0"/>
          <w:numId w:val="23"/>
        </w:numPr>
        <w:spacing w:after="100" w:afterAutospacing="1"/>
        <w:ind w:left="720"/>
        <w:rPr>
          <w:rFonts w:cs="Arial"/>
        </w:rPr>
      </w:pPr>
      <w:r w:rsidRPr="00FD5B97">
        <w:rPr>
          <w:rFonts w:cs="Arial"/>
        </w:rPr>
        <w:t xml:space="preserve">The setting is integrated in and supports full access to the community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dental and medical appointments shifted to community providers; unbundling of services; fuller use of interest inventories as part of person-centered planning; wider use of community resources and partnerships; remov</w:t>
      </w:r>
      <w:r w:rsidR="00942FC7">
        <w:rPr>
          <w:rFonts w:cs="Arial"/>
        </w:rPr>
        <w:t>ing</w:t>
      </w:r>
      <w:r w:rsidRPr="00FD5B97">
        <w:rPr>
          <w:rFonts w:cs="Arial"/>
        </w:rPr>
        <w:t xml:space="preserve"> all “commercial” signage; and explore/encourage shared living model.</w:t>
      </w:r>
    </w:p>
    <w:p w14:paraId="1E69F874" w14:textId="77777777" w:rsidR="00D50B16" w:rsidRPr="00FD5B97" w:rsidRDefault="00D50B16" w:rsidP="004427AF">
      <w:pPr>
        <w:pStyle w:val="ListParagraph"/>
        <w:numPr>
          <w:ilvl w:val="0"/>
          <w:numId w:val="23"/>
        </w:numPr>
        <w:spacing w:after="100" w:afterAutospacing="1"/>
        <w:ind w:left="720"/>
        <w:rPr>
          <w:rFonts w:cs="Arial"/>
        </w:rPr>
      </w:pPr>
      <w:r w:rsidRPr="00FD5B97">
        <w:rPr>
          <w:rFonts w:cs="Arial"/>
        </w:rPr>
        <w:t xml:space="preserve">The setting is selected by the individual from among setting options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unbundling of residential and day/employment services.</w:t>
      </w:r>
    </w:p>
    <w:p w14:paraId="626D2A3E" w14:textId="77777777" w:rsidR="00D50B16" w:rsidRPr="00FD5B97" w:rsidRDefault="00D50B16" w:rsidP="004427AF">
      <w:pPr>
        <w:pStyle w:val="ListParagraph"/>
        <w:numPr>
          <w:ilvl w:val="0"/>
          <w:numId w:val="23"/>
        </w:numPr>
        <w:spacing w:after="100" w:afterAutospacing="1"/>
        <w:ind w:left="720"/>
        <w:rPr>
          <w:rFonts w:cs="Arial"/>
        </w:rPr>
      </w:pPr>
      <w:r w:rsidRPr="00FD5B97">
        <w:rPr>
          <w:rFonts w:cs="Arial"/>
        </w:rPr>
        <w:t xml:space="preserve">The setting optimizes, but does not regiment, individual initiative, autonomy, and independence – </w:t>
      </w:r>
      <w:r w:rsidRPr="00FD5B97">
        <w:rPr>
          <w:rFonts w:cs="Arial"/>
        </w:rPr>
        <w:br/>
      </w:r>
      <w:r>
        <w:rPr>
          <w:rFonts w:cs="Arial"/>
        </w:rPr>
        <w:lastRenderedPageBreak/>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additional staff</w:t>
      </w:r>
      <w:r>
        <w:rPr>
          <w:rFonts w:cs="Arial"/>
        </w:rPr>
        <w:t>/community members</w:t>
      </w:r>
      <w:r w:rsidRPr="00FD5B97">
        <w:rPr>
          <w:rFonts w:cs="Arial"/>
        </w:rPr>
        <w:t xml:space="preserve"> to ensure individualized activities.</w:t>
      </w:r>
    </w:p>
    <w:p w14:paraId="10FA7DE5" w14:textId="77777777" w:rsidR="00D50B16" w:rsidRPr="00FD5B97" w:rsidRDefault="00D50B16" w:rsidP="004427AF">
      <w:pPr>
        <w:pStyle w:val="ListParagraph"/>
        <w:numPr>
          <w:ilvl w:val="0"/>
          <w:numId w:val="23"/>
        </w:numPr>
        <w:spacing w:after="100" w:afterAutospacing="1"/>
        <w:ind w:left="720"/>
        <w:rPr>
          <w:rFonts w:cs="Arial"/>
        </w:rPr>
      </w:pPr>
      <w:r w:rsidRPr="00FD5B97">
        <w:rPr>
          <w:rFonts w:cs="Arial"/>
        </w:rPr>
        <w:t xml:space="preserve">The setting facilitates individual choice regarding services and supports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additional staff to ensure individualized activities; and more individual input into hiring and retaining staff.</w:t>
      </w:r>
    </w:p>
    <w:p w14:paraId="45BB9AD6" w14:textId="0AF0B3BB" w:rsidR="00AF20E7" w:rsidRPr="00244C28" w:rsidRDefault="00D50B16" w:rsidP="004427AF">
      <w:pPr>
        <w:pStyle w:val="ListParagraph"/>
        <w:numPr>
          <w:ilvl w:val="0"/>
          <w:numId w:val="23"/>
        </w:numPr>
        <w:spacing w:after="100" w:afterAutospacing="1"/>
        <w:ind w:left="720"/>
        <w:rPr>
          <w:rFonts w:cs="Arial"/>
        </w:rPr>
      </w:pPr>
      <w:r w:rsidRPr="29712154">
        <w:rPr>
          <w:rFonts w:cs="Arial"/>
        </w:rPr>
        <w:t xml:space="preserve">Individuals have freedom to control their own schedules and activities and have access to food at any time – </w:t>
      </w:r>
      <w:r>
        <w:br/>
      </w:r>
      <w:r w:rsidRPr="29712154">
        <w:rPr>
          <w:rFonts w:cs="Arial"/>
        </w:rPr>
        <w:t>Some examples of provider activities to comply with this domain included provider staff training on person-centered planning; and additional staff to ensure individualized activities.</w:t>
      </w:r>
      <w:r w:rsidR="0C5147F8" w:rsidRPr="29712154">
        <w:rPr>
          <w:rFonts w:cs="Arial"/>
        </w:rPr>
        <w:t xml:space="preserve"> </w:t>
      </w:r>
    </w:p>
    <w:p w14:paraId="31ED4AF4" w14:textId="263D4A99" w:rsidR="6B707AD4" w:rsidRPr="007D5F8B" w:rsidRDefault="00D50B16" w:rsidP="004427AF">
      <w:pPr>
        <w:pStyle w:val="ListParagraph"/>
        <w:numPr>
          <w:ilvl w:val="0"/>
          <w:numId w:val="23"/>
        </w:numPr>
        <w:spacing w:after="100" w:afterAutospacing="1"/>
        <w:ind w:left="720"/>
        <w:rPr>
          <w:rStyle w:val="Strong"/>
          <w:rFonts w:asciiTheme="minorHAnsi" w:hAnsiTheme="minorHAnsi"/>
          <w:b w:val="0"/>
          <w:bCs w:val="0"/>
        </w:rPr>
      </w:pPr>
      <w:r w:rsidRPr="29712154">
        <w:rPr>
          <w:rFonts w:cs="Arial"/>
        </w:rPr>
        <w:t xml:space="preserve">Individuals </w:t>
      </w:r>
      <w:proofErr w:type="gramStart"/>
      <w:r w:rsidRPr="29712154">
        <w:rPr>
          <w:rFonts w:cs="Arial"/>
        </w:rPr>
        <w:t>are able to</w:t>
      </w:r>
      <w:proofErr w:type="gramEnd"/>
      <w:r w:rsidRPr="29712154">
        <w:rPr>
          <w:rFonts w:cs="Arial"/>
        </w:rPr>
        <w:t xml:space="preserve"> have visitors of their choosing at any time – </w:t>
      </w:r>
      <w:r>
        <w:br/>
      </w:r>
      <w:r w:rsidRPr="29712154">
        <w:rPr>
          <w:rFonts w:cs="Arial"/>
        </w:rPr>
        <w:t>Some examples of provider activities to comply with this domain included revision of visiting policy to comport with Community Rule.</w:t>
      </w:r>
      <w:r w:rsidR="00AF20E7" w:rsidRPr="29712154">
        <w:rPr>
          <w:rFonts w:cs="Arial"/>
        </w:rPr>
        <w:t xml:space="preserve"> Any modification to visitation must be supported by a specific assessed need and supported in the person-centered plan. See 42 CFR 441.301(c)(4)(vi)(F). DDS’ Licensure and Certification process monitors providers and settings to assure that individuals’ rights to visitation are upheld. Also see DDS guidance on visitation</w:t>
      </w:r>
      <w:r w:rsidR="4082C709" w:rsidRPr="2DBE62B9">
        <w:rPr>
          <w:rFonts w:cs="Arial"/>
        </w:rPr>
        <w:t xml:space="preserve"> </w:t>
      </w:r>
      <w:r w:rsidR="236E4DB4" w:rsidRPr="2DBE62B9">
        <w:rPr>
          <w:rFonts w:cs="Arial"/>
        </w:rPr>
        <w:t xml:space="preserve">(see </w:t>
      </w:r>
      <w:r w:rsidR="00DA02F0">
        <w:rPr>
          <w:rFonts w:cs="Arial"/>
        </w:rPr>
        <w:t>T</w:t>
      </w:r>
      <w:r w:rsidR="236E4DB4" w:rsidRPr="2DBE62B9">
        <w:rPr>
          <w:rFonts w:cs="Arial"/>
        </w:rPr>
        <w:t>able 4 for link)</w:t>
      </w:r>
      <w:r w:rsidR="00AF20E7" w:rsidRPr="2DBE62B9">
        <w:rPr>
          <w:rFonts w:cs="Arial"/>
        </w:rPr>
        <w:t xml:space="preserve">.  </w:t>
      </w:r>
    </w:p>
    <w:p w14:paraId="528DA89D" w14:textId="3EBAE97F" w:rsidR="67C9747A" w:rsidRDefault="67C9747A" w:rsidP="6B707AD4">
      <w:pPr>
        <w:rPr>
          <w:rFonts w:cs="Arial"/>
        </w:rPr>
      </w:pPr>
      <w:r w:rsidRPr="6B707AD4">
        <w:rPr>
          <w:rFonts w:cs="Arial"/>
        </w:rPr>
        <w:t>DDS residential provider licensure and certification reports are publicly available on the state website</w:t>
      </w:r>
      <w:r w:rsidR="00A237B1" w:rsidRPr="6B707AD4">
        <w:rPr>
          <w:rFonts w:cs="Arial"/>
        </w:rPr>
        <w:t xml:space="preserve"> (See Table 4. Links to Related Documents).  </w:t>
      </w:r>
    </w:p>
    <w:p w14:paraId="44FC586D" w14:textId="77777777" w:rsidR="00FC3E6D" w:rsidRPr="001432A4" w:rsidRDefault="00327DC1" w:rsidP="00A32FE8">
      <w:pPr>
        <w:rPr>
          <w:rStyle w:val="Strong"/>
        </w:rPr>
      </w:pPr>
      <w:r w:rsidRPr="001432A4">
        <w:rPr>
          <w:rStyle w:val="Strong"/>
        </w:rPr>
        <w:t xml:space="preserve">Non-residential settings </w:t>
      </w:r>
    </w:p>
    <w:p w14:paraId="1FD92724" w14:textId="041C67C3" w:rsidR="00FC3E6D" w:rsidRPr="00B11E60" w:rsidRDefault="00FC3E6D" w:rsidP="00A32FE8">
      <w:pPr>
        <w:rPr>
          <w:rFonts w:cs="Arial"/>
        </w:rPr>
      </w:pPr>
      <w:r>
        <w:rPr>
          <w:rFonts w:cs="Arial"/>
        </w:rPr>
        <w:t>T</w:t>
      </w:r>
      <w:r w:rsidRPr="00B11E60">
        <w:rPr>
          <w:rFonts w:cs="Arial"/>
        </w:rPr>
        <w:t>h</w:t>
      </w:r>
      <w:r>
        <w:rPr>
          <w:rFonts w:cs="Arial"/>
        </w:rPr>
        <w:t xml:space="preserve">e non-residential settings </w:t>
      </w:r>
      <w:r w:rsidRPr="00B11E60">
        <w:rPr>
          <w:rFonts w:cs="Arial"/>
        </w:rPr>
        <w:t>fall into the following designations</w:t>
      </w:r>
      <w:r w:rsidR="00D50B16">
        <w:rPr>
          <w:rFonts w:cs="Arial"/>
        </w:rPr>
        <w:t xml:space="preserve"> as of </w:t>
      </w:r>
      <w:r w:rsidR="00C705BA">
        <w:rPr>
          <w:rFonts w:cs="Arial"/>
        </w:rPr>
        <w:t>February 2022</w:t>
      </w:r>
      <w:r w:rsidRPr="00B11E60">
        <w:rPr>
          <w:rFonts w:cs="Arial"/>
        </w:rPr>
        <w:t>: (</w:t>
      </w:r>
      <w:r>
        <w:rPr>
          <w:rFonts w:cs="Arial"/>
        </w:rPr>
        <w:t>See</w:t>
      </w:r>
      <w:r w:rsidRPr="00B11E60">
        <w:rPr>
          <w:rFonts w:cs="Arial"/>
        </w:rPr>
        <w:t xml:space="preserve"> Table 2. Analysis of Waiver Settings</w:t>
      </w:r>
      <w:r>
        <w:rPr>
          <w:rFonts w:cs="Arial"/>
        </w:rPr>
        <w:t>,</w:t>
      </w:r>
      <w:r w:rsidRPr="00B11E60">
        <w:rPr>
          <w:rFonts w:cs="Arial"/>
        </w:rPr>
        <w:t xml:space="preserve"> detailing all setting types)</w:t>
      </w:r>
    </w:p>
    <w:p w14:paraId="68BF45E0" w14:textId="013566B5" w:rsidR="0018691F" w:rsidRDefault="0018691F" w:rsidP="004427AF">
      <w:pPr>
        <w:pStyle w:val="ListParagraph"/>
        <w:numPr>
          <w:ilvl w:val="0"/>
          <w:numId w:val="5"/>
        </w:numPr>
        <w:ind w:left="720"/>
        <w:rPr>
          <w:rFonts w:asciiTheme="minorHAnsi" w:hAnsiTheme="minorHAnsi"/>
        </w:rPr>
      </w:pPr>
      <w:r w:rsidRPr="628C881F">
        <w:rPr>
          <w:rFonts w:cs="Arial"/>
        </w:rPr>
        <w:t xml:space="preserve">The non-residential setting complies:  </w:t>
      </w:r>
      <w:r w:rsidR="00B737C4">
        <w:rPr>
          <w:rFonts w:cs="Arial"/>
        </w:rPr>
        <w:t>524</w:t>
      </w:r>
    </w:p>
    <w:p w14:paraId="08EFE192" w14:textId="77777777" w:rsidR="00FC3E6D" w:rsidRPr="00B11E60" w:rsidRDefault="00FC3E6D" w:rsidP="004427AF">
      <w:pPr>
        <w:pStyle w:val="ListParagraph"/>
        <w:numPr>
          <w:ilvl w:val="0"/>
          <w:numId w:val="5"/>
        </w:numPr>
        <w:ind w:left="720"/>
        <w:rPr>
          <w:rFonts w:cs="Arial"/>
        </w:rPr>
      </w:pPr>
      <w:r w:rsidRPr="00B11E60">
        <w:rPr>
          <w:rFonts w:cs="Arial"/>
        </w:rPr>
        <w:t>The non-residential setting cannot meet the requirements:  none</w:t>
      </w:r>
    </w:p>
    <w:p w14:paraId="75AD45F9" w14:textId="77777777" w:rsidR="00FC3E6D" w:rsidRDefault="00FC3E6D" w:rsidP="004427AF">
      <w:pPr>
        <w:pStyle w:val="ListParagraph"/>
        <w:numPr>
          <w:ilvl w:val="0"/>
          <w:numId w:val="5"/>
        </w:numPr>
        <w:ind w:left="720"/>
        <w:rPr>
          <w:rFonts w:cs="Arial"/>
        </w:rPr>
      </w:pPr>
      <w:r w:rsidRPr="00B11E60">
        <w:rPr>
          <w:rFonts w:cs="Arial"/>
        </w:rPr>
        <w:t xml:space="preserve">All sheltered workshops </w:t>
      </w:r>
      <w:r>
        <w:rPr>
          <w:rFonts w:cs="Arial"/>
        </w:rPr>
        <w:t xml:space="preserve">have </w:t>
      </w:r>
      <w:r w:rsidRPr="00B11E60">
        <w:rPr>
          <w:rFonts w:cs="Arial"/>
        </w:rPr>
        <w:t>close</w:t>
      </w:r>
      <w:r>
        <w:rPr>
          <w:rFonts w:cs="Arial"/>
        </w:rPr>
        <w:t>d</w:t>
      </w:r>
      <w:r w:rsidRPr="00B11E60">
        <w:rPr>
          <w:rFonts w:cs="Arial"/>
        </w:rPr>
        <w:t xml:space="preserve"> </w:t>
      </w:r>
      <w:r>
        <w:rPr>
          <w:rFonts w:cs="Arial"/>
        </w:rPr>
        <w:t xml:space="preserve">(completed </w:t>
      </w:r>
      <w:r w:rsidRPr="00B11E60">
        <w:rPr>
          <w:rFonts w:cs="Arial"/>
        </w:rPr>
        <w:t>June 2016</w:t>
      </w:r>
      <w:r>
        <w:rPr>
          <w:rFonts w:cs="Arial"/>
        </w:rPr>
        <w:t>)</w:t>
      </w:r>
    </w:p>
    <w:p w14:paraId="303C2EDA" w14:textId="7B0EB40E" w:rsidR="004B5CEA" w:rsidRPr="00B11E60" w:rsidRDefault="00416601" w:rsidP="004427AF">
      <w:pPr>
        <w:pStyle w:val="ListParagraph"/>
        <w:numPr>
          <w:ilvl w:val="0"/>
          <w:numId w:val="5"/>
        </w:numPr>
        <w:ind w:left="720"/>
        <w:rPr>
          <w:rFonts w:cs="Arial"/>
        </w:rPr>
      </w:pPr>
      <w:r>
        <w:rPr>
          <w:rFonts w:cs="Arial"/>
        </w:rPr>
        <w:t xml:space="preserve">The non-residential </w:t>
      </w:r>
      <w:r w:rsidR="003C2682">
        <w:rPr>
          <w:rFonts w:cs="Arial"/>
        </w:rPr>
        <w:t>D</w:t>
      </w:r>
      <w:r>
        <w:rPr>
          <w:rFonts w:cs="Arial"/>
        </w:rPr>
        <w:t xml:space="preserve">ay </w:t>
      </w:r>
      <w:r w:rsidR="003C2682">
        <w:rPr>
          <w:rFonts w:cs="Arial"/>
        </w:rPr>
        <w:t>H</w:t>
      </w:r>
      <w:r>
        <w:rPr>
          <w:rFonts w:cs="Arial"/>
        </w:rPr>
        <w:t xml:space="preserve">abilitation settings will no longer be a site of HCBS </w:t>
      </w:r>
      <w:r w:rsidR="00E54930">
        <w:rPr>
          <w:rFonts w:cs="Arial"/>
        </w:rPr>
        <w:t xml:space="preserve">waiver service delivery as of </w:t>
      </w:r>
      <w:r w:rsidR="009470FA">
        <w:rPr>
          <w:rFonts w:cs="Arial"/>
        </w:rPr>
        <w:t>December 31,</w:t>
      </w:r>
      <w:r w:rsidR="00E54930">
        <w:rPr>
          <w:rFonts w:cs="Arial"/>
        </w:rPr>
        <w:t xml:space="preserve"> 2022</w:t>
      </w:r>
      <w:r w:rsidR="00C705BA">
        <w:rPr>
          <w:rFonts w:cs="Arial"/>
        </w:rPr>
        <w:t xml:space="preserve">: </w:t>
      </w:r>
      <w:r>
        <w:rPr>
          <w:rFonts w:cs="Arial"/>
        </w:rPr>
        <w:t xml:space="preserve"> </w:t>
      </w:r>
      <w:r w:rsidR="009470FA">
        <w:rPr>
          <w:rFonts w:cs="Arial"/>
        </w:rPr>
        <w:t>161</w:t>
      </w:r>
    </w:p>
    <w:p w14:paraId="13625A8B" w14:textId="77777777" w:rsidR="008C6D21" w:rsidRPr="001432A4" w:rsidRDefault="008C6D21" w:rsidP="00FD56B6">
      <w:pPr>
        <w:rPr>
          <w:rStyle w:val="SubtleEmphasis"/>
        </w:rPr>
      </w:pPr>
      <w:r w:rsidRPr="001432A4">
        <w:rPr>
          <w:rStyle w:val="SubtleEmphasis"/>
        </w:rPr>
        <w:t>Individual Supported Employment</w:t>
      </w:r>
    </w:p>
    <w:p w14:paraId="3F384E5A" w14:textId="3604E7B8" w:rsidR="001E06DD" w:rsidRPr="008C6D21" w:rsidRDefault="008C6D21" w:rsidP="008C6D21">
      <w:pPr>
        <w:rPr>
          <w:rFonts w:cs="Arial"/>
        </w:rPr>
      </w:pPr>
      <w:r w:rsidRPr="008C6D21">
        <w:rPr>
          <w:rFonts w:cs="Arial"/>
        </w:rPr>
        <w:t xml:space="preserve">The state’s presumption of compliance for individual supported employment settings is based on review of the corresponding waiver service definition as described in the DDS section of the systemic assessment narrative in the STP. </w:t>
      </w:r>
    </w:p>
    <w:p w14:paraId="6E22B3F3" w14:textId="77777777" w:rsidR="00A32FE8" w:rsidRPr="001432A4" w:rsidRDefault="00FC3E6D" w:rsidP="00FD56B6">
      <w:pPr>
        <w:rPr>
          <w:rStyle w:val="SubtleEmphasis"/>
        </w:rPr>
      </w:pPr>
      <w:r w:rsidRPr="768B82E9">
        <w:rPr>
          <w:rStyle w:val="SubtleEmphasis"/>
        </w:rPr>
        <w:t>Group Employment</w:t>
      </w:r>
    </w:p>
    <w:p w14:paraId="65E5FAAC" w14:textId="69889FB8" w:rsidR="00DF3BD1" w:rsidRPr="00DF3BD1" w:rsidRDefault="00DF3BD1" w:rsidP="00DF3BD1">
      <w:pPr>
        <w:rPr>
          <w:rFonts w:cs="Arial"/>
        </w:rPr>
      </w:pPr>
      <w:r w:rsidRPr="00DF3BD1">
        <w:rPr>
          <w:rFonts w:cs="Arial"/>
        </w:rPr>
        <w:t xml:space="preserve">DDS Licensure and Certification is the process by which providers’ compliance is assessed and determined. The licensure and certification process applies to all providers subject to the requirements of Chapter 19B; section 15(a) of the Massachusetts General Laws.  The licensing review is conducted in a 2-year cycle if all thresholds are met. Other conditions may require a </w:t>
      </w:r>
      <w:r w:rsidRPr="00DF3BD1">
        <w:rPr>
          <w:rFonts w:cs="Arial"/>
        </w:rPr>
        <w:lastRenderedPageBreak/>
        <w:t xml:space="preserve">60-day follow-up or a mid-cycle review where the agency is reviewed for those indicators where the threshold has not been met.  In some circumstances, both a 60-day follow-up and a mid-cycle review are conducted.  Providers are certified for two years, concurrent with their Two-Year Licensure.  If the certification threshold is not met, the provider is required to complete a progress report at the one-year mark.    </w:t>
      </w:r>
    </w:p>
    <w:p w14:paraId="087FC3BD" w14:textId="35EB0C33" w:rsidR="00DF3BD1" w:rsidRPr="00DF3BD1" w:rsidRDefault="00DF3BD1" w:rsidP="00DF3BD1">
      <w:pPr>
        <w:rPr>
          <w:rFonts w:cs="Arial"/>
        </w:rPr>
      </w:pPr>
      <w:r w:rsidRPr="00DF3BD1">
        <w:rPr>
          <w:rFonts w:cs="Arial"/>
        </w:rPr>
        <w:t xml:space="preserve">Licensure and certification results are reported separately, with Certification findings specific to individual service types and measuring key areas such as human rights, choice and control, and community access and integration.  </w:t>
      </w:r>
    </w:p>
    <w:p w14:paraId="0A586E15" w14:textId="6A21584D" w:rsidR="00DF3BD1" w:rsidRPr="00DF3BD1" w:rsidRDefault="00DF3BD1" w:rsidP="00DF3BD1">
      <w:pPr>
        <w:rPr>
          <w:rFonts w:cs="Arial"/>
        </w:rPr>
      </w:pPr>
      <w:r w:rsidRPr="00DF3BD1">
        <w:rPr>
          <w:rFonts w:cs="Arial"/>
        </w:rPr>
        <w:t>The certification tool and process set forth standards for specific services that promote quality and responsiveness and when implemented are predictive of positive outcomes in the lives of individuals. The tool has its foundation in DDS Regulations (</w:t>
      </w:r>
      <w:r w:rsidR="00777BF6">
        <w:rPr>
          <w:rFonts w:cs="Arial"/>
        </w:rPr>
        <w:t xml:space="preserve">115 CMR </w:t>
      </w:r>
      <w:r w:rsidRPr="00DF3BD1">
        <w:rPr>
          <w:rFonts w:cs="Arial"/>
        </w:rPr>
        <w:t xml:space="preserve">Chapters 5, 7, and 8) and covers areas of respect, individual choice and control, and community integration; the tool was expanded in 2016 to align with the Community Rule.  At that time, DDS revised the licensure and certification tool to clarify expectations and even more closely and strongly align the tool with the critical elements of the Community Rule in terms of both residential and non-residential settings. The specific support expectations in certification fall into several domains, each of which is evaluated separately.  These include, but are not limited to planning and quality improvement, </w:t>
      </w:r>
      <w:proofErr w:type="gramStart"/>
      <w:r w:rsidRPr="00DF3BD1">
        <w:rPr>
          <w:rFonts w:cs="Arial"/>
        </w:rPr>
        <w:t>choice</w:t>
      </w:r>
      <w:proofErr w:type="gramEnd"/>
      <w:r w:rsidRPr="00DF3BD1">
        <w:rPr>
          <w:rFonts w:cs="Arial"/>
        </w:rPr>
        <w:t xml:space="preserve"> and personal growth, supporting and enhancing relationships, career planning and development, and access and integration, to reflect the </w:t>
      </w:r>
      <w:proofErr w:type="spellStart"/>
      <w:r w:rsidRPr="00DF3BD1">
        <w:rPr>
          <w:rFonts w:cs="Arial"/>
        </w:rPr>
        <w:t>communi</w:t>
      </w:r>
      <w:proofErr w:type="spellEnd"/>
    </w:p>
    <w:p w14:paraId="45AFC4D7" w14:textId="5D7F4C31" w:rsidR="00DF3BD1" w:rsidRPr="00DF3BD1" w:rsidRDefault="00DF3BD1" w:rsidP="00DF3BD1">
      <w:pPr>
        <w:rPr>
          <w:rFonts w:cs="Arial"/>
        </w:rPr>
      </w:pPr>
      <w:r w:rsidRPr="00DF3BD1">
        <w:rPr>
          <w:rFonts w:cs="Arial"/>
        </w:rPr>
        <w:t xml:space="preserve">The Licensure and Certification review is conducted by DDS Quality Enhancement surveyors.  The survey includes preparatory documentation review, administrative review and interview, on-site visits, individual observation and interviews, and individual documentation reviews.  Survey findings are made based on extensive evidence obtained through these various processes.   </w:t>
      </w:r>
    </w:p>
    <w:p w14:paraId="63A29160" w14:textId="05D82281" w:rsidR="00DF3BD1" w:rsidRPr="00DF3BD1" w:rsidRDefault="00DF3BD1" w:rsidP="00DF3BD1">
      <w:pPr>
        <w:rPr>
          <w:rFonts w:cs="Arial"/>
        </w:rPr>
      </w:pPr>
      <w:r w:rsidRPr="00DF3BD1">
        <w:rPr>
          <w:rFonts w:cs="Arial"/>
        </w:rPr>
        <w:t xml:space="preserve">Upon the completion of the survey, a feedback meeting is held for the purpose of presenting the survey team’s findings.  In addition to outlining the level of licensure and certification results, the meeting allows sufficient time to discuss any areas where additional agency effort might be needed.  The goal of this meeting is to support continuous service quality improvement.   </w:t>
      </w:r>
    </w:p>
    <w:p w14:paraId="445E68A3" w14:textId="60E81AD9" w:rsidR="00FC3E6D" w:rsidRPr="00FC3E6D" w:rsidRDefault="00DF3BD1" w:rsidP="00DF3BD1">
      <w:pPr>
        <w:rPr>
          <w:rFonts w:cs="Arial"/>
          <w:u w:val="single"/>
        </w:rPr>
      </w:pPr>
      <w:r w:rsidRPr="00DF3BD1">
        <w:rPr>
          <w:rFonts w:cs="Arial"/>
        </w:rPr>
        <w:t xml:space="preserve">Providers are required to make corrections when indicators are not </w:t>
      </w:r>
      <w:proofErr w:type="gramStart"/>
      <w:r w:rsidRPr="00DF3BD1">
        <w:rPr>
          <w:rFonts w:cs="Arial"/>
        </w:rPr>
        <w:t>met, and</w:t>
      </w:r>
      <w:proofErr w:type="gramEnd"/>
      <w:r w:rsidRPr="00DF3BD1">
        <w:rPr>
          <w:rFonts w:cs="Arial"/>
        </w:rPr>
        <w:t xml:space="preserve"> are subject to follow-up by DDS surveyor staff or provider staff. These indicators are supportive of and fully in compliance with the HCBS Community Rule. </w:t>
      </w:r>
      <w:r w:rsidR="00DC3174" w:rsidRPr="768B82E9">
        <w:rPr>
          <w:rFonts w:cs="Arial"/>
        </w:rPr>
        <w:t>Through a</w:t>
      </w:r>
      <w:r w:rsidR="0FD8F96A" w:rsidRPr="768B82E9">
        <w:rPr>
          <w:rFonts w:cs="Arial"/>
        </w:rPr>
        <w:t xml:space="preserve"> past and ongoing</w:t>
      </w:r>
      <w:r w:rsidR="00DC3174" w:rsidRPr="768B82E9">
        <w:rPr>
          <w:rFonts w:cs="Arial"/>
        </w:rPr>
        <w:t xml:space="preserve"> review </w:t>
      </w:r>
      <w:proofErr w:type="gramStart"/>
      <w:r w:rsidR="00DC3174" w:rsidRPr="768B82E9">
        <w:rPr>
          <w:rFonts w:cs="Arial"/>
        </w:rPr>
        <w:t>of  licensure</w:t>
      </w:r>
      <w:proofErr w:type="gramEnd"/>
      <w:r w:rsidR="00DC3174" w:rsidRPr="768B82E9">
        <w:rPr>
          <w:rFonts w:cs="Arial"/>
        </w:rPr>
        <w:t xml:space="preserve"> and certification data, </w:t>
      </w:r>
      <w:r w:rsidR="00235F12" w:rsidRPr="768B82E9">
        <w:rPr>
          <w:rFonts w:cs="Arial"/>
        </w:rPr>
        <w:t>113</w:t>
      </w:r>
      <w:r w:rsidR="00DC3174" w:rsidRPr="768B82E9">
        <w:rPr>
          <w:rFonts w:cs="Arial"/>
        </w:rPr>
        <w:t xml:space="preserve"> group employment settings were compliant with the Community Rule</w:t>
      </w:r>
      <w:r w:rsidR="00D35FC9">
        <w:rPr>
          <w:rFonts w:cs="Arial"/>
        </w:rPr>
        <w:t>,</w:t>
      </w:r>
      <w:r w:rsidR="00DC3174" w:rsidRPr="768B82E9">
        <w:rPr>
          <w:rFonts w:cs="Arial"/>
        </w:rPr>
        <w:t xml:space="preserve">  </w:t>
      </w:r>
      <w:r w:rsidR="00D35FC9">
        <w:rPr>
          <w:rFonts w:cs="Arial"/>
        </w:rPr>
        <w:t>a</w:t>
      </w:r>
      <w:r w:rsidR="00D35FC9" w:rsidRPr="00112349">
        <w:rPr>
          <w:rFonts w:cs="Arial"/>
        </w:rPr>
        <w:t>s noted in Table 2 “Analysis of Waiver Settings</w:t>
      </w:r>
      <w:r w:rsidR="00D35FC9">
        <w:rPr>
          <w:rFonts w:cs="Arial"/>
        </w:rPr>
        <w:t>.</w:t>
      </w:r>
      <w:r w:rsidR="00D35FC9" w:rsidRPr="00112349">
        <w:rPr>
          <w:rFonts w:cs="Arial"/>
        </w:rPr>
        <w:t xml:space="preserve">” </w:t>
      </w:r>
      <w:r w:rsidR="00D35FC9">
        <w:rPr>
          <w:rFonts w:cs="Arial"/>
        </w:rPr>
        <w:t>T</w:t>
      </w:r>
      <w:r w:rsidR="00D35FC9" w:rsidRPr="00112349">
        <w:rPr>
          <w:rFonts w:cs="Arial"/>
        </w:rPr>
        <w:t xml:space="preserve">his number includes the </w:t>
      </w:r>
      <w:r w:rsidR="00DB573C">
        <w:rPr>
          <w:rFonts w:cs="Arial"/>
        </w:rPr>
        <w:t>6</w:t>
      </w:r>
      <w:r w:rsidR="00D35FC9" w:rsidRPr="00112349">
        <w:rPr>
          <w:rFonts w:cs="Arial"/>
        </w:rPr>
        <w:t xml:space="preserve"> settings that were, in the past, not yet determined to </w:t>
      </w:r>
      <w:proofErr w:type="gramStart"/>
      <w:r w:rsidR="00D35FC9" w:rsidRPr="00112349">
        <w:rPr>
          <w:rFonts w:cs="Arial"/>
        </w:rPr>
        <w:t>be in compliance</w:t>
      </w:r>
      <w:proofErr w:type="gramEnd"/>
      <w:r w:rsidR="00D35FC9" w:rsidRPr="00112349">
        <w:rPr>
          <w:rFonts w:cs="Arial"/>
        </w:rPr>
        <w:t xml:space="preserve">.  </w:t>
      </w:r>
      <w:r w:rsidR="00FC3E6D" w:rsidRPr="768B82E9">
        <w:rPr>
          <w:rFonts w:cs="Arial"/>
        </w:rPr>
        <w:t xml:space="preserve"> </w:t>
      </w:r>
    </w:p>
    <w:p w14:paraId="74E11CB0" w14:textId="77777777" w:rsidR="00A32FE8" w:rsidRPr="001432A4" w:rsidRDefault="00FC3E6D" w:rsidP="00FD56B6">
      <w:pPr>
        <w:rPr>
          <w:rStyle w:val="SubtleEmphasis"/>
        </w:rPr>
      </w:pPr>
      <w:r w:rsidRPr="001432A4">
        <w:rPr>
          <w:rStyle w:val="SubtleEmphasis"/>
        </w:rPr>
        <w:t>C</w:t>
      </w:r>
      <w:r w:rsidR="00F35BEA" w:rsidRPr="001432A4">
        <w:rPr>
          <w:rStyle w:val="SubtleEmphasis"/>
        </w:rPr>
        <w:t xml:space="preserve">ommunity </w:t>
      </w:r>
      <w:r w:rsidRPr="001432A4">
        <w:rPr>
          <w:rStyle w:val="SubtleEmphasis"/>
        </w:rPr>
        <w:t>B</w:t>
      </w:r>
      <w:r w:rsidR="00F35BEA" w:rsidRPr="001432A4">
        <w:rPr>
          <w:rStyle w:val="SubtleEmphasis"/>
        </w:rPr>
        <w:t xml:space="preserve">ased </w:t>
      </w:r>
      <w:r w:rsidRPr="001432A4">
        <w:rPr>
          <w:rStyle w:val="SubtleEmphasis"/>
        </w:rPr>
        <w:t>D</w:t>
      </w:r>
      <w:r w:rsidR="00F35BEA" w:rsidRPr="001432A4">
        <w:rPr>
          <w:rStyle w:val="SubtleEmphasis"/>
        </w:rPr>
        <w:t xml:space="preserve">ay </w:t>
      </w:r>
      <w:r w:rsidRPr="001432A4">
        <w:rPr>
          <w:rStyle w:val="SubtleEmphasis"/>
        </w:rPr>
        <w:t>S</w:t>
      </w:r>
      <w:r w:rsidR="00F35BEA" w:rsidRPr="001432A4">
        <w:rPr>
          <w:rStyle w:val="SubtleEmphasis"/>
        </w:rPr>
        <w:t>upports (CBDS)</w:t>
      </w:r>
      <w:r w:rsidRPr="001432A4">
        <w:rPr>
          <w:rStyle w:val="SubtleEmphasis"/>
        </w:rPr>
        <w:t xml:space="preserve"> </w:t>
      </w:r>
    </w:p>
    <w:p w14:paraId="163A8510" w14:textId="20EEC441" w:rsidR="009E44E7" w:rsidRPr="00E72E9A" w:rsidRDefault="00327DC1" w:rsidP="009E44E7">
      <w:pPr>
        <w:pStyle w:val="ListParagraph"/>
        <w:spacing w:after="160" w:line="252" w:lineRule="auto"/>
        <w:rPr>
          <w:rFonts w:asciiTheme="minorHAnsi" w:hAnsiTheme="minorHAnsi"/>
        </w:rPr>
      </w:pPr>
      <w:r w:rsidRPr="583BA760">
        <w:rPr>
          <w:rFonts w:cs="Arial"/>
        </w:rPr>
        <w:t xml:space="preserve">Responses to the survey tool described above </w:t>
      </w:r>
      <w:r w:rsidR="00FC3E6D" w:rsidRPr="583BA760">
        <w:rPr>
          <w:rFonts w:cs="Arial"/>
        </w:rPr>
        <w:t>were</w:t>
      </w:r>
      <w:r w:rsidRPr="583BA760">
        <w:rPr>
          <w:rFonts w:cs="Arial"/>
        </w:rPr>
        <w:t xml:space="preserve"> received from 34 out of 98</w:t>
      </w:r>
      <w:r w:rsidR="00FC3E6D" w:rsidRPr="583BA760">
        <w:rPr>
          <w:rFonts w:cs="Arial"/>
        </w:rPr>
        <w:t xml:space="preserve"> providers</w:t>
      </w:r>
      <w:r w:rsidRPr="583BA760">
        <w:rPr>
          <w:rFonts w:cs="Arial"/>
        </w:rPr>
        <w:t>, representing 45 of 170 settings</w:t>
      </w:r>
      <w:r w:rsidR="00C5549A" w:rsidRPr="583BA760">
        <w:rPr>
          <w:rFonts w:cs="Arial"/>
        </w:rPr>
        <w:t xml:space="preserve"> at the time</w:t>
      </w:r>
      <w:r w:rsidR="00DC3174" w:rsidRPr="583BA760">
        <w:rPr>
          <w:rFonts w:cs="Arial"/>
        </w:rPr>
        <w:t xml:space="preserve"> (2015)</w:t>
      </w:r>
      <w:r w:rsidRPr="583BA760">
        <w:rPr>
          <w:rFonts w:cs="Arial"/>
        </w:rPr>
        <w:t xml:space="preserve">. </w:t>
      </w:r>
      <w:r w:rsidR="00FC3E6D" w:rsidRPr="583BA760">
        <w:rPr>
          <w:rFonts w:cs="Arial"/>
        </w:rPr>
        <w:t>Responses to the tool indicate</w:t>
      </w:r>
      <w:r w:rsidRPr="583BA760">
        <w:rPr>
          <w:rFonts w:cs="Arial"/>
        </w:rPr>
        <w:t xml:space="preserve"> that a wide variety of activities are offered by most CBDS settings; </w:t>
      </w:r>
      <w:proofErr w:type="gramStart"/>
      <w:r w:rsidRPr="583BA760">
        <w:rPr>
          <w:rFonts w:cs="Arial"/>
        </w:rPr>
        <w:t>that activities</w:t>
      </w:r>
      <w:proofErr w:type="gramEnd"/>
      <w:r w:rsidRPr="583BA760">
        <w:rPr>
          <w:rFonts w:cs="Arial"/>
        </w:rPr>
        <w:t xml:space="preserve"> are offered both on-site and off-site; that many activities are most commonly offered in a group; and that offered activities are disability-specific as well as integrated into the community. </w:t>
      </w:r>
      <w:r w:rsidR="00FC3E6D" w:rsidRPr="583BA760">
        <w:rPr>
          <w:rFonts w:cs="Arial"/>
        </w:rPr>
        <w:t xml:space="preserve">At the same time, CBDS sites identified challenges to providing a </w:t>
      </w:r>
      <w:r w:rsidR="00FC3E6D" w:rsidRPr="583BA760">
        <w:rPr>
          <w:rFonts w:cs="Arial"/>
        </w:rPr>
        <w:lastRenderedPageBreak/>
        <w:t xml:space="preserve">meaningful day for a variety of different </w:t>
      </w:r>
      <w:r w:rsidR="00FC3E6D" w:rsidRPr="00E72E9A">
        <w:rPr>
          <w:rFonts w:cs="Arial"/>
        </w:rPr>
        <w:t xml:space="preserve">populations. </w:t>
      </w:r>
      <w:r w:rsidR="009E44E7" w:rsidRPr="00E72E9A">
        <w:rPr>
          <w:rFonts w:cs="Arial"/>
        </w:rPr>
        <w:t xml:space="preserve">While </w:t>
      </w:r>
      <w:r w:rsidR="009E44E7" w:rsidRPr="00E72E9A">
        <w:t>DDS identified challenges in 2016, as is noted in Table 2 “Analysis of Waiver Settings,” all CBDS settings are now in compliance.  This challenge has been remediated and DDS Licensure and Certification is the process by which providers’ compliance is assessed and determined.</w:t>
      </w:r>
    </w:p>
    <w:p w14:paraId="421CC7BE" w14:textId="5E0F851C" w:rsidR="00BF0166" w:rsidRPr="00B11E60" w:rsidRDefault="00DC3174" w:rsidP="00792396">
      <w:pPr>
        <w:ind w:left="720"/>
        <w:rPr>
          <w:rFonts w:cs="Arial"/>
        </w:rPr>
      </w:pPr>
      <w:r w:rsidRPr="583BA760">
        <w:rPr>
          <w:rFonts w:cs="Arial"/>
        </w:rPr>
        <w:t>Through a</w:t>
      </w:r>
      <w:r w:rsidR="79737A13" w:rsidRPr="583BA760">
        <w:rPr>
          <w:rFonts w:cs="Arial"/>
        </w:rPr>
        <w:t xml:space="preserve"> past and ongoing</w:t>
      </w:r>
      <w:r w:rsidRPr="583BA760">
        <w:rPr>
          <w:rFonts w:cs="Arial"/>
        </w:rPr>
        <w:t xml:space="preserve"> review of Licensure and certification data, </w:t>
      </w:r>
      <w:r w:rsidR="00B737C4" w:rsidRPr="583BA760">
        <w:rPr>
          <w:rFonts w:cs="Arial"/>
        </w:rPr>
        <w:t>22</w:t>
      </w:r>
      <w:r w:rsidR="16D5F07A" w:rsidRPr="583BA760">
        <w:rPr>
          <w:rFonts w:cs="Arial"/>
        </w:rPr>
        <w:t>5</w:t>
      </w:r>
      <w:r w:rsidR="00C9654B">
        <w:rPr>
          <w:rFonts w:cs="Arial"/>
        </w:rPr>
        <w:t xml:space="preserve"> </w:t>
      </w:r>
      <w:r w:rsidRPr="583BA760">
        <w:rPr>
          <w:rFonts w:cs="Arial"/>
        </w:rPr>
        <w:t>CBDS settings were found in full compli</w:t>
      </w:r>
      <w:r w:rsidR="00235F12" w:rsidRPr="583BA760">
        <w:rPr>
          <w:rFonts w:cs="Arial"/>
        </w:rPr>
        <w:t xml:space="preserve">ance with the Community Rule.  </w:t>
      </w:r>
    </w:p>
    <w:p w14:paraId="33F14AFF" w14:textId="15D4A67D" w:rsidR="6B707AD4" w:rsidRDefault="00EB51F9" w:rsidP="00792396">
      <w:pPr>
        <w:ind w:left="720"/>
      </w:pPr>
      <w:r w:rsidRPr="00647AB9">
        <w:t xml:space="preserve">DDS </w:t>
      </w:r>
      <w:r>
        <w:t xml:space="preserve">non-residential </w:t>
      </w:r>
      <w:r w:rsidRPr="00647AB9">
        <w:t>provider licensure and certification reports</w:t>
      </w:r>
      <w:r>
        <w:t xml:space="preserve">, including day and employment, services, </w:t>
      </w:r>
      <w:r w:rsidRPr="00647AB9">
        <w:t>are publicly available on the state website (See Table 4. Links to Related Documents).</w:t>
      </w:r>
    </w:p>
    <w:p w14:paraId="2A27FCF8" w14:textId="55403801" w:rsidR="00D579F0" w:rsidRPr="00144BE9" w:rsidRDefault="00B02375" w:rsidP="00122579">
      <w:pPr>
        <w:spacing w:after="120"/>
        <w:rPr>
          <w:rFonts w:cs="Arial"/>
        </w:rPr>
      </w:pPr>
      <w:r w:rsidRPr="00122579">
        <w:rPr>
          <w:rStyle w:val="Heading3Char"/>
          <w:rFonts w:cs="Arial"/>
        </w:rPr>
        <w:t xml:space="preserve">3. </w:t>
      </w:r>
      <w:r w:rsidR="00327DC1" w:rsidRPr="00122579">
        <w:rPr>
          <w:rStyle w:val="Heading3Char"/>
          <w:rFonts w:cs="Arial"/>
        </w:rPr>
        <w:t>Remedial Actions/Actions Related to Compliance</w:t>
      </w:r>
      <w:r w:rsidR="00327DC1" w:rsidRPr="00122579">
        <w:rPr>
          <w:rFonts w:cs="Arial"/>
          <w:b/>
        </w:rPr>
        <w:t xml:space="preserve"> </w:t>
      </w:r>
      <w:r w:rsidR="00D579F0" w:rsidRPr="00122579">
        <w:rPr>
          <w:rFonts w:cs="Arial"/>
        </w:rPr>
        <w:t>(See Table 3</w:t>
      </w:r>
      <w:r w:rsidR="00EF6B1A" w:rsidRPr="00122579">
        <w:rPr>
          <w:rFonts w:cs="Arial"/>
        </w:rPr>
        <w:t>.</w:t>
      </w:r>
      <w:r w:rsidR="00D579F0" w:rsidRPr="00144BE9">
        <w:rPr>
          <w:rFonts w:cs="Arial"/>
        </w:rPr>
        <w:t xml:space="preserve"> Summary of Transition Plan Tasks and Timelines)</w:t>
      </w:r>
    </w:p>
    <w:p w14:paraId="5B207BDA" w14:textId="77777777" w:rsidR="00327DC1" w:rsidRPr="00693DBF" w:rsidRDefault="00327DC1" w:rsidP="00693DBF">
      <w:pPr>
        <w:pStyle w:val="Heading4"/>
        <w:rPr>
          <w:rStyle w:val="Strong"/>
          <w:rFonts w:ascii="Arial" w:hAnsi="Arial" w:cs="Arial"/>
          <w:b/>
          <w:bCs/>
          <w:i w:val="0"/>
          <w:iCs w:val="0"/>
        </w:rPr>
      </w:pPr>
      <w:r w:rsidRPr="00693DBF">
        <w:rPr>
          <w:rStyle w:val="Strong"/>
          <w:rFonts w:ascii="Arial" w:hAnsi="Arial" w:cs="Arial"/>
          <w:b/>
          <w:bCs/>
          <w:i w:val="0"/>
          <w:iCs w:val="0"/>
        </w:rPr>
        <w:t>Residential settings</w:t>
      </w:r>
    </w:p>
    <w:p w14:paraId="083C3829" w14:textId="335099F3" w:rsidR="00506D21" w:rsidRDefault="0009187F" w:rsidP="00435CDD">
      <w:pPr>
        <w:rPr>
          <w:rFonts w:cs="Arial"/>
        </w:rPr>
      </w:pPr>
      <w:r w:rsidRPr="628C881F">
        <w:rPr>
          <w:rFonts w:cs="Arial"/>
        </w:rPr>
        <w:t xml:space="preserve">As of today, over </w:t>
      </w:r>
      <w:r w:rsidR="00B737C4">
        <w:rPr>
          <w:rFonts w:cs="Arial"/>
        </w:rPr>
        <w:t>4,000</w:t>
      </w:r>
      <w:r w:rsidR="00506D21" w:rsidRPr="628C881F">
        <w:rPr>
          <w:rFonts w:cs="Arial"/>
        </w:rPr>
        <w:t xml:space="preserve"> residential settings </w:t>
      </w:r>
      <w:proofErr w:type="gramStart"/>
      <w:r w:rsidR="00506D21" w:rsidRPr="628C881F">
        <w:rPr>
          <w:rFonts w:cs="Arial"/>
        </w:rPr>
        <w:t>are in compliance with</w:t>
      </w:r>
      <w:proofErr w:type="gramEnd"/>
      <w:r w:rsidR="00506D21" w:rsidRPr="628C881F">
        <w:rPr>
          <w:rFonts w:cs="Arial"/>
        </w:rPr>
        <w:t xml:space="preserve"> the Community Rule.  </w:t>
      </w:r>
    </w:p>
    <w:p w14:paraId="094327D5" w14:textId="0FD69D6C" w:rsidR="00327DC1" w:rsidRPr="00374F59" w:rsidRDefault="00DC3174" w:rsidP="00435CDD">
      <w:pPr>
        <w:rPr>
          <w:rFonts w:cs="Arial"/>
        </w:rPr>
      </w:pPr>
      <w:r>
        <w:rPr>
          <w:rFonts w:cs="Arial"/>
        </w:rPr>
        <w:t xml:space="preserve">In 2014, in response to the Community Rule, DDS and its providers worked together to assure compliance.  Initially, </w:t>
      </w:r>
      <w:r w:rsidR="00506D21">
        <w:rPr>
          <w:rFonts w:cs="Arial"/>
        </w:rPr>
        <w:t xml:space="preserve">almost all residential </w:t>
      </w:r>
      <w:r>
        <w:rPr>
          <w:rFonts w:cs="Arial"/>
        </w:rPr>
        <w:t>settings</w:t>
      </w:r>
      <w:r w:rsidR="00506D21">
        <w:rPr>
          <w:rFonts w:cs="Arial"/>
        </w:rPr>
        <w:t xml:space="preserve"> met the goals of the Community Rule </w:t>
      </w:r>
      <w:proofErr w:type="gramStart"/>
      <w:r w:rsidR="00506D21">
        <w:rPr>
          <w:rFonts w:cs="Arial"/>
        </w:rPr>
        <w:t>with the exception of</w:t>
      </w:r>
      <w:proofErr w:type="gramEnd"/>
      <w:r w:rsidR="00506D21">
        <w:rPr>
          <w:rFonts w:cs="Arial"/>
        </w:rPr>
        <w:t xml:space="preserve"> the requirements for privacy (locks) </w:t>
      </w:r>
      <w:r w:rsidR="00327DC1" w:rsidRPr="00374F59">
        <w:rPr>
          <w:rFonts w:cs="Arial"/>
        </w:rPr>
        <w:t>and legally enforceable residency agreements</w:t>
      </w:r>
      <w:r w:rsidR="00506D21">
        <w:rPr>
          <w:rFonts w:cs="Arial"/>
        </w:rPr>
        <w:t xml:space="preserve">.  Guidance was offered to providers and providers have worked diligently to comply. </w:t>
      </w:r>
      <w:r w:rsidR="00327DC1" w:rsidRPr="00374F59">
        <w:rPr>
          <w:rFonts w:cs="Arial"/>
        </w:rPr>
        <w:t xml:space="preserve"> Any divergence in these requirements </w:t>
      </w:r>
      <w:r w:rsidR="00F83719">
        <w:rPr>
          <w:rFonts w:cs="Arial"/>
        </w:rPr>
        <w:t xml:space="preserve">is noted upon Licensure and Certification reviews and providers are notified of their responsibility to address these requirements. If locks are clinically contraindicated, </w:t>
      </w:r>
      <w:r w:rsidR="00801B19">
        <w:rPr>
          <w:rFonts w:cs="Arial"/>
        </w:rPr>
        <w:t>an exception may be</w:t>
      </w:r>
      <w:r w:rsidR="00F83719">
        <w:rPr>
          <w:rFonts w:cs="Arial"/>
        </w:rPr>
        <w:t xml:space="preserve"> incorporated into the Individual’s </w:t>
      </w:r>
      <w:r w:rsidR="00CF35A4">
        <w:rPr>
          <w:rFonts w:cs="Arial"/>
        </w:rPr>
        <w:t>p</w:t>
      </w:r>
      <w:r w:rsidR="00F83719">
        <w:rPr>
          <w:rFonts w:cs="Arial"/>
        </w:rPr>
        <w:t>erson-</w:t>
      </w:r>
      <w:r w:rsidR="00CF35A4">
        <w:rPr>
          <w:rFonts w:cs="Arial"/>
        </w:rPr>
        <w:t>c</w:t>
      </w:r>
      <w:r w:rsidR="00F83719">
        <w:rPr>
          <w:rFonts w:cs="Arial"/>
        </w:rPr>
        <w:t xml:space="preserve">entered </w:t>
      </w:r>
      <w:r w:rsidR="00CF35A4">
        <w:rPr>
          <w:rFonts w:cs="Arial"/>
        </w:rPr>
        <w:t>p</w:t>
      </w:r>
      <w:r w:rsidR="00F83719">
        <w:rPr>
          <w:rFonts w:cs="Arial"/>
        </w:rPr>
        <w:t>lan</w:t>
      </w:r>
      <w:r w:rsidR="000A00BE">
        <w:rPr>
          <w:rFonts w:cs="Arial"/>
        </w:rPr>
        <w:t>.</w:t>
      </w:r>
      <w:r w:rsidR="00F83719">
        <w:rPr>
          <w:rFonts w:cs="Arial"/>
        </w:rPr>
        <w:t xml:space="preserve"> </w:t>
      </w:r>
    </w:p>
    <w:p w14:paraId="705BCCED" w14:textId="51BEF194" w:rsidR="00435CDD" w:rsidRDefault="00506D21" w:rsidP="00435CDD">
      <w:pPr>
        <w:rPr>
          <w:rFonts w:cs="Arial"/>
        </w:rPr>
      </w:pPr>
      <w:r>
        <w:rPr>
          <w:rFonts w:cs="Arial"/>
        </w:rPr>
        <w:t>In addition, a</w:t>
      </w:r>
      <w:r w:rsidR="00327DC1" w:rsidRPr="00374F59">
        <w:rPr>
          <w:rFonts w:cs="Arial"/>
        </w:rPr>
        <w:t>s noted above</w:t>
      </w:r>
      <w:r>
        <w:rPr>
          <w:rFonts w:cs="Arial"/>
        </w:rPr>
        <w:t xml:space="preserve">, </w:t>
      </w:r>
      <w:r w:rsidR="151B8665" w:rsidRPr="6AE1E174">
        <w:rPr>
          <w:rFonts w:cs="Arial"/>
        </w:rPr>
        <w:t xml:space="preserve">DDS initially identified </w:t>
      </w:r>
      <w:r>
        <w:rPr>
          <w:rFonts w:cs="Arial"/>
        </w:rPr>
        <w:t xml:space="preserve">a small set of </w:t>
      </w:r>
      <w:r w:rsidR="00801B19">
        <w:rPr>
          <w:rFonts w:cs="Arial"/>
        </w:rPr>
        <w:t xml:space="preserve">residential </w:t>
      </w:r>
      <w:r>
        <w:rPr>
          <w:rFonts w:cs="Arial"/>
        </w:rPr>
        <w:t>providers</w:t>
      </w:r>
      <w:r w:rsidR="00327DC1" w:rsidRPr="00374F59">
        <w:rPr>
          <w:rFonts w:cs="Arial"/>
        </w:rPr>
        <w:t xml:space="preserve"> </w:t>
      </w:r>
      <w:r w:rsidR="151B8665" w:rsidRPr="6AE1E174">
        <w:rPr>
          <w:rFonts w:cs="Arial"/>
        </w:rPr>
        <w:t>that</w:t>
      </w:r>
      <w:r w:rsidR="00327DC1" w:rsidRPr="6AE1E174">
        <w:rPr>
          <w:rFonts w:cs="Arial"/>
        </w:rPr>
        <w:t xml:space="preserve"> </w:t>
      </w:r>
      <w:r w:rsidR="00327DC1" w:rsidRPr="00374F59">
        <w:rPr>
          <w:rFonts w:cs="Arial"/>
        </w:rPr>
        <w:t>require</w:t>
      </w:r>
      <w:r>
        <w:rPr>
          <w:rFonts w:cs="Arial"/>
        </w:rPr>
        <w:t>d</w:t>
      </w:r>
      <w:r w:rsidR="00327DC1" w:rsidRPr="00374F59">
        <w:rPr>
          <w:rFonts w:cs="Arial"/>
        </w:rPr>
        <w:t xml:space="preserve"> more substantive changes to achieve full compliance. The residential providers in these settings are collaborating </w:t>
      </w:r>
      <w:r w:rsidR="00D50B16">
        <w:rPr>
          <w:rFonts w:cs="Arial"/>
        </w:rPr>
        <w:t xml:space="preserve">or collaborated </w:t>
      </w:r>
      <w:r w:rsidR="00327DC1" w:rsidRPr="00374F59">
        <w:rPr>
          <w:rFonts w:cs="Arial"/>
        </w:rPr>
        <w:t>with DDS on detailed provider transition plans related to necessary changes identified in the provider specific self-assessment tool</w:t>
      </w:r>
      <w:r w:rsidR="00587B48" w:rsidRPr="00374F59">
        <w:rPr>
          <w:rFonts w:cs="Arial"/>
        </w:rPr>
        <w:t xml:space="preserve"> and validated by DDS Regional/Central Office staff</w:t>
      </w:r>
      <w:r w:rsidR="00327DC1" w:rsidRPr="00374F59">
        <w:rPr>
          <w:rFonts w:cs="Arial"/>
        </w:rPr>
        <w:t xml:space="preserve">.  </w:t>
      </w:r>
    </w:p>
    <w:p w14:paraId="14A53A8E" w14:textId="496FD078" w:rsidR="00857A20" w:rsidRDefault="00857A20" w:rsidP="00435CDD">
      <w:pPr>
        <w:rPr>
          <w:rFonts w:cs="Arial"/>
        </w:rPr>
      </w:pPr>
      <w:r w:rsidRPr="00857A20">
        <w:rPr>
          <w:rFonts w:cs="Arial"/>
        </w:rPr>
        <w:t>Massachusetts previously identified a small set of providers as “presumptively institutional.” DDS</w:t>
      </w:r>
      <w:r>
        <w:rPr>
          <w:rFonts w:cs="Arial"/>
        </w:rPr>
        <w:t xml:space="preserve"> </w:t>
      </w:r>
      <w:r w:rsidRPr="00857A20">
        <w:rPr>
          <w:rFonts w:cs="Arial"/>
        </w:rPr>
        <w:t>has worked with those providers and determined</w:t>
      </w:r>
      <w:r>
        <w:rPr>
          <w:rFonts w:cs="Arial"/>
        </w:rPr>
        <w:t xml:space="preserve"> through their Licensure and Certification process</w:t>
      </w:r>
      <w:r w:rsidRPr="00857A20">
        <w:rPr>
          <w:rFonts w:cs="Arial"/>
        </w:rPr>
        <w:t xml:space="preserve"> that all but two of those providers came into </w:t>
      </w:r>
      <w:r>
        <w:rPr>
          <w:rFonts w:cs="Arial"/>
        </w:rPr>
        <w:t xml:space="preserve">full </w:t>
      </w:r>
      <w:r w:rsidRPr="00857A20">
        <w:rPr>
          <w:rFonts w:cs="Arial"/>
        </w:rPr>
        <w:t>compliance by July 1, 2021.  The remaining two</w:t>
      </w:r>
      <w:r>
        <w:rPr>
          <w:rFonts w:cs="Arial"/>
        </w:rPr>
        <w:t xml:space="preserve"> providers, </w:t>
      </w:r>
      <w:r w:rsidR="00A607F8">
        <w:rPr>
          <w:rFonts w:cs="Arial"/>
        </w:rPr>
        <w:t>representing</w:t>
      </w:r>
      <w:r>
        <w:rPr>
          <w:rFonts w:cs="Arial"/>
        </w:rPr>
        <w:t xml:space="preserve"> 25 settings,</w:t>
      </w:r>
      <w:r w:rsidRPr="00857A20">
        <w:rPr>
          <w:rFonts w:cs="Arial"/>
        </w:rPr>
        <w:t xml:space="preserve"> have been submitted to CMS for heightened scrutiny review.</w:t>
      </w:r>
    </w:p>
    <w:p w14:paraId="0CD182EE" w14:textId="1BBD2943" w:rsidR="00435CDD" w:rsidRDefault="00327DC1" w:rsidP="00435CDD">
      <w:pPr>
        <w:rPr>
          <w:rFonts w:cs="Arial"/>
        </w:rPr>
      </w:pPr>
      <w:r w:rsidRPr="00374F59">
        <w:rPr>
          <w:rFonts w:cs="Arial"/>
        </w:rPr>
        <w:t>To assist providers in this process, DDS developed criteria that were used to review the content of each provider’s plan (</w:t>
      </w:r>
      <w:r w:rsidR="00636B13" w:rsidRPr="00374F59">
        <w:rPr>
          <w:rFonts w:cs="Arial"/>
        </w:rPr>
        <w:t>“</w:t>
      </w:r>
      <w:r w:rsidRPr="00374F59">
        <w:rPr>
          <w:rFonts w:cs="Arial"/>
        </w:rPr>
        <w:t xml:space="preserve">DDS </w:t>
      </w:r>
      <w:r w:rsidR="00636B13" w:rsidRPr="00374F59">
        <w:rPr>
          <w:rFonts w:cs="Arial"/>
        </w:rPr>
        <w:t>Revised Guidance Criteria to Assist Providers in Compliance with HCB Settings Requirements</w:t>
      </w:r>
      <w:r w:rsidRPr="00374F59">
        <w:rPr>
          <w:rFonts w:cs="Arial"/>
        </w:rPr>
        <w:t>,</w:t>
      </w:r>
      <w:r w:rsidR="00636B13" w:rsidRPr="00374F59">
        <w:rPr>
          <w:rFonts w:cs="Arial"/>
        </w:rPr>
        <w:t>”</w:t>
      </w:r>
      <w:r w:rsidRPr="00374F59">
        <w:rPr>
          <w:rFonts w:cs="Arial"/>
        </w:rPr>
        <w:t xml:space="preserve"> </w:t>
      </w:r>
      <w:r w:rsidR="00636B13" w:rsidRPr="00374F59">
        <w:rPr>
          <w:rFonts w:cs="Arial"/>
        </w:rPr>
        <w:t>see Table 4</w:t>
      </w:r>
      <w:r w:rsidR="007675AA">
        <w:rPr>
          <w:rFonts w:cs="Arial"/>
        </w:rPr>
        <w:t xml:space="preserve"> for link</w:t>
      </w:r>
      <w:r w:rsidRPr="00374F59">
        <w:rPr>
          <w:rFonts w:cs="Arial"/>
        </w:rPr>
        <w:t>). DDS also initiated a work group comprised of DDS staff and providers to assist providers in implementing their transition plans. As providers develop</w:t>
      </w:r>
      <w:r w:rsidR="00D50B16">
        <w:rPr>
          <w:rFonts w:cs="Arial"/>
        </w:rPr>
        <w:t>ed</w:t>
      </w:r>
      <w:r w:rsidRPr="00374F59">
        <w:rPr>
          <w:rFonts w:cs="Arial"/>
        </w:rPr>
        <w:t xml:space="preserve"> their transition plans and move</w:t>
      </w:r>
      <w:r w:rsidR="00D50B16">
        <w:rPr>
          <w:rFonts w:cs="Arial"/>
        </w:rPr>
        <w:t>d</w:t>
      </w:r>
      <w:r w:rsidRPr="00374F59">
        <w:rPr>
          <w:rFonts w:cs="Arial"/>
        </w:rPr>
        <w:t xml:space="preserve"> towards compliance with the </w:t>
      </w:r>
      <w:r w:rsidR="00845694">
        <w:rPr>
          <w:rFonts w:cs="Arial"/>
        </w:rPr>
        <w:t>Community</w:t>
      </w:r>
      <w:r w:rsidR="00845694" w:rsidRPr="00374F59">
        <w:rPr>
          <w:rFonts w:cs="Arial"/>
        </w:rPr>
        <w:t xml:space="preserve"> </w:t>
      </w:r>
      <w:r w:rsidRPr="00374F59">
        <w:rPr>
          <w:rFonts w:cs="Arial"/>
        </w:rPr>
        <w:t xml:space="preserve">Rule, additional technical assistance </w:t>
      </w:r>
      <w:r w:rsidR="00D50B16">
        <w:rPr>
          <w:rFonts w:cs="Arial"/>
        </w:rPr>
        <w:t xml:space="preserve">was and continues to be </w:t>
      </w:r>
      <w:r w:rsidRPr="00374F59">
        <w:rPr>
          <w:rFonts w:cs="Arial"/>
        </w:rPr>
        <w:t xml:space="preserve">available to them from the Association for Developmental Disability Providers (ADDP), a statewide organization that represents </w:t>
      </w:r>
      <w:proofErr w:type="gramStart"/>
      <w:r w:rsidRPr="00374F59">
        <w:rPr>
          <w:rFonts w:cs="Arial"/>
        </w:rPr>
        <w:t>the vast majority of</w:t>
      </w:r>
      <w:proofErr w:type="gramEnd"/>
      <w:r w:rsidRPr="00374F59">
        <w:rPr>
          <w:rFonts w:cs="Arial"/>
        </w:rPr>
        <w:t xml:space="preserve"> ID providers.</w:t>
      </w:r>
    </w:p>
    <w:p w14:paraId="5C98AE6A" w14:textId="77777777" w:rsidR="00327DC1" w:rsidRPr="00374F59" w:rsidRDefault="00327DC1" w:rsidP="00435CDD">
      <w:pPr>
        <w:rPr>
          <w:rFonts w:cs="Arial"/>
        </w:rPr>
      </w:pPr>
      <w:r w:rsidRPr="00374F59">
        <w:rPr>
          <w:rFonts w:cs="Arial"/>
        </w:rPr>
        <w:lastRenderedPageBreak/>
        <w:t>Specific steps in the development and implementation of providers’ transition plans include</w:t>
      </w:r>
      <w:r w:rsidR="00D50B16">
        <w:rPr>
          <w:rFonts w:cs="Arial"/>
        </w:rPr>
        <w:t>d</w:t>
      </w:r>
      <w:r w:rsidRPr="00374F59">
        <w:rPr>
          <w:rFonts w:cs="Arial"/>
        </w:rPr>
        <w:t xml:space="preserve"> the following:</w:t>
      </w:r>
    </w:p>
    <w:p w14:paraId="6867FD0F" w14:textId="77777777" w:rsidR="00327DC1" w:rsidRPr="00B11E60" w:rsidRDefault="00327DC1" w:rsidP="004427AF">
      <w:pPr>
        <w:pStyle w:val="ListParagraph"/>
        <w:numPr>
          <w:ilvl w:val="0"/>
          <w:numId w:val="6"/>
        </w:numPr>
        <w:ind w:left="720"/>
        <w:rPr>
          <w:rFonts w:cs="Arial"/>
        </w:rPr>
      </w:pPr>
      <w:r w:rsidRPr="00B11E60">
        <w:rPr>
          <w:rFonts w:cs="Arial"/>
        </w:rPr>
        <w:t xml:space="preserve">Providers developed and submitted transition plans to DDS by December 31, 2015.  </w:t>
      </w:r>
    </w:p>
    <w:p w14:paraId="78641F82" w14:textId="77777777" w:rsidR="00327DC1" w:rsidRPr="00B11E60" w:rsidRDefault="00327DC1" w:rsidP="004427AF">
      <w:pPr>
        <w:pStyle w:val="ListParagraph"/>
        <w:numPr>
          <w:ilvl w:val="0"/>
          <w:numId w:val="6"/>
        </w:numPr>
        <w:ind w:left="720"/>
        <w:rPr>
          <w:rFonts w:cs="Arial"/>
        </w:rPr>
      </w:pPr>
      <w:r w:rsidRPr="00B11E60">
        <w:rPr>
          <w:rFonts w:cs="Arial"/>
        </w:rPr>
        <w:t xml:space="preserve">DDS </w:t>
      </w:r>
      <w:r w:rsidR="00587B48">
        <w:rPr>
          <w:rFonts w:cs="Arial"/>
        </w:rPr>
        <w:t>reviewed</w:t>
      </w:r>
      <w:r w:rsidRPr="00B11E60">
        <w:rPr>
          <w:rFonts w:cs="Arial"/>
        </w:rPr>
        <w:t xml:space="preserve"> each provider transition plan.</w:t>
      </w:r>
    </w:p>
    <w:p w14:paraId="3419B01E" w14:textId="77777777" w:rsidR="00327DC1" w:rsidRDefault="00327DC1" w:rsidP="004427AF">
      <w:pPr>
        <w:pStyle w:val="ListParagraph"/>
        <w:numPr>
          <w:ilvl w:val="0"/>
          <w:numId w:val="6"/>
        </w:numPr>
        <w:ind w:left="720"/>
        <w:rPr>
          <w:rFonts w:cs="Arial"/>
        </w:rPr>
      </w:pPr>
      <w:r w:rsidRPr="007E3175">
        <w:rPr>
          <w:rFonts w:cs="Arial"/>
        </w:rPr>
        <w:t xml:space="preserve">DDS </w:t>
      </w:r>
      <w:r w:rsidR="007E3175" w:rsidRPr="007E3175">
        <w:rPr>
          <w:rFonts w:cs="Arial"/>
        </w:rPr>
        <w:t xml:space="preserve">has worked with providers to assure that </w:t>
      </w:r>
      <w:r w:rsidRPr="007E3175">
        <w:rPr>
          <w:rFonts w:cs="Arial"/>
        </w:rPr>
        <w:t>each provider’s transition plan adequately addresses necessary changes.</w:t>
      </w:r>
      <w:r w:rsidR="00AE58CE" w:rsidRPr="007E3175">
        <w:rPr>
          <w:rFonts w:cs="Arial"/>
        </w:rPr>
        <w:t xml:space="preserve"> </w:t>
      </w:r>
    </w:p>
    <w:p w14:paraId="58864C55" w14:textId="77777777" w:rsidR="007E3175" w:rsidRPr="007E3175" w:rsidRDefault="007E3175" w:rsidP="004427AF">
      <w:pPr>
        <w:pStyle w:val="ListParagraph"/>
        <w:numPr>
          <w:ilvl w:val="0"/>
          <w:numId w:val="6"/>
        </w:numPr>
        <w:ind w:left="720"/>
        <w:rPr>
          <w:rFonts w:cs="Arial"/>
        </w:rPr>
      </w:pPr>
      <w:r>
        <w:rPr>
          <w:rFonts w:cs="Arial"/>
        </w:rPr>
        <w:t>DDS provides technical assistance and consultation to providers, as needed. In addition, Central/Area Office staff hold regular meetings with these providers to share updated Community Rule guidance as it becomes available from CMS, and to discuss with the providers specific issues and strategies for compliance. Past meetings have included, among other topics, in-depth discussions about community integration expectations and how providers can meet these outcomes.</w:t>
      </w:r>
    </w:p>
    <w:p w14:paraId="332B4620" w14:textId="77777777" w:rsidR="007E3175" w:rsidRPr="00B11E60" w:rsidRDefault="005B1D29" w:rsidP="004427AF">
      <w:pPr>
        <w:pStyle w:val="ListParagraph"/>
        <w:numPr>
          <w:ilvl w:val="0"/>
          <w:numId w:val="6"/>
        </w:numPr>
        <w:ind w:left="720"/>
        <w:rPr>
          <w:rFonts w:cs="Arial"/>
        </w:rPr>
      </w:pPr>
      <w:r>
        <w:rPr>
          <w:rFonts w:cs="Arial"/>
        </w:rPr>
        <w:t xml:space="preserve">In April 2015, DDS launched a statewide initiative, “Creating Our </w:t>
      </w:r>
      <w:proofErr w:type="gramStart"/>
      <w:r>
        <w:rPr>
          <w:rFonts w:cs="Arial"/>
        </w:rPr>
        <w:t>Common Wealth</w:t>
      </w:r>
      <w:proofErr w:type="gramEnd"/>
      <w:r>
        <w:rPr>
          <w:rFonts w:cs="Arial"/>
        </w:rPr>
        <w:t xml:space="preserve">,” that focuses on inclusion, integration, supporting real and meaningful friendships. </w:t>
      </w:r>
      <w:r w:rsidR="007E3175">
        <w:rPr>
          <w:rFonts w:cs="Arial"/>
        </w:rPr>
        <w:t xml:space="preserve">As part of this initiative, DDS hosts a series of expert-led training sessions for emerging agency and provider </w:t>
      </w:r>
      <w:proofErr w:type="gramStart"/>
      <w:r w:rsidR="007E3175">
        <w:rPr>
          <w:rFonts w:cs="Arial"/>
        </w:rPr>
        <w:t>leaders, and</w:t>
      </w:r>
      <w:proofErr w:type="gramEnd"/>
      <w:r w:rsidR="007E3175">
        <w:rPr>
          <w:rFonts w:cs="Arial"/>
        </w:rPr>
        <w:t xml:space="preserve"> makes education and training materials available online to promote uptake of best practices.</w:t>
      </w:r>
    </w:p>
    <w:p w14:paraId="1E2E0D06" w14:textId="54C3133E" w:rsidR="00327DC1" w:rsidRPr="00B11E60" w:rsidRDefault="00327DC1" w:rsidP="004427AF">
      <w:pPr>
        <w:pStyle w:val="ListParagraph"/>
        <w:numPr>
          <w:ilvl w:val="0"/>
          <w:numId w:val="6"/>
        </w:numPr>
        <w:ind w:left="720"/>
        <w:rPr>
          <w:rFonts w:cs="Arial"/>
        </w:rPr>
      </w:pPr>
      <w:r w:rsidRPr="00B11E60">
        <w:rPr>
          <w:rFonts w:cs="Arial"/>
        </w:rPr>
        <w:t xml:space="preserve">DDS </w:t>
      </w:r>
      <w:r w:rsidR="00D50B16">
        <w:rPr>
          <w:rFonts w:cs="Arial"/>
        </w:rPr>
        <w:t>monitor</w:t>
      </w:r>
      <w:r w:rsidR="00845694">
        <w:rPr>
          <w:rFonts w:cs="Arial"/>
        </w:rPr>
        <w:t>s</w:t>
      </w:r>
      <w:r w:rsidRPr="00B11E60">
        <w:rPr>
          <w:rFonts w:cs="Arial"/>
        </w:rPr>
        <w:t xml:space="preserve"> provider progress towards implementing its strategic and transition plans on a quarterly basis</w:t>
      </w:r>
      <w:r w:rsidR="00D50B16">
        <w:rPr>
          <w:rFonts w:cs="Arial"/>
        </w:rPr>
        <w:t xml:space="preserve"> as well as the results of licensure and certification</w:t>
      </w:r>
      <w:r w:rsidRPr="00B11E60">
        <w:rPr>
          <w:rFonts w:cs="Arial"/>
        </w:rPr>
        <w:t xml:space="preserve">.  </w:t>
      </w:r>
    </w:p>
    <w:p w14:paraId="67B65906" w14:textId="5AC60704" w:rsidR="00D50B16" w:rsidRDefault="00506D21" w:rsidP="004427AF">
      <w:pPr>
        <w:pStyle w:val="ListParagraph"/>
        <w:numPr>
          <w:ilvl w:val="0"/>
          <w:numId w:val="6"/>
        </w:numPr>
        <w:ind w:left="720"/>
        <w:rPr>
          <w:rFonts w:cs="Arial"/>
        </w:rPr>
      </w:pPr>
      <w:r>
        <w:rPr>
          <w:rFonts w:cs="Arial"/>
        </w:rPr>
        <w:t>For most providers</w:t>
      </w:r>
      <w:r w:rsidR="00D50B16">
        <w:rPr>
          <w:rFonts w:cs="Arial"/>
        </w:rPr>
        <w:t xml:space="preserve"> so identified, licensure and certification results </w:t>
      </w:r>
      <w:r w:rsidR="00DE080B">
        <w:rPr>
          <w:rFonts w:cs="Arial"/>
        </w:rPr>
        <w:t>demonstrate</w:t>
      </w:r>
      <w:r w:rsidR="00D50B16">
        <w:rPr>
          <w:rFonts w:cs="Arial"/>
        </w:rPr>
        <w:t xml:space="preserve"> compliance with the Community Rule.</w:t>
      </w:r>
    </w:p>
    <w:p w14:paraId="32A6AD70" w14:textId="57BC9450" w:rsidR="00327DC1" w:rsidRPr="00B11E60" w:rsidRDefault="00D50B16" w:rsidP="004427AF">
      <w:pPr>
        <w:pStyle w:val="ListParagraph"/>
        <w:numPr>
          <w:ilvl w:val="0"/>
          <w:numId w:val="6"/>
        </w:numPr>
        <w:ind w:left="720"/>
        <w:rPr>
          <w:rFonts w:cs="Arial"/>
        </w:rPr>
      </w:pPr>
      <w:r w:rsidRPr="29712154">
        <w:rPr>
          <w:rFonts w:cs="Arial"/>
        </w:rPr>
        <w:t>For</w:t>
      </w:r>
      <w:r w:rsidR="00BF0166">
        <w:rPr>
          <w:rFonts w:cs="Arial"/>
        </w:rPr>
        <w:t xml:space="preserve"> </w:t>
      </w:r>
      <w:r w:rsidR="2AFB43AC" w:rsidRPr="29712154">
        <w:rPr>
          <w:rFonts w:cs="Arial"/>
        </w:rPr>
        <w:t>two</w:t>
      </w:r>
      <w:r w:rsidR="00506D21" w:rsidRPr="29712154">
        <w:rPr>
          <w:rFonts w:cs="Arial"/>
        </w:rPr>
        <w:t xml:space="preserve"> </w:t>
      </w:r>
      <w:r w:rsidR="138EF8A8" w:rsidRPr="29712154">
        <w:rPr>
          <w:rFonts w:cs="Arial"/>
        </w:rPr>
        <w:t>providers</w:t>
      </w:r>
      <w:r w:rsidRPr="29712154">
        <w:rPr>
          <w:rFonts w:cs="Arial"/>
        </w:rPr>
        <w:t>,</w:t>
      </w:r>
      <w:r w:rsidR="550E89D8" w:rsidRPr="29712154">
        <w:rPr>
          <w:rFonts w:cs="Arial"/>
        </w:rPr>
        <w:t xml:space="preserve"> which were not fully compliant by July 1, 2021,</w:t>
      </w:r>
      <w:r w:rsidRPr="29712154">
        <w:rPr>
          <w:rFonts w:cs="Arial"/>
        </w:rPr>
        <w:t xml:space="preserve"> ongoing work is being completed</w:t>
      </w:r>
      <w:r w:rsidR="00566C9C" w:rsidRPr="29712154">
        <w:rPr>
          <w:rFonts w:cs="Arial"/>
        </w:rPr>
        <w:t xml:space="preserve">. </w:t>
      </w:r>
      <w:r w:rsidR="00A466B2" w:rsidRPr="29712154">
        <w:rPr>
          <w:rFonts w:cs="Arial"/>
        </w:rPr>
        <w:t xml:space="preserve">The state </w:t>
      </w:r>
      <w:r w:rsidR="66F60D80" w:rsidRPr="29712154">
        <w:rPr>
          <w:rFonts w:cs="Arial"/>
        </w:rPr>
        <w:t xml:space="preserve">is submitting </w:t>
      </w:r>
      <w:r w:rsidR="00566C9C" w:rsidRPr="29712154">
        <w:rPr>
          <w:rFonts w:cs="Arial"/>
        </w:rPr>
        <w:t>evidence package</w:t>
      </w:r>
      <w:r w:rsidR="00BF0166">
        <w:rPr>
          <w:rFonts w:cs="Arial"/>
        </w:rPr>
        <w:t>s</w:t>
      </w:r>
      <w:r w:rsidR="00566C9C" w:rsidRPr="29712154">
        <w:rPr>
          <w:rFonts w:cs="Arial"/>
        </w:rPr>
        <w:t xml:space="preserve"> </w:t>
      </w:r>
      <w:r w:rsidR="00845694" w:rsidRPr="29712154">
        <w:rPr>
          <w:rFonts w:cs="Arial"/>
        </w:rPr>
        <w:t>for CMS review</w:t>
      </w:r>
      <w:r w:rsidR="00566C9C" w:rsidRPr="29712154">
        <w:rPr>
          <w:rFonts w:cs="Arial"/>
        </w:rPr>
        <w:t>.</w:t>
      </w:r>
    </w:p>
    <w:p w14:paraId="0435AC65" w14:textId="5AF2DF78" w:rsidR="582B4102" w:rsidRPr="004E7D8E" w:rsidRDefault="4D42A8F3" w:rsidP="004427AF">
      <w:pPr>
        <w:pStyle w:val="ListParagraph"/>
        <w:numPr>
          <w:ilvl w:val="0"/>
          <w:numId w:val="6"/>
        </w:numPr>
        <w:ind w:left="720"/>
        <w:rPr>
          <w:rFonts w:cs="Arial"/>
        </w:rPr>
      </w:pPr>
      <w:r w:rsidRPr="004E7D8E">
        <w:rPr>
          <w:rFonts w:cs="Arial"/>
        </w:rPr>
        <w:t xml:space="preserve">For </w:t>
      </w:r>
      <w:r w:rsidR="002C34C1">
        <w:rPr>
          <w:rFonts w:cs="Arial"/>
        </w:rPr>
        <w:t xml:space="preserve">the </w:t>
      </w:r>
      <w:r w:rsidRPr="004E7D8E">
        <w:rPr>
          <w:rFonts w:cs="Arial"/>
        </w:rPr>
        <w:t xml:space="preserve">small set of </w:t>
      </w:r>
      <w:r w:rsidR="4EEE9E4D" w:rsidRPr="004E7D8E">
        <w:rPr>
          <w:rFonts w:cs="Arial"/>
        </w:rPr>
        <w:t>DDS</w:t>
      </w:r>
      <w:r w:rsidRPr="004E7D8E">
        <w:rPr>
          <w:rFonts w:cs="Arial"/>
        </w:rPr>
        <w:t xml:space="preserve"> residential providers that required more substantive changes to achieve full compliance,</w:t>
      </w:r>
      <w:r w:rsidR="004E5A05">
        <w:rPr>
          <w:rFonts w:cs="Arial"/>
        </w:rPr>
        <w:t xml:space="preserve"> as</w:t>
      </w:r>
      <w:r w:rsidR="00AC5542">
        <w:rPr>
          <w:rFonts w:cs="Arial"/>
        </w:rPr>
        <w:t xml:space="preserve"> identified in Table </w:t>
      </w:r>
      <w:r w:rsidR="00F12995">
        <w:rPr>
          <w:rFonts w:cs="Arial"/>
        </w:rPr>
        <w:t xml:space="preserve">3, </w:t>
      </w:r>
      <w:r w:rsidRPr="004E7D8E">
        <w:rPr>
          <w:rFonts w:cs="Arial"/>
        </w:rPr>
        <w:t>individual</w:t>
      </w:r>
      <w:r w:rsidR="582B4102" w:rsidRPr="004E7D8E">
        <w:rPr>
          <w:rFonts w:cs="Arial"/>
        </w:rPr>
        <w:t xml:space="preserve"> residential provider licensure and certification reports are publicly available on the state website</w:t>
      </w:r>
      <w:r w:rsidR="4A9D156B" w:rsidRPr="004E7D8E">
        <w:rPr>
          <w:rFonts w:cs="Arial"/>
        </w:rPr>
        <w:t xml:space="preserve">, along with </w:t>
      </w:r>
      <w:r w:rsidR="560FB527" w:rsidRPr="004E7D8E">
        <w:rPr>
          <w:rFonts w:cs="Arial"/>
        </w:rPr>
        <w:t>all DDS licensure reports</w:t>
      </w:r>
      <w:r w:rsidR="7CF6E86D" w:rsidRPr="004E7D8E">
        <w:rPr>
          <w:rFonts w:cs="Arial"/>
        </w:rPr>
        <w:t xml:space="preserve"> (See Table 4. Links to Related Documents).</w:t>
      </w:r>
      <w:r w:rsidR="582B4102" w:rsidRPr="004E7D8E">
        <w:rPr>
          <w:rFonts w:cs="Arial"/>
        </w:rPr>
        <w:t xml:space="preserve"> </w:t>
      </w:r>
    </w:p>
    <w:p w14:paraId="6064EC74" w14:textId="54847869" w:rsidR="00B36552" w:rsidRPr="00B36552" w:rsidRDefault="00B36552" w:rsidP="00B36552">
      <w:pPr>
        <w:rPr>
          <w:rFonts w:cs="Arial"/>
        </w:rPr>
      </w:pPr>
      <w:r w:rsidRPr="00B36552">
        <w:rPr>
          <w:rFonts w:cs="Arial"/>
        </w:rPr>
        <w:t xml:space="preserve">DDS Licensure and Certification is the process by which providers’ compliance is assessed and determined. The licensure and certification process applies to all providers subject to the requirements of Chapter 19B; section 15(a) of the Massachusetts General Laws.  The licensing review is conducted in a 2-year cycle if all thresholds are met. Other conditions may require a 60-day follow-up or a mid-cycle review where the agency is reviewed for those indicators where the threshold has not been met.  In some circumstances, both a 60-day follow-up and a mid-cycle review are conducted.  Providers are certified for two years, concurrent with their Two-Year Licensure.  If the certification threshold is not met, the provider is required to complete a progress report at the one-year mark.    </w:t>
      </w:r>
    </w:p>
    <w:p w14:paraId="3C31B2C3" w14:textId="3CEDFD22" w:rsidR="00B36552" w:rsidRPr="00B36552" w:rsidRDefault="00B36552" w:rsidP="00B36552">
      <w:pPr>
        <w:rPr>
          <w:rFonts w:cs="Arial"/>
        </w:rPr>
      </w:pPr>
      <w:r w:rsidRPr="00B36552">
        <w:rPr>
          <w:rFonts w:cs="Arial"/>
        </w:rPr>
        <w:t xml:space="preserve">Licensure and certification results are reported separately, with Certification findings specific to individual service types and measuring key areas such as human rights, choice and control, and community access and integration.  </w:t>
      </w:r>
    </w:p>
    <w:p w14:paraId="7AD7A1E1" w14:textId="23D6CA4D" w:rsidR="00B36552" w:rsidRPr="00B36552" w:rsidRDefault="00B36552" w:rsidP="00B36552">
      <w:pPr>
        <w:rPr>
          <w:rFonts w:cs="Arial"/>
        </w:rPr>
      </w:pPr>
      <w:r w:rsidRPr="00B36552">
        <w:rPr>
          <w:rFonts w:cs="Arial"/>
        </w:rPr>
        <w:t xml:space="preserve">The certification tool and process set forth standards for specific services that promote quality and responsiveness and when implemented are predictive of positive outcomes in the lives of </w:t>
      </w:r>
      <w:r w:rsidRPr="00B36552">
        <w:rPr>
          <w:rFonts w:cs="Arial"/>
        </w:rPr>
        <w:lastRenderedPageBreak/>
        <w:t xml:space="preserve">individuals.   The tool has its foundation in DDS Regulations (115 CMR Chapters 5, 7, and 8) and covers areas of respect, individual choice and control, and community integration; the tool was expanded in 2016 to align with the Community Rule.  At that time, DDS revised the licensure and certification tool to clarify expectations and even more closely and strongly align the tool with the critical elements of the Community Rule in terms of both residential and non-residential settings. The specific support expectations in certification fall into several domains, each of which is evaluated separately.  These include, but are not limited to planning and quality improvement, </w:t>
      </w:r>
      <w:proofErr w:type="gramStart"/>
      <w:r w:rsidRPr="00B36552">
        <w:rPr>
          <w:rFonts w:cs="Arial"/>
        </w:rPr>
        <w:t>choice</w:t>
      </w:r>
      <w:proofErr w:type="gramEnd"/>
      <w:r w:rsidRPr="00B36552">
        <w:rPr>
          <w:rFonts w:cs="Arial"/>
        </w:rPr>
        <w:t xml:space="preserve"> and personal growth, supporting and enhancing relationships, career planning and development, and access and integration, to reflect the community rule. </w:t>
      </w:r>
    </w:p>
    <w:p w14:paraId="2BC63299" w14:textId="743921A0" w:rsidR="00B36552" w:rsidRPr="00B36552" w:rsidRDefault="00B36552" w:rsidP="00B36552">
      <w:pPr>
        <w:rPr>
          <w:rFonts w:cs="Arial"/>
        </w:rPr>
      </w:pPr>
      <w:r w:rsidRPr="00B36552">
        <w:rPr>
          <w:rFonts w:cs="Arial"/>
        </w:rPr>
        <w:t xml:space="preserve">The Licensure and Certification review is conducted by DDS Quality Enhancement surveyors.  The survey includes preparatory documentation review, administrative review and interview, on-site visits, individual observation and interviews, and individual documentation reviews.  Survey findings are made based on extensive evidence obtained through these various processes.   </w:t>
      </w:r>
    </w:p>
    <w:p w14:paraId="41622521" w14:textId="109CC93D" w:rsidR="00B36552" w:rsidRPr="00B36552" w:rsidRDefault="00B36552" w:rsidP="00B36552">
      <w:pPr>
        <w:rPr>
          <w:rFonts w:cs="Arial"/>
        </w:rPr>
      </w:pPr>
      <w:r w:rsidRPr="00B36552">
        <w:rPr>
          <w:rFonts w:cs="Arial"/>
        </w:rPr>
        <w:t xml:space="preserve">Upon the completion of the survey, a feedback meeting is held for the purpose of presenting the survey team’s findings.  In addition to outlining the level of licensure and certification results, the meeting allows sufficient time to discuss any areas where additional agency effort might be needed.  The goal of this meeting is to support continuous service quality improvement.   </w:t>
      </w:r>
    </w:p>
    <w:p w14:paraId="3006DEB7" w14:textId="5086B8C5" w:rsidR="00EA037D" w:rsidRDefault="00B36552" w:rsidP="00435CDD">
      <w:pPr>
        <w:rPr>
          <w:rFonts w:cs="Arial"/>
        </w:rPr>
      </w:pPr>
      <w:r w:rsidRPr="00B36552">
        <w:rPr>
          <w:rFonts w:cs="Arial"/>
        </w:rPr>
        <w:t xml:space="preserve">Providers are required to make corrections when indicators are not </w:t>
      </w:r>
      <w:proofErr w:type="gramStart"/>
      <w:r w:rsidRPr="00B36552">
        <w:rPr>
          <w:rFonts w:cs="Arial"/>
        </w:rPr>
        <w:t>met, and</w:t>
      </w:r>
      <w:proofErr w:type="gramEnd"/>
      <w:r w:rsidRPr="00B36552">
        <w:rPr>
          <w:rFonts w:cs="Arial"/>
        </w:rPr>
        <w:t xml:space="preserve"> are subject to follow-up by DDS surveyor staff or provider staff. These indicators are supportive of and fully in compliance with the HCBS Community Rule.</w:t>
      </w:r>
    </w:p>
    <w:p w14:paraId="2600F175" w14:textId="346D2CC3" w:rsidR="00327DC1" w:rsidRDefault="00327DC1" w:rsidP="00435CDD">
      <w:pPr>
        <w:rPr>
          <w:rFonts w:cs="Arial"/>
        </w:rPr>
      </w:pPr>
      <w:r w:rsidRPr="29712154">
        <w:rPr>
          <w:rFonts w:cs="Arial"/>
        </w:rPr>
        <w:t xml:space="preserve">Individuals in settings that cannot meet requirements will be notified by the DDS Waiver Unit that they will no longer be residing in settings on the HCBS Waiver. Individuals will be informed of their right to request a move to another HCBS setting and of the implications for their MassHealth status and </w:t>
      </w:r>
      <w:proofErr w:type="gramStart"/>
      <w:r w:rsidRPr="29712154">
        <w:rPr>
          <w:rFonts w:cs="Arial"/>
        </w:rPr>
        <w:t>services, if</w:t>
      </w:r>
      <w:proofErr w:type="gramEnd"/>
      <w:r w:rsidRPr="29712154">
        <w:rPr>
          <w:rFonts w:cs="Arial"/>
        </w:rPr>
        <w:t xml:space="preserve"> they choose to stay in their current setting. They will also be informed of their appeal rights.</w:t>
      </w:r>
    </w:p>
    <w:p w14:paraId="510465B1" w14:textId="435AD6BE" w:rsidR="49BE54D8" w:rsidRDefault="49BE54D8" w:rsidP="29712154">
      <w:pPr>
        <w:rPr>
          <w:rFonts w:cs="Arial"/>
        </w:rPr>
      </w:pPr>
      <w:r w:rsidRPr="29712154">
        <w:rPr>
          <w:rFonts w:cs="Arial"/>
        </w:rPr>
        <w:t xml:space="preserve">Going forward, residential provider compliance will be reviewed and validated by DDS’s licensure and certification staff through deployment of the revised licensure and certification tool, which, </w:t>
      </w:r>
      <w:proofErr w:type="gramStart"/>
      <w:r w:rsidRPr="29712154">
        <w:rPr>
          <w:rFonts w:cs="Arial"/>
        </w:rPr>
        <w:t>as a result of</w:t>
      </w:r>
      <w:proofErr w:type="gramEnd"/>
      <w:r w:rsidRPr="29712154">
        <w:rPr>
          <w:rFonts w:cs="Arial"/>
        </w:rPr>
        <w:t xml:space="preserve"> DDS’s systemic assessment of residential services, has been enhanced to ensure that it captures all the elements necessary to meet the requirements of the HCBS Rule. The enhancements include nine new indicators as well as strengthening certain existing indicators. Providers that fall below meeting 80 percent of the standards will be required to submit a progress report detailing how they are addressing the standards that were not met. </w:t>
      </w:r>
      <w:r w:rsidR="003D6CFA" w:rsidRPr="003D6CFA">
        <w:rPr>
          <w:rFonts w:cs="Arial"/>
        </w:rPr>
        <w:t xml:space="preserve">DDS assures that 100% of providers are reviewed and determined to </w:t>
      </w:r>
      <w:proofErr w:type="gramStart"/>
      <w:r w:rsidR="003D6CFA" w:rsidRPr="003D6CFA">
        <w:rPr>
          <w:rFonts w:cs="Arial"/>
        </w:rPr>
        <w:t>be in compliance</w:t>
      </w:r>
      <w:proofErr w:type="gramEnd"/>
      <w:r w:rsidR="003D6CFA" w:rsidRPr="003D6CFA">
        <w:rPr>
          <w:rFonts w:cs="Arial"/>
        </w:rPr>
        <w:t xml:space="preserve"> through licensure and certification processes and other monitoring mechanisms, such as site visits and person-centered planning processes and meetings. Indicators not met are reported to providers as part of the licensure and certification process and DDS or provider follow up is expected. </w:t>
      </w:r>
      <w:r w:rsidR="007858CC">
        <w:rPr>
          <w:rStyle w:val="ui-provider"/>
        </w:rPr>
        <w:t xml:space="preserve">Additionally, there is oversight and monitoring of the regular site visits and of </w:t>
      </w:r>
      <w:proofErr w:type="gramStart"/>
      <w:r w:rsidR="007858CC">
        <w:rPr>
          <w:rStyle w:val="ui-provider"/>
        </w:rPr>
        <w:t>person centered</w:t>
      </w:r>
      <w:proofErr w:type="gramEnd"/>
      <w:r w:rsidR="007858CC">
        <w:rPr>
          <w:rStyle w:val="ui-provider"/>
        </w:rPr>
        <w:t xml:space="preserve"> processes through DDS operations staff. Lastly, a special review by the licensure and certification team can be requested for additional assessment and or monitoring outside the licensure process.</w:t>
      </w:r>
      <w:r w:rsidR="007858CC" w:rsidRPr="29712154">
        <w:rPr>
          <w:rFonts w:cs="Arial"/>
        </w:rPr>
        <w:t xml:space="preserve"> </w:t>
      </w:r>
      <w:r w:rsidRPr="29712154">
        <w:rPr>
          <w:rFonts w:cs="Arial"/>
        </w:rPr>
        <w:t>Th</w:t>
      </w:r>
      <w:r w:rsidR="00045882">
        <w:rPr>
          <w:rFonts w:cs="Arial"/>
        </w:rPr>
        <w:t>ese</w:t>
      </w:r>
      <w:r w:rsidRPr="29712154">
        <w:rPr>
          <w:rFonts w:cs="Arial"/>
        </w:rPr>
        <w:t xml:space="preserve"> process</w:t>
      </w:r>
      <w:r w:rsidR="00045882">
        <w:rPr>
          <w:rFonts w:cs="Arial"/>
        </w:rPr>
        <w:t>es</w:t>
      </w:r>
      <w:r w:rsidRPr="29712154">
        <w:rPr>
          <w:rFonts w:cs="Arial"/>
        </w:rPr>
        <w:t xml:space="preserve"> will assure continuous and ongoing monitoring of compliance with the Rule.</w:t>
      </w:r>
    </w:p>
    <w:p w14:paraId="0D3BD1AD" w14:textId="77777777" w:rsidR="00327DC1" w:rsidRPr="00693DBF" w:rsidRDefault="00327DC1" w:rsidP="00693DBF">
      <w:pPr>
        <w:pStyle w:val="Heading4"/>
        <w:rPr>
          <w:rStyle w:val="Strong"/>
          <w:rFonts w:ascii="Arial" w:hAnsi="Arial" w:cs="Arial"/>
          <w:b/>
          <w:bCs/>
          <w:i w:val="0"/>
          <w:iCs w:val="0"/>
        </w:rPr>
      </w:pPr>
      <w:r w:rsidRPr="00693DBF">
        <w:rPr>
          <w:rStyle w:val="Strong"/>
          <w:rFonts w:ascii="Arial" w:hAnsi="Arial" w:cs="Arial"/>
          <w:b/>
          <w:bCs/>
          <w:i w:val="0"/>
          <w:iCs w:val="0"/>
        </w:rPr>
        <w:lastRenderedPageBreak/>
        <w:t>Non-residential settings</w:t>
      </w:r>
    </w:p>
    <w:p w14:paraId="4AE787DA" w14:textId="0160BD37" w:rsidR="00435CDD" w:rsidRPr="001432A4" w:rsidRDefault="00327DC1" w:rsidP="00361CED">
      <w:pPr>
        <w:rPr>
          <w:rStyle w:val="SubtleEmphasis"/>
        </w:rPr>
      </w:pPr>
      <w:r w:rsidRPr="001432A4">
        <w:rPr>
          <w:rStyle w:val="SubtleEmphasis"/>
        </w:rPr>
        <w:t>Employment</w:t>
      </w:r>
      <w:r w:rsidR="00D37174" w:rsidRPr="001432A4">
        <w:rPr>
          <w:rStyle w:val="SubtleEmphasis"/>
        </w:rPr>
        <w:t xml:space="preserve"> (General)</w:t>
      </w:r>
      <w:r w:rsidRPr="001432A4">
        <w:rPr>
          <w:rStyle w:val="SubtleEmphasis"/>
        </w:rPr>
        <w:t xml:space="preserve"> </w:t>
      </w:r>
    </w:p>
    <w:p w14:paraId="2F53A444" w14:textId="77777777" w:rsidR="00327DC1" w:rsidRPr="00D37174" w:rsidRDefault="00D37174" w:rsidP="00435CDD">
      <w:pPr>
        <w:rPr>
          <w:rFonts w:cs="Arial"/>
        </w:rPr>
      </w:pPr>
      <w:r w:rsidRPr="00D37174">
        <w:rPr>
          <w:rFonts w:cs="Arial"/>
        </w:rPr>
        <w:t>DDS has undertaken the following actions related to employment settings as noted within the Blueprint for Success: Employing Individuals with ID in Massachusetts</w:t>
      </w:r>
      <w:r w:rsidR="00327DC1" w:rsidRPr="00D37174">
        <w:rPr>
          <w:rFonts w:cs="Arial"/>
        </w:rPr>
        <w:t>:</w:t>
      </w:r>
    </w:p>
    <w:p w14:paraId="36D19806" w14:textId="77777777" w:rsidR="00327DC1" w:rsidRPr="00B11E60" w:rsidRDefault="00327DC1" w:rsidP="004427AF">
      <w:pPr>
        <w:pStyle w:val="ListParagraph"/>
        <w:numPr>
          <w:ilvl w:val="0"/>
          <w:numId w:val="8"/>
        </w:numPr>
        <w:ind w:left="720"/>
        <w:rPr>
          <w:rFonts w:cs="Arial"/>
        </w:rPr>
      </w:pPr>
      <w:r w:rsidRPr="00B11E60">
        <w:rPr>
          <w:rFonts w:cs="Arial"/>
        </w:rPr>
        <w:t>Cease referrals to sheltered workshop programs by 1/1/14 (completed</w:t>
      </w:r>
      <w:proofErr w:type="gramStart"/>
      <w:r w:rsidRPr="00B11E60">
        <w:rPr>
          <w:rFonts w:cs="Arial"/>
        </w:rPr>
        <w:t>)</w:t>
      </w:r>
      <w:r>
        <w:rPr>
          <w:rFonts w:cs="Arial"/>
        </w:rPr>
        <w:t>;</w:t>
      </w:r>
      <w:proofErr w:type="gramEnd"/>
    </w:p>
    <w:p w14:paraId="21C1F76C" w14:textId="77777777" w:rsidR="00327DC1" w:rsidRPr="00B11E60" w:rsidRDefault="00327DC1" w:rsidP="004427AF">
      <w:pPr>
        <w:pStyle w:val="ListParagraph"/>
        <w:numPr>
          <w:ilvl w:val="0"/>
          <w:numId w:val="8"/>
        </w:numPr>
        <w:ind w:left="720"/>
        <w:rPr>
          <w:rFonts w:cs="Arial"/>
        </w:rPr>
      </w:pPr>
      <w:r w:rsidRPr="00B11E60">
        <w:rPr>
          <w:rFonts w:cs="Arial"/>
        </w:rPr>
        <w:t>Phase out of center-based work/sheltered workshops by 6/30/16</w:t>
      </w:r>
      <w:r w:rsidR="00D37174">
        <w:rPr>
          <w:rFonts w:cs="Arial"/>
        </w:rPr>
        <w:t xml:space="preserve"> (completed</w:t>
      </w:r>
      <w:proofErr w:type="gramStart"/>
      <w:r w:rsidR="00D37174">
        <w:rPr>
          <w:rFonts w:cs="Arial"/>
        </w:rPr>
        <w:t>)</w:t>
      </w:r>
      <w:r>
        <w:rPr>
          <w:rFonts w:cs="Arial"/>
        </w:rPr>
        <w:t>;</w:t>
      </w:r>
      <w:proofErr w:type="gramEnd"/>
      <w:r w:rsidRPr="00B11E60">
        <w:rPr>
          <w:rFonts w:cs="Arial"/>
        </w:rPr>
        <w:t xml:space="preserve"> </w:t>
      </w:r>
    </w:p>
    <w:p w14:paraId="293DAA86" w14:textId="77777777" w:rsidR="00327DC1" w:rsidRPr="00B11E60" w:rsidRDefault="00327DC1" w:rsidP="004427AF">
      <w:pPr>
        <w:pStyle w:val="ListParagraph"/>
        <w:numPr>
          <w:ilvl w:val="0"/>
          <w:numId w:val="8"/>
        </w:numPr>
        <w:ind w:left="720"/>
        <w:rPr>
          <w:rFonts w:cs="Arial"/>
        </w:rPr>
      </w:pPr>
      <w:r w:rsidRPr="00B11E60">
        <w:rPr>
          <w:rFonts w:cs="Arial"/>
        </w:rPr>
        <w:t xml:space="preserve">Transition participants </w:t>
      </w:r>
      <w:r w:rsidR="00D37174">
        <w:rPr>
          <w:rFonts w:cs="Arial"/>
        </w:rPr>
        <w:t>from</w:t>
      </w:r>
      <w:r w:rsidR="00D37174" w:rsidRPr="00B11E60">
        <w:rPr>
          <w:rFonts w:cs="Arial"/>
        </w:rPr>
        <w:t xml:space="preserve"> </w:t>
      </w:r>
      <w:r w:rsidRPr="00B11E60">
        <w:rPr>
          <w:rFonts w:cs="Arial"/>
        </w:rPr>
        <w:t>sheltered workshops to other options (</w:t>
      </w:r>
      <w:r w:rsidR="00D37174">
        <w:rPr>
          <w:rFonts w:cs="Arial"/>
        </w:rPr>
        <w:t>completed</w:t>
      </w:r>
      <w:proofErr w:type="gramStart"/>
      <w:r w:rsidRPr="00B11E60">
        <w:rPr>
          <w:rFonts w:cs="Arial"/>
        </w:rPr>
        <w:t>)</w:t>
      </w:r>
      <w:r>
        <w:rPr>
          <w:rFonts w:cs="Arial"/>
        </w:rPr>
        <w:t>;</w:t>
      </w:r>
      <w:proofErr w:type="gramEnd"/>
    </w:p>
    <w:p w14:paraId="3DC3AAAD" w14:textId="77777777" w:rsidR="00327DC1" w:rsidRPr="00B11E60" w:rsidRDefault="00327DC1" w:rsidP="004427AF">
      <w:pPr>
        <w:pStyle w:val="ListParagraph"/>
        <w:numPr>
          <w:ilvl w:val="0"/>
          <w:numId w:val="8"/>
        </w:numPr>
        <w:ind w:left="720"/>
        <w:rPr>
          <w:rFonts w:cs="Arial"/>
        </w:rPr>
      </w:pPr>
      <w:r w:rsidRPr="00B11E60">
        <w:rPr>
          <w:rFonts w:cs="Arial"/>
        </w:rPr>
        <w:t>Maintain stability for individuals during the transitio</w:t>
      </w:r>
      <w:r>
        <w:rPr>
          <w:rFonts w:cs="Arial"/>
        </w:rPr>
        <w:t>n period and non-work hours (on</w:t>
      </w:r>
      <w:r w:rsidRPr="00B11E60">
        <w:rPr>
          <w:rFonts w:cs="Arial"/>
        </w:rPr>
        <w:t>going</w:t>
      </w:r>
      <w:proofErr w:type="gramStart"/>
      <w:r w:rsidRPr="00B11E60">
        <w:rPr>
          <w:rFonts w:cs="Arial"/>
        </w:rPr>
        <w:t>)</w:t>
      </w:r>
      <w:r>
        <w:rPr>
          <w:rFonts w:cs="Arial"/>
        </w:rPr>
        <w:t>;</w:t>
      </w:r>
      <w:proofErr w:type="gramEnd"/>
    </w:p>
    <w:p w14:paraId="009312D5" w14:textId="6AF14A73" w:rsidR="00327DC1" w:rsidRPr="00D51E67" w:rsidRDefault="00327DC1" w:rsidP="004427AF">
      <w:pPr>
        <w:pStyle w:val="ListParagraph"/>
        <w:numPr>
          <w:ilvl w:val="0"/>
          <w:numId w:val="8"/>
        </w:numPr>
        <w:ind w:left="720"/>
        <w:rPr>
          <w:rFonts w:cs="Arial"/>
        </w:rPr>
      </w:pPr>
      <w:r w:rsidRPr="00B11E60">
        <w:rPr>
          <w:rFonts w:cs="Arial"/>
        </w:rPr>
        <w:t>Expand CBDS programs to include career exploration and a planning component to serve as a pathway to employment (</w:t>
      </w:r>
      <w:r w:rsidR="009D6ABF">
        <w:rPr>
          <w:rFonts w:cs="Arial"/>
        </w:rPr>
        <w:t>completed</w:t>
      </w:r>
      <w:r w:rsidRPr="00B11E60">
        <w:rPr>
          <w:rFonts w:cs="Arial"/>
        </w:rPr>
        <w:t>)</w:t>
      </w:r>
      <w:r w:rsidR="000E7C08" w:rsidRPr="00D51E67">
        <w:rPr>
          <w:rFonts w:cs="Arial"/>
        </w:rPr>
        <w:t>.</w:t>
      </w:r>
      <w:r w:rsidR="00D51E67" w:rsidRPr="00D51E67">
        <w:rPr>
          <w:rFonts w:cs="Arial"/>
        </w:rPr>
        <w:t xml:space="preserve"> </w:t>
      </w:r>
    </w:p>
    <w:p w14:paraId="25462662" w14:textId="77777777" w:rsidR="00327DC1" w:rsidRPr="00B11E60" w:rsidRDefault="00D37174" w:rsidP="00435CDD">
      <w:pPr>
        <w:rPr>
          <w:rFonts w:cs="Arial"/>
        </w:rPr>
      </w:pPr>
      <w:r w:rsidRPr="00B11E60">
        <w:rPr>
          <w:rFonts w:cs="Arial"/>
        </w:rPr>
        <w:t>A</w:t>
      </w:r>
      <w:r>
        <w:rPr>
          <w:rFonts w:cs="Arial"/>
        </w:rPr>
        <w:t>dditional a</w:t>
      </w:r>
      <w:r w:rsidR="00327DC1" w:rsidRPr="00B11E60">
        <w:rPr>
          <w:rFonts w:cs="Arial"/>
        </w:rPr>
        <w:t>ctions to build capacity include:</w:t>
      </w:r>
    </w:p>
    <w:p w14:paraId="0F3B4F81" w14:textId="77777777" w:rsidR="00327DC1" w:rsidRPr="00B11E60" w:rsidRDefault="00327DC1" w:rsidP="004427AF">
      <w:pPr>
        <w:pStyle w:val="ListParagraph"/>
        <w:numPr>
          <w:ilvl w:val="0"/>
          <w:numId w:val="8"/>
        </w:numPr>
        <w:ind w:left="720"/>
        <w:rPr>
          <w:rFonts w:cs="Arial"/>
        </w:rPr>
      </w:pPr>
      <w:r w:rsidRPr="00B11E60">
        <w:rPr>
          <w:rFonts w:cs="Arial"/>
        </w:rPr>
        <w:t xml:space="preserve">Staff training and professional development opportunities for provider and DDS </w:t>
      </w:r>
      <w:proofErr w:type="gramStart"/>
      <w:r w:rsidRPr="00B11E60">
        <w:rPr>
          <w:rFonts w:cs="Arial"/>
        </w:rPr>
        <w:t>staff</w:t>
      </w:r>
      <w:r>
        <w:rPr>
          <w:rFonts w:cs="Arial"/>
        </w:rPr>
        <w:t>;</w:t>
      </w:r>
      <w:proofErr w:type="gramEnd"/>
    </w:p>
    <w:p w14:paraId="7165B4EE" w14:textId="77777777" w:rsidR="00327DC1" w:rsidRPr="00B11E60" w:rsidRDefault="00327DC1" w:rsidP="004427AF">
      <w:pPr>
        <w:pStyle w:val="ListParagraph"/>
        <w:numPr>
          <w:ilvl w:val="0"/>
          <w:numId w:val="8"/>
        </w:numPr>
        <w:ind w:left="720"/>
        <w:rPr>
          <w:rFonts w:cs="Arial"/>
        </w:rPr>
      </w:pPr>
      <w:r w:rsidRPr="00B11E60">
        <w:rPr>
          <w:rFonts w:cs="Arial"/>
        </w:rPr>
        <w:t xml:space="preserve">Technical Assistance/consultation for provider agencies to facilitate organizational change and new service models, including </w:t>
      </w:r>
      <w:r w:rsidRPr="00065ECE">
        <w:rPr>
          <w:rFonts w:cs="Arial"/>
          <w:i/>
        </w:rPr>
        <w:t>community</w:t>
      </w:r>
      <w:r w:rsidRPr="00623CF4">
        <w:rPr>
          <w:rFonts w:cs="Arial"/>
          <w:i/>
        </w:rPr>
        <w:t>-based,</w:t>
      </w:r>
      <w:r w:rsidRPr="00B11E60">
        <w:rPr>
          <w:rFonts w:cs="Arial"/>
        </w:rPr>
        <w:t xml:space="preserve"> as opposed to center-based day supports </w:t>
      </w:r>
      <w:proofErr w:type="gramStart"/>
      <w:r w:rsidRPr="00B11E60">
        <w:rPr>
          <w:rFonts w:cs="Arial"/>
        </w:rPr>
        <w:t>programs</w:t>
      </w:r>
      <w:r>
        <w:rPr>
          <w:rFonts w:cs="Arial"/>
        </w:rPr>
        <w:t>;</w:t>
      </w:r>
      <w:proofErr w:type="gramEnd"/>
      <w:r w:rsidRPr="00B11E60">
        <w:rPr>
          <w:rFonts w:cs="Arial"/>
        </w:rPr>
        <w:t xml:space="preserve"> </w:t>
      </w:r>
    </w:p>
    <w:p w14:paraId="65DB0555" w14:textId="77777777" w:rsidR="00327DC1" w:rsidRPr="00B11E60" w:rsidRDefault="00327DC1" w:rsidP="004427AF">
      <w:pPr>
        <w:pStyle w:val="ListParagraph"/>
        <w:numPr>
          <w:ilvl w:val="0"/>
          <w:numId w:val="8"/>
        </w:numPr>
        <w:ind w:left="720"/>
        <w:rPr>
          <w:rFonts w:cs="Arial"/>
        </w:rPr>
      </w:pPr>
      <w:r w:rsidRPr="00B11E60">
        <w:rPr>
          <w:rFonts w:cs="Arial"/>
        </w:rPr>
        <w:t>Expansion of Regional Employment Collaboratives</w:t>
      </w:r>
      <w:r w:rsidR="009774FC">
        <w:rPr>
          <w:rFonts w:cs="Arial"/>
        </w:rPr>
        <w:t>, to</w:t>
      </w:r>
      <w:r w:rsidR="009774FC" w:rsidRPr="00B11E60">
        <w:rPr>
          <w:rFonts w:cs="Arial"/>
        </w:rPr>
        <w:t xml:space="preserve"> a tot</w:t>
      </w:r>
      <w:r w:rsidR="009774FC">
        <w:rPr>
          <w:rFonts w:cs="Arial"/>
        </w:rPr>
        <w:t xml:space="preserve">al of six across the state, </w:t>
      </w:r>
      <w:r w:rsidRPr="00B11E60">
        <w:rPr>
          <w:rFonts w:cs="Arial"/>
        </w:rPr>
        <w:t>to facilitate and coordinate new job opportunities</w:t>
      </w:r>
      <w:r>
        <w:rPr>
          <w:rFonts w:cs="Arial"/>
        </w:rPr>
        <w:t>;</w:t>
      </w:r>
      <w:r w:rsidRPr="00B11E60">
        <w:rPr>
          <w:rFonts w:cs="Arial"/>
        </w:rPr>
        <w:t xml:space="preserve"> and</w:t>
      </w:r>
    </w:p>
    <w:p w14:paraId="1E6881A5" w14:textId="77777777" w:rsidR="00327DC1" w:rsidRPr="00B11E60" w:rsidRDefault="00327DC1" w:rsidP="004427AF">
      <w:pPr>
        <w:pStyle w:val="ListParagraph"/>
        <w:numPr>
          <w:ilvl w:val="0"/>
          <w:numId w:val="8"/>
        </w:numPr>
        <w:ind w:left="720"/>
        <w:rPr>
          <w:rFonts w:cs="Arial"/>
        </w:rPr>
      </w:pPr>
      <w:r w:rsidRPr="00B11E60">
        <w:rPr>
          <w:rFonts w:cs="Arial"/>
        </w:rPr>
        <w:t>Outreach and communication with individuals with ID and their families/guardians to offer information, resources, and support.</w:t>
      </w:r>
    </w:p>
    <w:p w14:paraId="2A4262C5" w14:textId="77777777" w:rsidR="00327DC1" w:rsidRPr="00B11E60" w:rsidRDefault="00327DC1" w:rsidP="00435CDD">
      <w:pPr>
        <w:rPr>
          <w:rFonts w:cs="Arial"/>
        </w:rPr>
      </w:pPr>
      <w:r w:rsidRPr="00B11E60">
        <w:rPr>
          <w:rFonts w:cs="Arial"/>
        </w:rPr>
        <w:t>Highlights of the progress to date include:</w:t>
      </w:r>
    </w:p>
    <w:p w14:paraId="4FD3F283" w14:textId="77777777" w:rsidR="00327DC1" w:rsidRPr="00B11E60" w:rsidRDefault="00327DC1" w:rsidP="004427AF">
      <w:pPr>
        <w:pStyle w:val="ListParagraph"/>
        <w:numPr>
          <w:ilvl w:val="0"/>
          <w:numId w:val="8"/>
        </w:numPr>
        <w:ind w:left="720"/>
        <w:rPr>
          <w:rFonts w:cs="Arial"/>
        </w:rPr>
      </w:pPr>
      <w:r w:rsidRPr="00B11E60">
        <w:rPr>
          <w:rFonts w:cs="Arial"/>
        </w:rPr>
        <w:t xml:space="preserve">17 out of 31 </w:t>
      </w:r>
      <w:r w:rsidR="009774FC">
        <w:rPr>
          <w:rFonts w:cs="Arial"/>
        </w:rPr>
        <w:t xml:space="preserve">sheltered workshop </w:t>
      </w:r>
      <w:r w:rsidRPr="00B11E60">
        <w:rPr>
          <w:rFonts w:cs="Arial"/>
        </w:rPr>
        <w:t xml:space="preserve">agencies received new funding in FY15 to facilitate transitions to phase out sheltered workshops by 6/30/15; 14 </w:t>
      </w:r>
      <w:r w:rsidR="009774FC">
        <w:rPr>
          <w:rFonts w:cs="Arial"/>
        </w:rPr>
        <w:t>received</w:t>
      </w:r>
      <w:r w:rsidRPr="00B11E60">
        <w:rPr>
          <w:rFonts w:cs="Arial"/>
        </w:rPr>
        <w:t xml:space="preserve"> funding in FY16 to facilitate movement of about 800 individuals to new integrated employment and CBDS services </w:t>
      </w:r>
      <w:r w:rsidR="00374C3D">
        <w:rPr>
          <w:rFonts w:cs="Arial"/>
        </w:rPr>
        <w:t>and completed</w:t>
      </w:r>
      <w:r w:rsidR="009774FC">
        <w:rPr>
          <w:rFonts w:cs="Arial"/>
        </w:rPr>
        <w:t xml:space="preserve"> the phase-out of </w:t>
      </w:r>
      <w:r w:rsidRPr="00B11E60">
        <w:rPr>
          <w:rFonts w:cs="Arial"/>
        </w:rPr>
        <w:t>sheltered workshop services by 6/30/16</w:t>
      </w:r>
      <w:r w:rsidR="00D37174">
        <w:rPr>
          <w:rFonts w:cs="Arial"/>
        </w:rPr>
        <w:t xml:space="preserve"> (complete</w:t>
      </w:r>
      <w:r w:rsidR="009774FC">
        <w:rPr>
          <w:rFonts w:cs="Arial"/>
        </w:rPr>
        <w:t>d</w:t>
      </w:r>
      <w:r w:rsidR="00D37174">
        <w:rPr>
          <w:rFonts w:cs="Arial"/>
        </w:rPr>
        <w:t>)</w:t>
      </w:r>
      <w:r w:rsidRPr="00B11E60">
        <w:rPr>
          <w:rFonts w:cs="Arial"/>
        </w:rPr>
        <w:t>.</w:t>
      </w:r>
    </w:p>
    <w:p w14:paraId="110B685B" w14:textId="77777777" w:rsidR="00327DC1" w:rsidRPr="00B11E60" w:rsidRDefault="00327DC1" w:rsidP="004427AF">
      <w:pPr>
        <w:pStyle w:val="ListParagraph"/>
        <w:numPr>
          <w:ilvl w:val="0"/>
          <w:numId w:val="8"/>
        </w:numPr>
        <w:ind w:left="720"/>
        <w:rPr>
          <w:rFonts w:cs="Arial"/>
        </w:rPr>
      </w:pPr>
      <w:r w:rsidRPr="00B11E60">
        <w:rPr>
          <w:rFonts w:cs="Arial"/>
        </w:rPr>
        <w:t xml:space="preserve">Monthly meetings of the Employment Work Group to develop plans, address issues and identify new ways to support goals- this </w:t>
      </w:r>
      <w:proofErr w:type="gramStart"/>
      <w:r w:rsidRPr="00B11E60">
        <w:rPr>
          <w:rFonts w:cs="Arial"/>
        </w:rPr>
        <w:t>continues on</w:t>
      </w:r>
      <w:proofErr w:type="gramEnd"/>
      <w:r w:rsidRPr="00B11E60">
        <w:rPr>
          <w:rFonts w:cs="Arial"/>
        </w:rPr>
        <w:t xml:space="preserve"> a </w:t>
      </w:r>
      <w:r w:rsidR="00D41C0D">
        <w:rPr>
          <w:rFonts w:cs="Arial"/>
        </w:rPr>
        <w:t>quarterly</w:t>
      </w:r>
      <w:r w:rsidRPr="00B11E60">
        <w:rPr>
          <w:rFonts w:cs="Arial"/>
        </w:rPr>
        <w:t xml:space="preserve"> basis.</w:t>
      </w:r>
    </w:p>
    <w:p w14:paraId="7DAF1996" w14:textId="77777777" w:rsidR="00327DC1" w:rsidRPr="00B11E60" w:rsidRDefault="00327DC1" w:rsidP="004427AF">
      <w:pPr>
        <w:pStyle w:val="ListParagraph"/>
        <w:numPr>
          <w:ilvl w:val="0"/>
          <w:numId w:val="8"/>
        </w:numPr>
        <w:ind w:left="720"/>
        <w:rPr>
          <w:rFonts w:cs="Arial"/>
        </w:rPr>
      </w:pPr>
      <w:r w:rsidRPr="00B11E60">
        <w:rPr>
          <w:rFonts w:cs="Arial"/>
        </w:rPr>
        <w:t>Holding regular meetings of Regional Employment First Implementation Teams to share information, best practices, and resources</w:t>
      </w:r>
      <w:r>
        <w:rPr>
          <w:rFonts w:cs="Arial"/>
        </w:rPr>
        <w:t>.</w:t>
      </w:r>
    </w:p>
    <w:p w14:paraId="417587FA" w14:textId="08AEAF16" w:rsidR="00327DC1" w:rsidRPr="00B11E60" w:rsidRDefault="00327DC1" w:rsidP="004427AF">
      <w:pPr>
        <w:pStyle w:val="ListParagraph"/>
        <w:numPr>
          <w:ilvl w:val="0"/>
          <w:numId w:val="8"/>
        </w:numPr>
        <w:ind w:left="720"/>
        <w:rPr>
          <w:rFonts w:cs="Arial"/>
        </w:rPr>
      </w:pPr>
      <w:r w:rsidRPr="00B11E60">
        <w:rPr>
          <w:rFonts w:cs="Arial"/>
        </w:rPr>
        <w:t>Development of an Employment First electronic newsletter and website</w:t>
      </w:r>
      <w:r>
        <w:rPr>
          <w:rFonts w:cs="Arial"/>
        </w:rPr>
        <w:t xml:space="preserve">, </w:t>
      </w:r>
      <w:hyperlink r:id="rId20" w:history="1">
        <w:r w:rsidRPr="009F5522">
          <w:rPr>
            <w:rStyle w:val="Hyperlink"/>
            <w:rFonts w:cs="Arial"/>
            <w:i/>
          </w:rPr>
          <w:t>employmentfirstma.org</w:t>
        </w:r>
      </w:hyperlink>
      <w:r w:rsidRPr="00B11E60">
        <w:rPr>
          <w:rFonts w:cs="Arial"/>
        </w:rPr>
        <w:t xml:space="preserve"> </w:t>
      </w:r>
      <w:r>
        <w:rPr>
          <w:rFonts w:cs="Arial"/>
        </w:rPr>
        <w:t>(</w:t>
      </w:r>
      <w:r w:rsidRPr="00B11E60">
        <w:rPr>
          <w:rFonts w:cs="Arial"/>
        </w:rPr>
        <w:t>in place and ongoing</w:t>
      </w:r>
      <w:r>
        <w:rPr>
          <w:rFonts w:cs="Arial"/>
        </w:rPr>
        <w:t>).</w:t>
      </w:r>
    </w:p>
    <w:p w14:paraId="54EE5EA8" w14:textId="77777777" w:rsidR="00327DC1" w:rsidRPr="00B11E60" w:rsidRDefault="00327DC1" w:rsidP="004427AF">
      <w:pPr>
        <w:pStyle w:val="ListParagraph"/>
        <w:numPr>
          <w:ilvl w:val="0"/>
          <w:numId w:val="8"/>
        </w:numPr>
        <w:ind w:left="720"/>
        <w:rPr>
          <w:rFonts w:cs="Arial"/>
        </w:rPr>
      </w:pPr>
      <w:r w:rsidRPr="00B11E60">
        <w:rPr>
          <w:rFonts w:cs="Arial"/>
        </w:rPr>
        <w:t>19 Regional Employment Forums for families and self-advocates with a total of 1,250 participants (completed)</w:t>
      </w:r>
      <w:r w:rsidR="000E7C08">
        <w:rPr>
          <w:rFonts w:cs="Arial"/>
        </w:rPr>
        <w:t>;</w:t>
      </w:r>
      <w:r w:rsidRPr="00B11E60">
        <w:rPr>
          <w:rFonts w:cs="Arial"/>
        </w:rPr>
        <w:t xml:space="preserve"> </w:t>
      </w:r>
      <w:r w:rsidR="000E7C08">
        <w:rPr>
          <w:rFonts w:cs="Arial"/>
        </w:rPr>
        <w:t>c</w:t>
      </w:r>
      <w:r w:rsidRPr="00B11E60">
        <w:rPr>
          <w:rFonts w:cs="Arial"/>
        </w:rPr>
        <w:t xml:space="preserve">ontinued information-sharing and input is sought through provider agency meetings with families and through the </w:t>
      </w:r>
      <w:r w:rsidR="007C7488">
        <w:rPr>
          <w:rFonts w:cs="Arial"/>
        </w:rPr>
        <w:t>person-centered service planning process</w:t>
      </w:r>
      <w:r w:rsidRPr="00B11E60">
        <w:rPr>
          <w:rFonts w:cs="Arial"/>
        </w:rPr>
        <w:t>.</w:t>
      </w:r>
      <w:r w:rsidR="00FC60E9">
        <w:rPr>
          <w:rFonts w:cs="Arial"/>
        </w:rPr>
        <w:t xml:space="preserve"> </w:t>
      </w:r>
    </w:p>
    <w:p w14:paraId="57B22EE4" w14:textId="77777777" w:rsidR="00327DC1" w:rsidRPr="00B11E60" w:rsidRDefault="00327DC1" w:rsidP="004427AF">
      <w:pPr>
        <w:pStyle w:val="ListParagraph"/>
        <w:numPr>
          <w:ilvl w:val="0"/>
          <w:numId w:val="8"/>
        </w:numPr>
        <w:ind w:left="720"/>
        <w:rPr>
          <w:rFonts w:cs="Arial"/>
        </w:rPr>
      </w:pPr>
      <w:r w:rsidRPr="00B11E60">
        <w:rPr>
          <w:rFonts w:cs="Arial"/>
        </w:rPr>
        <w:t>5 forums for self-advocates with a total of 100 participants (completed)</w:t>
      </w:r>
      <w:r w:rsidR="000E7C08">
        <w:rPr>
          <w:rFonts w:cs="Arial"/>
        </w:rPr>
        <w:t>.</w:t>
      </w:r>
    </w:p>
    <w:p w14:paraId="69BDD531" w14:textId="77777777" w:rsidR="00327DC1" w:rsidRPr="00B11E60" w:rsidRDefault="00327DC1" w:rsidP="004427AF">
      <w:pPr>
        <w:pStyle w:val="ListParagraph"/>
        <w:numPr>
          <w:ilvl w:val="0"/>
          <w:numId w:val="8"/>
        </w:numPr>
        <w:ind w:left="720"/>
        <w:rPr>
          <w:rFonts w:cs="Arial"/>
        </w:rPr>
      </w:pPr>
      <w:r w:rsidRPr="00B11E60">
        <w:rPr>
          <w:rFonts w:cs="Arial"/>
        </w:rPr>
        <w:t xml:space="preserve">Technical assistance provided to a total of </w:t>
      </w:r>
      <w:r w:rsidR="006E305B">
        <w:rPr>
          <w:rFonts w:cs="Arial"/>
        </w:rPr>
        <w:t>28</w:t>
      </w:r>
      <w:r w:rsidR="006E305B" w:rsidRPr="00B11E60">
        <w:rPr>
          <w:rFonts w:cs="Arial"/>
        </w:rPr>
        <w:t xml:space="preserve"> </w:t>
      </w:r>
      <w:r w:rsidRPr="00B11E60">
        <w:rPr>
          <w:rFonts w:cs="Arial"/>
        </w:rPr>
        <w:t xml:space="preserve">provider agencies, with active consultation ongoing with </w:t>
      </w:r>
      <w:r w:rsidR="006E305B">
        <w:rPr>
          <w:rFonts w:cs="Arial"/>
        </w:rPr>
        <w:t>8</w:t>
      </w:r>
      <w:r w:rsidR="006E305B" w:rsidRPr="00B11E60">
        <w:rPr>
          <w:rFonts w:cs="Arial"/>
        </w:rPr>
        <w:t xml:space="preserve"> </w:t>
      </w:r>
      <w:r w:rsidRPr="00B11E60">
        <w:rPr>
          <w:rFonts w:cs="Arial"/>
        </w:rPr>
        <w:t>agencies.</w:t>
      </w:r>
    </w:p>
    <w:p w14:paraId="32A89603" w14:textId="77777777" w:rsidR="00327DC1" w:rsidRPr="00B11E60" w:rsidRDefault="00327DC1" w:rsidP="004427AF">
      <w:pPr>
        <w:pStyle w:val="ListParagraph"/>
        <w:numPr>
          <w:ilvl w:val="0"/>
          <w:numId w:val="8"/>
        </w:numPr>
        <w:ind w:left="720"/>
        <w:rPr>
          <w:rFonts w:cs="Arial"/>
        </w:rPr>
      </w:pPr>
      <w:r w:rsidRPr="00B11E60">
        <w:rPr>
          <w:rFonts w:cs="Arial"/>
        </w:rPr>
        <w:lastRenderedPageBreak/>
        <w:t xml:space="preserve">Trainings have reached more than </w:t>
      </w:r>
      <w:r w:rsidR="006E305B">
        <w:rPr>
          <w:rFonts w:cs="Arial"/>
        </w:rPr>
        <w:t>700</w:t>
      </w:r>
      <w:r w:rsidR="006E305B" w:rsidRPr="00B11E60">
        <w:rPr>
          <w:rFonts w:cs="Arial"/>
        </w:rPr>
        <w:t xml:space="preserve"> </w:t>
      </w:r>
      <w:r w:rsidRPr="00B11E60">
        <w:rPr>
          <w:rFonts w:cs="Arial"/>
        </w:rPr>
        <w:t>provider staff</w:t>
      </w:r>
      <w:r w:rsidR="009774FC">
        <w:rPr>
          <w:rFonts w:cs="Arial"/>
        </w:rPr>
        <w:t>,</w:t>
      </w:r>
      <w:r w:rsidRPr="00B11E60">
        <w:rPr>
          <w:rFonts w:cs="Arial"/>
        </w:rPr>
        <w:t xml:space="preserve"> including</w:t>
      </w:r>
      <w:r w:rsidR="009774FC">
        <w:rPr>
          <w:rFonts w:cs="Arial"/>
        </w:rPr>
        <w:t xml:space="preserve"> through</w:t>
      </w:r>
      <w:r w:rsidRPr="00B11E60">
        <w:rPr>
          <w:rFonts w:cs="Arial"/>
        </w:rPr>
        <w:t xml:space="preserve"> a statewide conference, a six-day comprehensive employment supports series, and one- and two-day sessions (including benefits training)</w:t>
      </w:r>
      <w:r>
        <w:rPr>
          <w:rFonts w:cs="Arial"/>
        </w:rPr>
        <w:t>.</w:t>
      </w:r>
    </w:p>
    <w:p w14:paraId="088FC96F" w14:textId="5057551F" w:rsidR="00327DC1" w:rsidRPr="00B11E60" w:rsidRDefault="00327DC1" w:rsidP="004427AF">
      <w:pPr>
        <w:pStyle w:val="ListParagraph"/>
        <w:numPr>
          <w:ilvl w:val="0"/>
          <w:numId w:val="8"/>
        </w:numPr>
        <w:ind w:left="720"/>
        <w:rPr>
          <w:rFonts w:cs="Arial"/>
        </w:rPr>
      </w:pPr>
      <w:r w:rsidRPr="00B11E60">
        <w:rPr>
          <w:rFonts w:cs="Arial"/>
        </w:rPr>
        <w:t xml:space="preserve">Explore, Prepare, Act training </w:t>
      </w:r>
      <w:r w:rsidR="006E305B" w:rsidRPr="00B11E60">
        <w:rPr>
          <w:rFonts w:cs="Arial"/>
        </w:rPr>
        <w:t>reach</w:t>
      </w:r>
      <w:r w:rsidR="006E305B">
        <w:rPr>
          <w:rFonts w:cs="Arial"/>
        </w:rPr>
        <w:t xml:space="preserve">es about 500 </w:t>
      </w:r>
      <w:r w:rsidRPr="00B11E60">
        <w:rPr>
          <w:rFonts w:cs="Arial"/>
        </w:rPr>
        <w:t>individuals/self-advocates and 200 support staff</w:t>
      </w:r>
      <w:r w:rsidR="006E305B">
        <w:rPr>
          <w:rFonts w:cs="Arial"/>
        </w:rPr>
        <w:t xml:space="preserve"> annually</w:t>
      </w:r>
      <w:r>
        <w:rPr>
          <w:rFonts w:cs="Arial"/>
        </w:rPr>
        <w:t>.</w:t>
      </w:r>
    </w:p>
    <w:p w14:paraId="0F2F60B9" w14:textId="77777777" w:rsidR="00327DC1" w:rsidRDefault="00327DC1" w:rsidP="004427AF">
      <w:pPr>
        <w:pStyle w:val="ListParagraph"/>
        <w:numPr>
          <w:ilvl w:val="0"/>
          <w:numId w:val="8"/>
        </w:numPr>
        <w:ind w:left="720"/>
        <w:rPr>
          <w:rFonts w:cs="Arial"/>
        </w:rPr>
      </w:pPr>
      <w:r w:rsidRPr="00B11E60">
        <w:rPr>
          <w:rFonts w:cs="Arial"/>
        </w:rPr>
        <w:t xml:space="preserve">Expansion of Regional Employment Collaboratives </w:t>
      </w:r>
      <w:r w:rsidR="006E305B">
        <w:rPr>
          <w:rFonts w:cs="Arial"/>
        </w:rPr>
        <w:t xml:space="preserve">has </w:t>
      </w:r>
      <w:r w:rsidRPr="00B11E60">
        <w:rPr>
          <w:rFonts w:cs="Arial"/>
        </w:rPr>
        <w:t>result</w:t>
      </w:r>
      <w:r w:rsidR="009774FC">
        <w:rPr>
          <w:rFonts w:cs="Arial"/>
        </w:rPr>
        <w:t>ed</w:t>
      </w:r>
      <w:r w:rsidRPr="00B11E60">
        <w:rPr>
          <w:rFonts w:cs="Arial"/>
        </w:rPr>
        <w:t xml:space="preserve"> in </w:t>
      </w:r>
      <w:r w:rsidR="006E305B">
        <w:rPr>
          <w:rFonts w:cs="Arial"/>
        </w:rPr>
        <w:t>about 250</w:t>
      </w:r>
      <w:r w:rsidR="006E305B" w:rsidRPr="00B11E60">
        <w:rPr>
          <w:rFonts w:cs="Arial"/>
        </w:rPr>
        <w:t xml:space="preserve"> </w:t>
      </w:r>
      <w:r w:rsidRPr="00B11E60">
        <w:rPr>
          <w:rFonts w:cs="Arial"/>
        </w:rPr>
        <w:t>new job placements</w:t>
      </w:r>
      <w:r w:rsidR="006E305B">
        <w:rPr>
          <w:rFonts w:cs="Arial"/>
        </w:rPr>
        <w:t xml:space="preserve"> annually</w:t>
      </w:r>
      <w:r w:rsidRPr="00B11E60">
        <w:rPr>
          <w:rFonts w:cs="Arial"/>
        </w:rPr>
        <w:t xml:space="preserve"> for individuals served by DDS employment programs. </w:t>
      </w:r>
    </w:p>
    <w:p w14:paraId="279E51EE" w14:textId="45C20661" w:rsidR="00C5549A" w:rsidRPr="00B11E60" w:rsidRDefault="00C5549A" w:rsidP="004427AF">
      <w:pPr>
        <w:pStyle w:val="ListParagraph"/>
        <w:numPr>
          <w:ilvl w:val="0"/>
          <w:numId w:val="8"/>
        </w:numPr>
        <w:ind w:left="720"/>
        <w:rPr>
          <w:rFonts w:cs="Arial"/>
        </w:rPr>
      </w:pPr>
      <w:r w:rsidRPr="628C881F">
        <w:rPr>
          <w:rFonts w:cs="Arial"/>
        </w:rPr>
        <w:t>2019 RFR procurement with Community Rule outcomes highlighted.</w:t>
      </w:r>
    </w:p>
    <w:p w14:paraId="7FB9DE31" w14:textId="77777777" w:rsidR="00327DC1" w:rsidRPr="00B11E60" w:rsidRDefault="00327DC1" w:rsidP="00435CDD">
      <w:pPr>
        <w:rPr>
          <w:rFonts w:cs="Arial"/>
        </w:rPr>
      </w:pPr>
      <w:r w:rsidRPr="00B11E60">
        <w:rPr>
          <w:rFonts w:cs="Arial"/>
        </w:rPr>
        <w:t>Next Steps:</w:t>
      </w:r>
    </w:p>
    <w:p w14:paraId="188DE9A0" w14:textId="77777777" w:rsidR="00327DC1" w:rsidRPr="00B11E60" w:rsidRDefault="00327DC1" w:rsidP="004427AF">
      <w:pPr>
        <w:pStyle w:val="ListParagraph"/>
        <w:numPr>
          <w:ilvl w:val="0"/>
          <w:numId w:val="8"/>
        </w:numPr>
        <w:ind w:left="720"/>
        <w:rPr>
          <w:rFonts w:cs="Arial"/>
        </w:rPr>
      </w:pPr>
      <w:r w:rsidRPr="00B11E60">
        <w:rPr>
          <w:rFonts w:cs="Arial"/>
        </w:rPr>
        <w:t xml:space="preserve">Provide additional </w:t>
      </w:r>
      <w:proofErr w:type="gramStart"/>
      <w:r w:rsidRPr="00B11E60">
        <w:rPr>
          <w:rFonts w:cs="Arial"/>
        </w:rPr>
        <w:t>trainings;</w:t>
      </w:r>
      <w:proofErr w:type="gramEnd"/>
    </w:p>
    <w:p w14:paraId="1748614A" w14:textId="77777777" w:rsidR="00327DC1" w:rsidRPr="00B11E60" w:rsidRDefault="00327DC1" w:rsidP="004427AF">
      <w:pPr>
        <w:pStyle w:val="ListParagraph"/>
        <w:numPr>
          <w:ilvl w:val="0"/>
          <w:numId w:val="8"/>
        </w:numPr>
        <w:ind w:left="720"/>
        <w:rPr>
          <w:rFonts w:cs="Arial"/>
        </w:rPr>
      </w:pPr>
      <w:r w:rsidRPr="00B11E60">
        <w:rPr>
          <w:rFonts w:cs="Arial"/>
        </w:rPr>
        <w:t xml:space="preserve">Provide ongoing technical assistance </w:t>
      </w:r>
      <w:proofErr w:type="gramStart"/>
      <w:r w:rsidRPr="00B11E60">
        <w:rPr>
          <w:rFonts w:cs="Arial"/>
        </w:rPr>
        <w:t>support;</w:t>
      </w:r>
      <w:proofErr w:type="gramEnd"/>
    </w:p>
    <w:p w14:paraId="4EC91645" w14:textId="77777777" w:rsidR="00327DC1" w:rsidRPr="00B11E60" w:rsidRDefault="00327DC1" w:rsidP="004427AF">
      <w:pPr>
        <w:pStyle w:val="ListParagraph"/>
        <w:numPr>
          <w:ilvl w:val="0"/>
          <w:numId w:val="8"/>
        </w:numPr>
        <w:ind w:left="720"/>
        <w:rPr>
          <w:rFonts w:cs="Arial"/>
        </w:rPr>
      </w:pPr>
      <w:r w:rsidRPr="00B11E60">
        <w:rPr>
          <w:rFonts w:cs="Arial"/>
        </w:rPr>
        <w:t>Distribute guidance on development of social enterprises; and</w:t>
      </w:r>
    </w:p>
    <w:p w14:paraId="13682C5C" w14:textId="77777777" w:rsidR="00327DC1" w:rsidRPr="00B11E60" w:rsidRDefault="00327DC1" w:rsidP="004427AF">
      <w:pPr>
        <w:pStyle w:val="ListParagraph"/>
        <w:numPr>
          <w:ilvl w:val="0"/>
          <w:numId w:val="8"/>
        </w:numPr>
        <w:ind w:left="720"/>
        <w:rPr>
          <w:rFonts w:cs="Arial"/>
        </w:rPr>
      </w:pPr>
      <w:r w:rsidRPr="00B11E60">
        <w:rPr>
          <w:rFonts w:cs="Arial"/>
        </w:rPr>
        <w:t>Further develop programs focused on transition from school to employment.</w:t>
      </w:r>
    </w:p>
    <w:p w14:paraId="1E7A905A" w14:textId="77777777" w:rsidR="00435CDD" w:rsidRPr="00361CED" w:rsidRDefault="00757AED" w:rsidP="00361CED">
      <w:pPr>
        <w:rPr>
          <w:i/>
        </w:rPr>
      </w:pPr>
      <w:r w:rsidRPr="00361CED">
        <w:rPr>
          <w:i/>
        </w:rPr>
        <w:t xml:space="preserve">Group </w:t>
      </w:r>
      <w:r w:rsidRPr="00693DBF">
        <w:rPr>
          <w:rStyle w:val="SubtleEmphasis"/>
        </w:rPr>
        <w:t>Employment</w:t>
      </w:r>
    </w:p>
    <w:p w14:paraId="5F0098BF" w14:textId="4330B1D3" w:rsidR="00757AED" w:rsidRPr="006B6A50" w:rsidRDefault="00757AED" w:rsidP="00435CDD">
      <w:pPr>
        <w:rPr>
          <w:rFonts w:cs="Arial"/>
        </w:rPr>
      </w:pPr>
      <w:r>
        <w:rPr>
          <w:rFonts w:cs="Arial"/>
        </w:rPr>
        <w:t xml:space="preserve">In addition to DDS’ on-going work to fully implement the “Blueprint for Success,” and in response to the site-specific assessment process and findings described above, DDS </w:t>
      </w:r>
      <w:r w:rsidR="00F83719">
        <w:rPr>
          <w:rFonts w:cs="Arial"/>
        </w:rPr>
        <w:t xml:space="preserve">has </w:t>
      </w:r>
      <w:r>
        <w:rPr>
          <w:rFonts w:cs="Arial"/>
        </w:rPr>
        <w:t>undertake</w:t>
      </w:r>
      <w:r w:rsidR="00F83719">
        <w:rPr>
          <w:rFonts w:cs="Arial"/>
        </w:rPr>
        <w:t>n</w:t>
      </w:r>
      <w:r>
        <w:rPr>
          <w:rFonts w:cs="Arial"/>
        </w:rPr>
        <w:t xml:space="preserve"> a standardized, system-wide approach to ensuring full site-specific compliance </w:t>
      </w:r>
      <w:r w:rsidRPr="006B6A50">
        <w:rPr>
          <w:rFonts w:cs="Arial"/>
        </w:rPr>
        <w:t>of group supported employment settings</w:t>
      </w:r>
      <w:r>
        <w:rPr>
          <w:rFonts w:cs="Arial"/>
        </w:rPr>
        <w:t>,</w:t>
      </w:r>
      <w:r w:rsidRPr="006B6A50">
        <w:rPr>
          <w:rFonts w:cs="Arial"/>
        </w:rPr>
        <w:t xml:space="preserve"> </w:t>
      </w:r>
      <w:proofErr w:type="gramStart"/>
      <w:r w:rsidRPr="006B6A50">
        <w:rPr>
          <w:rFonts w:cs="Arial"/>
        </w:rPr>
        <w:t>similar to</w:t>
      </w:r>
      <w:proofErr w:type="gramEnd"/>
      <w:r w:rsidRPr="006B6A50">
        <w:rPr>
          <w:rFonts w:cs="Arial"/>
        </w:rPr>
        <w:t xml:space="preserve"> that described for CBDS services</w:t>
      </w:r>
      <w:r>
        <w:rPr>
          <w:rFonts w:cs="Arial"/>
        </w:rPr>
        <w:t>,</w:t>
      </w:r>
      <w:r w:rsidRPr="006B6A50">
        <w:rPr>
          <w:rFonts w:cs="Arial"/>
        </w:rPr>
        <w:t xml:space="preserve"> for two reasons. First, a system</w:t>
      </w:r>
      <w:r>
        <w:rPr>
          <w:rFonts w:cs="Arial"/>
        </w:rPr>
        <w:t>-wide</w:t>
      </w:r>
      <w:r w:rsidRPr="006B6A50">
        <w:rPr>
          <w:rFonts w:cs="Arial"/>
        </w:rPr>
        <w:t xml:space="preserve"> approach </w:t>
      </w:r>
      <w:r>
        <w:rPr>
          <w:rFonts w:cs="Arial"/>
        </w:rPr>
        <w:t>offer</w:t>
      </w:r>
      <w:r w:rsidR="00566C9C">
        <w:rPr>
          <w:rFonts w:cs="Arial"/>
        </w:rPr>
        <w:t>ed</w:t>
      </w:r>
      <w:r>
        <w:rPr>
          <w:rFonts w:cs="Arial"/>
        </w:rPr>
        <w:t xml:space="preserve"> a collaborative and supportive springboard from which </w:t>
      </w:r>
      <w:r w:rsidRPr="006B6A50">
        <w:rPr>
          <w:rFonts w:cs="Arial"/>
        </w:rPr>
        <w:t xml:space="preserve">providers can come into compliance with the requirements of the </w:t>
      </w:r>
      <w:r>
        <w:rPr>
          <w:rFonts w:cs="Arial"/>
        </w:rPr>
        <w:t>Community Rule</w:t>
      </w:r>
      <w:r w:rsidRPr="006B6A50">
        <w:rPr>
          <w:rFonts w:cs="Arial"/>
        </w:rPr>
        <w:t xml:space="preserve">. Second, </w:t>
      </w:r>
      <w:r>
        <w:rPr>
          <w:rFonts w:cs="Arial"/>
        </w:rPr>
        <w:t xml:space="preserve">DDS </w:t>
      </w:r>
      <w:r w:rsidR="00566C9C">
        <w:rPr>
          <w:rFonts w:cs="Arial"/>
        </w:rPr>
        <w:t>has been</w:t>
      </w:r>
      <w:r>
        <w:rPr>
          <w:rFonts w:cs="Arial"/>
        </w:rPr>
        <w:t xml:space="preserve"> able to leverage existing system-wide processes to implement and provide oversight and monitoring of</w:t>
      </w:r>
      <w:r w:rsidRPr="006B6A50">
        <w:rPr>
          <w:rFonts w:cs="Arial"/>
        </w:rPr>
        <w:t xml:space="preserve"> changes </w:t>
      </w:r>
      <w:r>
        <w:rPr>
          <w:rFonts w:cs="Arial"/>
        </w:rPr>
        <w:t>that will</w:t>
      </w:r>
      <w:r w:rsidRPr="006B6A50">
        <w:rPr>
          <w:rFonts w:cs="Arial"/>
        </w:rPr>
        <w:t xml:space="preserve"> </w:t>
      </w:r>
      <w:r>
        <w:rPr>
          <w:rFonts w:cs="Arial"/>
        </w:rPr>
        <w:t>ensure full</w:t>
      </w:r>
      <w:r w:rsidRPr="006B6A50">
        <w:rPr>
          <w:rFonts w:cs="Arial"/>
        </w:rPr>
        <w:t xml:space="preserve"> compliance across </w:t>
      </w:r>
      <w:r>
        <w:rPr>
          <w:rFonts w:cs="Arial"/>
        </w:rPr>
        <w:t>all</w:t>
      </w:r>
      <w:r w:rsidRPr="006B6A50">
        <w:rPr>
          <w:rFonts w:cs="Arial"/>
        </w:rPr>
        <w:t xml:space="preserve"> 106 Group Supported Employment settings. </w:t>
      </w:r>
      <w:r>
        <w:rPr>
          <w:rFonts w:cs="Arial"/>
        </w:rPr>
        <w:t>Together with t</w:t>
      </w:r>
      <w:r w:rsidRPr="006B6A50">
        <w:rPr>
          <w:rFonts w:cs="Arial"/>
        </w:rPr>
        <w:t>he Employment Workgroup</w:t>
      </w:r>
      <w:r>
        <w:rPr>
          <w:rFonts w:cs="Arial"/>
        </w:rPr>
        <w:t xml:space="preserve">, DDS </w:t>
      </w:r>
      <w:r w:rsidR="00566C9C">
        <w:rPr>
          <w:rFonts w:cs="Arial"/>
        </w:rPr>
        <w:t xml:space="preserve">has </w:t>
      </w:r>
      <w:r w:rsidRPr="006B6A50">
        <w:rPr>
          <w:rFonts w:cs="Arial"/>
        </w:rPr>
        <w:t xml:space="preserve">engaged in the following specific activities designed to </w:t>
      </w:r>
      <w:r>
        <w:rPr>
          <w:rFonts w:cs="Arial"/>
        </w:rPr>
        <w:t>en</w:t>
      </w:r>
      <w:r w:rsidRPr="006B6A50">
        <w:rPr>
          <w:rFonts w:cs="Arial"/>
        </w:rPr>
        <w:t>sure that all settings</w:t>
      </w:r>
      <w:r>
        <w:rPr>
          <w:rFonts w:cs="Arial"/>
        </w:rPr>
        <w:t>, on a site-specific basis,</w:t>
      </w:r>
      <w:r w:rsidRPr="006B6A50">
        <w:rPr>
          <w:rFonts w:cs="Arial"/>
        </w:rPr>
        <w:t xml:space="preserve"> </w:t>
      </w:r>
      <w:r>
        <w:rPr>
          <w:rFonts w:cs="Arial"/>
        </w:rPr>
        <w:t>support</w:t>
      </w:r>
      <w:r w:rsidRPr="006B6A50">
        <w:rPr>
          <w:rFonts w:cs="Arial"/>
        </w:rPr>
        <w:t xml:space="preserve"> integration and access</w:t>
      </w:r>
      <w:r>
        <w:rPr>
          <w:rFonts w:cs="Arial"/>
        </w:rPr>
        <w:t xml:space="preserve"> (for details, see Table 3. </w:t>
      </w:r>
      <w:r w:rsidRPr="00757AED">
        <w:rPr>
          <w:rFonts w:cs="Arial"/>
          <w:i/>
        </w:rPr>
        <w:t>Summary of Transition Plan Tasks and Timelines</w:t>
      </w:r>
      <w:r>
        <w:rPr>
          <w:rFonts w:cs="Arial"/>
        </w:rPr>
        <w:t>)</w:t>
      </w:r>
      <w:r w:rsidRPr="006B6A50">
        <w:rPr>
          <w:rFonts w:cs="Arial"/>
        </w:rPr>
        <w:t>:</w:t>
      </w:r>
    </w:p>
    <w:p w14:paraId="34F0BF3D" w14:textId="77777777" w:rsidR="00757AED" w:rsidRPr="006B6A50" w:rsidRDefault="00757AED" w:rsidP="004427AF">
      <w:pPr>
        <w:pStyle w:val="ListParagraph"/>
        <w:numPr>
          <w:ilvl w:val="0"/>
          <w:numId w:val="18"/>
        </w:numPr>
        <w:ind w:left="720"/>
        <w:rPr>
          <w:rFonts w:cs="Arial"/>
        </w:rPr>
      </w:pPr>
      <w:r w:rsidRPr="006B6A50">
        <w:rPr>
          <w:rFonts w:cs="Arial"/>
        </w:rPr>
        <w:t xml:space="preserve">Establishing a clearer definition of what the components of a group supported employment setting are, including assuring integration into the workplace and access to all the same </w:t>
      </w:r>
      <w:r>
        <w:rPr>
          <w:rFonts w:cs="Arial"/>
        </w:rPr>
        <w:t xml:space="preserve">workplace </w:t>
      </w:r>
      <w:r w:rsidRPr="006B6A50">
        <w:rPr>
          <w:rFonts w:cs="Arial"/>
        </w:rPr>
        <w:t>amenities as non-disabled workers enjoy as well as assuring that individuals are earning at least the minimum wage</w:t>
      </w:r>
      <w:r w:rsidR="00F35BEA" w:rsidRPr="00F35BEA">
        <w:rPr>
          <w:rFonts w:cs="Arial"/>
        </w:rPr>
        <w:t xml:space="preserve"> </w:t>
      </w:r>
      <w:r w:rsidR="00F35BEA">
        <w:rPr>
          <w:rFonts w:cs="Arial"/>
        </w:rPr>
        <w:t>or work with providers that hold a Department of Labor certificate under Section 14(c) of the Fair Labor Standards Act and adhere to the rules and standards set forth in applicable law and regulation, including WIOA (Workforce Innovation and Opportunity Act)</w:t>
      </w:r>
      <w:r w:rsidRPr="006B6A50">
        <w:rPr>
          <w:rFonts w:cs="Arial"/>
        </w:rPr>
        <w:t>,</w:t>
      </w:r>
    </w:p>
    <w:p w14:paraId="12E55790" w14:textId="77777777" w:rsidR="00757AED" w:rsidRPr="006B6A50" w:rsidRDefault="00757AED" w:rsidP="004427AF">
      <w:pPr>
        <w:pStyle w:val="ListParagraph"/>
        <w:numPr>
          <w:ilvl w:val="0"/>
          <w:numId w:val="18"/>
        </w:numPr>
        <w:ind w:left="720"/>
        <w:rPr>
          <w:rFonts w:cs="Arial"/>
        </w:rPr>
      </w:pPr>
      <w:r w:rsidRPr="006B6A50">
        <w:rPr>
          <w:rFonts w:cs="Arial"/>
        </w:rPr>
        <w:t>Establishing consistent standards that apply to all group settings,</w:t>
      </w:r>
    </w:p>
    <w:p w14:paraId="035CDEF9" w14:textId="77777777" w:rsidR="00757AED" w:rsidRPr="006B6A50" w:rsidRDefault="00757AED" w:rsidP="004427AF">
      <w:pPr>
        <w:pStyle w:val="ListParagraph"/>
        <w:numPr>
          <w:ilvl w:val="0"/>
          <w:numId w:val="18"/>
        </w:numPr>
        <w:ind w:left="720"/>
        <w:rPr>
          <w:rFonts w:cs="Arial"/>
        </w:rPr>
      </w:pPr>
      <w:r w:rsidRPr="006B6A50">
        <w:rPr>
          <w:rFonts w:cs="Arial"/>
        </w:rPr>
        <w:t>Development of guidelines for social enterprises,</w:t>
      </w:r>
    </w:p>
    <w:p w14:paraId="1CE297A7" w14:textId="4EF09A17" w:rsidR="00757AED" w:rsidRPr="006B6A50" w:rsidRDefault="00757AED" w:rsidP="004427AF">
      <w:pPr>
        <w:pStyle w:val="ListParagraph"/>
        <w:numPr>
          <w:ilvl w:val="0"/>
          <w:numId w:val="18"/>
        </w:numPr>
        <w:ind w:left="720"/>
        <w:rPr>
          <w:rFonts w:cs="Arial"/>
        </w:rPr>
      </w:pPr>
      <w:r w:rsidRPr="006B6A50">
        <w:rPr>
          <w:rFonts w:cs="Arial"/>
        </w:rPr>
        <w:t xml:space="preserve">Technical assistance and support to providers as they implement </w:t>
      </w:r>
      <w:r>
        <w:rPr>
          <w:rFonts w:cs="Arial"/>
        </w:rPr>
        <w:t xml:space="preserve">modifications and </w:t>
      </w:r>
      <w:r w:rsidRPr="006B6A50">
        <w:rPr>
          <w:rFonts w:cs="Arial"/>
        </w:rPr>
        <w:t>enhancements</w:t>
      </w:r>
      <w:r>
        <w:rPr>
          <w:rFonts w:cs="Arial"/>
        </w:rPr>
        <w:t xml:space="preserve"> (this includes DDS’s continued partnership with the Institute for Community </w:t>
      </w:r>
      <w:r w:rsidR="006E305B">
        <w:rPr>
          <w:rFonts w:cs="Arial"/>
        </w:rPr>
        <w:t>Inclusion/U</w:t>
      </w:r>
      <w:r w:rsidR="005A659E">
        <w:rPr>
          <w:rFonts w:cs="Arial"/>
        </w:rPr>
        <w:t>M</w:t>
      </w:r>
      <w:r w:rsidR="006E305B">
        <w:rPr>
          <w:rFonts w:cs="Arial"/>
        </w:rPr>
        <w:t xml:space="preserve">ass Boston </w:t>
      </w:r>
      <w:r>
        <w:rPr>
          <w:rFonts w:cs="Arial"/>
        </w:rPr>
        <w:t>to provide targeted trainings as well as ongoing publication of an e-newsletter; see Systemic Assessment section)</w:t>
      </w:r>
      <w:r w:rsidR="00C465CA">
        <w:rPr>
          <w:rFonts w:cs="Arial"/>
        </w:rPr>
        <w:t>.</w:t>
      </w:r>
      <w:r>
        <w:rPr>
          <w:rFonts w:cs="Arial"/>
        </w:rPr>
        <w:t xml:space="preserve"> </w:t>
      </w:r>
    </w:p>
    <w:p w14:paraId="34757F35" w14:textId="717AC53F" w:rsidR="00757AED" w:rsidRPr="00757AED" w:rsidRDefault="00757AED" w:rsidP="00870E2D">
      <w:pPr>
        <w:rPr>
          <w:rFonts w:cs="Arial"/>
        </w:rPr>
      </w:pPr>
      <w:r w:rsidRPr="29712154">
        <w:rPr>
          <w:rFonts w:cs="Arial"/>
        </w:rPr>
        <w:lastRenderedPageBreak/>
        <w:t xml:space="preserve">On a site-specific basis, DDS licensure staff </w:t>
      </w:r>
      <w:r w:rsidR="001410A0" w:rsidRPr="29712154">
        <w:rPr>
          <w:rFonts w:cs="Arial"/>
        </w:rPr>
        <w:t>began utilizing</w:t>
      </w:r>
      <w:r w:rsidRPr="29712154">
        <w:rPr>
          <w:rFonts w:cs="Arial"/>
        </w:rPr>
        <w:t xml:space="preserve"> the enhanced licensure and certification tool for ongoing reviews and oversight, beginning in August 2016, to ensure that providers’ implementation of policies and practices reflect full compliance with the Community Rule. Group employment settings are reviewed every two years. </w:t>
      </w:r>
      <w:r w:rsidR="00506D21" w:rsidRPr="29712154">
        <w:rPr>
          <w:rFonts w:cs="Arial"/>
        </w:rPr>
        <w:t xml:space="preserve">Licensure and Certification data indicate that </w:t>
      </w:r>
      <w:r w:rsidR="001F54CB">
        <w:rPr>
          <w:rFonts w:cs="Arial"/>
        </w:rPr>
        <w:t xml:space="preserve">116 </w:t>
      </w:r>
      <w:r w:rsidR="00235F12" w:rsidRPr="29712154">
        <w:rPr>
          <w:rFonts w:cs="Arial"/>
        </w:rPr>
        <w:t xml:space="preserve">settings </w:t>
      </w:r>
      <w:proofErr w:type="gramStart"/>
      <w:r w:rsidR="00506D21" w:rsidRPr="29712154">
        <w:rPr>
          <w:rFonts w:cs="Arial"/>
        </w:rPr>
        <w:t>are in compliance</w:t>
      </w:r>
      <w:proofErr w:type="gramEnd"/>
      <w:r w:rsidR="00506D21" w:rsidRPr="29712154">
        <w:rPr>
          <w:rFonts w:cs="Arial"/>
        </w:rPr>
        <w:t xml:space="preserve">.  </w:t>
      </w:r>
    </w:p>
    <w:p w14:paraId="5FAF18B8" w14:textId="0EECFDAF" w:rsidR="4210CC11" w:rsidRDefault="4210CC11" w:rsidP="29712154">
      <w:pPr>
        <w:rPr>
          <w:rFonts w:cs="Arial"/>
        </w:rPr>
      </w:pPr>
      <w:r w:rsidRPr="29712154">
        <w:rPr>
          <w:rFonts w:cs="Arial"/>
        </w:rPr>
        <w:t xml:space="preserve">Going forward, employment provider compliance will be reviewed and validated by DDS’s licensure and certification staff through deployment of the revised licensure and certification tool, which, </w:t>
      </w:r>
      <w:proofErr w:type="gramStart"/>
      <w:r w:rsidRPr="29712154">
        <w:rPr>
          <w:rFonts w:cs="Arial"/>
        </w:rPr>
        <w:t>as a result of</w:t>
      </w:r>
      <w:proofErr w:type="gramEnd"/>
      <w:r w:rsidRPr="29712154">
        <w:rPr>
          <w:rFonts w:cs="Arial"/>
        </w:rPr>
        <w:t xml:space="preserve"> DDS’s systemic assessment of employment services, has been enhanced to ensure that it captures all the elements necessary to meet the requirements of the HCBS Rule. The enhancements include nine new indicators as well as strengthening certain existing indicators. Providers that fall below meeting 80 percent of the standards will be required to submit a progress report detailing how they are addressing the standards that were not met. </w:t>
      </w:r>
      <w:r w:rsidR="00747530">
        <w:rPr>
          <w:rStyle w:val="ui-provider"/>
        </w:rPr>
        <w:t xml:space="preserve">DDS assures that 100% of providers are reviewed and determined to </w:t>
      </w:r>
      <w:proofErr w:type="gramStart"/>
      <w:r w:rsidR="00747530">
        <w:rPr>
          <w:rStyle w:val="ui-provider"/>
        </w:rPr>
        <w:t>be in compliance</w:t>
      </w:r>
      <w:proofErr w:type="gramEnd"/>
      <w:r w:rsidR="00747530">
        <w:rPr>
          <w:rStyle w:val="ui-provider"/>
        </w:rPr>
        <w:t xml:space="preserve"> through licensure and certification processes and other monitoring mechanisms, such as site visits and person-centered planning processes and meetings. Indicators not met are reported to providers as part of the licensure and certification process and DDS or provider follow up is expected.</w:t>
      </w:r>
      <w:r w:rsidR="00747530" w:rsidRPr="29712154">
        <w:rPr>
          <w:rFonts w:cs="Arial"/>
        </w:rPr>
        <w:t xml:space="preserve"> </w:t>
      </w:r>
      <w:r w:rsidR="00045882">
        <w:rPr>
          <w:rStyle w:val="ui-provider"/>
        </w:rPr>
        <w:t xml:space="preserve">Additionally, there is oversight and monitoring of the regular site visits and of </w:t>
      </w:r>
      <w:proofErr w:type="gramStart"/>
      <w:r w:rsidR="00045882">
        <w:rPr>
          <w:rStyle w:val="ui-provider"/>
        </w:rPr>
        <w:t>person centered</w:t>
      </w:r>
      <w:proofErr w:type="gramEnd"/>
      <w:r w:rsidR="00045882">
        <w:rPr>
          <w:rStyle w:val="ui-provider"/>
        </w:rPr>
        <w:t xml:space="preserve"> processes through DDS operations staff. Lastly, a special review by the licensure and certification team can be requested for additional assessment and or monitoring outside the licensure process.</w:t>
      </w:r>
      <w:r w:rsidR="00045882" w:rsidRPr="29712154">
        <w:rPr>
          <w:rFonts w:cs="Arial"/>
        </w:rPr>
        <w:t xml:space="preserve"> </w:t>
      </w:r>
      <w:r w:rsidRPr="29712154">
        <w:rPr>
          <w:rFonts w:cs="Arial"/>
        </w:rPr>
        <w:t>Th</w:t>
      </w:r>
      <w:r w:rsidR="00045882">
        <w:rPr>
          <w:rFonts w:cs="Arial"/>
        </w:rPr>
        <w:t>ese</w:t>
      </w:r>
      <w:r w:rsidRPr="29712154">
        <w:rPr>
          <w:rFonts w:cs="Arial"/>
        </w:rPr>
        <w:t xml:space="preserve"> process</w:t>
      </w:r>
      <w:r w:rsidR="00045882">
        <w:rPr>
          <w:rFonts w:cs="Arial"/>
        </w:rPr>
        <w:t>es</w:t>
      </w:r>
      <w:r w:rsidRPr="29712154">
        <w:rPr>
          <w:rFonts w:cs="Arial"/>
        </w:rPr>
        <w:t xml:space="preserve"> will assure continuous and ongoing monitoring of compliance with the Rule.</w:t>
      </w:r>
    </w:p>
    <w:p w14:paraId="1A9DD3CC" w14:textId="77777777" w:rsidR="00870E2D" w:rsidRPr="00693DBF" w:rsidRDefault="00870E2D" w:rsidP="00361CED">
      <w:pPr>
        <w:rPr>
          <w:rStyle w:val="SubtleEmphasis"/>
        </w:rPr>
      </w:pPr>
      <w:r w:rsidRPr="00693DBF">
        <w:rPr>
          <w:rStyle w:val="SubtleEmphasis"/>
        </w:rPr>
        <w:t>CBDS</w:t>
      </w:r>
    </w:p>
    <w:p w14:paraId="33D2EDC9" w14:textId="34CCE111" w:rsidR="00A41575" w:rsidRPr="00193439" w:rsidRDefault="006410C6" w:rsidP="00870E2D">
      <w:pPr>
        <w:rPr>
          <w:rFonts w:cs="Arial"/>
        </w:rPr>
      </w:pPr>
      <w:r w:rsidRPr="29712154">
        <w:rPr>
          <w:rFonts w:cs="Arial"/>
        </w:rPr>
        <w:t xml:space="preserve">Based on a review of Licensure and Certification data, </w:t>
      </w:r>
      <w:r w:rsidR="00B737C4" w:rsidRPr="29712154">
        <w:rPr>
          <w:rFonts w:cs="Arial"/>
        </w:rPr>
        <w:t>22</w:t>
      </w:r>
      <w:r w:rsidR="6F0023C0" w:rsidRPr="29712154">
        <w:rPr>
          <w:rFonts w:cs="Arial"/>
        </w:rPr>
        <w:t>5</w:t>
      </w:r>
      <w:r w:rsidR="00B737C4" w:rsidRPr="29712154">
        <w:rPr>
          <w:rFonts w:cs="Arial"/>
        </w:rPr>
        <w:t xml:space="preserve"> </w:t>
      </w:r>
      <w:r w:rsidR="00506D21" w:rsidRPr="29712154">
        <w:rPr>
          <w:rFonts w:cs="Arial"/>
        </w:rPr>
        <w:t xml:space="preserve">CBDS </w:t>
      </w:r>
      <w:r w:rsidR="00235F12" w:rsidRPr="29712154">
        <w:rPr>
          <w:rFonts w:cs="Arial"/>
        </w:rPr>
        <w:t>settings</w:t>
      </w:r>
      <w:r w:rsidR="00506D21" w:rsidRPr="29712154">
        <w:rPr>
          <w:rFonts w:cs="Arial"/>
        </w:rPr>
        <w:t xml:space="preserve"> are in full </w:t>
      </w:r>
      <w:proofErr w:type="spellStart"/>
      <w:proofErr w:type="gramStart"/>
      <w:r w:rsidR="00506D21" w:rsidRPr="29712154">
        <w:rPr>
          <w:rFonts w:cs="Arial"/>
        </w:rPr>
        <w:t>compliance</w:t>
      </w:r>
      <w:r w:rsidR="001D3982">
        <w:rPr>
          <w:rFonts w:cs="Arial"/>
        </w:rPr>
        <w:t>,</w:t>
      </w:r>
      <w:r w:rsidR="00524EA7">
        <w:rPr>
          <w:rFonts w:cs="Arial"/>
        </w:rPr>
        <w:t>a</w:t>
      </w:r>
      <w:r w:rsidR="00112349" w:rsidRPr="00112349">
        <w:rPr>
          <w:rFonts w:cs="Arial"/>
        </w:rPr>
        <w:t>s</w:t>
      </w:r>
      <w:proofErr w:type="spellEnd"/>
      <w:proofErr w:type="gramEnd"/>
      <w:r w:rsidR="00112349" w:rsidRPr="00112349">
        <w:rPr>
          <w:rFonts w:cs="Arial"/>
        </w:rPr>
        <w:t xml:space="preserve"> noted in Table 2 “Analysis of Waiver Settings</w:t>
      </w:r>
      <w:r w:rsidR="00524EA7">
        <w:rPr>
          <w:rFonts w:cs="Arial"/>
        </w:rPr>
        <w:t>.</w:t>
      </w:r>
      <w:r w:rsidR="00112349" w:rsidRPr="00112349">
        <w:rPr>
          <w:rFonts w:cs="Arial"/>
        </w:rPr>
        <w:t xml:space="preserve">” </w:t>
      </w:r>
      <w:r w:rsidR="00524EA7">
        <w:rPr>
          <w:rFonts w:cs="Arial"/>
        </w:rPr>
        <w:t>T</w:t>
      </w:r>
      <w:r w:rsidR="00112349" w:rsidRPr="00112349">
        <w:rPr>
          <w:rFonts w:cs="Arial"/>
        </w:rPr>
        <w:t xml:space="preserve">his number includes the 8 settings that were, in the past, not yet determined to </w:t>
      </w:r>
      <w:proofErr w:type="gramStart"/>
      <w:r w:rsidR="00112349" w:rsidRPr="00112349">
        <w:rPr>
          <w:rFonts w:cs="Arial"/>
        </w:rPr>
        <w:t>be in compliance</w:t>
      </w:r>
      <w:proofErr w:type="gramEnd"/>
      <w:r w:rsidR="00112349" w:rsidRPr="00112349">
        <w:rPr>
          <w:rFonts w:cs="Arial"/>
        </w:rPr>
        <w:t xml:space="preserve">.  </w:t>
      </w:r>
    </w:p>
    <w:p w14:paraId="3DF90618" w14:textId="0DC0B9E8" w:rsidR="00A41575" w:rsidRDefault="006410C6" w:rsidP="00870E2D">
      <w:pPr>
        <w:rPr>
          <w:rFonts w:cs="Arial"/>
        </w:rPr>
      </w:pPr>
      <w:r>
        <w:rPr>
          <w:rFonts w:cs="Arial"/>
        </w:rPr>
        <w:t>T</w:t>
      </w:r>
      <w:r w:rsidR="00757AED">
        <w:rPr>
          <w:rFonts w:cs="Arial"/>
        </w:rPr>
        <w:t>o ensure a consistent approach to addressing compliance across non-residential programming, a</w:t>
      </w:r>
      <w:r w:rsidR="00757AED" w:rsidRPr="00A41575">
        <w:rPr>
          <w:rFonts w:cs="Arial"/>
        </w:rPr>
        <w:t xml:space="preserve"> DDS/provider workgroup </w:t>
      </w:r>
      <w:r w:rsidR="00C5549A">
        <w:rPr>
          <w:rFonts w:cs="Arial"/>
        </w:rPr>
        <w:t>meets</w:t>
      </w:r>
      <w:r w:rsidR="00757AED" w:rsidRPr="00A41575">
        <w:rPr>
          <w:rFonts w:cs="Arial"/>
        </w:rPr>
        <w:t xml:space="preserve"> regularly</w:t>
      </w:r>
      <w:r w:rsidR="00C5549A">
        <w:rPr>
          <w:rFonts w:cs="Arial"/>
        </w:rPr>
        <w:t>, in part</w:t>
      </w:r>
      <w:r w:rsidR="00757AED" w:rsidRPr="00A41575">
        <w:rPr>
          <w:rFonts w:cs="Arial"/>
        </w:rPr>
        <w:t xml:space="preserve"> to address </w:t>
      </w:r>
      <w:r w:rsidR="00757AED">
        <w:rPr>
          <w:rFonts w:cs="Arial"/>
        </w:rPr>
        <w:t>specific activities</w:t>
      </w:r>
      <w:r w:rsidR="00757AED" w:rsidRPr="00A41575">
        <w:rPr>
          <w:rFonts w:cs="Arial"/>
        </w:rPr>
        <w:t xml:space="preserve"> </w:t>
      </w:r>
      <w:r w:rsidR="00C5549A">
        <w:rPr>
          <w:rFonts w:cs="Arial"/>
        </w:rPr>
        <w:t>related to aligning CBDS services</w:t>
      </w:r>
      <w:r w:rsidR="00235F12">
        <w:rPr>
          <w:rFonts w:cs="Arial"/>
        </w:rPr>
        <w:t xml:space="preserve"> </w:t>
      </w:r>
      <w:r w:rsidR="00C5549A">
        <w:rPr>
          <w:rFonts w:cs="Arial"/>
        </w:rPr>
        <w:t xml:space="preserve">with the </w:t>
      </w:r>
      <w:r w:rsidR="00757AED" w:rsidRPr="00A41575">
        <w:rPr>
          <w:rFonts w:cs="Arial"/>
        </w:rPr>
        <w:t xml:space="preserve">Community Rule. </w:t>
      </w:r>
      <w:r w:rsidR="00327DC1" w:rsidRPr="00A41575">
        <w:rPr>
          <w:rFonts w:cs="Arial"/>
        </w:rPr>
        <w:t xml:space="preserve">Such </w:t>
      </w:r>
      <w:r w:rsidR="00757AED">
        <w:rPr>
          <w:rFonts w:cs="Arial"/>
        </w:rPr>
        <w:t>activities</w:t>
      </w:r>
      <w:r w:rsidR="00757AED" w:rsidRPr="00A41575">
        <w:rPr>
          <w:rFonts w:cs="Arial"/>
        </w:rPr>
        <w:t xml:space="preserve"> </w:t>
      </w:r>
      <w:r w:rsidR="00327DC1" w:rsidRPr="00A41575">
        <w:rPr>
          <w:rFonts w:cs="Arial"/>
        </w:rPr>
        <w:t>include reforms in provider certification requirements and/or processes, enhanced training and staff development activities, standards for meaningful community integration in the context of CBDS programs, provider technical assistance to enhance program design and operation, and contract-based incentives related to outcome goals in the Community Rule.</w:t>
      </w:r>
    </w:p>
    <w:p w14:paraId="156BAAE7" w14:textId="60A31626" w:rsidR="00757AED" w:rsidRDefault="00757AED" w:rsidP="00870E2D">
      <w:pPr>
        <w:rPr>
          <w:rFonts w:cs="Arial"/>
        </w:rPr>
      </w:pPr>
      <w:r>
        <w:rPr>
          <w:rFonts w:cs="Arial"/>
        </w:rPr>
        <w:t>The workgroup’s revision of certification indicators for CBDS providers connect</w:t>
      </w:r>
      <w:r w:rsidR="00566C9C">
        <w:rPr>
          <w:rFonts w:cs="Arial"/>
        </w:rPr>
        <w:t>ed</w:t>
      </w:r>
      <w:r>
        <w:rPr>
          <w:rFonts w:cs="Arial"/>
        </w:rPr>
        <w:t xml:space="preserve"> </w:t>
      </w:r>
      <w:r w:rsidR="00121963">
        <w:rPr>
          <w:rFonts w:cs="Arial"/>
        </w:rPr>
        <w:t>DDS’s</w:t>
      </w:r>
      <w:r>
        <w:rPr>
          <w:rFonts w:cs="Arial"/>
        </w:rPr>
        <w:t xml:space="preserve"> systemic approach to </w:t>
      </w:r>
      <w:r w:rsidR="00121963">
        <w:rPr>
          <w:rFonts w:cs="Arial"/>
        </w:rPr>
        <w:t>its</w:t>
      </w:r>
      <w:r>
        <w:rPr>
          <w:rFonts w:cs="Arial"/>
        </w:rPr>
        <w:t xml:space="preserve"> implementation of site-specific remediation activities. The revised indicators </w:t>
      </w:r>
      <w:r w:rsidR="00566C9C">
        <w:rPr>
          <w:rFonts w:cs="Arial"/>
        </w:rPr>
        <w:t>were</w:t>
      </w:r>
      <w:r>
        <w:rPr>
          <w:rFonts w:cs="Arial"/>
        </w:rPr>
        <w:t xml:space="preserve"> incorporated into </w:t>
      </w:r>
      <w:r w:rsidR="006C29C7">
        <w:rPr>
          <w:rFonts w:cs="Arial"/>
        </w:rPr>
        <w:t xml:space="preserve">the FY2020 re-procurement documentation to provide further guidance to CBDS providers related to addressing </w:t>
      </w:r>
      <w:r>
        <w:rPr>
          <w:rFonts w:cs="Arial"/>
        </w:rPr>
        <w:t xml:space="preserve">the requirements of the Community Rule. DDS </w:t>
      </w:r>
      <w:r w:rsidR="00566C9C">
        <w:rPr>
          <w:rFonts w:cs="Arial"/>
        </w:rPr>
        <w:t>issued</w:t>
      </w:r>
      <w:r w:rsidR="006C29C7">
        <w:rPr>
          <w:rFonts w:cs="Arial"/>
        </w:rPr>
        <w:t xml:space="preserve"> a request for response (RFR) for the re-procurement in the winter of </w:t>
      </w:r>
      <w:proofErr w:type="gramStart"/>
      <w:r w:rsidR="006C29C7">
        <w:rPr>
          <w:rFonts w:cs="Arial"/>
        </w:rPr>
        <w:t>2019</w:t>
      </w:r>
      <w:proofErr w:type="gramEnd"/>
      <w:r w:rsidR="006C29C7">
        <w:rPr>
          <w:rFonts w:cs="Arial"/>
        </w:rPr>
        <w:t xml:space="preserve"> so CBDS providers and sites </w:t>
      </w:r>
      <w:r w:rsidR="00566C9C">
        <w:rPr>
          <w:rFonts w:cs="Arial"/>
        </w:rPr>
        <w:t>were able to use</w:t>
      </w:r>
      <w:r w:rsidR="006C29C7">
        <w:rPr>
          <w:rFonts w:cs="Arial"/>
        </w:rPr>
        <w:t xml:space="preserve"> this documentation to ensure Community Rule compliance as they </w:t>
      </w:r>
      <w:r>
        <w:rPr>
          <w:rFonts w:cs="Arial"/>
        </w:rPr>
        <w:t>develop</w:t>
      </w:r>
      <w:r w:rsidR="00566C9C">
        <w:rPr>
          <w:rFonts w:cs="Arial"/>
        </w:rPr>
        <w:t>ed</w:t>
      </w:r>
      <w:r>
        <w:rPr>
          <w:rFonts w:cs="Arial"/>
        </w:rPr>
        <w:t xml:space="preserve"> </w:t>
      </w:r>
      <w:r w:rsidRPr="00AF59C6">
        <w:rPr>
          <w:rFonts w:cs="Arial"/>
        </w:rPr>
        <w:t>plan</w:t>
      </w:r>
      <w:r>
        <w:rPr>
          <w:rFonts w:cs="Arial"/>
        </w:rPr>
        <w:t>s</w:t>
      </w:r>
      <w:r w:rsidRPr="00AF59C6">
        <w:rPr>
          <w:rFonts w:cs="Arial"/>
        </w:rPr>
        <w:t xml:space="preserve"> </w:t>
      </w:r>
      <w:r>
        <w:rPr>
          <w:rFonts w:cs="Arial"/>
        </w:rPr>
        <w:t xml:space="preserve">for program service development and </w:t>
      </w:r>
      <w:r w:rsidRPr="00AF59C6">
        <w:rPr>
          <w:rFonts w:cs="Arial"/>
        </w:rPr>
        <w:t>quality enhancement</w:t>
      </w:r>
      <w:r>
        <w:rPr>
          <w:rFonts w:cs="Arial"/>
        </w:rPr>
        <w:t xml:space="preserve"> that reflect </w:t>
      </w:r>
      <w:r w:rsidR="006C29C7">
        <w:rPr>
          <w:rFonts w:cs="Arial"/>
        </w:rPr>
        <w:t>the Community Rule</w:t>
      </w:r>
      <w:r>
        <w:rPr>
          <w:rFonts w:cs="Arial"/>
        </w:rPr>
        <w:t xml:space="preserve">. All </w:t>
      </w:r>
      <w:r w:rsidR="006C29C7">
        <w:rPr>
          <w:rFonts w:cs="Arial"/>
        </w:rPr>
        <w:t>potential CBDS</w:t>
      </w:r>
      <w:r w:rsidRPr="00255C3E">
        <w:rPr>
          <w:rFonts w:cs="Arial"/>
        </w:rPr>
        <w:t xml:space="preserve"> providers </w:t>
      </w:r>
      <w:r w:rsidR="00566C9C">
        <w:rPr>
          <w:rFonts w:cs="Arial"/>
        </w:rPr>
        <w:t>were</w:t>
      </w:r>
      <w:r w:rsidRPr="00255C3E">
        <w:rPr>
          <w:rFonts w:cs="Arial"/>
        </w:rPr>
        <w:t xml:space="preserve"> required to </w:t>
      </w:r>
      <w:r>
        <w:rPr>
          <w:rFonts w:cs="Arial"/>
        </w:rPr>
        <w:t>submit</w:t>
      </w:r>
      <w:r w:rsidRPr="002A7EBE">
        <w:rPr>
          <w:rFonts w:cs="Arial"/>
        </w:rPr>
        <w:t xml:space="preserve"> </w:t>
      </w:r>
      <w:r w:rsidR="006C29C7">
        <w:rPr>
          <w:rFonts w:cs="Arial"/>
        </w:rPr>
        <w:t>a response to the RFR that include</w:t>
      </w:r>
      <w:r w:rsidR="00566C9C">
        <w:rPr>
          <w:rFonts w:cs="Arial"/>
        </w:rPr>
        <w:t>d</w:t>
      </w:r>
      <w:r w:rsidR="006C29C7">
        <w:rPr>
          <w:rFonts w:cs="Arial"/>
        </w:rPr>
        <w:t xml:space="preserve"> how the provider will deliver services in a way that is aligned with the </w:t>
      </w:r>
      <w:r w:rsidR="006C29C7">
        <w:rPr>
          <w:rFonts w:cs="Arial"/>
        </w:rPr>
        <w:lastRenderedPageBreak/>
        <w:t xml:space="preserve">expectations of DDS, including expectations related to the Community Rule. </w:t>
      </w:r>
      <w:r>
        <w:rPr>
          <w:rFonts w:cs="Arial"/>
        </w:rPr>
        <w:t xml:space="preserve">As needed, DDS </w:t>
      </w:r>
      <w:r w:rsidR="00566C9C">
        <w:rPr>
          <w:rFonts w:cs="Arial"/>
        </w:rPr>
        <w:t>continues</w:t>
      </w:r>
      <w:r w:rsidR="006C29C7">
        <w:rPr>
          <w:rFonts w:cs="Arial"/>
        </w:rPr>
        <w:t xml:space="preserve"> to</w:t>
      </w:r>
      <w:r>
        <w:rPr>
          <w:rFonts w:cs="Arial"/>
        </w:rPr>
        <w:t xml:space="preserve"> provide training and technical assistance to CBDS providers to support their development and implementation of </w:t>
      </w:r>
      <w:r w:rsidR="006C29C7">
        <w:rPr>
          <w:rFonts w:cs="Arial"/>
        </w:rPr>
        <w:t>plans</w:t>
      </w:r>
      <w:r>
        <w:rPr>
          <w:rFonts w:cs="Arial"/>
        </w:rPr>
        <w:t xml:space="preserve">, including but not limited to capacity building activities such as staff training and professional development, program development activities, and regional implementation groups. </w:t>
      </w:r>
    </w:p>
    <w:p w14:paraId="5E880DC6" w14:textId="4BD20402" w:rsidR="00757AED" w:rsidRPr="00BB280A" w:rsidRDefault="00757AED" w:rsidP="00870E2D">
      <w:pPr>
        <w:rPr>
          <w:rFonts w:cs="Arial"/>
        </w:rPr>
      </w:pPr>
      <w:r>
        <w:rPr>
          <w:rFonts w:cs="Arial"/>
        </w:rPr>
        <w:t xml:space="preserve">Going forward, individual CBDS provider compliance will be reviewed and validated by DDS’s licensure and certification staff through deployment of the revised licensure and certification tool, which, </w:t>
      </w:r>
      <w:proofErr w:type="gramStart"/>
      <w:r>
        <w:rPr>
          <w:rFonts w:cs="Arial"/>
        </w:rPr>
        <w:t>as a result of</w:t>
      </w:r>
      <w:proofErr w:type="gramEnd"/>
      <w:r>
        <w:rPr>
          <w:rFonts w:cs="Arial"/>
        </w:rPr>
        <w:t xml:space="preserve"> DDS’s systemic assessment of CBDS services,</w:t>
      </w:r>
      <w:r w:rsidRPr="00255C3E">
        <w:rPr>
          <w:rFonts w:cs="Arial"/>
        </w:rPr>
        <w:t xml:space="preserve"> </w:t>
      </w:r>
      <w:r w:rsidRPr="00BB280A">
        <w:rPr>
          <w:rFonts w:cs="Arial"/>
        </w:rPr>
        <w:t xml:space="preserve">has been enhanced to </w:t>
      </w:r>
      <w:r>
        <w:rPr>
          <w:rFonts w:cs="Arial"/>
        </w:rPr>
        <w:t>en</w:t>
      </w:r>
      <w:r w:rsidRPr="00BB280A">
        <w:rPr>
          <w:rFonts w:cs="Arial"/>
        </w:rPr>
        <w:t xml:space="preserve">sure that it captures all the elements necessary to meet the requirements of the HCBS Rule. The enhancements include nine new indicators as well as strengthening </w:t>
      </w:r>
      <w:r>
        <w:rPr>
          <w:rFonts w:cs="Arial"/>
        </w:rPr>
        <w:t>certain</w:t>
      </w:r>
      <w:r w:rsidRPr="00BB280A">
        <w:rPr>
          <w:rFonts w:cs="Arial"/>
        </w:rPr>
        <w:t xml:space="preserve"> existing indicators. Providers that fall below meeting 80 percent of the standards will be required to submit a progress report detailing how they are addressing the standards that were not met. </w:t>
      </w:r>
      <w:r w:rsidR="00045882">
        <w:rPr>
          <w:rStyle w:val="ui-provider"/>
        </w:rPr>
        <w:t xml:space="preserve">DDS assures that 100% of providers are reviewed and determined to </w:t>
      </w:r>
      <w:proofErr w:type="gramStart"/>
      <w:r w:rsidR="00045882">
        <w:rPr>
          <w:rStyle w:val="ui-provider"/>
        </w:rPr>
        <w:t>be in compliance</w:t>
      </w:r>
      <w:proofErr w:type="gramEnd"/>
      <w:r w:rsidR="00045882">
        <w:rPr>
          <w:rStyle w:val="ui-provider"/>
        </w:rPr>
        <w:t xml:space="preserve"> through licensure and certification processes and other monitoring mechanisms, such as site visits and person-centered planning processes and meetings. Indicators not met are reported to providers as part of the licensure and certification process and DDS or provider follow up is expected. Additionally, there is oversight and monitoring of the regular site visits and of </w:t>
      </w:r>
      <w:proofErr w:type="gramStart"/>
      <w:r w:rsidR="00045882">
        <w:rPr>
          <w:rStyle w:val="ui-provider"/>
        </w:rPr>
        <w:t>person centered</w:t>
      </w:r>
      <w:proofErr w:type="gramEnd"/>
      <w:r w:rsidR="00045882">
        <w:rPr>
          <w:rStyle w:val="ui-provider"/>
        </w:rPr>
        <w:t xml:space="preserve"> processes through DDS operations staff. Lastly, a special review by the licensure and certification team can be requested for additional assessment and or monitoring outside the licensure process.</w:t>
      </w:r>
      <w:r w:rsidR="00045882">
        <w:rPr>
          <w:rFonts w:cs="Arial"/>
        </w:rPr>
        <w:t xml:space="preserve"> </w:t>
      </w:r>
      <w:r w:rsidRPr="00BB280A">
        <w:rPr>
          <w:rFonts w:cs="Arial"/>
        </w:rPr>
        <w:t>Th</w:t>
      </w:r>
      <w:r w:rsidR="00045882">
        <w:rPr>
          <w:rFonts w:cs="Arial"/>
        </w:rPr>
        <w:t>ese</w:t>
      </w:r>
      <w:r w:rsidRPr="00BB280A">
        <w:rPr>
          <w:rFonts w:cs="Arial"/>
        </w:rPr>
        <w:t xml:space="preserve"> process</w:t>
      </w:r>
      <w:r w:rsidR="00045882">
        <w:rPr>
          <w:rFonts w:cs="Arial"/>
        </w:rPr>
        <w:t>es</w:t>
      </w:r>
      <w:r w:rsidRPr="00BB280A">
        <w:rPr>
          <w:rFonts w:cs="Arial"/>
        </w:rPr>
        <w:t xml:space="preserve"> will assure continuous and ongoing monitoring of compliance with the Rule.</w:t>
      </w:r>
      <w:r w:rsidR="00747530">
        <w:rPr>
          <w:rFonts w:cs="Arial"/>
        </w:rPr>
        <w:t xml:space="preserve"> </w:t>
      </w:r>
    </w:p>
    <w:p w14:paraId="58114F1A" w14:textId="46B4E145" w:rsidR="00F8728B" w:rsidRDefault="00F8728B" w:rsidP="00F8728B">
      <w:r>
        <w:t xml:space="preserve">The licensing review is conducted in a 2-year cycle if all thresholds are met.  Other conditions may require a 60-day follow-up or a mid-cycle review where the agency is reviewed for those indicators where the threshold has not been met. In some circumstances, both a 60-day follow-up and a mid-cycle review are conducted.  Providers are certified for two years, concurrent with their Two-Year Licensure.  If the certification threshold is not met, the provider is required to complete a progress report at the one-year mark.    </w:t>
      </w:r>
    </w:p>
    <w:p w14:paraId="4CF7EF18" w14:textId="71C6A13F" w:rsidR="00F8728B" w:rsidRDefault="00F8728B" w:rsidP="00F8728B">
      <w:r>
        <w:t xml:space="preserve">Licensure and certification results are reported separately, with Certification findings specific to individual service types and measuring key areas such as human rights, choice and control, and community access and integration.  </w:t>
      </w:r>
    </w:p>
    <w:p w14:paraId="2B19FCA6" w14:textId="2136CAAD" w:rsidR="00F8728B" w:rsidRDefault="00F8728B" w:rsidP="00F8728B">
      <w:r>
        <w:t xml:space="preserve">The certification tool and process set forth standards for specific services that promote quality and responsiveness and when implemented are predictive of positive outcomes in the lives of individuals.   The tool has its foundation in DDS Regulations (115 CMR Chapters 5, 7, and 8) and covers areas of respect, individual choice and control, and community integration; the tool was expanded in 2016 to align with the Community Rule.  At that time, DDS revised the licensure and certification tool to clarify expectations and even more closely and strongly align the tool with the critical elements of the Community Rule in terms of both residential and non-residential settings. The specific support expectations in certification fall into several domains, each of which is evaluated separately.  These include, but are not limited to planning and quality improvement, </w:t>
      </w:r>
      <w:proofErr w:type="gramStart"/>
      <w:r>
        <w:t>choice</w:t>
      </w:r>
      <w:proofErr w:type="gramEnd"/>
      <w:r>
        <w:t xml:space="preserve"> and personal growth, supporting and enhancing relationships, career planning and development, and access and integration, to reflect the community rule. </w:t>
      </w:r>
    </w:p>
    <w:p w14:paraId="1BB62C8A" w14:textId="7DC7D342" w:rsidR="00F8728B" w:rsidRDefault="00F8728B" w:rsidP="00F8728B">
      <w:r>
        <w:lastRenderedPageBreak/>
        <w:t xml:space="preserve">The Licensure and Certification review is conducted by DDS Quality Enhancement surveyors.  The survey includes preparatory documentation review, administrative review and interview, on-site visits, individual observation and interviews, and individual documentation reviews.  Survey findings are made based on extensive evidence obtained through these various processes.   </w:t>
      </w:r>
    </w:p>
    <w:p w14:paraId="00291019" w14:textId="7B3BD3DD" w:rsidR="00F8728B" w:rsidRDefault="00F8728B" w:rsidP="00F8728B">
      <w:r>
        <w:t xml:space="preserve">Upon the completion of the survey, a feedback meeting is held for the purpose of presenting the survey team’s findings.  In addition to outlining the level of licensure and certification results, the meeting allows sufficient time to discuss any areas where additional agency effort might be needed.  The goal of this meeting is to support continuous service quality improvement.   </w:t>
      </w:r>
    </w:p>
    <w:p w14:paraId="24854511" w14:textId="425B34D9" w:rsidR="00327DC1" w:rsidRDefault="00F8728B" w:rsidP="00F8728B">
      <w:r>
        <w:t xml:space="preserve">Providers are required to make corrections when indicators are not </w:t>
      </w:r>
      <w:proofErr w:type="gramStart"/>
      <w:r>
        <w:t>met, and</w:t>
      </w:r>
      <w:proofErr w:type="gramEnd"/>
      <w:r>
        <w:t xml:space="preserve"> are subject to follow-up by DDS surveyor staff or provider staff. These indicators are supportive of and fully in compliance with the HCBS Community Rule.</w:t>
      </w:r>
    </w:p>
    <w:p w14:paraId="27B75260" w14:textId="77777777" w:rsidR="00327DC1" w:rsidRPr="00144BE9" w:rsidRDefault="00327DC1" w:rsidP="008E7527">
      <w:pPr>
        <w:pStyle w:val="Heading2"/>
        <w:rPr>
          <w:sz w:val="26"/>
          <w:szCs w:val="26"/>
        </w:rPr>
      </w:pPr>
      <w:r w:rsidRPr="00144BE9">
        <w:rPr>
          <w:sz w:val="26"/>
          <w:szCs w:val="26"/>
        </w:rPr>
        <w:t>B.  Waivers operated by the Massachusetts Rehabilitation Commission (MRC)</w:t>
      </w:r>
    </w:p>
    <w:p w14:paraId="3EE0055E" w14:textId="4AFE48F4" w:rsidR="00D579F0" w:rsidRPr="00693DBF" w:rsidRDefault="00B02375" w:rsidP="00144BE9">
      <w:pPr>
        <w:pStyle w:val="Heading3"/>
        <w:rPr>
          <w:rStyle w:val="Heading3Char"/>
          <w:rFonts w:cs="Arial"/>
          <w:b/>
          <w:bCs/>
        </w:rPr>
      </w:pPr>
      <w:r>
        <w:rPr>
          <w:rStyle w:val="Heading3Char"/>
          <w:rFonts w:cs="Arial"/>
          <w:b/>
          <w:bCs/>
        </w:rPr>
        <w:t xml:space="preserve">1. </w:t>
      </w:r>
      <w:r w:rsidR="00327DC1" w:rsidRPr="00693DBF">
        <w:rPr>
          <w:rStyle w:val="Heading3Char"/>
          <w:rFonts w:cs="Arial"/>
          <w:b/>
          <w:bCs/>
        </w:rPr>
        <w:t>Process</w:t>
      </w:r>
      <w:r w:rsidR="00D579F0" w:rsidRPr="00693DBF">
        <w:rPr>
          <w:rStyle w:val="Heading3Char"/>
          <w:rFonts w:cs="Arial"/>
          <w:b/>
          <w:bCs/>
        </w:rPr>
        <w:t xml:space="preserve"> (See Table 3</w:t>
      </w:r>
      <w:r w:rsidR="00EF6B1A" w:rsidRPr="00693DBF">
        <w:rPr>
          <w:rStyle w:val="Heading3Char"/>
          <w:rFonts w:cs="Arial"/>
          <w:b/>
          <w:bCs/>
        </w:rPr>
        <w:t>.</w:t>
      </w:r>
      <w:r w:rsidR="00D579F0" w:rsidRPr="00693DBF">
        <w:rPr>
          <w:rStyle w:val="Heading3Char"/>
          <w:rFonts w:cs="Arial"/>
          <w:b/>
          <w:bCs/>
        </w:rPr>
        <w:t xml:space="preserve"> Summary of Transition Plan Tasks and Timelines)</w:t>
      </w:r>
    </w:p>
    <w:p w14:paraId="333AAE7B" w14:textId="77777777" w:rsidR="0020405B" w:rsidRPr="00693DBF" w:rsidRDefault="00327DC1" w:rsidP="00361CED">
      <w:pPr>
        <w:rPr>
          <w:rStyle w:val="Strong"/>
        </w:rPr>
      </w:pPr>
      <w:r w:rsidRPr="00693DBF">
        <w:rPr>
          <w:rStyle w:val="Strong"/>
        </w:rPr>
        <w:t>Residential Settings</w:t>
      </w:r>
    </w:p>
    <w:p w14:paraId="6D447B86" w14:textId="08BE164A" w:rsidR="00327DC1" w:rsidRPr="0020405B" w:rsidRDefault="00300D0F" w:rsidP="00870E2D">
      <w:pPr>
        <w:rPr>
          <w:rFonts w:cs="Arial"/>
        </w:rPr>
      </w:pPr>
      <w:r>
        <w:rPr>
          <w:rFonts w:cs="Arial"/>
        </w:rPr>
        <w:t xml:space="preserve">At </w:t>
      </w:r>
      <w:r w:rsidR="00F43CB0">
        <w:rPr>
          <w:rFonts w:cs="Arial"/>
        </w:rPr>
        <w:t xml:space="preserve">the time of </w:t>
      </w:r>
      <w:r>
        <w:rPr>
          <w:rFonts w:cs="Arial"/>
        </w:rPr>
        <w:t xml:space="preserve">initial </w:t>
      </w:r>
      <w:r w:rsidR="00F43CB0">
        <w:rPr>
          <w:rFonts w:cs="Arial"/>
        </w:rPr>
        <w:t xml:space="preserve">assessment, </w:t>
      </w:r>
      <w:r w:rsidR="00327DC1" w:rsidRPr="0020405B">
        <w:rPr>
          <w:rFonts w:cs="Arial"/>
        </w:rPr>
        <w:t>MRC ha</w:t>
      </w:r>
      <w:r w:rsidR="00424A6E">
        <w:rPr>
          <w:rFonts w:cs="Arial"/>
        </w:rPr>
        <w:t>d</w:t>
      </w:r>
      <w:r w:rsidR="00327DC1" w:rsidRPr="0020405B">
        <w:rPr>
          <w:rFonts w:cs="Arial"/>
        </w:rPr>
        <w:t xml:space="preserve"> contracts with providers for </w:t>
      </w:r>
      <w:r w:rsidR="00477B8B">
        <w:rPr>
          <w:rFonts w:cs="Arial"/>
        </w:rPr>
        <w:t>4</w:t>
      </w:r>
      <w:r w:rsidR="00424A6E">
        <w:rPr>
          <w:rFonts w:cs="Arial"/>
        </w:rPr>
        <w:t>2</w:t>
      </w:r>
      <w:r w:rsidR="00477B8B">
        <w:rPr>
          <w:rFonts w:cs="Arial"/>
        </w:rPr>
        <w:t xml:space="preserve"> </w:t>
      </w:r>
      <w:r w:rsidR="00606DE0" w:rsidRPr="0020405B">
        <w:rPr>
          <w:rFonts w:cs="Arial"/>
        </w:rPr>
        <w:t>R</w:t>
      </w:r>
      <w:r w:rsidR="00327DC1" w:rsidRPr="0020405B">
        <w:rPr>
          <w:rFonts w:cs="Arial"/>
        </w:rPr>
        <w:t xml:space="preserve">esidential </w:t>
      </w:r>
      <w:r w:rsidR="00606DE0" w:rsidRPr="0020405B">
        <w:rPr>
          <w:rFonts w:cs="Arial"/>
        </w:rPr>
        <w:t xml:space="preserve">Habilitation </w:t>
      </w:r>
      <w:r w:rsidR="00327DC1" w:rsidRPr="0020405B">
        <w:rPr>
          <w:rFonts w:cs="Arial"/>
        </w:rPr>
        <w:t xml:space="preserve">programs located throughout Massachusetts. MRC reviewed </w:t>
      </w:r>
      <w:r w:rsidR="009666C1" w:rsidRPr="0020405B">
        <w:rPr>
          <w:rFonts w:cs="Arial"/>
        </w:rPr>
        <w:t xml:space="preserve">these settings, as well as </w:t>
      </w:r>
      <w:r w:rsidR="00FD35FF">
        <w:rPr>
          <w:rFonts w:cs="Arial"/>
        </w:rPr>
        <w:t>two</w:t>
      </w:r>
      <w:r w:rsidR="00FD35FF" w:rsidRPr="0020405B">
        <w:rPr>
          <w:rFonts w:cs="Arial"/>
        </w:rPr>
        <w:t xml:space="preserve"> </w:t>
      </w:r>
      <w:r w:rsidR="009666C1" w:rsidRPr="0020405B">
        <w:rPr>
          <w:rFonts w:cs="Arial"/>
        </w:rPr>
        <w:t>shared living sites,</w:t>
      </w:r>
      <w:r w:rsidR="00327DC1" w:rsidRPr="0020405B">
        <w:rPr>
          <w:rFonts w:cs="Arial"/>
        </w:rPr>
        <w:t xml:space="preserve"> by utilizing the following process, which did not include the use of </w:t>
      </w:r>
      <w:r w:rsidR="00606DE0" w:rsidRPr="0020405B">
        <w:rPr>
          <w:rFonts w:cs="Arial"/>
        </w:rPr>
        <w:t xml:space="preserve">provider </w:t>
      </w:r>
      <w:r w:rsidR="00327DC1" w:rsidRPr="0020405B">
        <w:rPr>
          <w:rFonts w:cs="Arial"/>
        </w:rPr>
        <w:t>self-assessments:</w:t>
      </w:r>
    </w:p>
    <w:p w14:paraId="7743B186" w14:textId="75F4DB70" w:rsidR="00327DC1" w:rsidRPr="00B11E60" w:rsidRDefault="00327DC1" w:rsidP="004427AF">
      <w:pPr>
        <w:pStyle w:val="ListParagraph"/>
        <w:numPr>
          <w:ilvl w:val="0"/>
          <w:numId w:val="24"/>
        </w:numPr>
        <w:ind w:left="720"/>
        <w:rPr>
          <w:rFonts w:cs="Arial"/>
        </w:rPr>
      </w:pPr>
      <w:r w:rsidRPr="00B11E60">
        <w:rPr>
          <w:rFonts w:cs="Arial"/>
        </w:rPr>
        <w:t xml:space="preserve">MRC developed a residential setting assessment tool based on the exploratory questions that CMS published. </w:t>
      </w:r>
      <w:r w:rsidR="008E4E0C" w:rsidRPr="008E4E0C">
        <w:t xml:space="preserve"> </w:t>
      </w:r>
      <w:r w:rsidR="008E4E0C" w:rsidRPr="008E4E0C">
        <w:rPr>
          <w:rFonts w:cs="Arial"/>
        </w:rPr>
        <w:t xml:space="preserve">The tool included </w:t>
      </w:r>
      <w:proofErr w:type="gramStart"/>
      <w:r w:rsidR="008E4E0C" w:rsidRPr="008E4E0C">
        <w:rPr>
          <w:rFonts w:cs="Arial"/>
        </w:rPr>
        <w:t>all of</w:t>
      </w:r>
      <w:proofErr w:type="gramEnd"/>
      <w:r w:rsidR="008E4E0C" w:rsidRPr="008E4E0C">
        <w:rPr>
          <w:rFonts w:cs="Arial"/>
        </w:rPr>
        <w:t xml:space="preserve"> the settings rule criteria.</w:t>
      </w:r>
    </w:p>
    <w:p w14:paraId="7AFE469B" w14:textId="7F69D64B" w:rsidR="00327DC1" w:rsidRDefault="00327DC1" w:rsidP="004427AF">
      <w:pPr>
        <w:pStyle w:val="ListParagraph"/>
        <w:numPr>
          <w:ilvl w:val="0"/>
          <w:numId w:val="24"/>
        </w:numPr>
        <w:ind w:left="720"/>
        <w:rPr>
          <w:rFonts w:cs="Arial"/>
        </w:rPr>
      </w:pPr>
      <w:r w:rsidRPr="00B11E60">
        <w:rPr>
          <w:rFonts w:cs="Arial"/>
        </w:rPr>
        <w:t xml:space="preserve">MRC staff familiar with each residential setting through required monthly site visits completed the assessment tool for </w:t>
      </w:r>
      <w:r w:rsidR="00732704">
        <w:rPr>
          <w:rFonts w:cs="Arial"/>
        </w:rPr>
        <w:t>all</w:t>
      </w:r>
      <w:r w:rsidR="00732704" w:rsidRPr="00B11E60">
        <w:rPr>
          <w:rFonts w:cs="Arial"/>
        </w:rPr>
        <w:t xml:space="preserve"> </w:t>
      </w:r>
      <w:r w:rsidRPr="00B11E60">
        <w:rPr>
          <w:rFonts w:cs="Arial"/>
        </w:rPr>
        <w:t>residential setting</w:t>
      </w:r>
      <w:r w:rsidR="00732704">
        <w:rPr>
          <w:rFonts w:cs="Arial"/>
        </w:rPr>
        <w:t>s</w:t>
      </w:r>
      <w:r w:rsidR="0070577E">
        <w:rPr>
          <w:rFonts w:cs="Arial"/>
        </w:rPr>
        <w:t xml:space="preserve"> via a desk review</w:t>
      </w:r>
      <w:r w:rsidRPr="00B11E60">
        <w:rPr>
          <w:rFonts w:cs="Arial"/>
        </w:rPr>
        <w:t>.</w:t>
      </w:r>
    </w:p>
    <w:p w14:paraId="293626A0" w14:textId="575FD794" w:rsidR="00D10834" w:rsidRPr="00B11E60" w:rsidRDefault="00D10834" w:rsidP="004427AF">
      <w:pPr>
        <w:pStyle w:val="ListParagraph"/>
        <w:numPr>
          <w:ilvl w:val="0"/>
          <w:numId w:val="24"/>
        </w:numPr>
        <w:ind w:left="720"/>
        <w:rPr>
          <w:rFonts w:cs="Arial"/>
        </w:rPr>
      </w:pPr>
      <w:r>
        <w:rPr>
          <w:rFonts w:cs="Arial"/>
        </w:rPr>
        <w:t xml:space="preserve">Upon completion of the assessment tool, which included </w:t>
      </w:r>
      <w:proofErr w:type="gramStart"/>
      <w:r>
        <w:rPr>
          <w:rFonts w:cs="Arial"/>
        </w:rPr>
        <w:t>all of</w:t>
      </w:r>
      <w:proofErr w:type="gramEnd"/>
      <w:r>
        <w:rPr>
          <w:rFonts w:cs="Arial"/>
        </w:rPr>
        <w:t xml:space="preserve"> the settings rule criteria, </w:t>
      </w:r>
      <w:r w:rsidR="00B76394">
        <w:rPr>
          <w:rFonts w:cs="Arial"/>
        </w:rPr>
        <w:t xml:space="preserve">for all residential settings, five </w:t>
      </w:r>
      <w:r w:rsidR="000539A8">
        <w:rPr>
          <w:rFonts w:cs="Arial"/>
        </w:rPr>
        <w:t>sites were determined to need on-site visits.</w:t>
      </w:r>
    </w:p>
    <w:p w14:paraId="07E79BED" w14:textId="609BB8C5" w:rsidR="00327DC1" w:rsidRPr="00B11E60" w:rsidRDefault="00327DC1" w:rsidP="004427AF">
      <w:pPr>
        <w:pStyle w:val="ListParagraph"/>
        <w:numPr>
          <w:ilvl w:val="0"/>
          <w:numId w:val="24"/>
        </w:numPr>
        <w:ind w:left="720"/>
        <w:rPr>
          <w:rFonts w:cs="Arial"/>
        </w:rPr>
      </w:pPr>
      <w:r w:rsidRPr="00B11E60">
        <w:rPr>
          <w:rFonts w:cs="Arial"/>
        </w:rPr>
        <w:t xml:space="preserve">Supervisory staff of the MRC Brain Injury and Statewide Specialized Community Services program conducted </w:t>
      </w:r>
      <w:r w:rsidR="00010E37">
        <w:rPr>
          <w:rFonts w:cs="Arial"/>
        </w:rPr>
        <w:t xml:space="preserve">the </w:t>
      </w:r>
      <w:r w:rsidRPr="00B11E60">
        <w:rPr>
          <w:rFonts w:cs="Arial"/>
        </w:rPr>
        <w:t>on-site visits</w:t>
      </w:r>
      <w:r w:rsidR="00CF5777">
        <w:rPr>
          <w:rFonts w:cs="Arial"/>
        </w:rPr>
        <w:t xml:space="preserve"> (</w:t>
      </w:r>
      <w:r w:rsidR="00010E37">
        <w:rPr>
          <w:rFonts w:cs="Arial"/>
        </w:rPr>
        <w:t>which were in</w:t>
      </w:r>
      <w:r w:rsidR="00CF5777">
        <w:rPr>
          <w:rFonts w:cs="Arial"/>
        </w:rPr>
        <w:t xml:space="preserve"> addition </w:t>
      </w:r>
      <w:r w:rsidR="00266907">
        <w:rPr>
          <w:rFonts w:cs="Arial"/>
        </w:rPr>
        <w:t xml:space="preserve">to the monthly site visits regularly conducted by MRC staff as </w:t>
      </w:r>
      <w:r w:rsidR="005E7567">
        <w:rPr>
          <w:rFonts w:cs="Arial"/>
        </w:rPr>
        <w:t>no</w:t>
      </w:r>
      <w:r w:rsidR="00266907">
        <w:rPr>
          <w:rFonts w:cs="Arial"/>
        </w:rPr>
        <w:t>ted above)</w:t>
      </w:r>
      <w:r w:rsidRPr="00B11E60">
        <w:rPr>
          <w:rFonts w:cs="Arial"/>
        </w:rPr>
        <w:t xml:space="preserve"> to evaluate </w:t>
      </w:r>
      <w:r w:rsidR="00010E37">
        <w:rPr>
          <w:rFonts w:cs="Arial"/>
        </w:rPr>
        <w:t xml:space="preserve">the </w:t>
      </w:r>
      <w:r w:rsidR="003D48D0">
        <w:rPr>
          <w:rFonts w:cs="Arial"/>
        </w:rPr>
        <w:t>5</w:t>
      </w:r>
      <w:r w:rsidR="00E15ACF">
        <w:rPr>
          <w:rFonts w:cs="Arial"/>
        </w:rPr>
        <w:t xml:space="preserve"> </w:t>
      </w:r>
      <w:r w:rsidRPr="00B11E60">
        <w:rPr>
          <w:rFonts w:cs="Arial"/>
        </w:rPr>
        <w:t>sites whose compliance with the Community Rule required further review to confirm</w:t>
      </w:r>
      <w:r w:rsidR="00AC7E66">
        <w:rPr>
          <w:rFonts w:cs="Arial"/>
        </w:rPr>
        <w:t xml:space="preserve"> that the physical location did not </w:t>
      </w:r>
      <w:r w:rsidR="00AF6A57">
        <w:rPr>
          <w:rFonts w:cs="Arial"/>
        </w:rPr>
        <w:t>isolate individuals</w:t>
      </w:r>
      <w:r w:rsidRPr="00B11E60">
        <w:rPr>
          <w:rFonts w:cs="Arial"/>
        </w:rPr>
        <w:t xml:space="preserve">. These on-site visits consisted of an interview of the site manager, observation, and discussion with participants. </w:t>
      </w:r>
      <w:r w:rsidR="00EE06B3">
        <w:rPr>
          <w:rFonts w:cs="Arial"/>
        </w:rPr>
        <w:t xml:space="preserve">These site visits were focused on key elements that had not been confirmed during the monthly site reviews and assessment tool results. </w:t>
      </w:r>
      <w:r w:rsidRPr="00B11E60">
        <w:rPr>
          <w:rFonts w:cs="Arial"/>
        </w:rPr>
        <w:t xml:space="preserve">The following areas were </w:t>
      </w:r>
      <w:r w:rsidR="00853C81">
        <w:rPr>
          <w:rFonts w:cs="Arial"/>
        </w:rPr>
        <w:t xml:space="preserve">further </w:t>
      </w:r>
      <w:r w:rsidRPr="00B11E60">
        <w:rPr>
          <w:rFonts w:cs="Arial"/>
        </w:rPr>
        <w:t>considered and discussed:</w:t>
      </w:r>
    </w:p>
    <w:p w14:paraId="5B559110" w14:textId="77777777" w:rsidR="00327DC1" w:rsidRPr="00B11E60" w:rsidRDefault="00327DC1" w:rsidP="004427AF">
      <w:pPr>
        <w:pStyle w:val="ListParagraph"/>
        <w:numPr>
          <w:ilvl w:val="0"/>
          <w:numId w:val="25"/>
        </w:numPr>
        <w:rPr>
          <w:rFonts w:cs="Arial"/>
        </w:rPr>
      </w:pPr>
      <w:r w:rsidRPr="00B11E60">
        <w:rPr>
          <w:rFonts w:cs="Arial"/>
        </w:rPr>
        <w:t>Site integrated with good access to the larger community and opportunities to engage freely in community life</w:t>
      </w:r>
    </w:p>
    <w:p w14:paraId="7CAAF4F7" w14:textId="77777777" w:rsidR="00327DC1" w:rsidRPr="00B11E60" w:rsidRDefault="00327DC1" w:rsidP="004427AF">
      <w:pPr>
        <w:pStyle w:val="ListParagraph"/>
        <w:numPr>
          <w:ilvl w:val="0"/>
          <w:numId w:val="25"/>
        </w:numPr>
        <w:rPr>
          <w:rFonts w:cs="Arial"/>
        </w:rPr>
      </w:pPr>
      <w:r w:rsidRPr="00B11E60">
        <w:rPr>
          <w:rFonts w:cs="Arial"/>
        </w:rPr>
        <w:t>Options readily available to support the individual in engaging in work or meaningful day activities chosen by the individual</w:t>
      </w:r>
    </w:p>
    <w:p w14:paraId="4584A5FC" w14:textId="77777777" w:rsidR="00327DC1" w:rsidRPr="00B11E60" w:rsidRDefault="00327DC1" w:rsidP="004427AF">
      <w:pPr>
        <w:pStyle w:val="ListParagraph"/>
        <w:numPr>
          <w:ilvl w:val="0"/>
          <w:numId w:val="25"/>
        </w:numPr>
        <w:rPr>
          <w:rFonts w:cs="Arial"/>
        </w:rPr>
      </w:pPr>
      <w:r w:rsidRPr="00B11E60">
        <w:rPr>
          <w:rFonts w:cs="Arial"/>
        </w:rPr>
        <w:lastRenderedPageBreak/>
        <w:t>Freedom from coercion and restraint supported</w:t>
      </w:r>
    </w:p>
    <w:p w14:paraId="0CE090F0" w14:textId="77777777" w:rsidR="00327DC1" w:rsidRPr="00B11E60" w:rsidRDefault="00327DC1" w:rsidP="004427AF">
      <w:pPr>
        <w:pStyle w:val="ListParagraph"/>
        <w:numPr>
          <w:ilvl w:val="0"/>
          <w:numId w:val="25"/>
        </w:numPr>
        <w:rPr>
          <w:rFonts w:cs="Arial"/>
        </w:rPr>
      </w:pPr>
      <w:r w:rsidRPr="00B11E60">
        <w:rPr>
          <w:rFonts w:cs="Arial"/>
        </w:rPr>
        <w:t>The site supports treatment of all with dignity and respect; privacy is respected</w:t>
      </w:r>
    </w:p>
    <w:p w14:paraId="1E24F93E" w14:textId="349ABA6B" w:rsidR="00327DC1" w:rsidRPr="00B11E60" w:rsidRDefault="00327DC1" w:rsidP="004427AF">
      <w:pPr>
        <w:pStyle w:val="ListParagraph"/>
        <w:numPr>
          <w:ilvl w:val="0"/>
          <w:numId w:val="25"/>
        </w:numPr>
        <w:rPr>
          <w:rFonts w:cs="Arial"/>
        </w:rPr>
      </w:pPr>
      <w:r w:rsidRPr="00B11E60">
        <w:rPr>
          <w:rFonts w:cs="Arial"/>
        </w:rPr>
        <w:t xml:space="preserve">The individual and/or his/her delegates </w:t>
      </w:r>
      <w:proofErr w:type="gramStart"/>
      <w:r w:rsidRPr="00B11E60">
        <w:rPr>
          <w:rFonts w:cs="Arial"/>
        </w:rPr>
        <w:t>have the opportunity to</w:t>
      </w:r>
      <w:proofErr w:type="gramEnd"/>
      <w:r w:rsidRPr="00B11E60">
        <w:rPr>
          <w:rFonts w:cs="Arial"/>
        </w:rPr>
        <w:t xml:space="preserve"> develop and update his/her </w:t>
      </w:r>
      <w:r w:rsidR="00CF35A4">
        <w:rPr>
          <w:rFonts w:cs="Arial"/>
        </w:rPr>
        <w:t>p</w:t>
      </w:r>
      <w:r w:rsidRPr="00B11E60">
        <w:rPr>
          <w:rFonts w:cs="Arial"/>
        </w:rPr>
        <w:t>erson-</w:t>
      </w:r>
      <w:r w:rsidR="00CF35A4">
        <w:rPr>
          <w:rFonts w:cs="Arial"/>
        </w:rPr>
        <w:t>c</w:t>
      </w:r>
      <w:r w:rsidRPr="00B11E60">
        <w:rPr>
          <w:rFonts w:cs="Arial"/>
        </w:rPr>
        <w:t xml:space="preserve">entered </w:t>
      </w:r>
      <w:r w:rsidR="00CF35A4">
        <w:rPr>
          <w:rFonts w:cs="Arial"/>
        </w:rPr>
        <w:t>p</w:t>
      </w:r>
      <w:r w:rsidRPr="00B11E60">
        <w:rPr>
          <w:rFonts w:cs="Arial"/>
        </w:rPr>
        <w:t>lan</w:t>
      </w:r>
    </w:p>
    <w:p w14:paraId="0B7A7FE4" w14:textId="77777777" w:rsidR="00327DC1" w:rsidRPr="00B11E60" w:rsidRDefault="00327DC1" w:rsidP="004427AF">
      <w:pPr>
        <w:pStyle w:val="ListParagraph"/>
        <w:numPr>
          <w:ilvl w:val="0"/>
          <w:numId w:val="25"/>
        </w:numPr>
        <w:rPr>
          <w:rFonts w:cs="Arial"/>
        </w:rPr>
      </w:pPr>
      <w:r w:rsidRPr="00B11E60">
        <w:rPr>
          <w:rFonts w:cs="Arial"/>
        </w:rPr>
        <w:t>The opportunity for individual choice is widespread and a part of the culture of the site</w:t>
      </w:r>
    </w:p>
    <w:p w14:paraId="0DFC6AFA" w14:textId="77777777" w:rsidR="00A202C1" w:rsidRPr="0020405B" w:rsidRDefault="00A202C1" w:rsidP="00A202C1">
      <w:pPr>
        <w:rPr>
          <w:rFonts w:cs="Arial"/>
        </w:rPr>
      </w:pPr>
      <w:r>
        <w:rPr>
          <w:rFonts w:cs="Arial"/>
        </w:rPr>
        <w:t>A</w:t>
      </w:r>
      <w:r w:rsidRPr="00073835">
        <w:rPr>
          <w:rFonts w:cs="Arial"/>
        </w:rPr>
        <w:t xml:space="preserve">ll settings were assessed and validated for all settings rule criteria. </w:t>
      </w:r>
      <w:r>
        <w:rPr>
          <w:rFonts w:cs="Arial"/>
        </w:rPr>
        <w:t>Locks and l</w:t>
      </w:r>
      <w:r w:rsidRPr="002F0DB3">
        <w:rPr>
          <w:rFonts w:cs="Arial"/>
        </w:rPr>
        <w:t xml:space="preserve">ease agreements were not in place at the time of initial review and all providers were required to implement changes in </w:t>
      </w:r>
      <w:r>
        <w:rPr>
          <w:rFonts w:cs="Arial"/>
        </w:rPr>
        <w:t>these</w:t>
      </w:r>
      <w:r w:rsidRPr="002F0DB3">
        <w:rPr>
          <w:rFonts w:cs="Arial"/>
        </w:rPr>
        <w:t xml:space="preserve"> area</w:t>
      </w:r>
      <w:r>
        <w:rPr>
          <w:rFonts w:cs="Arial"/>
        </w:rPr>
        <w:t>s</w:t>
      </w:r>
      <w:r w:rsidRPr="002F0DB3">
        <w:rPr>
          <w:rFonts w:cs="Arial"/>
        </w:rPr>
        <w:t xml:space="preserve">. Subsequent reviews confirmed that all providers had implemented necessary changes to comply with requirements for locks on bedroom doors and </w:t>
      </w:r>
      <w:r>
        <w:rPr>
          <w:rFonts w:cs="Arial"/>
        </w:rPr>
        <w:t>lease</w:t>
      </w:r>
      <w:r w:rsidRPr="002F0DB3">
        <w:rPr>
          <w:rFonts w:cs="Arial"/>
        </w:rPr>
        <w:t xml:space="preserve"> agreements.</w:t>
      </w:r>
      <w:r>
        <w:rPr>
          <w:rFonts w:cs="Arial"/>
        </w:rPr>
        <w:t xml:space="preserve">  The annual contracted provider review process includes both a site visit and a r</w:t>
      </w:r>
      <w:r>
        <w:t>eview of policies, training records, and has been updated to include review of lease agreements.</w:t>
      </w:r>
    </w:p>
    <w:p w14:paraId="7589026D" w14:textId="7CD2F6C4" w:rsidR="00327DC1" w:rsidRPr="00F621E1" w:rsidRDefault="00327DC1" w:rsidP="00F621E1">
      <w:pPr>
        <w:rPr>
          <w:rFonts w:cs="Arial"/>
        </w:rPr>
      </w:pPr>
      <w:r w:rsidRPr="00F621E1">
        <w:rPr>
          <w:rFonts w:cs="Arial"/>
        </w:rPr>
        <w:t>In addition, for any provider-owned/leased facilities with more than five residents, particular attention was given to the following elements:</w:t>
      </w:r>
    </w:p>
    <w:p w14:paraId="242EFD12" w14:textId="77777777" w:rsidR="00327DC1" w:rsidRPr="00B11E60" w:rsidRDefault="00327DC1" w:rsidP="004427AF">
      <w:pPr>
        <w:pStyle w:val="ListParagraph"/>
        <w:numPr>
          <w:ilvl w:val="0"/>
          <w:numId w:val="24"/>
        </w:numPr>
        <w:ind w:left="720"/>
        <w:rPr>
          <w:rFonts w:cs="Arial"/>
        </w:rPr>
      </w:pPr>
      <w:r w:rsidRPr="00B11E60">
        <w:rPr>
          <w:rFonts w:cs="Arial"/>
        </w:rPr>
        <w:t xml:space="preserve">To determine the </w:t>
      </w:r>
      <w:r w:rsidR="00FC60E9">
        <w:rPr>
          <w:rFonts w:cs="Arial"/>
        </w:rPr>
        <w:t xml:space="preserve">community </w:t>
      </w:r>
      <w:r w:rsidRPr="00B11E60">
        <w:rPr>
          <w:rFonts w:cs="Arial"/>
        </w:rPr>
        <w:t xml:space="preserve">character of the </w:t>
      </w:r>
      <w:proofErr w:type="gramStart"/>
      <w:r w:rsidRPr="00B11E60">
        <w:rPr>
          <w:rFonts w:cs="Arial"/>
        </w:rPr>
        <w:t>site;</w:t>
      </w:r>
      <w:proofErr w:type="gramEnd"/>
    </w:p>
    <w:p w14:paraId="39AF5D8D" w14:textId="77777777" w:rsidR="00327DC1" w:rsidRPr="00B11E60" w:rsidRDefault="00327DC1" w:rsidP="004427AF">
      <w:pPr>
        <w:pStyle w:val="ListParagraph"/>
        <w:numPr>
          <w:ilvl w:val="0"/>
          <w:numId w:val="24"/>
        </w:numPr>
        <w:ind w:left="720"/>
        <w:rPr>
          <w:rFonts w:cs="Arial"/>
        </w:rPr>
      </w:pPr>
      <w:r w:rsidRPr="00B11E60">
        <w:rPr>
          <w:rFonts w:cs="Arial"/>
        </w:rPr>
        <w:t xml:space="preserve">To ensure that policy and practice support full community </w:t>
      </w:r>
      <w:proofErr w:type="gramStart"/>
      <w:r w:rsidRPr="00B11E60">
        <w:rPr>
          <w:rFonts w:cs="Arial"/>
        </w:rPr>
        <w:t>integration;</w:t>
      </w:r>
      <w:proofErr w:type="gramEnd"/>
    </w:p>
    <w:p w14:paraId="17A4C50A" w14:textId="77777777" w:rsidR="00327DC1" w:rsidRPr="00B11E60" w:rsidRDefault="00327DC1" w:rsidP="004427AF">
      <w:pPr>
        <w:pStyle w:val="ListParagraph"/>
        <w:numPr>
          <w:ilvl w:val="0"/>
          <w:numId w:val="24"/>
        </w:numPr>
        <w:ind w:left="720"/>
        <w:rPr>
          <w:rFonts w:cs="Arial"/>
        </w:rPr>
      </w:pPr>
      <w:r w:rsidRPr="00B11E60">
        <w:rPr>
          <w:rFonts w:cs="Arial"/>
        </w:rPr>
        <w:t xml:space="preserve">To ensure that the provider is engaged in making the changes supported by the new MRC policies </w:t>
      </w:r>
      <w:r w:rsidR="009666C1">
        <w:rPr>
          <w:rFonts w:cs="Arial"/>
        </w:rPr>
        <w:t>that clarify requirements to comply with the Community Rule</w:t>
      </w:r>
      <w:r w:rsidR="0020405B">
        <w:rPr>
          <w:rFonts w:cs="Arial"/>
        </w:rPr>
        <w:t xml:space="preserve"> </w:t>
      </w:r>
      <w:r w:rsidRPr="00B11E60">
        <w:rPr>
          <w:rFonts w:cs="Arial"/>
        </w:rPr>
        <w:t>(see below</w:t>
      </w:r>
      <w:proofErr w:type="gramStart"/>
      <w:r w:rsidRPr="00B11E60">
        <w:rPr>
          <w:rFonts w:cs="Arial"/>
        </w:rPr>
        <w:t>);</w:t>
      </w:r>
      <w:proofErr w:type="gramEnd"/>
    </w:p>
    <w:p w14:paraId="2727C9CE" w14:textId="77777777" w:rsidR="00327DC1" w:rsidRPr="00B11E60" w:rsidRDefault="00327DC1" w:rsidP="004427AF">
      <w:pPr>
        <w:pStyle w:val="ListParagraph"/>
        <w:numPr>
          <w:ilvl w:val="0"/>
          <w:numId w:val="24"/>
        </w:numPr>
        <w:ind w:left="720"/>
        <w:rPr>
          <w:rFonts w:cs="Arial"/>
        </w:rPr>
      </w:pPr>
      <w:r w:rsidRPr="00B11E60">
        <w:rPr>
          <w:rFonts w:cs="Arial"/>
        </w:rPr>
        <w:t>To ensure that the number of unrelated individuals living in the home does not create anything other than a comfortable home; and</w:t>
      </w:r>
    </w:p>
    <w:p w14:paraId="5F7CD150" w14:textId="75321BC8" w:rsidR="00A04ECC" w:rsidRDefault="00327DC1" w:rsidP="004427AF">
      <w:pPr>
        <w:pStyle w:val="ListParagraph"/>
        <w:numPr>
          <w:ilvl w:val="0"/>
          <w:numId w:val="24"/>
        </w:numPr>
        <w:ind w:left="720"/>
        <w:rPr>
          <w:rFonts w:cs="Arial"/>
        </w:rPr>
      </w:pPr>
      <w:r w:rsidRPr="00B11E60">
        <w:rPr>
          <w:rFonts w:cs="Arial"/>
        </w:rPr>
        <w:t>To ensure that the individual is comfortable and wishes to remain in what he/she considers his/her home.</w:t>
      </w:r>
    </w:p>
    <w:p w14:paraId="1ED37827" w14:textId="72D2D9BF" w:rsidR="00A04ECC" w:rsidRDefault="00A04ECC" w:rsidP="00A04ECC">
      <w:r>
        <w:t>There are approximately 13,700 recipients of the MassHealth AFC state plan service</w:t>
      </w:r>
      <w:r w:rsidR="009E6AF2">
        <w:t xml:space="preserve"> </w:t>
      </w:r>
      <w:r w:rsidR="00E95FB7">
        <w:t>as of</w:t>
      </w:r>
      <w:r w:rsidR="009E6AF2">
        <w:t xml:space="preserve"> July 2022</w:t>
      </w:r>
      <w:r>
        <w:t xml:space="preserve">, 12 of whom are MRC HCBS waiver participants. Of those waiver participants, 9 reside with a related AFC caregiver. The remaining 3 </w:t>
      </w:r>
      <w:r w:rsidRPr="00030CCB">
        <w:t xml:space="preserve">waiver participants </w:t>
      </w:r>
      <w:r>
        <w:t>appear to be living in settings with an unrelated caregiver.</w:t>
      </w:r>
      <w:r w:rsidRPr="00030CCB">
        <w:t xml:space="preserve"> For that subset, </w:t>
      </w:r>
      <w:proofErr w:type="gramStart"/>
      <w:r w:rsidRPr="00030CCB">
        <w:t xml:space="preserve">MassHealth  </w:t>
      </w:r>
      <w:r>
        <w:t>deploy</w:t>
      </w:r>
      <w:r w:rsidR="002710CB">
        <w:t>ed</w:t>
      </w:r>
      <w:proofErr w:type="gramEnd"/>
      <w:r w:rsidRPr="00030CCB">
        <w:t xml:space="preserve"> a</w:t>
      </w:r>
      <w:r w:rsidR="002710CB">
        <w:t>n</w:t>
      </w:r>
      <w:r w:rsidRPr="00030CCB">
        <w:t xml:space="preserve"> </w:t>
      </w:r>
      <w:r w:rsidR="0057035F">
        <w:t xml:space="preserve">attestation </w:t>
      </w:r>
      <w:r w:rsidR="002710CB">
        <w:t>form</w:t>
      </w:r>
      <w:r w:rsidR="00FA54FE">
        <w:t xml:space="preserve"> </w:t>
      </w:r>
      <w:r w:rsidRPr="00030CCB">
        <w:t xml:space="preserve">that </w:t>
      </w:r>
      <w:r>
        <w:t>will identify residential situations that will need</w:t>
      </w:r>
      <w:r w:rsidRPr="00030CCB">
        <w:t xml:space="preserve"> to </w:t>
      </w:r>
      <w:r>
        <w:t xml:space="preserve">come into compliance.  </w:t>
      </w:r>
      <w:r w:rsidR="0068488E">
        <w:t>Attestations are a combination of provider self-assessment and participant e</w:t>
      </w:r>
      <w:r w:rsidR="0068488E" w:rsidRPr="00866A9B">
        <w:t xml:space="preserve">xperience </w:t>
      </w:r>
      <w:r w:rsidR="0068488E">
        <w:t>a</w:t>
      </w:r>
      <w:r w:rsidR="0068488E" w:rsidRPr="00866A9B">
        <w:t>ssessment</w:t>
      </w:r>
      <w:r w:rsidR="0068488E">
        <w:t xml:space="preserve"> in one document; the provider and participant both </w:t>
      </w:r>
      <w:proofErr w:type="gramStart"/>
      <w:r w:rsidR="0068488E">
        <w:t>have the opportunity to</w:t>
      </w:r>
      <w:proofErr w:type="gramEnd"/>
      <w:r w:rsidR="0068488E">
        <w:t xml:space="preserve"> confirm a setting</w:t>
      </w:r>
      <w:r w:rsidR="00896EF4">
        <w:t>’</w:t>
      </w:r>
      <w:r w:rsidR="0068488E">
        <w:t xml:space="preserve">s compliance with </w:t>
      </w:r>
      <w:r w:rsidR="00896EF4">
        <w:t xml:space="preserve">all </w:t>
      </w:r>
      <w:r w:rsidR="0068488E">
        <w:t>community rule criteria.</w:t>
      </w:r>
      <w:r w:rsidR="0068488E" w:rsidRPr="00866A9B">
        <w:t xml:space="preserve"> </w:t>
      </w:r>
      <w:r w:rsidR="0068488E">
        <w:t>Attestations are completed by the AFC caregiver and AFC member with facilitation by the AFC provider and all three parties sign the document.</w:t>
      </w:r>
      <w:r w:rsidR="00970CAF">
        <w:t xml:space="preserve">  </w:t>
      </w:r>
      <w:r w:rsidR="00970CAF" w:rsidRPr="000D4D79">
        <w:t>The Attestation captures the specific address and setting in which the participant resides.</w:t>
      </w:r>
    </w:p>
    <w:p w14:paraId="60A11E41" w14:textId="06FE1A05" w:rsidR="005D7A69" w:rsidRDefault="005D7A69" w:rsidP="00A04ECC">
      <w:r>
        <w:t xml:space="preserve">To ensure identification of all HCBS waiver participants living with an unrelated caregiver, further data analysis was completed to remove duplicates and participants who have disenrolled, and to add new enrollees.  The final number of waiver participants who appear to be living in settings with an unrelated caregiver is 3. </w:t>
      </w:r>
    </w:p>
    <w:p w14:paraId="03518ECD" w14:textId="77777777" w:rsidR="0090785D" w:rsidRDefault="0090785D" w:rsidP="00FD2904">
      <w:pPr>
        <w:tabs>
          <w:tab w:val="left" w:pos="720"/>
        </w:tabs>
        <w:rPr>
          <w:rStyle w:val="Strong"/>
        </w:rPr>
      </w:pPr>
    </w:p>
    <w:p w14:paraId="584655DE" w14:textId="77777777" w:rsidR="00AF58C0" w:rsidRDefault="00AF58C0" w:rsidP="00FD2904">
      <w:pPr>
        <w:tabs>
          <w:tab w:val="left" w:pos="720"/>
        </w:tabs>
        <w:rPr>
          <w:rStyle w:val="Strong"/>
        </w:rPr>
      </w:pPr>
      <w:r>
        <w:rPr>
          <w:rStyle w:val="Strong"/>
        </w:rPr>
        <w:br w:type="page"/>
      </w:r>
    </w:p>
    <w:p w14:paraId="09A1A28D" w14:textId="64061451" w:rsidR="00327DC1" w:rsidRPr="00693DBF" w:rsidRDefault="00327DC1" w:rsidP="00FD2904">
      <w:pPr>
        <w:tabs>
          <w:tab w:val="left" w:pos="720"/>
        </w:tabs>
        <w:rPr>
          <w:rStyle w:val="Strong"/>
        </w:rPr>
      </w:pPr>
      <w:r w:rsidRPr="00693DBF">
        <w:rPr>
          <w:rStyle w:val="Strong"/>
        </w:rPr>
        <w:lastRenderedPageBreak/>
        <w:t>Non-residential settings</w:t>
      </w:r>
    </w:p>
    <w:p w14:paraId="18E5BF8F" w14:textId="77777777" w:rsidR="005B5657" w:rsidRPr="00693DBF" w:rsidRDefault="005B5657" w:rsidP="00361CED">
      <w:pPr>
        <w:rPr>
          <w:rStyle w:val="SubtleEmphasis"/>
        </w:rPr>
      </w:pPr>
      <w:r w:rsidRPr="00693DBF">
        <w:rPr>
          <w:rStyle w:val="SubtleEmphasis"/>
        </w:rPr>
        <w:t xml:space="preserve">Day </w:t>
      </w:r>
      <w:r w:rsidR="00CA1872" w:rsidRPr="00693DBF">
        <w:rPr>
          <w:rStyle w:val="SubtleEmphasis"/>
        </w:rPr>
        <w:t>S</w:t>
      </w:r>
      <w:r w:rsidRPr="00693DBF">
        <w:rPr>
          <w:rStyle w:val="SubtleEmphasis"/>
        </w:rPr>
        <w:t>ervices</w:t>
      </w:r>
    </w:p>
    <w:p w14:paraId="40F29D9A" w14:textId="77777777" w:rsidR="00327DC1" w:rsidRDefault="00D62E44" w:rsidP="00FD2904">
      <w:pPr>
        <w:tabs>
          <w:tab w:val="left" w:pos="5670"/>
        </w:tabs>
        <w:rPr>
          <w:rFonts w:cs="Arial"/>
        </w:rPr>
      </w:pPr>
      <w:r>
        <w:rPr>
          <w:rFonts w:cs="Arial"/>
        </w:rPr>
        <w:t>MRC sent out the same survey tool that DDS used (see above) to Day Services providers qualified either by MRC or by UMMS-PNA. This survey tool incorporated questions that enabled providers to assess where they fell on the continuum of outcomes necessary to meet the requirements of the Community Rule</w:t>
      </w:r>
      <w:r w:rsidR="00327DC1" w:rsidRPr="00B11E60">
        <w:rPr>
          <w:rFonts w:cs="Arial"/>
        </w:rPr>
        <w:t xml:space="preserve">. </w:t>
      </w:r>
    </w:p>
    <w:p w14:paraId="3694EFD1" w14:textId="416FC99D" w:rsidR="0042579F" w:rsidRDefault="0042579F" w:rsidP="00FD2904">
      <w:pPr>
        <w:tabs>
          <w:tab w:val="left" w:pos="5670"/>
        </w:tabs>
        <w:rPr>
          <w:rFonts w:cs="Arial"/>
        </w:rPr>
      </w:pPr>
      <w:r>
        <w:rPr>
          <w:rFonts w:cs="Arial"/>
        </w:rPr>
        <w:t xml:space="preserve">Survey responses were received from all </w:t>
      </w:r>
      <w:r w:rsidR="00543CB5">
        <w:rPr>
          <w:rFonts w:cs="Arial"/>
        </w:rPr>
        <w:t xml:space="preserve">surveyed </w:t>
      </w:r>
      <w:r>
        <w:rPr>
          <w:rFonts w:cs="Arial"/>
        </w:rPr>
        <w:t>providers. MRC staff validated the survey responses based on extensive knowledge of each provider gained through annual on-site visits</w:t>
      </w:r>
      <w:r w:rsidR="00A67508">
        <w:rPr>
          <w:rFonts w:cs="Arial"/>
        </w:rPr>
        <w:t xml:space="preserve"> which includes a review of </w:t>
      </w:r>
      <w:r w:rsidR="00B23275">
        <w:t>credentialing materials, policy and training materials, and onsite visit checklist/review tool</w:t>
      </w:r>
      <w:r>
        <w:rPr>
          <w:rFonts w:cs="Arial"/>
        </w:rPr>
        <w:t xml:space="preserve">. Where necessary, providers were contacted to clarify responses. </w:t>
      </w:r>
    </w:p>
    <w:p w14:paraId="31E8BED2" w14:textId="48ED4924" w:rsidR="00204BBA" w:rsidRPr="00B11E60" w:rsidRDefault="00204BBA" w:rsidP="00FD2904">
      <w:pPr>
        <w:tabs>
          <w:tab w:val="left" w:pos="5670"/>
        </w:tabs>
        <w:rPr>
          <w:rFonts w:cs="Arial"/>
        </w:rPr>
      </w:pPr>
      <w:r>
        <w:t xml:space="preserve">The survey included all of the settings rule criteria and all </w:t>
      </w:r>
      <w:r w:rsidRPr="00123647">
        <w:t xml:space="preserve">settings were assessed and validated, including where one provider organization owns and </w:t>
      </w:r>
      <w:proofErr w:type="gramStart"/>
      <w:r w:rsidRPr="00123647">
        <w:t>controls</w:t>
      </w:r>
      <w:proofErr w:type="gramEnd"/>
      <w:r w:rsidRPr="00123647">
        <w:t xml:space="preserve"> multiple settings locations.  </w:t>
      </w:r>
    </w:p>
    <w:p w14:paraId="0AC0FAB9" w14:textId="77777777" w:rsidR="00EA4B67" w:rsidRPr="00693DBF" w:rsidRDefault="00EA4B67" w:rsidP="00361CED">
      <w:pPr>
        <w:rPr>
          <w:rStyle w:val="SubtleEmphasis"/>
        </w:rPr>
      </w:pPr>
      <w:r w:rsidRPr="00693DBF">
        <w:rPr>
          <w:rStyle w:val="SubtleEmphasis"/>
        </w:rPr>
        <w:t>Supported Employment</w:t>
      </w:r>
    </w:p>
    <w:p w14:paraId="285F3DDC" w14:textId="36EA5815" w:rsidR="00EA4B67" w:rsidRPr="00EA4B67" w:rsidRDefault="00385729" w:rsidP="00385729">
      <w:pPr>
        <w:tabs>
          <w:tab w:val="left" w:pos="5670"/>
        </w:tabs>
        <w:rPr>
          <w:rFonts w:cs="Arial"/>
        </w:rPr>
      </w:pPr>
      <w:r w:rsidRPr="00B11E60">
        <w:rPr>
          <w:rFonts w:cs="Arial"/>
        </w:rPr>
        <w:t>Of the 37 qualified supported employment providers</w:t>
      </w:r>
      <w:r w:rsidR="0035065F">
        <w:rPr>
          <w:rFonts w:cs="Arial"/>
        </w:rPr>
        <w:t xml:space="preserve"> at the time of initial review</w:t>
      </w:r>
      <w:r w:rsidRPr="00B11E60">
        <w:rPr>
          <w:rFonts w:cs="Arial"/>
        </w:rPr>
        <w:t xml:space="preserve">, </w:t>
      </w:r>
      <w:r>
        <w:rPr>
          <w:rFonts w:cs="Arial"/>
        </w:rPr>
        <w:t xml:space="preserve">all but </w:t>
      </w:r>
      <w:r w:rsidRPr="00B11E60">
        <w:rPr>
          <w:rFonts w:cs="Arial"/>
        </w:rPr>
        <w:t xml:space="preserve">8 are licensed or certified by DDS. </w:t>
      </w:r>
      <w:r>
        <w:rPr>
          <w:rFonts w:cs="Arial"/>
        </w:rPr>
        <w:t xml:space="preserve">The assessment process for the 29 providers licensed or certified by DDS </w:t>
      </w:r>
      <w:r w:rsidR="009D6702">
        <w:rPr>
          <w:rFonts w:cs="Arial"/>
        </w:rPr>
        <w:t>is</w:t>
      </w:r>
      <w:r>
        <w:rPr>
          <w:rFonts w:cs="Arial"/>
        </w:rPr>
        <w:t xml:space="preserve"> described in the </w:t>
      </w:r>
      <w:r w:rsidR="009D6702">
        <w:rPr>
          <w:rFonts w:cs="Arial"/>
        </w:rPr>
        <w:t xml:space="preserve">DDS </w:t>
      </w:r>
      <w:r>
        <w:rPr>
          <w:rFonts w:cs="Arial"/>
        </w:rPr>
        <w:t xml:space="preserve">site-specific assessment </w:t>
      </w:r>
      <w:r w:rsidR="009D6702">
        <w:rPr>
          <w:rFonts w:cs="Arial"/>
        </w:rPr>
        <w:t>section,</w:t>
      </w:r>
      <w:r>
        <w:rPr>
          <w:rFonts w:cs="Arial"/>
        </w:rPr>
        <w:t xml:space="preserve"> above. </w:t>
      </w:r>
      <w:r w:rsidR="00A36C5D">
        <w:rPr>
          <w:rFonts w:cs="Arial"/>
        </w:rPr>
        <w:t>For t</w:t>
      </w:r>
      <w:r w:rsidRPr="00B11E60">
        <w:rPr>
          <w:rFonts w:cs="Arial"/>
        </w:rPr>
        <w:t>he</w:t>
      </w:r>
      <w:r>
        <w:rPr>
          <w:rFonts w:cs="Arial"/>
        </w:rPr>
        <w:t xml:space="preserve"> </w:t>
      </w:r>
      <w:r w:rsidR="000E5717">
        <w:rPr>
          <w:rFonts w:cs="Arial"/>
        </w:rPr>
        <w:t>8</w:t>
      </w:r>
      <w:r w:rsidRPr="00B11E60">
        <w:rPr>
          <w:rFonts w:cs="Arial"/>
        </w:rPr>
        <w:t xml:space="preserve"> </w:t>
      </w:r>
      <w:r>
        <w:rPr>
          <w:rFonts w:cs="Arial"/>
        </w:rPr>
        <w:t xml:space="preserve">employment </w:t>
      </w:r>
      <w:r w:rsidRPr="00B11E60">
        <w:rPr>
          <w:rFonts w:cs="Arial"/>
        </w:rPr>
        <w:t>providers</w:t>
      </w:r>
      <w:r>
        <w:rPr>
          <w:rFonts w:cs="Arial"/>
        </w:rPr>
        <w:t xml:space="preserve"> that are not licensed or certified by DDS</w:t>
      </w:r>
      <w:r w:rsidR="00A36C5D">
        <w:rPr>
          <w:rFonts w:cs="Arial"/>
        </w:rPr>
        <w:t xml:space="preserve">, MRC reviewed the credentialing information gathered by UMMS-PNA to ensure </w:t>
      </w:r>
      <w:r w:rsidR="006C61B3">
        <w:rPr>
          <w:rFonts w:cs="Arial"/>
        </w:rPr>
        <w:t>each setting’s fidelity to the service model</w:t>
      </w:r>
      <w:r w:rsidR="00A36C5D">
        <w:rPr>
          <w:rFonts w:cs="Arial"/>
        </w:rPr>
        <w:t xml:space="preserve"> </w:t>
      </w:r>
      <w:r w:rsidR="006C61B3">
        <w:rPr>
          <w:rFonts w:cs="Arial"/>
        </w:rPr>
        <w:t xml:space="preserve">of individualized supported employment in integrated community settings. </w:t>
      </w:r>
      <w:r w:rsidR="0035065F">
        <w:rPr>
          <w:rFonts w:cs="Arial"/>
        </w:rPr>
        <w:t xml:space="preserve">All new providers </w:t>
      </w:r>
      <w:r w:rsidR="008732D6">
        <w:rPr>
          <w:rFonts w:cs="Arial"/>
        </w:rPr>
        <w:t xml:space="preserve">have been reviewed for compliance </w:t>
      </w:r>
      <w:r w:rsidR="0038130C">
        <w:rPr>
          <w:rFonts w:cs="Arial"/>
        </w:rPr>
        <w:t>prior to enrollment.</w:t>
      </w:r>
    </w:p>
    <w:p w14:paraId="68D4F2AB" w14:textId="72E41F8C" w:rsidR="00327DC1" w:rsidRPr="00693DBF" w:rsidRDefault="00B02375" w:rsidP="00122579">
      <w:pPr>
        <w:pStyle w:val="Heading3"/>
      </w:pPr>
      <w:r>
        <w:t xml:space="preserve">2. </w:t>
      </w:r>
      <w:r w:rsidR="00327DC1" w:rsidRPr="00693DBF">
        <w:t>Findings</w:t>
      </w:r>
    </w:p>
    <w:p w14:paraId="4C6E6A7A" w14:textId="77777777" w:rsidR="00FD2904" w:rsidRPr="00693DBF" w:rsidRDefault="00327DC1" w:rsidP="00FD2904">
      <w:pPr>
        <w:tabs>
          <w:tab w:val="left" w:pos="720"/>
        </w:tabs>
        <w:rPr>
          <w:rStyle w:val="Strong"/>
        </w:rPr>
      </w:pPr>
      <w:r w:rsidRPr="00693DBF">
        <w:rPr>
          <w:rStyle w:val="Strong"/>
        </w:rPr>
        <w:t>Residential settings</w:t>
      </w:r>
    </w:p>
    <w:p w14:paraId="42F7BACA" w14:textId="77777777" w:rsidR="00C37FE3" w:rsidRPr="00693DBF" w:rsidRDefault="00C37FE3" w:rsidP="00361CED">
      <w:pPr>
        <w:rPr>
          <w:rStyle w:val="SubtleEmphasis"/>
        </w:rPr>
      </w:pPr>
      <w:r w:rsidRPr="00693DBF">
        <w:rPr>
          <w:rStyle w:val="SubtleEmphasis"/>
        </w:rPr>
        <w:t>Residential Habilitation</w:t>
      </w:r>
    </w:p>
    <w:p w14:paraId="34C5A383" w14:textId="5140E397" w:rsidR="00924D0D" w:rsidRDefault="007D2330" w:rsidP="00FD2904">
      <w:pPr>
        <w:tabs>
          <w:tab w:val="left" w:pos="720"/>
        </w:tabs>
        <w:rPr>
          <w:rFonts w:cs="Arial"/>
        </w:rPr>
      </w:pPr>
      <w:r w:rsidRPr="0020405B">
        <w:rPr>
          <w:rFonts w:cs="Arial"/>
        </w:rPr>
        <w:t xml:space="preserve">A total of 42 </w:t>
      </w:r>
      <w:r w:rsidR="00C37FE3">
        <w:rPr>
          <w:rFonts w:cs="Arial"/>
        </w:rPr>
        <w:t>R</w:t>
      </w:r>
      <w:r w:rsidR="00C723C0" w:rsidRPr="0020405B">
        <w:rPr>
          <w:rFonts w:cs="Arial"/>
        </w:rPr>
        <w:t>esidential</w:t>
      </w:r>
      <w:r w:rsidR="00C37FE3">
        <w:rPr>
          <w:rFonts w:cs="Arial"/>
        </w:rPr>
        <w:t xml:space="preserve"> Habilitation</w:t>
      </w:r>
      <w:r w:rsidR="00C723C0" w:rsidRPr="0020405B">
        <w:rPr>
          <w:rFonts w:cs="Arial"/>
        </w:rPr>
        <w:t xml:space="preserve"> </w:t>
      </w:r>
      <w:r w:rsidRPr="0020405B">
        <w:rPr>
          <w:rFonts w:cs="Arial"/>
        </w:rPr>
        <w:t xml:space="preserve">sites were </w:t>
      </w:r>
      <w:r w:rsidR="00A30468">
        <w:rPr>
          <w:rFonts w:cs="Arial"/>
        </w:rPr>
        <w:t xml:space="preserve">initially </w:t>
      </w:r>
      <w:r w:rsidRPr="0020405B">
        <w:rPr>
          <w:rFonts w:cs="Arial"/>
        </w:rPr>
        <w:t>reviewed</w:t>
      </w:r>
      <w:r w:rsidR="00AD6F13">
        <w:rPr>
          <w:rFonts w:cs="Arial"/>
        </w:rPr>
        <w:t xml:space="preserve"> </w:t>
      </w:r>
      <w:r w:rsidR="00A30468">
        <w:rPr>
          <w:rFonts w:cs="Arial"/>
        </w:rPr>
        <w:t>and</w:t>
      </w:r>
      <w:r w:rsidR="00AD6F13">
        <w:rPr>
          <w:rFonts w:cs="Arial"/>
        </w:rPr>
        <w:t xml:space="preserve"> new providers </w:t>
      </w:r>
      <w:r w:rsidR="00A30468">
        <w:rPr>
          <w:rFonts w:cs="Arial"/>
        </w:rPr>
        <w:t xml:space="preserve">are being reviewed with </w:t>
      </w:r>
      <w:r w:rsidR="00AD6F13">
        <w:rPr>
          <w:rFonts w:cs="Arial"/>
        </w:rPr>
        <w:t>current requirements as updated</w:t>
      </w:r>
      <w:r w:rsidRPr="0020405B">
        <w:rPr>
          <w:rFonts w:cs="Arial"/>
        </w:rPr>
        <w:t xml:space="preserve">. </w:t>
      </w:r>
      <w:r w:rsidR="00924D0D" w:rsidRPr="0020405B">
        <w:rPr>
          <w:rFonts w:cs="Arial"/>
        </w:rPr>
        <w:t>Following review in the domains</w:t>
      </w:r>
      <w:r w:rsidR="00924D0D">
        <w:rPr>
          <w:rFonts w:cs="Arial"/>
        </w:rPr>
        <w:t xml:space="preserve"> described in the Process discussion above</w:t>
      </w:r>
      <w:r w:rsidR="00924D0D" w:rsidRPr="0020405B">
        <w:rPr>
          <w:rFonts w:cs="Arial"/>
        </w:rPr>
        <w:t xml:space="preserve">, the sites were determined to be substantially in compliance with the revised MRC policies designed to support the Community Rule, other than </w:t>
      </w:r>
      <w:proofErr w:type="gramStart"/>
      <w:r w:rsidR="00924D0D" w:rsidRPr="0020405B">
        <w:rPr>
          <w:rFonts w:cs="Arial"/>
        </w:rPr>
        <w:t>with regard to</w:t>
      </w:r>
      <w:proofErr w:type="gramEnd"/>
      <w:r w:rsidR="00924D0D" w:rsidRPr="0020405B">
        <w:rPr>
          <w:rFonts w:cs="Arial"/>
        </w:rPr>
        <w:t xml:space="preserve"> locks on bedroom doors and participant leases (see Section IV.B, above, describing MRC’s systemic assessment).</w:t>
      </w:r>
      <w:r w:rsidR="00924D0D">
        <w:rPr>
          <w:rFonts w:cs="Arial"/>
        </w:rPr>
        <w:t xml:space="preserve"> Due to the identified need to implement locks and tenancy agreements, MRC </w:t>
      </w:r>
      <w:r w:rsidR="00A063EF">
        <w:rPr>
          <w:rFonts w:cs="Arial"/>
        </w:rPr>
        <w:t xml:space="preserve">initially </w:t>
      </w:r>
      <w:r w:rsidR="00924D0D">
        <w:rPr>
          <w:rFonts w:cs="Arial"/>
        </w:rPr>
        <w:t xml:space="preserve">determined that the 42 Residential Habilitation settings </w:t>
      </w:r>
      <w:r w:rsidR="00A063EF">
        <w:rPr>
          <w:rFonts w:cs="Arial"/>
        </w:rPr>
        <w:t xml:space="preserve">fell </w:t>
      </w:r>
      <w:r w:rsidR="00924D0D">
        <w:rPr>
          <w:rFonts w:cs="Arial"/>
        </w:rPr>
        <w:t>in the category of needing minor changes to comply with the Rule (see Table 2. Analysis of Settings). Additional specific findings were as follows.</w:t>
      </w:r>
    </w:p>
    <w:p w14:paraId="1D1EA10C" w14:textId="1D3E6F35" w:rsidR="00327DC1" w:rsidRPr="0020405B" w:rsidRDefault="00840B84" w:rsidP="00FD2904">
      <w:pPr>
        <w:tabs>
          <w:tab w:val="left" w:pos="720"/>
        </w:tabs>
        <w:rPr>
          <w:rFonts w:cs="Arial"/>
        </w:rPr>
      </w:pPr>
      <w:r w:rsidRPr="00840B84">
        <w:rPr>
          <w:rFonts w:cs="Arial"/>
        </w:rPr>
        <w:t xml:space="preserve">All </w:t>
      </w:r>
      <w:r w:rsidR="00924D0D">
        <w:rPr>
          <w:rFonts w:cs="Arial"/>
        </w:rPr>
        <w:t xml:space="preserve">42 </w:t>
      </w:r>
      <w:r w:rsidRPr="00840B84">
        <w:rPr>
          <w:rFonts w:cs="Arial"/>
        </w:rPr>
        <w:t xml:space="preserve">sites </w:t>
      </w:r>
      <w:r w:rsidR="00A063EF">
        <w:rPr>
          <w:rFonts w:cs="Arial"/>
        </w:rPr>
        <w:t>demonstrated</w:t>
      </w:r>
      <w:r w:rsidRPr="00840B84">
        <w:rPr>
          <w:rFonts w:cs="Arial"/>
        </w:rPr>
        <w:t xml:space="preserve"> compliance regarding physical accessibility: </w:t>
      </w:r>
      <w:r w:rsidR="00327DC1" w:rsidRPr="0020405B">
        <w:rPr>
          <w:rFonts w:cs="Arial"/>
        </w:rPr>
        <w:t xml:space="preserve">MRC’s residential settings assessment tool and on-site evaluation process confirmed that adaptations have been made as needed to participants’ homes </w:t>
      </w:r>
      <w:proofErr w:type="gramStart"/>
      <w:r w:rsidR="00327DC1" w:rsidRPr="0020405B">
        <w:rPr>
          <w:rFonts w:cs="Arial"/>
        </w:rPr>
        <w:t>in order to</w:t>
      </w:r>
      <w:proofErr w:type="gramEnd"/>
      <w:r w:rsidR="00327DC1" w:rsidRPr="0020405B">
        <w:rPr>
          <w:rFonts w:cs="Arial"/>
        </w:rPr>
        <w:t xml:space="preserve"> ensure full accessibility. Hoyer lifts, roll-in showers, accessible kitchens, roll-out beds, </w:t>
      </w:r>
      <w:r w:rsidR="009F5522" w:rsidRPr="0020405B">
        <w:rPr>
          <w:rFonts w:cs="Arial"/>
        </w:rPr>
        <w:t>ramps,</w:t>
      </w:r>
      <w:r w:rsidR="00327DC1" w:rsidRPr="0020405B">
        <w:rPr>
          <w:rFonts w:cs="Arial"/>
        </w:rPr>
        <w:t xml:space="preserve"> and lifts are available to </w:t>
      </w:r>
      <w:r w:rsidR="0020405B" w:rsidRPr="0020405B">
        <w:rPr>
          <w:rFonts w:cs="Arial"/>
        </w:rPr>
        <w:t xml:space="preserve">all </w:t>
      </w:r>
      <w:r w:rsidR="00327DC1" w:rsidRPr="0020405B">
        <w:rPr>
          <w:rFonts w:cs="Arial"/>
        </w:rPr>
        <w:t xml:space="preserve">participants who </w:t>
      </w:r>
      <w:r w:rsidR="00327DC1" w:rsidRPr="0020405B">
        <w:rPr>
          <w:rFonts w:cs="Arial"/>
        </w:rPr>
        <w:lastRenderedPageBreak/>
        <w:t>require them. New</w:t>
      </w:r>
      <w:r w:rsidR="00F621E1">
        <w:rPr>
          <w:rFonts w:cs="Arial"/>
        </w:rPr>
        <w:t xml:space="preserve">-construction </w:t>
      </w:r>
      <w:r w:rsidR="00327DC1" w:rsidRPr="0020405B">
        <w:rPr>
          <w:rFonts w:cs="Arial"/>
        </w:rPr>
        <w:t xml:space="preserve">homes are all fully accessible </w:t>
      </w:r>
      <w:proofErr w:type="gramStart"/>
      <w:r w:rsidR="00327DC1" w:rsidRPr="0020405B">
        <w:rPr>
          <w:rFonts w:cs="Arial"/>
        </w:rPr>
        <w:t>in order for</w:t>
      </w:r>
      <w:proofErr w:type="gramEnd"/>
      <w:r w:rsidR="00327DC1" w:rsidRPr="0020405B">
        <w:rPr>
          <w:rFonts w:cs="Arial"/>
        </w:rPr>
        <w:t xml:space="preserve"> participants to remain in their homes should their needs change. </w:t>
      </w:r>
    </w:p>
    <w:p w14:paraId="3B1515A3" w14:textId="6F0F39D0" w:rsidR="00C723C0" w:rsidRPr="00C723C0" w:rsidRDefault="0020405B" w:rsidP="00FD2904">
      <w:pPr>
        <w:rPr>
          <w:rFonts w:cs="Arial"/>
        </w:rPr>
      </w:pPr>
      <w:r>
        <w:rPr>
          <w:rFonts w:cs="Arial"/>
        </w:rPr>
        <w:t xml:space="preserve">MRC staff found </w:t>
      </w:r>
      <w:r w:rsidR="00543CB5">
        <w:rPr>
          <w:rFonts w:cs="Arial"/>
        </w:rPr>
        <w:t xml:space="preserve">during the initial survey </w:t>
      </w:r>
      <w:r>
        <w:rPr>
          <w:rFonts w:cs="Arial"/>
        </w:rPr>
        <w:t xml:space="preserve">that </w:t>
      </w:r>
      <w:r w:rsidR="00C723C0">
        <w:rPr>
          <w:rFonts w:cs="Arial"/>
        </w:rPr>
        <w:t xml:space="preserve">37 of the 42 residential </w:t>
      </w:r>
      <w:r w:rsidR="0042579F">
        <w:rPr>
          <w:rFonts w:cs="Arial"/>
        </w:rPr>
        <w:t xml:space="preserve">habilitation </w:t>
      </w:r>
      <w:r w:rsidR="00C723C0">
        <w:rPr>
          <w:rFonts w:cs="Arial"/>
        </w:rPr>
        <w:t xml:space="preserve">sites </w:t>
      </w:r>
      <w:r w:rsidR="00543CB5">
        <w:rPr>
          <w:rFonts w:cs="Arial"/>
        </w:rPr>
        <w:t xml:space="preserve">were </w:t>
      </w:r>
      <w:r w:rsidR="00C723C0">
        <w:rPr>
          <w:rFonts w:cs="Arial"/>
        </w:rPr>
        <w:t>in full complianc</w:t>
      </w:r>
      <w:r w:rsidR="00924D0D">
        <w:rPr>
          <w:rFonts w:cs="Arial"/>
        </w:rPr>
        <w:t xml:space="preserve">e with all the areas of review </w:t>
      </w:r>
      <w:r w:rsidR="00C723C0">
        <w:rPr>
          <w:rFonts w:cs="Arial"/>
        </w:rPr>
        <w:t>described</w:t>
      </w:r>
      <w:r w:rsidR="00924D0D">
        <w:rPr>
          <w:rFonts w:cs="Arial"/>
        </w:rPr>
        <w:t xml:space="preserve"> in the Process section</w:t>
      </w:r>
      <w:r w:rsidR="00C723C0">
        <w:rPr>
          <w:rFonts w:cs="Arial"/>
        </w:rPr>
        <w:t xml:space="preserve"> above. </w:t>
      </w:r>
      <w:r>
        <w:rPr>
          <w:rFonts w:cs="Arial"/>
        </w:rPr>
        <w:t>Participants</w:t>
      </w:r>
      <w:r w:rsidR="00C723C0">
        <w:rPr>
          <w:rFonts w:cs="Arial"/>
        </w:rPr>
        <w:t xml:space="preserve"> confirmed in conversation that they felt engaged in activities of their </w:t>
      </w:r>
      <w:r w:rsidR="009F5522">
        <w:rPr>
          <w:rFonts w:cs="Arial"/>
        </w:rPr>
        <w:t>choosing and</w:t>
      </w:r>
      <w:r w:rsidR="00C723C0">
        <w:rPr>
          <w:rFonts w:cs="Arial"/>
        </w:rPr>
        <w:t xml:space="preserve"> were supported in learning about their community and </w:t>
      </w:r>
      <w:r>
        <w:rPr>
          <w:rFonts w:cs="Arial"/>
        </w:rPr>
        <w:t xml:space="preserve">have </w:t>
      </w:r>
      <w:r w:rsidR="00C723C0">
        <w:rPr>
          <w:rFonts w:cs="Arial"/>
        </w:rPr>
        <w:t>opportunities for community membership and participation.</w:t>
      </w:r>
    </w:p>
    <w:p w14:paraId="32EBE49C" w14:textId="77777777" w:rsidR="007D2330" w:rsidRDefault="00CA26B5" w:rsidP="00FD2904">
      <w:pPr>
        <w:rPr>
          <w:rFonts w:cs="Arial"/>
        </w:rPr>
      </w:pPr>
      <w:r w:rsidRPr="00CA26B5">
        <w:rPr>
          <w:rFonts w:cs="Arial"/>
        </w:rPr>
        <w:t xml:space="preserve">Questions regarding five sites were addressed through on-site visits conducted by MRC staff. These on-site reviews provided </w:t>
      </w:r>
      <w:r w:rsidR="007D2330">
        <w:rPr>
          <w:rFonts w:cs="Arial"/>
        </w:rPr>
        <w:t xml:space="preserve">an opportunity to further evaluate compliance with the </w:t>
      </w:r>
      <w:r w:rsidR="002E6451">
        <w:rPr>
          <w:rFonts w:cs="Arial"/>
        </w:rPr>
        <w:t>Community Rule</w:t>
      </w:r>
      <w:r w:rsidR="007D2330">
        <w:rPr>
          <w:rFonts w:cs="Arial"/>
        </w:rPr>
        <w:t xml:space="preserve">, including with respect to community access and integration as well as individual choice. For each site, </w:t>
      </w:r>
      <w:r>
        <w:rPr>
          <w:rFonts w:cs="Arial"/>
        </w:rPr>
        <w:t xml:space="preserve">the visits, through </w:t>
      </w:r>
      <w:r w:rsidR="007D2330">
        <w:rPr>
          <w:rFonts w:cs="Arial"/>
        </w:rPr>
        <w:t>discussion and observation concluded that the site:</w:t>
      </w:r>
    </w:p>
    <w:p w14:paraId="1EADF8B6" w14:textId="77777777" w:rsidR="007D2330" w:rsidRPr="00721B86" w:rsidRDefault="007D2330" w:rsidP="004427AF">
      <w:pPr>
        <w:pStyle w:val="ListParagraph"/>
        <w:numPr>
          <w:ilvl w:val="0"/>
          <w:numId w:val="24"/>
        </w:numPr>
        <w:ind w:left="720"/>
        <w:rPr>
          <w:rFonts w:cs="Arial"/>
        </w:rPr>
      </w:pPr>
      <w:r w:rsidRPr="00721B86">
        <w:rPr>
          <w:rFonts w:cs="Arial"/>
        </w:rPr>
        <w:t>Is integrated with good access to the larger community</w:t>
      </w:r>
      <w:r w:rsidR="0020405B">
        <w:rPr>
          <w:rFonts w:cs="Arial"/>
        </w:rPr>
        <w:t>, with</w:t>
      </w:r>
      <w:r w:rsidR="00721B86">
        <w:rPr>
          <w:rFonts w:cs="Arial"/>
        </w:rPr>
        <w:t xml:space="preserve"> opportunities to engage freel</w:t>
      </w:r>
      <w:r w:rsidRPr="00721B86">
        <w:rPr>
          <w:rFonts w:cs="Arial"/>
        </w:rPr>
        <w:t xml:space="preserve">y in community </w:t>
      </w:r>
      <w:proofErr w:type="gramStart"/>
      <w:r w:rsidRPr="00721B86">
        <w:rPr>
          <w:rFonts w:cs="Arial"/>
        </w:rPr>
        <w:t>life;</w:t>
      </w:r>
      <w:proofErr w:type="gramEnd"/>
    </w:p>
    <w:p w14:paraId="132B0EE6" w14:textId="77777777" w:rsidR="007D2330" w:rsidRPr="00721B86" w:rsidRDefault="007D2330" w:rsidP="004427AF">
      <w:pPr>
        <w:pStyle w:val="ListParagraph"/>
        <w:numPr>
          <w:ilvl w:val="0"/>
          <w:numId w:val="24"/>
        </w:numPr>
        <w:ind w:left="720"/>
        <w:rPr>
          <w:rFonts w:cs="Arial"/>
        </w:rPr>
      </w:pPr>
      <w:r w:rsidRPr="00721B86">
        <w:rPr>
          <w:rFonts w:cs="Arial"/>
        </w:rPr>
        <w:t xml:space="preserve">Has options readily </w:t>
      </w:r>
      <w:r w:rsidR="00721B86" w:rsidRPr="00721B86">
        <w:rPr>
          <w:rFonts w:cs="Arial"/>
        </w:rPr>
        <w:t>available</w:t>
      </w:r>
      <w:r w:rsidRPr="00721B86">
        <w:rPr>
          <w:rFonts w:cs="Arial"/>
        </w:rPr>
        <w:t xml:space="preserve"> to supp</w:t>
      </w:r>
      <w:r w:rsidR="00721B86" w:rsidRPr="00721B86">
        <w:rPr>
          <w:rFonts w:cs="Arial"/>
        </w:rPr>
        <w:t xml:space="preserve">ort the individual in engaging </w:t>
      </w:r>
      <w:r w:rsidRPr="00721B86">
        <w:rPr>
          <w:rFonts w:cs="Arial"/>
        </w:rPr>
        <w:t xml:space="preserve">in work </w:t>
      </w:r>
      <w:r w:rsidR="00721B86" w:rsidRPr="00721B86">
        <w:rPr>
          <w:rFonts w:cs="Arial"/>
        </w:rPr>
        <w:t xml:space="preserve">or meaningful day activities chosen by the </w:t>
      </w:r>
      <w:proofErr w:type="gramStart"/>
      <w:r w:rsidR="00721B86" w:rsidRPr="00721B86">
        <w:rPr>
          <w:rFonts w:cs="Arial"/>
        </w:rPr>
        <w:t>individual;</w:t>
      </w:r>
      <w:proofErr w:type="gramEnd"/>
    </w:p>
    <w:p w14:paraId="75E74A8B" w14:textId="77777777" w:rsidR="00721B86" w:rsidRPr="00721B86" w:rsidRDefault="00721B86" w:rsidP="004427AF">
      <w:pPr>
        <w:pStyle w:val="ListParagraph"/>
        <w:numPr>
          <w:ilvl w:val="0"/>
          <w:numId w:val="24"/>
        </w:numPr>
        <w:ind w:left="720"/>
        <w:rPr>
          <w:rFonts w:cs="Arial"/>
        </w:rPr>
      </w:pPr>
      <w:r w:rsidRPr="00721B86">
        <w:rPr>
          <w:rFonts w:cs="Arial"/>
        </w:rPr>
        <w:t xml:space="preserve">Is supportive of the right to freedom from coercion and </w:t>
      </w:r>
      <w:proofErr w:type="gramStart"/>
      <w:r w:rsidRPr="00721B86">
        <w:rPr>
          <w:rFonts w:cs="Arial"/>
        </w:rPr>
        <w:t>restraint;</w:t>
      </w:r>
      <w:proofErr w:type="gramEnd"/>
    </w:p>
    <w:p w14:paraId="4523B127" w14:textId="77777777" w:rsidR="00721B86" w:rsidRPr="00721B86" w:rsidRDefault="00721B86" w:rsidP="004427AF">
      <w:pPr>
        <w:pStyle w:val="ListParagraph"/>
        <w:numPr>
          <w:ilvl w:val="0"/>
          <w:numId w:val="24"/>
        </w:numPr>
        <w:ind w:left="720"/>
        <w:rPr>
          <w:rFonts w:cs="Arial"/>
        </w:rPr>
      </w:pPr>
      <w:r w:rsidRPr="00721B86">
        <w:rPr>
          <w:rFonts w:cs="Arial"/>
        </w:rPr>
        <w:t xml:space="preserve">Is respectful of the right of individuals to privacy and their right to be treated with </w:t>
      </w:r>
      <w:proofErr w:type="gramStart"/>
      <w:r w:rsidRPr="00721B86">
        <w:rPr>
          <w:rFonts w:cs="Arial"/>
        </w:rPr>
        <w:t>dignity;</w:t>
      </w:r>
      <w:proofErr w:type="gramEnd"/>
    </w:p>
    <w:p w14:paraId="05500C59" w14:textId="6CF45CEC" w:rsidR="00721B86" w:rsidRPr="00721B86" w:rsidRDefault="00721B86" w:rsidP="004427AF">
      <w:pPr>
        <w:pStyle w:val="ListParagraph"/>
        <w:numPr>
          <w:ilvl w:val="0"/>
          <w:numId w:val="24"/>
        </w:numPr>
        <w:ind w:left="720"/>
        <w:rPr>
          <w:rFonts w:cs="Arial"/>
        </w:rPr>
      </w:pPr>
      <w:r w:rsidRPr="00721B86">
        <w:rPr>
          <w:rFonts w:cs="Arial"/>
        </w:rPr>
        <w:t xml:space="preserve">Actively engages the individual and/or their delegates in development and updating the </w:t>
      </w:r>
      <w:r w:rsidR="00840B84">
        <w:rPr>
          <w:rFonts w:cs="Arial"/>
        </w:rPr>
        <w:t xml:space="preserve">individual’s </w:t>
      </w:r>
      <w:r w:rsidR="00CF35A4">
        <w:rPr>
          <w:rFonts w:cs="Arial"/>
        </w:rPr>
        <w:t>p</w:t>
      </w:r>
      <w:r w:rsidRPr="00721B86">
        <w:rPr>
          <w:rFonts w:cs="Arial"/>
        </w:rPr>
        <w:t>erson-</w:t>
      </w:r>
      <w:r w:rsidR="00CF35A4">
        <w:rPr>
          <w:rFonts w:cs="Arial"/>
        </w:rPr>
        <w:t>c</w:t>
      </w:r>
      <w:r w:rsidRPr="00721B86">
        <w:rPr>
          <w:rFonts w:cs="Arial"/>
        </w:rPr>
        <w:t xml:space="preserve">entered </w:t>
      </w:r>
      <w:r w:rsidR="00CF35A4">
        <w:rPr>
          <w:rFonts w:cs="Arial"/>
        </w:rPr>
        <w:t>p</w:t>
      </w:r>
      <w:r w:rsidRPr="00721B86">
        <w:rPr>
          <w:rFonts w:cs="Arial"/>
        </w:rPr>
        <w:t>lan;</w:t>
      </w:r>
      <w:r w:rsidR="00C465CA">
        <w:rPr>
          <w:rFonts w:cs="Arial"/>
        </w:rPr>
        <w:t xml:space="preserve"> and</w:t>
      </w:r>
    </w:p>
    <w:p w14:paraId="6AF66A60" w14:textId="77777777" w:rsidR="00721B86" w:rsidRPr="00721B86" w:rsidRDefault="00721B86" w:rsidP="004427AF">
      <w:pPr>
        <w:pStyle w:val="ListParagraph"/>
        <w:numPr>
          <w:ilvl w:val="0"/>
          <w:numId w:val="24"/>
        </w:numPr>
        <w:ind w:left="720"/>
        <w:rPr>
          <w:rFonts w:cs="Arial"/>
        </w:rPr>
      </w:pPr>
      <w:r w:rsidRPr="00721B86">
        <w:rPr>
          <w:rFonts w:cs="Arial"/>
        </w:rPr>
        <w:t>Maintains a culture that supports individual choice and decision-making.</w:t>
      </w:r>
    </w:p>
    <w:p w14:paraId="0A5BDFFC" w14:textId="77777777" w:rsidR="00746D4A" w:rsidRDefault="00746D4A" w:rsidP="00FD2904">
      <w:pPr>
        <w:rPr>
          <w:rFonts w:cs="Arial"/>
        </w:rPr>
      </w:pPr>
      <w:r>
        <w:rPr>
          <w:rFonts w:cs="Arial"/>
        </w:rPr>
        <w:t xml:space="preserve">The on-site reviews of these five sites </w:t>
      </w:r>
      <w:r w:rsidR="00840B84">
        <w:rPr>
          <w:rFonts w:cs="Arial"/>
        </w:rPr>
        <w:t>confirm</w:t>
      </w:r>
      <w:r w:rsidR="005D4446">
        <w:rPr>
          <w:rFonts w:cs="Arial"/>
        </w:rPr>
        <w:t>ed</w:t>
      </w:r>
      <w:r>
        <w:rPr>
          <w:rFonts w:cs="Arial"/>
        </w:rPr>
        <w:t xml:space="preserve"> that they </w:t>
      </w:r>
      <w:proofErr w:type="gramStart"/>
      <w:r w:rsidR="005D4446">
        <w:rPr>
          <w:rFonts w:cs="Arial"/>
        </w:rPr>
        <w:t xml:space="preserve">were </w:t>
      </w:r>
      <w:r>
        <w:rPr>
          <w:rFonts w:cs="Arial"/>
        </w:rPr>
        <w:t>in compliance with</w:t>
      </w:r>
      <w:proofErr w:type="gramEnd"/>
      <w:r>
        <w:rPr>
          <w:rFonts w:cs="Arial"/>
        </w:rPr>
        <w:t xml:space="preserve"> all aspects of the </w:t>
      </w:r>
      <w:r w:rsidR="002E6451">
        <w:rPr>
          <w:rFonts w:cs="Arial"/>
        </w:rPr>
        <w:t>Community Rule</w:t>
      </w:r>
      <w:r w:rsidR="00EB4366">
        <w:rPr>
          <w:rFonts w:cs="Arial"/>
        </w:rPr>
        <w:t>, except with regard to locks and tenancy agreements as noted above</w:t>
      </w:r>
      <w:r>
        <w:rPr>
          <w:rFonts w:cs="Arial"/>
        </w:rPr>
        <w:t xml:space="preserve">. </w:t>
      </w:r>
    </w:p>
    <w:p w14:paraId="556BF284" w14:textId="474414C2" w:rsidR="00DF152F" w:rsidRDefault="005D4446" w:rsidP="00FD2904">
      <w:pPr>
        <w:rPr>
          <w:rFonts w:cs="Arial"/>
        </w:rPr>
      </w:pPr>
      <w:r>
        <w:rPr>
          <w:rFonts w:cs="Arial"/>
        </w:rPr>
        <w:t>Since completion of the review, all 42 sites have implemented locks and tenancy agreements as required and at the present time demonstrate full compliance with the Rule.</w:t>
      </w:r>
      <w:r w:rsidR="00AD6F13">
        <w:rPr>
          <w:rFonts w:cs="Arial"/>
        </w:rPr>
        <w:t xml:space="preserve"> All newly qualified sites demonstrate full compliance with the Rule.</w:t>
      </w:r>
      <w:r w:rsidR="00DF152F">
        <w:rPr>
          <w:rFonts w:cs="Arial"/>
        </w:rPr>
        <w:t xml:space="preserve"> As of February 2023,</w:t>
      </w:r>
      <w:r w:rsidR="006C6687">
        <w:rPr>
          <w:rFonts w:cs="Arial"/>
        </w:rPr>
        <w:t xml:space="preserve"> MRC contracts with 41 Residential Habilitation providers.</w:t>
      </w:r>
    </w:p>
    <w:p w14:paraId="5355ECE2" w14:textId="0D6DCD9E" w:rsidR="00C37FE3" w:rsidRPr="00693DBF" w:rsidRDefault="00C37FE3" w:rsidP="00361CED">
      <w:pPr>
        <w:rPr>
          <w:rStyle w:val="SubtleEmphasis"/>
        </w:rPr>
      </w:pPr>
      <w:r w:rsidRPr="00693DBF">
        <w:rPr>
          <w:rStyle w:val="SubtleEmphasis"/>
        </w:rPr>
        <w:t>Shared Living 24-Hour Supports</w:t>
      </w:r>
    </w:p>
    <w:p w14:paraId="226D7119" w14:textId="64D1F5F5" w:rsidR="00746D4A" w:rsidRDefault="009666C1" w:rsidP="00651F8A">
      <w:pPr>
        <w:tabs>
          <w:tab w:val="left" w:pos="720"/>
        </w:tabs>
        <w:rPr>
          <w:rFonts w:cs="Arial"/>
        </w:rPr>
      </w:pPr>
      <w:r>
        <w:rPr>
          <w:rFonts w:cs="Arial"/>
        </w:rPr>
        <w:t xml:space="preserve">The </w:t>
      </w:r>
      <w:r w:rsidR="008B1D44">
        <w:rPr>
          <w:rFonts w:cs="Arial"/>
        </w:rPr>
        <w:t xml:space="preserve">initial </w:t>
      </w:r>
      <w:r w:rsidR="006C6687">
        <w:rPr>
          <w:rFonts w:cs="Arial"/>
        </w:rPr>
        <w:t xml:space="preserve">two </w:t>
      </w:r>
      <w:r>
        <w:rPr>
          <w:rFonts w:cs="Arial"/>
        </w:rPr>
        <w:t>shared living sites were found to be in full compliance with accessibility, community engagement, right to privacy, choice, and support for individuals to make independent decisions. All participants confirmed that they felt supported to engage in activities of their choosing, were fully engaged in developing services and in the service planning process, felt that supports were available to assist them as needed, and felt fully supported in making choices for their lives. Homes were accessible as needed for the participant.</w:t>
      </w:r>
      <w:r w:rsidR="00651F8A">
        <w:rPr>
          <w:rFonts w:cs="Arial"/>
        </w:rPr>
        <w:t xml:space="preserve"> These sites developed </w:t>
      </w:r>
      <w:r w:rsidR="00651F8A" w:rsidRPr="00651F8A">
        <w:rPr>
          <w:rFonts w:cs="Arial"/>
        </w:rPr>
        <w:t>legally enforceable agreement</w:t>
      </w:r>
      <w:r w:rsidR="00651F8A">
        <w:rPr>
          <w:rFonts w:cs="Arial"/>
        </w:rPr>
        <w:t>s</w:t>
      </w:r>
      <w:r w:rsidR="00651F8A" w:rsidRPr="00651F8A">
        <w:rPr>
          <w:rFonts w:cs="Arial"/>
        </w:rPr>
        <w:t xml:space="preserve"> provid</w:t>
      </w:r>
      <w:r w:rsidR="00651F8A">
        <w:rPr>
          <w:rFonts w:cs="Arial"/>
        </w:rPr>
        <w:t xml:space="preserve">ing </w:t>
      </w:r>
      <w:r w:rsidR="00651F8A" w:rsidRPr="00651F8A">
        <w:rPr>
          <w:rFonts w:cs="Arial"/>
        </w:rPr>
        <w:t>the participant with the same responsibilities</w:t>
      </w:r>
      <w:r w:rsidR="00651F8A">
        <w:rPr>
          <w:rFonts w:cs="Arial"/>
        </w:rPr>
        <w:t xml:space="preserve"> </w:t>
      </w:r>
      <w:r w:rsidR="00651F8A" w:rsidRPr="00651F8A">
        <w:rPr>
          <w:rFonts w:cs="Arial"/>
        </w:rPr>
        <w:t>and protections from eviction that tenants have under the landlord/tenant law(s) in</w:t>
      </w:r>
      <w:r w:rsidR="00651F8A">
        <w:rPr>
          <w:rFonts w:cs="Arial"/>
        </w:rPr>
        <w:t xml:space="preserve"> </w:t>
      </w:r>
      <w:r w:rsidR="00651F8A" w:rsidRPr="00651F8A">
        <w:rPr>
          <w:rFonts w:cs="Arial"/>
        </w:rPr>
        <w:t>Massachusetts as well as the county or town/city where the participant resides.</w:t>
      </w:r>
    </w:p>
    <w:p w14:paraId="408FE11D" w14:textId="384A2617" w:rsidR="00075A02" w:rsidRDefault="00075A02" w:rsidP="00075A02">
      <w:pPr>
        <w:rPr>
          <w:rFonts w:cs="Arial"/>
        </w:rPr>
      </w:pPr>
      <w:r>
        <w:rPr>
          <w:rFonts w:cs="Arial"/>
        </w:rPr>
        <w:lastRenderedPageBreak/>
        <w:t>As of February 2023, MRC contracts with 1 Shared Living provider</w:t>
      </w:r>
      <w:r w:rsidR="00303190">
        <w:rPr>
          <w:rFonts w:cs="Arial"/>
        </w:rPr>
        <w:t>/site</w:t>
      </w:r>
      <w:r>
        <w:rPr>
          <w:rFonts w:cs="Arial"/>
        </w:rPr>
        <w:t>.</w:t>
      </w:r>
      <w:r w:rsidR="004C4849">
        <w:rPr>
          <w:rFonts w:cs="Arial"/>
        </w:rPr>
        <w:t xml:space="preserve">  </w:t>
      </w:r>
      <w:r w:rsidR="004C4849" w:rsidRPr="00802E10">
        <w:rPr>
          <w:rFonts w:cs="Arial"/>
        </w:rPr>
        <w:t xml:space="preserve">The original count of shared living sites </w:t>
      </w:r>
      <w:r w:rsidR="00D15E68" w:rsidRPr="00802E10">
        <w:rPr>
          <w:rFonts w:cs="Arial"/>
        </w:rPr>
        <w:t>included on</w:t>
      </w:r>
      <w:r w:rsidR="00042BF2" w:rsidRPr="00802E10">
        <w:rPr>
          <w:rFonts w:cs="Arial"/>
        </w:rPr>
        <w:t>e</w:t>
      </w:r>
      <w:r w:rsidR="00D15E68" w:rsidRPr="00802E10">
        <w:rPr>
          <w:rFonts w:cs="Arial"/>
        </w:rPr>
        <w:t xml:space="preserve"> participant who is no longer enrolled and </w:t>
      </w:r>
      <w:r w:rsidR="004C4849" w:rsidRPr="00802E10">
        <w:rPr>
          <w:rFonts w:cs="Arial"/>
        </w:rPr>
        <w:t xml:space="preserve">incorrectly included two </w:t>
      </w:r>
      <w:r w:rsidR="00802E10" w:rsidRPr="00802E10">
        <w:rPr>
          <w:rFonts w:cs="Arial"/>
        </w:rPr>
        <w:t xml:space="preserve">sites with </w:t>
      </w:r>
      <w:r w:rsidR="004C4849" w:rsidRPr="00802E10">
        <w:rPr>
          <w:rFonts w:cs="Arial"/>
        </w:rPr>
        <w:t>non-Medicaid individuals</w:t>
      </w:r>
      <w:r w:rsidR="00D15E68" w:rsidRPr="00802E10">
        <w:rPr>
          <w:rFonts w:cs="Arial"/>
        </w:rPr>
        <w:t>.</w:t>
      </w:r>
      <w:r w:rsidR="00D15E68">
        <w:rPr>
          <w:rFonts w:cs="Arial"/>
        </w:rPr>
        <w:t xml:space="preserve"> </w:t>
      </w:r>
    </w:p>
    <w:p w14:paraId="5B989223" w14:textId="77777777" w:rsidR="009666C1" w:rsidRPr="00693DBF" w:rsidRDefault="00327DC1" w:rsidP="00FD2904">
      <w:pPr>
        <w:tabs>
          <w:tab w:val="left" w:pos="720"/>
        </w:tabs>
        <w:rPr>
          <w:rStyle w:val="Strong"/>
        </w:rPr>
      </w:pPr>
      <w:r w:rsidRPr="00693DBF">
        <w:rPr>
          <w:rStyle w:val="Strong"/>
        </w:rPr>
        <w:t>Non-residential settings</w:t>
      </w:r>
    </w:p>
    <w:p w14:paraId="072B428D" w14:textId="77777777" w:rsidR="0089017D" w:rsidRPr="00693DBF" w:rsidRDefault="0089017D" w:rsidP="00361CED">
      <w:pPr>
        <w:rPr>
          <w:rStyle w:val="SubtleEmphasis"/>
        </w:rPr>
      </w:pPr>
      <w:r w:rsidRPr="00693DBF">
        <w:rPr>
          <w:rStyle w:val="SubtleEmphasis"/>
        </w:rPr>
        <w:t xml:space="preserve">Day Services </w:t>
      </w:r>
    </w:p>
    <w:p w14:paraId="21A4DC0A" w14:textId="1D206D3C" w:rsidR="00327DC1" w:rsidRPr="00B11E60" w:rsidRDefault="0089017D" w:rsidP="00FD2904">
      <w:pPr>
        <w:pStyle w:val="ListParagraph"/>
        <w:tabs>
          <w:tab w:val="left" w:pos="5670"/>
        </w:tabs>
        <w:ind w:left="0"/>
        <w:rPr>
          <w:rFonts w:cs="Arial"/>
        </w:rPr>
      </w:pPr>
      <w:r w:rsidRPr="00C37FE3">
        <w:rPr>
          <w:rFonts w:cs="Arial"/>
        </w:rPr>
        <w:t xml:space="preserve">Consistent with DDS’s findings, </w:t>
      </w:r>
      <w:proofErr w:type="gramStart"/>
      <w:r w:rsidRPr="00C37FE3">
        <w:rPr>
          <w:rFonts w:cs="Arial"/>
        </w:rPr>
        <w:t>all of</w:t>
      </w:r>
      <w:proofErr w:type="gramEnd"/>
      <w:r w:rsidRPr="00C37FE3">
        <w:rPr>
          <w:rFonts w:cs="Arial"/>
        </w:rPr>
        <w:t xml:space="preserve"> the day services providers that contract with both DDS and MRC w</w:t>
      </w:r>
      <w:r w:rsidR="004814A5">
        <w:rPr>
          <w:rFonts w:cs="Arial"/>
        </w:rPr>
        <w:t xml:space="preserve">ere found to </w:t>
      </w:r>
      <w:r w:rsidRPr="00C37FE3">
        <w:rPr>
          <w:rFonts w:cs="Arial"/>
        </w:rPr>
        <w:t xml:space="preserve">require some level of modification to come into full compliance with the </w:t>
      </w:r>
      <w:r w:rsidR="00C465CA">
        <w:rPr>
          <w:rFonts w:cs="Arial"/>
        </w:rPr>
        <w:t>R</w:t>
      </w:r>
      <w:r w:rsidRPr="00C37FE3">
        <w:rPr>
          <w:rFonts w:cs="Arial"/>
        </w:rPr>
        <w:t>ule.</w:t>
      </w:r>
      <w:r>
        <w:rPr>
          <w:rFonts w:cs="Arial"/>
        </w:rPr>
        <w:t xml:space="preserve"> </w:t>
      </w:r>
    </w:p>
    <w:p w14:paraId="4C9A23AE" w14:textId="337FFCF7" w:rsidR="00327DC1" w:rsidRDefault="00187943" w:rsidP="00FD2904">
      <w:pPr>
        <w:rPr>
          <w:rFonts w:cs="Arial"/>
        </w:rPr>
      </w:pPr>
      <w:r>
        <w:rPr>
          <w:rFonts w:cs="Arial"/>
        </w:rPr>
        <w:t xml:space="preserve">Through the review process one provider who contracts only with MRC was </w:t>
      </w:r>
      <w:r w:rsidR="00BE08DA">
        <w:rPr>
          <w:rFonts w:cs="Arial"/>
        </w:rPr>
        <w:t>found to</w:t>
      </w:r>
      <w:r>
        <w:rPr>
          <w:rFonts w:cs="Arial"/>
        </w:rPr>
        <w:t xml:space="preserve"> be</w:t>
      </w:r>
      <w:r w:rsidR="00327DC1" w:rsidRPr="00B11E60">
        <w:rPr>
          <w:rFonts w:cs="Arial"/>
        </w:rPr>
        <w:t xml:space="preserve"> not </w:t>
      </w:r>
      <w:r w:rsidR="00937CCB">
        <w:rPr>
          <w:rFonts w:cs="Arial"/>
        </w:rPr>
        <w:t xml:space="preserve">fully compliant. This provider is not </w:t>
      </w:r>
      <w:r w:rsidR="00327DC1" w:rsidRPr="00B11E60">
        <w:rPr>
          <w:rFonts w:cs="Arial"/>
        </w:rPr>
        <w:t xml:space="preserve">currently utilized by </w:t>
      </w:r>
      <w:r w:rsidR="00C511A4">
        <w:rPr>
          <w:rFonts w:cs="Arial"/>
        </w:rPr>
        <w:t xml:space="preserve">MRC to serve waiver </w:t>
      </w:r>
      <w:r w:rsidR="009F5522" w:rsidRPr="00B11E60">
        <w:rPr>
          <w:rFonts w:cs="Arial"/>
        </w:rPr>
        <w:t>participants and</w:t>
      </w:r>
      <w:r w:rsidR="00327DC1" w:rsidRPr="00B11E60">
        <w:rPr>
          <w:rFonts w:cs="Arial"/>
        </w:rPr>
        <w:t xml:space="preserve"> will not be utilized unless settings and services </w:t>
      </w:r>
      <w:r w:rsidR="00937CCB">
        <w:rPr>
          <w:rFonts w:cs="Arial"/>
        </w:rPr>
        <w:t>come into</w:t>
      </w:r>
      <w:r w:rsidR="00327DC1" w:rsidRPr="00B11E60">
        <w:rPr>
          <w:rFonts w:cs="Arial"/>
        </w:rPr>
        <w:t xml:space="preserve"> full compliance with the Community </w:t>
      </w:r>
      <w:r w:rsidR="0020405B">
        <w:rPr>
          <w:rFonts w:cs="Arial"/>
        </w:rPr>
        <w:t>R</w:t>
      </w:r>
      <w:r w:rsidR="00327DC1" w:rsidRPr="00B11E60">
        <w:rPr>
          <w:rFonts w:cs="Arial"/>
        </w:rPr>
        <w:t>ule.</w:t>
      </w:r>
    </w:p>
    <w:p w14:paraId="50579EF4" w14:textId="58041E26" w:rsidR="00187943" w:rsidRPr="00B11E60" w:rsidRDefault="00187943" w:rsidP="00FD2904">
      <w:pPr>
        <w:rPr>
          <w:rFonts w:cs="Arial"/>
        </w:rPr>
      </w:pPr>
      <w:r w:rsidRPr="00B11E60">
        <w:rPr>
          <w:rFonts w:cs="Arial"/>
        </w:rPr>
        <w:t xml:space="preserve">Of the </w:t>
      </w:r>
      <w:r>
        <w:rPr>
          <w:rFonts w:cs="Arial"/>
        </w:rPr>
        <w:t xml:space="preserve">remaining </w:t>
      </w:r>
      <w:r w:rsidRPr="00B11E60">
        <w:rPr>
          <w:rFonts w:cs="Arial"/>
        </w:rPr>
        <w:t>day providers referenced above</w:t>
      </w:r>
      <w:r>
        <w:rPr>
          <w:rFonts w:cs="Arial"/>
        </w:rPr>
        <w:t xml:space="preserve"> that contract with the UMMS PNA or with MRC only</w:t>
      </w:r>
      <w:r w:rsidRPr="00B11E60">
        <w:rPr>
          <w:rFonts w:cs="Arial"/>
        </w:rPr>
        <w:t xml:space="preserve">, </w:t>
      </w:r>
      <w:r>
        <w:rPr>
          <w:rFonts w:cs="Arial"/>
        </w:rPr>
        <w:t xml:space="preserve">all are visited annually and </w:t>
      </w:r>
      <w:r w:rsidRPr="00B11E60">
        <w:rPr>
          <w:rFonts w:cs="Arial"/>
        </w:rPr>
        <w:t>are engaging participants in services in a manner that compl</w:t>
      </w:r>
      <w:r w:rsidR="000F78D3">
        <w:rPr>
          <w:rFonts w:cs="Arial"/>
        </w:rPr>
        <w:t>ies</w:t>
      </w:r>
      <w:r w:rsidRPr="00B11E60">
        <w:rPr>
          <w:rFonts w:cs="Arial"/>
        </w:rPr>
        <w:t xml:space="preserve"> with the Community Rule.</w:t>
      </w:r>
    </w:p>
    <w:p w14:paraId="4C79E130" w14:textId="77777777" w:rsidR="00AD2827" w:rsidRPr="00693DBF" w:rsidRDefault="00AD2827" w:rsidP="00361CED">
      <w:pPr>
        <w:rPr>
          <w:rStyle w:val="SubtleEmphasis"/>
        </w:rPr>
      </w:pPr>
      <w:r w:rsidRPr="00693DBF">
        <w:rPr>
          <w:rStyle w:val="SubtleEmphasis"/>
        </w:rPr>
        <w:t>Supported Employment</w:t>
      </w:r>
    </w:p>
    <w:p w14:paraId="7AC0D383" w14:textId="74FD7E3B" w:rsidR="00327DC1" w:rsidRPr="00B11E60" w:rsidRDefault="0052329F" w:rsidP="00FD2904">
      <w:pPr>
        <w:tabs>
          <w:tab w:val="left" w:pos="5670"/>
        </w:tabs>
        <w:rPr>
          <w:rFonts w:cs="Arial"/>
        </w:rPr>
      </w:pPr>
      <w:r>
        <w:rPr>
          <w:rFonts w:cs="Arial"/>
        </w:rPr>
        <w:t>All</w:t>
      </w:r>
      <w:r w:rsidR="00385729">
        <w:rPr>
          <w:rFonts w:cs="Arial"/>
        </w:rPr>
        <w:t xml:space="preserve"> providers that are licensed or certified by DDS require some level of modification to </w:t>
      </w:r>
      <w:r w:rsidR="00CA5A4F">
        <w:rPr>
          <w:rFonts w:cs="Arial"/>
        </w:rPr>
        <w:t>achieve full compliance with the Community Rule (see discussion of DDS’s site-specific assessment above). Of the remaining providers that are not licensed or certified by DDS, r</w:t>
      </w:r>
      <w:r w:rsidR="00327DC1" w:rsidRPr="00B11E60">
        <w:rPr>
          <w:rFonts w:cs="Arial"/>
        </w:rPr>
        <w:t xml:space="preserve">eview of these services for compliance with the Community Rule determined that </w:t>
      </w:r>
      <w:r w:rsidR="00AD6F13">
        <w:rPr>
          <w:rFonts w:cs="Arial"/>
        </w:rPr>
        <w:t xml:space="preserve">all </w:t>
      </w:r>
      <w:r w:rsidR="001F22AF">
        <w:rPr>
          <w:rFonts w:cs="Arial"/>
        </w:rPr>
        <w:t xml:space="preserve">providers with one </w:t>
      </w:r>
      <w:r w:rsidR="009F5522">
        <w:rPr>
          <w:rFonts w:cs="Arial"/>
        </w:rPr>
        <w:t xml:space="preserve">exception </w:t>
      </w:r>
      <w:proofErr w:type="gramStart"/>
      <w:r w:rsidR="009F5522">
        <w:rPr>
          <w:rFonts w:cs="Arial"/>
        </w:rPr>
        <w:t>are</w:t>
      </w:r>
      <w:r w:rsidR="00327DC1" w:rsidRPr="00B11E60">
        <w:rPr>
          <w:rFonts w:cs="Arial"/>
        </w:rPr>
        <w:t xml:space="preserve"> in compliance</w:t>
      </w:r>
      <w:proofErr w:type="gramEnd"/>
      <w:r w:rsidR="00327DC1" w:rsidRPr="00B11E60">
        <w:rPr>
          <w:rFonts w:cs="Arial"/>
        </w:rPr>
        <w:t xml:space="preserve">. </w:t>
      </w:r>
      <w:r w:rsidR="00CA5A4F">
        <w:rPr>
          <w:rFonts w:cs="Arial"/>
        </w:rPr>
        <w:t>T</w:t>
      </w:r>
      <w:r w:rsidR="00327DC1" w:rsidRPr="00B11E60">
        <w:rPr>
          <w:rFonts w:cs="Arial"/>
        </w:rPr>
        <w:t>he final provider is not currently utilized by</w:t>
      </w:r>
      <w:r w:rsidR="00C511A4" w:rsidRPr="00C511A4">
        <w:rPr>
          <w:rFonts w:cs="Arial"/>
        </w:rPr>
        <w:t xml:space="preserve"> </w:t>
      </w:r>
      <w:r w:rsidR="00C511A4">
        <w:rPr>
          <w:rFonts w:cs="Arial"/>
        </w:rPr>
        <w:t>MRC to serve waiver</w:t>
      </w:r>
      <w:r w:rsidR="00327DC1" w:rsidRPr="00B11E60">
        <w:rPr>
          <w:rFonts w:cs="Arial"/>
        </w:rPr>
        <w:t xml:space="preserve"> </w:t>
      </w:r>
      <w:r w:rsidR="009F5522" w:rsidRPr="00B11E60">
        <w:rPr>
          <w:rFonts w:cs="Arial"/>
        </w:rPr>
        <w:t>participants and</w:t>
      </w:r>
      <w:r w:rsidR="00327DC1" w:rsidRPr="00B11E60">
        <w:rPr>
          <w:rFonts w:cs="Arial"/>
        </w:rPr>
        <w:t xml:space="preserve"> was determined to not </w:t>
      </w:r>
      <w:proofErr w:type="gramStart"/>
      <w:r w:rsidR="00327DC1" w:rsidRPr="00B11E60">
        <w:rPr>
          <w:rFonts w:cs="Arial"/>
        </w:rPr>
        <w:t>be in compliance with</w:t>
      </w:r>
      <w:proofErr w:type="gramEnd"/>
      <w:r w:rsidR="00327DC1" w:rsidRPr="00B11E60">
        <w:rPr>
          <w:rFonts w:cs="Arial"/>
        </w:rPr>
        <w:t xml:space="preserve"> the Community Rule. This provider was notified that </w:t>
      </w:r>
      <w:proofErr w:type="gramStart"/>
      <w:r w:rsidR="00327DC1" w:rsidRPr="00B11E60">
        <w:rPr>
          <w:rFonts w:cs="Arial"/>
        </w:rPr>
        <w:t>in order to</w:t>
      </w:r>
      <w:proofErr w:type="gramEnd"/>
      <w:r w:rsidR="00327DC1" w:rsidRPr="00B11E60">
        <w:rPr>
          <w:rFonts w:cs="Arial"/>
        </w:rPr>
        <w:t xml:space="preserve"> work with TBI recipients, services would need to change to meet the requirements of the Community Rule.</w:t>
      </w:r>
    </w:p>
    <w:p w14:paraId="527F4A11" w14:textId="5686EF9A" w:rsidR="00D579F0" w:rsidRPr="00693DBF" w:rsidRDefault="00B02375" w:rsidP="00122579">
      <w:pPr>
        <w:pStyle w:val="Heading3"/>
      </w:pPr>
      <w:r>
        <w:rPr>
          <w:rStyle w:val="Heading3Char"/>
          <w:rFonts w:cs="Arial"/>
          <w:b/>
          <w:bCs/>
        </w:rPr>
        <w:t xml:space="preserve">3. </w:t>
      </w:r>
      <w:r w:rsidR="00327DC1" w:rsidRPr="00693DBF">
        <w:rPr>
          <w:rStyle w:val="Heading3Char"/>
          <w:rFonts w:cs="Arial"/>
          <w:b/>
          <w:bCs/>
        </w:rPr>
        <w:t>Remedial Actions/Actions Related to Compliance</w:t>
      </w:r>
      <w:r w:rsidR="00327DC1" w:rsidRPr="00693DBF">
        <w:t xml:space="preserve"> </w:t>
      </w:r>
      <w:r w:rsidR="00D579F0" w:rsidRPr="00693DBF">
        <w:t>(See Table 3</w:t>
      </w:r>
      <w:r w:rsidR="00EF6B1A" w:rsidRPr="00693DBF">
        <w:t>.</w:t>
      </w:r>
      <w:r w:rsidR="00D579F0" w:rsidRPr="00693DBF">
        <w:t xml:space="preserve"> Summary of Transition Plan Tasks and Timelines)</w:t>
      </w:r>
    </w:p>
    <w:p w14:paraId="78494337" w14:textId="77777777" w:rsidR="00FD2904" w:rsidRPr="00693DBF" w:rsidRDefault="00327DC1" w:rsidP="00361CED">
      <w:pPr>
        <w:rPr>
          <w:rStyle w:val="Strong"/>
        </w:rPr>
      </w:pPr>
      <w:r w:rsidRPr="00693DBF">
        <w:rPr>
          <w:rStyle w:val="Strong"/>
        </w:rPr>
        <w:t>Residential settings</w:t>
      </w:r>
    </w:p>
    <w:p w14:paraId="2DA49B67" w14:textId="3FA101CC" w:rsidR="00327DC1" w:rsidRDefault="00937CCB" w:rsidP="00FD2904">
      <w:pPr>
        <w:tabs>
          <w:tab w:val="left" w:pos="720"/>
        </w:tabs>
        <w:rPr>
          <w:rFonts w:cs="Arial"/>
        </w:rPr>
      </w:pPr>
      <w:r>
        <w:rPr>
          <w:rFonts w:cs="Arial"/>
        </w:rPr>
        <w:t xml:space="preserve">As </w:t>
      </w:r>
      <w:r w:rsidR="0031306C">
        <w:rPr>
          <w:rFonts w:cs="Arial"/>
        </w:rPr>
        <w:t>noted</w:t>
      </w:r>
      <w:r>
        <w:rPr>
          <w:rFonts w:cs="Arial"/>
        </w:rPr>
        <w:t xml:space="preserve"> in the Systemic Assessment section, </w:t>
      </w:r>
      <w:r w:rsidR="00EB4366">
        <w:rPr>
          <w:rFonts w:cs="Arial"/>
        </w:rPr>
        <w:t xml:space="preserve">needed </w:t>
      </w:r>
      <w:r>
        <w:rPr>
          <w:rFonts w:cs="Arial"/>
        </w:rPr>
        <w:t>c</w:t>
      </w:r>
      <w:r w:rsidR="00327DC1" w:rsidRPr="0020405B">
        <w:rPr>
          <w:rFonts w:cs="Arial"/>
        </w:rPr>
        <w:t xml:space="preserve">hanges </w:t>
      </w:r>
      <w:r w:rsidR="0031306C">
        <w:rPr>
          <w:rFonts w:cs="Arial"/>
        </w:rPr>
        <w:t xml:space="preserve">across all sites </w:t>
      </w:r>
      <w:r w:rsidR="00327DC1" w:rsidRPr="0020405B">
        <w:rPr>
          <w:rFonts w:cs="Arial"/>
        </w:rPr>
        <w:t>include</w:t>
      </w:r>
      <w:r w:rsidR="00EB4366">
        <w:rPr>
          <w:rFonts w:cs="Arial"/>
        </w:rPr>
        <w:t>d</w:t>
      </w:r>
      <w:r w:rsidR="00327DC1" w:rsidRPr="0020405B">
        <w:rPr>
          <w:rFonts w:cs="Arial"/>
        </w:rPr>
        <w:t xml:space="preserve"> development of </w:t>
      </w:r>
      <w:r>
        <w:rPr>
          <w:rFonts w:cs="Arial"/>
        </w:rPr>
        <w:t>written tenancy agreements</w:t>
      </w:r>
      <w:r w:rsidR="00327DC1" w:rsidRPr="0020405B">
        <w:rPr>
          <w:rFonts w:cs="Arial"/>
        </w:rPr>
        <w:t xml:space="preserve"> and locks on bedroom doors when this is not prohibited by state </w:t>
      </w:r>
      <w:proofErr w:type="gramStart"/>
      <w:r w:rsidR="00327DC1" w:rsidRPr="0020405B">
        <w:rPr>
          <w:rFonts w:cs="Arial"/>
        </w:rPr>
        <w:t>law</w:t>
      </w:r>
      <w:r>
        <w:rPr>
          <w:rFonts w:cs="Arial"/>
        </w:rPr>
        <w:t>;</w:t>
      </w:r>
      <w:proofErr w:type="gramEnd"/>
      <w:r>
        <w:rPr>
          <w:rFonts w:cs="Arial"/>
        </w:rPr>
        <w:t xml:space="preserve"> </w:t>
      </w:r>
      <w:r w:rsidR="00327DC1" w:rsidRPr="0020405B">
        <w:rPr>
          <w:rFonts w:cs="Arial"/>
        </w:rPr>
        <w:t xml:space="preserve">i.e., if the bedroom contains an emergency egress. In these cases, the </w:t>
      </w:r>
      <w:r w:rsidR="0031306C" w:rsidRPr="00DB70A8">
        <w:rPr>
          <w:rFonts w:cs="Arial"/>
        </w:rPr>
        <w:t xml:space="preserve">modification </w:t>
      </w:r>
      <w:r w:rsidR="0031306C">
        <w:rPr>
          <w:rFonts w:cs="Arial"/>
        </w:rPr>
        <w:t xml:space="preserve">as well as the available privacy protocols </w:t>
      </w:r>
      <w:r w:rsidR="00EB4366">
        <w:rPr>
          <w:rFonts w:cs="Arial"/>
        </w:rPr>
        <w:t>was</w:t>
      </w:r>
      <w:r w:rsidR="0031306C" w:rsidRPr="00DB70A8">
        <w:rPr>
          <w:rFonts w:cs="Arial"/>
        </w:rPr>
        <w:t xml:space="preserve"> discussed through the participant’s person-centered planning process, and </w:t>
      </w:r>
      <w:r w:rsidR="0031306C">
        <w:rPr>
          <w:rFonts w:cs="Arial"/>
        </w:rPr>
        <w:t xml:space="preserve">the participant’s </w:t>
      </w:r>
      <w:r w:rsidR="0031306C" w:rsidRPr="00DB70A8">
        <w:rPr>
          <w:rFonts w:cs="Arial"/>
        </w:rPr>
        <w:t xml:space="preserve">agreement </w:t>
      </w:r>
      <w:r w:rsidR="0031306C">
        <w:rPr>
          <w:rFonts w:cs="Arial"/>
        </w:rPr>
        <w:t xml:space="preserve">to accept the non-lockable bedroom </w:t>
      </w:r>
      <w:r w:rsidR="00EB4366">
        <w:rPr>
          <w:rFonts w:cs="Arial"/>
        </w:rPr>
        <w:t>was</w:t>
      </w:r>
      <w:r w:rsidR="0031306C">
        <w:rPr>
          <w:rFonts w:cs="Arial"/>
        </w:rPr>
        <w:t xml:space="preserve"> </w:t>
      </w:r>
      <w:r w:rsidR="0031306C" w:rsidRPr="00DB70A8">
        <w:rPr>
          <w:rFonts w:cs="Arial"/>
        </w:rPr>
        <w:t>documented</w:t>
      </w:r>
      <w:r w:rsidR="00327DC1" w:rsidRPr="0020405B">
        <w:rPr>
          <w:rFonts w:cs="Arial"/>
        </w:rPr>
        <w:t xml:space="preserve">. Other changes include an emphasis within the participant’s </w:t>
      </w:r>
      <w:r w:rsidR="00CF35A4">
        <w:rPr>
          <w:rFonts w:cs="Arial"/>
        </w:rPr>
        <w:t>p</w:t>
      </w:r>
      <w:r w:rsidR="0031306C" w:rsidRPr="0020405B">
        <w:rPr>
          <w:rFonts w:cs="Arial"/>
        </w:rPr>
        <w:t>erson</w:t>
      </w:r>
      <w:r w:rsidR="0031306C">
        <w:rPr>
          <w:rFonts w:cs="Arial"/>
        </w:rPr>
        <w:t>-</w:t>
      </w:r>
      <w:r w:rsidR="00CF35A4">
        <w:rPr>
          <w:rFonts w:cs="Arial"/>
        </w:rPr>
        <w:t>c</w:t>
      </w:r>
      <w:r w:rsidR="0031306C" w:rsidRPr="0020405B">
        <w:rPr>
          <w:rFonts w:cs="Arial"/>
        </w:rPr>
        <w:t xml:space="preserve">entered </w:t>
      </w:r>
      <w:r w:rsidR="0031306C">
        <w:rPr>
          <w:rFonts w:cs="Arial"/>
        </w:rPr>
        <w:t>p</w:t>
      </w:r>
      <w:r w:rsidR="0031306C" w:rsidRPr="0020405B">
        <w:rPr>
          <w:rFonts w:cs="Arial"/>
        </w:rPr>
        <w:t xml:space="preserve">lan </w:t>
      </w:r>
      <w:r w:rsidR="00327DC1" w:rsidRPr="0020405B">
        <w:rPr>
          <w:rFonts w:cs="Arial"/>
        </w:rPr>
        <w:t>on community engagement and compliance with the policy changes noted elsewhere.</w:t>
      </w:r>
    </w:p>
    <w:p w14:paraId="32FDC403" w14:textId="2C753A13" w:rsidR="00C01178" w:rsidRPr="0020405B" w:rsidRDefault="00C01178" w:rsidP="00C01178">
      <w:pPr>
        <w:rPr>
          <w:rFonts w:cs="Arial"/>
        </w:rPr>
      </w:pPr>
      <w:r>
        <w:rPr>
          <w:rFonts w:cs="Arial"/>
        </w:rPr>
        <w:t>A</w:t>
      </w:r>
      <w:r w:rsidRPr="00073835">
        <w:rPr>
          <w:rFonts w:cs="Arial"/>
        </w:rPr>
        <w:t xml:space="preserve">ll settings were assessed and validated for all settings rule criteria. </w:t>
      </w:r>
      <w:r>
        <w:rPr>
          <w:rFonts w:cs="Arial"/>
        </w:rPr>
        <w:t>Locks and l</w:t>
      </w:r>
      <w:r w:rsidRPr="002F0DB3">
        <w:rPr>
          <w:rFonts w:cs="Arial"/>
        </w:rPr>
        <w:t xml:space="preserve">ease agreements were not in place at the time of initial review and all providers were required to implement changes in </w:t>
      </w:r>
      <w:r>
        <w:rPr>
          <w:rFonts w:cs="Arial"/>
        </w:rPr>
        <w:t>these</w:t>
      </w:r>
      <w:r w:rsidRPr="002F0DB3">
        <w:rPr>
          <w:rFonts w:cs="Arial"/>
        </w:rPr>
        <w:t xml:space="preserve"> area</w:t>
      </w:r>
      <w:r>
        <w:rPr>
          <w:rFonts w:cs="Arial"/>
        </w:rPr>
        <w:t>s</w:t>
      </w:r>
      <w:r w:rsidRPr="002F0DB3">
        <w:rPr>
          <w:rFonts w:cs="Arial"/>
        </w:rPr>
        <w:t xml:space="preserve">. Subsequent reviews confirmed that all providers had </w:t>
      </w:r>
      <w:r w:rsidRPr="002F0DB3">
        <w:rPr>
          <w:rFonts w:cs="Arial"/>
        </w:rPr>
        <w:lastRenderedPageBreak/>
        <w:t xml:space="preserve">implemented necessary changes to comply with requirements for locks on bedroom doors and </w:t>
      </w:r>
      <w:r>
        <w:rPr>
          <w:rFonts w:cs="Arial"/>
        </w:rPr>
        <w:t>lease</w:t>
      </w:r>
      <w:r w:rsidRPr="002F0DB3">
        <w:rPr>
          <w:rFonts w:cs="Arial"/>
        </w:rPr>
        <w:t xml:space="preserve"> agreements.</w:t>
      </w:r>
      <w:r>
        <w:rPr>
          <w:rFonts w:cs="Arial"/>
        </w:rPr>
        <w:t xml:space="preserve">  </w:t>
      </w:r>
      <w:r w:rsidR="000B1EDB">
        <w:rPr>
          <w:rFonts w:cs="Arial"/>
        </w:rPr>
        <w:t>The</w:t>
      </w:r>
      <w:r>
        <w:rPr>
          <w:rFonts w:cs="Arial"/>
        </w:rPr>
        <w:t xml:space="preserve"> annual</w:t>
      </w:r>
      <w:r w:rsidR="000B1EDB">
        <w:rPr>
          <w:rFonts w:cs="Arial"/>
        </w:rPr>
        <w:t xml:space="preserve"> </w:t>
      </w:r>
      <w:r w:rsidR="00741BAB">
        <w:rPr>
          <w:rFonts w:cs="Arial"/>
        </w:rPr>
        <w:t>contracted provider review process includes both a</w:t>
      </w:r>
      <w:r>
        <w:rPr>
          <w:rFonts w:cs="Arial"/>
        </w:rPr>
        <w:t xml:space="preserve"> site visit </w:t>
      </w:r>
      <w:r w:rsidR="00741BAB">
        <w:rPr>
          <w:rFonts w:cs="Arial"/>
        </w:rPr>
        <w:t>and</w:t>
      </w:r>
      <w:r>
        <w:rPr>
          <w:rFonts w:cs="Arial"/>
        </w:rPr>
        <w:t xml:space="preserve"> a r</w:t>
      </w:r>
      <w:r>
        <w:t>eview of policies</w:t>
      </w:r>
      <w:r w:rsidR="001C3DD1">
        <w:t xml:space="preserve">, </w:t>
      </w:r>
      <w:r>
        <w:t>training records</w:t>
      </w:r>
      <w:r w:rsidR="001C3DD1">
        <w:t>, and</w:t>
      </w:r>
      <w:r w:rsidR="000471F8">
        <w:t xml:space="preserve"> has been updated to include review of</w:t>
      </w:r>
      <w:r w:rsidR="001C3DD1">
        <w:t xml:space="preserve"> lease agreements</w:t>
      </w:r>
      <w:r>
        <w:t>.</w:t>
      </w:r>
    </w:p>
    <w:p w14:paraId="1EEA932A" w14:textId="77777777" w:rsidR="00FD2904" w:rsidRPr="00693DBF" w:rsidRDefault="00327DC1" w:rsidP="00AD2827">
      <w:pPr>
        <w:tabs>
          <w:tab w:val="left" w:pos="720"/>
        </w:tabs>
        <w:rPr>
          <w:rStyle w:val="Strong"/>
        </w:rPr>
      </w:pPr>
      <w:r w:rsidRPr="00693DBF">
        <w:rPr>
          <w:rStyle w:val="Strong"/>
        </w:rPr>
        <w:t>Non-residential settings</w:t>
      </w:r>
    </w:p>
    <w:p w14:paraId="281C7672" w14:textId="4DC2950F" w:rsidR="009D6702" w:rsidRDefault="009D6702" w:rsidP="00FD2904">
      <w:pPr>
        <w:tabs>
          <w:tab w:val="left" w:pos="720"/>
          <w:tab w:val="left" w:pos="5670"/>
        </w:tabs>
        <w:rPr>
          <w:rFonts w:cs="Arial"/>
        </w:rPr>
      </w:pPr>
      <w:r>
        <w:rPr>
          <w:rFonts w:cs="Arial"/>
        </w:rPr>
        <w:t xml:space="preserve">The remediation strategy for both </w:t>
      </w:r>
      <w:r w:rsidR="00750B99">
        <w:rPr>
          <w:rFonts w:cs="Arial"/>
        </w:rPr>
        <w:t>day services</w:t>
      </w:r>
      <w:r>
        <w:rPr>
          <w:rFonts w:cs="Arial"/>
        </w:rPr>
        <w:t xml:space="preserve"> and employment settings </w:t>
      </w:r>
      <w:proofErr w:type="gramStart"/>
      <w:r w:rsidR="009C5F18">
        <w:rPr>
          <w:rFonts w:cs="Arial"/>
        </w:rPr>
        <w:t>aligns</w:t>
      </w:r>
      <w:proofErr w:type="gramEnd"/>
      <w:r w:rsidR="009C5F18">
        <w:rPr>
          <w:rFonts w:cs="Arial"/>
        </w:rPr>
        <w:t xml:space="preserve"> fully </w:t>
      </w:r>
      <w:r>
        <w:rPr>
          <w:rFonts w:cs="Arial"/>
        </w:rPr>
        <w:t xml:space="preserve">with the approach described above in the DDS site-specific assessment section for all providers that are contracted </w:t>
      </w:r>
      <w:r w:rsidR="009F5522">
        <w:rPr>
          <w:rFonts w:cs="Arial"/>
        </w:rPr>
        <w:t>with or</w:t>
      </w:r>
      <w:r w:rsidR="00750B99">
        <w:rPr>
          <w:rFonts w:cs="Arial"/>
        </w:rPr>
        <w:t xml:space="preserve"> are</w:t>
      </w:r>
      <w:r>
        <w:rPr>
          <w:rFonts w:cs="Arial"/>
        </w:rPr>
        <w:t xml:space="preserve"> licensed </w:t>
      </w:r>
      <w:r w:rsidR="00750B99">
        <w:rPr>
          <w:rFonts w:cs="Arial"/>
        </w:rPr>
        <w:t xml:space="preserve">or </w:t>
      </w:r>
      <w:r>
        <w:rPr>
          <w:rFonts w:cs="Arial"/>
        </w:rPr>
        <w:t>certified by DDS. Of the day services and employment settings</w:t>
      </w:r>
      <w:r w:rsidR="001A15FC">
        <w:rPr>
          <w:rFonts w:cs="Arial"/>
        </w:rPr>
        <w:t xml:space="preserve"> </w:t>
      </w:r>
      <w:r w:rsidR="00B848AD">
        <w:rPr>
          <w:rFonts w:cs="Arial"/>
        </w:rPr>
        <w:t>operating at the time of</w:t>
      </w:r>
      <w:r w:rsidR="001444FA">
        <w:rPr>
          <w:rFonts w:cs="Arial"/>
        </w:rPr>
        <w:t xml:space="preserve"> the</w:t>
      </w:r>
      <w:r w:rsidR="00B848AD">
        <w:rPr>
          <w:rFonts w:cs="Arial"/>
        </w:rPr>
        <w:t xml:space="preserve"> initial review </w:t>
      </w:r>
      <w:r>
        <w:rPr>
          <w:rFonts w:cs="Arial"/>
        </w:rPr>
        <w:t xml:space="preserve">that </w:t>
      </w:r>
      <w:r w:rsidR="00B848AD">
        <w:rPr>
          <w:rFonts w:cs="Arial"/>
        </w:rPr>
        <w:t>were</w:t>
      </w:r>
      <w:r>
        <w:rPr>
          <w:rFonts w:cs="Arial"/>
        </w:rPr>
        <w:t xml:space="preserve"> not DDS-contracted</w:t>
      </w:r>
      <w:r w:rsidR="00750B99">
        <w:rPr>
          <w:rFonts w:cs="Arial"/>
        </w:rPr>
        <w:t>, -</w:t>
      </w:r>
      <w:r>
        <w:rPr>
          <w:rFonts w:cs="Arial"/>
        </w:rPr>
        <w:t>licensed</w:t>
      </w:r>
      <w:r w:rsidR="00750B99">
        <w:rPr>
          <w:rFonts w:cs="Arial"/>
        </w:rPr>
        <w:t>, or -certified</w:t>
      </w:r>
      <w:r>
        <w:rPr>
          <w:rFonts w:cs="Arial"/>
        </w:rPr>
        <w:t xml:space="preserve">, </w:t>
      </w:r>
      <w:r w:rsidR="00750B99">
        <w:rPr>
          <w:rFonts w:cs="Arial"/>
        </w:rPr>
        <w:t xml:space="preserve">all but </w:t>
      </w:r>
      <w:r w:rsidR="0042579F">
        <w:rPr>
          <w:rFonts w:cs="Arial"/>
        </w:rPr>
        <w:t>one of each type</w:t>
      </w:r>
      <w:r w:rsidR="00750B99">
        <w:rPr>
          <w:rFonts w:cs="Arial"/>
        </w:rPr>
        <w:t xml:space="preserve"> were determined to comply fully with the Community Rule, and therefore require</w:t>
      </w:r>
      <w:r w:rsidR="009C5F18">
        <w:rPr>
          <w:rFonts w:cs="Arial"/>
        </w:rPr>
        <w:t>d</w:t>
      </w:r>
      <w:r w:rsidR="00750B99">
        <w:rPr>
          <w:rFonts w:cs="Arial"/>
        </w:rPr>
        <w:t xml:space="preserve"> no remediation. One day services provider was determined to be unable to comply and will not serve waiver participants going forward. </w:t>
      </w:r>
      <w:r w:rsidR="006C61B3">
        <w:rPr>
          <w:rFonts w:cs="Arial"/>
        </w:rPr>
        <w:t>T</w:t>
      </w:r>
      <w:r w:rsidR="00750B99">
        <w:rPr>
          <w:rFonts w:cs="Arial"/>
        </w:rPr>
        <w:t xml:space="preserve">he one employment provider </w:t>
      </w:r>
      <w:r w:rsidR="006C61B3">
        <w:rPr>
          <w:rFonts w:cs="Arial"/>
        </w:rPr>
        <w:t xml:space="preserve">identified as not compliant </w:t>
      </w:r>
      <w:r w:rsidR="00750B99">
        <w:rPr>
          <w:rFonts w:cs="Arial"/>
        </w:rPr>
        <w:t xml:space="preserve">currently does not serve any waiver participants. </w:t>
      </w:r>
      <w:r w:rsidR="006C61B3">
        <w:rPr>
          <w:rFonts w:cs="Arial"/>
        </w:rPr>
        <w:t xml:space="preserve">MRC determined that this setting is unable to comply; </w:t>
      </w:r>
      <w:r w:rsidR="00750B99">
        <w:rPr>
          <w:rFonts w:cs="Arial"/>
        </w:rPr>
        <w:t xml:space="preserve">this setting will not serve waiver participants going forward. </w:t>
      </w:r>
    </w:p>
    <w:p w14:paraId="7811058A" w14:textId="3FD313E3" w:rsidR="00415438" w:rsidRDefault="00C37FE3" w:rsidP="00CF558B">
      <w:r>
        <w:t>Any</w:t>
      </w:r>
      <w:r w:rsidR="00327DC1" w:rsidRPr="00B11E60">
        <w:t xml:space="preserve"> individuals served in settings that cannot meet requirements will be notified by the Waiver Unit that they will no longer be receiving services in these settings through an HCBS Waiver. Individuals will be informed of their right and supported around their interest to receive services in another setting or through another qualified provider. Additionally, if they choose to stay in their current setting, they will be informed of the implications of that decision</w:t>
      </w:r>
      <w:r w:rsidR="00F4250B" w:rsidRPr="00F4250B">
        <w:t xml:space="preserve"> </w:t>
      </w:r>
      <w:r w:rsidR="00F4250B">
        <w:t>for their continued waiver participation as well as the potential impact on their MassHealth eligibility. All such participants will also be notified of their appeal rights</w:t>
      </w:r>
      <w:r w:rsidR="00327DC1" w:rsidRPr="00B11E60">
        <w:t>.</w:t>
      </w:r>
    </w:p>
    <w:p w14:paraId="2EC49C0B" w14:textId="7549BD9F" w:rsidR="00B848AD" w:rsidRDefault="00B848AD" w:rsidP="00B848AD">
      <w:pPr>
        <w:rPr>
          <w:rFonts w:cs="Arial"/>
        </w:rPr>
      </w:pPr>
      <w:r>
        <w:rPr>
          <w:rFonts w:cs="Arial"/>
        </w:rPr>
        <w:t>All newly qualified day and employment settings have demonstrated full compliance with the Rule upon enrollment.</w:t>
      </w:r>
    </w:p>
    <w:p w14:paraId="300608EB" w14:textId="77777777" w:rsidR="00227E71" w:rsidRPr="00CF558B" w:rsidRDefault="00227E71" w:rsidP="00CF558B">
      <w:pPr>
        <w:rPr>
          <w:b/>
        </w:rPr>
      </w:pPr>
    </w:p>
    <w:p w14:paraId="6DD67719" w14:textId="77777777" w:rsidR="00327DC1" w:rsidRPr="00122579" w:rsidRDefault="00327DC1" w:rsidP="008E7527">
      <w:pPr>
        <w:pStyle w:val="Heading2"/>
        <w:rPr>
          <w:rStyle w:val="Strong"/>
          <w:b/>
          <w:bCs/>
          <w:sz w:val="26"/>
          <w:szCs w:val="26"/>
        </w:rPr>
      </w:pPr>
      <w:r w:rsidRPr="00122579">
        <w:rPr>
          <w:sz w:val="26"/>
          <w:szCs w:val="26"/>
        </w:rPr>
        <w:t>C.  Waiver operated by the Executive Office of Elder Affairs (EOEA)</w:t>
      </w:r>
    </w:p>
    <w:p w14:paraId="57A3F57D" w14:textId="67A9A2AC" w:rsidR="00327DC1" w:rsidRPr="00B11E60" w:rsidRDefault="00327DC1" w:rsidP="00327DC1">
      <w:pPr>
        <w:rPr>
          <w:rFonts w:cs="Arial"/>
        </w:rPr>
      </w:pPr>
      <w:r w:rsidRPr="00B11E60">
        <w:rPr>
          <w:rFonts w:cs="Arial"/>
        </w:rPr>
        <w:t>The nature of the Frail Elder Waiver (FEW) is to keep participants in their home</w:t>
      </w:r>
      <w:r w:rsidR="00F4250B">
        <w:rPr>
          <w:rFonts w:cs="Arial"/>
        </w:rPr>
        <w:t>s</w:t>
      </w:r>
      <w:r w:rsidRPr="00B11E60">
        <w:rPr>
          <w:rFonts w:cs="Arial"/>
        </w:rPr>
        <w:t xml:space="preserve"> in the communities that they have chosen. </w:t>
      </w:r>
      <w:r w:rsidR="009C5F18">
        <w:rPr>
          <w:rFonts w:cs="Arial"/>
        </w:rPr>
        <w:t xml:space="preserve">EOEA’s systemic review (described above in Section IV) </w:t>
      </w:r>
      <w:r w:rsidRPr="00B11E60">
        <w:rPr>
          <w:rFonts w:cs="Arial"/>
        </w:rPr>
        <w:t>identified two types of settings that EOEA determined should be further examined</w:t>
      </w:r>
      <w:r w:rsidR="009C5F18">
        <w:rPr>
          <w:rFonts w:cs="Arial"/>
        </w:rPr>
        <w:t xml:space="preserve"> in its site-specific assessment process</w:t>
      </w:r>
      <w:r w:rsidRPr="00B11E60">
        <w:rPr>
          <w:rFonts w:cs="Arial"/>
        </w:rPr>
        <w:t xml:space="preserve"> </w:t>
      </w:r>
      <w:proofErr w:type="gramStart"/>
      <w:r w:rsidRPr="00B11E60">
        <w:rPr>
          <w:rFonts w:cs="Arial"/>
        </w:rPr>
        <w:t>in order to</w:t>
      </w:r>
      <w:proofErr w:type="gramEnd"/>
      <w:r w:rsidRPr="00B11E60">
        <w:rPr>
          <w:rFonts w:cs="Arial"/>
        </w:rPr>
        <w:t xml:space="preserve"> ensure full compliance with the HCBS Community Rule:</w:t>
      </w:r>
    </w:p>
    <w:p w14:paraId="480D9C8B" w14:textId="77777777" w:rsidR="00327DC1" w:rsidRPr="00B11E60" w:rsidRDefault="00327DC1" w:rsidP="004427AF">
      <w:pPr>
        <w:pStyle w:val="ListParagraph"/>
        <w:numPr>
          <w:ilvl w:val="0"/>
          <w:numId w:val="10"/>
        </w:numPr>
        <w:rPr>
          <w:rFonts w:cs="Arial"/>
        </w:rPr>
      </w:pPr>
      <w:r w:rsidRPr="00B11E60">
        <w:rPr>
          <w:rFonts w:cs="Arial"/>
        </w:rPr>
        <w:t xml:space="preserve">settings in which the FEW </w:t>
      </w:r>
      <w:proofErr w:type="gramStart"/>
      <w:r w:rsidRPr="00B11E60">
        <w:rPr>
          <w:rFonts w:cs="Arial"/>
        </w:rPr>
        <w:t>service</w:t>
      </w:r>
      <w:proofErr w:type="gramEnd"/>
      <w:r w:rsidRPr="00B11E60">
        <w:rPr>
          <w:rFonts w:cs="Arial"/>
        </w:rPr>
        <w:t xml:space="preserve"> of Supportive Day Care is delivered; and </w:t>
      </w:r>
    </w:p>
    <w:p w14:paraId="4D3B5C0F" w14:textId="77777777" w:rsidR="00327DC1" w:rsidRDefault="00327DC1" w:rsidP="004427AF">
      <w:pPr>
        <w:pStyle w:val="ListParagraph"/>
        <w:numPr>
          <w:ilvl w:val="0"/>
          <w:numId w:val="10"/>
        </w:numPr>
        <w:contextualSpacing w:val="0"/>
        <w:rPr>
          <w:rFonts w:cs="Arial"/>
        </w:rPr>
      </w:pPr>
      <w:r w:rsidRPr="00B11E60">
        <w:rPr>
          <w:rFonts w:cs="Arial"/>
        </w:rPr>
        <w:t xml:space="preserve">congregate housing settings in which a small number of FEW participants have chosen to live.  </w:t>
      </w:r>
    </w:p>
    <w:p w14:paraId="794783F0" w14:textId="415280BA" w:rsidR="00D579F0" w:rsidRPr="00BC407F" w:rsidRDefault="001B743A" w:rsidP="008E7527">
      <w:pPr>
        <w:pStyle w:val="Heading3"/>
        <w:numPr>
          <w:ilvl w:val="0"/>
          <w:numId w:val="36"/>
        </w:numPr>
        <w:rPr>
          <w:rStyle w:val="Heading3Char"/>
          <w:rFonts w:cs="Arial"/>
        </w:rPr>
      </w:pPr>
      <w:r>
        <w:rPr>
          <w:rStyle w:val="Heading3Char"/>
          <w:rFonts w:cs="Arial"/>
          <w:b/>
          <w:bCs/>
        </w:rPr>
        <w:t xml:space="preserve">1. </w:t>
      </w:r>
      <w:r w:rsidR="00327DC1" w:rsidRPr="00BC407F">
        <w:rPr>
          <w:rStyle w:val="Heading3Char"/>
          <w:rFonts w:cs="Arial"/>
          <w:b/>
          <w:bCs/>
        </w:rPr>
        <w:t xml:space="preserve">Process </w:t>
      </w:r>
      <w:r w:rsidR="00D579F0" w:rsidRPr="00BC407F">
        <w:rPr>
          <w:rStyle w:val="Heading3Char"/>
          <w:rFonts w:cs="Arial"/>
        </w:rPr>
        <w:t>(See Table 3</w:t>
      </w:r>
      <w:r w:rsidR="00EF6B1A" w:rsidRPr="00BC407F">
        <w:rPr>
          <w:rStyle w:val="Heading3Char"/>
          <w:rFonts w:cs="Arial"/>
        </w:rPr>
        <w:t>.</w:t>
      </w:r>
      <w:r w:rsidR="00D579F0" w:rsidRPr="00BC407F">
        <w:rPr>
          <w:rStyle w:val="Heading3Char"/>
          <w:rFonts w:cs="Arial"/>
        </w:rPr>
        <w:t xml:space="preserve"> Summary of Transition Plan Tasks and Timelines)</w:t>
      </w:r>
    </w:p>
    <w:p w14:paraId="479D7BE2" w14:textId="77777777" w:rsidR="00FD2904" w:rsidRPr="00BC407F" w:rsidRDefault="00327DC1" w:rsidP="00361CED">
      <w:pPr>
        <w:rPr>
          <w:rStyle w:val="SubtleEmphasis"/>
        </w:rPr>
      </w:pPr>
      <w:r w:rsidRPr="00BC407F">
        <w:rPr>
          <w:rStyle w:val="SubtleEmphasis"/>
        </w:rPr>
        <w:t>Supportive Day Programs</w:t>
      </w:r>
    </w:p>
    <w:p w14:paraId="7FA663F1" w14:textId="77777777" w:rsidR="00FD2904" w:rsidRDefault="00327DC1" w:rsidP="00FD2904">
      <w:pPr>
        <w:rPr>
          <w:rFonts w:cs="Arial"/>
        </w:rPr>
      </w:pPr>
      <w:r w:rsidRPr="00FD2904">
        <w:rPr>
          <w:rFonts w:cs="Arial"/>
        </w:rPr>
        <w:t xml:space="preserve">A FEW </w:t>
      </w:r>
      <w:proofErr w:type="gramStart"/>
      <w:r w:rsidRPr="00FD2904">
        <w:rPr>
          <w:rFonts w:cs="Arial"/>
        </w:rPr>
        <w:t>participant</w:t>
      </w:r>
      <w:proofErr w:type="gramEnd"/>
      <w:r w:rsidRPr="00FD2904">
        <w:rPr>
          <w:rFonts w:cs="Arial"/>
        </w:rPr>
        <w:t xml:space="preserve"> may chose, during his/her person-centered service planning process, to include Supportive Day services in his/her service plan. Supportive Day services provide an </w:t>
      </w:r>
      <w:r w:rsidRPr="00FD2904">
        <w:rPr>
          <w:rFonts w:cs="Arial"/>
        </w:rPr>
        <w:lastRenderedPageBreak/>
        <w:t xml:space="preserve">opportunity for socialization with peers and include activities geared to ensuring participants’ integration into the wider community.  </w:t>
      </w:r>
    </w:p>
    <w:p w14:paraId="2D550266" w14:textId="74950391" w:rsidR="00FD2904" w:rsidRDefault="1297EB67" w:rsidP="00FD2904">
      <w:pPr>
        <w:rPr>
          <w:rFonts w:cs="Arial"/>
        </w:rPr>
      </w:pPr>
      <w:r w:rsidRPr="5E83C6CD">
        <w:rPr>
          <w:rFonts w:cs="Arial"/>
        </w:rPr>
        <w:t xml:space="preserve">In September </w:t>
      </w:r>
      <w:r w:rsidR="6728B2F2" w:rsidRPr="5E83C6CD">
        <w:rPr>
          <w:rFonts w:cs="Arial"/>
        </w:rPr>
        <w:t>2015,</w:t>
      </w:r>
      <w:r w:rsidRPr="5E83C6CD">
        <w:rPr>
          <w:rFonts w:cs="Arial"/>
        </w:rPr>
        <w:t xml:space="preserve"> EOEA conducted, through its </w:t>
      </w:r>
      <w:r w:rsidR="0F9FE398" w:rsidRPr="5E83C6CD">
        <w:rPr>
          <w:rFonts w:cs="Arial"/>
        </w:rPr>
        <w:t xml:space="preserve">agents </w:t>
      </w:r>
      <w:r w:rsidRPr="5E83C6CD">
        <w:rPr>
          <w:rFonts w:cs="Arial"/>
        </w:rPr>
        <w:t xml:space="preserve">(ASAPs), a comprehensive review of all Supportive Day settings. </w:t>
      </w:r>
      <w:r w:rsidR="4EEECA13" w:rsidRPr="5E83C6CD">
        <w:rPr>
          <w:rFonts w:cs="Arial"/>
        </w:rPr>
        <w:t>At that time, f</w:t>
      </w:r>
      <w:r w:rsidRPr="5E83C6CD">
        <w:rPr>
          <w:rFonts w:cs="Arial"/>
        </w:rPr>
        <w:t>ifty-six (56) Supportive Day providers</w:t>
      </w:r>
      <w:r w:rsidR="4EEECA13" w:rsidRPr="5E83C6CD">
        <w:rPr>
          <w:rFonts w:cs="Arial"/>
        </w:rPr>
        <w:t xml:space="preserve"> were</w:t>
      </w:r>
      <w:r w:rsidRPr="5E83C6CD">
        <w:rPr>
          <w:rFonts w:cs="Arial"/>
        </w:rPr>
        <w:t xml:space="preserve"> contract</w:t>
      </w:r>
      <w:r w:rsidR="4EEECA13" w:rsidRPr="5E83C6CD">
        <w:rPr>
          <w:rFonts w:cs="Arial"/>
        </w:rPr>
        <w:t>ed</w:t>
      </w:r>
      <w:r w:rsidRPr="5E83C6CD">
        <w:rPr>
          <w:rFonts w:cs="Arial"/>
        </w:rPr>
        <w:t xml:space="preserve"> with one or more of the </w:t>
      </w:r>
      <w:r w:rsidR="4EEECA13" w:rsidRPr="5E83C6CD">
        <w:rPr>
          <w:rFonts w:cs="Arial"/>
        </w:rPr>
        <w:t xml:space="preserve">then </w:t>
      </w:r>
      <w:r w:rsidRPr="5E83C6CD">
        <w:rPr>
          <w:rFonts w:cs="Arial"/>
        </w:rPr>
        <w:t>26 ASAPs throughout the commonwealth</w:t>
      </w:r>
      <w:r w:rsidR="23814131" w:rsidRPr="5E83C6CD">
        <w:rPr>
          <w:rFonts w:cs="Arial"/>
        </w:rPr>
        <w:t xml:space="preserve">. </w:t>
      </w:r>
      <w:r w:rsidR="4EEECA13" w:rsidRPr="5E83C6CD">
        <w:rPr>
          <w:rFonts w:cs="Arial"/>
        </w:rPr>
        <w:t>Twelve</w:t>
      </w:r>
      <w:r w:rsidRPr="5E83C6CD">
        <w:rPr>
          <w:rFonts w:cs="Arial"/>
        </w:rPr>
        <w:t xml:space="preserve"> of these sites were utilized by 87 FEW participants. To ensure that all FEW participants have access to the available Supportive Day services and sites, all 56 contracted Supportive Day providers were reviewed. </w:t>
      </w:r>
    </w:p>
    <w:p w14:paraId="3149C19F" w14:textId="5327F740" w:rsidR="00E504DE" w:rsidRPr="00FD2904" w:rsidRDefault="00327DC1" w:rsidP="00FD2904">
      <w:pPr>
        <w:rPr>
          <w:rFonts w:cs="Arial"/>
        </w:rPr>
      </w:pPr>
      <w:r w:rsidRPr="00FD2904">
        <w:rPr>
          <w:rFonts w:cs="Arial"/>
        </w:rPr>
        <w:t xml:space="preserve">A survey was developed by EOEA and completed by </w:t>
      </w:r>
      <w:r w:rsidR="00DB698E">
        <w:rPr>
          <w:rFonts w:cs="Arial"/>
        </w:rPr>
        <w:t>the ASAPs</w:t>
      </w:r>
      <w:r w:rsidR="00B07DE0" w:rsidRPr="00FD2904">
        <w:rPr>
          <w:rFonts w:cs="Arial"/>
        </w:rPr>
        <w:t xml:space="preserve"> </w:t>
      </w:r>
      <w:proofErr w:type="gramStart"/>
      <w:r w:rsidR="00564FB8" w:rsidRPr="00FD2904">
        <w:rPr>
          <w:rFonts w:cs="Arial"/>
        </w:rPr>
        <w:t>in order to</w:t>
      </w:r>
      <w:proofErr w:type="gramEnd"/>
      <w:r w:rsidR="00564FB8" w:rsidRPr="00FD2904">
        <w:rPr>
          <w:rFonts w:cs="Arial"/>
        </w:rPr>
        <w:t xml:space="preserve"> determine compliance of each Supportive Day Program </w:t>
      </w:r>
      <w:r w:rsidR="004A6571">
        <w:rPr>
          <w:rFonts w:cs="Arial"/>
        </w:rPr>
        <w:t xml:space="preserve">potentially </w:t>
      </w:r>
      <w:r w:rsidR="00564FB8" w:rsidRPr="00FD2904">
        <w:rPr>
          <w:rFonts w:cs="Arial"/>
        </w:rPr>
        <w:t xml:space="preserve">available to </w:t>
      </w:r>
      <w:r w:rsidR="00DB698E">
        <w:rPr>
          <w:rFonts w:cs="Arial"/>
        </w:rPr>
        <w:t>FEW participants</w:t>
      </w:r>
      <w:r w:rsidR="00564FB8" w:rsidRPr="00FD2904">
        <w:rPr>
          <w:rFonts w:cs="Arial"/>
        </w:rPr>
        <w:t xml:space="preserve">. The survey supplemented EOEA’s systemic assessment of existing policies, including the Supportive Day Program service specifications that outline the minimum requirements each program must meet </w:t>
      </w:r>
      <w:proofErr w:type="gramStart"/>
      <w:r w:rsidR="00564FB8" w:rsidRPr="00FD2904">
        <w:rPr>
          <w:rFonts w:cs="Arial"/>
        </w:rPr>
        <w:t>in order to</w:t>
      </w:r>
      <w:proofErr w:type="gramEnd"/>
      <w:r w:rsidR="00564FB8" w:rsidRPr="00FD2904">
        <w:rPr>
          <w:rFonts w:cs="Arial"/>
        </w:rPr>
        <w:t xml:space="preserve"> become</w:t>
      </w:r>
      <w:r w:rsidR="003F5AB9" w:rsidRPr="00FD2904">
        <w:rPr>
          <w:rFonts w:cs="Arial"/>
        </w:rPr>
        <w:t xml:space="preserve"> and remain</w:t>
      </w:r>
      <w:r w:rsidR="00564FB8" w:rsidRPr="00FD2904">
        <w:rPr>
          <w:rFonts w:cs="Arial"/>
        </w:rPr>
        <w:t xml:space="preserve"> a contracted provider of this service</w:t>
      </w:r>
      <w:r w:rsidRPr="00FD2904">
        <w:rPr>
          <w:rFonts w:cs="Arial"/>
        </w:rPr>
        <w:t xml:space="preserve">. </w:t>
      </w:r>
      <w:r w:rsidR="003F5AB9" w:rsidRPr="00FD2904">
        <w:rPr>
          <w:rFonts w:cs="Arial"/>
        </w:rPr>
        <w:t xml:space="preserve">EOEA’s agents ensure that providers maintain compliance with such requirements through the regular and ongoing contract management process described in </w:t>
      </w:r>
      <w:r w:rsidR="00415A7C" w:rsidRPr="00FD2904">
        <w:rPr>
          <w:rFonts w:cs="Arial"/>
        </w:rPr>
        <w:t xml:space="preserve">Section IV.C., </w:t>
      </w:r>
      <w:r w:rsidR="003F5AB9" w:rsidRPr="00FD2904">
        <w:rPr>
          <w:rFonts w:cs="Arial"/>
        </w:rPr>
        <w:t>Systemic Assessment. Where EOEA identified</w:t>
      </w:r>
      <w:r w:rsidR="004A6571">
        <w:rPr>
          <w:rFonts w:cs="Arial"/>
        </w:rPr>
        <w:t>,</w:t>
      </w:r>
      <w:r w:rsidR="003F5AB9" w:rsidRPr="00FD2904">
        <w:rPr>
          <w:rFonts w:cs="Arial"/>
        </w:rPr>
        <w:t xml:space="preserve"> through its systemic assessment process</w:t>
      </w:r>
      <w:r w:rsidR="004A6571">
        <w:rPr>
          <w:rFonts w:cs="Arial"/>
        </w:rPr>
        <w:t>,</w:t>
      </w:r>
      <w:r w:rsidR="003F5AB9" w:rsidRPr="00FD2904">
        <w:rPr>
          <w:rFonts w:cs="Arial"/>
        </w:rPr>
        <w:t xml:space="preserve"> that the </w:t>
      </w:r>
      <w:r w:rsidR="009D1A21">
        <w:rPr>
          <w:rFonts w:cs="Arial"/>
        </w:rPr>
        <w:t xml:space="preserve">physical location </w:t>
      </w:r>
      <w:r w:rsidR="003F5AB9" w:rsidRPr="00FD2904">
        <w:rPr>
          <w:rFonts w:cs="Arial"/>
        </w:rPr>
        <w:t xml:space="preserve">requirements of the </w:t>
      </w:r>
      <w:r w:rsidR="002E6451" w:rsidRPr="00FD2904">
        <w:rPr>
          <w:rFonts w:cs="Arial"/>
        </w:rPr>
        <w:t>Community Rule</w:t>
      </w:r>
      <w:r w:rsidR="003F5AB9" w:rsidRPr="00FD2904">
        <w:rPr>
          <w:rFonts w:cs="Arial"/>
        </w:rPr>
        <w:t xml:space="preserve"> were </w:t>
      </w:r>
      <w:r w:rsidR="009D1A21">
        <w:rPr>
          <w:rFonts w:cs="Arial"/>
        </w:rPr>
        <w:t>not included in</w:t>
      </w:r>
      <w:r w:rsidR="003F5AB9" w:rsidRPr="00FD2904">
        <w:rPr>
          <w:rFonts w:cs="Arial"/>
        </w:rPr>
        <w:t xml:space="preserve"> the service specifications for contracted providers in terms of physical location, the </w:t>
      </w:r>
      <w:r w:rsidRPr="00FD2904">
        <w:rPr>
          <w:rFonts w:cs="Arial"/>
        </w:rPr>
        <w:t>survey required submission of information about Supportive Day Program locations and physical settings</w:t>
      </w:r>
      <w:r w:rsidR="00171FD6" w:rsidRPr="00FD2904">
        <w:rPr>
          <w:rFonts w:cs="Arial"/>
        </w:rPr>
        <w:t>. For sites that reported being located in the same building as, adjacent to, or on the grounds of a campus with a medical facility or other service site, the survey was designed to elicit additional information about</w:t>
      </w:r>
      <w:r w:rsidRPr="00FD2904">
        <w:rPr>
          <w:rFonts w:cs="Arial"/>
        </w:rPr>
        <w:t xml:space="preserve"> the design of the program, comprehensiveness of the programs’ approach to ensuring participants’ integration in and with the community, as well as staff knowledge of participant</w:t>
      </w:r>
      <w:r w:rsidR="00415A7C" w:rsidRPr="00FD2904">
        <w:rPr>
          <w:rFonts w:cs="Arial"/>
        </w:rPr>
        <w:t>s’</w:t>
      </w:r>
      <w:r w:rsidRPr="00FD2904">
        <w:rPr>
          <w:rFonts w:cs="Arial"/>
        </w:rPr>
        <w:t xml:space="preserve"> preferences</w:t>
      </w:r>
      <w:r w:rsidR="00415A7C" w:rsidRPr="00FD2904">
        <w:rPr>
          <w:rFonts w:cs="Arial"/>
        </w:rPr>
        <w:t>, capabilities, and interests and how they are integrated</w:t>
      </w:r>
      <w:r w:rsidRPr="00FD2904">
        <w:rPr>
          <w:rFonts w:cs="Arial"/>
        </w:rPr>
        <w:t xml:space="preserve"> in care planning and the programming provided.</w:t>
      </w:r>
      <w:r w:rsidR="004C3BF2" w:rsidRPr="00FD2904">
        <w:rPr>
          <w:rFonts w:cs="Arial"/>
        </w:rPr>
        <w:t xml:space="preserve"> </w:t>
      </w:r>
      <w:r w:rsidR="00F527E5" w:rsidRPr="00FD2904">
        <w:rPr>
          <w:rFonts w:cs="Arial"/>
        </w:rPr>
        <w:t xml:space="preserve">Together, the survey and the program specifications address all aspects of the </w:t>
      </w:r>
      <w:r w:rsidR="002E6451" w:rsidRPr="00FD2904">
        <w:rPr>
          <w:rFonts w:cs="Arial"/>
        </w:rPr>
        <w:t>Community Rule</w:t>
      </w:r>
      <w:r w:rsidR="00F527E5" w:rsidRPr="00FD2904">
        <w:rPr>
          <w:rFonts w:cs="Arial"/>
        </w:rPr>
        <w:t xml:space="preserve">. </w:t>
      </w:r>
      <w:r w:rsidR="00066265" w:rsidRPr="00FD2904">
        <w:rPr>
          <w:rFonts w:cs="Arial"/>
        </w:rPr>
        <w:t xml:space="preserve">The survey responses </w:t>
      </w:r>
      <w:r w:rsidR="003F5AB9" w:rsidRPr="00FD2904">
        <w:rPr>
          <w:rFonts w:cs="Arial"/>
        </w:rPr>
        <w:t xml:space="preserve">thus </w:t>
      </w:r>
      <w:r w:rsidR="00F527E5" w:rsidRPr="00FD2904">
        <w:rPr>
          <w:rFonts w:cs="Arial"/>
        </w:rPr>
        <w:t xml:space="preserve">enabled the </w:t>
      </w:r>
      <w:r w:rsidR="00066265" w:rsidRPr="00FD2904">
        <w:rPr>
          <w:rFonts w:cs="Arial"/>
        </w:rPr>
        <w:t>ASAPs</w:t>
      </w:r>
      <w:r w:rsidR="00F527E5" w:rsidRPr="00FD2904">
        <w:rPr>
          <w:rFonts w:cs="Arial"/>
        </w:rPr>
        <w:t xml:space="preserve"> to </w:t>
      </w:r>
      <w:r w:rsidR="00F4250B" w:rsidRPr="00FD2904">
        <w:rPr>
          <w:rFonts w:cs="Arial"/>
        </w:rPr>
        <w:t xml:space="preserve">fully </w:t>
      </w:r>
      <w:r w:rsidR="00DB698E">
        <w:rPr>
          <w:rFonts w:cs="Arial"/>
        </w:rPr>
        <w:t>review and document</w:t>
      </w:r>
      <w:r w:rsidR="00DB698E" w:rsidRPr="00FD2904">
        <w:rPr>
          <w:rFonts w:cs="Arial"/>
        </w:rPr>
        <w:t xml:space="preserve"> </w:t>
      </w:r>
      <w:r w:rsidR="00F527E5" w:rsidRPr="00FD2904">
        <w:rPr>
          <w:rFonts w:cs="Arial"/>
        </w:rPr>
        <w:t xml:space="preserve">each setting’s compliance </w:t>
      </w:r>
      <w:r w:rsidR="003F5AB9" w:rsidRPr="00FD2904">
        <w:rPr>
          <w:rFonts w:cs="Arial"/>
        </w:rPr>
        <w:t xml:space="preserve">with the </w:t>
      </w:r>
      <w:r w:rsidR="002E6451" w:rsidRPr="00FD2904">
        <w:rPr>
          <w:rFonts w:cs="Arial"/>
        </w:rPr>
        <w:t>Community Rule</w:t>
      </w:r>
      <w:r w:rsidR="00066265" w:rsidRPr="00FD2904">
        <w:rPr>
          <w:rFonts w:cs="Arial"/>
        </w:rPr>
        <w:t xml:space="preserve">. </w:t>
      </w:r>
    </w:p>
    <w:p w14:paraId="7595BDEF" w14:textId="7042337D" w:rsidR="00414A88" w:rsidRPr="00E504DE" w:rsidRDefault="00415A7C" w:rsidP="00FD2904">
      <w:pPr>
        <w:rPr>
          <w:rFonts w:cs="Arial"/>
        </w:rPr>
      </w:pPr>
      <w:r w:rsidRPr="00E504DE">
        <w:rPr>
          <w:rFonts w:cs="Arial"/>
        </w:rPr>
        <w:t>ASAP</w:t>
      </w:r>
      <w:r w:rsidR="009B5F5A">
        <w:rPr>
          <w:rFonts w:cs="Arial"/>
        </w:rPr>
        <w:t xml:space="preserve"> staff</w:t>
      </w:r>
      <w:r w:rsidRPr="00E504DE">
        <w:rPr>
          <w:rFonts w:cs="Arial"/>
        </w:rPr>
        <w:t xml:space="preserve"> </w:t>
      </w:r>
      <w:r w:rsidR="00FE1EAD">
        <w:rPr>
          <w:rFonts w:cs="Arial"/>
        </w:rPr>
        <w:t xml:space="preserve">conduct on-site </w:t>
      </w:r>
      <w:r w:rsidR="007A4045">
        <w:rPr>
          <w:rFonts w:cs="Arial"/>
        </w:rPr>
        <w:t>reviews</w:t>
      </w:r>
      <w:r w:rsidRPr="00E504DE">
        <w:rPr>
          <w:rFonts w:cs="Arial"/>
        </w:rPr>
        <w:t xml:space="preserve"> </w:t>
      </w:r>
      <w:r w:rsidR="007A4045">
        <w:rPr>
          <w:rFonts w:cs="Arial"/>
        </w:rPr>
        <w:t>of</w:t>
      </w:r>
      <w:r w:rsidRPr="00E504DE">
        <w:rPr>
          <w:rFonts w:cs="Arial"/>
        </w:rPr>
        <w:t xml:space="preserve"> each contracted Supportive Day Program site </w:t>
      </w:r>
      <w:r w:rsidR="007A4045">
        <w:rPr>
          <w:rFonts w:cs="Arial"/>
        </w:rPr>
        <w:t xml:space="preserve">as part of their contract monitoring responsibilities. </w:t>
      </w:r>
      <w:r w:rsidR="002A2D38">
        <w:rPr>
          <w:rFonts w:cs="Arial"/>
        </w:rPr>
        <w:t>B</w:t>
      </w:r>
      <w:r w:rsidRPr="00E504DE">
        <w:rPr>
          <w:rFonts w:cs="Arial"/>
        </w:rPr>
        <w:t xml:space="preserve">ased on </w:t>
      </w:r>
      <w:r w:rsidR="002A2D38">
        <w:rPr>
          <w:rFonts w:cs="Arial"/>
        </w:rPr>
        <w:t xml:space="preserve">that </w:t>
      </w:r>
      <w:r w:rsidRPr="00E504DE">
        <w:rPr>
          <w:rFonts w:cs="Arial"/>
        </w:rPr>
        <w:t>on-site monitoring and specific knowledge of each program</w:t>
      </w:r>
      <w:r w:rsidR="002A2D38">
        <w:rPr>
          <w:rFonts w:cs="Arial"/>
        </w:rPr>
        <w:t xml:space="preserve">, </w:t>
      </w:r>
      <w:r w:rsidR="00733141">
        <w:rPr>
          <w:rFonts w:cs="Arial"/>
        </w:rPr>
        <w:t>ASAP staf</w:t>
      </w:r>
      <w:r w:rsidR="00036588">
        <w:rPr>
          <w:rFonts w:cs="Arial"/>
        </w:rPr>
        <w:t>f completed the surveys</w:t>
      </w:r>
      <w:r w:rsidR="00841E51">
        <w:rPr>
          <w:rFonts w:cs="Arial"/>
        </w:rPr>
        <w:t xml:space="preserve"> regarding </w:t>
      </w:r>
      <w:r w:rsidR="007F50B1">
        <w:rPr>
          <w:rFonts w:cs="Arial"/>
        </w:rPr>
        <w:t xml:space="preserve">each Supportive Day Program’s </w:t>
      </w:r>
      <w:r w:rsidR="00841E51">
        <w:rPr>
          <w:rFonts w:cs="Arial"/>
        </w:rPr>
        <w:t>compliance with all aspects of the community rule</w:t>
      </w:r>
      <w:r w:rsidR="00D83577">
        <w:rPr>
          <w:rFonts w:cs="Arial"/>
        </w:rPr>
        <w:t>.</w:t>
      </w:r>
      <w:r w:rsidRPr="00E504DE">
        <w:rPr>
          <w:rFonts w:cs="Arial"/>
        </w:rPr>
        <w:t xml:space="preserve"> EOEA revi</w:t>
      </w:r>
      <w:r w:rsidR="00E504DE" w:rsidRPr="00E504DE">
        <w:rPr>
          <w:rFonts w:cs="Arial"/>
        </w:rPr>
        <w:t>e</w:t>
      </w:r>
      <w:r w:rsidRPr="00E504DE">
        <w:rPr>
          <w:rFonts w:cs="Arial"/>
        </w:rPr>
        <w:t xml:space="preserve">wed and analyzed survey results for all 56 Supportive Day programs, gathering additional information as needed from the </w:t>
      </w:r>
      <w:r w:rsidR="007F50B1">
        <w:rPr>
          <w:rFonts w:cs="Arial"/>
        </w:rPr>
        <w:t>ASAP staff</w:t>
      </w:r>
      <w:r w:rsidRPr="00E504DE">
        <w:rPr>
          <w:rFonts w:cs="Arial"/>
        </w:rPr>
        <w:t xml:space="preserve"> that performed the primary review. </w:t>
      </w:r>
      <w:r w:rsidR="007A4ACB">
        <w:rPr>
          <w:rFonts w:cs="Arial"/>
        </w:rPr>
        <w:t>A total of four of the 56 sites w</w:t>
      </w:r>
      <w:r w:rsidR="001B0CA1">
        <w:rPr>
          <w:rFonts w:cs="Arial"/>
        </w:rPr>
        <w:t>as</w:t>
      </w:r>
      <w:r w:rsidR="007A4ACB">
        <w:rPr>
          <w:rFonts w:cs="Arial"/>
        </w:rPr>
        <w:t xml:space="preserve"> identified as </w:t>
      </w:r>
      <w:r w:rsidR="00FE77BB">
        <w:rPr>
          <w:rFonts w:cs="Arial"/>
        </w:rPr>
        <w:t>needing additional review</w:t>
      </w:r>
      <w:r w:rsidR="007A4ACB">
        <w:rPr>
          <w:rFonts w:cs="Arial"/>
        </w:rPr>
        <w:t xml:space="preserve">, and </w:t>
      </w:r>
      <w:r w:rsidR="00066265" w:rsidRPr="00E504DE">
        <w:rPr>
          <w:rFonts w:cs="Arial"/>
        </w:rPr>
        <w:t xml:space="preserve">EOEA staff subsequently conducted on-site visits at </w:t>
      </w:r>
      <w:r w:rsidR="007A4ACB">
        <w:rPr>
          <w:rFonts w:cs="Arial"/>
        </w:rPr>
        <w:t xml:space="preserve">each of these </w:t>
      </w:r>
      <w:r w:rsidRPr="00E504DE">
        <w:rPr>
          <w:rFonts w:cs="Arial"/>
        </w:rPr>
        <w:t>four</w:t>
      </w:r>
      <w:r w:rsidR="00066265" w:rsidRPr="00E504DE">
        <w:rPr>
          <w:rFonts w:cs="Arial"/>
        </w:rPr>
        <w:t xml:space="preserve"> sites.</w:t>
      </w:r>
      <w:r w:rsidR="00E504DE">
        <w:rPr>
          <w:rFonts w:cs="Arial"/>
        </w:rPr>
        <w:t xml:space="preserve"> </w:t>
      </w:r>
      <w:r w:rsidR="0006657A">
        <w:rPr>
          <w:rFonts w:cs="Arial"/>
        </w:rPr>
        <w:t xml:space="preserve">These site visits were focused on key elements that </w:t>
      </w:r>
      <w:r w:rsidR="009454D9">
        <w:rPr>
          <w:rFonts w:cs="Arial"/>
        </w:rPr>
        <w:t>had not been confirmed during the ASAP site revie</w:t>
      </w:r>
      <w:r w:rsidR="00DB7B04">
        <w:rPr>
          <w:rFonts w:cs="Arial"/>
        </w:rPr>
        <w:t>w</w:t>
      </w:r>
      <w:r w:rsidR="009454D9">
        <w:rPr>
          <w:rFonts w:cs="Arial"/>
        </w:rPr>
        <w:t xml:space="preserve">s and survey results. </w:t>
      </w:r>
      <w:r w:rsidR="00E504DE">
        <w:rPr>
          <w:rFonts w:cs="Arial"/>
        </w:rPr>
        <w:t>On-site visits included review of the setting, discussion with participants and staff regarding the setting’s relationship with nearby medical, nursing, or assisted living facilities, ability to meet consumer’s needs and desires, freedom from coercion and restraint, access to food, person centered care planning processes, participants’ freedom to choose activities important to them, and inclusion in the community.</w:t>
      </w:r>
    </w:p>
    <w:p w14:paraId="3F394DC3" w14:textId="77777777" w:rsidR="00AF58C0" w:rsidRDefault="00AF58C0" w:rsidP="00361CED">
      <w:pPr>
        <w:rPr>
          <w:rStyle w:val="SubtleEmphasis"/>
        </w:rPr>
      </w:pPr>
      <w:r>
        <w:rPr>
          <w:rStyle w:val="SubtleEmphasis"/>
        </w:rPr>
        <w:br w:type="page"/>
      </w:r>
    </w:p>
    <w:p w14:paraId="0CA47D7A" w14:textId="788FC9B0" w:rsidR="00FD2904" w:rsidRPr="00BC407F" w:rsidRDefault="00327DC1" w:rsidP="00361CED">
      <w:pPr>
        <w:rPr>
          <w:rStyle w:val="SubtleEmphasis"/>
        </w:rPr>
      </w:pPr>
      <w:r w:rsidRPr="00BC407F">
        <w:rPr>
          <w:rStyle w:val="SubtleEmphasis"/>
        </w:rPr>
        <w:lastRenderedPageBreak/>
        <w:t>Congregate Housing</w:t>
      </w:r>
    </w:p>
    <w:p w14:paraId="1D6E6A58" w14:textId="5BE32F61" w:rsidR="00FD2904" w:rsidRDefault="00327DC1" w:rsidP="00FD2904">
      <w:pPr>
        <w:rPr>
          <w:rFonts w:cs="Arial"/>
        </w:rPr>
      </w:pPr>
      <w:r w:rsidRPr="00FD2904">
        <w:rPr>
          <w:rFonts w:cs="Arial"/>
        </w:rPr>
        <w:t xml:space="preserve">In Massachusetts, certain elders have chosen to live in </w:t>
      </w:r>
      <w:r w:rsidR="00876664" w:rsidRPr="00FD2904">
        <w:rPr>
          <w:rFonts w:cs="Arial"/>
        </w:rPr>
        <w:t>congregate housing</w:t>
      </w:r>
      <w:r w:rsidRPr="00FD2904">
        <w:rPr>
          <w:rFonts w:cs="Arial"/>
        </w:rPr>
        <w:t xml:space="preserve">. Within the state of </w:t>
      </w:r>
      <w:r w:rsidR="000E7C08" w:rsidRPr="00FD2904">
        <w:rPr>
          <w:rFonts w:cs="Arial"/>
        </w:rPr>
        <w:t>Massachusetts,</w:t>
      </w:r>
      <w:r w:rsidRPr="00FD2904">
        <w:rPr>
          <w:rFonts w:cs="Arial"/>
        </w:rPr>
        <w:t xml:space="preserve"> there </w:t>
      </w:r>
      <w:r w:rsidR="00F634F5">
        <w:rPr>
          <w:rFonts w:cs="Arial"/>
        </w:rPr>
        <w:t>were</w:t>
      </w:r>
      <w:r w:rsidRPr="00FD2904">
        <w:rPr>
          <w:rFonts w:cs="Arial"/>
        </w:rPr>
        <w:t xml:space="preserve"> </w:t>
      </w:r>
      <w:r w:rsidR="0044459D" w:rsidRPr="00FD2904">
        <w:rPr>
          <w:rFonts w:cs="Arial"/>
        </w:rPr>
        <w:t>44</w:t>
      </w:r>
      <w:r w:rsidRPr="00FD2904">
        <w:rPr>
          <w:rFonts w:cs="Arial"/>
        </w:rPr>
        <w:t xml:space="preserve"> congregate housing sites that encompass</w:t>
      </w:r>
      <w:r w:rsidR="00EC5CD1">
        <w:rPr>
          <w:rFonts w:cs="Arial"/>
        </w:rPr>
        <w:t>ed</w:t>
      </w:r>
      <w:r w:rsidRPr="00FD2904">
        <w:rPr>
          <w:rFonts w:cs="Arial"/>
        </w:rPr>
        <w:t xml:space="preserve"> 572 individual units</w:t>
      </w:r>
      <w:r w:rsidR="00F634F5">
        <w:rPr>
          <w:rFonts w:cs="Arial"/>
        </w:rPr>
        <w:t xml:space="preserve"> at the time of initial review</w:t>
      </w:r>
      <w:r w:rsidRPr="00FD2904">
        <w:rPr>
          <w:rFonts w:cs="Arial"/>
        </w:rPr>
        <w:t xml:space="preserve">. </w:t>
      </w:r>
      <w:r w:rsidR="00586758">
        <w:rPr>
          <w:rFonts w:cs="Arial"/>
        </w:rPr>
        <w:t>C</w:t>
      </w:r>
      <w:r w:rsidRPr="00FD2904">
        <w:rPr>
          <w:rFonts w:cs="Arial"/>
        </w:rPr>
        <w:t xml:space="preserve">ongregate housing is a shared living environment designed to integrate housing and </w:t>
      </w:r>
      <w:r w:rsidR="00F4250B" w:rsidRPr="00FD2904">
        <w:rPr>
          <w:rFonts w:cs="Arial"/>
        </w:rPr>
        <w:t xml:space="preserve">certain </w:t>
      </w:r>
      <w:r w:rsidRPr="00FD2904">
        <w:rPr>
          <w:rFonts w:cs="Arial"/>
        </w:rPr>
        <w:t>services needed by elders and younger disabled individuals</w:t>
      </w:r>
      <w:r w:rsidR="00F4250B" w:rsidRPr="00FD2904">
        <w:rPr>
          <w:rFonts w:cs="Arial"/>
        </w:rPr>
        <w:t xml:space="preserve"> who choose this environment as their home</w:t>
      </w:r>
      <w:r w:rsidRPr="00FD2904">
        <w:rPr>
          <w:rFonts w:cs="Arial"/>
        </w:rPr>
        <w:t xml:space="preserve">. Congregate </w:t>
      </w:r>
      <w:r w:rsidR="00876664" w:rsidRPr="00FD2904">
        <w:rPr>
          <w:rFonts w:cs="Arial"/>
        </w:rPr>
        <w:t xml:space="preserve">housing </w:t>
      </w:r>
      <w:r w:rsidRPr="00FD2904">
        <w:rPr>
          <w:rFonts w:cs="Arial"/>
        </w:rPr>
        <w:t xml:space="preserve">settings </w:t>
      </w:r>
      <w:proofErr w:type="gramStart"/>
      <w:r w:rsidRPr="00FD2904">
        <w:rPr>
          <w:rFonts w:cs="Arial"/>
        </w:rPr>
        <w:t>are located in</w:t>
      </w:r>
      <w:proofErr w:type="gramEnd"/>
      <w:r w:rsidRPr="00FD2904">
        <w:rPr>
          <w:rFonts w:cs="Arial"/>
        </w:rPr>
        <w:t xml:space="preserve"> the community within neighborhoods or housing developments. </w:t>
      </w:r>
      <w:r w:rsidR="007A4ACB" w:rsidRPr="00FD2904">
        <w:rPr>
          <w:rFonts w:cs="Arial"/>
        </w:rPr>
        <w:t>Within the setting, each resident has a private bedroom, but may share one or more of the following:  kitchen facilities, dining facilities, and/or bathing facilities. Throughout the state, there are many variations in size and design of congregate housing.</w:t>
      </w:r>
      <w:r w:rsidR="007A4ACB">
        <w:rPr>
          <w:rFonts w:cs="Arial"/>
        </w:rPr>
        <w:t xml:space="preserve"> </w:t>
      </w:r>
      <w:r w:rsidRPr="00FD2904">
        <w:rPr>
          <w:rFonts w:cs="Arial"/>
        </w:rPr>
        <w:t xml:space="preserve">The goal of congregate housing is to increase self-sufficiency through the provision of </w:t>
      </w:r>
      <w:r w:rsidR="00876664" w:rsidRPr="00FD2904">
        <w:rPr>
          <w:rFonts w:cs="Arial"/>
        </w:rPr>
        <w:t>supports</w:t>
      </w:r>
      <w:r w:rsidRPr="00FD2904">
        <w:rPr>
          <w:rFonts w:cs="Arial"/>
        </w:rPr>
        <w:t xml:space="preserve"> in a </w:t>
      </w:r>
      <w:r w:rsidR="00876664" w:rsidRPr="00FD2904">
        <w:rPr>
          <w:rFonts w:cs="Arial"/>
        </w:rPr>
        <w:t xml:space="preserve">shared </w:t>
      </w:r>
      <w:r w:rsidRPr="00FD2904">
        <w:rPr>
          <w:rFonts w:cs="Arial"/>
        </w:rPr>
        <w:t xml:space="preserve">setting. </w:t>
      </w:r>
      <w:r w:rsidR="00586758" w:rsidRPr="00FD2904">
        <w:rPr>
          <w:rFonts w:cs="Arial"/>
        </w:rPr>
        <w:t xml:space="preserve">As for any FEW </w:t>
      </w:r>
      <w:proofErr w:type="gramStart"/>
      <w:r w:rsidR="00586758" w:rsidRPr="00FD2904">
        <w:rPr>
          <w:rFonts w:cs="Arial"/>
        </w:rPr>
        <w:t>participant</w:t>
      </w:r>
      <w:proofErr w:type="gramEnd"/>
      <w:r w:rsidR="00586758" w:rsidRPr="00FD2904">
        <w:rPr>
          <w:rFonts w:cs="Arial"/>
        </w:rPr>
        <w:t xml:space="preserve">, a participant who resides in congregate housing will develop with their case manager a person-centered individual care plan to identify and authorize the specific waiver services they may need and want. These services are delivered separately and independent of any supports available within the congregate housing setting. </w:t>
      </w:r>
      <w:r w:rsidRPr="00FD2904">
        <w:rPr>
          <w:rFonts w:cs="Arial"/>
        </w:rPr>
        <w:t xml:space="preserve">Congregate housing is neither a nursing home nor a medical facility. It does not offer 24-hour care or supervision. </w:t>
      </w:r>
      <w:r w:rsidR="00876664" w:rsidRPr="00FD2904">
        <w:rPr>
          <w:rFonts w:cs="Arial"/>
        </w:rPr>
        <w:t xml:space="preserve">Congregate housing provides housing in a supportive, communal—but not custodial—environment. </w:t>
      </w:r>
      <w:r w:rsidR="00586758" w:rsidRPr="00FD2904">
        <w:rPr>
          <w:rFonts w:cs="Arial"/>
        </w:rPr>
        <w:t xml:space="preserve">Congregate housing is not a waiver service, nor is it a 24/7 staffed residence. </w:t>
      </w:r>
      <w:r w:rsidR="00876664" w:rsidRPr="00FD2904">
        <w:rPr>
          <w:rFonts w:cs="Arial"/>
        </w:rPr>
        <w:t xml:space="preserve">Services are not inherent to the </w:t>
      </w:r>
      <w:r w:rsidR="00C35B18" w:rsidRPr="00FD2904">
        <w:rPr>
          <w:rFonts w:cs="Arial"/>
        </w:rPr>
        <w:t>c</w:t>
      </w:r>
      <w:r w:rsidR="00876664" w:rsidRPr="00FD2904">
        <w:rPr>
          <w:rFonts w:cs="Arial"/>
        </w:rPr>
        <w:t>ongregate setting</w:t>
      </w:r>
      <w:r w:rsidR="00C35B18" w:rsidRPr="00FD2904">
        <w:rPr>
          <w:rFonts w:cs="Arial"/>
        </w:rPr>
        <w:t xml:space="preserve">, nor are residents required to receive services </w:t>
      </w:r>
      <w:proofErr w:type="gramStart"/>
      <w:r w:rsidR="00C35B18" w:rsidRPr="00FD2904">
        <w:rPr>
          <w:rFonts w:cs="Arial"/>
        </w:rPr>
        <w:t>in order to</w:t>
      </w:r>
      <w:proofErr w:type="gramEnd"/>
      <w:r w:rsidR="00C35B18" w:rsidRPr="00FD2904">
        <w:rPr>
          <w:rFonts w:cs="Arial"/>
        </w:rPr>
        <w:t xml:space="preserve"> reside in congregate housing</w:t>
      </w:r>
      <w:r w:rsidR="00876664" w:rsidRPr="00FD2904">
        <w:rPr>
          <w:rFonts w:cs="Arial"/>
        </w:rPr>
        <w:t>.</w:t>
      </w:r>
      <w:r w:rsidRPr="00FD2904">
        <w:rPr>
          <w:rFonts w:cs="Arial"/>
        </w:rPr>
        <w:t xml:space="preserve">  </w:t>
      </w:r>
    </w:p>
    <w:p w14:paraId="2FF26E36" w14:textId="3CDD4288" w:rsidR="00327DC1" w:rsidRPr="00FD2904" w:rsidRDefault="00876664" w:rsidP="00FD2904">
      <w:pPr>
        <w:rPr>
          <w:rFonts w:cs="Arial"/>
        </w:rPr>
      </w:pPr>
      <w:r w:rsidRPr="00FD2904">
        <w:rPr>
          <w:rFonts w:cs="Arial"/>
        </w:rPr>
        <w:t xml:space="preserve">As noted, congregate housing is not a waiver service. A small number of FEW participants have chosen to reside in congregate </w:t>
      </w:r>
      <w:r w:rsidR="009F5522" w:rsidRPr="00FD2904">
        <w:rPr>
          <w:rFonts w:cs="Arial"/>
        </w:rPr>
        <w:t>housing and</w:t>
      </w:r>
      <w:r w:rsidRPr="00FD2904">
        <w:rPr>
          <w:rFonts w:cs="Arial"/>
        </w:rPr>
        <w:t xml:space="preserve"> may have waiver services delivered in their home</w:t>
      </w:r>
      <w:r w:rsidR="00BE18B7" w:rsidRPr="00FD2904">
        <w:rPr>
          <w:rFonts w:cs="Arial"/>
        </w:rPr>
        <w:t xml:space="preserve"> consistent with their person-centered plan of care</w:t>
      </w:r>
      <w:r w:rsidRPr="00FD2904">
        <w:rPr>
          <w:rFonts w:cs="Arial"/>
        </w:rPr>
        <w:t xml:space="preserve">. </w:t>
      </w:r>
      <w:r w:rsidR="00327DC1" w:rsidRPr="00FD2904">
        <w:rPr>
          <w:rFonts w:cs="Arial"/>
        </w:rPr>
        <w:t xml:space="preserve">In October 2014, EOEA developed and, through its </w:t>
      </w:r>
      <w:r w:rsidR="00BE18B7" w:rsidRPr="00FD2904">
        <w:rPr>
          <w:rFonts w:cs="Arial"/>
        </w:rPr>
        <w:t>agents</w:t>
      </w:r>
      <w:r w:rsidR="00121963">
        <w:rPr>
          <w:rFonts w:cs="Arial"/>
        </w:rPr>
        <w:t xml:space="preserve"> (ASAPs)</w:t>
      </w:r>
      <w:r w:rsidR="00327DC1" w:rsidRPr="00FD2904">
        <w:rPr>
          <w:rFonts w:cs="Arial"/>
        </w:rPr>
        <w:t>, conducted a survey of each congregate housing setting</w:t>
      </w:r>
      <w:r w:rsidRPr="00FD2904">
        <w:rPr>
          <w:rFonts w:cs="Arial"/>
        </w:rPr>
        <w:t xml:space="preserve">. The survey was based on the exploratory questions that CMS published and included </w:t>
      </w:r>
      <w:r w:rsidR="002E2E09" w:rsidRPr="00FD2904">
        <w:rPr>
          <w:rFonts w:cs="Arial"/>
        </w:rPr>
        <w:t xml:space="preserve">the following areas of review: </w:t>
      </w:r>
      <w:r w:rsidR="00327DC1" w:rsidRPr="00FD2904">
        <w:rPr>
          <w:rFonts w:cs="Arial"/>
        </w:rPr>
        <w:t xml:space="preserve"> location</w:t>
      </w:r>
      <w:r w:rsidR="002E2E09" w:rsidRPr="00FD2904">
        <w:rPr>
          <w:rFonts w:cs="Arial"/>
        </w:rPr>
        <w:t>, leases, access to visitors, freedom from coercion and restraint, consumer choice, consumer integration in the community, and occupant privacy and access.</w:t>
      </w:r>
      <w:r w:rsidR="00327DC1" w:rsidRPr="00FD2904">
        <w:rPr>
          <w:rFonts w:cs="Arial"/>
        </w:rPr>
        <w:t xml:space="preserve"> This compliance survey was completed for all 44 </w:t>
      </w:r>
      <w:r w:rsidR="002E2E09" w:rsidRPr="00FD2904">
        <w:rPr>
          <w:rFonts w:cs="Arial"/>
        </w:rPr>
        <w:t xml:space="preserve">congregate housing sites </w:t>
      </w:r>
      <w:r w:rsidR="00327DC1" w:rsidRPr="00FD2904">
        <w:rPr>
          <w:rFonts w:cs="Arial"/>
        </w:rPr>
        <w:t xml:space="preserve">within the state, including sites in which </w:t>
      </w:r>
      <w:proofErr w:type="gramStart"/>
      <w:r w:rsidR="00327DC1" w:rsidRPr="00FD2904">
        <w:rPr>
          <w:rFonts w:cs="Arial"/>
        </w:rPr>
        <w:t>no</w:t>
      </w:r>
      <w:proofErr w:type="gramEnd"/>
      <w:r w:rsidR="00327DC1" w:rsidRPr="00FD2904">
        <w:rPr>
          <w:rFonts w:cs="Arial"/>
        </w:rPr>
        <w:t xml:space="preserve"> FEW participants </w:t>
      </w:r>
      <w:r w:rsidR="002E2E09" w:rsidRPr="00FD2904">
        <w:rPr>
          <w:rFonts w:cs="Arial"/>
        </w:rPr>
        <w:t>reside</w:t>
      </w:r>
      <w:r w:rsidR="00327DC1" w:rsidRPr="00FD2904">
        <w:rPr>
          <w:rFonts w:cs="Arial"/>
        </w:rPr>
        <w:t>.</w:t>
      </w:r>
    </w:p>
    <w:p w14:paraId="027AE8F5" w14:textId="4192C436" w:rsidR="002E2E09" w:rsidRDefault="00F23AD4" w:rsidP="00FD2904">
      <w:pPr>
        <w:rPr>
          <w:rFonts w:cs="Arial"/>
        </w:rPr>
      </w:pPr>
      <w:r>
        <w:rPr>
          <w:rFonts w:cs="Arial"/>
        </w:rPr>
        <w:t>ASAP staff, based on their extensive knowledge and frequent on-site visits to each of the congregate settings, completed the required survey. ASAPs are required to visit each congregate setting located within the ASAP’s designated area at a minimum of monthly. During their monthly visit, the ASAPs are required to conduct whole</w:t>
      </w:r>
      <w:r w:rsidR="00C35B18">
        <w:rPr>
          <w:rFonts w:cs="Arial"/>
        </w:rPr>
        <w:t>-</w:t>
      </w:r>
      <w:r>
        <w:rPr>
          <w:rFonts w:cs="Arial"/>
        </w:rPr>
        <w:t xml:space="preserve">house meetings and visit with individual residents. Such visits typically focus on consumers’ satisfaction with the congregate setting, reassessment of needs, satisfaction with </w:t>
      </w:r>
      <w:r w:rsidR="00BE18B7">
        <w:rPr>
          <w:rFonts w:cs="Arial"/>
        </w:rPr>
        <w:t>support</w:t>
      </w:r>
      <w:r>
        <w:rPr>
          <w:rFonts w:cs="Arial"/>
        </w:rPr>
        <w:t xml:space="preserve"> provided and any concerns or unmet needs identified. </w:t>
      </w:r>
      <w:r w:rsidR="00121963">
        <w:rPr>
          <w:rFonts w:cs="Arial"/>
        </w:rPr>
        <w:t>These agents</w:t>
      </w:r>
      <w:r>
        <w:rPr>
          <w:rFonts w:cs="Arial"/>
        </w:rPr>
        <w:t xml:space="preserve"> are part of a </w:t>
      </w:r>
      <w:proofErr w:type="gramStart"/>
      <w:r>
        <w:rPr>
          <w:rFonts w:cs="Arial"/>
        </w:rPr>
        <w:t>Multi-Disciplinary</w:t>
      </w:r>
      <w:proofErr w:type="gramEnd"/>
      <w:r>
        <w:rPr>
          <w:rFonts w:cs="Arial"/>
        </w:rPr>
        <w:t xml:space="preserve"> team comprised of housing authority representatives and other necessary agencies that supports the resident during the application, selection, and integration process into the congregate setting. EOEA analyzed survey results for each congregate setting, followed up with the ASAP as needed for clarification, and conducted site visits to any setting where survey results </w:t>
      </w:r>
      <w:r w:rsidR="00FE77BB">
        <w:rPr>
          <w:rFonts w:cs="Arial"/>
        </w:rPr>
        <w:t xml:space="preserve">indicated need for additional review to determine </w:t>
      </w:r>
      <w:r>
        <w:rPr>
          <w:rFonts w:cs="Arial"/>
        </w:rPr>
        <w:t xml:space="preserve">compliance with the </w:t>
      </w:r>
      <w:r w:rsidR="002E6451">
        <w:rPr>
          <w:rFonts w:cs="Arial"/>
        </w:rPr>
        <w:t>Community Rule</w:t>
      </w:r>
      <w:r>
        <w:rPr>
          <w:rFonts w:cs="Arial"/>
        </w:rPr>
        <w:t>.</w:t>
      </w:r>
    </w:p>
    <w:p w14:paraId="5F40FFEE" w14:textId="77777777" w:rsidR="00AF58C0" w:rsidRDefault="00AF58C0" w:rsidP="005C28CA">
      <w:pPr>
        <w:rPr>
          <w:rStyle w:val="SubtleEmphasis"/>
        </w:rPr>
      </w:pPr>
      <w:r>
        <w:rPr>
          <w:rStyle w:val="SubtleEmphasis"/>
        </w:rPr>
        <w:br w:type="page"/>
      </w:r>
    </w:p>
    <w:p w14:paraId="758CB3B4" w14:textId="1D9E5C20" w:rsidR="005C28CA" w:rsidRPr="00BC407F" w:rsidRDefault="005C28CA" w:rsidP="005C28CA">
      <w:pPr>
        <w:rPr>
          <w:rStyle w:val="SubtleEmphasis"/>
        </w:rPr>
      </w:pPr>
      <w:r w:rsidRPr="00BC407F">
        <w:rPr>
          <w:rStyle w:val="SubtleEmphasis"/>
        </w:rPr>
        <w:lastRenderedPageBreak/>
        <w:t>Adult Foster Care</w:t>
      </w:r>
    </w:p>
    <w:p w14:paraId="43A55B99" w14:textId="6E4CE7A5" w:rsidR="0050577B" w:rsidRDefault="005C28CA" w:rsidP="0050577B">
      <w:r>
        <w:t>There are approximately 13,700 recipients of the MassHealth AFC state plan service</w:t>
      </w:r>
      <w:r w:rsidR="009E6AF2">
        <w:t xml:space="preserve"> </w:t>
      </w:r>
      <w:r w:rsidR="00E95FB7">
        <w:t>as of</w:t>
      </w:r>
      <w:r w:rsidR="009E6AF2">
        <w:t xml:space="preserve"> July 2022</w:t>
      </w:r>
      <w:r>
        <w:t xml:space="preserve">, </w:t>
      </w:r>
      <w:r w:rsidR="00707897">
        <w:t>225</w:t>
      </w:r>
      <w:r>
        <w:t xml:space="preserve"> of whom are </w:t>
      </w:r>
      <w:r w:rsidR="00707897">
        <w:t>FEW</w:t>
      </w:r>
      <w:r>
        <w:t xml:space="preserve"> waiver participants. Of those waiver participants, </w:t>
      </w:r>
      <w:r w:rsidR="00707897">
        <w:t>205</w:t>
      </w:r>
      <w:r>
        <w:t xml:space="preserve"> reside with a related AFC caregiver. The remaining </w:t>
      </w:r>
      <w:r w:rsidR="00707897">
        <w:t>20</w:t>
      </w:r>
      <w:r>
        <w:t xml:space="preserve"> </w:t>
      </w:r>
      <w:r w:rsidRPr="00030CCB">
        <w:t xml:space="preserve">waiver participants </w:t>
      </w:r>
      <w:r>
        <w:t>appear to be living in settings with an unrelated caregiver.</w:t>
      </w:r>
      <w:r w:rsidRPr="00030CCB">
        <w:t xml:space="preserve"> For that subset, </w:t>
      </w:r>
      <w:proofErr w:type="gramStart"/>
      <w:r w:rsidRPr="00030CCB">
        <w:t xml:space="preserve">MassHealth  </w:t>
      </w:r>
      <w:r>
        <w:t>deploy</w:t>
      </w:r>
      <w:r w:rsidR="0050577B">
        <w:t>ed</w:t>
      </w:r>
      <w:proofErr w:type="gramEnd"/>
      <w:r w:rsidRPr="00030CCB">
        <w:t xml:space="preserve"> a</w:t>
      </w:r>
      <w:r w:rsidR="0050577B">
        <w:t>n</w:t>
      </w:r>
      <w:r w:rsidRPr="00030CCB">
        <w:t xml:space="preserve"> </w:t>
      </w:r>
      <w:r w:rsidR="0057035F">
        <w:t xml:space="preserve">attestation </w:t>
      </w:r>
      <w:r w:rsidR="0050577B">
        <w:t xml:space="preserve">form </w:t>
      </w:r>
      <w:r w:rsidRPr="00030CCB">
        <w:t xml:space="preserve">that </w:t>
      </w:r>
      <w:r>
        <w:t>will identify residential situations that will need</w:t>
      </w:r>
      <w:r w:rsidRPr="00030CCB">
        <w:t xml:space="preserve"> to </w:t>
      </w:r>
      <w:r>
        <w:t xml:space="preserve">come into compliance.  </w:t>
      </w:r>
      <w:r w:rsidR="0050577B">
        <w:t>Attestations are a combination of provider self-assessment and participant e</w:t>
      </w:r>
      <w:r w:rsidR="0050577B" w:rsidRPr="00866A9B">
        <w:t xml:space="preserve">xperience </w:t>
      </w:r>
      <w:r w:rsidR="0050577B">
        <w:t>a</w:t>
      </w:r>
      <w:r w:rsidR="0050577B" w:rsidRPr="00866A9B">
        <w:t>ssessment</w:t>
      </w:r>
      <w:r w:rsidR="0050577B">
        <w:t xml:space="preserve"> in one document; the provider and participant both </w:t>
      </w:r>
      <w:proofErr w:type="gramStart"/>
      <w:r w:rsidR="0050577B">
        <w:t>have the opportunity to</w:t>
      </w:r>
      <w:proofErr w:type="gramEnd"/>
      <w:r w:rsidR="0050577B">
        <w:t xml:space="preserve"> confirm a setting</w:t>
      </w:r>
      <w:r w:rsidR="00896EF4">
        <w:t>’</w:t>
      </w:r>
      <w:r w:rsidR="0050577B">
        <w:t xml:space="preserve">s compliance with </w:t>
      </w:r>
      <w:r w:rsidR="00896EF4">
        <w:t xml:space="preserve">all </w:t>
      </w:r>
      <w:r w:rsidR="0050577B">
        <w:t>community rule criteria.</w:t>
      </w:r>
      <w:r w:rsidR="0050577B" w:rsidRPr="00866A9B">
        <w:t xml:space="preserve"> </w:t>
      </w:r>
      <w:r w:rsidR="0050577B">
        <w:t>Attestations are completed by the AFC caregiver and AFC member with facilitation by the AFC provider and all three parties sign the document.</w:t>
      </w:r>
      <w:r w:rsidR="00244646">
        <w:t xml:space="preserve">  </w:t>
      </w:r>
      <w:r w:rsidR="00244646" w:rsidRPr="006F4C47">
        <w:t>The Attestation captures the specific address and setting in which the participant resides.</w:t>
      </w:r>
    </w:p>
    <w:p w14:paraId="6143B8DE" w14:textId="3BAE798A" w:rsidR="0080526D" w:rsidRDefault="0080526D" w:rsidP="0080526D">
      <w:r>
        <w:t xml:space="preserve">To ensure identification of all HCBS waiver participants living with an unrelated caregiver, further data analysis was completed to remove duplicates and participants who have disenrolled, and to add new enrollees.  The final number of waiver participants who appear to be living in settings with an unrelated caregiver is 15. </w:t>
      </w:r>
    </w:p>
    <w:p w14:paraId="15707A6D" w14:textId="77777777" w:rsidR="005C28CA" w:rsidRPr="002E2E09" w:rsidRDefault="005C28CA" w:rsidP="00FD2904">
      <w:pPr>
        <w:rPr>
          <w:rFonts w:cs="Arial"/>
        </w:rPr>
      </w:pPr>
    </w:p>
    <w:p w14:paraId="4047C297" w14:textId="7BFE3598" w:rsidR="00327DC1" w:rsidRPr="00BC407F" w:rsidRDefault="001B743A" w:rsidP="00122579">
      <w:pPr>
        <w:pStyle w:val="Heading3"/>
        <w:rPr>
          <w:rStyle w:val="Heading3Char"/>
          <w:rFonts w:cs="Arial"/>
        </w:rPr>
      </w:pPr>
      <w:r>
        <w:rPr>
          <w:rStyle w:val="Heading3Char"/>
          <w:rFonts w:cs="Arial"/>
          <w:b/>
          <w:bCs/>
        </w:rPr>
        <w:t xml:space="preserve">2. </w:t>
      </w:r>
      <w:r w:rsidR="00327DC1" w:rsidRPr="00BC407F">
        <w:rPr>
          <w:rStyle w:val="Heading3Char"/>
          <w:rFonts w:cs="Arial"/>
          <w:b/>
          <w:bCs/>
        </w:rPr>
        <w:t>Findings</w:t>
      </w:r>
      <w:r w:rsidR="00E81E1E" w:rsidRPr="00BC407F">
        <w:rPr>
          <w:rStyle w:val="Heading3Char"/>
          <w:rFonts w:cs="Arial"/>
          <w:b/>
          <w:bCs/>
        </w:rPr>
        <w:t xml:space="preserve"> </w:t>
      </w:r>
      <w:r w:rsidR="00E81E1E" w:rsidRPr="00BC407F">
        <w:rPr>
          <w:rStyle w:val="Heading3Char"/>
          <w:rFonts w:cs="Arial"/>
        </w:rPr>
        <w:t>(See Table 2. Analysis of Settings)</w:t>
      </w:r>
    </w:p>
    <w:p w14:paraId="1C00EE8E" w14:textId="77777777" w:rsidR="007D00D7" w:rsidRPr="00BC407F" w:rsidRDefault="00327DC1" w:rsidP="00361CED">
      <w:pPr>
        <w:rPr>
          <w:rStyle w:val="SubtleEmphasis"/>
        </w:rPr>
      </w:pPr>
      <w:r w:rsidRPr="00BC407F">
        <w:rPr>
          <w:rStyle w:val="SubtleEmphasis"/>
        </w:rPr>
        <w:t>Supportive Day Programs</w:t>
      </w:r>
      <w:r w:rsidR="00E81E1E" w:rsidRPr="00BC407F">
        <w:rPr>
          <w:rStyle w:val="SubtleEmphasis"/>
        </w:rPr>
        <w:t xml:space="preserve"> </w:t>
      </w:r>
    </w:p>
    <w:p w14:paraId="6ACC83F1" w14:textId="6EC04E27" w:rsidR="00384AA8" w:rsidRPr="007D00D7" w:rsidRDefault="00327DC1" w:rsidP="00FD2904">
      <w:pPr>
        <w:rPr>
          <w:rFonts w:cs="Arial"/>
        </w:rPr>
      </w:pPr>
      <w:r w:rsidRPr="007D00D7">
        <w:rPr>
          <w:rFonts w:cs="Arial"/>
        </w:rPr>
        <w:t>EOEA identified 56 Supportive Day service sites that provide, or may provide, waiver services to FEW participants. Of these 56 sites, 12 were providing waiver services to 87 FEW participants at the time the survey was completed. All 12 sites in which FEW participants are served are in full compliance with the Community Rule</w:t>
      </w:r>
      <w:r w:rsidR="00384AA8" w:rsidRPr="007D00D7">
        <w:rPr>
          <w:rFonts w:cs="Arial"/>
        </w:rPr>
        <w:t xml:space="preserve">, as demonstrated by their confirmed compliance with EOEA program specifications that are consistent with the </w:t>
      </w:r>
      <w:r w:rsidR="000F78D3">
        <w:rPr>
          <w:rFonts w:cs="Arial"/>
        </w:rPr>
        <w:t xml:space="preserve">Community </w:t>
      </w:r>
      <w:r w:rsidR="00FE77BB">
        <w:rPr>
          <w:rFonts w:cs="Arial"/>
        </w:rPr>
        <w:t>R</w:t>
      </w:r>
      <w:r w:rsidR="00FE77BB" w:rsidRPr="007D00D7">
        <w:rPr>
          <w:rFonts w:cs="Arial"/>
        </w:rPr>
        <w:t>ule</w:t>
      </w:r>
      <w:r w:rsidR="00384AA8" w:rsidRPr="007D00D7">
        <w:rPr>
          <w:rFonts w:cs="Arial"/>
        </w:rPr>
        <w:t>, and through their responses to the survey regarding additional physical and programmatic qualities required by the rule</w:t>
      </w:r>
      <w:r w:rsidRPr="007D00D7">
        <w:rPr>
          <w:rFonts w:cs="Arial"/>
        </w:rPr>
        <w:t xml:space="preserve">. Of the remaining </w:t>
      </w:r>
      <w:r w:rsidR="00384AA8" w:rsidRPr="007D00D7">
        <w:rPr>
          <w:rFonts w:cs="Arial"/>
        </w:rPr>
        <w:t xml:space="preserve">44 </w:t>
      </w:r>
      <w:r w:rsidRPr="007D00D7">
        <w:rPr>
          <w:rFonts w:cs="Arial"/>
        </w:rPr>
        <w:t>sites</w:t>
      </w:r>
      <w:r w:rsidR="00384AA8" w:rsidRPr="007D00D7">
        <w:rPr>
          <w:rFonts w:cs="Arial"/>
        </w:rPr>
        <w:t>, none of which currently provides waiver services to FEW participants:</w:t>
      </w:r>
    </w:p>
    <w:p w14:paraId="42EEA3E5" w14:textId="77777777" w:rsidR="00384AA8" w:rsidRPr="00384AA8" w:rsidRDefault="00384AA8" w:rsidP="004427AF">
      <w:pPr>
        <w:pStyle w:val="ListParagraph"/>
        <w:numPr>
          <w:ilvl w:val="0"/>
          <w:numId w:val="20"/>
        </w:numPr>
        <w:ind w:left="720"/>
        <w:rPr>
          <w:rFonts w:cs="Arial"/>
        </w:rPr>
      </w:pPr>
      <w:r w:rsidRPr="00384AA8">
        <w:rPr>
          <w:rFonts w:cs="Arial"/>
        </w:rPr>
        <w:t xml:space="preserve">Forty (40) sites were confirmed to comply fully with the </w:t>
      </w:r>
      <w:r w:rsidR="002E6451">
        <w:rPr>
          <w:rFonts w:cs="Arial"/>
        </w:rPr>
        <w:t>Community Rule</w:t>
      </w:r>
      <w:r>
        <w:rPr>
          <w:rFonts w:cs="Arial"/>
        </w:rPr>
        <w:t>, and</w:t>
      </w:r>
      <w:r w:rsidRPr="00384AA8">
        <w:rPr>
          <w:rFonts w:cs="Arial"/>
        </w:rPr>
        <w:t xml:space="preserve"> </w:t>
      </w:r>
    </w:p>
    <w:p w14:paraId="58125F08" w14:textId="77777777" w:rsidR="00384AA8" w:rsidRPr="00384AA8" w:rsidRDefault="00384AA8" w:rsidP="004427AF">
      <w:pPr>
        <w:pStyle w:val="ListParagraph"/>
        <w:numPr>
          <w:ilvl w:val="0"/>
          <w:numId w:val="20"/>
        </w:numPr>
        <w:ind w:left="720"/>
        <w:contextualSpacing w:val="0"/>
        <w:rPr>
          <w:rFonts w:cs="Arial"/>
        </w:rPr>
      </w:pPr>
      <w:r w:rsidRPr="00384AA8">
        <w:rPr>
          <w:rFonts w:cs="Arial"/>
        </w:rPr>
        <w:t>Four (4) sites were identified as requiring further review to assess their compliance status</w:t>
      </w:r>
      <w:r>
        <w:rPr>
          <w:rFonts w:cs="Arial"/>
        </w:rPr>
        <w:t>.</w:t>
      </w:r>
    </w:p>
    <w:p w14:paraId="53D4A3C0" w14:textId="77777777" w:rsidR="00327DC1" w:rsidRDefault="003B1D34" w:rsidP="00FD2904">
      <w:pPr>
        <w:pStyle w:val="ListParagraph"/>
        <w:ind w:left="0"/>
        <w:rPr>
          <w:rFonts w:cs="Arial"/>
        </w:rPr>
      </w:pPr>
      <w:r>
        <w:rPr>
          <w:rFonts w:cs="Arial"/>
        </w:rPr>
        <w:t xml:space="preserve">EOEA conducted on-site visits of the four sites that were identified as needing further review. All four of these Supportive Day Program sites reported information on the survey that </w:t>
      </w:r>
      <w:r w:rsidR="00BE18B7" w:rsidRPr="001745B7">
        <w:rPr>
          <w:rFonts w:cs="Arial"/>
        </w:rPr>
        <w:t>could have indicated</w:t>
      </w:r>
      <w:r>
        <w:rPr>
          <w:rFonts w:cs="Arial"/>
        </w:rPr>
        <w:t xml:space="preserve"> qualities presumed to be non-HCB in nature. Following are the results of EOEA’s on-site visits to assess the status of each site:</w:t>
      </w:r>
    </w:p>
    <w:p w14:paraId="1F9AE188" w14:textId="77777777" w:rsidR="003B1D34" w:rsidRDefault="00BE18B7" w:rsidP="004427AF">
      <w:pPr>
        <w:pStyle w:val="ListParagraph"/>
        <w:numPr>
          <w:ilvl w:val="0"/>
          <w:numId w:val="21"/>
        </w:numPr>
        <w:ind w:left="720"/>
        <w:rPr>
          <w:rFonts w:cs="Arial"/>
        </w:rPr>
      </w:pPr>
      <w:r>
        <w:rPr>
          <w:rFonts w:cs="Arial"/>
        </w:rPr>
        <w:t>For o</w:t>
      </w:r>
      <w:r w:rsidR="003B1D34">
        <w:rPr>
          <w:rFonts w:cs="Arial"/>
        </w:rPr>
        <w:t>ne site</w:t>
      </w:r>
      <w:r>
        <w:rPr>
          <w:rFonts w:cs="Arial"/>
        </w:rPr>
        <w:t>, the agent</w:t>
      </w:r>
      <w:r w:rsidR="003B1D34">
        <w:rPr>
          <w:rFonts w:cs="Arial"/>
        </w:rPr>
        <w:t xml:space="preserve"> reported that </w:t>
      </w:r>
      <w:r>
        <w:rPr>
          <w:rFonts w:cs="Arial"/>
        </w:rPr>
        <w:t xml:space="preserve">the </w:t>
      </w:r>
      <w:r w:rsidR="003B1D34">
        <w:rPr>
          <w:rFonts w:cs="Arial"/>
        </w:rPr>
        <w:t xml:space="preserve">location was </w:t>
      </w:r>
      <w:r w:rsidR="00C35B18">
        <w:rPr>
          <w:rFonts w:cs="Arial"/>
        </w:rPr>
        <w:t>on the campus of</w:t>
      </w:r>
      <w:r w:rsidR="003B1D34">
        <w:rPr>
          <w:rFonts w:cs="Arial"/>
        </w:rPr>
        <w:t xml:space="preserve"> an assisted living </w:t>
      </w:r>
      <w:r w:rsidR="00C35B18">
        <w:rPr>
          <w:rFonts w:cs="Arial"/>
        </w:rPr>
        <w:t>residence</w:t>
      </w:r>
      <w:r w:rsidR="003B1D34">
        <w:rPr>
          <w:rFonts w:cs="Arial"/>
        </w:rPr>
        <w:t xml:space="preserve">. EOEA staff found that this Supportive Day Program </w:t>
      </w:r>
      <w:proofErr w:type="gramStart"/>
      <w:r w:rsidR="003B1D34">
        <w:rPr>
          <w:rFonts w:cs="Arial"/>
        </w:rPr>
        <w:t>setting</w:t>
      </w:r>
      <w:proofErr w:type="gramEnd"/>
      <w:r w:rsidR="003B1D34">
        <w:rPr>
          <w:rFonts w:cs="Arial"/>
        </w:rPr>
        <w:t xml:space="preserve"> and the assisted living </w:t>
      </w:r>
      <w:r w:rsidR="00C35B18">
        <w:rPr>
          <w:rFonts w:cs="Arial"/>
        </w:rPr>
        <w:t>residence</w:t>
      </w:r>
      <w:r w:rsidR="003B1D34">
        <w:rPr>
          <w:rFonts w:cs="Arial"/>
        </w:rPr>
        <w:t xml:space="preserve"> occupied rear-abutting properties, but that they were in fact located on different streets in a general area characterized by both residential and commercial properties</w:t>
      </w:r>
      <w:r w:rsidR="00CB7EF1">
        <w:rPr>
          <w:rFonts w:cs="Arial"/>
        </w:rPr>
        <w:t>, and had no physical or programmatic relationship to one another</w:t>
      </w:r>
      <w:r w:rsidR="003B1D34">
        <w:rPr>
          <w:rFonts w:cs="Arial"/>
        </w:rPr>
        <w:t xml:space="preserve">. Based on the actual physical site characteristics and programmatic qualities of this Supportive Day </w:t>
      </w:r>
      <w:r w:rsidR="003B1D34">
        <w:rPr>
          <w:rFonts w:cs="Arial"/>
        </w:rPr>
        <w:lastRenderedPageBreak/>
        <w:t xml:space="preserve">Program, </w:t>
      </w:r>
      <w:r w:rsidR="00A037DB">
        <w:rPr>
          <w:rFonts w:cs="Arial"/>
        </w:rPr>
        <w:t xml:space="preserve">and </w:t>
      </w:r>
      <w:r>
        <w:rPr>
          <w:rFonts w:cs="Arial"/>
        </w:rPr>
        <w:t>that the</w:t>
      </w:r>
      <w:r w:rsidR="003B1D34">
        <w:rPr>
          <w:rFonts w:cs="Arial"/>
        </w:rPr>
        <w:t xml:space="preserve"> survey response </w:t>
      </w:r>
      <w:r>
        <w:rPr>
          <w:rFonts w:cs="Arial"/>
        </w:rPr>
        <w:t>inaccurately described</w:t>
      </w:r>
      <w:r w:rsidR="00A037DB">
        <w:rPr>
          <w:rFonts w:cs="Arial"/>
        </w:rPr>
        <w:t xml:space="preserve"> the setting’</w:t>
      </w:r>
      <w:r w:rsidR="00CB7EF1">
        <w:rPr>
          <w:rFonts w:cs="Arial"/>
        </w:rPr>
        <w:t>s</w:t>
      </w:r>
      <w:r w:rsidR="00A037DB">
        <w:rPr>
          <w:rFonts w:cs="Arial"/>
        </w:rPr>
        <w:t xml:space="preserve"> location relative to an assisted living </w:t>
      </w:r>
      <w:r w:rsidR="00C35B18">
        <w:rPr>
          <w:rFonts w:cs="Arial"/>
        </w:rPr>
        <w:t>residence</w:t>
      </w:r>
      <w:r w:rsidR="00A037DB">
        <w:rPr>
          <w:rFonts w:cs="Arial"/>
        </w:rPr>
        <w:t xml:space="preserve">, EOEA determined that this site in fact does not have qualities presumed to be non-HCB in nature, and </w:t>
      </w:r>
      <w:r w:rsidR="00CB7EF1">
        <w:rPr>
          <w:rFonts w:cs="Arial"/>
        </w:rPr>
        <w:t xml:space="preserve">that it </w:t>
      </w:r>
      <w:r w:rsidR="00A037DB">
        <w:rPr>
          <w:rFonts w:cs="Arial"/>
        </w:rPr>
        <w:t xml:space="preserve">is </w:t>
      </w:r>
      <w:r>
        <w:rPr>
          <w:rFonts w:cs="Arial"/>
        </w:rPr>
        <w:t xml:space="preserve">fully </w:t>
      </w:r>
      <w:r w:rsidR="00A037DB">
        <w:rPr>
          <w:rFonts w:cs="Arial"/>
        </w:rPr>
        <w:t xml:space="preserve">compliant with the requirements of the </w:t>
      </w:r>
      <w:r w:rsidR="002E6451">
        <w:rPr>
          <w:rFonts w:cs="Arial"/>
        </w:rPr>
        <w:t>Community Rule</w:t>
      </w:r>
      <w:r w:rsidR="00A037DB">
        <w:rPr>
          <w:rFonts w:cs="Arial"/>
        </w:rPr>
        <w:t xml:space="preserve">. </w:t>
      </w:r>
    </w:p>
    <w:p w14:paraId="13CADDA6" w14:textId="77777777" w:rsidR="00A037DB" w:rsidRDefault="00BE18B7" w:rsidP="004427AF">
      <w:pPr>
        <w:pStyle w:val="ListParagraph"/>
        <w:numPr>
          <w:ilvl w:val="0"/>
          <w:numId w:val="21"/>
        </w:numPr>
        <w:ind w:left="720"/>
        <w:rPr>
          <w:rFonts w:cs="Arial"/>
        </w:rPr>
      </w:pPr>
      <w:r>
        <w:rPr>
          <w:rFonts w:cs="Arial"/>
        </w:rPr>
        <w:t>For o</w:t>
      </w:r>
      <w:r w:rsidR="00A037DB">
        <w:rPr>
          <w:rFonts w:cs="Arial"/>
        </w:rPr>
        <w:t>ne site</w:t>
      </w:r>
      <w:r>
        <w:rPr>
          <w:rFonts w:cs="Arial"/>
        </w:rPr>
        <w:t>, the agent</w:t>
      </w:r>
      <w:r w:rsidR="00A037DB">
        <w:rPr>
          <w:rFonts w:cs="Arial"/>
        </w:rPr>
        <w:t xml:space="preserve"> reported on the survey that </w:t>
      </w:r>
      <w:r>
        <w:rPr>
          <w:rFonts w:cs="Arial"/>
        </w:rPr>
        <w:t>the</w:t>
      </w:r>
      <w:r w:rsidR="00A037DB">
        <w:rPr>
          <w:rFonts w:cs="Arial"/>
        </w:rPr>
        <w:t xml:space="preserve"> location was </w:t>
      </w:r>
      <w:r w:rsidR="00C35B18">
        <w:rPr>
          <w:rFonts w:cs="Arial"/>
        </w:rPr>
        <w:t>on a campus with</w:t>
      </w:r>
      <w:r w:rsidR="00A037DB">
        <w:rPr>
          <w:rFonts w:cs="Arial"/>
        </w:rPr>
        <w:t xml:space="preserve"> elder housing. EOEA staff found that this Supportive Day Program </w:t>
      </w:r>
      <w:r w:rsidR="00C35B18">
        <w:rPr>
          <w:rFonts w:cs="Arial"/>
        </w:rPr>
        <w:t>setting’s property was not appropriately described as a campus</w:t>
      </w:r>
      <w:r w:rsidR="00A037DB">
        <w:rPr>
          <w:rFonts w:cs="Arial"/>
        </w:rPr>
        <w:t>. Based on the actual physical site characteristics and programmatic qualities of this Supportive Day Program, and</w:t>
      </w:r>
      <w:r w:rsidR="004A6571">
        <w:rPr>
          <w:rFonts w:cs="Arial"/>
        </w:rPr>
        <w:t xml:space="preserve"> that</w:t>
      </w:r>
      <w:r w:rsidR="00A037DB">
        <w:rPr>
          <w:rFonts w:cs="Arial"/>
        </w:rPr>
        <w:t xml:space="preserve"> </w:t>
      </w:r>
      <w:r>
        <w:rPr>
          <w:rFonts w:cs="Arial"/>
        </w:rPr>
        <w:t>the</w:t>
      </w:r>
      <w:r w:rsidR="00A037DB">
        <w:rPr>
          <w:rFonts w:cs="Arial"/>
        </w:rPr>
        <w:t xml:space="preserve"> survey response </w:t>
      </w:r>
      <w:r>
        <w:rPr>
          <w:rFonts w:cs="Arial"/>
        </w:rPr>
        <w:t>inaccurately described</w:t>
      </w:r>
      <w:r w:rsidR="00A037DB">
        <w:rPr>
          <w:rFonts w:cs="Arial"/>
        </w:rPr>
        <w:t xml:space="preserve"> the settings’ location relative to certain types of housing units, EOEA determined that this site in fact does not have qualities presumed to be non-HCB in </w:t>
      </w:r>
      <w:proofErr w:type="gramStart"/>
      <w:r w:rsidR="00A037DB">
        <w:rPr>
          <w:rFonts w:cs="Arial"/>
        </w:rPr>
        <w:t>nature, and</w:t>
      </w:r>
      <w:proofErr w:type="gramEnd"/>
      <w:r w:rsidR="00A037DB">
        <w:rPr>
          <w:rFonts w:cs="Arial"/>
        </w:rPr>
        <w:t xml:space="preserve"> is </w:t>
      </w:r>
      <w:r w:rsidR="00931876">
        <w:rPr>
          <w:rFonts w:cs="Arial"/>
        </w:rPr>
        <w:t xml:space="preserve">fully </w:t>
      </w:r>
      <w:r w:rsidR="00A037DB">
        <w:rPr>
          <w:rFonts w:cs="Arial"/>
        </w:rPr>
        <w:t xml:space="preserve">compliant with the requirements of the </w:t>
      </w:r>
      <w:r w:rsidR="002E6451">
        <w:rPr>
          <w:rFonts w:cs="Arial"/>
        </w:rPr>
        <w:t>Community Rule</w:t>
      </w:r>
      <w:r w:rsidR="00A037DB">
        <w:rPr>
          <w:rFonts w:cs="Arial"/>
        </w:rPr>
        <w:t>.</w:t>
      </w:r>
    </w:p>
    <w:p w14:paraId="68A5E878" w14:textId="77777777" w:rsidR="00A037DB" w:rsidRDefault="001745B7" w:rsidP="004427AF">
      <w:pPr>
        <w:pStyle w:val="ListParagraph"/>
        <w:numPr>
          <w:ilvl w:val="0"/>
          <w:numId w:val="21"/>
        </w:numPr>
        <w:ind w:left="720"/>
        <w:rPr>
          <w:rFonts w:cs="Arial"/>
        </w:rPr>
      </w:pPr>
      <w:r>
        <w:rPr>
          <w:rFonts w:cs="Arial"/>
        </w:rPr>
        <w:t>For one</w:t>
      </w:r>
      <w:r w:rsidR="00A037DB">
        <w:rPr>
          <w:rFonts w:cs="Arial"/>
        </w:rPr>
        <w:t xml:space="preserve"> site</w:t>
      </w:r>
      <w:r>
        <w:rPr>
          <w:rFonts w:cs="Arial"/>
        </w:rPr>
        <w:t>, the agent</w:t>
      </w:r>
      <w:r w:rsidR="00A037DB">
        <w:rPr>
          <w:rFonts w:cs="Arial"/>
        </w:rPr>
        <w:t xml:space="preserve"> reported that it was co-located with a medical facility. This Supportive Day Program subsequently closed altogether. </w:t>
      </w:r>
    </w:p>
    <w:p w14:paraId="3FD42227" w14:textId="62832FA4" w:rsidR="00A037DB" w:rsidRPr="00B11E60" w:rsidRDefault="001745B7" w:rsidP="004427AF">
      <w:pPr>
        <w:pStyle w:val="ListParagraph"/>
        <w:numPr>
          <w:ilvl w:val="0"/>
          <w:numId w:val="21"/>
        </w:numPr>
        <w:ind w:left="720"/>
        <w:contextualSpacing w:val="0"/>
        <w:rPr>
          <w:rFonts w:cs="Arial"/>
        </w:rPr>
      </w:pPr>
      <w:r>
        <w:rPr>
          <w:rFonts w:cs="Arial"/>
        </w:rPr>
        <w:t xml:space="preserve">For </w:t>
      </w:r>
      <w:r w:rsidR="004A6571">
        <w:rPr>
          <w:rFonts w:cs="Arial"/>
        </w:rPr>
        <w:t>the last of these four</w:t>
      </w:r>
      <w:r w:rsidR="00A037DB">
        <w:rPr>
          <w:rFonts w:cs="Arial"/>
        </w:rPr>
        <w:t xml:space="preserve"> site</w:t>
      </w:r>
      <w:r w:rsidR="004A6571">
        <w:rPr>
          <w:rFonts w:cs="Arial"/>
        </w:rPr>
        <w:t>s</w:t>
      </w:r>
      <w:r>
        <w:rPr>
          <w:rFonts w:cs="Arial"/>
        </w:rPr>
        <w:t>, the agent</w:t>
      </w:r>
      <w:r w:rsidR="00A037DB">
        <w:rPr>
          <w:rFonts w:cs="Arial"/>
        </w:rPr>
        <w:t xml:space="preserve"> reported on the survey that its location was </w:t>
      </w:r>
      <w:r w:rsidR="006C36AD">
        <w:rPr>
          <w:rFonts w:cs="Arial"/>
        </w:rPr>
        <w:t xml:space="preserve">in or on the grounds of a nursing facility. EOEA determined that this site in fact does have qualities presumed to be non-HCB in nature due to its location. EOEA </w:t>
      </w:r>
      <w:r w:rsidR="00981EA7">
        <w:rPr>
          <w:rFonts w:cs="Arial"/>
        </w:rPr>
        <w:t xml:space="preserve">further </w:t>
      </w:r>
      <w:r w:rsidR="006C36AD">
        <w:rPr>
          <w:rFonts w:cs="Arial"/>
        </w:rPr>
        <w:t xml:space="preserve">concluded that this site cannot come into compliance with the </w:t>
      </w:r>
      <w:r w:rsidR="002E6451">
        <w:rPr>
          <w:rFonts w:cs="Arial"/>
        </w:rPr>
        <w:t>Community Rule</w:t>
      </w:r>
      <w:r w:rsidR="006C36AD">
        <w:rPr>
          <w:rFonts w:cs="Arial"/>
        </w:rPr>
        <w:t xml:space="preserve">. </w:t>
      </w:r>
      <w:r>
        <w:rPr>
          <w:rFonts w:cs="Arial"/>
        </w:rPr>
        <w:t xml:space="preserve">This site currently does not serve any FEW participants, and </w:t>
      </w:r>
      <w:proofErr w:type="gramStart"/>
      <w:r>
        <w:rPr>
          <w:rFonts w:cs="Arial"/>
        </w:rPr>
        <w:t>a</w:t>
      </w:r>
      <w:r w:rsidR="006C36AD">
        <w:rPr>
          <w:rFonts w:cs="Arial"/>
        </w:rPr>
        <w:t>s a result</w:t>
      </w:r>
      <w:r>
        <w:rPr>
          <w:rFonts w:cs="Arial"/>
        </w:rPr>
        <w:t xml:space="preserve"> of</w:t>
      </w:r>
      <w:proofErr w:type="gramEnd"/>
      <w:r>
        <w:rPr>
          <w:rFonts w:cs="Arial"/>
        </w:rPr>
        <w:t xml:space="preserve"> EOEA’s determination, </w:t>
      </w:r>
      <w:r w:rsidR="006C36AD">
        <w:rPr>
          <w:rFonts w:cs="Arial"/>
        </w:rPr>
        <w:t>this Supportive Day Program provider</w:t>
      </w:r>
      <w:r>
        <w:rPr>
          <w:rFonts w:cs="Arial"/>
        </w:rPr>
        <w:t xml:space="preserve"> </w:t>
      </w:r>
      <w:r w:rsidR="00FE77BB">
        <w:rPr>
          <w:rFonts w:cs="Arial"/>
        </w:rPr>
        <w:t>is</w:t>
      </w:r>
      <w:r w:rsidR="006C36AD">
        <w:rPr>
          <w:rFonts w:cs="Arial"/>
        </w:rPr>
        <w:t xml:space="preserve"> precluded from serving FEW participants going forward. </w:t>
      </w:r>
    </w:p>
    <w:p w14:paraId="482F14D9" w14:textId="77777777" w:rsidR="007D00D7" w:rsidRPr="00BC407F" w:rsidRDefault="00327DC1" w:rsidP="00361CED">
      <w:pPr>
        <w:rPr>
          <w:rStyle w:val="SubtleEmphasis"/>
        </w:rPr>
      </w:pPr>
      <w:r w:rsidRPr="00BC407F">
        <w:rPr>
          <w:rStyle w:val="SubtleEmphasis"/>
        </w:rPr>
        <w:t>Congregate Housing</w:t>
      </w:r>
    </w:p>
    <w:p w14:paraId="513FAB23" w14:textId="77777777" w:rsidR="00FD2904" w:rsidRDefault="00327DC1" w:rsidP="00FD2904">
      <w:pPr>
        <w:rPr>
          <w:rFonts w:cs="Arial"/>
        </w:rPr>
      </w:pPr>
      <w:r w:rsidRPr="007D00D7">
        <w:rPr>
          <w:rFonts w:cs="Arial"/>
        </w:rPr>
        <w:t xml:space="preserve">Following a review of all </w:t>
      </w:r>
      <w:r w:rsidR="00121963">
        <w:rPr>
          <w:rFonts w:cs="Arial"/>
        </w:rPr>
        <w:t xml:space="preserve">site-specific </w:t>
      </w:r>
      <w:r w:rsidRPr="007D00D7">
        <w:rPr>
          <w:rFonts w:cs="Arial"/>
        </w:rPr>
        <w:t xml:space="preserve">survey results, </w:t>
      </w:r>
      <w:r w:rsidR="00E97943" w:rsidRPr="007D00D7">
        <w:rPr>
          <w:rFonts w:cs="Arial"/>
        </w:rPr>
        <w:t xml:space="preserve">EOEA determined that 40 </w:t>
      </w:r>
      <w:r w:rsidR="00C35B18" w:rsidRPr="007D00D7">
        <w:rPr>
          <w:rFonts w:cs="Arial"/>
        </w:rPr>
        <w:t xml:space="preserve">out of 44 </w:t>
      </w:r>
      <w:r w:rsidR="00E97943" w:rsidRPr="007D00D7">
        <w:rPr>
          <w:rFonts w:cs="Arial"/>
        </w:rPr>
        <w:t xml:space="preserve">congregate </w:t>
      </w:r>
      <w:r w:rsidR="00931876" w:rsidRPr="007D00D7">
        <w:rPr>
          <w:rFonts w:cs="Arial"/>
        </w:rPr>
        <w:t xml:space="preserve">housing </w:t>
      </w:r>
      <w:r w:rsidR="00E97943" w:rsidRPr="007D00D7">
        <w:rPr>
          <w:rFonts w:cs="Arial"/>
        </w:rPr>
        <w:t xml:space="preserve">settings </w:t>
      </w:r>
      <w:r w:rsidR="00931876" w:rsidRPr="007D00D7">
        <w:rPr>
          <w:rFonts w:cs="Arial"/>
        </w:rPr>
        <w:t xml:space="preserve">fully </w:t>
      </w:r>
      <w:r w:rsidR="00E97943" w:rsidRPr="007D00D7">
        <w:rPr>
          <w:rFonts w:cs="Arial"/>
        </w:rPr>
        <w:t xml:space="preserve">comply with the </w:t>
      </w:r>
      <w:r w:rsidR="002E6451" w:rsidRPr="007D00D7">
        <w:rPr>
          <w:rFonts w:cs="Arial"/>
        </w:rPr>
        <w:t>Community Rule</w:t>
      </w:r>
      <w:r w:rsidR="00E97943" w:rsidRPr="007D00D7">
        <w:rPr>
          <w:rFonts w:cs="Arial"/>
        </w:rPr>
        <w:t xml:space="preserve">. Specifically, these settings’ locations, physical accessibility characteristics, and programmatic qualities fully support community integration and individual choice. </w:t>
      </w:r>
      <w:r w:rsidR="005B1D29">
        <w:rPr>
          <w:rFonts w:cs="Arial"/>
        </w:rPr>
        <w:t>F</w:t>
      </w:r>
      <w:r w:rsidR="005B1D29" w:rsidRPr="007D00D7">
        <w:rPr>
          <w:rFonts w:cs="Arial"/>
        </w:rPr>
        <w:t>our congregate settings were</w:t>
      </w:r>
      <w:r w:rsidR="005B1D29">
        <w:rPr>
          <w:rFonts w:cs="Arial"/>
        </w:rPr>
        <w:t xml:space="preserve"> found to require further review for compliance of the Community Rule</w:t>
      </w:r>
      <w:r w:rsidR="005B1D29" w:rsidRPr="007D00D7">
        <w:rPr>
          <w:rFonts w:cs="Arial"/>
        </w:rPr>
        <w:t xml:space="preserve">. </w:t>
      </w:r>
      <w:r w:rsidRPr="007D00D7">
        <w:rPr>
          <w:rFonts w:cs="Arial"/>
        </w:rPr>
        <w:t xml:space="preserve">Identified concerns were programmatic in nature. Only three FEW participants reside in two of these four identified settings. </w:t>
      </w:r>
    </w:p>
    <w:p w14:paraId="1295438C" w14:textId="77777777" w:rsidR="00327DC1" w:rsidRPr="007D00D7" w:rsidRDefault="00F23AD4" w:rsidP="00FD2904">
      <w:pPr>
        <w:rPr>
          <w:rFonts w:cs="Arial"/>
        </w:rPr>
      </w:pPr>
      <w:r w:rsidRPr="007D00D7">
        <w:rPr>
          <w:rFonts w:cs="Arial"/>
        </w:rPr>
        <w:t>EOEA staff conducted on-site visits to these four congregate housing settings. Following are the results:</w:t>
      </w:r>
    </w:p>
    <w:p w14:paraId="034CFF92" w14:textId="77777777" w:rsidR="00F23AD4" w:rsidRDefault="00C35B18" w:rsidP="004427AF">
      <w:pPr>
        <w:pStyle w:val="ListParagraph"/>
        <w:numPr>
          <w:ilvl w:val="0"/>
          <w:numId w:val="22"/>
        </w:numPr>
        <w:ind w:left="720"/>
        <w:rPr>
          <w:rFonts w:cs="Arial"/>
        </w:rPr>
      </w:pPr>
      <w:r>
        <w:rPr>
          <w:rFonts w:cs="Arial"/>
        </w:rPr>
        <w:t>All four</w:t>
      </w:r>
      <w:r w:rsidR="00F23AD4">
        <w:rPr>
          <w:rFonts w:cs="Arial"/>
        </w:rPr>
        <w:t xml:space="preserve"> settings </w:t>
      </w:r>
      <w:r w:rsidR="00223A7C">
        <w:rPr>
          <w:rFonts w:cs="Arial"/>
        </w:rPr>
        <w:t>were</w:t>
      </w:r>
      <w:r w:rsidR="00F23AD4">
        <w:rPr>
          <w:rFonts w:cs="Arial"/>
        </w:rPr>
        <w:t xml:space="preserve"> flagged by the ASAPs</w:t>
      </w:r>
      <w:r w:rsidR="00223A7C">
        <w:rPr>
          <w:rFonts w:cs="Arial"/>
        </w:rPr>
        <w:t xml:space="preserve"> in </w:t>
      </w:r>
      <w:r w:rsidR="00931876">
        <w:rPr>
          <w:rFonts w:cs="Arial"/>
        </w:rPr>
        <w:t>their reviews</w:t>
      </w:r>
      <w:r w:rsidR="00F23AD4">
        <w:rPr>
          <w:rFonts w:cs="Arial"/>
        </w:rPr>
        <w:t xml:space="preserve"> as having policies regarding visitors that were potentially inconsistent with the </w:t>
      </w:r>
      <w:r w:rsidR="002E6451">
        <w:rPr>
          <w:rFonts w:cs="Arial"/>
        </w:rPr>
        <w:t>Community Rule</w:t>
      </w:r>
      <w:r w:rsidR="00F23AD4">
        <w:rPr>
          <w:rFonts w:cs="Arial"/>
        </w:rPr>
        <w:t xml:space="preserve"> requirement. EOEA found that in </w:t>
      </w:r>
      <w:r>
        <w:rPr>
          <w:rFonts w:cs="Arial"/>
        </w:rPr>
        <w:t>all four</w:t>
      </w:r>
      <w:r w:rsidR="00F23AD4">
        <w:rPr>
          <w:rFonts w:cs="Arial"/>
        </w:rPr>
        <w:t xml:space="preserve"> cases, the </w:t>
      </w:r>
      <w:r w:rsidR="00223A7C">
        <w:rPr>
          <w:rFonts w:cs="Arial"/>
        </w:rPr>
        <w:t xml:space="preserve">settings’ </w:t>
      </w:r>
      <w:r w:rsidR="00F23AD4">
        <w:rPr>
          <w:rFonts w:cs="Arial"/>
        </w:rPr>
        <w:t xml:space="preserve">policies </w:t>
      </w:r>
      <w:r w:rsidR="00223A7C">
        <w:rPr>
          <w:rFonts w:cs="Arial"/>
        </w:rPr>
        <w:t xml:space="preserve">do in fact </w:t>
      </w:r>
      <w:r w:rsidR="00F23AD4">
        <w:rPr>
          <w:rFonts w:cs="Arial"/>
        </w:rPr>
        <w:t>allow residents to have visitors of their choosing at any time. EOEA’s site visit</w:t>
      </w:r>
      <w:r w:rsidR="009977B9">
        <w:rPr>
          <w:rFonts w:cs="Arial"/>
        </w:rPr>
        <w:t>s</w:t>
      </w:r>
      <w:r w:rsidR="00F23AD4">
        <w:rPr>
          <w:rFonts w:cs="Arial"/>
        </w:rPr>
        <w:t xml:space="preserve"> further determined that </w:t>
      </w:r>
      <w:r w:rsidR="001745B7">
        <w:rPr>
          <w:rFonts w:cs="Arial"/>
        </w:rPr>
        <w:t>three</w:t>
      </w:r>
      <w:r>
        <w:rPr>
          <w:rFonts w:cs="Arial"/>
        </w:rPr>
        <w:t xml:space="preserve"> of these</w:t>
      </w:r>
      <w:r w:rsidR="00F23AD4">
        <w:rPr>
          <w:rFonts w:cs="Arial"/>
        </w:rPr>
        <w:t xml:space="preserve"> congregate settings comply fully with the </w:t>
      </w:r>
      <w:r w:rsidR="002E6451">
        <w:rPr>
          <w:rFonts w:cs="Arial"/>
        </w:rPr>
        <w:t>Community Rule</w:t>
      </w:r>
      <w:r w:rsidR="00223A7C">
        <w:rPr>
          <w:rFonts w:cs="Arial"/>
        </w:rPr>
        <w:t xml:space="preserve"> in all respects</w:t>
      </w:r>
      <w:r w:rsidR="00F23AD4">
        <w:rPr>
          <w:rFonts w:cs="Arial"/>
        </w:rPr>
        <w:t xml:space="preserve">. </w:t>
      </w:r>
    </w:p>
    <w:p w14:paraId="42F97DA3" w14:textId="4C35D49C" w:rsidR="008E6F7E" w:rsidRDefault="00121963" w:rsidP="004427AF">
      <w:pPr>
        <w:pStyle w:val="ListParagraph"/>
        <w:numPr>
          <w:ilvl w:val="0"/>
          <w:numId w:val="22"/>
        </w:numPr>
        <w:ind w:left="720"/>
        <w:rPr>
          <w:rFonts w:cs="Arial"/>
        </w:rPr>
      </w:pPr>
      <w:r w:rsidRPr="008E6F7E">
        <w:rPr>
          <w:rFonts w:cs="Arial"/>
        </w:rPr>
        <w:t xml:space="preserve">EOEA determined during its on-site visits, that one of the four settings was not compliant due to a lack of locks on bedroom doors as well as lack of adequate protections for privacy during personal care (specifically, it lacked locks or other privacy mechanism on a bathroom door). EOEA determined that this setting </w:t>
      </w:r>
      <w:r w:rsidR="003971E8" w:rsidRPr="008E6F7E">
        <w:rPr>
          <w:rFonts w:cs="Arial"/>
        </w:rPr>
        <w:t>could</w:t>
      </w:r>
      <w:r w:rsidRPr="008E6F7E">
        <w:rPr>
          <w:rFonts w:cs="Arial"/>
        </w:rPr>
        <w:t>, with minor modification, achieve compliance.</w:t>
      </w:r>
      <w:r w:rsidR="008E6F7E">
        <w:rPr>
          <w:rFonts w:cs="Arial"/>
        </w:rPr>
        <w:br/>
      </w:r>
    </w:p>
    <w:p w14:paraId="483A61D2" w14:textId="1F3FD9C6" w:rsidR="00D579F0" w:rsidRPr="00BC407F" w:rsidRDefault="001B743A" w:rsidP="00122579">
      <w:pPr>
        <w:pStyle w:val="Heading3"/>
        <w:rPr>
          <w:rStyle w:val="Heading3Char"/>
          <w:rFonts w:cs="Arial"/>
        </w:rPr>
      </w:pPr>
      <w:r>
        <w:rPr>
          <w:rStyle w:val="Heading3Char"/>
          <w:rFonts w:cs="Arial"/>
          <w:b/>
          <w:bCs/>
        </w:rPr>
        <w:lastRenderedPageBreak/>
        <w:t xml:space="preserve">3. </w:t>
      </w:r>
      <w:r w:rsidR="00327DC1" w:rsidRPr="00BC407F">
        <w:rPr>
          <w:rStyle w:val="Heading3Char"/>
          <w:rFonts w:cs="Arial"/>
          <w:b/>
          <w:bCs/>
        </w:rPr>
        <w:t xml:space="preserve">Remedial Actions/Actions Related to Compliance </w:t>
      </w:r>
      <w:r w:rsidR="00D579F0" w:rsidRPr="00BC407F">
        <w:rPr>
          <w:rStyle w:val="Heading3Char"/>
          <w:rFonts w:cs="Arial"/>
        </w:rPr>
        <w:t>(See Table 3</w:t>
      </w:r>
      <w:r w:rsidR="00EF6B1A" w:rsidRPr="00BC407F">
        <w:rPr>
          <w:rStyle w:val="Heading3Char"/>
          <w:rFonts w:cs="Arial"/>
        </w:rPr>
        <w:t>.</w:t>
      </w:r>
      <w:r w:rsidR="00D579F0" w:rsidRPr="00BC407F">
        <w:rPr>
          <w:rStyle w:val="Heading3Char"/>
          <w:rFonts w:cs="Arial"/>
        </w:rPr>
        <w:t xml:space="preserve"> Summary of Transition Plan Tasks and Timelines)</w:t>
      </w:r>
    </w:p>
    <w:p w14:paraId="02C77DAD" w14:textId="77777777" w:rsidR="007D00D7" w:rsidRPr="00BC407F" w:rsidRDefault="00327DC1" w:rsidP="0084239B">
      <w:pPr>
        <w:rPr>
          <w:rStyle w:val="SubtleEmphasis"/>
        </w:rPr>
      </w:pPr>
      <w:r w:rsidRPr="00BC407F">
        <w:rPr>
          <w:rStyle w:val="SubtleEmphasis"/>
        </w:rPr>
        <w:t>Supportive Day Programs</w:t>
      </w:r>
    </w:p>
    <w:p w14:paraId="3A2CF4CB" w14:textId="5DC7A1FC" w:rsidR="00327DC1" w:rsidRPr="00B11E60" w:rsidRDefault="00E504DE" w:rsidP="00FD2904">
      <w:pPr>
        <w:rPr>
          <w:rFonts w:cs="Arial"/>
        </w:rPr>
      </w:pPr>
      <w:r w:rsidRPr="007D00D7">
        <w:rPr>
          <w:rFonts w:cs="Arial"/>
        </w:rPr>
        <w:t>Based on the results of EOEA’s site-specific reviews, no remedial actions are required</w:t>
      </w:r>
      <w:r w:rsidR="00771BBE" w:rsidRPr="007D00D7">
        <w:rPr>
          <w:rFonts w:cs="Arial"/>
        </w:rPr>
        <w:t>.</w:t>
      </w:r>
      <w:r w:rsidR="00327DC1" w:rsidRPr="001C3635">
        <w:rPr>
          <w:rFonts w:cs="Arial"/>
        </w:rPr>
        <w:t xml:space="preserve"> </w:t>
      </w:r>
    </w:p>
    <w:p w14:paraId="69B7EA42" w14:textId="307F9996" w:rsidR="007D00D7" w:rsidRPr="00BC407F" w:rsidRDefault="00327DC1" w:rsidP="0084239B">
      <w:pPr>
        <w:rPr>
          <w:rStyle w:val="SubtleEmphasis"/>
        </w:rPr>
      </w:pPr>
      <w:r w:rsidRPr="00BC407F">
        <w:rPr>
          <w:rStyle w:val="SubtleEmphasis"/>
        </w:rPr>
        <w:t>Congregate Housing</w:t>
      </w:r>
    </w:p>
    <w:p w14:paraId="4FA2E701" w14:textId="4E9E209B" w:rsidR="00FD2904" w:rsidRDefault="00327DC1" w:rsidP="00FD2904">
      <w:pPr>
        <w:rPr>
          <w:rFonts w:cs="Arial"/>
        </w:rPr>
      </w:pPr>
      <w:r w:rsidRPr="007D00D7">
        <w:rPr>
          <w:rFonts w:cs="Arial"/>
        </w:rPr>
        <w:t>EOEA direct</w:t>
      </w:r>
      <w:r w:rsidR="00DA4CAD" w:rsidRPr="007D00D7">
        <w:rPr>
          <w:rFonts w:cs="Arial"/>
        </w:rPr>
        <w:t>ed</w:t>
      </w:r>
      <w:r w:rsidRPr="007D00D7">
        <w:rPr>
          <w:rFonts w:cs="Arial"/>
        </w:rPr>
        <w:t xml:space="preserve"> the congregate housing setting described above</w:t>
      </w:r>
      <w:r w:rsidR="00DA4CAD" w:rsidRPr="007D00D7">
        <w:rPr>
          <w:rFonts w:cs="Arial"/>
        </w:rPr>
        <w:t xml:space="preserve"> as requiring minor modifications to make the necessary modifications no later than </w:t>
      </w:r>
      <w:r w:rsidR="00D6548D">
        <w:rPr>
          <w:rFonts w:cs="Arial"/>
        </w:rPr>
        <w:t>February</w:t>
      </w:r>
      <w:r w:rsidR="00D6548D" w:rsidRPr="007D00D7">
        <w:rPr>
          <w:rFonts w:cs="Arial"/>
        </w:rPr>
        <w:t xml:space="preserve"> </w:t>
      </w:r>
      <w:r w:rsidR="00DA4CAD" w:rsidRPr="007D00D7">
        <w:rPr>
          <w:rFonts w:cs="Arial"/>
        </w:rPr>
        <w:t>2017.</w:t>
      </w:r>
      <w:r w:rsidRPr="007D00D7">
        <w:rPr>
          <w:rFonts w:cs="Arial"/>
        </w:rPr>
        <w:t xml:space="preserve"> </w:t>
      </w:r>
      <w:r w:rsidR="00DA4CAD" w:rsidRPr="007D00D7">
        <w:rPr>
          <w:rFonts w:cs="Arial"/>
        </w:rPr>
        <w:t xml:space="preserve">The ASAP </w:t>
      </w:r>
      <w:r w:rsidR="0084682F" w:rsidRPr="007D00D7">
        <w:rPr>
          <w:rFonts w:cs="Arial"/>
        </w:rPr>
        <w:t>monitor</w:t>
      </w:r>
      <w:r w:rsidR="003971E8">
        <w:rPr>
          <w:rFonts w:cs="Arial"/>
        </w:rPr>
        <w:t>ed</w:t>
      </w:r>
      <w:r w:rsidR="00DA4CAD" w:rsidRPr="007D00D7">
        <w:rPr>
          <w:rFonts w:cs="Arial"/>
        </w:rPr>
        <w:t xml:space="preserve"> the setting</w:t>
      </w:r>
      <w:r w:rsidR="001B0CA1">
        <w:rPr>
          <w:rFonts w:cs="Arial"/>
        </w:rPr>
        <w:t>s</w:t>
      </w:r>
      <w:r w:rsidR="00523701" w:rsidRPr="007D00D7">
        <w:rPr>
          <w:rFonts w:cs="Arial"/>
        </w:rPr>
        <w:t>’</w:t>
      </w:r>
      <w:r w:rsidR="00DA4CAD" w:rsidRPr="007D00D7">
        <w:rPr>
          <w:rFonts w:cs="Arial"/>
        </w:rPr>
        <w:t xml:space="preserve"> </w:t>
      </w:r>
      <w:r w:rsidR="0084682F" w:rsidRPr="007D00D7">
        <w:rPr>
          <w:rFonts w:cs="Arial"/>
        </w:rPr>
        <w:t>remediation implementation, confirm</w:t>
      </w:r>
      <w:r w:rsidR="003971E8">
        <w:rPr>
          <w:rFonts w:cs="Arial"/>
        </w:rPr>
        <w:t>ing</w:t>
      </w:r>
      <w:r w:rsidR="0084682F" w:rsidRPr="007D00D7">
        <w:rPr>
          <w:rFonts w:cs="Arial"/>
        </w:rPr>
        <w:t xml:space="preserve"> </w:t>
      </w:r>
      <w:r w:rsidR="003971E8">
        <w:rPr>
          <w:rFonts w:cs="Arial"/>
        </w:rPr>
        <w:t>that bedroom door locks and adequate privacy protections for personal care activities are in place</w:t>
      </w:r>
      <w:r w:rsidR="00734E3D">
        <w:rPr>
          <w:rFonts w:cs="Arial"/>
        </w:rPr>
        <w:t xml:space="preserve"> and the setting demonstrates</w:t>
      </w:r>
      <w:r w:rsidR="003971E8" w:rsidRPr="007D00D7">
        <w:rPr>
          <w:rFonts w:cs="Arial"/>
        </w:rPr>
        <w:t xml:space="preserve"> </w:t>
      </w:r>
      <w:r w:rsidR="0084682F" w:rsidRPr="007D00D7">
        <w:rPr>
          <w:rFonts w:cs="Arial"/>
        </w:rPr>
        <w:t>full compliance.</w:t>
      </w:r>
      <w:r w:rsidRPr="007D00D7">
        <w:rPr>
          <w:rFonts w:cs="Arial"/>
        </w:rPr>
        <w:t xml:space="preserve"> </w:t>
      </w:r>
      <w:r w:rsidR="003971E8">
        <w:rPr>
          <w:rFonts w:cs="Arial"/>
        </w:rPr>
        <w:t xml:space="preserve">(See Table 3. Summary of Transition Plan Tasks and Timelines.) </w:t>
      </w:r>
      <w:r w:rsidR="0084682F" w:rsidRPr="007D00D7">
        <w:rPr>
          <w:rFonts w:cs="Arial"/>
        </w:rPr>
        <w:t>Concomitantly, EOEA’s housing director conduct</w:t>
      </w:r>
      <w:r w:rsidR="00734E3D">
        <w:rPr>
          <w:rFonts w:cs="Arial"/>
        </w:rPr>
        <w:t>ed</w:t>
      </w:r>
      <w:r w:rsidR="0084682F" w:rsidRPr="007D00D7">
        <w:rPr>
          <w:rFonts w:cs="Arial"/>
        </w:rPr>
        <w:t xml:space="preserve"> site visits to a sample of </w:t>
      </w:r>
      <w:r w:rsidR="00523701" w:rsidRPr="007D00D7">
        <w:rPr>
          <w:rFonts w:cs="Arial"/>
        </w:rPr>
        <w:t>congregate h</w:t>
      </w:r>
      <w:r w:rsidR="0084682F" w:rsidRPr="007D00D7">
        <w:rPr>
          <w:rFonts w:cs="Arial"/>
        </w:rPr>
        <w:t xml:space="preserve">ousing settings to verify compliance with the </w:t>
      </w:r>
      <w:r w:rsidR="002E6451" w:rsidRPr="007D00D7">
        <w:rPr>
          <w:rFonts w:cs="Arial"/>
        </w:rPr>
        <w:t>Community Rule</w:t>
      </w:r>
      <w:r w:rsidR="0084682F" w:rsidRPr="007D00D7">
        <w:rPr>
          <w:rFonts w:cs="Arial"/>
        </w:rPr>
        <w:t>.</w:t>
      </w:r>
      <w:r w:rsidR="0084682F" w:rsidRPr="000F4A4D">
        <w:rPr>
          <w:rFonts w:cs="Arial"/>
        </w:rPr>
        <w:t xml:space="preserve"> </w:t>
      </w:r>
      <w:r w:rsidRPr="007D00D7">
        <w:rPr>
          <w:rFonts w:cs="Arial"/>
        </w:rPr>
        <w:t xml:space="preserve">If any setting is unable to </w:t>
      </w:r>
      <w:r w:rsidR="0084682F" w:rsidRPr="007D00D7">
        <w:rPr>
          <w:rFonts w:cs="Arial"/>
        </w:rPr>
        <w:t>achieve compliance</w:t>
      </w:r>
      <w:r w:rsidRPr="007D00D7">
        <w:rPr>
          <w:rFonts w:cs="Arial"/>
        </w:rPr>
        <w:t xml:space="preserve">, EOEA and its </w:t>
      </w:r>
      <w:r w:rsidR="0084682F" w:rsidRPr="007D00D7">
        <w:rPr>
          <w:rFonts w:cs="Arial"/>
        </w:rPr>
        <w:t xml:space="preserve">agent </w:t>
      </w:r>
      <w:r w:rsidRPr="007D00D7">
        <w:rPr>
          <w:rFonts w:cs="Arial"/>
        </w:rPr>
        <w:t>will work with the congregate setting to relocate FEW participants</w:t>
      </w:r>
      <w:r w:rsidR="001B0CA1">
        <w:rPr>
          <w:rFonts w:cs="Arial"/>
        </w:rPr>
        <w:t>, if any,</w:t>
      </w:r>
      <w:r w:rsidRPr="007D00D7">
        <w:rPr>
          <w:rFonts w:cs="Arial"/>
        </w:rPr>
        <w:t xml:space="preserve"> to another </w:t>
      </w:r>
      <w:r w:rsidR="000E7C08" w:rsidRPr="007D00D7">
        <w:rPr>
          <w:rFonts w:cs="Arial"/>
        </w:rPr>
        <w:t>setting that</w:t>
      </w:r>
      <w:r w:rsidRPr="007D00D7">
        <w:rPr>
          <w:rFonts w:cs="Arial"/>
        </w:rPr>
        <w:t xml:space="preserve"> has met the requirements of the </w:t>
      </w:r>
      <w:r w:rsidR="002E6451" w:rsidRPr="007D00D7">
        <w:rPr>
          <w:rFonts w:cs="Arial"/>
        </w:rPr>
        <w:t>Community Rule</w:t>
      </w:r>
      <w:r w:rsidRPr="007D00D7">
        <w:rPr>
          <w:rFonts w:cs="Arial"/>
        </w:rPr>
        <w:t xml:space="preserve"> or, after ensuring the participant is fully informed, determine whether the participant wishes to discontinue their waiver enrollment. </w:t>
      </w:r>
    </w:p>
    <w:p w14:paraId="3784E2F6" w14:textId="77DA2FBD" w:rsidR="00327DC1" w:rsidRPr="00FD2904" w:rsidRDefault="35D78230" w:rsidP="00327DC1">
      <w:pPr>
        <w:rPr>
          <w:rFonts w:cs="Arial"/>
        </w:rPr>
      </w:pPr>
      <w:r w:rsidRPr="5E83C6CD">
        <w:rPr>
          <w:rFonts w:cs="Arial"/>
        </w:rPr>
        <w:t xml:space="preserve">In addition, </w:t>
      </w:r>
      <w:r w:rsidR="70BD9D31" w:rsidRPr="5E83C6CD">
        <w:rPr>
          <w:rFonts w:cs="Arial"/>
        </w:rPr>
        <w:t xml:space="preserve">EOEA </w:t>
      </w:r>
      <w:r w:rsidR="00B85286">
        <w:rPr>
          <w:rFonts w:cs="Arial"/>
        </w:rPr>
        <w:t>has</w:t>
      </w:r>
      <w:r w:rsidR="70BD9D31" w:rsidRPr="5E83C6CD">
        <w:rPr>
          <w:rFonts w:cs="Arial"/>
        </w:rPr>
        <w:t xml:space="preserve"> </w:t>
      </w:r>
      <w:r w:rsidR="74EE6C45" w:rsidRPr="5E83C6CD">
        <w:rPr>
          <w:rFonts w:cs="Arial"/>
        </w:rPr>
        <w:t>revis</w:t>
      </w:r>
      <w:r w:rsidR="00B85286">
        <w:rPr>
          <w:rFonts w:cs="Arial"/>
        </w:rPr>
        <w:t>ed</w:t>
      </w:r>
      <w:r w:rsidR="74EE6C45" w:rsidRPr="5E83C6CD">
        <w:rPr>
          <w:rFonts w:cs="Arial"/>
        </w:rPr>
        <w:t xml:space="preserve"> its</w:t>
      </w:r>
      <w:r w:rsidR="70BD9D31" w:rsidRPr="5E83C6CD">
        <w:rPr>
          <w:rFonts w:cs="Arial"/>
        </w:rPr>
        <w:t xml:space="preserve"> HCBS </w:t>
      </w:r>
      <w:r w:rsidR="74EE6C45" w:rsidRPr="5E83C6CD">
        <w:rPr>
          <w:rFonts w:cs="Arial"/>
        </w:rPr>
        <w:t>Waiver P</w:t>
      </w:r>
      <w:r w:rsidR="70BD9D31" w:rsidRPr="5E83C6CD">
        <w:rPr>
          <w:rFonts w:cs="Arial"/>
        </w:rPr>
        <w:t xml:space="preserve">rogram </w:t>
      </w:r>
      <w:r w:rsidR="74EE6C45" w:rsidRPr="5E83C6CD">
        <w:rPr>
          <w:rFonts w:cs="Arial"/>
        </w:rPr>
        <w:t>G</w:t>
      </w:r>
      <w:r w:rsidR="70BD9D31" w:rsidRPr="5E83C6CD">
        <w:rPr>
          <w:rFonts w:cs="Arial"/>
        </w:rPr>
        <w:t xml:space="preserve">uidelines to provide standards and guidance to its agents of the appropriate settings for waiver participants, including congregate housing to ensure compliance with the </w:t>
      </w:r>
      <w:r w:rsidR="6F9F2D50" w:rsidRPr="5E83C6CD">
        <w:rPr>
          <w:rFonts w:cs="Arial"/>
        </w:rPr>
        <w:t>Community Rule</w:t>
      </w:r>
      <w:r w:rsidR="70BD9D31" w:rsidRPr="5E83C6CD">
        <w:rPr>
          <w:rFonts w:cs="Arial"/>
        </w:rPr>
        <w:t>. This policy include</w:t>
      </w:r>
      <w:r w:rsidR="00AB71A7">
        <w:rPr>
          <w:rFonts w:cs="Arial"/>
        </w:rPr>
        <w:t>s</w:t>
      </w:r>
      <w:r w:rsidR="70BD9D31" w:rsidRPr="5E83C6CD">
        <w:rPr>
          <w:rFonts w:cs="Arial"/>
        </w:rPr>
        <w:t xml:space="preserve"> a new review tool that explicitly addresses the exploratory questions published by CMS. (</w:t>
      </w:r>
      <w:r w:rsidR="582FA069" w:rsidRPr="5E83C6CD">
        <w:rPr>
          <w:rFonts w:cs="Arial"/>
        </w:rPr>
        <w:t>See</w:t>
      </w:r>
      <w:r w:rsidR="70BD9D31" w:rsidRPr="5E83C6CD">
        <w:rPr>
          <w:rFonts w:cs="Arial"/>
        </w:rPr>
        <w:t xml:space="preserve"> </w:t>
      </w:r>
      <w:r w:rsidR="2CB9B2DF" w:rsidRPr="5E83C6CD">
        <w:rPr>
          <w:rFonts w:cs="Arial"/>
        </w:rPr>
        <w:t xml:space="preserve">Section VI. </w:t>
      </w:r>
      <w:r w:rsidR="70BD9D31" w:rsidRPr="5E83C6CD">
        <w:rPr>
          <w:rFonts w:cs="Arial"/>
        </w:rPr>
        <w:t>Ongoing Monitoring</w:t>
      </w:r>
      <w:r w:rsidR="582FA069" w:rsidRPr="5E83C6CD">
        <w:rPr>
          <w:rFonts w:cs="Arial"/>
        </w:rPr>
        <w:t>.</w:t>
      </w:r>
      <w:r w:rsidR="70BD9D31" w:rsidRPr="5E83C6CD">
        <w:rPr>
          <w:rFonts w:cs="Arial"/>
        </w:rPr>
        <w:t xml:space="preserve">) </w:t>
      </w:r>
    </w:p>
    <w:p w14:paraId="2C611CBB" w14:textId="5A7B722A" w:rsidR="00327DC1" w:rsidRPr="0051376E" w:rsidRDefault="00327DC1" w:rsidP="00144BE9">
      <w:pPr>
        <w:pStyle w:val="Heading2"/>
      </w:pPr>
      <w:r w:rsidRPr="0051376E">
        <w:t>VI.</w:t>
      </w:r>
      <w:r w:rsidRPr="0051376E">
        <w:tab/>
        <w:t>Ongoing Monitoring</w:t>
      </w:r>
    </w:p>
    <w:p w14:paraId="2497FD51" w14:textId="2923B088" w:rsidR="00327DC1" w:rsidRPr="00B11E60" w:rsidRDefault="00327DC1" w:rsidP="00327DC1">
      <w:pPr>
        <w:rPr>
          <w:rFonts w:cs="Arial"/>
        </w:rPr>
      </w:pPr>
      <w:r w:rsidRPr="00B11E60">
        <w:rPr>
          <w:rFonts w:cs="Arial"/>
        </w:rPr>
        <w:t>MassHealth continue</w:t>
      </w:r>
      <w:r w:rsidR="00FE77BB">
        <w:rPr>
          <w:rFonts w:cs="Arial"/>
        </w:rPr>
        <w:t>s</w:t>
      </w:r>
      <w:r w:rsidRPr="00B11E60">
        <w:rPr>
          <w:rFonts w:cs="Arial"/>
        </w:rPr>
        <w:t xml:space="preserve"> to monitor and oversee compliance with the STP on an agency-by-agency basis, as each agency monitors and oversees compliance across its provider network.</w:t>
      </w:r>
    </w:p>
    <w:p w14:paraId="75DDC362" w14:textId="27BA5E68" w:rsidR="00327DC1" w:rsidRPr="00B11E60" w:rsidRDefault="00327DC1" w:rsidP="00327DC1">
      <w:pPr>
        <w:rPr>
          <w:rFonts w:cs="Arial"/>
        </w:rPr>
      </w:pPr>
      <w:r w:rsidRPr="00B11E60">
        <w:rPr>
          <w:rFonts w:cs="Arial"/>
        </w:rPr>
        <w:t xml:space="preserve">In addition, the MassHealth-convened STP Cross-Agency Workgroup will serve as a locus for ongoing collaboration as the agency-level plans are implemented, as well as a vehicle to share best practices and monitor accountability. Moreover, as MassHealth and the waiver-operating agencies look to the future, the </w:t>
      </w:r>
      <w:r w:rsidR="000C5392">
        <w:rPr>
          <w:rFonts w:cs="Arial"/>
        </w:rPr>
        <w:t xml:space="preserve">MassHealth </w:t>
      </w:r>
      <w:r w:rsidR="00CF35A4">
        <w:rPr>
          <w:rFonts w:cs="Arial"/>
        </w:rPr>
        <w:t>HCBS</w:t>
      </w:r>
      <w:r w:rsidRPr="00B11E60">
        <w:rPr>
          <w:rFonts w:cs="Arial"/>
        </w:rPr>
        <w:t xml:space="preserve"> Waiver Unit will identify initiatives and potential waiver changes and will utilize the Cross-Agency Workgroup to review plans for any possible compliance issues.</w:t>
      </w:r>
    </w:p>
    <w:p w14:paraId="579D7C93" w14:textId="77777777" w:rsidR="00327DC1" w:rsidRPr="00144BE9" w:rsidRDefault="00327DC1" w:rsidP="008E7527">
      <w:pPr>
        <w:pStyle w:val="Heading2"/>
        <w:rPr>
          <w:sz w:val="26"/>
          <w:szCs w:val="26"/>
        </w:rPr>
      </w:pPr>
      <w:r w:rsidRPr="00144BE9">
        <w:rPr>
          <w:sz w:val="26"/>
          <w:szCs w:val="26"/>
        </w:rPr>
        <w:t>A.  Waivers operated by the Department of Developmental Services (DDS)</w:t>
      </w:r>
    </w:p>
    <w:p w14:paraId="4FC10046" w14:textId="4C8CC7E4" w:rsidR="00327DC1" w:rsidRPr="00B11E60" w:rsidRDefault="00327DC1" w:rsidP="00327DC1">
      <w:pPr>
        <w:rPr>
          <w:rFonts w:cs="Arial"/>
        </w:rPr>
      </w:pPr>
      <w:r w:rsidRPr="00B11E60">
        <w:rPr>
          <w:rFonts w:cs="Arial"/>
        </w:rPr>
        <w:t xml:space="preserve">For all settings in which changes </w:t>
      </w:r>
      <w:r w:rsidR="00566C9C">
        <w:rPr>
          <w:rFonts w:cs="Arial"/>
        </w:rPr>
        <w:t>were</w:t>
      </w:r>
      <w:r w:rsidRPr="00B11E60">
        <w:rPr>
          <w:rFonts w:cs="Arial"/>
        </w:rPr>
        <w:t xml:space="preserve"> required, DDS institute</w:t>
      </w:r>
      <w:r w:rsidR="00F83719">
        <w:rPr>
          <w:rFonts w:cs="Arial"/>
        </w:rPr>
        <w:t>d</w:t>
      </w:r>
      <w:r w:rsidRPr="00B11E60">
        <w:rPr>
          <w:rFonts w:cs="Arial"/>
        </w:rPr>
        <w:t xml:space="preserve"> a process to ensure that the changes occur as stipulated. This process </w:t>
      </w:r>
      <w:r w:rsidR="00F83719">
        <w:rPr>
          <w:rFonts w:cs="Arial"/>
        </w:rPr>
        <w:t>includes</w:t>
      </w:r>
      <w:r w:rsidRPr="00B11E60">
        <w:rPr>
          <w:rFonts w:cs="Arial"/>
        </w:rPr>
        <w:t xml:space="preserve"> consultation and support to providers to enable them to successfully transition, quarterly reporting by providers to update DDS on </w:t>
      </w:r>
      <w:r w:rsidRPr="00B11E60">
        <w:rPr>
          <w:rFonts w:cs="Arial"/>
        </w:rPr>
        <w:lastRenderedPageBreak/>
        <w:t xml:space="preserve">progress towards compliance, and reviews by designated Area, Regional and Central Office DDS staff to ensure provider adherence to transition plans and processes. </w:t>
      </w:r>
    </w:p>
    <w:p w14:paraId="3A345459" w14:textId="77777777" w:rsidR="00327DC1" w:rsidRPr="00B11E60" w:rsidRDefault="00327DC1" w:rsidP="00327DC1">
      <w:pPr>
        <w:rPr>
          <w:rFonts w:cs="Arial"/>
        </w:rPr>
      </w:pPr>
      <w:r w:rsidRPr="00B11E60">
        <w:rPr>
          <w:rFonts w:cs="Arial"/>
        </w:rPr>
        <w:t>In addition, the quality management systems outlined in the discussion of DDS’s systemic assessment in Section IV above are the mechanisms through which DDS will monitor providers’ and settings’ compliance with the spirit and intent of the HCBS Rule. While providers are expected to have robust internal quality management and improvement processes, DDS does not rely on provider assessment as a measure of compliance with the Community Rule. All reviews and monitoring processes are conducted by an array of DDS staff including licensure and certification surveyors, program monitors, and Area and Regional staff, none of whom have any direct service responsibility.</w:t>
      </w:r>
    </w:p>
    <w:p w14:paraId="0494A8C9" w14:textId="77777777" w:rsidR="00327DC1" w:rsidRDefault="00327DC1" w:rsidP="00327DC1">
      <w:pPr>
        <w:rPr>
          <w:rFonts w:cs="Arial"/>
        </w:rPr>
      </w:pPr>
      <w:r w:rsidRPr="00B11E60">
        <w:rPr>
          <w:rFonts w:cs="Arial"/>
        </w:rPr>
        <w:t>Should any of the ongoing monitoring indicate a need for a substantive change in the Statewide Transition Plan, DDS along with MassHealth will revise the STP, complete public input activities (as noted below) and resubmit the STP for CMS approval.</w:t>
      </w:r>
    </w:p>
    <w:p w14:paraId="2F0DFD77" w14:textId="3F9C6EEB" w:rsidR="00F467B3" w:rsidRPr="00F467B3" w:rsidRDefault="00F467B3" w:rsidP="00F467B3">
      <w:pPr>
        <w:rPr>
          <w:rFonts w:cs="Arial"/>
          <w:bCs/>
        </w:rPr>
      </w:pPr>
      <w:r w:rsidRPr="00F467B3">
        <w:rPr>
          <w:rFonts w:cs="Arial"/>
          <w:bCs/>
        </w:rPr>
        <w:t xml:space="preserve">DDS Licensure and Certification is the process by which providers’ compliance is assessed and determined. The licensure and certification process applies to all providers subject to the requirements of Chapter 19B; section 15(a) of the Massachusetts General Laws.  The licensing review is conducted in a 2-year cycle if all thresholds are met.  Other conditions may require a 60-day follow-up or a mid-cycle review where the agency is reviewed for those indicators where the threshold has not been met.  In some circumstances, both a 60-day follow-up and a mid-cycle review are conducted.  Providers are certified for two years, concurrent with their Two-Year Licensure.  If the certification threshold is not met, the provider is required to complete a progress report at the one-year mark.    </w:t>
      </w:r>
    </w:p>
    <w:p w14:paraId="08EE7F01" w14:textId="1539EDFC" w:rsidR="00F467B3" w:rsidRPr="00F467B3" w:rsidRDefault="00F467B3" w:rsidP="00F467B3">
      <w:pPr>
        <w:rPr>
          <w:rFonts w:cs="Arial"/>
          <w:bCs/>
        </w:rPr>
      </w:pPr>
      <w:r w:rsidRPr="00F467B3">
        <w:rPr>
          <w:rFonts w:cs="Arial"/>
          <w:bCs/>
        </w:rPr>
        <w:t xml:space="preserve">Licensure and certification results are reported separately, with Certification findings specific to individual service types and measuring key areas such as human rights, choice and control, and community access and integration.  </w:t>
      </w:r>
    </w:p>
    <w:p w14:paraId="2E68FD69" w14:textId="36FA2754" w:rsidR="00F467B3" w:rsidRPr="00F467B3" w:rsidRDefault="00F467B3" w:rsidP="00F467B3">
      <w:pPr>
        <w:rPr>
          <w:rFonts w:cs="Arial"/>
          <w:bCs/>
        </w:rPr>
      </w:pPr>
      <w:r w:rsidRPr="00F467B3">
        <w:rPr>
          <w:rFonts w:cs="Arial"/>
          <w:bCs/>
        </w:rPr>
        <w:t>The certification tool and process set forth standards for specific services that promote quality and responsiveness and when implemented are predictive of positive outcomes in the lives of individuals. The tool has its foundation in DDS Regulations (115 CMR Chapters 5, 7, and 8) and covers areas of respect, individual choice and control, and community integration; the tool was expanded in 2016 to align with the Community Rule.  At that time, DDS revised the licensure and certification tool to clarify expectations and even more closely and strongly align the tool with the critical elements of the Community Rule in terms of both residential and non-residential settings. The specific support expectations in certification fall into several domains, each of which is evaluated separately.  These include, but are not limited</w:t>
      </w:r>
      <w:r w:rsidR="0DA57141" w:rsidRPr="2F452696">
        <w:rPr>
          <w:rFonts w:cs="Arial"/>
        </w:rPr>
        <w:t>,</w:t>
      </w:r>
      <w:r w:rsidRPr="00F467B3">
        <w:rPr>
          <w:rFonts w:cs="Arial"/>
          <w:bCs/>
        </w:rPr>
        <w:t xml:space="preserve"> to planning and quality improvement, </w:t>
      </w:r>
      <w:proofErr w:type="gramStart"/>
      <w:r w:rsidRPr="00F467B3">
        <w:rPr>
          <w:rFonts w:cs="Arial"/>
          <w:bCs/>
        </w:rPr>
        <w:t>choice</w:t>
      </w:r>
      <w:proofErr w:type="gramEnd"/>
      <w:r w:rsidRPr="00F467B3">
        <w:rPr>
          <w:rFonts w:cs="Arial"/>
          <w:bCs/>
        </w:rPr>
        <w:t xml:space="preserve"> and personal growth, supporting and enhancing relationships, career planning and development, and access and integration, to reflect the community rule. </w:t>
      </w:r>
    </w:p>
    <w:p w14:paraId="650AA7D6" w14:textId="25734074" w:rsidR="00F467B3" w:rsidRPr="00F467B3" w:rsidRDefault="00F467B3" w:rsidP="00F467B3">
      <w:pPr>
        <w:rPr>
          <w:rFonts w:cs="Arial"/>
          <w:bCs/>
        </w:rPr>
      </w:pPr>
      <w:r w:rsidRPr="00F467B3">
        <w:rPr>
          <w:rFonts w:cs="Arial"/>
          <w:bCs/>
        </w:rPr>
        <w:t xml:space="preserve">The Licensure and Certification review is conducted by DDS Quality Enhancement surveyors.  The survey includes preparatory documentation review, administrative review and interview, on-site visits, individual observation and interviews, and individual documentation reviews.  Survey findings are made based on extensive evidence obtained through these various processes.   </w:t>
      </w:r>
    </w:p>
    <w:p w14:paraId="71468091" w14:textId="6AED2042" w:rsidR="00F467B3" w:rsidRPr="00F467B3" w:rsidRDefault="00F467B3" w:rsidP="00F467B3">
      <w:pPr>
        <w:rPr>
          <w:rFonts w:cs="Arial"/>
          <w:bCs/>
        </w:rPr>
      </w:pPr>
      <w:r w:rsidRPr="00F467B3">
        <w:rPr>
          <w:rFonts w:cs="Arial"/>
          <w:bCs/>
        </w:rPr>
        <w:lastRenderedPageBreak/>
        <w:t xml:space="preserve">Upon the completion of the survey, a feedback meeting is held for the purpose of presenting the survey team’s findings.  In addition to outlining the level of licensure and certification results, the meeting allows sufficient time to discuss any areas where additional agency effort might be needed.  The goal of this meeting is to support continuous service quality improvement.   </w:t>
      </w:r>
    </w:p>
    <w:p w14:paraId="44F556A2" w14:textId="38BF2021" w:rsidR="00F467B3" w:rsidRDefault="00F467B3" w:rsidP="00F467B3">
      <w:pPr>
        <w:rPr>
          <w:rFonts w:cs="Arial"/>
          <w:bCs/>
        </w:rPr>
      </w:pPr>
      <w:r w:rsidRPr="00F467B3">
        <w:rPr>
          <w:rFonts w:cs="Arial"/>
          <w:bCs/>
        </w:rPr>
        <w:t xml:space="preserve">Providers are required to make corrections when indicators are not </w:t>
      </w:r>
      <w:proofErr w:type="gramStart"/>
      <w:r w:rsidRPr="00F467B3">
        <w:rPr>
          <w:rFonts w:cs="Arial"/>
          <w:bCs/>
        </w:rPr>
        <w:t>met, and</w:t>
      </w:r>
      <w:proofErr w:type="gramEnd"/>
      <w:r w:rsidRPr="00F467B3">
        <w:rPr>
          <w:rFonts w:cs="Arial"/>
          <w:bCs/>
        </w:rPr>
        <w:t xml:space="preserve"> are subject to follow-up by DDS surveyor staff or provider staff. These indicators are supportive of and fully in compliance with the HCBS Community Rule.</w:t>
      </w:r>
    </w:p>
    <w:p w14:paraId="614DE073" w14:textId="344B4BF2" w:rsidR="00EF6320" w:rsidRDefault="0092307A" w:rsidP="00F467B3">
      <w:pPr>
        <w:rPr>
          <w:rFonts w:cs="Arial"/>
        </w:rPr>
      </w:pPr>
      <w:r>
        <w:rPr>
          <w:rStyle w:val="ui-provider"/>
        </w:rPr>
        <w:t xml:space="preserve">DDS assures that 100% of providers are reviewed and determined to </w:t>
      </w:r>
      <w:proofErr w:type="gramStart"/>
      <w:r>
        <w:rPr>
          <w:rStyle w:val="ui-provider"/>
        </w:rPr>
        <w:t>be in compliance</w:t>
      </w:r>
      <w:proofErr w:type="gramEnd"/>
      <w:r>
        <w:rPr>
          <w:rStyle w:val="ui-provider"/>
        </w:rPr>
        <w:t xml:space="preserve"> through licensure and certification processes and other monitoring mechanisms, such as site visits and person-centered planning processes and meetings. Indicators not met are reported to providers as part of the licensure and certification process and DDS or provider follow up is expected.</w:t>
      </w:r>
      <w:r w:rsidRPr="29712154">
        <w:rPr>
          <w:rFonts w:cs="Arial"/>
        </w:rPr>
        <w:t xml:space="preserve"> </w:t>
      </w:r>
      <w:r>
        <w:rPr>
          <w:rStyle w:val="ui-provider"/>
        </w:rPr>
        <w:t xml:space="preserve">Additionally, there is oversight and monitoring of the regular site visits and of </w:t>
      </w:r>
      <w:proofErr w:type="gramStart"/>
      <w:r>
        <w:rPr>
          <w:rStyle w:val="ui-provider"/>
        </w:rPr>
        <w:t>person centered</w:t>
      </w:r>
      <w:proofErr w:type="gramEnd"/>
      <w:r>
        <w:rPr>
          <w:rStyle w:val="ui-provider"/>
        </w:rPr>
        <w:t xml:space="preserve"> processes through DDS operations staff. Lastly, a special review by the licensure and certification team can be requested for additional assessment and or monitoring outside the licensure process.</w:t>
      </w:r>
      <w:r w:rsidRPr="29712154">
        <w:rPr>
          <w:rFonts w:cs="Arial"/>
        </w:rPr>
        <w:t xml:space="preserve"> Th</w:t>
      </w:r>
      <w:r>
        <w:rPr>
          <w:rFonts w:cs="Arial"/>
        </w:rPr>
        <w:t>ese</w:t>
      </w:r>
      <w:r w:rsidRPr="29712154">
        <w:rPr>
          <w:rFonts w:cs="Arial"/>
        </w:rPr>
        <w:t xml:space="preserve"> process</w:t>
      </w:r>
      <w:r>
        <w:rPr>
          <w:rFonts w:cs="Arial"/>
        </w:rPr>
        <w:t>es</w:t>
      </w:r>
      <w:r w:rsidRPr="29712154">
        <w:rPr>
          <w:rFonts w:cs="Arial"/>
        </w:rPr>
        <w:t xml:space="preserve"> will assure continuous and ongoing monitoring of compliance with the Rule.</w:t>
      </w:r>
    </w:p>
    <w:p w14:paraId="00C8B70A" w14:textId="01D29E71" w:rsidR="00EF6320" w:rsidRDefault="00EF6320" w:rsidP="00EF6320">
      <w:pPr>
        <w:rPr>
          <w:rFonts w:cs="Arial"/>
        </w:rPr>
      </w:pPr>
      <w:r w:rsidRPr="0088419D">
        <w:rPr>
          <w:rFonts w:cs="Arial"/>
        </w:rPr>
        <w:t xml:space="preserve">All </w:t>
      </w:r>
      <w:r>
        <w:rPr>
          <w:rFonts w:cs="Arial"/>
        </w:rPr>
        <w:t>participants, regardless of their residential setting (</w:t>
      </w:r>
      <w:r w:rsidRPr="0088419D">
        <w:rPr>
          <w:rFonts w:cs="Arial"/>
        </w:rPr>
        <w:t xml:space="preserve">residing </w:t>
      </w:r>
      <w:r w:rsidRPr="00EE140F">
        <w:rPr>
          <w:rFonts w:cs="Arial"/>
        </w:rPr>
        <w:t>on their own</w:t>
      </w:r>
      <w:r>
        <w:rPr>
          <w:rFonts w:cs="Arial"/>
        </w:rPr>
        <w:t>,</w:t>
      </w:r>
      <w:r w:rsidRPr="00EE140F">
        <w:rPr>
          <w:rFonts w:cs="Arial"/>
        </w:rPr>
        <w:t xml:space="preserve"> with family members in</w:t>
      </w:r>
      <w:r>
        <w:rPr>
          <w:rFonts w:cs="Arial"/>
        </w:rPr>
        <w:t xml:space="preserve"> a</w:t>
      </w:r>
      <w:r w:rsidRPr="00EE140F">
        <w:rPr>
          <w:rFonts w:cs="Arial"/>
        </w:rPr>
        <w:t xml:space="preserve"> privately owned or rented home</w:t>
      </w:r>
      <w:r>
        <w:rPr>
          <w:rFonts w:cs="Arial"/>
        </w:rPr>
        <w:t>, or in a provider owned and controlled setting),</w:t>
      </w:r>
      <w:r w:rsidRPr="0088419D">
        <w:rPr>
          <w:rFonts w:cs="Arial"/>
        </w:rPr>
        <w:t xml:space="preserve"> receive ongoing monitoring for all </w:t>
      </w:r>
      <w:r w:rsidR="003A24E8">
        <w:rPr>
          <w:rFonts w:cs="Arial"/>
        </w:rPr>
        <w:t>service requirements</w:t>
      </w:r>
      <w:r w:rsidRPr="0088419D">
        <w:rPr>
          <w:rFonts w:cs="Arial"/>
        </w:rPr>
        <w:t xml:space="preserve"> as part of the existing</w:t>
      </w:r>
      <w:r>
        <w:rPr>
          <w:rFonts w:cs="Arial"/>
        </w:rPr>
        <w:t xml:space="preserve"> case management</w:t>
      </w:r>
      <w:r w:rsidRPr="0088419D">
        <w:rPr>
          <w:rFonts w:cs="Arial"/>
        </w:rPr>
        <w:t xml:space="preserve"> monitoring practices as outlined in the approved waiver application</w:t>
      </w:r>
      <w:r>
        <w:rPr>
          <w:rFonts w:cs="Arial"/>
        </w:rPr>
        <w:t>(s)</w:t>
      </w:r>
      <w:r w:rsidRPr="0088419D">
        <w:rPr>
          <w:rFonts w:cs="Arial"/>
        </w:rPr>
        <w:t>.</w:t>
      </w:r>
    </w:p>
    <w:p w14:paraId="561BE150" w14:textId="77777777" w:rsidR="00327DC1" w:rsidRPr="00144BE9" w:rsidRDefault="00327DC1" w:rsidP="008E7527">
      <w:pPr>
        <w:pStyle w:val="Heading2"/>
        <w:rPr>
          <w:sz w:val="26"/>
          <w:szCs w:val="26"/>
        </w:rPr>
      </w:pPr>
      <w:r w:rsidRPr="00144BE9">
        <w:rPr>
          <w:sz w:val="26"/>
          <w:szCs w:val="26"/>
        </w:rPr>
        <w:t>B.  Waivers operated by the Massachusetts Rehabilitation Commission (MRC)</w:t>
      </w:r>
    </w:p>
    <w:p w14:paraId="069FA00B" w14:textId="1B9F136B" w:rsidR="00327DC1" w:rsidRPr="00B11E60" w:rsidRDefault="00327DC1" w:rsidP="00327DC1">
      <w:pPr>
        <w:rPr>
          <w:rFonts w:cs="Arial"/>
        </w:rPr>
      </w:pPr>
      <w:r w:rsidRPr="00B11E60">
        <w:rPr>
          <w:rFonts w:cs="Arial"/>
        </w:rPr>
        <w:t>MRC intends to continue to monitor all residential settings through use of state agency staff (Residential Coordinators) who do not provide direct services to participants. This creates a conflict-free monitoring system. In addition, MRC staff conduct annual on-site compliance evaluations.</w:t>
      </w:r>
      <w:r w:rsidR="002C5CC5">
        <w:rPr>
          <w:rFonts w:cs="Arial"/>
        </w:rPr>
        <w:t xml:space="preserve"> The annual contracted provider review process includes both a site visit and a r</w:t>
      </w:r>
      <w:r w:rsidR="002C5CC5">
        <w:t>eview of policies, training records, and has been updated to include review of lease agreements</w:t>
      </w:r>
      <w:r w:rsidR="005E15F5">
        <w:t xml:space="preserve"> to ensure 100% compliance with </w:t>
      </w:r>
      <w:proofErr w:type="gramStart"/>
      <w:r w:rsidR="005E15F5">
        <w:t>all of</w:t>
      </w:r>
      <w:proofErr w:type="gramEnd"/>
      <w:r w:rsidR="005E15F5">
        <w:t xml:space="preserve"> the settings criteria.</w:t>
      </w:r>
      <w:r w:rsidR="008233CE">
        <w:t xml:space="preserve">  Any </w:t>
      </w:r>
      <w:r w:rsidR="00891C6B">
        <w:t>setting</w:t>
      </w:r>
      <w:r w:rsidR="008233CE">
        <w:t xml:space="preserve"> found to </w:t>
      </w:r>
      <w:r w:rsidR="00891C6B">
        <w:t xml:space="preserve">be </w:t>
      </w:r>
      <w:r w:rsidR="008233CE">
        <w:t xml:space="preserve">not </w:t>
      </w:r>
      <w:r w:rsidR="00891C6B">
        <w:t>compliant</w:t>
      </w:r>
      <w:r w:rsidR="008233CE">
        <w:t xml:space="preserve"> would be subject to a remediation plan</w:t>
      </w:r>
      <w:r w:rsidR="00BF796E">
        <w:t xml:space="preserve"> that identifies the </w:t>
      </w:r>
      <w:r w:rsidR="00036BE7">
        <w:t xml:space="preserve">criteria not being met, steps </w:t>
      </w:r>
      <w:r w:rsidR="00E86E39">
        <w:t>that need to be taken to bring the setting into compliance, and a deadline by which the plan must be complete.</w:t>
      </w:r>
      <w:r w:rsidR="00A60A2A">
        <w:t xml:space="preserve">  If the setting remains</w:t>
      </w:r>
      <w:r w:rsidR="00006EE3">
        <w:t xml:space="preserve"> non-compliant</w:t>
      </w:r>
      <w:r w:rsidR="00A90D6D">
        <w:t xml:space="preserve"> at the deadline, then </w:t>
      </w:r>
      <w:r w:rsidR="000E1464">
        <w:t xml:space="preserve">the </w:t>
      </w:r>
      <w:r w:rsidR="00F6361D">
        <w:t>process outline</w:t>
      </w:r>
      <w:r w:rsidR="00C57AB0">
        <w:t>d</w:t>
      </w:r>
      <w:r w:rsidR="00F6361D">
        <w:t xml:space="preserve"> in </w:t>
      </w:r>
      <w:r w:rsidR="00F6361D" w:rsidRPr="00C57AB0">
        <w:rPr>
          <w:i/>
          <w:iCs/>
        </w:rPr>
        <w:t>VIII.</w:t>
      </w:r>
      <w:r w:rsidR="00C57AB0">
        <w:rPr>
          <w:i/>
          <w:iCs/>
        </w:rPr>
        <w:t xml:space="preserve"> </w:t>
      </w:r>
      <w:r w:rsidR="00F6361D" w:rsidRPr="00C57AB0">
        <w:rPr>
          <w:i/>
          <w:iCs/>
        </w:rPr>
        <w:t>Participant Relocation</w:t>
      </w:r>
      <w:r w:rsidR="00C57AB0">
        <w:t xml:space="preserve"> is followed.</w:t>
      </w:r>
    </w:p>
    <w:p w14:paraId="34CB81A4" w14:textId="79A1F524" w:rsidR="00327DC1" w:rsidRPr="00B11E60" w:rsidRDefault="00B54EDE" w:rsidP="00327DC1">
      <w:pPr>
        <w:rPr>
          <w:rFonts w:cs="Arial"/>
        </w:rPr>
      </w:pPr>
      <w:r w:rsidRPr="00C37FE3">
        <w:rPr>
          <w:rFonts w:cs="Arial"/>
        </w:rPr>
        <w:t>MRC conducts annual site visits</w:t>
      </w:r>
      <w:r>
        <w:rPr>
          <w:rFonts w:cs="Arial"/>
        </w:rPr>
        <w:t xml:space="preserve"> of non-residential </w:t>
      </w:r>
      <w:r w:rsidR="006C61B3">
        <w:rPr>
          <w:rFonts w:cs="Arial"/>
        </w:rPr>
        <w:t xml:space="preserve">day service </w:t>
      </w:r>
      <w:r>
        <w:rPr>
          <w:rFonts w:cs="Arial"/>
        </w:rPr>
        <w:t>settings</w:t>
      </w:r>
      <w:r w:rsidRPr="00B54EDE">
        <w:rPr>
          <w:rFonts w:cs="Arial"/>
        </w:rPr>
        <w:t xml:space="preserve"> </w:t>
      </w:r>
      <w:r w:rsidRPr="00C37FE3">
        <w:rPr>
          <w:rFonts w:cs="Arial"/>
        </w:rPr>
        <w:t>not licensed or certified by DDS</w:t>
      </w:r>
      <w:r>
        <w:rPr>
          <w:rFonts w:cs="Arial"/>
        </w:rPr>
        <w:t>.</w:t>
      </w:r>
      <w:r w:rsidRPr="00C37FE3">
        <w:rPr>
          <w:rFonts w:cs="Arial"/>
        </w:rPr>
        <w:t xml:space="preserve"> </w:t>
      </w:r>
      <w:r>
        <w:rPr>
          <w:rFonts w:cs="Arial"/>
        </w:rPr>
        <w:t>For all such day services, MRC utilize</w:t>
      </w:r>
      <w:r w:rsidR="00FE77BB">
        <w:rPr>
          <w:rFonts w:cs="Arial"/>
        </w:rPr>
        <w:t>s</w:t>
      </w:r>
      <w:r w:rsidRPr="00C37FE3">
        <w:rPr>
          <w:rFonts w:cs="Arial"/>
        </w:rPr>
        <w:t xml:space="preserve"> a monitoring tool to review </w:t>
      </w:r>
      <w:r>
        <w:rPr>
          <w:rFonts w:cs="Arial"/>
        </w:rPr>
        <w:t>each</w:t>
      </w:r>
      <w:r w:rsidRPr="00C37FE3">
        <w:rPr>
          <w:rFonts w:cs="Arial"/>
        </w:rPr>
        <w:t xml:space="preserve"> site and the activities/services provided for all day programs, to </w:t>
      </w:r>
      <w:r>
        <w:rPr>
          <w:rFonts w:cs="Arial"/>
        </w:rPr>
        <w:t>monitor</w:t>
      </w:r>
      <w:r w:rsidRPr="00C37FE3">
        <w:rPr>
          <w:rFonts w:cs="Arial"/>
        </w:rPr>
        <w:t xml:space="preserve"> </w:t>
      </w:r>
      <w:r>
        <w:rPr>
          <w:rFonts w:cs="Arial"/>
        </w:rPr>
        <w:t>ongoing</w:t>
      </w:r>
      <w:r w:rsidRPr="00C37FE3">
        <w:rPr>
          <w:rFonts w:cs="Arial"/>
        </w:rPr>
        <w:t xml:space="preserve"> Community Rule compliance.</w:t>
      </w:r>
      <w:r w:rsidR="006C61B3">
        <w:rPr>
          <w:rFonts w:cs="Arial"/>
        </w:rPr>
        <w:t xml:space="preserve"> </w:t>
      </w:r>
      <w:r w:rsidR="00B049BA">
        <w:rPr>
          <w:rFonts w:cs="Arial"/>
        </w:rPr>
        <w:t>Supported employment provider qualifications are reviewed every two years or as specified in the waiver application, to ensure continued compliance with requirements. In addition, MRC case managers</w:t>
      </w:r>
      <w:r w:rsidR="00B049BA" w:rsidRPr="00B049BA">
        <w:rPr>
          <w:rFonts w:cs="Arial"/>
        </w:rPr>
        <w:t xml:space="preserve"> </w:t>
      </w:r>
      <w:r w:rsidR="00B049BA">
        <w:rPr>
          <w:rFonts w:cs="Arial"/>
        </w:rPr>
        <w:t xml:space="preserve">monitor provider compliance, through annual meetings with participants as part of the person-centered planning process. </w:t>
      </w:r>
    </w:p>
    <w:p w14:paraId="21DD1DA1" w14:textId="3C22827F" w:rsidR="00EC56CD" w:rsidRDefault="00327DC1" w:rsidP="00327DC1">
      <w:pPr>
        <w:rPr>
          <w:rFonts w:cs="Arial"/>
        </w:rPr>
      </w:pPr>
      <w:r w:rsidRPr="00B11E60">
        <w:rPr>
          <w:rFonts w:cs="Arial"/>
        </w:rPr>
        <w:lastRenderedPageBreak/>
        <w:t xml:space="preserve">If any of the ongoing monitoring </w:t>
      </w:r>
      <w:r w:rsidR="0044459D" w:rsidRPr="00B11E60">
        <w:rPr>
          <w:rFonts w:cs="Arial"/>
        </w:rPr>
        <w:t>indicates</w:t>
      </w:r>
      <w:r w:rsidRPr="00B11E60">
        <w:rPr>
          <w:rFonts w:cs="Arial"/>
        </w:rPr>
        <w:t xml:space="preserve"> a need for a substantive change in the </w:t>
      </w:r>
      <w:r w:rsidR="00695B29">
        <w:rPr>
          <w:rFonts w:cs="Arial"/>
        </w:rPr>
        <w:t>T</w:t>
      </w:r>
      <w:r w:rsidRPr="00B11E60">
        <w:rPr>
          <w:rFonts w:cs="Arial"/>
        </w:rPr>
        <w:t>ransition Plan, MRC along with MassHealth will revise the Transition Plan, complete public input activities, and resubmit the Transition Plan for CMS approval.</w:t>
      </w:r>
    </w:p>
    <w:p w14:paraId="5AE9DEB7" w14:textId="4A8AA5EB" w:rsidR="00EF6320" w:rsidRPr="00B11E60" w:rsidRDefault="00EF6320" w:rsidP="00327DC1">
      <w:pPr>
        <w:rPr>
          <w:rFonts w:cs="Arial"/>
        </w:rPr>
      </w:pPr>
      <w:r w:rsidRPr="0088419D">
        <w:rPr>
          <w:rFonts w:cs="Arial"/>
        </w:rPr>
        <w:t xml:space="preserve">All </w:t>
      </w:r>
      <w:r>
        <w:rPr>
          <w:rFonts w:cs="Arial"/>
        </w:rPr>
        <w:t>participants, regardless of their residential setting (</w:t>
      </w:r>
      <w:r w:rsidRPr="0088419D">
        <w:rPr>
          <w:rFonts w:cs="Arial"/>
        </w:rPr>
        <w:t xml:space="preserve">residing </w:t>
      </w:r>
      <w:r w:rsidRPr="00EE140F">
        <w:rPr>
          <w:rFonts w:cs="Arial"/>
        </w:rPr>
        <w:t>on their own</w:t>
      </w:r>
      <w:r>
        <w:rPr>
          <w:rFonts w:cs="Arial"/>
        </w:rPr>
        <w:t>,</w:t>
      </w:r>
      <w:r w:rsidRPr="00EE140F">
        <w:rPr>
          <w:rFonts w:cs="Arial"/>
        </w:rPr>
        <w:t xml:space="preserve"> with family members in</w:t>
      </w:r>
      <w:r>
        <w:rPr>
          <w:rFonts w:cs="Arial"/>
        </w:rPr>
        <w:t xml:space="preserve"> a</w:t>
      </w:r>
      <w:r w:rsidRPr="00EE140F">
        <w:rPr>
          <w:rFonts w:cs="Arial"/>
        </w:rPr>
        <w:t xml:space="preserve"> privately owned or rented home</w:t>
      </w:r>
      <w:r>
        <w:rPr>
          <w:rFonts w:cs="Arial"/>
        </w:rPr>
        <w:t>, or in a provider owned and controlled setting),</w:t>
      </w:r>
      <w:r w:rsidRPr="0088419D">
        <w:rPr>
          <w:rFonts w:cs="Arial"/>
        </w:rPr>
        <w:t xml:space="preserve"> receive ongoing monitoring for all settings rule requirements as part of the existing</w:t>
      </w:r>
      <w:r>
        <w:rPr>
          <w:rFonts w:cs="Arial"/>
        </w:rPr>
        <w:t xml:space="preserve"> case management</w:t>
      </w:r>
      <w:r w:rsidRPr="0088419D">
        <w:rPr>
          <w:rFonts w:cs="Arial"/>
        </w:rPr>
        <w:t xml:space="preserve"> monitoring practices as outlined in the approved waiver application</w:t>
      </w:r>
      <w:r>
        <w:rPr>
          <w:rFonts w:cs="Arial"/>
        </w:rPr>
        <w:t>(s)</w:t>
      </w:r>
      <w:r w:rsidRPr="0088419D">
        <w:rPr>
          <w:rFonts w:cs="Arial"/>
        </w:rPr>
        <w:t>.</w:t>
      </w:r>
    </w:p>
    <w:p w14:paraId="748757F5" w14:textId="77777777" w:rsidR="00327DC1" w:rsidRPr="00144BE9" w:rsidRDefault="00327DC1" w:rsidP="008E7527">
      <w:pPr>
        <w:pStyle w:val="Heading2"/>
        <w:rPr>
          <w:sz w:val="26"/>
          <w:szCs w:val="26"/>
        </w:rPr>
      </w:pPr>
      <w:r w:rsidRPr="00144BE9">
        <w:rPr>
          <w:sz w:val="26"/>
          <w:szCs w:val="26"/>
        </w:rPr>
        <w:t>C.  Waiver operated by the Executive Office of Elder Affairs (EOEA)</w:t>
      </w:r>
    </w:p>
    <w:p w14:paraId="07464938" w14:textId="77777777" w:rsidR="00E67978" w:rsidRPr="00BC407F" w:rsidRDefault="001D3590" w:rsidP="0084239B">
      <w:pPr>
        <w:rPr>
          <w:rStyle w:val="SubtleEmphasis"/>
        </w:rPr>
      </w:pPr>
      <w:r w:rsidRPr="00BC407F">
        <w:rPr>
          <w:rStyle w:val="SubtleEmphasis"/>
        </w:rPr>
        <w:t>Supportive Day Programs</w:t>
      </w:r>
    </w:p>
    <w:p w14:paraId="2E739C85" w14:textId="53F5F1F3" w:rsidR="001D3590" w:rsidRDefault="001D3590" w:rsidP="001D3590">
      <w:pPr>
        <w:rPr>
          <w:rFonts w:cs="Arial"/>
          <w:u w:val="single"/>
        </w:rPr>
      </w:pPr>
      <w:r w:rsidRPr="00C35B50">
        <w:rPr>
          <w:rFonts w:cs="Arial"/>
        </w:rPr>
        <w:t>EOEA updated the service provider monitoring tool used to conduct on-going monitoring of Supportive Day Programs to include revised standards. All ASAPs conduct monitoring of Supportive Day Programs utilizing this monitoring tool on an on-going basis</w:t>
      </w:r>
      <w:r w:rsidR="00391DA8">
        <w:rPr>
          <w:rFonts w:cs="Arial"/>
        </w:rPr>
        <w:t>, as well as in the process of evaluating any new Supportive Day Program providers</w:t>
      </w:r>
      <w:r w:rsidRPr="00C35B50">
        <w:rPr>
          <w:rFonts w:cs="Arial"/>
        </w:rPr>
        <w:t xml:space="preserve">. </w:t>
      </w:r>
      <w:proofErr w:type="gramStart"/>
      <w:r w:rsidRPr="00C35B50">
        <w:rPr>
          <w:rFonts w:cs="Arial"/>
        </w:rPr>
        <w:t>Provider monitoring,</w:t>
      </w:r>
      <w:proofErr w:type="gramEnd"/>
      <w:r w:rsidRPr="00C35B50">
        <w:rPr>
          <w:rFonts w:cs="Arial"/>
        </w:rPr>
        <w:t xml:space="preserve"> conducted every two years, and ongoing Case Management oversight will ensure that all Supportive Day Program providers maintain compliance, and will assist the ASAPs and EOEA to identify any programs that are not in compliance. </w:t>
      </w:r>
      <w:r w:rsidR="00931876">
        <w:rPr>
          <w:rFonts w:cs="Arial"/>
        </w:rPr>
        <w:t>EOEA will discontinue or preclude utilizing a</w:t>
      </w:r>
      <w:r w:rsidRPr="00C35B50">
        <w:rPr>
          <w:rFonts w:cs="Arial"/>
        </w:rPr>
        <w:t xml:space="preserve">ny program that does not maintain compliance </w:t>
      </w:r>
      <w:r w:rsidR="00931876">
        <w:rPr>
          <w:rFonts w:cs="Arial"/>
        </w:rPr>
        <w:t>with the Community Rule</w:t>
      </w:r>
      <w:r w:rsidRPr="00C35B50">
        <w:rPr>
          <w:rFonts w:cs="Arial"/>
        </w:rPr>
        <w:t>.</w:t>
      </w:r>
      <w:r w:rsidRPr="001164FA">
        <w:rPr>
          <w:rFonts w:cs="Arial"/>
          <w:u w:val="single"/>
        </w:rPr>
        <w:t xml:space="preserve"> </w:t>
      </w:r>
    </w:p>
    <w:p w14:paraId="2448767B" w14:textId="77777777" w:rsidR="00E67978" w:rsidRPr="00BC407F" w:rsidRDefault="001D3590" w:rsidP="0084239B">
      <w:pPr>
        <w:rPr>
          <w:rStyle w:val="SubtleEmphasis"/>
        </w:rPr>
      </w:pPr>
      <w:r w:rsidRPr="00BC407F">
        <w:rPr>
          <w:rStyle w:val="SubtleEmphasis"/>
        </w:rPr>
        <w:t>Congregate Settings</w:t>
      </w:r>
    </w:p>
    <w:p w14:paraId="0AF61033" w14:textId="0F4E2C55" w:rsidR="001D3590" w:rsidRDefault="00C35B50" w:rsidP="001D3590">
      <w:pPr>
        <w:rPr>
          <w:rFonts w:cs="Arial"/>
        </w:rPr>
      </w:pPr>
      <w:r>
        <w:rPr>
          <w:rFonts w:cs="Arial"/>
        </w:rPr>
        <w:t xml:space="preserve">Going forward, </w:t>
      </w:r>
      <w:r w:rsidR="001D3590">
        <w:rPr>
          <w:rFonts w:cs="Arial"/>
        </w:rPr>
        <w:t>EOEA’s agents</w:t>
      </w:r>
      <w:r>
        <w:rPr>
          <w:rFonts w:cs="Arial"/>
        </w:rPr>
        <w:t xml:space="preserve"> will</w:t>
      </w:r>
      <w:r w:rsidR="001D3590">
        <w:rPr>
          <w:rFonts w:cs="Arial"/>
        </w:rPr>
        <w:t xml:space="preserve"> play a two-fold role to ensure that all congregate settings in which FEW participants reside maintain long-term compliance with the </w:t>
      </w:r>
      <w:r w:rsidR="002E6451">
        <w:rPr>
          <w:rFonts w:cs="Arial"/>
        </w:rPr>
        <w:t>Community Rule</w:t>
      </w:r>
      <w:r w:rsidR="001D3590">
        <w:rPr>
          <w:rFonts w:cs="Arial"/>
        </w:rPr>
        <w:t xml:space="preserve">. First, the ASAPs work closely with waiver participants who are seeking a congregate unit during the </w:t>
      </w:r>
      <w:r w:rsidR="00931876">
        <w:rPr>
          <w:rFonts w:cs="Arial"/>
        </w:rPr>
        <w:t xml:space="preserve">process of applying for residence </w:t>
      </w:r>
      <w:r w:rsidR="009F5522">
        <w:rPr>
          <w:rFonts w:cs="Arial"/>
        </w:rPr>
        <w:t>in and</w:t>
      </w:r>
      <w:r w:rsidR="00931876">
        <w:rPr>
          <w:rFonts w:cs="Arial"/>
        </w:rPr>
        <w:t xml:space="preserve"> moving into a congregate housing setting</w:t>
      </w:r>
      <w:r w:rsidR="001D3590">
        <w:rPr>
          <w:rFonts w:cs="Arial"/>
        </w:rPr>
        <w:t xml:space="preserve">. Applicants will be informed that they will not be eligible to receive FEW services should they choose to reside in any setting that is not compliant with the </w:t>
      </w:r>
      <w:r w:rsidR="002E6451">
        <w:rPr>
          <w:rFonts w:cs="Arial"/>
        </w:rPr>
        <w:t>Community Rule</w:t>
      </w:r>
      <w:r w:rsidR="001D3590">
        <w:rPr>
          <w:rFonts w:cs="Arial"/>
        </w:rPr>
        <w:t xml:space="preserve">. ASAPs will not authorize FEW services for individuals who reside in a non-compliant setting. Second, EOEA’s agents are required to visit each congregate housing setting in their designated area on a monthly (minimum) basis. The ASAPs will use information obtained through these on-site visits to identify any </w:t>
      </w:r>
      <w:r w:rsidR="00647BCF">
        <w:rPr>
          <w:rFonts w:cs="Arial"/>
        </w:rPr>
        <w:t xml:space="preserve">required </w:t>
      </w:r>
      <w:r w:rsidR="001D3590">
        <w:rPr>
          <w:rFonts w:cs="Arial"/>
        </w:rPr>
        <w:t xml:space="preserve">compliance updates or changes related to physical plant, programming, or resident rights over time. </w:t>
      </w:r>
      <w:r w:rsidR="006B2718">
        <w:rPr>
          <w:rFonts w:cs="Arial"/>
        </w:rPr>
        <w:t xml:space="preserve">In addition, </w:t>
      </w:r>
      <w:r w:rsidR="00E2343D">
        <w:rPr>
          <w:rFonts w:cs="Arial"/>
        </w:rPr>
        <w:t xml:space="preserve">for each congregate housing setting, </w:t>
      </w:r>
      <w:r w:rsidR="006B2718">
        <w:rPr>
          <w:rFonts w:cs="Arial"/>
        </w:rPr>
        <w:t xml:space="preserve">the ASAPs will update the congregate </w:t>
      </w:r>
      <w:r w:rsidR="00931876">
        <w:rPr>
          <w:rFonts w:cs="Arial"/>
        </w:rPr>
        <w:t xml:space="preserve">housing </w:t>
      </w:r>
      <w:r w:rsidR="006B2718">
        <w:rPr>
          <w:rFonts w:cs="Arial"/>
        </w:rPr>
        <w:t>setting survey (described above under Site Specific Assessment Process) every two years as an additional tool to verify the settings’ continued compliance.</w:t>
      </w:r>
    </w:p>
    <w:p w14:paraId="1CD81AE5" w14:textId="401C563D" w:rsidR="00C35B50" w:rsidRDefault="00C35B50" w:rsidP="00C35B50">
      <w:pPr>
        <w:rPr>
          <w:rFonts w:cs="Arial"/>
        </w:rPr>
      </w:pPr>
      <w:r>
        <w:rPr>
          <w:rFonts w:cs="Arial"/>
        </w:rPr>
        <w:t xml:space="preserve">In addition, EOEA conducts case </w:t>
      </w:r>
      <w:r w:rsidR="006B2718">
        <w:rPr>
          <w:rFonts w:cs="Arial"/>
        </w:rPr>
        <w:t xml:space="preserve">record </w:t>
      </w:r>
      <w:r>
        <w:rPr>
          <w:rFonts w:cs="Arial"/>
        </w:rPr>
        <w:t xml:space="preserve">reviews </w:t>
      </w:r>
      <w:r w:rsidR="006B2718">
        <w:rPr>
          <w:rFonts w:cs="Arial"/>
        </w:rPr>
        <w:t>for a statistically significant sample of waiver participants</w:t>
      </w:r>
      <w:r>
        <w:rPr>
          <w:rFonts w:cs="Arial"/>
        </w:rPr>
        <w:t xml:space="preserve">. Cases are chosen at </w:t>
      </w:r>
      <w:r w:rsidR="009F5522">
        <w:rPr>
          <w:rFonts w:cs="Arial"/>
        </w:rPr>
        <w:t>random and</w:t>
      </w:r>
      <w:r>
        <w:rPr>
          <w:rFonts w:cs="Arial"/>
        </w:rPr>
        <w:t xml:space="preserve"> may include FEW participants residing in congregate settings or receiving Supportive Day Program services. These reviews include </w:t>
      </w:r>
      <w:r w:rsidR="6901D87E" w:rsidRPr="63EA9F5C">
        <w:rPr>
          <w:rFonts w:cs="Arial"/>
        </w:rPr>
        <w:t>the review of the</w:t>
      </w:r>
      <w:r>
        <w:rPr>
          <w:rFonts w:cs="Arial"/>
        </w:rPr>
        <w:t xml:space="preserve"> assessment of the consumer’s environment and functioning within their </w:t>
      </w:r>
      <w:r w:rsidR="009F5522">
        <w:rPr>
          <w:rFonts w:cs="Arial"/>
        </w:rPr>
        <w:t>environment and</w:t>
      </w:r>
      <w:r>
        <w:rPr>
          <w:rFonts w:cs="Arial"/>
        </w:rPr>
        <w:t xml:space="preserve"> serve as an additional layer of ongoing monitoring and oversight to ensure compliance of Supportive Day Programs and congregate settings with the </w:t>
      </w:r>
      <w:r w:rsidR="002E6451">
        <w:rPr>
          <w:rFonts w:cs="Arial"/>
        </w:rPr>
        <w:t>Community Rule</w:t>
      </w:r>
      <w:r>
        <w:rPr>
          <w:rFonts w:cs="Arial"/>
        </w:rPr>
        <w:t xml:space="preserve">. </w:t>
      </w:r>
    </w:p>
    <w:p w14:paraId="6B4A1292" w14:textId="77777777" w:rsidR="002F2E97" w:rsidRDefault="00B51B67" w:rsidP="00C35B50">
      <w:r w:rsidRPr="0088419D">
        <w:rPr>
          <w:rFonts w:cs="Arial"/>
        </w:rPr>
        <w:lastRenderedPageBreak/>
        <w:t xml:space="preserve">All </w:t>
      </w:r>
      <w:r>
        <w:rPr>
          <w:rFonts w:cs="Arial"/>
        </w:rPr>
        <w:t>participants, regardless of their residential setting (</w:t>
      </w:r>
      <w:r w:rsidRPr="0088419D">
        <w:rPr>
          <w:rFonts w:cs="Arial"/>
        </w:rPr>
        <w:t xml:space="preserve">residing </w:t>
      </w:r>
      <w:r w:rsidRPr="00EE140F">
        <w:rPr>
          <w:rFonts w:cs="Arial"/>
        </w:rPr>
        <w:t>on their own</w:t>
      </w:r>
      <w:r>
        <w:rPr>
          <w:rFonts w:cs="Arial"/>
        </w:rPr>
        <w:t>,</w:t>
      </w:r>
      <w:r w:rsidRPr="00EE140F">
        <w:rPr>
          <w:rFonts w:cs="Arial"/>
        </w:rPr>
        <w:t xml:space="preserve"> with family members in</w:t>
      </w:r>
      <w:r>
        <w:rPr>
          <w:rFonts w:cs="Arial"/>
        </w:rPr>
        <w:t xml:space="preserve"> a</w:t>
      </w:r>
      <w:r w:rsidRPr="00EE140F">
        <w:rPr>
          <w:rFonts w:cs="Arial"/>
        </w:rPr>
        <w:t xml:space="preserve"> privately owned or rented home</w:t>
      </w:r>
      <w:r>
        <w:rPr>
          <w:rFonts w:cs="Arial"/>
        </w:rPr>
        <w:t>, or in a provider owned and controlled setting),</w:t>
      </w:r>
      <w:r w:rsidRPr="0088419D">
        <w:rPr>
          <w:rFonts w:cs="Arial"/>
        </w:rPr>
        <w:t xml:space="preserve"> receive ongoing monitoring for all settings rule requirements as part of the existing</w:t>
      </w:r>
      <w:r>
        <w:rPr>
          <w:rFonts w:cs="Arial"/>
        </w:rPr>
        <w:t xml:space="preserve"> case management</w:t>
      </w:r>
      <w:r w:rsidRPr="0088419D">
        <w:rPr>
          <w:rFonts w:cs="Arial"/>
        </w:rPr>
        <w:t xml:space="preserve"> monitoring practices as outlined in the approved waiver application</w:t>
      </w:r>
      <w:r>
        <w:rPr>
          <w:rFonts w:cs="Arial"/>
        </w:rPr>
        <w:t>(s)</w:t>
      </w:r>
      <w:r w:rsidRPr="0088419D">
        <w:rPr>
          <w:rFonts w:cs="Arial"/>
        </w:rPr>
        <w:t>.</w:t>
      </w:r>
      <w:r w:rsidR="004C6570" w:rsidRPr="004C6570">
        <w:t xml:space="preserve"> </w:t>
      </w:r>
    </w:p>
    <w:p w14:paraId="4F3454D7" w14:textId="4DEE063A" w:rsidR="0005136B" w:rsidRDefault="002F2E97" w:rsidP="00C35B50">
      <w:r>
        <w:t xml:space="preserve">Every participant has an in-person visit at least twice annually. In-person visits are almost always conducted in the home. However, a participant may choose a different location that accommodates their needs. </w:t>
      </w:r>
      <w:r w:rsidR="00BA29DA">
        <w:t xml:space="preserve">In cases where the participant elects an approach that does not include an in-person visit, the </w:t>
      </w:r>
      <w:r w:rsidR="001C2A46">
        <w:t>case manager</w:t>
      </w:r>
      <w:r w:rsidR="00BA29DA">
        <w:t xml:space="preserve"> is expected to draw on other sources of information about the participant, including providers, family members, or other individuals or organizations providing support to confirm </w:t>
      </w:r>
      <w:r w:rsidR="00241E9C">
        <w:t>information about the home environment</w:t>
      </w:r>
      <w:r w:rsidR="00BA29DA">
        <w:t>.</w:t>
      </w:r>
    </w:p>
    <w:p w14:paraId="1A2537E1" w14:textId="2876B792" w:rsidR="0067565D" w:rsidRPr="00144BE9" w:rsidRDefault="0067565D" w:rsidP="008E7527">
      <w:pPr>
        <w:pStyle w:val="Heading2"/>
        <w:rPr>
          <w:sz w:val="26"/>
          <w:szCs w:val="26"/>
        </w:rPr>
      </w:pPr>
      <w:r w:rsidRPr="00144BE9">
        <w:rPr>
          <w:sz w:val="26"/>
          <w:szCs w:val="26"/>
        </w:rPr>
        <w:t xml:space="preserve">D. MassHealth oversight of HCBS waiver participants in </w:t>
      </w:r>
      <w:r w:rsidR="009D3ACA" w:rsidRPr="00144BE9">
        <w:rPr>
          <w:sz w:val="26"/>
          <w:szCs w:val="26"/>
        </w:rPr>
        <w:t xml:space="preserve">MassHealth </w:t>
      </w:r>
      <w:r w:rsidR="00086BAE" w:rsidRPr="00144BE9">
        <w:rPr>
          <w:sz w:val="26"/>
          <w:szCs w:val="26"/>
        </w:rPr>
        <w:t xml:space="preserve">State Plan </w:t>
      </w:r>
      <w:r w:rsidRPr="00144BE9">
        <w:rPr>
          <w:sz w:val="26"/>
          <w:szCs w:val="26"/>
        </w:rPr>
        <w:t>Adult Foster Care</w:t>
      </w:r>
      <w:r w:rsidR="0085687D" w:rsidRPr="00144BE9">
        <w:rPr>
          <w:sz w:val="26"/>
          <w:szCs w:val="26"/>
        </w:rPr>
        <w:t xml:space="preserve"> (AFC)</w:t>
      </w:r>
      <w:r w:rsidR="009D3ACA" w:rsidRPr="00144BE9">
        <w:rPr>
          <w:sz w:val="26"/>
          <w:szCs w:val="26"/>
        </w:rPr>
        <w:t xml:space="preserve"> Settings</w:t>
      </w:r>
    </w:p>
    <w:p w14:paraId="4B12483C" w14:textId="3D8F4F40" w:rsidR="00481BD8" w:rsidRDefault="00FD025D" w:rsidP="00C35B50">
      <w:pPr>
        <w:rPr>
          <w:rStyle w:val="Strong"/>
          <w:b w:val="0"/>
          <w:bCs w:val="0"/>
        </w:rPr>
      </w:pPr>
      <w:r w:rsidRPr="00FD025D">
        <w:rPr>
          <w:rStyle w:val="Strong"/>
          <w:b w:val="0"/>
          <w:bCs w:val="0"/>
        </w:rPr>
        <w:t xml:space="preserve">MassHealth </w:t>
      </w:r>
      <w:r w:rsidR="00983364">
        <w:rPr>
          <w:rStyle w:val="Strong"/>
          <w:b w:val="0"/>
          <w:bCs w:val="0"/>
        </w:rPr>
        <w:t xml:space="preserve">has issued two </w:t>
      </w:r>
      <w:r>
        <w:rPr>
          <w:rStyle w:val="Strong"/>
          <w:b w:val="0"/>
          <w:bCs w:val="0"/>
        </w:rPr>
        <w:t>Provider Bulletin</w:t>
      </w:r>
      <w:r w:rsidR="00983364">
        <w:rPr>
          <w:rStyle w:val="Strong"/>
          <w:b w:val="0"/>
          <w:bCs w:val="0"/>
        </w:rPr>
        <w:t>s</w:t>
      </w:r>
      <w:r>
        <w:rPr>
          <w:rStyle w:val="Strong"/>
          <w:b w:val="0"/>
          <w:bCs w:val="0"/>
        </w:rPr>
        <w:t xml:space="preserve"> </w:t>
      </w:r>
      <w:r w:rsidR="007F3522">
        <w:rPr>
          <w:rStyle w:val="Strong"/>
          <w:b w:val="0"/>
          <w:bCs w:val="0"/>
        </w:rPr>
        <w:t>to</w:t>
      </w:r>
      <w:r w:rsidR="00861FF9">
        <w:rPr>
          <w:rStyle w:val="Strong"/>
          <w:b w:val="0"/>
          <w:bCs w:val="0"/>
        </w:rPr>
        <w:t xml:space="preserve"> </w:t>
      </w:r>
      <w:r w:rsidR="0085687D">
        <w:rPr>
          <w:rStyle w:val="Strong"/>
          <w:b w:val="0"/>
          <w:bCs w:val="0"/>
        </w:rPr>
        <w:t>AFC</w:t>
      </w:r>
      <w:r w:rsidR="00861FF9">
        <w:rPr>
          <w:rStyle w:val="Strong"/>
          <w:b w:val="0"/>
          <w:bCs w:val="0"/>
        </w:rPr>
        <w:t xml:space="preserve"> </w:t>
      </w:r>
      <w:r w:rsidR="00E27186">
        <w:rPr>
          <w:rStyle w:val="Strong"/>
          <w:b w:val="0"/>
          <w:bCs w:val="0"/>
        </w:rPr>
        <w:t>p</w:t>
      </w:r>
      <w:r w:rsidR="00861FF9">
        <w:rPr>
          <w:rStyle w:val="Strong"/>
          <w:b w:val="0"/>
          <w:bCs w:val="0"/>
        </w:rPr>
        <w:t>roviders detail</w:t>
      </w:r>
      <w:r w:rsidR="00A52200">
        <w:rPr>
          <w:rStyle w:val="Strong"/>
          <w:b w:val="0"/>
          <w:bCs w:val="0"/>
        </w:rPr>
        <w:t>ing</w:t>
      </w:r>
      <w:r w:rsidR="00861FF9">
        <w:rPr>
          <w:rStyle w:val="Strong"/>
          <w:b w:val="0"/>
          <w:bCs w:val="0"/>
        </w:rPr>
        <w:t xml:space="preserve"> the Community Rule </w:t>
      </w:r>
      <w:r w:rsidR="007C594B">
        <w:rPr>
          <w:rStyle w:val="Strong"/>
          <w:b w:val="0"/>
          <w:bCs w:val="0"/>
        </w:rPr>
        <w:t>requirements.</w:t>
      </w:r>
      <w:r w:rsidR="0085687D">
        <w:rPr>
          <w:rStyle w:val="Strong"/>
          <w:b w:val="0"/>
          <w:bCs w:val="0"/>
        </w:rPr>
        <w:t xml:space="preserve">  </w:t>
      </w:r>
      <w:r w:rsidR="0085687D" w:rsidRPr="0085687D">
        <w:rPr>
          <w:rStyle w:val="Strong"/>
          <w:b w:val="0"/>
          <w:bCs w:val="0"/>
        </w:rPr>
        <w:t xml:space="preserve">To ensure compliance with the Community Rule, AFC </w:t>
      </w:r>
      <w:r w:rsidR="00E27186">
        <w:rPr>
          <w:rStyle w:val="Strong"/>
          <w:b w:val="0"/>
          <w:bCs w:val="0"/>
        </w:rPr>
        <w:t>p</w:t>
      </w:r>
      <w:r w:rsidR="0085687D" w:rsidRPr="0085687D">
        <w:rPr>
          <w:rStyle w:val="Strong"/>
          <w:b w:val="0"/>
          <w:bCs w:val="0"/>
        </w:rPr>
        <w:t xml:space="preserve">roviders </w:t>
      </w:r>
      <w:r w:rsidR="009A17B3">
        <w:rPr>
          <w:rStyle w:val="Strong"/>
          <w:b w:val="0"/>
          <w:bCs w:val="0"/>
        </w:rPr>
        <w:t>will</w:t>
      </w:r>
      <w:r w:rsidR="0085687D" w:rsidRPr="0085687D">
        <w:rPr>
          <w:rStyle w:val="Strong"/>
          <w:b w:val="0"/>
          <w:bCs w:val="0"/>
        </w:rPr>
        <w:t xml:space="preserve"> identify</w:t>
      </w:r>
      <w:r w:rsidR="0067310C">
        <w:rPr>
          <w:rStyle w:val="Strong"/>
          <w:b w:val="0"/>
          <w:bCs w:val="0"/>
        </w:rPr>
        <w:t xml:space="preserve"> </w:t>
      </w:r>
      <w:r w:rsidR="0085687D" w:rsidRPr="0085687D">
        <w:rPr>
          <w:rStyle w:val="Strong"/>
          <w:b w:val="0"/>
          <w:bCs w:val="0"/>
        </w:rPr>
        <w:t xml:space="preserve">members who are HCBS Waiver participants </w:t>
      </w:r>
      <w:r w:rsidR="009A17B3">
        <w:rPr>
          <w:rStyle w:val="Strong"/>
          <w:b w:val="0"/>
          <w:bCs w:val="0"/>
        </w:rPr>
        <w:t>living</w:t>
      </w:r>
      <w:r w:rsidR="0085687D" w:rsidRPr="0085687D">
        <w:rPr>
          <w:rStyle w:val="Strong"/>
          <w:b w:val="0"/>
          <w:bCs w:val="0"/>
        </w:rPr>
        <w:t xml:space="preserve"> in </w:t>
      </w:r>
      <w:r w:rsidR="004D6B08">
        <w:rPr>
          <w:rStyle w:val="Strong"/>
          <w:b w:val="0"/>
          <w:bCs w:val="0"/>
        </w:rPr>
        <w:t xml:space="preserve">the </w:t>
      </w:r>
      <w:r w:rsidR="0085687D" w:rsidRPr="0085687D">
        <w:rPr>
          <w:rStyle w:val="Strong"/>
          <w:b w:val="0"/>
          <w:bCs w:val="0"/>
        </w:rPr>
        <w:t xml:space="preserve">home of an </w:t>
      </w:r>
      <w:r w:rsidR="0067310C">
        <w:rPr>
          <w:rStyle w:val="Strong"/>
          <w:b w:val="0"/>
          <w:bCs w:val="0"/>
        </w:rPr>
        <w:t xml:space="preserve">unrelated </w:t>
      </w:r>
      <w:r w:rsidR="0085687D" w:rsidRPr="0085687D">
        <w:rPr>
          <w:rStyle w:val="Strong"/>
          <w:b w:val="0"/>
          <w:bCs w:val="0"/>
        </w:rPr>
        <w:t xml:space="preserve">AFC </w:t>
      </w:r>
      <w:r w:rsidR="0067310C">
        <w:rPr>
          <w:rStyle w:val="Strong"/>
          <w:b w:val="0"/>
          <w:bCs w:val="0"/>
        </w:rPr>
        <w:t>caregiver</w:t>
      </w:r>
      <w:r w:rsidR="004D6B08">
        <w:rPr>
          <w:rStyle w:val="Strong"/>
          <w:b w:val="0"/>
          <w:bCs w:val="0"/>
        </w:rPr>
        <w:t xml:space="preserve">. </w:t>
      </w:r>
      <w:r w:rsidR="0085687D" w:rsidRPr="0085687D">
        <w:rPr>
          <w:rStyle w:val="Strong"/>
          <w:b w:val="0"/>
          <w:bCs w:val="0"/>
        </w:rPr>
        <w:t>For each AFC member</w:t>
      </w:r>
      <w:r w:rsidR="005053E7">
        <w:rPr>
          <w:rStyle w:val="Strong"/>
          <w:b w:val="0"/>
          <w:bCs w:val="0"/>
        </w:rPr>
        <w:t xml:space="preserve"> who is a </w:t>
      </w:r>
      <w:r w:rsidR="0085687D" w:rsidRPr="0085687D">
        <w:rPr>
          <w:rStyle w:val="Strong"/>
          <w:b w:val="0"/>
          <w:bCs w:val="0"/>
        </w:rPr>
        <w:t xml:space="preserve">HCBS Waiver participant residing in the home of an unrelated caregiver, the AFC </w:t>
      </w:r>
      <w:r w:rsidR="00E27186">
        <w:rPr>
          <w:rStyle w:val="Strong"/>
          <w:b w:val="0"/>
          <w:bCs w:val="0"/>
        </w:rPr>
        <w:t>p</w:t>
      </w:r>
      <w:r w:rsidR="0085687D" w:rsidRPr="0085687D">
        <w:rPr>
          <w:rStyle w:val="Strong"/>
          <w:b w:val="0"/>
          <w:bCs w:val="0"/>
        </w:rPr>
        <w:t xml:space="preserve">rovider will work with the AFC caregiver and AFC member to complete an attestation in the form and format required by </w:t>
      </w:r>
      <w:r w:rsidR="00C677D2">
        <w:rPr>
          <w:rStyle w:val="Strong"/>
          <w:b w:val="0"/>
          <w:bCs w:val="0"/>
        </w:rPr>
        <w:t>MassHealth</w:t>
      </w:r>
      <w:r w:rsidR="0085687D" w:rsidRPr="0085687D">
        <w:rPr>
          <w:rStyle w:val="Strong"/>
          <w:b w:val="0"/>
          <w:bCs w:val="0"/>
        </w:rPr>
        <w:t xml:space="preserve"> to confirm compliance with the Community Rule.</w:t>
      </w:r>
      <w:r w:rsidR="003B04F5">
        <w:rPr>
          <w:rStyle w:val="Strong"/>
          <w:b w:val="0"/>
          <w:bCs w:val="0"/>
        </w:rPr>
        <w:t xml:space="preserve">  </w:t>
      </w:r>
      <w:r w:rsidR="001F7974">
        <w:t>Attestations</w:t>
      </w:r>
      <w:r w:rsidR="0057097A">
        <w:t xml:space="preserve"> are a combination of provider self-assessment and </w:t>
      </w:r>
      <w:r w:rsidR="00866A9B">
        <w:t>participant e</w:t>
      </w:r>
      <w:r w:rsidR="00866A9B" w:rsidRPr="00866A9B">
        <w:t xml:space="preserve">xperience </w:t>
      </w:r>
      <w:r w:rsidR="00866A9B">
        <w:t>a</w:t>
      </w:r>
      <w:r w:rsidR="00866A9B" w:rsidRPr="00866A9B">
        <w:t>ssessment</w:t>
      </w:r>
      <w:r w:rsidR="00373C6D">
        <w:t xml:space="preserve"> in </w:t>
      </w:r>
      <w:r w:rsidR="00940674">
        <w:t>one document</w:t>
      </w:r>
      <w:r w:rsidR="00DD5CC8">
        <w:t xml:space="preserve">; </w:t>
      </w:r>
      <w:r w:rsidR="00373C6D">
        <w:t xml:space="preserve">the provider and participant both </w:t>
      </w:r>
      <w:proofErr w:type="gramStart"/>
      <w:r w:rsidR="00373C6D">
        <w:t>have the opportunity to</w:t>
      </w:r>
      <w:proofErr w:type="gramEnd"/>
      <w:r w:rsidR="00373C6D">
        <w:t xml:space="preserve"> </w:t>
      </w:r>
      <w:r w:rsidR="00E73BCB">
        <w:t xml:space="preserve">confirm </w:t>
      </w:r>
      <w:r w:rsidR="00DD5CC8">
        <w:t>a setting</w:t>
      </w:r>
      <w:r w:rsidR="005766EC">
        <w:t>’</w:t>
      </w:r>
      <w:r w:rsidR="00DD5CC8">
        <w:t>s compliance with</w:t>
      </w:r>
      <w:r w:rsidR="007F3919">
        <w:t xml:space="preserve"> all</w:t>
      </w:r>
      <w:r w:rsidR="00DD5CC8">
        <w:t xml:space="preserve"> community rule criteria</w:t>
      </w:r>
      <w:r w:rsidR="00866A9B">
        <w:t>.</w:t>
      </w:r>
      <w:r w:rsidR="00866A9B" w:rsidRPr="00866A9B">
        <w:t xml:space="preserve"> </w:t>
      </w:r>
      <w:r w:rsidR="00866A9B">
        <w:t xml:space="preserve">Attestations </w:t>
      </w:r>
      <w:r w:rsidR="001F7974">
        <w:t>are completed</w:t>
      </w:r>
      <w:r w:rsidR="008D2EAA">
        <w:t xml:space="preserve"> </w:t>
      </w:r>
      <w:r w:rsidR="001F7974">
        <w:t>by the AFC caregiver and AFC member with facilitation by the AFC provider</w:t>
      </w:r>
      <w:r w:rsidR="007F25F2">
        <w:t xml:space="preserve"> and all three parties sign the document.</w:t>
      </w:r>
      <w:r w:rsidR="00244646">
        <w:t xml:space="preserve">  </w:t>
      </w:r>
      <w:r w:rsidR="00244646" w:rsidRPr="006F4C47">
        <w:t>The Attestation captures the specific address and setting in which the participant resides.</w:t>
      </w:r>
    </w:p>
    <w:p w14:paraId="3B5A7A19" w14:textId="1B2D2032" w:rsidR="009328CD" w:rsidRDefault="003B04F5" w:rsidP="00C35B50">
      <w:pPr>
        <w:rPr>
          <w:rStyle w:val="Strong"/>
          <w:b w:val="0"/>
          <w:bCs w:val="0"/>
        </w:rPr>
      </w:pPr>
      <w:r>
        <w:rPr>
          <w:rStyle w:val="Strong"/>
          <w:b w:val="0"/>
          <w:bCs w:val="0"/>
        </w:rPr>
        <w:t xml:space="preserve">MassHealth </w:t>
      </w:r>
      <w:r w:rsidR="003F4D26">
        <w:rPr>
          <w:rStyle w:val="Strong"/>
          <w:b w:val="0"/>
          <w:bCs w:val="0"/>
        </w:rPr>
        <w:t xml:space="preserve">has </w:t>
      </w:r>
      <w:r>
        <w:rPr>
          <w:rStyle w:val="Strong"/>
          <w:b w:val="0"/>
          <w:bCs w:val="0"/>
        </w:rPr>
        <w:t>issue</w:t>
      </w:r>
      <w:r w:rsidR="003F4D26">
        <w:rPr>
          <w:rStyle w:val="Strong"/>
          <w:b w:val="0"/>
          <w:bCs w:val="0"/>
        </w:rPr>
        <w:t>d</w:t>
      </w:r>
      <w:r>
        <w:rPr>
          <w:rStyle w:val="Strong"/>
          <w:b w:val="0"/>
          <w:bCs w:val="0"/>
        </w:rPr>
        <w:t xml:space="preserve"> guidance</w:t>
      </w:r>
      <w:r w:rsidR="00917D86">
        <w:rPr>
          <w:rStyle w:val="Strong"/>
          <w:b w:val="0"/>
          <w:bCs w:val="0"/>
        </w:rPr>
        <w:t xml:space="preserve"> </w:t>
      </w:r>
      <w:r w:rsidR="00917D86" w:rsidRPr="00917D86">
        <w:rPr>
          <w:rStyle w:val="Strong"/>
          <w:b w:val="0"/>
          <w:bCs w:val="0"/>
        </w:rPr>
        <w:t>about leases and comparable protections for those without a lease, use of prescribed documentation and related record-keeping or reporting, and certain timing of these requirements.</w:t>
      </w:r>
      <w:r w:rsidR="00355000">
        <w:rPr>
          <w:rStyle w:val="Strong"/>
          <w:b w:val="0"/>
          <w:bCs w:val="0"/>
        </w:rPr>
        <w:t xml:space="preserve">  This process </w:t>
      </w:r>
      <w:r w:rsidR="00C343ED">
        <w:rPr>
          <w:rStyle w:val="Strong"/>
          <w:b w:val="0"/>
          <w:bCs w:val="0"/>
        </w:rPr>
        <w:t xml:space="preserve">will </w:t>
      </w:r>
      <w:r w:rsidR="00E62CC9">
        <w:rPr>
          <w:rStyle w:val="Strong"/>
          <w:b w:val="0"/>
          <w:bCs w:val="0"/>
        </w:rPr>
        <w:t>include</w:t>
      </w:r>
      <w:r w:rsidR="00355000">
        <w:rPr>
          <w:rStyle w:val="Strong"/>
          <w:b w:val="0"/>
          <w:bCs w:val="0"/>
        </w:rPr>
        <w:t xml:space="preserve"> consultation and support to AFC providers to </w:t>
      </w:r>
      <w:r w:rsidR="00E62CC9">
        <w:rPr>
          <w:rStyle w:val="Strong"/>
          <w:b w:val="0"/>
          <w:bCs w:val="0"/>
        </w:rPr>
        <w:t>ensure compliance</w:t>
      </w:r>
      <w:r w:rsidR="001E040B">
        <w:rPr>
          <w:rStyle w:val="Strong"/>
          <w:b w:val="0"/>
          <w:bCs w:val="0"/>
        </w:rPr>
        <w:t xml:space="preserve"> (See Table 4</w:t>
      </w:r>
      <w:r w:rsidR="00634D1A">
        <w:rPr>
          <w:rStyle w:val="Strong"/>
          <w:b w:val="0"/>
          <w:bCs w:val="0"/>
        </w:rPr>
        <w:t>. Links to Related Documents</w:t>
      </w:r>
      <w:r w:rsidR="001E040B">
        <w:rPr>
          <w:rStyle w:val="Strong"/>
          <w:b w:val="0"/>
          <w:bCs w:val="0"/>
        </w:rPr>
        <w:t>)</w:t>
      </w:r>
      <w:r w:rsidR="00E62CC9">
        <w:rPr>
          <w:rStyle w:val="Strong"/>
          <w:b w:val="0"/>
          <w:bCs w:val="0"/>
        </w:rPr>
        <w:t>.</w:t>
      </w:r>
      <w:r w:rsidR="00912540">
        <w:rPr>
          <w:rStyle w:val="Strong"/>
          <w:b w:val="0"/>
          <w:bCs w:val="0"/>
        </w:rPr>
        <w:t xml:space="preserve">  Furthermore, AFC p</w:t>
      </w:r>
      <w:r w:rsidR="00912540">
        <w:t xml:space="preserve">rovider agencies attended a mandatory training by MassHealth staff in which the </w:t>
      </w:r>
      <w:r w:rsidR="000A1D10">
        <w:t>two</w:t>
      </w:r>
      <w:r w:rsidR="00912540">
        <w:t xml:space="preserve"> AFC Provider Bulletins, the Attestation Form, and location of materials was discussed at length; the training included a </w:t>
      </w:r>
      <w:proofErr w:type="gramStart"/>
      <w:r w:rsidR="00912540">
        <w:t>question</w:t>
      </w:r>
      <w:r w:rsidR="000A1D10">
        <w:t xml:space="preserve"> and </w:t>
      </w:r>
      <w:r w:rsidR="00912540">
        <w:t>answer</w:t>
      </w:r>
      <w:proofErr w:type="gramEnd"/>
      <w:r w:rsidR="00912540">
        <w:t xml:space="preserve"> session.</w:t>
      </w:r>
    </w:p>
    <w:p w14:paraId="2CEC2102" w14:textId="694320F5" w:rsidR="000C0C3C" w:rsidRDefault="005804D1" w:rsidP="00C35B50">
      <w:pPr>
        <w:rPr>
          <w:rFonts w:cs="Arial"/>
        </w:rPr>
      </w:pPr>
      <w:r w:rsidRPr="005804D1">
        <w:rPr>
          <w:rFonts w:cs="Arial"/>
        </w:rPr>
        <w:t>Attestations are submitted by the AFC provider to the MassHealth L</w:t>
      </w:r>
      <w:r w:rsidR="006578C4">
        <w:rPr>
          <w:rFonts w:cs="Arial"/>
        </w:rPr>
        <w:t xml:space="preserve">ong </w:t>
      </w:r>
      <w:r w:rsidRPr="005804D1">
        <w:rPr>
          <w:rFonts w:cs="Arial"/>
        </w:rPr>
        <w:t>T</w:t>
      </w:r>
      <w:r w:rsidR="006578C4">
        <w:rPr>
          <w:rFonts w:cs="Arial"/>
        </w:rPr>
        <w:t xml:space="preserve">erm </w:t>
      </w:r>
      <w:r w:rsidRPr="005804D1">
        <w:rPr>
          <w:rFonts w:cs="Arial"/>
        </w:rPr>
        <w:t>S</w:t>
      </w:r>
      <w:r w:rsidR="006578C4">
        <w:rPr>
          <w:rFonts w:cs="Arial"/>
        </w:rPr>
        <w:t xml:space="preserve">ervices and </w:t>
      </w:r>
      <w:r w:rsidRPr="005804D1">
        <w:rPr>
          <w:rFonts w:cs="Arial"/>
        </w:rPr>
        <w:t>S</w:t>
      </w:r>
      <w:r w:rsidR="006578C4">
        <w:rPr>
          <w:rFonts w:cs="Arial"/>
        </w:rPr>
        <w:t>upports</w:t>
      </w:r>
      <w:r w:rsidRPr="005804D1">
        <w:rPr>
          <w:rFonts w:cs="Arial"/>
        </w:rPr>
        <w:t xml:space="preserve"> T</w:t>
      </w:r>
      <w:r w:rsidR="006578C4">
        <w:rPr>
          <w:rFonts w:cs="Arial"/>
        </w:rPr>
        <w:t xml:space="preserve">hird </w:t>
      </w:r>
      <w:r w:rsidRPr="005804D1">
        <w:rPr>
          <w:rFonts w:cs="Arial"/>
        </w:rPr>
        <w:t>P</w:t>
      </w:r>
      <w:r w:rsidR="006578C4">
        <w:rPr>
          <w:rFonts w:cs="Arial"/>
        </w:rPr>
        <w:t xml:space="preserve">arty </w:t>
      </w:r>
      <w:r w:rsidR="00EF0F95">
        <w:rPr>
          <w:rFonts w:cs="Arial"/>
        </w:rPr>
        <w:t>A</w:t>
      </w:r>
      <w:r w:rsidR="006578C4">
        <w:rPr>
          <w:rFonts w:cs="Arial"/>
        </w:rPr>
        <w:t>dministrator</w:t>
      </w:r>
      <w:r w:rsidR="00EF0F95">
        <w:rPr>
          <w:rFonts w:cs="Arial"/>
        </w:rPr>
        <w:t xml:space="preserve"> (LTSS TPA</w:t>
      </w:r>
      <w:proofErr w:type="gramStart"/>
      <w:r w:rsidR="00EF0F95">
        <w:rPr>
          <w:rFonts w:cs="Arial"/>
        </w:rPr>
        <w:t>)</w:t>
      </w:r>
      <w:proofErr w:type="gramEnd"/>
      <w:r w:rsidRPr="005804D1">
        <w:rPr>
          <w:rFonts w:cs="Arial"/>
        </w:rPr>
        <w:t xml:space="preserve"> and all undergo review</w:t>
      </w:r>
      <w:r w:rsidR="006578C4">
        <w:rPr>
          <w:rFonts w:cs="Arial"/>
        </w:rPr>
        <w:t xml:space="preserve"> for completeness</w:t>
      </w:r>
      <w:r w:rsidRPr="005804D1">
        <w:rPr>
          <w:rFonts w:cs="Arial"/>
        </w:rPr>
        <w:t>.  A desk review of all attestation forms is then completed by MassHealth staff</w:t>
      </w:r>
      <w:r w:rsidR="00446DF0">
        <w:rPr>
          <w:rFonts w:cs="Arial"/>
        </w:rPr>
        <w:t xml:space="preserve"> to validate </w:t>
      </w:r>
      <w:r w:rsidR="00F91FEF">
        <w:rPr>
          <w:rFonts w:cs="Arial"/>
        </w:rPr>
        <w:t>findings</w:t>
      </w:r>
      <w:r w:rsidRPr="005804D1">
        <w:rPr>
          <w:rFonts w:cs="Arial"/>
        </w:rPr>
        <w:t xml:space="preserve">.  </w:t>
      </w:r>
      <w:r w:rsidR="000C0C3C" w:rsidRPr="000C0C3C">
        <w:rPr>
          <w:rFonts w:cs="Arial"/>
        </w:rPr>
        <w:t>This process will be completed by March 17, 2023.</w:t>
      </w:r>
    </w:p>
    <w:p w14:paraId="615BB659" w14:textId="0F37A46F" w:rsidR="0088419D" w:rsidRDefault="0088419D" w:rsidP="00C35B50">
      <w:pPr>
        <w:rPr>
          <w:rFonts w:cs="Arial"/>
        </w:rPr>
      </w:pPr>
      <w:r w:rsidRPr="0088419D">
        <w:rPr>
          <w:rFonts w:cs="Arial"/>
        </w:rPr>
        <w:t xml:space="preserve">All </w:t>
      </w:r>
      <w:r w:rsidR="005D47B5">
        <w:rPr>
          <w:rFonts w:cs="Arial"/>
        </w:rPr>
        <w:t>participants</w:t>
      </w:r>
      <w:r w:rsidR="001C7EA0">
        <w:rPr>
          <w:rFonts w:cs="Arial"/>
        </w:rPr>
        <w:t>, regardless of their residential setting (</w:t>
      </w:r>
      <w:r w:rsidRPr="0088419D">
        <w:rPr>
          <w:rFonts w:cs="Arial"/>
        </w:rPr>
        <w:t xml:space="preserve">residing </w:t>
      </w:r>
      <w:r w:rsidR="003A69F9" w:rsidRPr="00EE140F">
        <w:rPr>
          <w:rFonts w:cs="Arial"/>
        </w:rPr>
        <w:t>on their own</w:t>
      </w:r>
      <w:r w:rsidR="003A69F9">
        <w:rPr>
          <w:rFonts w:cs="Arial"/>
        </w:rPr>
        <w:t>,</w:t>
      </w:r>
      <w:r w:rsidR="003A69F9" w:rsidRPr="00EE140F">
        <w:rPr>
          <w:rFonts w:cs="Arial"/>
        </w:rPr>
        <w:t xml:space="preserve"> with family members in</w:t>
      </w:r>
      <w:r w:rsidR="000B3CFB">
        <w:rPr>
          <w:rFonts w:cs="Arial"/>
        </w:rPr>
        <w:t xml:space="preserve"> a</w:t>
      </w:r>
      <w:r w:rsidR="003A69F9" w:rsidRPr="00EE140F">
        <w:rPr>
          <w:rFonts w:cs="Arial"/>
        </w:rPr>
        <w:t xml:space="preserve"> privately owned or rented home</w:t>
      </w:r>
      <w:r w:rsidR="004726D4">
        <w:rPr>
          <w:rFonts w:cs="Arial"/>
        </w:rPr>
        <w:t xml:space="preserve">, or </w:t>
      </w:r>
      <w:r w:rsidR="000B3CFB">
        <w:rPr>
          <w:rFonts w:cs="Arial"/>
        </w:rPr>
        <w:t xml:space="preserve">in a </w:t>
      </w:r>
      <w:r w:rsidR="004726D4">
        <w:rPr>
          <w:rFonts w:cs="Arial"/>
        </w:rPr>
        <w:t>provider owned and controlled setting</w:t>
      </w:r>
      <w:r w:rsidR="001C7EA0">
        <w:rPr>
          <w:rFonts w:cs="Arial"/>
        </w:rPr>
        <w:t>)</w:t>
      </w:r>
      <w:r w:rsidR="003A69F9">
        <w:rPr>
          <w:rFonts w:cs="Arial"/>
        </w:rPr>
        <w:t>,</w:t>
      </w:r>
      <w:r w:rsidR="003A69F9" w:rsidRPr="0088419D">
        <w:rPr>
          <w:rFonts w:cs="Arial"/>
        </w:rPr>
        <w:t xml:space="preserve"> </w:t>
      </w:r>
      <w:r w:rsidRPr="0088419D">
        <w:rPr>
          <w:rFonts w:cs="Arial"/>
        </w:rPr>
        <w:t>receive ongoing monitoring for all settings rule requirements as part of the existing</w:t>
      </w:r>
      <w:r w:rsidR="00334B58">
        <w:rPr>
          <w:rFonts w:cs="Arial"/>
        </w:rPr>
        <w:t xml:space="preserve"> case management</w:t>
      </w:r>
      <w:r w:rsidRPr="0088419D">
        <w:rPr>
          <w:rFonts w:cs="Arial"/>
        </w:rPr>
        <w:t xml:space="preserve"> monitoring practices as outlined in the approved waiver application</w:t>
      </w:r>
      <w:r w:rsidR="00334B58">
        <w:rPr>
          <w:rFonts w:cs="Arial"/>
        </w:rPr>
        <w:t>(s)</w:t>
      </w:r>
      <w:r w:rsidRPr="0088419D">
        <w:rPr>
          <w:rFonts w:cs="Arial"/>
        </w:rPr>
        <w:t>.</w:t>
      </w:r>
    </w:p>
    <w:p w14:paraId="188048C5" w14:textId="3D7ECA13" w:rsidR="009E790E" w:rsidRDefault="00882EFF" w:rsidP="00144BE9">
      <w:pPr>
        <w:spacing w:after="120"/>
        <w:rPr>
          <w:rStyle w:val="Strong"/>
          <w:b w:val="0"/>
          <w:bCs w:val="0"/>
        </w:rPr>
      </w:pPr>
      <w:r>
        <w:rPr>
          <w:rFonts w:cs="Arial"/>
        </w:rPr>
        <w:lastRenderedPageBreak/>
        <w:t>MassHealth</w:t>
      </w:r>
      <w:r w:rsidR="00EF0F95">
        <w:rPr>
          <w:rFonts w:cs="Arial"/>
        </w:rPr>
        <w:t xml:space="preserve"> or the LTSS TPA</w:t>
      </w:r>
      <w:r>
        <w:rPr>
          <w:rFonts w:cs="Arial"/>
        </w:rPr>
        <w:t xml:space="preserve"> will</w:t>
      </w:r>
      <w:r w:rsidR="009328CD">
        <w:rPr>
          <w:rFonts w:cs="Arial"/>
        </w:rPr>
        <w:t xml:space="preserve"> </w:t>
      </w:r>
      <w:proofErr w:type="gramStart"/>
      <w:r w:rsidR="009328CD">
        <w:rPr>
          <w:rFonts w:cs="Arial"/>
        </w:rPr>
        <w:t xml:space="preserve">conduct </w:t>
      </w:r>
      <w:r w:rsidR="00EF0F95">
        <w:rPr>
          <w:rFonts w:cs="Arial"/>
        </w:rPr>
        <w:t xml:space="preserve"> </w:t>
      </w:r>
      <w:r w:rsidR="005970B3">
        <w:rPr>
          <w:rFonts w:cs="Arial"/>
        </w:rPr>
        <w:t>site</w:t>
      </w:r>
      <w:proofErr w:type="gramEnd"/>
      <w:r w:rsidR="005970B3">
        <w:rPr>
          <w:rFonts w:cs="Arial"/>
        </w:rPr>
        <w:t xml:space="preserve"> visits</w:t>
      </w:r>
      <w:r w:rsidR="009328CD">
        <w:rPr>
          <w:rFonts w:cs="Arial"/>
        </w:rPr>
        <w:t xml:space="preserve"> for a sample of </w:t>
      </w:r>
      <w:r w:rsidR="00257B75" w:rsidRPr="0085687D">
        <w:rPr>
          <w:rStyle w:val="Strong"/>
          <w:b w:val="0"/>
          <w:bCs w:val="0"/>
        </w:rPr>
        <w:t>AFC member</w:t>
      </w:r>
      <w:r w:rsidR="0044010E">
        <w:rPr>
          <w:rStyle w:val="Strong"/>
          <w:b w:val="0"/>
          <w:bCs w:val="0"/>
        </w:rPr>
        <w:t>s who are</w:t>
      </w:r>
      <w:r w:rsidR="009F141F">
        <w:rPr>
          <w:rStyle w:val="Strong"/>
          <w:b w:val="0"/>
          <w:bCs w:val="0"/>
        </w:rPr>
        <w:t xml:space="preserve"> </w:t>
      </w:r>
      <w:r w:rsidR="00257B75" w:rsidRPr="0085687D">
        <w:rPr>
          <w:rStyle w:val="Strong"/>
          <w:b w:val="0"/>
          <w:bCs w:val="0"/>
        </w:rPr>
        <w:t>HCBS Waiver participant</w:t>
      </w:r>
      <w:r w:rsidR="00257B75">
        <w:rPr>
          <w:rStyle w:val="Strong"/>
          <w:b w:val="0"/>
          <w:bCs w:val="0"/>
        </w:rPr>
        <w:t>s</w:t>
      </w:r>
      <w:r w:rsidR="00257B75" w:rsidRPr="0085687D">
        <w:rPr>
          <w:rStyle w:val="Strong"/>
          <w:b w:val="0"/>
          <w:bCs w:val="0"/>
        </w:rPr>
        <w:t xml:space="preserve"> residing in the home of an unrelated caregiver</w:t>
      </w:r>
      <w:r w:rsidR="00257B75" w:rsidDel="00257B75">
        <w:rPr>
          <w:rFonts w:cs="Arial"/>
        </w:rPr>
        <w:t xml:space="preserve"> </w:t>
      </w:r>
      <w:r w:rsidR="00A839CF" w:rsidRPr="00A839CF">
        <w:rPr>
          <w:rFonts w:cs="Arial"/>
        </w:rPr>
        <w:t xml:space="preserve">as an additional layer of ongoing monitoring and oversight to ensure compliance of </w:t>
      </w:r>
      <w:r w:rsidR="00481BD8">
        <w:rPr>
          <w:rFonts w:cs="Arial"/>
        </w:rPr>
        <w:t>AFC</w:t>
      </w:r>
      <w:r w:rsidR="00A839CF" w:rsidRPr="00A839CF">
        <w:rPr>
          <w:rFonts w:cs="Arial"/>
        </w:rPr>
        <w:t xml:space="preserve"> settings with the Community Rule</w:t>
      </w:r>
      <w:r w:rsidR="00481BD8">
        <w:rPr>
          <w:rFonts w:cs="Arial"/>
        </w:rPr>
        <w:t>.</w:t>
      </w:r>
    </w:p>
    <w:p w14:paraId="7EC50B99" w14:textId="3F49DC5B" w:rsidR="00327DC1" w:rsidRPr="00533E24" w:rsidRDefault="00327DC1" w:rsidP="00144BE9">
      <w:pPr>
        <w:pStyle w:val="Heading2"/>
        <w:spacing w:before="240"/>
      </w:pPr>
      <w:r>
        <w:t>V</w:t>
      </w:r>
      <w:r w:rsidR="00976646">
        <w:t>I</w:t>
      </w:r>
      <w:r>
        <w:t>I.</w:t>
      </w:r>
      <w:r>
        <w:tab/>
        <w:t>Heightened Scrutiny</w:t>
      </w:r>
    </w:p>
    <w:p w14:paraId="09616732" w14:textId="0D546384" w:rsidR="00235075" w:rsidRPr="003A24E8" w:rsidRDefault="002B6667" w:rsidP="001706E7">
      <w:pPr>
        <w:spacing w:after="120"/>
        <w:rPr>
          <w:rFonts w:cs="Arial"/>
        </w:rPr>
      </w:pPr>
      <w:r w:rsidRPr="00AE3B61">
        <w:rPr>
          <w:rFonts w:cs="Arial"/>
        </w:rPr>
        <w:t xml:space="preserve">At the time of this submission to CMS, the state </w:t>
      </w:r>
      <w:r w:rsidR="007619EF">
        <w:rPr>
          <w:rFonts w:cs="Arial"/>
        </w:rPr>
        <w:t>has identified two providers</w:t>
      </w:r>
      <w:r w:rsidR="00A607F8">
        <w:rPr>
          <w:rFonts w:cs="Arial"/>
        </w:rPr>
        <w:t xml:space="preserve">, representing </w:t>
      </w:r>
      <w:r w:rsidR="007619EF">
        <w:rPr>
          <w:rFonts w:cs="Arial"/>
        </w:rPr>
        <w:t>25 settings</w:t>
      </w:r>
      <w:r w:rsidR="00A607F8">
        <w:rPr>
          <w:rFonts w:cs="Arial"/>
        </w:rPr>
        <w:t>,</w:t>
      </w:r>
      <w:r w:rsidR="007619EF">
        <w:rPr>
          <w:rFonts w:cs="Arial"/>
        </w:rPr>
        <w:t xml:space="preserve"> su</w:t>
      </w:r>
      <w:r w:rsidR="003F423B">
        <w:rPr>
          <w:rFonts w:cs="Arial"/>
        </w:rPr>
        <w:t>b</w:t>
      </w:r>
      <w:r w:rsidR="007619EF">
        <w:rPr>
          <w:rFonts w:cs="Arial"/>
        </w:rPr>
        <w:t xml:space="preserve">ject to </w:t>
      </w:r>
      <w:r w:rsidR="000B7DCB">
        <w:rPr>
          <w:rFonts w:cs="Arial"/>
        </w:rPr>
        <w:t xml:space="preserve">Heightened Scrutiny review. </w:t>
      </w:r>
      <w:r w:rsidR="00FD27D8">
        <w:rPr>
          <w:rFonts w:cs="Arial"/>
        </w:rPr>
        <w:t>These settings are reflected in Table 2</w:t>
      </w:r>
      <w:r w:rsidR="00FD27D8" w:rsidRPr="003A24E8">
        <w:rPr>
          <w:rFonts w:cs="Arial"/>
        </w:rPr>
        <w:t xml:space="preserve">. </w:t>
      </w:r>
      <w:r w:rsidR="00235075" w:rsidRPr="003A24E8">
        <w:rPr>
          <w:rFonts w:cs="Arial"/>
        </w:rPr>
        <w:t xml:space="preserve">These settings were categorized as presumptively having the effect of isolating individuals from the broader community in consideration of the following factor:  Individuals have limited, if any, opportunities for interaction in and with the broader community and /or the setting is physically located separate and apart from the broader community and does not facilitate individual opportunity to access the broader community and participate in community services consistent with their person-centered service plan.  </w:t>
      </w:r>
    </w:p>
    <w:p w14:paraId="685AE211" w14:textId="7DC82492" w:rsidR="002B6667" w:rsidRPr="00B11E60" w:rsidRDefault="000B7DCB" w:rsidP="00150962">
      <w:pPr>
        <w:spacing w:after="120"/>
        <w:rPr>
          <w:rFonts w:cs="Arial"/>
        </w:rPr>
      </w:pPr>
      <w:r w:rsidRPr="003A24E8">
        <w:rPr>
          <w:rFonts w:cs="Arial"/>
        </w:rPr>
        <w:t xml:space="preserve">A list of these settings </w:t>
      </w:r>
      <w:r w:rsidR="00E359E1" w:rsidRPr="003A24E8">
        <w:rPr>
          <w:rFonts w:cs="Arial"/>
        </w:rPr>
        <w:t xml:space="preserve">was submitted to CMS on </w:t>
      </w:r>
      <w:r w:rsidR="00CA79DB" w:rsidRPr="003A24E8">
        <w:rPr>
          <w:rFonts w:cs="Arial"/>
        </w:rPr>
        <w:t xml:space="preserve">December 15, 2022, </w:t>
      </w:r>
      <w:r w:rsidR="00FC2EC5" w:rsidRPr="003A24E8">
        <w:rPr>
          <w:rFonts w:cs="Arial"/>
        </w:rPr>
        <w:t xml:space="preserve">and the evidentiary </w:t>
      </w:r>
      <w:r w:rsidR="001424FD">
        <w:rPr>
          <w:rFonts w:cs="Arial"/>
        </w:rPr>
        <w:t>packages for these settings were posted for public comment simultaneously with the posting of this plan</w:t>
      </w:r>
      <w:r w:rsidR="00AA76ED">
        <w:rPr>
          <w:rFonts w:cs="Arial"/>
        </w:rPr>
        <w:t xml:space="preserve"> from</w:t>
      </w:r>
      <w:r w:rsidR="001424FD">
        <w:rPr>
          <w:rFonts w:cs="Arial"/>
        </w:rPr>
        <w:t xml:space="preserve"> </w:t>
      </w:r>
      <w:r w:rsidR="00CB2606" w:rsidRPr="696A1A5A">
        <w:rPr>
          <w:rFonts w:cs="Arial"/>
        </w:rPr>
        <w:t xml:space="preserve">December 12, </w:t>
      </w:r>
      <w:proofErr w:type="gramStart"/>
      <w:r w:rsidR="00CB2606" w:rsidRPr="696A1A5A">
        <w:rPr>
          <w:rFonts w:cs="Arial"/>
        </w:rPr>
        <w:t>2022</w:t>
      </w:r>
      <w:proofErr w:type="gramEnd"/>
      <w:r w:rsidR="00CB2606" w:rsidRPr="696A1A5A">
        <w:rPr>
          <w:rFonts w:cs="Arial"/>
        </w:rPr>
        <w:t xml:space="preserve"> through January 11, 2023</w:t>
      </w:r>
      <w:r w:rsidR="00AA76ED">
        <w:rPr>
          <w:rFonts w:cs="Arial"/>
        </w:rPr>
        <w:t>.</w:t>
      </w:r>
      <w:r w:rsidR="00CB2606" w:rsidRPr="696A1A5A">
        <w:rPr>
          <w:rFonts w:cs="Arial"/>
        </w:rPr>
        <w:t xml:space="preserve"> </w:t>
      </w:r>
      <w:r w:rsidR="00DD57E6">
        <w:rPr>
          <w:rFonts w:cs="Arial"/>
        </w:rPr>
        <w:t xml:space="preserve">The </w:t>
      </w:r>
      <w:r w:rsidR="002B6667" w:rsidRPr="00AE3B61">
        <w:rPr>
          <w:rFonts w:cs="Arial"/>
        </w:rPr>
        <w:t xml:space="preserve">evidence packages </w:t>
      </w:r>
      <w:r w:rsidR="00DD57E6">
        <w:rPr>
          <w:rFonts w:cs="Arial"/>
        </w:rPr>
        <w:t xml:space="preserve">were prepared </w:t>
      </w:r>
      <w:r w:rsidR="00A53524">
        <w:rPr>
          <w:rFonts w:cs="Arial"/>
        </w:rPr>
        <w:t>consistent</w:t>
      </w:r>
      <w:r w:rsidR="00CA70E9">
        <w:rPr>
          <w:rFonts w:cs="Arial"/>
        </w:rPr>
        <w:t xml:space="preserve"> </w:t>
      </w:r>
      <w:r w:rsidR="00A53524">
        <w:rPr>
          <w:rFonts w:cs="Arial"/>
        </w:rPr>
        <w:t xml:space="preserve">with the </w:t>
      </w:r>
      <w:hyperlink r:id="rId21" w:history="1">
        <w:r w:rsidR="00A53524" w:rsidRPr="00616855">
          <w:rPr>
            <w:rStyle w:val="Hyperlink"/>
            <w:rFonts w:cs="Arial"/>
          </w:rPr>
          <w:t>Frequently Asked Questions (FAQs) Guidance on Heightened Scrutiny (HS)</w:t>
        </w:r>
      </w:hyperlink>
      <w:r w:rsidR="00A53524">
        <w:rPr>
          <w:rFonts w:cs="Arial"/>
        </w:rPr>
        <w:t xml:space="preserve"> issued by CMS on March 22, 2019</w:t>
      </w:r>
      <w:r w:rsidR="00CA70E9">
        <w:rPr>
          <w:rFonts w:cs="Arial"/>
        </w:rPr>
        <w:t>—for settings that overcome the presumption of having the qualities of an institution, including those re identified as presumptively institutional due to isolation</w:t>
      </w:r>
      <w:r w:rsidR="002B6667" w:rsidRPr="00AE3B61">
        <w:rPr>
          <w:rFonts w:cs="Arial"/>
        </w:rPr>
        <w:t xml:space="preserve">. </w:t>
      </w:r>
      <w:r w:rsidR="002B6667">
        <w:rPr>
          <w:rFonts w:cs="Arial"/>
        </w:rPr>
        <w:t>See</w:t>
      </w:r>
      <w:r w:rsidR="002B6667" w:rsidRPr="00AE3B61">
        <w:rPr>
          <w:rFonts w:cs="Arial"/>
        </w:rPr>
        <w:t xml:space="preserve"> the process outlined below</w:t>
      </w:r>
      <w:r w:rsidR="002B6667" w:rsidRPr="00B11E60">
        <w:rPr>
          <w:rFonts w:cs="Arial"/>
        </w:rPr>
        <w:t>:</w:t>
      </w:r>
    </w:p>
    <w:tbl>
      <w:tblPr>
        <w:tblStyle w:val="TableGrid"/>
        <w:tblW w:w="0" w:type="auto"/>
        <w:tblCellMar>
          <w:top w:w="115" w:type="dxa"/>
          <w:left w:w="115" w:type="dxa"/>
          <w:bottom w:w="115" w:type="dxa"/>
          <w:right w:w="115" w:type="dxa"/>
        </w:tblCellMar>
        <w:tblLook w:val="04A0" w:firstRow="1" w:lastRow="0" w:firstColumn="1" w:lastColumn="0" w:noHBand="0" w:noVBand="1"/>
        <w:tblCaption w:val="Heightened Scrutiny"/>
        <w:tblDescription w:val="Overview of steps the state will take prior to submitting a setting to CMS for heightened scrutiny review"/>
      </w:tblPr>
      <w:tblGrid>
        <w:gridCol w:w="707"/>
        <w:gridCol w:w="8643"/>
      </w:tblGrid>
      <w:tr w:rsidR="002B6667" w:rsidRPr="00B11E60" w14:paraId="26FB1689" w14:textId="77777777" w:rsidTr="008009A9">
        <w:trPr>
          <w:cantSplit/>
          <w:trHeight w:val="432"/>
          <w:tblHeader/>
        </w:trPr>
        <w:tc>
          <w:tcPr>
            <w:tcW w:w="707" w:type="dxa"/>
            <w:shd w:val="clear" w:color="auto" w:fill="F2F2F2" w:themeFill="background1" w:themeFillShade="F2"/>
            <w:vAlign w:val="bottom"/>
          </w:tcPr>
          <w:p w14:paraId="019F9F30" w14:textId="77777777" w:rsidR="002B6667" w:rsidRPr="00B11E60" w:rsidRDefault="002B6667" w:rsidP="00DB738E">
            <w:pPr>
              <w:jc w:val="center"/>
              <w:rPr>
                <w:rFonts w:cs="Arial"/>
                <w:b/>
              </w:rPr>
            </w:pPr>
            <w:r w:rsidRPr="00B11E60">
              <w:rPr>
                <w:rFonts w:cs="Arial"/>
                <w:b/>
              </w:rPr>
              <w:t>Step</w:t>
            </w:r>
          </w:p>
        </w:tc>
        <w:tc>
          <w:tcPr>
            <w:tcW w:w="8768" w:type="dxa"/>
            <w:shd w:val="clear" w:color="auto" w:fill="F2F2F2" w:themeFill="background1" w:themeFillShade="F2"/>
            <w:vAlign w:val="bottom"/>
          </w:tcPr>
          <w:p w14:paraId="63AAB553" w14:textId="64F22493" w:rsidR="002B6667" w:rsidRPr="00B11E60" w:rsidRDefault="002B6667" w:rsidP="00867026">
            <w:pPr>
              <w:rPr>
                <w:rFonts w:cs="Arial"/>
                <w:b/>
              </w:rPr>
            </w:pPr>
            <w:r>
              <w:rPr>
                <w:rFonts w:cs="Arial"/>
                <w:b/>
              </w:rPr>
              <w:t>For s</w:t>
            </w:r>
            <w:r w:rsidRPr="00B11E60">
              <w:rPr>
                <w:rFonts w:cs="Arial"/>
                <w:b/>
              </w:rPr>
              <w:t xml:space="preserve">ettings/providers </w:t>
            </w:r>
            <w:r w:rsidR="007A2BAA">
              <w:rPr>
                <w:rFonts w:cs="Arial"/>
                <w:b/>
              </w:rPr>
              <w:t>the state identifies through site-specific assessment as presumed to</w:t>
            </w:r>
            <w:r w:rsidR="007A2BAA" w:rsidRPr="00B11E60">
              <w:rPr>
                <w:rFonts w:cs="Arial"/>
                <w:b/>
              </w:rPr>
              <w:t xml:space="preserve"> have characteristics of an institution</w:t>
            </w:r>
            <w:r>
              <w:rPr>
                <w:rFonts w:cs="Arial"/>
                <w:b/>
              </w:rPr>
              <w:t>, the state will:</w:t>
            </w:r>
          </w:p>
        </w:tc>
      </w:tr>
      <w:tr w:rsidR="002B6667" w:rsidRPr="00B11E60" w14:paraId="15026B10" w14:textId="77777777" w:rsidTr="003114EA">
        <w:trPr>
          <w:trHeight w:val="432"/>
        </w:trPr>
        <w:tc>
          <w:tcPr>
            <w:tcW w:w="707" w:type="dxa"/>
            <w:vAlign w:val="center"/>
          </w:tcPr>
          <w:p w14:paraId="099C3B7F" w14:textId="77777777" w:rsidR="002B6667" w:rsidRPr="00B11E60" w:rsidRDefault="002B6667" w:rsidP="00DB738E">
            <w:pPr>
              <w:jc w:val="center"/>
              <w:rPr>
                <w:rFonts w:cs="Arial"/>
                <w:b/>
              </w:rPr>
            </w:pPr>
            <w:r w:rsidRPr="00B11E60">
              <w:rPr>
                <w:rFonts w:cs="Arial"/>
                <w:b/>
              </w:rPr>
              <w:t>1</w:t>
            </w:r>
          </w:p>
        </w:tc>
        <w:tc>
          <w:tcPr>
            <w:tcW w:w="8768" w:type="dxa"/>
            <w:vAlign w:val="center"/>
          </w:tcPr>
          <w:p w14:paraId="49A333AE" w14:textId="5171F381" w:rsidR="002B6667" w:rsidRPr="00B11E60" w:rsidRDefault="002B6667" w:rsidP="00A53524">
            <w:pPr>
              <w:pStyle w:val="ListParagraph"/>
              <w:ind w:left="0"/>
              <w:rPr>
                <w:rFonts w:cs="Arial"/>
                <w:sz w:val="20"/>
                <w:szCs w:val="20"/>
              </w:rPr>
            </w:pPr>
            <w:r w:rsidRPr="00B11E60">
              <w:rPr>
                <w:rFonts w:cs="Arial"/>
                <w:sz w:val="20"/>
                <w:szCs w:val="20"/>
              </w:rPr>
              <w:t xml:space="preserve">Receive provider transition plan and work with each provider to determine the responsiveness of its plan to the </w:t>
            </w:r>
            <w:r>
              <w:rPr>
                <w:rFonts w:cs="Arial"/>
                <w:sz w:val="20"/>
                <w:szCs w:val="20"/>
              </w:rPr>
              <w:t>Community Rule</w:t>
            </w:r>
            <w:r w:rsidRPr="00B11E60">
              <w:rPr>
                <w:rFonts w:cs="Arial"/>
                <w:sz w:val="20"/>
                <w:szCs w:val="20"/>
              </w:rPr>
              <w:t xml:space="preserve">. </w:t>
            </w:r>
            <w:r>
              <w:rPr>
                <w:rFonts w:cs="Arial"/>
                <w:sz w:val="20"/>
                <w:szCs w:val="20"/>
              </w:rPr>
              <w:t>T</w:t>
            </w:r>
            <w:r w:rsidRPr="00B11E60">
              <w:rPr>
                <w:rFonts w:cs="Arial"/>
                <w:sz w:val="20"/>
                <w:szCs w:val="20"/>
              </w:rPr>
              <w:t xml:space="preserve">he </w:t>
            </w:r>
            <w:r>
              <w:rPr>
                <w:rFonts w:cs="Arial"/>
                <w:sz w:val="20"/>
                <w:szCs w:val="20"/>
              </w:rPr>
              <w:t>state</w:t>
            </w:r>
            <w:r w:rsidRPr="00B11E60">
              <w:rPr>
                <w:rFonts w:cs="Arial"/>
                <w:sz w:val="20"/>
                <w:szCs w:val="20"/>
              </w:rPr>
              <w:t xml:space="preserve"> will work with the provider to bring the plan to timely compliance</w:t>
            </w:r>
            <w:r>
              <w:rPr>
                <w:rFonts w:cs="Arial"/>
                <w:sz w:val="20"/>
                <w:szCs w:val="20"/>
              </w:rPr>
              <w:t>, reviewing outcomes and other factors as appropriate</w:t>
            </w:r>
            <w:r w:rsidR="00551472">
              <w:rPr>
                <w:rFonts w:cs="Arial"/>
                <w:sz w:val="20"/>
                <w:szCs w:val="20"/>
              </w:rPr>
              <w:t xml:space="preserve"> to ensure the provider meets all Community Rule requirements</w:t>
            </w:r>
            <w:r w:rsidRPr="00B11E60">
              <w:rPr>
                <w:rFonts w:cs="Arial"/>
                <w:sz w:val="20"/>
                <w:szCs w:val="20"/>
              </w:rPr>
              <w:t>.</w:t>
            </w:r>
          </w:p>
        </w:tc>
      </w:tr>
      <w:tr w:rsidR="002B6667" w:rsidRPr="00B11E60" w14:paraId="60D50F85" w14:textId="77777777" w:rsidTr="003114EA">
        <w:trPr>
          <w:trHeight w:val="576"/>
        </w:trPr>
        <w:tc>
          <w:tcPr>
            <w:tcW w:w="707" w:type="dxa"/>
            <w:vAlign w:val="center"/>
          </w:tcPr>
          <w:p w14:paraId="18D1F7EB" w14:textId="77777777" w:rsidR="002B6667" w:rsidRPr="00B11E60" w:rsidRDefault="002B6667" w:rsidP="00DB738E">
            <w:pPr>
              <w:jc w:val="center"/>
              <w:rPr>
                <w:rFonts w:cs="Arial"/>
                <w:b/>
              </w:rPr>
            </w:pPr>
            <w:r w:rsidRPr="00B11E60">
              <w:rPr>
                <w:rFonts w:cs="Arial"/>
                <w:b/>
              </w:rPr>
              <w:t>2</w:t>
            </w:r>
          </w:p>
        </w:tc>
        <w:tc>
          <w:tcPr>
            <w:tcW w:w="8768" w:type="dxa"/>
            <w:vAlign w:val="center"/>
          </w:tcPr>
          <w:p w14:paraId="4A20A133" w14:textId="77777777" w:rsidR="002B6667" w:rsidRPr="00B11E60" w:rsidRDefault="002B6667" w:rsidP="00DB738E">
            <w:pPr>
              <w:rPr>
                <w:rFonts w:cs="Arial"/>
                <w:sz w:val="20"/>
                <w:szCs w:val="20"/>
              </w:rPr>
            </w:pPr>
            <w:r>
              <w:rPr>
                <w:rFonts w:cs="Arial"/>
                <w:sz w:val="20"/>
                <w:szCs w:val="20"/>
              </w:rPr>
              <w:t>The state m</w:t>
            </w:r>
            <w:r w:rsidRPr="00B11E60">
              <w:rPr>
                <w:rFonts w:cs="Arial"/>
                <w:sz w:val="20"/>
                <w:szCs w:val="20"/>
              </w:rPr>
              <w:t>onitor</w:t>
            </w:r>
            <w:r>
              <w:rPr>
                <w:rFonts w:cs="Arial"/>
                <w:sz w:val="20"/>
                <w:szCs w:val="20"/>
              </w:rPr>
              <w:t>s provider</w:t>
            </w:r>
            <w:r w:rsidRPr="00B11E60">
              <w:rPr>
                <w:rFonts w:cs="Arial"/>
                <w:sz w:val="20"/>
                <w:szCs w:val="20"/>
              </w:rPr>
              <w:t xml:space="preserve"> progress toward the goals and objectives as identified in </w:t>
            </w:r>
            <w:r>
              <w:rPr>
                <w:rFonts w:cs="Arial"/>
                <w:sz w:val="20"/>
                <w:szCs w:val="20"/>
              </w:rPr>
              <w:t>each setting’s compliance</w:t>
            </w:r>
            <w:r w:rsidRPr="00B11E60">
              <w:rPr>
                <w:rFonts w:cs="Arial"/>
                <w:sz w:val="20"/>
                <w:szCs w:val="20"/>
              </w:rPr>
              <w:t xml:space="preserve"> transition plan</w:t>
            </w:r>
            <w:r>
              <w:rPr>
                <w:rFonts w:cs="Arial"/>
                <w:sz w:val="20"/>
                <w:szCs w:val="20"/>
              </w:rPr>
              <w:t>, identifies</w:t>
            </w:r>
            <w:r w:rsidRPr="00B11E60">
              <w:rPr>
                <w:rFonts w:cs="Arial"/>
                <w:sz w:val="20"/>
                <w:szCs w:val="20"/>
              </w:rPr>
              <w:t xml:space="preserve"> issues with provider progress</w:t>
            </w:r>
            <w:r>
              <w:rPr>
                <w:rFonts w:cs="Arial"/>
                <w:sz w:val="20"/>
                <w:szCs w:val="20"/>
              </w:rPr>
              <w:t xml:space="preserve"> as needed,</w:t>
            </w:r>
            <w:r w:rsidRPr="00B11E60">
              <w:rPr>
                <w:rFonts w:cs="Arial"/>
                <w:sz w:val="20"/>
                <w:szCs w:val="20"/>
              </w:rPr>
              <w:t xml:space="preserve"> and work</w:t>
            </w:r>
            <w:r>
              <w:rPr>
                <w:rFonts w:cs="Arial"/>
                <w:sz w:val="20"/>
                <w:szCs w:val="20"/>
              </w:rPr>
              <w:t>s</w:t>
            </w:r>
            <w:r w:rsidRPr="00B11E60">
              <w:rPr>
                <w:rFonts w:cs="Arial"/>
                <w:sz w:val="20"/>
                <w:szCs w:val="20"/>
              </w:rPr>
              <w:t xml:space="preserve"> with the provider to improve performance.</w:t>
            </w:r>
          </w:p>
        </w:tc>
      </w:tr>
      <w:tr w:rsidR="002B6667" w:rsidRPr="00B11E60" w14:paraId="367A00DD" w14:textId="77777777" w:rsidTr="003114EA">
        <w:trPr>
          <w:trHeight w:val="1728"/>
        </w:trPr>
        <w:tc>
          <w:tcPr>
            <w:tcW w:w="707" w:type="dxa"/>
            <w:vAlign w:val="center"/>
          </w:tcPr>
          <w:p w14:paraId="68C15408" w14:textId="77777777" w:rsidR="002B6667" w:rsidRPr="00B11E60" w:rsidRDefault="002B6667" w:rsidP="00DB738E">
            <w:pPr>
              <w:jc w:val="center"/>
              <w:rPr>
                <w:rFonts w:cs="Arial"/>
                <w:b/>
              </w:rPr>
            </w:pPr>
            <w:r w:rsidRPr="00B11E60">
              <w:rPr>
                <w:rFonts w:cs="Arial"/>
                <w:b/>
              </w:rPr>
              <w:t>3</w:t>
            </w:r>
          </w:p>
        </w:tc>
        <w:tc>
          <w:tcPr>
            <w:tcW w:w="8768" w:type="dxa"/>
            <w:vAlign w:val="center"/>
          </w:tcPr>
          <w:p w14:paraId="5BC19444" w14:textId="3322F7C1" w:rsidR="002B6667" w:rsidRDefault="002B6667" w:rsidP="00DB738E">
            <w:pPr>
              <w:spacing w:after="60"/>
              <w:rPr>
                <w:rFonts w:cs="Arial"/>
                <w:sz w:val="20"/>
                <w:szCs w:val="20"/>
              </w:rPr>
            </w:pPr>
            <w:r>
              <w:rPr>
                <w:rFonts w:cs="Arial"/>
                <w:sz w:val="20"/>
                <w:szCs w:val="20"/>
              </w:rPr>
              <w:t>State reviews</w:t>
            </w:r>
            <w:r w:rsidRPr="001C380C">
              <w:rPr>
                <w:rFonts w:cs="Arial"/>
                <w:sz w:val="20"/>
                <w:szCs w:val="20"/>
              </w:rPr>
              <w:t xml:space="preserve"> waiver participants at each of the settings to determine if the setting complies with the Community Rule</w:t>
            </w:r>
            <w:r>
              <w:rPr>
                <w:rFonts w:cs="Arial"/>
                <w:sz w:val="20"/>
                <w:szCs w:val="20"/>
              </w:rPr>
              <w:t>.</w:t>
            </w:r>
          </w:p>
          <w:p w14:paraId="2C61DAFB" w14:textId="022FF0D3" w:rsidR="002B6667" w:rsidRDefault="002B6667" w:rsidP="004427AF">
            <w:pPr>
              <w:pStyle w:val="ListParagraph"/>
              <w:numPr>
                <w:ilvl w:val="0"/>
                <w:numId w:val="27"/>
              </w:numPr>
              <w:spacing w:after="60"/>
              <w:contextualSpacing w:val="0"/>
              <w:rPr>
                <w:rFonts w:cs="Arial"/>
                <w:sz w:val="20"/>
                <w:szCs w:val="20"/>
              </w:rPr>
            </w:pPr>
            <w:r>
              <w:rPr>
                <w:rFonts w:cs="Arial"/>
                <w:sz w:val="20"/>
                <w:szCs w:val="20"/>
              </w:rPr>
              <w:t>Through on-site visits, the state d</w:t>
            </w:r>
            <w:r w:rsidRPr="00B11E60">
              <w:rPr>
                <w:rFonts w:cs="Arial"/>
                <w:sz w:val="20"/>
                <w:szCs w:val="20"/>
              </w:rPr>
              <w:t>ocument</w:t>
            </w:r>
            <w:r>
              <w:rPr>
                <w:rFonts w:cs="Arial"/>
                <w:sz w:val="20"/>
                <w:szCs w:val="20"/>
              </w:rPr>
              <w:t>s</w:t>
            </w:r>
            <w:r w:rsidRPr="00B11E60">
              <w:rPr>
                <w:rFonts w:cs="Arial"/>
                <w:sz w:val="20"/>
                <w:szCs w:val="20"/>
              </w:rPr>
              <w:t xml:space="preserve"> the outcomes experienced by HCBS waiver </w:t>
            </w:r>
            <w:r w:rsidR="009F5522" w:rsidRPr="00B11E60">
              <w:rPr>
                <w:rFonts w:cs="Arial"/>
                <w:sz w:val="20"/>
                <w:szCs w:val="20"/>
              </w:rPr>
              <w:t>participants</w:t>
            </w:r>
            <w:r w:rsidR="009F5522">
              <w:rPr>
                <w:rFonts w:cs="Arial"/>
                <w:sz w:val="20"/>
                <w:szCs w:val="20"/>
              </w:rPr>
              <w:t xml:space="preserve"> and</w:t>
            </w:r>
            <w:r>
              <w:rPr>
                <w:rFonts w:cs="Arial"/>
                <w:sz w:val="20"/>
                <w:szCs w:val="20"/>
              </w:rPr>
              <w:t xml:space="preserve"> ensures </w:t>
            </w:r>
            <w:r w:rsidRPr="00B11E60">
              <w:rPr>
                <w:rFonts w:cs="Arial"/>
                <w:sz w:val="20"/>
                <w:szCs w:val="20"/>
              </w:rPr>
              <w:t>that such outcomes reflect and demonstrate</w:t>
            </w:r>
            <w:r w:rsidR="00917E4F">
              <w:rPr>
                <w:rFonts w:cs="Arial"/>
                <w:sz w:val="20"/>
                <w:szCs w:val="20"/>
              </w:rPr>
              <w:t xml:space="preserve">s compliance with all Community Rule requirements, including </w:t>
            </w:r>
            <w:r w:rsidRPr="00B11E60">
              <w:rPr>
                <w:rFonts w:cs="Arial"/>
                <w:sz w:val="20"/>
                <w:szCs w:val="20"/>
              </w:rPr>
              <w:t>true community integration for such participants.</w:t>
            </w:r>
          </w:p>
          <w:p w14:paraId="411AA6B3" w14:textId="043684D4" w:rsidR="002B6667" w:rsidRPr="00273BC0" w:rsidRDefault="002B6667" w:rsidP="004427AF">
            <w:pPr>
              <w:pStyle w:val="ListParagraph"/>
              <w:numPr>
                <w:ilvl w:val="0"/>
                <w:numId w:val="27"/>
              </w:numPr>
              <w:rPr>
                <w:rFonts w:cs="Arial"/>
                <w:sz w:val="20"/>
                <w:szCs w:val="20"/>
              </w:rPr>
            </w:pPr>
            <w:r>
              <w:rPr>
                <w:rFonts w:cs="Arial"/>
                <w:sz w:val="20"/>
                <w:szCs w:val="20"/>
              </w:rPr>
              <w:t xml:space="preserve">The state works with the provider to </w:t>
            </w:r>
            <w:r w:rsidRPr="00B11E60">
              <w:rPr>
                <w:rFonts w:cs="Arial"/>
                <w:sz w:val="20"/>
                <w:szCs w:val="20"/>
              </w:rPr>
              <w:t xml:space="preserve">document practical and verifiable demonstration of on-going </w:t>
            </w:r>
            <w:r w:rsidR="00654CD2">
              <w:rPr>
                <w:rFonts w:cs="Arial"/>
                <w:sz w:val="20"/>
                <w:szCs w:val="20"/>
              </w:rPr>
              <w:t>compliance</w:t>
            </w:r>
            <w:r w:rsidRPr="00B11E60">
              <w:rPr>
                <w:rFonts w:cs="Arial"/>
                <w:sz w:val="20"/>
                <w:szCs w:val="20"/>
              </w:rPr>
              <w:t xml:space="preserve"> for such participants in the settings in question.</w:t>
            </w:r>
          </w:p>
        </w:tc>
      </w:tr>
      <w:tr w:rsidR="002B6667" w:rsidRPr="00B11E60" w14:paraId="6316613A" w14:textId="77777777" w:rsidTr="003114EA">
        <w:trPr>
          <w:trHeight w:val="576"/>
        </w:trPr>
        <w:tc>
          <w:tcPr>
            <w:tcW w:w="707" w:type="dxa"/>
            <w:vAlign w:val="center"/>
          </w:tcPr>
          <w:p w14:paraId="017FDDFA" w14:textId="77777777" w:rsidR="002B6667" w:rsidRPr="00B11E60" w:rsidRDefault="002B6667" w:rsidP="00DB738E">
            <w:pPr>
              <w:jc w:val="center"/>
              <w:rPr>
                <w:rFonts w:cs="Arial"/>
                <w:b/>
              </w:rPr>
            </w:pPr>
            <w:r w:rsidRPr="00B11E60">
              <w:rPr>
                <w:rFonts w:cs="Arial"/>
                <w:b/>
              </w:rPr>
              <w:t>4</w:t>
            </w:r>
          </w:p>
        </w:tc>
        <w:tc>
          <w:tcPr>
            <w:tcW w:w="8768" w:type="dxa"/>
            <w:vAlign w:val="center"/>
          </w:tcPr>
          <w:p w14:paraId="2173826F" w14:textId="5F8772A4" w:rsidR="00150962" w:rsidRDefault="00150962" w:rsidP="00DB738E">
            <w:pPr>
              <w:rPr>
                <w:rFonts w:cs="Arial"/>
                <w:sz w:val="20"/>
                <w:szCs w:val="20"/>
              </w:rPr>
            </w:pPr>
            <w:r>
              <w:rPr>
                <w:rFonts w:cs="Arial"/>
                <w:sz w:val="20"/>
                <w:szCs w:val="20"/>
              </w:rPr>
              <w:t xml:space="preserve">If the state determines a setting cannot demonstrate true, verifiable and on-going compliance with the Community Rule, the setting </w:t>
            </w:r>
            <w:proofErr w:type="gramStart"/>
            <w:r>
              <w:rPr>
                <w:rFonts w:cs="Arial"/>
                <w:sz w:val="20"/>
                <w:szCs w:val="20"/>
              </w:rPr>
              <w:t>would</w:t>
            </w:r>
            <w:proofErr w:type="gramEnd"/>
            <w:r>
              <w:rPr>
                <w:rFonts w:cs="Arial"/>
                <w:sz w:val="20"/>
                <w:szCs w:val="20"/>
              </w:rPr>
              <w:t xml:space="preserve"> not continue to serve waiver participants, and the state would not submit the site to</w:t>
            </w:r>
            <w:r w:rsidRPr="001B70BF">
              <w:rPr>
                <w:rFonts w:cs="Arial"/>
                <w:sz w:val="20"/>
                <w:szCs w:val="20"/>
              </w:rPr>
              <w:t xml:space="preserve"> CMS</w:t>
            </w:r>
            <w:r>
              <w:rPr>
                <w:rFonts w:cs="Arial"/>
                <w:sz w:val="20"/>
                <w:szCs w:val="20"/>
              </w:rPr>
              <w:t xml:space="preserve"> for the</w:t>
            </w:r>
            <w:r w:rsidRPr="001B70BF">
              <w:rPr>
                <w:rFonts w:cs="Arial"/>
                <w:sz w:val="20"/>
                <w:szCs w:val="20"/>
              </w:rPr>
              <w:t xml:space="preserve"> heightened scrutiny</w:t>
            </w:r>
            <w:r>
              <w:rPr>
                <w:rFonts w:cs="Arial"/>
                <w:sz w:val="20"/>
                <w:szCs w:val="20"/>
              </w:rPr>
              <w:t xml:space="preserve"> process</w:t>
            </w:r>
            <w:r w:rsidRPr="001B70BF">
              <w:rPr>
                <w:rFonts w:cs="Arial"/>
                <w:sz w:val="20"/>
                <w:szCs w:val="20"/>
              </w:rPr>
              <w:t>.</w:t>
            </w:r>
            <w:r>
              <w:rPr>
                <w:rFonts w:cs="Arial"/>
                <w:sz w:val="20"/>
                <w:szCs w:val="20"/>
              </w:rPr>
              <w:t xml:space="preserve"> Any participants </w:t>
            </w:r>
            <w:r>
              <w:rPr>
                <w:rFonts w:cs="Arial"/>
                <w:sz w:val="20"/>
                <w:szCs w:val="20"/>
              </w:rPr>
              <w:lastRenderedPageBreak/>
              <w:t xml:space="preserve">impacted would be supported through the Participant Relocation process described in Section </w:t>
            </w:r>
            <w:r w:rsidR="00C50375">
              <w:rPr>
                <w:rFonts w:cs="Arial"/>
                <w:sz w:val="20"/>
                <w:szCs w:val="20"/>
              </w:rPr>
              <w:t>VII</w:t>
            </w:r>
            <w:r>
              <w:rPr>
                <w:rFonts w:cs="Arial"/>
                <w:sz w:val="20"/>
                <w:szCs w:val="20"/>
              </w:rPr>
              <w:t>I.</w:t>
            </w:r>
          </w:p>
          <w:p w14:paraId="675FA228" w14:textId="77777777" w:rsidR="00150962" w:rsidRDefault="00150962" w:rsidP="00DB738E">
            <w:pPr>
              <w:rPr>
                <w:rFonts w:cs="Arial"/>
                <w:sz w:val="20"/>
                <w:szCs w:val="20"/>
              </w:rPr>
            </w:pPr>
          </w:p>
          <w:p w14:paraId="5ADCC8F6" w14:textId="14EFEF57" w:rsidR="002B6667" w:rsidRPr="001B70BF" w:rsidRDefault="002B6667" w:rsidP="00C50375">
            <w:pPr>
              <w:rPr>
                <w:rFonts w:cs="Arial"/>
                <w:sz w:val="20"/>
                <w:szCs w:val="20"/>
              </w:rPr>
            </w:pPr>
            <w:r>
              <w:rPr>
                <w:rFonts w:cs="Arial"/>
                <w:sz w:val="20"/>
                <w:szCs w:val="20"/>
              </w:rPr>
              <w:t xml:space="preserve">If the state determines a setting demonstrates true, </w:t>
            </w:r>
            <w:proofErr w:type="gramStart"/>
            <w:r>
              <w:rPr>
                <w:rFonts w:cs="Arial"/>
                <w:sz w:val="20"/>
                <w:szCs w:val="20"/>
              </w:rPr>
              <w:t>verifiable</w:t>
            </w:r>
            <w:proofErr w:type="gramEnd"/>
            <w:r>
              <w:rPr>
                <w:rFonts w:cs="Arial"/>
                <w:sz w:val="20"/>
                <w:szCs w:val="20"/>
              </w:rPr>
              <w:t xml:space="preserve"> and on-going compliance with the Community Rule, the state p</w:t>
            </w:r>
            <w:r w:rsidRPr="001B70BF">
              <w:rPr>
                <w:rFonts w:cs="Arial"/>
                <w:sz w:val="20"/>
                <w:szCs w:val="20"/>
              </w:rPr>
              <w:t>repare</w:t>
            </w:r>
            <w:r>
              <w:rPr>
                <w:rFonts w:cs="Arial"/>
                <w:sz w:val="20"/>
                <w:szCs w:val="20"/>
              </w:rPr>
              <w:t>s</w:t>
            </w:r>
            <w:r w:rsidRPr="001B70BF">
              <w:rPr>
                <w:rFonts w:cs="Arial"/>
                <w:sz w:val="20"/>
                <w:szCs w:val="20"/>
              </w:rPr>
              <w:t xml:space="preserve"> documentation and explanatory information for </w:t>
            </w:r>
            <w:r>
              <w:rPr>
                <w:rFonts w:cs="Arial"/>
                <w:sz w:val="20"/>
                <w:szCs w:val="20"/>
              </w:rPr>
              <w:t>the</w:t>
            </w:r>
            <w:r w:rsidRPr="001B70BF">
              <w:rPr>
                <w:rFonts w:cs="Arial"/>
                <w:sz w:val="20"/>
                <w:szCs w:val="20"/>
              </w:rPr>
              <w:t xml:space="preserve"> heightened scrutiny</w:t>
            </w:r>
            <w:r>
              <w:rPr>
                <w:rFonts w:cs="Arial"/>
                <w:sz w:val="20"/>
                <w:szCs w:val="20"/>
              </w:rPr>
              <w:t xml:space="preserve"> process</w:t>
            </w:r>
            <w:r w:rsidR="007A2BAA">
              <w:rPr>
                <w:rFonts w:cs="Arial"/>
                <w:sz w:val="20"/>
                <w:szCs w:val="20"/>
              </w:rPr>
              <w:t>,</w:t>
            </w:r>
            <w:r w:rsidR="007A2BAA">
              <w:t xml:space="preserve"> </w:t>
            </w:r>
            <w:r w:rsidR="007A2BAA" w:rsidRPr="007A2BAA">
              <w:rPr>
                <w:rFonts w:cs="Arial"/>
                <w:sz w:val="20"/>
                <w:szCs w:val="20"/>
              </w:rPr>
              <w:t xml:space="preserve">consistent with the Frequently Asked Questions (FAQs) Guidance on Heightened Scrutiny (HS) </w:t>
            </w:r>
            <w:r w:rsidR="007A2BAA">
              <w:rPr>
                <w:rFonts w:cs="Arial"/>
                <w:sz w:val="20"/>
                <w:szCs w:val="20"/>
              </w:rPr>
              <w:t>issued by CMS on March 22, 2019</w:t>
            </w:r>
            <w:r w:rsidRPr="001B70BF">
              <w:rPr>
                <w:rFonts w:cs="Arial"/>
                <w:sz w:val="20"/>
                <w:szCs w:val="20"/>
              </w:rPr>
              <w:t>.</w:t>
            </w:r>
          </w:p>
        </w:tc>
      </w:tr>
      <w:tr w:rsidR="002B6667" w:rsidRPr="00B11E60" w14:paraId="0DB9F51D" w14:textId="77777777" w:rsidTr="003114EA">
        <w:trPr>
          <w:trHeight w:val="432"/>
        </w:trPr>
        <w:tc>
          <w:tcPr>
            <w:tcW w:w="707" w:type="dxa"/>
            <w:vAlign w:val="center"/>
          </w:tcPr>
          <w:p w14:paraId="6C9CE26E" w14:textId="77777777" w:rsidR="002B6667" w:rsidRPr="00B11E60" w:rsidRDefault="002B6667" w:rsidP="00DB738E">
            <w:pPr>
              <w:jc w:val="center"/>
              <w:rPr>
                <w:rFonts w:cs="Arial"/>
                <w:b/>
              </w:rPr>
            </w:pPr>
            <w:r w:rsidRPr="00B11E60">
              <w:rPr>
                <w:rFonts w:cs="Arial"/>
                <w:b/>
              </w:rPr>
              <w:lastRenderedPageBreak/>
              <w:t>5</w:t>
            </w:r>
          </w:p>
        </w:tc>
        <w:tc>
          <w:tcPr>
            <w:tcW w:w="8768" w:type="dxa"/>
            <w:vAlign w:val="center"/>
          </w:tcPr>
          <w:p w14:paraId="59A79989" w14:textId="77777777" w:rsidR="002B6667" w:rsidRPr="001B70BF" w:rsidRDefault="002B6667" w:rsidP="00DB738E">
            <w:pPr>
              <w:rPr>
                <w:rFonts w:cs="Arial"/>
                <w:sz w:val="20"/>
                <w:szCs w:val="20"/>
              </w:rPr>
            </w:pPr>
            <w:r>
              <w:rPr>
                <w:rFonts w:cs="Arial"/>
                <w:sz w:val="20"/>
                <w:szCs w:val="20"/>
              </w:rPr>
              <w:t>Engage stakeholders in the review of documentation related to Step 4 in a manner that is consistent with protecting member privacy and security.</w:t>
            </w:r>
          </w:p>
        </w:tc>
      </w:tr>
      <w:tr w:rsidR="002B6667" w:rsidRPr="00B11E60" w14:paraId="3416A898" w14:textId="77777777" w:rsidTr="003114EA">
        <w:trPr>
          <w:trHeight w:val="432"/>
        </w:trPr>
        <w:tc>
          <w:tcPr>
            <w:tcW w:w="707" w:type="dxa"/>
            <w:vAlign w:val="center"/>
          </w:tcPr>
          <w:p w14:paraId="31FD12EE" w14:textId="77777777" w:rsidR="002B6667" w:rsidRPr="00B11E60" w:rsidRDefault="002B6667" w:rsidP="00DB738E">
            <w:pPr>
              <w:jc w:val="center"/>
              <w:rPr>
                <w:rFonts w:cs="Arial"/>
                <w:b/>
              </w:rPr>
            </w:pPr>
            <w:r w:rsidRPr="00B11E60">
              <w:rPr>
                <w:rFonts w:cs="Arial"/>
                <w:b/>
              </w:rPr>
              <w:t>6</w:t>
            </w:r>
          </w:p>
        </w:tc>
        <w:tc>
          <w:tcPr>
            <w:tcW w:w="8768" w:type="dxa"/>
            <w:vAlign w:val="center"/>
          </w:tcPr>
          <w:p w14:paraId="54CC138B" w14:textId="331D8293" w:rsidR="002B6667" w:rsidRPr="001B70BF" w:rsidRDefault="002B6667" w:rsidP="00523FA4">
            <w:pPr>
              <w:rPr>
                <w:rFonts w:cs="Arial"/>
                <w:sz w:val="20"/>
                <w:szCs w:val="20"/>
              </w:rPr>
            </w:pPr>
            <w:r w:rsidRPr="001B70BF">
              <w:rPr>
                <w:rFonts w:cs="Arial"/>
                <w:sz w:val="20"/>
                <w:szCs w:val="20"/>
              </w:rPr>
              <w:t>Submit documentation</w:t>
            </w:r>
            <w:r>
              <w:rPr>
                <w:rFonts w:cs="Arial"/>
                <w:sz w:val="20"/>
                <w:szCs w:val="20"/>
              </w:rPr>
              <w:t xml:space="preserve"> prepared in Step 4 </w:t>
            </w:r>
            <w:r w:rsidRPr="001B70BF">
              <w:rPr>
                <w:rFonts w:cs="Arial"/>
                <w:sz w:val="20"/>
                <w:szCs w:val="20"/>
              </w:rPr>
              <w:t>to CMS.</w:t>
            </w:r>
          </w:p>
        </w:tc>
      </w:tr>
      <w:tr w:rsidR="002B6667" w:rsidRPr="00B11E60" w14:paraId="6CC7DA63" w14:textId="77777777" w:rsidTr="003114EA">
        <w:trPr>
          <w:trHeight w:val="432"/>
        </w:trPr>
        <w:tc>
          <w:tcPr>
            <w:tcW w:w="707" w:type="dxa"/>
            <w:vAlign w:val="center"/>
          </w:tcPr>
          <w:p w14:paraId="644E94AD" w14:textId="77777777" w:rsidR="002B6667" w:rsidRPr="00B11E60" w:rsidRDefault="002B6667" w:rsidP="00DB738E">
            <w:pPr>
              <w:jc w:val="center"/>
              <w:rPr>
                <w:rFonts w:cs="Arial"/>
                <w:b/>
              </w:rPr>
            </w:pPr>
            <w:r w:rsidRPr="00B11E60">
              <w:rPr>
                <w:rFonts w:cs="Arial"/>
                <w:b/>
              </w:rPr>
              <w:t>7</w:t>
            </w:r>
          </w:p>
        </w:tc>
        <w:tc>
          <w:tcPr>
            <w:tcW w:w="8768" w:type="dxa"/>
            <w:vAlign w:val="center"/>
          </w:tcPr>
          <w:p w14:paraId="35AA994C" w14:textId="77777777" w:rsidR="002B6667" w:rsidRPr="001B70BF" w:rsidRDefault="002B6667" w:rsidP="00DB738E">
            <w:pPr>
              <w:rPr>
                <w:rFonts w:cs="Arial"/>
                <w:sz w:val="20"/>
                <w:szCs w:val="20"/>
              </w:rPr>
            </w:pPr>
            <w:r w:rsidRPr="001B70BF">
              <w:rPr>
                <w:rFonts w:cs="Arial"/>
                <w:sz w:val="20"/>
                <w:szCs w:val="20"/>
              </w:rPr>
              <w:t>Work with CMS to develop/plan for conducting heightened scrutiny for each such provider/setting and carry out the plan with CMS collaboration.</w:t>
            </w:r>
          </w:p>
        </w:tc>
      </w:tr>
    </w:tbl>
    <w:p w14:paraId="4A1209BE" w14:textId="343C65F7" w:rsidR="00A71CB7" w:rsidRPr="00A71CB7" w:rsidRDefault="00A71CB7" w:rsidP="00A71CB7">
      <w:pPr>
        <w:rPr>
          <w:rFonts w:cs="Arial"/>
          <w:b/>
          <w:sz w:val="28"/>
          <w:szCs w:val="28"/>
        </w:rPr>
      </w:pPr>
    </w:p>
    <w:p w14:paraId="661342C2" w14:textId="5FE1B2B9" w:rsidR="00372986" w:rsidRPr="00381BE3" w:rsidRDefault="00CB51FB" w:rsidP="00381BE3">
      <w:r w:rsidRPr="007F6135">
        <w:rPr>
          <w:rFonts w:cs="Arial"/>
          <w:bCs/>
        </w:rPr>
        <w:t>On November 29, 2022, t</w:t>
      </w:r>
      <w:r w:rsidR="00F269F8" w:rsidRPr="007F6135">
        <w:rPr>
          <w:rFonts w:cs="Arial"/>
          <w:bCs/>
        </w:rPr>
        <w:t xml:space="preserve">he state </w:t>
      </w:r>
      <w:r w:rsidRPr="007F6135">
        <w:rPr>
          <w:rFonts w:cs="Arial"/>
          <w:bCs/>
        </w:rPr>
        <w:t>wrote to CMS to request a C</w:t>
      </w:r>
      <w:r w:rsidRPr="007F6135">
        <w:t xml:space="preserve">orrective Action Plan for </w:t>
      </w:r>
      <w:r w:rsidR="000902A6" w:rsidRPr="007F6135">
        <w:t xml:space="preserve">the </w:t>
      </w:r>
      <w:r w:rsidR="000902A6" w:rsidRPr="007F6135">
        <w:rPr>
          <w:rFonts w:cs="Arial"/>
        </w:rPr>
        <w:t>two providers</w:t>
      </w:r>
      <w:r w:rsidR="00972C72">
        <w:rPr>
          <w:rFonts w:cs="Arial"/>
        </w:rPr>
        <w:t xml:space="preserve">, representing </w:t>
      </w:r>
      <w:r w:rsidR="000902A6" w:rsidRPr="007F6135">
        <w:rPr>
          <w:rFonts w:cs="Arial"/>
        </w:rPr>
        <w:t>25 settings</w:t>
      </w:r>
      <w:r w:rsidR="00972C72">
        <w:rPr>
          <w:rFonts w:cs="Arial"/>
        </w:rPr>
        <w:t>,</w:t>
      </w:r>
      <w:r w:rsidR="000902A6" w:rsidRPr="007F6135">
        <w:rPr>
          <w:rFonts w:cs="Arial"/>
        </w:rPr>
        <w:t xml:space="preserve"> subject to Heightened Scrutiny review</w:t>
      </w:r>
      <w:r w:rsidR="000902A6" w:rsidRPr="007F6135">
        <w:t xml:space="preserve">. </w:t>
      </w:r>
      <w:r w:rsidR="004D55B3" w:rsidRPr="007F6135">
        <w:t xml:space="preserve"> The request is for an additional year </w:t>
      </w:r>
      <w:r w:rsidR="001F0600" w:rsidRPr="007F6135">
        <w:t xml:space="preserve">(through March 16, 2024) </w:t>
      </w:r>
      <w:r w:rsidR="00836A7B" w:rsidRPr="007F6135">
        <w:t>for these setti</w:t>
      </w:r>
      <w:r w:rsidR="007614A3" w:rsidRPr="007F6135">
        <w:t xml:space="preserve">ngs </w:t>
      </w:r>
      <w:r w:rsidR="004D55B3" w:rsidRPr="007F6135">
        <w:t>to meet the community integration criterion of the Settings Rule</w:t>
      </w:r>
      <w:r w:rsidR="007614A3" w:rsidRPr="007F6135">
        <w:t xml:space="preserve">: </w:t>
      </w:r>
      <w:r w:rsidR="004D55B3" w:rsidRPr="007F6135">
        <w:t>that a setting must be integrated in and support access to the greater community.</w:t>
      </w:r>
      <w:r w:rsidR="001F0600" w:rsidRPr="007F6135">
        <w:t xml:space="preserve"> The state worked with these providers to develop action plans, and providers have </w:t>
      </w:r>
      <w:r w:rsidR="006274DD">
        <w:t xml:space="preserve">put </w:t>
      </w:r>
      <w:r w:rsidR="001F0600" w:rsidRPr="007F6135">
        <w:t>systems and processes in place.  The Public Health Emergency has created barriers to full and consistent compliance due to staffing shortages.</w:t>
      </w:r>
      <w:r w:rsidR="00372986" w:rsidRPr="00381BE3">
        <w:t xml:space="preserve"> </w:t>
      </w:r>
      <w:r w:rsidR="002E236D" w:rsidRPr="00381BE3">
        <w:t xml:space="preserve">State staff </w:t>
      </w:r>
      <w:r w:rsidR="008D0E40" w:rsidRPr="00381BE3">
        <w:t xml:space="preserve">plan to meet with these providers regularly to </w:t>
      </w:r>
      <w:r w:rsidR="00381BE3">
        <w:t>p</w:t>
      </w:r>
      <w:r w:rsidR="00372986" w:rsidRPr="00381BE3">
        <w:t>rovide technical assistance and quality management support</w:t>
      </w:r>
      <w:r w:rsidR="00381BE3">
        <w:t xml:space="preserve"> and to monitor data on </w:t>
      </w:r>
      <w:r w:rsidR="00372986" w:rsidRPr="00381BE3">
        <w:t>community integration and access.</w:t>
      </w:r>
    </w:p>
    <w:p w14:paraId="310C8894" w14:textId="0A954A7F" w:rsidR="00327DC1" w:rsidRPr="00533E24" w:rsidRDefault="001645DC" w:rsidP="00144BE9">
      <w:pPr>
        <w:pStyle w:val="Heading2"/>
      </w:pPr>
      <w:r w:rsidRPr="00533E24">
        <w:t>VIII</w:t>
      </w:r>
      <w:r w:rsidR="00327DC1" w:rsidRPr="00533E24">
        <w:t>.</w:t>
      </w:r>
      <w:r w:rsidR="00327DC1" w:rsidRPr="00533E24">
        <w:tab/>
        <w:t>Participant Relocation</w:t>
      </w:r>
    </w:p>
    <w:p w14:paraId="48E06557" w14:textId="735E7D7E" w:rsidR="00327DC1" w:rsidRPr="00B11E60" w:rsidRDefault="00327DC1" w:rsidP="00327DC1">
      <w:pPr>
        <w:rPr>
          <w:rFonts w:cs="Arial"/>
        </w:rPr>
      </w:pPr>
      <w:r w:rsidRPr="00B11E60">
        <w:rPr>
          <w:rFonts w:cs="Arial"/>
        </w:rPr>
        <w:t xml:space="preserve">Massachusetts </w:t>
      </w:r>
      <w:r w:rsidR="008D159C">
        <w:rPr>
          <w:rFonts w:cs="Arial"/>
        </w:rPr>
        <w:t xml:space="preserve">has not </w:t>
      </w:r>
      <w:r w:rsidR="00B95295">
        <w:rPr>
          <w:rFonts w:cs="Arial"/>
        </w:rPr>
        <w:t>identified any</w:t>
      </w:r>
      <w:r w:rsidRPr="00B11E60">
        <w:rPr>
          <w:rFonts w:cs="Arial"/>
        </w:rPr>
        <w:t xml:space="preserve"> waiver participants receiving services in non-compliant settings. However, should the state identify residential or non-residential settings that </w:t>
      </w:r>
      <w:r w:rsidR="003C0629">
        <w:rPr>
          <w:rFonts w:cs="Arial"/>
        </w:rPr>
        <w:t xml:space="preserve">are </w:t>
      </w:r>
      <w:r w:rsidRPr="00B11E60">
        <w:rPr>
          <w:rFonts w:cs="Arial"/>
        </w:rPr>
        <w:t xml:space="preserve">not compliant with the </w:t>
      </w:r>
      <w:r w:rsidR="002E6451">
        <w:rPr>
          <w:rFonts w:cs="Arial"/>
        </w:rPr>
        <w:t>Community Rule</w:t>
      </w:r>
      <w:r w:rsidRPr="00B11E60">
        <w:rPr>
          <w:rFonts w:cs="Arial"/>
        </w:rPr>
        <w:t>, the state intends to discontinue use of such settings within its HCBS waivers, in the following manner.</w:t>
      </w:r>
    </w:p>
    <w:p w14:paraId="639C90B2" w14:textId="7534F6A4" w:rsidR="00327DC1" w:rsidRPr="00144BE9" w:rsidRDefault="00327DC1" w:rsidP="00144BE9">
      <w:pPr>
        <w:pStyle w:val="Heading2"/>
        <w:spacing w:before="240"/>
        <w:rPr>
          <w:sz w:val="26"/>
          <w:szCs w:val="26"/>
        </w:rPr>
      </w:pPr>
      <w:r w:rsidRPr="00144BE9">
        <w:rPr>
          <w:sz w:val="26"/>
          <w:szCs w:val="26"/>
        </w:rPr>
        <w:t>Residential Settings</w:t>
      </w:r>
    </w:p>
    <w:p w14:paraId="0867F18E" w14:textId="4A55D9C6" w:rsidR="00327DC1" w:rsidRPr="00B11E60" w:rsidRDefault="00EE5246" w:rsidP="00327DC1">
      <w:pPr>
        <w:rPr>
          <w:rFonts w:cs="Arial"/>
        </w:rPr>
      </w:pPr>
      <w:r>
        <w:rPr>
          <w:rFonts w:cs="Arial"/>
        </w:rPr>
        <w:t>I</w:t>
      </w:r>
      <w:r w:rsidR="00F9546E">
        <w:rPr>
          <w:rFonts w:cs="Arial"/>
        </w:rPr>
        <w:t xml:space="preserve">f a </w:t>
      </w:r>
      <w:r w:rsidR="00B570F9">
        <w:rPr>
          <w:rFonts w:cs="Arial"/>
        </w:rPr>
        <w:t>waiver participant is identified to be living in a residential setting found not to be compliant with the community rule</w:t>
      </w:r>
      <w:r w:rsidR="001C623E">
        <w:rPr>
          <w:rFonts w:cs="Arial"/>
        </w:rPr>
        <w:t xml:space="preserve"> the participant </w:t>
      </w:r>
      <w:r w:rsidR="00327DC1" w:rsidRPr="00B11E60">
        <w:rPr>
          <w:rFonts w:cs="Arial"/>
        </w:rPr>
        <w:t xml:space="preserve">would be notified that they may continue to reside in the setting if they so choose, but if so, their participation in the waiver would be discontinued.  </w:t>
      </w:r>
    </w:p>
    <w:p w14:paraId="16AA95DA" w14:textId="7BE5D050" w:rsidR="00327DC1" w:rsidRPr="00B11E60" w:rsidRDefault="00327DC1" w:rsidP="00327DC1">
      <w:pPr>
        <w:rPr>
          <w:rFonts w:cs="Arial"/>
        </w:rPr>
      </w:pPr>
      <w:r w:rsidRPr="00B11E60">
        <w:rPr>
          <w:rFonts w:cs="Arial"/>
        </w:rPr>
        <w:t xml:space="preserve">State </w:t>
      </w:r>
      <w:proofErr w:type="gramStart"/>
      <w:r w:rsidRPr="00B11E60">
        <w:rPr>
          <w:rFonts w:cs="Arial"/>
        </w:rPr>
        <w:t>supported-programming</w:t>
      </w:r>
      <w:proofErr w:type="gramEnd"/>
      <w:r w:rsidRPr="00B11E60">
        <w:rPr>
          <w:rFonts w:cs="Arial"/>
        </w:rPr>
        <w:t xml:space="preserve"> could be continued until such time as the individual chooses to move to a compliant setting, at which point </w:t>
      </w:r>
      <w:r w:rsidR="07C37461" w:rsidRPr="2DBE62B9">
        <w:rPr>
          <w:rFonts w:cs="Arial"/>
        </w:rPr>
        <w:t>they</w:t>
      </w:r>
      <w:r w:rsidRPr="00B11E60">
        <w:rPr>
          <w:rFonts w:cs="Arial"/>
        </w:rPr>
        <w:t xml:space="preserve"> may choose to reenroll in the waiver, assuming appropriate eligibility is met at that time and there is sufficient available capacity. </w:t>
      </w:r>
    </w:p>
    <w:p w14:paraId="294387B1" w14:textId="53DCCC37" w:rsidR="0079030E" w:rsidRPr="0079030E" w:rsidRDefault="00327DC1" w:rsidP="0079030E">
      <w:pPr>
        <w:rPr>
          <w:rFonts w:cs="Arial"/>
        </w:rPr>
      </w:pPr>
      <w:r w:rsidRPr="583BA760">
        <w:rPr>
          <w:rFonts w:cs="Arial"/>
        </w:rPr>
        <w:lastRenderedPageBreak/>
        <w:t xml:space="preserve">Each waiver operating agency that may have the need to relocate individuals will work with </w:t>
      </w:r>
      <w:proofErr w:type="gramStart"/>
      <w:r w:rsidRPr="583BA760">
        <w:rPr>
          <w:rFonts w:cs="Arial"/>
        </w:rPr>
        <w:t>each individual</w:t>
      </w:r>
      <w:proofErr w:type="gramEnd"/>
      <w:r w:rsidRPr="583BA760">
        <w:rPr>
          <w:rFonts w:cs="Arial"/>
        </w:rPr>
        <w:t xml:space="preserve"> to clarify options for moving as well as support the individual and their family to make choices about potential new living situations, bring the individual to visit the potential options, work out the timing of a move, plan and execute the individual’s move to the new environment, and help acclimate </w:t>
      </w:r>
      <w:r w:rsidR="5BFCC155" w:rsidRPr="583BA760">
        <w:rPr>
          <w:rFonts w:cs="Arial"/>
        </w:rPr>
        <w:t>them</w:t>
      </w:r>
      <w:r w:rsidRPr="583BA760">
        <w:rPr>
          <w:rFonts w:cs="Arial"/>
        </w:rPr>
        <w:t xml:space="preserve"> to the new surroundings. </w:t>
      </w:r>
    </w:p>
    <w:p w14:paraId="6BC511BE" w14:textId="77777777" w:rsidR="00105444" w:rsidRPr="00A75749" w:rsidRDefault="00557D13" w:rsidP="0066354B">
      <w:pPr>
        <w:pStyle w:val="CommentText"/>
        <w:rPr>
          <w:sz w:val="22"/>
          <w:szCs w:val="22"/>
        </w:rPr>
      </w:pPr>
      <w:r w:rsidRPr="0066354B">
        <w:rPr>
          <w:rFonts w:cs="Arial"/>
          <w:sz w:val="22"/>
          <w:szCs w:val="22"/>
        </w:rPr>
        <w:t xml:space="preserve">The waiver operating agencies rely on case managers to assist participants to identify suitable residential service settings. All notices regarding service changes or disenrollment from the waiver follow the timelines </w:t>
      </w:r>
      <w:r w:rsidRPr="00A75749">
        <w:rPr>
          <w:rFonts w:cs="Arial"/>
          <w:sz w:val="22"/>
          <w:szCs w:val="22"/>
        </w:rPr>
        <w:t xml:space="preserve">and requirements outlined in the waiver applications. All adverse actions, including reductions in services or disenrollment from the waiver include appeal rights, as outlined in the applicable waiver application. </w:t>
      </w:r>
      <w:r w:rsidR="0066354B" w:rsidRPr="00A75749">
        <w:rPr>
          <w:sz w:val="22"/>
          <w:szCs w:val="22"/>
        </w:rPr>
        <w:t xml:space="preserve"> Whenever an action is taken that adversely affects a waiver participant post-enrollment (e.g., services are denied, </w:t>
      </w:r>
      <w:proofErr w:type="gramStart"/>
      <w:r w:rsidR="0066354B" w:rsidRPr="00A75749">
        <w:rPr>
          <w:sz w:val="22"/>
          <w:szCs w:val="22"/>
        </w:rPr>
        <w:t>reduced</w:t>
      </w:r>
      <w:proofErr w:type="gramEnd"/>
      <w:r w:rsidR="0066354B" w:rsidRPr="00A75749">
        <w:rPr>
          <w:sz w:val="22"/>
          <w:szCs w:val="22"/>
        </w:rPr>
        <w:t xml:space="preserve"> or terminated), the participant is notified in writing by letter of the action on a timely basis in advance of the effective date of the action.  The notice includes information about how the participant may appeal the action and provides, as appropriate, for the continuation of services while the participant’s appeal is under consideration.  Copies of notices are maintained in the person’s record.  It is up to the participant to decide whether to request a</w:t>
      </w:r>
      <w:r w:rsidR="009E2DB8" w:rsidRPr="00A75749">
        <w:rPr>
          <w:sz w:val="22"/>
          <w:szCs w:val="22"/>
        </w:rPr>
        <w:t xml:space="preserve">n </w:t>
      </w:r>
      <w:r w:rsidR="00DF42D6" w:rsidRPr="00A75749">
        <w:rPr>
          <w:sz w:val="22"/>
          <w:szCs w:val="22"/>
        </w:rPr>
        <w:t xml:space="preserve">appeal of the action. </w:t>
      </w:r>
    </w:p>
    <w:p w14:paraId="251B653A" w14:textId="5D1FF2AB" w:rsidR="0066354B" w:rsidRPr="00A75749" w:rsidRDefault="00090CAF" w:rsidP="0066354B">
      <w:pPr>
        <w:pStyle w:val="CommentText"/>
        <w:rPr>
          <w:sz w:val="22"/>
          <w:szCs w:val="22"/>
        </w:rPr>
      </w:pPr>
      <w:r w:rsidRPr="00A75749">
        <w:rPr>
          <w:sz w:val="22"/>
          <w:szCs w:val="22"/>
        </w:rPr>
        <w:t xml:space="preserve">For waivers operated by DDS, </w:t>
      </w:r>
      <w:r w:rsidR="00FF19E0" w:rsidRPr="00A75749">
        <w:rPr>
          <w:sz w:val="22"/>
          <w:szCs w:val="22"/>
        </w:rPr>
        <w:t>regulations at 115 CMR 6.33-6.34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timeframes in Federal regulations is not impeded by any other method of problem resolution. The timeframe for any other state problem-resolution activity runs concurrent with a person’s right to a fair hearing.</w:t>
      </w:r>
    </w:p>
    <w:p w14:paraId="10846B52" w14:textId="2658B184" w:rsidR="00105444" w:rsidRPr="00A75749" w:rsidRDefault="00257979" w:rsidP="00105444">
      <w:pPr>
        <w:pStyle w:val="CommentText"/>
        <w:rPr>
          <w:sz w:val="22"/>
          <w:szCs w:val="22"/>
        </w:rPr>
      </w:pPr>
      <w:r w:rsidRPr="00A75749">
        <w:rPr>
          <w:sz w:val="22"/>
          <w:szCs w:val="22"/>
        </w:rPr>
        <w:t>For participants enrolled in the Frail Elder Waiver, a</w:t>
      </w:r>
      <w:r w:rsidR="00105444" w:rsidRPr="00A75749">
        <w:rPr>
          <w:sz w:val="22"/>
          <w:szCs w:val="22"/>
        </w:rPr>
        <w:t>ll reviews and appeals are conducted in accordance with Massachusetts Administrative Procedures Act (M.G.L. c. 30A) and the Executive Office of Administration and Finance Standard Adjudicatory Rules of Practice and Procedure (801 CMR 1.00 et seq.).</w:t>
      </w:r>
      <w:r w:rsidRPr="00A75749">
        <w:rPr>
          <w:sz w:val="22"/>
          <w:szCs w:val="22"/>
        </w:rPr>
        <w:t xml:space="preserve"> </w:t>
      </w:r>
      <w:r w:rsidR="00105444" w:rsidRPr="00A75749">
        <w:rPr>
          <w:sz w:val="22"/>
          <w:szCs w:val="22"/>
        </w:rPr>
        <w:t xml:space="preserve">In addition, pursuant to federal regulation 42 CFR 438 and SCO contract requirements, each SCO offers a grievance and appeal system to </w:t>
      </w:r>
      <w:proofErr w:type="gramStart"/>
      <w:r w:rsidR="00105444" w:rsidRPr="00A75749">
        <w:rPr>
          <w:sz w:val="22"/>
          <w:szCs w:val="22"/>
        </w:rPr>
        <w:t>all of</w:t>
      </w:r>
      <w:proofErr w:type="gramEnd"/>
      <w:r w:rsidR="00105444" w:rsidRPr="00A75749">
        <w:rPr>
          <w:sz w:val="22"/>
          <w:szCs w:val="22"/>
        </w:rPr>
        <w:t xml:space="preserve"> its enrollees, including waiver participants.  After exhausting the internal appeal process, a participant may request a Fair Hearing in accordance with the process for </w:t>
      </w:r>
      <w:r w:rsidR="00807EB2" w:rsidRPr="00A75749">
        <w:rPr>
          <w:sz w:val="22"/>
          <w:szCs w:val="22"/>
        </w:rPr>
        <w:t>appeals</w:t>
      </w:r>
      <w:r w:rsidR="00105444" w:rsidRPr="00A75749">
        <w:rPr>
          <w:sz w:val="22"/>
          <w:szCs w:val="22"/>
        </w:rPr>
        <w:t xml:space="preserve"> described above, and pursuant to the Senior Care Options Contract and 42 CFR 438.</w:t>
      </w:r>
    </w:p>
    <w:p w14:paraId="08432A2B" w14:textId="3280F712" w:rsidR="00807EB2" w:rsidRPr="00A75749" w:rsidRDefault="008623F0" w:rsidP="00DC0DB6">
      <w:pPr>
        <w:pStyle w:val="CommentText"/>
        <w:rPr>
          <w:sz w:val="22"/>
          <w:szCs w:val="22"/>
        </w:rPr>
      </w:pPr>
      <w:r w:rsidRPr="00A75749">
        <w:rPr>
          <w:sz w:val="22"/>
          <w:szCs w:val="22"/>
        </w:rPr>
        <w:t>For participants enrolled in the ABI, MFP and TBI waivers</w:t>
      </w:r>
      <w:r w:rsidR="003F296D" w:rsidRPr="00A75749">
        <w:rPr>
          <w:sz w:val="22"/>
          <w:szCs w:val="22"/>
        </w:rPr>
        <w:t>, r</w:t>
      </w:r>
      <w:r w:rsidRPr="00A75749">
        <w:rPr>
          <w:sz w:val="22"/>
          <w:szCs w:val="22"/>
        </w:rPr>
        <w:t xml:space="preserve">egulations of the Executive Office of Administration and Finance at 801 CMR 1.02 et seq. (Executive Office for Administration and Finance regulations establishing standard adjudicatory rules of practice and procedure), shall govern </w:t>
      </w:r>
      <w:r w:rsidR="003F296D" w:rsidRPr="00A75749">
        <w:rPr>
          <w:sz w:val="22"/>
          <w:szCs w:val="22"/>
        </w:rPr>
        <w:t xml:space="preserve">all </w:t>
      </w:r>
      <w:r w:rsidRPr="00A75749">
        <w:rPr>
          <w:sz w:val="22"/>
          <w:szCs w:val="22"/>
        </w:rPr>
        <w:t>appeal proceedings.</w:t>
      </w:r>
    </w:p>
    <w:p w14:paraId="411BE5F9" w14:textId="77777777" w:rsidR="003A24E8" w:rsidRPr="003A24E8" w:rsidRDefault="00327DC1" w:rsidP="003A24E8">
      <w:pPr>
        <w:spacing w:after="0"/>
        <w:rPr>
          <w:rFonts w:cs="Arial"/>
          <w:b/>
          <w:bCs/>
          <w:sz w:val="26"/>
          <w:szCs w:val="26"/>
        </w:rPr>
      </w:pPr>
      <w:r w:rsidRPr="003A24E8">
        <w:rPr>
          <w:rFonts w:cs="Arial"/>
          <w:b/>
          <w:bCs/>
          <w:sz w:val="26"/>
          <w:szCs w:val="26"/>
        </w:rPr>
        <w:t>Non-Residential Settings</w:t>
      </w:r>
    </w:p>
    <w:p w14:paraId="0BE69FA9" w14:textId="7A71ADD2" w:rsidR="00327DC1" w:rsidRDefault="00CC49B3" w:rsidP="00144BE9">
      <w:pPr>
        <w:spacing w:after="120"/>
        <w:rPr>
          <w:rFonts w:cs="Arial"/>
        </w:rPr>
      </w:pPr>
      <w:r>
        <w:rPr>
          <w:rFonts w:cs="Arial"/>
        </w:rPr>
        <w:t>If any non-residential service provider is identified as unable to meet community rule requirements</w:t>
      </w:r>
      <w:r w:rsidR="00911FE2">
        <w:rPr>
          <w:rFonts w:cs="Arial"/>
        </w:rPr>
        <w:t xml:space="preserve"> that provider will be disenrolled as a waiver service provider. </w:t>
      </w:r>
      <w:r w:rsidR="00327DC1" w:rsidRPr="00B11E60">
        <w:rPr>
          <w:rFonts w:cs="Arial"/>
        </w:rPr>
        <w:t xml:space="preserve">Individuals served in such settings will have a choice of different options to continue to receive services, including switching to other compliant settings that deliver the same/comparable waiver services. Alternatively, as described above, a waiver participant may opt to continue to receive services in the non-compliant setting, supported by state funding only, while remaining a participant in the waiver for receipt of other, compliant waiver services.  </w:t>
      </w:r>
    </w:p>
    <w:p w14:paraId="2987C29B" w14:textId="0C20970A" w:rsidR="00327DC1" w:rsidRDefault="00327DC1" w:rsidP="00327DC1">
      <w:pPr>
        <w:rPr>
          <w:rFonts w:cs="Arial"/>
        </w:rPr>
      </w:pPr>
      <w:r w:rsidRPr="00B11E60">
        <w:rPr>
          <w:rFonts w:cs="Arial"/>
        </w:rPr>
        <w:lastRenderedPageBreak/>
        <w:t>The participant may also continue receiving a non-compliant non-residential service at his/her discretion, until such time as he/she can switch into a compliant waiver service, when the state identifies and</w:t>
      </w:r>
      <w:r w:rsidR="00946E52">
        <w:rPr>
          <w:rFonts w:cs="Arial"/>
        </w:rPr>
        <w:t>, through the person-centered planning process,</w:t>
      </w:r>
      <w:r w:rsidRPr="00B11E60">
        <w:rPr>
          <w:rFonts w:cs="Arial"/>
        </w:rPr>
        <w:t xml:space="preserve"> arranges for transition to a program/setting the participant finds acceptable.</w:t>
      </w:r>
      <w:r w:rsidR="00946E52">
        <w:rPr>
          <w:rFonts w:cs="Arial"/>
        </w:rPr>
        <w:t xml:space="preserve"> </w:t>
      </w:r>
      <w:r w:rsidR="00946E52" w:rsidRPr="00B11E60">
        <w:rPr>
          <w:rFonts w:cs="Arial"/>
        </w:rPr>
        <w:t>Each waiver</w:t>
      </w:r>
      <w:r w:rsidR="00130A15">
        <w:rPr>
          <w:rFonts w:cs="Arial"/>
        </w:rPr>
        <w:t>-</w:t>
      </w:r>
      <w:r w:rsidR="00946E52" w:rsidRPr="00B11E60">
        <w:rPr>
          <w:rFonts w:cs="Arial"/>
        </w:rPr>
        <w:t xml:space="preserve">operating agency that may have the need to </w:t>
      </w:r>
      <w:r w:rsidR="00946E52">
        <w:rPr>
          <w:rFonts w:cs="Arial"/>
        </w:rPr>
        <w:t>transition</w:t>
      </w:r>
      <w:r w:rsidR="00946E52" w:rsidRPr="00B11E60">
        <w:rPr>
          <w:rFonts w:cs="Arial"/>
        </w:rPr>
        <w:t xml:space="preserve"> individuals </w:t>
      </w:r>
      <w:r w:rsidR="00946E52">
        <w:rPr>
          <w:rFonts w:cs="Arial"/>
        </w:rPr>
        <w:t xml:space="preserve">to new </w:t>
      </w:r>
      <w:r w:rsidR="0058304F">
        <w:rPr>
          <w:rFonts w:cs="Arial"/>
        </w:rPr>
        <w:t>programs/settings</w:t>
      </w:r>
      <w:r w:rsidR="00946E52">
        <w:rPr>
          <w:rFonts w:cs="Arial"/>
        </w:rPr>
        <w:t xml:space="preserve"> </w:t>
      </w:r>
      <w:r w:rsidR="00946E52" w:rsidRPr="00B11E60">
        <w:rPr>
          <w:rFonts w:cs="Arial"/>
        </w:rPr>
        <w:t xml:space="preserve">will work with </w:t>
      </w:r>
      <w:proofErr w:type="gramStart"/>
      <w:r w:rsidR="00946E52" w:rsidRPr="00B11E60">
        <w:rPr>
          <w:rFonts w:cs="Arial"/>
        </w:rPr>
        <w:t>each individual</w:t>
      </w:r>
      <w:proofErr w:type="gramEnd"/>
      <w:r w:rsidR="00946E52" w:rsidRPr="00B11E60">
        <w:rPr>
          <w:rFonts w:cs="Arial"/>
        </w:rPr>
        <w:t xml:space="preserve"> to clarify </w:t>
      </w:r>
      <w:r w:rsidR="0058304F">
        <w:rPr>
          <w:rFonts w:cs="Arial"/>
        </w:rPr>
        <w:t>program</w:t>
      </w:r>
      <w:r w:rsidR="00946E52">
        <w:rPr>
          <w:rFonts w:cs="Arial"/>
        </w:rPr>
        <w:t xml:space="preserve">/setting </w:t>
      </w:r>
      <w:r w:rsidR="00946E52" w:rsidRPr="00B11E60">
        <w:rPr>
          <w:rFonts w:cs="Arial"/>
        </w:rPr>
        <w:t>options</w:t>
      </w:r>
      <w:r w:rsidR="00946E52">
        <w:rPr>
          <w:rFonts w:cs="Arial"/>
        </w:rPr>
        <w:t>,</w:t>
      </w:r>
      <w:r w:rsidR="00946E52" w:rsidRPr="00B11E60">
        <w:rPr>
          <w:rFonts w:cs="Arial"/>
        </w:rPr>
        <w:t xml:space="preserve"> support the individual and their family to </w:t>
      </w:r>
      <w:r w:rsidR="00946E52">
        <w:rPr>
          <w:rFonts w:cs="Arial"/>
        </w:rPr>
        <w:t xml:space="preserve">consider </w:t>
      </w:r>
      <w:r w:rsidR="0058304F">
        <w:rPr>
          <w:rFonts w:cs="Arial"/>
        </w:rPr>
        <w:t xml:space="preserve">such options and </w:t>
      </w:r>
      <w:r w:rsidR="00946E52" w:rsidRPr="00B11E60">
        <w:rPr>
          <w:rFonts w:cs="Arial"/>
        </w:rPr>
        <w:t xml:space="preserve">make choices, work out the timing of </w:t>
      </w:r>
      <w:r w:rsidR="0058304F">
        <w:rPr>
          <w:rFonts w:cs="Arial"/>
        </w:rPr>
        <w:t>the change</w:t>
      </w:r>
      <w:r w:rsidR="00946E52" w:rsidRPr="00B11E60">
        <w:rPr>
          <w:rFonts w:cs="Arial"/>
        </w:rPr>
        <w:t xml:space="preserve">, and help acclimate </w:t>
      </w:r>
      <w:r w:rsidR="001F7476">
        <w:rPr>
          <w:rFonts w:cs="Arial"/>
        </w:rPr>
        <w:t>them</w:t>
      </w:r>
      <w:r w:rsidR="00946E52" w:rsidRPr="00B11E60">
        <w:rPr>
          <w:rFonts w:cs="Arial"/>
        </w:rPr>
        <w:t xml:space="preserve"> to the new </w:t>
      </w:r>
      <w:r w:rsidR="0058304F">
        <w:rPr>
          <w:rFonts w:cs="Arial"/>
        </w:rPr>
        <w:t>program/setting</w:t>
      </w:r>
      <w:r w:rsidR="00946E52" w:rsidRPr="00B11E60">
        <w:rPr>
          <w:rFonts w:cs="Arial"/>
        </w:rPr>
        <w:t xml:space="preserve">. </w:t>
      </w:r>
    </w:p>
    <w:p w14:paraId="78285BCE" w14:textId="474E455C" w:rsidR="00300971" w:rsidRDefault="001849CB" w:rsidP="00327DC1">
      <w:pPr>
        <w:rPr>
          <w:rFonts w:cs="Arial"/>
        </w:rPr>
      </w:pPr>
      <w:r>
        <w:rPr>
          <w:rFonts w:cs="Arial"/>
        </w:rPr>
        <w:t>The</w:t>
      </w:r>
      <w:r w:rsidR="002729D5">
        <w:rPr>
          <w:rFonts w:cs="Arial"/>
        </w:rPr>
        <w:t xml:space="preserve"> waiver</w:t>
      </w:r>
      <w:r>
        <w:rPr>
          <w:rFonts w:cs="Arial"/>
        </w:rPr>
        <w:t xml:space="preserve"> opera</w:t>
      </w:r>
      <w:r w:rsidR="002729D5">
        <w:rPr>
          <w:rFonts w:cs="Arial"/>
        </w:rPr>
        <w:t>t</w:t>
      </w:r>
      <w:r>
        <w:rPr>
          <w:rFonts w:cs="Arial"/>
        </w:rPr>
        <w:t>ing agencies rely on case mana</w:t>
      </w:r>
      <w:r w:rsidR="002729D5">
        <w:rPr>
          <w:rFonts w:cs="Arial"/>
        </w:rPr>
        <w:t xml:space="preserve">gers to assist participants to identify </w:t>
      </w:r>
      <w:proofErr w:type="spellStart"/>
      <w:r w:rsidR="002729D5">
        <w:rPr>
          <w:rFonts w:cs="Arial"/>
        </w:rPr>
        <w:t>suitable</w:t>
      </w:r>
      <w:r w:rsidR="00642E55">
        <w:rPr>
          <w:rFonts w:cs="Arial"/>
        </w:rPr>
        <w:t>non</w:t>
      </w:r>
      <w:proofErr w:type="spellEnd"/>
      <w:r w:rsidR="00642E55">
        <w:rPr>
          <w:rFonts w:cs="Arial"/>
        </w:rPr>
        <w:t xml:space="preserve">-residential service settings. All notices </w:t>
      </w:r>
      <w:r w:rsidR="00FF1B4A">
        <w:rPr>
          <w:rFonts w:cs="Arial"/>
        </w:rPr>
        <w:t xml:space="preserve">regarding service changes or disenrollment from the waiver follow the timelines and requirements outlined in the waiver applications. </w:t>
      </w:r>
      <w:r w:rsidR="00520F75">
        <w:rPr>
          <w:rFonts w:cs="Arial"/>
        </w:rPr>
        <w:t xml:space="preserve">All adverse actions, including reductions in services or disenrollment from the waiver </w:t>
      </w:r>
      <w:r w:rsidR="000132F3">
        <w:rPr>
          <w:rFonts w:cs="Arial"/>
        </w:rPr>
        <w:t xml:space="preserve">include appeal rights, as outlined in the applicable waiver </w:t>
      </w:r>
      <w:proofErr w:type="gramStart"/>
      <w:r w:rsidR="000132F3">
        <w:rPr>
          <w:rFonts w:cs="Arial"/>
        </w:rPr>
        <w:t>application</w:t>
      </w:r>
      <w:proofErr w:type="gramEnd"/>
      <w:r w:rsidR="004C30E2">
        <w:rPr>
          <w:rFonts w:cs="Arial"/>
        </w:rPr>
        <w:t xml:space="preserve"> and as outlined </w:t>
      </w:r>
      <w:r w:rsidR="00954658">
        <w:rPr>
          <w:rFonts w:cs="Arial"/>
        </w:rPr>
        <w:t xml:space="preserve">in the Residential Settings section </w:t>
      </w:r>
      <w:r w:rsidR="004C30E2">
        <w:rPr>
          <w:rFonts w:cs="Arial"/>
        </w:rPr>
        <w:t>above</w:t>
      </w:r>
      <w:r w:rsidR="000132F3">
        <w:rPr>
          <w:rFonts w:cs="Arial"/>
        </w:rPr>
        <w:t xml:space="preserve">. </w:t>
      </w:r>
    </w:p>
    <w:p w14:paraId="58416E3A" w14:textId="6AA54A4F" w:rsidR="00327DC1" w:rsidRPr="00533E24" w:rsidRDefault="001645DC" w:rsidP="00144BE9">
      <w:pPr>
        <w:pStyle w:val="Heading2"/>
      </w:pPr>
      <w:r w:rsidRPr="00533E24">
        <w:t>I</w:t>
      </w:r>
      <w:r w:rsidR="00327DC1" w:rsidRPr="00533E24">
        <w:t>X.</w:t>
      </w:r>
      <w:r w:rsidR="00327DC1" w:rsidRPr="00533E24">
        <w:tab/>
        <w:t>Further Revisions to S</w:t>
      </w:r>
      <w:r w:rsidR="00B14E7C" w:rsidRPr="00533E24">
        <w:t xml:space="preserve">tatewide </w:t>
      </w:r>
      <w:r w:rsidR="00327DC1" w:rsidRPr="00533E24">
        <w:t>T</w:t>
      </w:r>
      <w:r w:rsidR="00B14E7C" w:rsidRPr="00533E24">
        <w:t xml:space="preserve">ransition </w:t>
      </w:r>
      <w:r w:rsidR="00327DC1" w:rsidRPr="00533E24">
        <w:t>P</w:t>
      </w:r>
      <w:r w:rsidR="00B14E7C" w:rsidRPr="00533E24">
        <w:t>lan</w:t>
      </w:r>
      <w:r w:rsidR="00327DC1" w:rsidRPr="00533E24">
        <w:t xml:space="preserve">, </w:t>
      </w:r>
      <w:r w:rsidR="00327DC1" w:rsidRPr="00533E24">
        <w:rPr>
          <w:rStyle w:val="Heading2Char"/>
          <w:b/>
          <w:bCs/>
        </w:rPr>
        <w:t>Ongoing Public Input</w:t>
      </w:r>
    </w:p>
    <w:p w14:paraId="612E9091" w14:textId="77777777" w:rsidR="00327DC1" w:rsidRPr="00B11E60" w:rsidRDefault="00327DC1" w:rsidP="00327DC1">
      <w:pPr>
        <w:rPr>
          <w:rFonts w:cs="Arial"/>
        </w:rPr>
      </w:pPr>
      <w:r w:rsidRPr="00B11E60">
        <w:rPr>
          <w:rFonts w:cs="Arial"/>
        </w:rPr>
        <w:t>MassHealth and the waiver-operating agencies are committed to transparency during both the planning phase and the implementation phase of the State</w:t>
      </w:r>
      <w:r w:rsidR="00B14E7C">
        <w:rPr>
          <w:rFonts w:cs="Arial"/>
        </w:rPr>
        <w:t>wide</w:t>
      </w:r>
      <w:r w:rsidRPr="00B11E60">
        <w:rPr>
          <w:rFonts w:cs="Arial"/>
        </w:rPr>
        <w:t xml:space="preserve"> Transition Plan</w:t>
      </w:r>
      <w:r w:rsidR="00B14E7C">
        <w:rPr>
          <w:rFonts w:cs="Arial"/>
        </w:rPr>
        <w:t xml:space="preserve"> (STP)</w:t>
      </w:r>
      <w:r w:rsidRPr="00B11E60">
        <w:rPr>
          <w:rFonts w:cs="Arial"/>
        </w:rPr>
        <w:t xml:space="preserve"> to comply with the HCBS </w:t>
      </w:r>
      <w:r w:rsidR="002E6451">
        <w:rPr>
          <w:rFonts w:cs="Arial"/>
        </w:rPr>
        <w:t>Community Rule</w:t>
      </w:r>
      <w:r w:rsidRPr="00B11E60">
        <w:rPr>
          <w:rFonts w:cs="Arial"/>
        </w:rPr>
        <w:t xml:space="preserve">. Once finalized, implementation of the plan and its various components will be subject to periodic updates with stakeholders to gather continued feedback and keep stakeholders apprised of progress toward implementation of the plan. If, </w:t>
      </w:r>
      <w:proofErr w:type="gramStart"/>
      <w:r w:rsidRPr="00B11E60">
        <w:rPr>
          <w:rFonts w:cs="Arial"/>
        </w:rPr>
        <w:t>in the course of</w:t>
      </w:r>
      <w:proofErr w:type="gramEnd"/>
      <w:r w:rsidRPr="00B11E60">
        <w:rPr>
          <w:rFonts w:cs="Arial"/>
        </w:rPr>
        <w:t xml:space="preserve"> monitoring activities, MassHealth and/or the waiver-operating agencies determine substantive changes to the </w:t>
      </w:r>
      <w:r w:rsidR="00B14E7C">
        <w:rPr>
          <w:rFonts w:cs="Arial"/>
        </w:rPr>
        <w:t>STP</w:t>
      </w:r>
      <w:r w:rsidRPr="00B11E60">
        <w:rPr>
          <w:rFonts w:cs="Arial"/>
        </w:rPr>
        <w:t xml:space="preserve"> are necessary, we will engage in public input activities including:</w:t>
      </w:r>
    </w:p>
    <w:p w14:paraId="526D0149" w14:textId="77777777" w:rsidR="00327DC1" w:rsidRPr="00B11E60" w:rsidRDefault="00327DC1" w:rsidP="004427AF">
      <w:pPr>
        <w:pStyle w:val="ListParagraph"/>
        <w:numPr>
          <w:ilvl w:val="0"/>
          <w:numId w:val="9"/>
        </w:numPr>
        <w:rPr>
          <w:rFonts w:cs="Arial"/>
        </w:rPr>
      </w:pPr>
      <w:r w:rsidRPr="00B11E60">
        <w:rPr>
          <w:rFonts w:cs="Arial"/>
        </w:rPr>
        <w:t xml:space="preserve">Publication of draft plan for 30 days with the opportunity for comments to be submitted by email or regular </w:t>
      </w:r>
      <w:proofErr w:type="gramStart"/>
      <w:r w:rsidRPr="00B11E60">
        <w:rPr>
          <w:rFonts w:cs="Arial"/>
        </w:rPr>
        <w:t>mail;</w:t>
      </w:r>
      <w:proofErr w:type="gramEnd"/>
    </w:p>
    <w:p w14:paraId="3AD73BF7" w14:textId="77777777" w:rsidR="00327DC1" w:rsidRPr="00B11E60" w:rsidRDefault="00327DC1" w:rsidP="004427AF">
      <w:pPr>
        <w:pStyle w:val="ListParagraph"/>
        <w:numPr>
          <w:ilvl w:val="0"/>
          <w:numId w:val="9"/>
        </w:numPr>
        <w:rPr>
          <w:rFonts w:cs="Arial"/>
        </w:rPr>
      </w:pPr>
      <w:r w:rsidRPr="00B11E60">
        <w:rPr>
          <w:rFonts w:cs="Arial"/>
        </w:rPr>
        <w:t>Public forums; and</w:t>
      </w:r>
    </w:p>
    <w:p w14:paraId="6E244287" w14:textId="77777777" w:rsidR="00327DC1" w:rsidRPr="00B11E60" w:rsidRDefault="00327DC1" w:rsidP="004427AF">
      <w:pPr>
        <w:pStyle w:val="ListParagraph"/>
        <w:numPr>
          <w:ilvl w:val="0"/>
          <w:numId w:val="9"/>
        </w:numPr>
        <w:rPr>
          <w:rFonts w:cs="Arial"/>
        </w:rPr>
      </w:pPr>
      <w:r w:rsidRPr="00B11E60">
        <w:rPr>
          <w:rFonts w:cs="Arial"/>
        </w:rPr>
        <w:t>Review and comment on all input received by email, mail and in the public forums.</w:t>
      </w:r>
    </w:p>
    <w:p w14:paraId="0019200B" w14:textId="77777777" w:rsidR="00327DC1" w:rsidRPr="00B11E60" w:rsidRDefault="00327DC1" w:rsidP="00327DC1">
      <w:pPr>
        <w:rPr>
          <w:rFonts w:cs="Arial"/>
        </w:rPr>
      </w:pPr>
      <w:r w:rsidRPr="00B11E60">
        <w:rPr>
          <w:rFonts w:cs="Arial"/>
        </w:rPr>
        <w:t>MassHealth will collaborate with the waiver-operating agencies as described below to engage stakeholders throughout implementation of the STP.</w:t>
      </w:r>
    </w:p>
    <w:p w14:paraId="5EEF0828" w14:textId="77777777" w:rsidR="00327DC1" w:rsidRPr="00144BE9" w:rsidRDefault="00327DC1" w:rsidP="00144BE9">
      <w:pPr>
        <w:pStyle w:val="Heading2"/>
        <w:spacing w:before="240"/>
        <w:rPr>
          <w:sz w:val="26"/>
          <w:szCs w:val="26"/>
        </w:rPr>
      </w:pPr>
      <w:r w:rsidRPr="00144BE9">
        <w:rPr>
          <w:sz w:val="26"/>
          <w:szCs w:val="26"/>
        </w:rPr>
        <w:t xml:space="preserve">Department of Developmental </w:t>
      </w:r>
      <w:r w:rsidR="00F5475C" w:rsidRPr="00144BE9">
        <w:rPr>
          <w:sz w:val="26"/>
          <w:szCs w:val="26"/>
        </w:rPr>
        <w:t>Services</w:t>
      </w:r>
      <w:r w:rsidRPr="00144BE9">
        <w:rPr>
          <w:sz w:val="26"/>
          <w:szCs w:val="26"/>
        </w:rPr>
        <w:t xml:space="preserve"> (DDS)</w:t>
      </w:r>
    </w:p>
    <w:p w14:paraId="1318CF49" w14:textId="5E4C4089" w:rsidR="00327DC1" w:rsidRPr="00B11E60" w:rsidRDefault="00327DC1" w:rsidP="00327DC1">
      <w:pPr>
        <w:rPr>
          <w:rFonts w:cs="Arial"/>
        </w:rPr>
      </w:pPr>
      <w:r w:rsidRPr="44EB0133">
        <w:rPr>
          <w:rFonts w:cs="Arial"/>
        </w:rPr>
        <w:t xml:space="preserve">Information and updates on the implementation of the </w:t>
      </w:r>
      <w:r w:rsidR="00A22B32" w:rsidRPr="44EB0133">
        <w:rPr>
          <w:rFonts w:cs="Arial"/>
        </w:rPr>
        <w:t>STP</w:t>
      </w:r>
      <w:r w:rsidRPr="44EB0133">
        <w:rPr>
          <w:rFonts w:cs="Arial"/>
        </w:rPr>
        <w:t xml:space="preserve"> will be posted on the DDS website. In addition, updates will be provided to DDS’ Statewide Advisory Council, the Statewide Quality Council and other stakeholder groups </w:t>
      </w:r>
      <w:r w:rsidR="00792696">
        <w:rPr>
          <w:rFonts w:cs="Arial"/>
        </w:rPr>
        <w:t xml:space="preserve">as </w:t>
      </w:r>
      <w:r w:rsidR="005912EB">
        <w:rPr>
          <w:rFonts w:cs="Arial"/>
        </w:rPr>
        <w:t>appropriate</w:t>
      </w:r>
      <w:r w:rsidRPr="44EB0133">
        <w:rPr>
          <w:rFonts w:cs="Arial"/>
        </w:rPr>
        <w:t>. These groups will include but not be limited to Arc/Massachusetts, Massachusetts Advocates Standing Strong, the Massachusetts Developmental Disabilities Council, The Disability Law Center, the Brain Injury Association of Massachusetts, Massachusetts Families Organizing for Change, and The Association of Developmental Disability Providers. Thus, individuals and families receiving services, self-</w:t>
      </w:r>
      <w:r w:rsidRPr="44EB0133">
        <w:rPr>
          <w:rFonts w:cs="Arial"/>
        </w:rPr>
        <w:lastRenderedPageBreak/>
        <w:t>advocates, potential recipients of services and providers will be made aware of progress towards compliance.</w:t>
      </w:r>
    </w:p>
    <w:p w14:paraId="39D4E216" w14:textId="77777777" w:rsidR="00327DC1" w:rsidRPr="00144BE9" w:rsidRDefault="00327DC1" w:rsidP="00144BE9">
      <w:pPr>
        <w:pStyle w:val="Heading2"/>
        <w:spacing w:before="240"/>
        <w:rPr>
          <w:sz w:val="26"/>
          <w:szCs w:val="26"/>
        </w:rPr>
      </w:pPr>
      <w:r w:rsidRPr="00144BE9">
        <w:rPr>
          <w:sz w:val="26"/>
          <w:szCs w:val="26"/>
        </w:rPr>
        <w:t>Massachusetts Rehabilitation Commission (MRC)</w:t>
      </w:r>
    </w:p>
    <w:p w14:paraId="36F2332B" w14:textId="77777777" w:rsidR="00327DC1" w:rsidRPr="00B11E60" w:rsidRDefault="00327DC1" w:rsidP="00327DC1">
      <w:pPr>
        <w:rPr>
          <w:rFonts w:cs="Arial"/>
        </w:rPr>
      </w:pPr>
      <w:r w:rsidRPr="00B11E60">
        <w:rPr>
          <w:rFonts w:cs="Arial"/>
        </w:rPr>
        <w:t xml:space="preserve">MRC’s implementation of the finalized </w:t>
      </w:r>
      <w:r w:rsidR="00A22B32">
        <w:rPr>
          <w:rFonts w:cs="Arial"/>
        </w:rPr>
        <w:t>STP</w:t>
      </w:r>
      <w:r w:rsidRPr="00B11E60">
        <w:rPr>
          <w:rFonts w:cs="Arial"/>
        </w:rPr>
        <w:t xml:space="preserve"> will be subject to periodic updates with stakeholders to gather continued feedback and keep stakeholders apprised of progress toward full implementation. Stakeholders </w:t>
      </w:r>
      <w:r w:rsidR="00A22B32">
        <w:rPr>
          <w:rFonts w:cs="Arial"/>
        </w:rPr>
        <w:t xml:space="preserve">will </w:t>
      </w:r>
      <w:r w:rsidRPr="00B11E60">
        <w:rPr>
          <w:rFonts w:cs="Arial"/>
        </w:rPr>
        <w:t xml:space="preserve">include the DDS stakeholders listed above, as well as the Brain Injury Association of Massachusetts and the MFP/ABI/TBI Stakeholders Advisory Committee.  </w:t>
      </w:r>
    </w:p>
    <w:p w14:paraId="04A1D5E9" w14:textId="77777777" w:rsidR="00327DC1" w:rsidRPr="00144BE9" w:rsidRDefault="00327DC1" w:rsidP="008E7527">
      <w:pPr>
        <w:pStyle w:val="Heading2"/>
        <w:rPr>
          <w:sz w:val="26"/>
          <w:szCs w:val="26"/>
        </w:rPr>
      </w:pPr>
      <w:r w:rsidRPr="00144BE9">
        <w:rPr>
          <w:sz w:val="26"/>
          <w:szCs w:val="26"/>
        </w:rPr>
        <w:t>Executive Office of Elder Affairs (EOEA)</w:t>
      </w:r>
    </w:p>
    <w:p w14:paraId="4F980497" w14:textId="51210740" w:rsidR="00327DC1" w:rsidRDefault="00327DC1" w:rsidP="00327DC1">
      <w:pPr>
        <w:rPr>
          <w:rFonts w:cs="Arial"/>
        </w:rPr>
      </w:pPr>
      <w:r w:rsidRPr="00B11E60">
        <w:rPr>
          <w:rFonts w:cs="Arial"/>
        </w:rPr>
        <w:t xml:space="preserve">EOEA’s implementation of the finalized </w:t>
      </w:r>
      <w:r w:rsidR="00A22B32">
        <w:rPr>
          <w:rFonts w:cs="Arial"/>
        </w:rPr>
        <w:t>STP</w:t>
      </w:r>
      <w:r w:rsidRPr="00B11E60">
        <w:rPr>
          <w:rFonts w:cs="Arial"/>
        </w:rPr>
        <w:t xml:space="preserve"> will be subject to periodic updates with stakeholders to gather continued feedback and keep stakeholders apprised of progress toward full implementation. Stakeholders will include those listed above, as well as the Massachusetts Association of Older Americans, AARP, Councils on Aging, the EOEA Advisory Committee, and others.</w:t>
      </w:r>
    </w:p>
    <w:p w14:paraId="7B1FF2CB" w14:textId="77777777" w:rsidR="006F5BEC" w:rsidRDefault="006F5BEC" w:rsidP="00327DC1">
      <w:pPr>
        <w:rPr>
          <w:rFonts w:cs="Arial"/>
        </w:rPr>
      </w:pPr>
    </w:p>
    <w:p w14:paraId="15F4F07F" w14:textId="77777777" w:rsidR="00327DC1" w:rsidRDefault="00327DC1" w:rsidP="00327DC1">
      <w:pPr>
        <w:rPr>
          <w:rFonts w:cs="Arial"/>
        </w:rPr>
        <w:sectPr w:rsidR="00327DC1">
          <w:headerReference w:type="default" r:id="rId22"/>
          <w:headerReference w:type="first" r:id="rId23"/>
          <w:footerReference w:type="first" r:id="rId24"/>
          <w:pgSz w:w="12240" w:h="15840"/>
          <w:pgMar w:top="1440" w:right="1440" w:bottom="1440" w:left="1440" w:header="720" w:footer="720" w:gutter="0"/>
          <w:cols w:space="720"/>
          <w:docGrid w:linePitch="360"/>
        </w:sectPr>
      </w:pPr>
    </w:p>
    <w:p w14:paraId="70BAF13B" w14:textId="788F440F" w:rsidR="00CD467B" w:rsidRDefault="00D635A3" w:rsidP="00144BE9">
      <w:pPr>
        <w:pStyle w:val="Heading2"/>
      </w:pPr>
      <w:r w:rsidRPr="008469E7">
        <w:lastRenderedPageBreak/>
        <w:t>Table 1. Regulatory Crosswalk</w:t>
      </w:r>
    </w:p>
    <w:p w14:paraId="2B32E38B" w14:textId="193BDC63" w:rsidR="00C91CFB" w:rsidRPr="00144BE9" w:rsidRDefault="009D0499" w:rsidP="00144BE9">
      <w:pPr>
        <w:pStyle w:val="Heading3"/>
        <w:rPr>
          <w:sz w:val="26"/>
          <w:szCs w:val="26"/>
        </w:rPr>
      </w:pPr>
      <w:bookmarkStart w:id="1" w:name="_Hlk120074408"/>
      <w:r w:rsidRPr="00144BE9">
        <w:rPr>
          <w:sz w:val="26"/>
          <w:szCs w:val="26"/>
        </w:rPr>
        <w:t xml:space="preserve">For Waivers Operated by the </w:t>
      </w:r>
      <w:r w:rsidR="00C91CFB" w:rsidRPr="00144BE9">
        <w:rPr>
          <w:sz w:val="26"/>
          <w:szCs w:val="26"/>
        </w:rPr>
        <w:t>Department of Developmental Services</w:t>
      </w:r>
    </w:p>
    <w:tbl>
      <w:tblPr>
        <w:tblStyle w:val="TableGrid"/>
        <w:tblW w:w="0" w:type="auto"/>
        <w:tblLook w:val="04A0" w:firstRow="1" w:lastRow="0" w:firstColumn="1" w:lastColumn="0" w:noHBand="0" w:noVBand="1"/>
      </w:tblPr>
      <w:tblGrid>
        <w:gridCol w:w="2847"/>
        <w:gridCol w:w="3739"/>
        <w:gridCol w:w="2483"/>
        <w:gridCol w:w="1577"/>
      </w:tblGrid>
      <w:tr w:rsidR="005911C9" w14:paraId="5D03A6D4" w14:textId="77777777" w:rsidTr="008408E8">
        <w:trPr>
          <w:cantSplit/>
          <w:tblHeader/>
        </w:trPr>
        <w:tc>
          <w:tcPr>
            <w:tcW w:w="2847" w:type="dxa"/>
            <w:shd w:val="clear" w:color="auto" w:fill="B8CCE4" w:themeFill="accent1" w:themeFillTint="66"/>
            <w:vAlign w:val="center"/>
          </w:tcPr>
          <w:p w14:paraId="6B456E90" w14:textId="5EC6FB56" w:rsidR="001F7291" w:rsidRPr="00302741" w:rsidRDefault="001F7291" w:rsidP="008408E8">
            <w:pPr>
              <w:tabs>
                <w:tab w:val="center" w:pos="4680"/>
                <w:tab w:val="right" w:pos="9360"/>
              </w:tabs>
              <w:jc w:val="center"/>
              <w:rPr>
                <w:rFonts w:cs="Arial"/>
                <w:b/>
                <w:sz w:val="24"/>
                <w:szCs w:val="24"/>
              </w:rPr>
            </w:pPr>
            <w:bookmarkStart w:id="2" w:name="_Hlk120001448"/>
            <w:bookmarkEnd w:id="1"/>
            <w:r w:rsidRPr="00302741">
              <w:rPr>
                <w:rFonts w:cs="Arial"/>
                <w:b/>
                <w:sz w:val="24"/>
                <w:szCs w:val="24"/>
              </w:rPr>
              <w:t>CMS</w:t>
            </w:r>
          </w:p>
          <w:p w14:paraId="44285F53" w14:textId="61AF7396" w:rsidR="001F7291" w:rsidRDefault="001F7291" w:rsidP="008408E8">
            <w:pPr>
              <w:jc w:val="center"/>
            </w:pPr>
            <w:r w:rsidRPr="00302741">
              <w:rPr>
                <w:rFonts w:cs="Arial"/>
                <w:b/>
                <w:sz w:val="24"/>
                <w:szCs w:val="24"/>
              </w:rPr>
              <w:t>Regulatory Citation</w:t>
            </w:r>
          </w:p>
        </w:tc>
        <w:tc>
          <w:tcPr>
            <w:tcW w:w="3739" w:type="dxa"/>
            <w:shd w:val="clear" w:color="auto" w:fill="B8CCE4" w:themeFill="accent1" w:themeFillTint="66"/>
            <w:vAlign w:val="center"/>
          </w:tcPr>
          <w:p w14:paraId="5BDDB922" w14:textId="738B2522" w:rsidR="001F7291" w:rsidRDefault="001F7291" w:rsidP="008408E8">
            <w:pPr>
              <w:jc w:val="center"/>
            </w:pPr>
            <w:r w:rsidRPr="00302741">
              <w:rPr>
                <w:rFonts w:cs="Arial"/>
                <w:b/>
                <w:sz w:val="24"/>
                <w:szCs w:val="24"/>
              </w:rPr>
              <w:t>Massachusetts Regulatory/</w:t>
            </w:r>
            <w:r>
              <w:rPr>
                <w:rFonts w:cs="Arial"/>
                <w:b/>
                <w:sz w:val="24"/>
                <w:szCs w:val="24"/>
              </w:rPr>
              <w:t xml:space="preserve"> </w:t>
            </w:r>
            <w:r w:rsidRPr="00302741">
              <w:rPr>
                <w:rFonts w:cs="Arial"/>
                <w:b/>
                <w:sz w:val="24"/>
                <w:szCs w:val="24"/>
              </w:rPr>
              <w:t>Policy/Practice/Citation</w:t>
            </w:r>
          </w:p>
        </w:tc>
        <w:tc>
          <w:tcPr>
            <w:tcW w:w="2483" w:type="dxa"/>
            <w:shd w:val="clear" w:color="auto" w:fill="B8CCE4" w:themeFill="accent1" w:themeFillTint="66"/>
            <w:vAlign w:val="center"/>
          </w:tcPr>
          <w:p w14:paraId="64144037" w14:textId="3E400FD8" w:rsidR="001F7291" w:rsidRDefault="001F7291" w:rsidP="008408E8">
            <w:pPr>
              <w:jc w:val="center"/>
            </w:pPr>
            <w:r w:rsidRPr="00302741">
              <w:rPr>
                <w:rFonts w:cs="Arial"/>
                <w:b/>
                <w:sz w:val="24"/>
                <w:szCs w:val="24"/>
              </w:rPr>
              <w:t>Compliance Status</w:t>
            </w:r>
          </w:p>
        </w:tc>
        <w:tc>
          <w:tcPr>
            <w:tcW w:w="1577" w:type="dxa"/>
            <w:shd w:val="clear" w:color="auto" w:fill="B8CCE4" w:themeFill="accent1" w:themeFillTint="66"/>
            <w:vAlign w:val="center"/>
          </w:tcPr>
          <w:p w14:paraId="77F06946" w14:textId="3C70807B" w:rsidR="001F7291" w:rsidRDefault="001F7291" w:rsidP="008408E8">
            <w:pPr>
              <w:jc w:val="center"/>
            </w:pPr>
            <w:r>
              <w:rPr>
                <w:rFonts w:cs="Arial"/>
                <w:b/>
                <w:sz w:val="24"/>
                <w:szCs w:val="24"/>
              </w:rPr>
              <w:t>Compl</w:t>
            </w:r>
            <w:r w:rsidR="00866453">
              <w:rPr>
                <w:rFonts w:cs="Arial"/>
                <w:b/>
                <w:sz w:val="24"/>
                <w:szCs w:val="24"/>
              </w:rPr>
              <w:t>iance</w:t>
            </w:r>
            <w:r>
              <w:rPr>
                <w:rFonts w:cs="Arial"/>
                <w:b/>
                <w:sz w:val="24"/>
                <w:szCs w:val="24"/>
              </w:rPr>
              <w:t xml:space="preserve"> Date</w:t>
            </w:r>
          </w:p>
        </w:tc>
      </w:tr>
      <w:tr w:rsidR="00C0165B" w14:paraId="21E763F3" w14:textId="77777777" w:rsidTr="008408E8">
        <w:trPr>
          <w:cantSplit/>
        </w:trPr>
        <w:tc>
          <w:tcPr>
            <w:tcW w:w="2847" w:type="dxa"/>
          </w:tcPr>
          <w:p w14:paraId="37312BE1" w14:textId="77777777" w:rsidR="001F7291" w:rsidRPr="00302741" w:rsidRDefault="001F7291" w:rsidP="008408E8">
            <w:pPr>
              <w:rPr>
                <w:rFonts w:cs="Arial"/>
                <w:b/>
                <w:bCs/>
              </w:rPr>
            </w:pPr>
            <w:r w:rsidRPr="00302741">
              <w:rPr>
                <w:rFonts w:cs="Arial"/>
                <w:b/>
                <w:bCs/>
              </w:rPr>
              <w:t>441.301(c)(4)(</w:t>
            </w:r>
            <w:proofErr w:type="spellStart"/>
            <w:r w:rsidRPr="00302741">
              <w:rPr>
                <w:rFonts w:cs="Arial"/>
                <w:b/>
                <w:bCs/>
              </w:rPr>
              <w:t>i</w:t>
            </w:r>
            <w:proofErr w:type="spellEnd"/>
            <w:r w:rsidRPr="00302741">
              <w:rPr>
                <w:rFonts w:cs="Arial"/>
                <w:b/>
                <w:bCs/>
              </w:rPr>
              <w:t xml:space="preserve">): </w:t>
            </w:r>
          </w:p>
          <w:p w14:paraId="07047608" w14:textId="746D34FF" w:rsidR="001F7291" w:rsidRDefault="001F7291" w:rsidP="008408E8">
            <w:r w:rsidRPr="00302741">
              <w:rPr>
                <w:rFonts w:cs="Arial"/>
              </w:rPr>
              <w:t>The setting is integrated in and supports full access to the community</w:t>
            </w:r>
          </w:p>
        </w:tc>
        <w:tc>
          <w:tcPr>
            <w:tcW w:w="3739" w:type="dxa"/>
          </w:tcPr>
          <w:p w14:paraId="361FD85B" w14:textId="77777777" w:rsidR="00696A4B" w:rsidRDefault="001F7291" w:rsidP="008408E8">
            <w:pPr>
              <w:tabs>
                <w:tab w:val="center" w:pos="4680"/>
                <w:tab w:val="right" w:pos="9360"/>
              </w:tabs>
            </w:pPr>
            <w:r w:rsidRPr="00302741">
              <w:rPr>
                <w:rFonts w:cs="Arial"/>
                <w:b/>
                <w:u w:val="single"/>
              </w:rPr>
              <w:t>MA.0826, MA.0827, MA.0828, MA.40701, MA.1028:</w:t>
            </w:r>
            <w:r w:rsidRPr="00302741">
              <w:rPr>
                <w:rFonts w:cs="Arial"/>
                <w:b/>
              </w:rPr>
              <w:br/>
            </w:r>
          </w:p>
          <w:p w14:paraId="1C9707CF" w14:textId="6C027A6F" w:rsidR="001F7291" w:rsidRPr="00302741" w:rsidRDefault="00B0344A" w:rsidP="008408E8">
            <w:pPr>
              <w:tabs>
                <w:tab w:val="center" w:pos="4680"/>
                <w:tab w:val="right" w:pos="9360"/>
              </w:tabs>
              <w:rPr>
                <w:rFonts w:cs="Arial"/>
              </w:rPr>
            </w:pPr>
            <w:hyperlink r:id="rId25" w:history="1">
              <w:r w:rsidR="001F7291" w:rsidRPr="00DB21D4">
                <w:rPr>
                  <w:rStyle w:val="Hyperlink"/>
                  <w:rFonts w:cs="Arial"/>
                </w:rPr>
                <w:t>115 CMR 7.04(1)</w:t>
              </w:r>
            </w:hyperlink>
            <w:r w:rsidR="001F7291" w:rsidRPr="00302741">
              <w:rPr>
                <w:rFonts w:cs="Arial"/>
                <w:b/>
              </w:rPr>
              <w:t xml:space="preserve"> </w:t>
            </w:r>
            <w:r w:rsidR="001F7291">
              <w:rPr>
                <w:rFonts w:cs="Arial"/>
              </w:rPr>
              <w:t>Standards for Services and Supports</w:t>
            </w:r>
          </w:p>
          <w:p w14:paraId="69135CB3" w14:textId="77777777" w:rsidR="001F7291" w:rsidRPr="00302741" w:rsidRDefault="001F7291" w:rsidP="008408E8">
            <w:pPr>
              <w:tabs>
                <w:tab w:val="center" w:pos="4680"/>
                <w:tab w:val="right" w:pos="9360"/>
              </w:tabs>
              <w:ind w:left="287"/>
              <w:rPr>
                <w:rFonts w:cs="Arial"/>
              </w:rPr>
            </w:pPr>
            <w:r>
              <w:rPr>
                <w:rFonts w:cs="Arial"/>
              </w:rPr>
              <w:t xml:space="preserve">a) Protection and Affirmation of </w:t>
            </w:r>
            <w:r w:rsidRPr="00302741">
              <w:rPr>
                <w:rFonts w:cs="Arial"/>
              </w:rPr>
              <w:t>Rights and Dignity</w:t>
            </w:r>
          </w:p>
          <w:p w14:paraId="26D82A54" w14:textId="77777777" w:rsidR="001F7291" w:rsidRPr="00302741" w:rsidRDefault="001F7291" w:rsidP="008408E8">
            <w:pPr>
              <w:tabs>
                <w:tab w:val="center" w:pos="4680"/>
                <w:tab w:val="right" w:pos="9360"/>
              </w:tabs>
              <w:ind w:left="287"/>
              <w:rPr>
                <w:rFonts w:cs="Arial"/>
              </w:rPr>
            </w:pPr>
            <w:r>
              <w:rPr>
                <w:rFonts w:cs="Arial"/>
              </w:rPr>
              <w:t xml:space="preserve">b) </w:t>
            </w:r>
            <w:r w:rsidRPr="00302741">
              <w:rPr>
                <w:rFonts w:cs="Arial"/>
              </w:rPr>
              <w:t xml:space="preserve">Individual </w:t>
            </w:r>
            <w:r>
              <w:rPr>
                <w:rFonts w:cs="Arial"/>
              </w:rPr>
              <w:t xml:space="preserve">Choice and </w:t>
            </w:r>
            <w:r w:rsidRPr="00302741">
              <w:rPr>
                <w:rFonts w:cs="Arial"/>
              </w:rPr>
              <w:t>Control</w:t>
            </w:r>
          </w:p>
          <w:p w14:paraId="4DDC9030" w14:textId="77777777" w:rsidR="001F7291" w:rsidRPr="00302741" w:rsidRDefault="001F7291" w:rsidP="008408E8">
            <w:pPr>
              <w:tabs>
                <w:tab w:val="center" w:pos="4680"/>
                <w:tab w:val="right" w:pos="9360"/>
              </w:tabs>
              <w:ind w:left="287"/>
              <w:rPr>
                <w:rFonts w:cs="Arial"/>
              </w:rPr>
            </w:pPr>
            <w:r>
              <w:rPr>
                <w:rFonts w:cs="Arial"/>
              </w:rPr>
              <w:t xml:space="preserve">c) </w:t>
            </w:r>
            <w:r w:rsidRPr="00302741">
              <w:rPr>
                <w:rFonts w:cs="Arial"/>
              </w:rPr>
              <w:t>Community Membership</w:t>
            </w:r>
          </w:p>
          <w:p w14:paraId="219459B5" w14:textId="77777777" w:rsidR="001F7291" w:rsidRPr="00302741" w:rsidRDefault="001F7291" w:rsidP="008408E8">
            <w:pPr>
              <w:tabs>
                <w:tab w:val="center" w:pos="4680"/>
                <w:tab w:val="right" w:pos="9360"/>
              </w:tabs>
              <w:ind w:left="287"/>
              <w:rPr>
                <w:rFonts w:cs="Arial"/>
              </w:rPr>
            </w:pPr>
            <w:r>
              <w:rPr>
                <w:rFonts w:cs="Arial"/>
              </w:rPr>
              <w:t xml:space="preserve">d) </w:t>
            </w:r>
            <w:r w:rsidRPr="00302741">
              <w:rPr>
                <w:rFonts w:cs="Arial"/>
              </w:rPr>
              <w:t>Relationships</w:t>
            </w:r>
          </w:p>
          <w:p w14:paraId="5342272E" w14:textId="77777777" w:rsidR="001F7291" w:rsidRPr="00302741" w:rsidRDefault="001F7291" w:rsidP="008408E8">
            <w:pPr>
              <w:tabs>
                <w:tab w:val="center" w:pos="4680"/>
                <w:tab w:val="right" w:pos="9360"/>
              </w:tabs>
              <w:ind w:left="287"/>
              <w:rPr>
                <w:rFonts w:cs="Arial"/>
              </w:rPr>
            </w:pPr>
            <w:r>
              <w:rPr>
                <w:rFonts w:cs="Arial"/>
              </w:rPr>
              <w:t>e) Skill Acquisition and Accomplishments</w:t>
            </w:r>
          </w:p>
          <w:p w14:paraId="2BE5F2EB" w14:textId="77777777" w:rsidR="001F7291" w:rsidRPr="00302741" w:rsidRDefault="001F7291" w:rsidP="008408E8">
            <w:pPr>
              <w:tabs>
                <w:tab w:val="center" w:pos="4680"/>
                <w:tab w:val="right" w:pos="9360"/>
              </w:tabs>
              <w:ind w:left="287"/>
              <w:rPr>
                <w:rFonts w:cs="Arial"/>
              </w:rPr>
            </w:pPr>
            <w:r>
              <w:rPr>
                <w:rFonts w:cs="Arial"/>
              </w:rPr>
              <w:t>f) Health, Safety, and Economic Security</w:t>
            </w:r>
          </w:p>
          <w:p w14:paraId="2FA4E7BB" w14:textId="77777777" w:rsidR="001F7291" w:rsidRPr="00302741" w:rsidRDefault="001F7291" w:rsidP="008408E8">
            <w:pPr>
              <w:tabs>
                <w:tab w:val="center" w:pos="4680"/>
                <w:tab w:val="right" w:pos="9360"/>
              </w:tabs>
              <w:ind w:left="360"/>
              <w:rPr>
                <w:rFonts w:cs="Arial"/>
              </w:rPr>
            </w:pPr>
          </w:p>
          <w:p w14:paraId="1B717E2E" w14:textId="77777777" w:rsidR="001F7291" w:rsidRDefault="00B0344A" w:rsidP="008408E8">
            <w:pPr>
              <w:rPr>
                <w:rStyle w:val="Hyperlink"/>
                <w:rFonts w:cs="Arial"/>
              </w:rPr>
            </w:pPr>
            <w:hyperlink r:id="rId26" w:history="1">
              <w:r w:rsidR="001F7291" w:rsidRPr="00E67C12">
                <w:rPr>
                  <w:rStyle w:val="Hyperlink"/>
                  <w:rFonts w:cs="Arial"/>
                </w:rPr>
                <w:t>Policy #2014-1-HCBS settings</w:t>
              </w:r>
            </w:hyperlink>
          </w:p>
          <w:p w14:paraId="5130C548" w14:textId="5564E9FD" w:rsidR="00696A4B" w:rsidRDefault="00696A4B" w:rsidP="008408E8"/>
        </w:tc>
        <w:tc>
          <w:tcPr>
            <w:tcW w:w="2483" w:type="dxa"/>
          </w:tcPr>
          <w:p w14:paraId="570D33B8" w14:textId="079B1CB4" w:rsidR="001F7291" w:rsidRDefault="001F7291" w:rsidP="008408E8">
            <w:r w:rsidRPr="00302741">
              <w:rPr>
                <w:rFonts w:cs="Arial"/>
                <w:b/>
              </w:rPr>
              <w:t>State standards are compliant with the HCBS Settings Rule.</w:t>
            </w:r>
            <w:r w:rsidRPr="00302741">
              <w:rPr>
                <w:rFonts w:cs="Arial"/>
              </w:rPr>
              <w:t xml:space="preserve"> To meet the requirements of the cited DDS regulations and policy instrument, a setting must be integrated in and support full access to the community. </w:t>
            </w:r>
          </w:p>
        </w:tc>
        <w:tc>
          <w:tcPr>
            <w:tcW w:w="1577" w:type="dxa"/>
          </w:tcPr>
          <w:p w14:paraId="57FAB8C9" w14:textId="77777777" w:rsidR="00C0165B" w:rsidRDefault="00C0165B" w:rsidP="008408E8">
            <w:pPr>
              <w:rPr>
                <w:b/>
                <w:bCs/>
              </w:rPr>
            </w:pPr>
            <w:r w:rsidRPr="006C48CB">
              <w:t>115 CMR 7 updated in</w:t>
            </w:r>
            <w:r>
              <w:rPr>
                <w:b/>
                <w:bCs/>
              </w:rPr>
              <w:t xml:space="preserve"> July 2016.</w:t>
            </w:r>
          </w:p>
          <w:p w14:paraId="42DA7587" w14:textId="77777777" w:rsidR="001F7291" w:rsidRDefault="001F7291" w:rsidP="008408E8">
            <w:pPr>
              <w:rPr>
                <w:rFonts w:cs="Arial"/>
                <w:b/>
              </w:rPr>
            </w:pPr>
          </w:p>
          <w:p w14:paraId="30860E82" w14:textId="20A64362" w:rsidR="00C0165B" w:rsidRDefault="00C0165B" w:rsidP="008408E8">
            <w:r>
              <w:t xml:space="preserve">HCBS settings policy published </w:t>
            </w:r>
            <w:r w:rsidRPr="00C0165B">
              <w:rPr>
                <w:b/>
                <w:bCs/>
              </w:rPr>
              <w:t>September 2014.</w:t>
            </w:r>
          </w:p>
        </w:tc>
      </w:tr>
      <w:tr w:rsidR="00C0165B" w14:paraId="27E123E2" w14:textId="77777777" w:rsidTr="008408E8">
        <w:trPr>
          <w:cantSplit/>
        </w:trPr>
        <w:tc>
          <w:tcPr>
            <w:tcW w:w="2847" w:type="dxa"/>
          </w:tcPr>
          <w:p w14:paraId="705F8328" w14:textId="77777777" w:rsidR="001F7291" w:rsidRPr="00302741" w:rsidRDefault="001F7291" w:rsidP="008408E8">
            <w:pPr>
              <w:rPr>
                <w:rFonts w:cs="Arial"/>
                <w:b/>
                <w:bCs/>
              </w:rPr>
            </w:pPr>
            <w:r w:rsidRPr="00302741">
              <w:rPr>
                <w:rFonts w:cs="Arial"/>
                <w:b/>
                <w:bCs/>
              </w:rPr>
              <w:t xml:space="preserve">441.301(c)(4)(ii): </w:t>
            </w:r>
          </w:p>
          <w:p w14:paraId="018BFE50" w14:textId="1B37852D" w:rsidR="001F7291" w:rsidRDefault="001F7291" w:rsidP="008408E8">
            <w:r w:rsidRPr="00302741">
              <w:rPr>
                <w:rFonts w:cs="Arial"/>
              </w:rPr>
              <w:t>The setting is selected by the indivi</w:t>
            </w:r>
            <w:r>
              <w:rPr>
                <w:rFonts w:cs="Arial"/>
              </w:rPr>
              <w:t>dual from among setting options</w:t>
            </w:r>
            <w:r w:rsidRPr="00302741">
              <w:rPr>
                <w:rFonts w:cs="Arial"/>
                <w:b/>
                <w:bCs/>
              </w:rPr>
              <w:t> </w:t>
            </w:r>
          </w:p>
        </w:tc>
        <w:tc>
          <w:tcPr>
            <w:tcW w:w="3739" w:type="dxa"/>
          </w:tcPr>
          <w:p w14:paraId="3BFCDBB3"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 MA.40701, MA.1028:</w:t>
            </w:r>
          </w:p>
          <w:p w14:paraId="08C38EDB" w14:textId="77777777" w:rsidR="00696A4B" w:rsidRDefault="00696A4B" w:rsidP="008408E8">
            <w:pPr>
              <w:tabs>
                <w:tab w:val="center" w:pos="4680"/>
                <w:tab w:val="right" w:pos="9360"/>
              </w:tabs>
            </w:pPr>
          </w:p>
          <w:p w14:paraId="6E853F63" w14:textId="7EBBE16A" w:rsidR="001F7291" w:rsidRPr="00302741" w:rsidRDefault="00B0344A" w:rsidP="008408E8">
            <w:pPr>
              <w:tabs>
                <w:tab w:val="center" w:pos="4680"/>
                <w:tab w:val="right" w:pos="9360"/>
              </w:tabs>
              <w:rPr>
                <w:rFonts w:cs="Arial"/>
                <w:b/>
              </w:rPr>
            </w:pPr>
            <w:hyperlink r:id="rId27" w:history="1">
              <w:r w:rsidR="001F7291" w:rsidRPr="00D27B83">
                <w:rPr>
                  <w:rStyle w:val="Hyperlink"/>
                  <w:rFonts w:cs="Arial"/>
                </w:rPr>
                <w:t>115 CMR 7.04(1)(b)</w:t>
              </w:r>
            </w:hyperlink>
            <w:r w:rsidR="001F7291" w:rsidRPr="00302741">
              <w:rPr>
                <w:rFonts w:cs="Arial"/>
                <w:b/>
              </w:rPr>
              <w:t xml:space="preserve"> </w:t>
            </w:r>
            <w:r w:rsidR="001F7291" w:rsidRPr="00302741">
              <w:rPr>
                <w:rFonts w:cs="Arial"/>
              </w:rPr>
              <w:t xml:space="preserve">Individual </w:t>
            </w:r>
            <w:r w:rsidR="001F7291">
              <w:rPr>
                <w:rFonts w:cs="Arial"/>
              </w:rPr>
              <w:t xml:space="preserve">Choice and </w:t>
            </w:r>
            <w:r w:rsidR="001F7291" w:rsidRPr="00302741">
              <w:rPr>
                <w:rFonts w:cs="Arial"/>
              </w:rPr>
              <w:t>Control</w:t>
            </w:r>
          </w:p>
          <w:p w14:paraId="08DD9F3F" w14:textId="77777777" w:rsidR="001F7291" w:rsidRPr="00302741" w:rsidRDefault="001F7291" w:rsidP="008408E8">
            <w:pPr>
              <w:tabs>
                <w:tab w:val="center" w:pos="4680"/>
                <w:tab w:val="right" w:pos="9360"/>
              </w:tabs>
              <w:rPr>
                <w:rFonts w:cs="Arial"/>
                <w:b/>
              </w:rPr>
            </w:pPr>
          </w:p>
          <w:p w14:paraId="3932E51E"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w:t>
            </w:r>
          </w:p>
          <w:p w14:paraId="6F42FF1D" w14:textId="77777777" w:rsidR="00696A4B" w:rsidRDefault="00696A4B" w:rsidP="008408E8">
            <w:pPr>
              <w:tabs>
                <w:tab w:val="center" w:pos="4680"/>
                <w:tab w:val="right" w:pos="9360"/>
              </w:tabs>
            </w:pPr>
          </w:p>
          <w:p w14:paraId="708C7056" w14:textId="514C1809" w:rsidR="001F7291" w:rsidRPr="00302741" w:rsidRDefault="00B0344A" w:rsidP="008408E8">
            <w:pPr>
              <w:tabs>
                <w:tab w:val="center" w:pos="4680"/>
                <w:tab w:val="right" w:pos="9360"/>
              </w:tabs>
              <w:rPr>
                <w:rFonts w:cs="Arial"/>
              </w:rPr>
            </w:pPr>
            <w:hyperlink r:id="rId28" w:history="1">
              <w:r w:rsidR="001F7291" w:rsidRPr="006A7B7F">
                <w:rPr>
                  <w:rStyle w:val="Hyperlink"/>
                  <w:rFonts w:cs="Arial"/>
                </w:rPr>
                <w:t>115 CMR 6.20(2)(a)(3)</w:t>
              </w:r>
            </w:hyperlink>
            <w:r w:rsidR="001F7291" w:rsidRPr="2FD410C2">
              <w:rPr>
                <w:rFonts w:cs="Arial"/>
                <w:b/>
                <w:bCs/>
              </w:rPr>
              <w:t xml:space="preserve"> </w:t>
            </w:r>
            <w:r w:rsidR="001F7291" w:rsidRPr="2FD410C2">
              <w:rPr>
                <w:rFonts w:cs="Arial"/>
              </w:rPr>
              <w:t xml:space="preserve">Principles Governing Individual Support </w:t>
            </w:r>
            <w:r w:rsidR="001F7291" w:rsidRPr="703E8FEB">
              <w:rPr>
                <w:rFonts w:cs="Arial"/>
              </w:rPr>
              <w:t>Planning</w:t>
            </w:r>
            <w:r w:rsidR="001F7291" w:rsidRPr="2FD410C2">
              <w:rPr>
                <w:rFonts w:cs="Arial"/>
              </w:rPr>
              <w:t xml:space="preserve"> (self-determination) </w:t>
            </w:r>
          </w:p>
          <w:p w14:paraId="56BE752C" w14:textId="77777777" w:rsidR="001F7291" w:rsidRPr="00302741" w:rsidRDefault="001F7291" w:rsidP="008408E8">
            <w:pPr>
              <w:tabs>
                <w:tab w:val="center" w:pos="4680"/>
                <w:tab w:val="right" w:pos="9360"/>
              </w:tabs>
              <w:rPr>
                <w:rFonts w:cs="Arial"/>
              </w:rPr>
            </w:pPr>
          </w:p>
          <w:p w14:paraId="63A20268" w14:textId="77777777" w:rsidR="001F7291" w:rsidRPr="00302741" w:rsidRDefault="001F7291" w:rsidP="008408E8">
            <w:pPr>
              <w:tabs>
                <w:tab w:val="center" w:pos="4680"/>
                <w:tab w:val="right" w:pos="9360"/>
              </w:tabs>
              <w:rPr>
                <w:rFonts w:cs="Arial"/>
              </w:rPr>
            </w:pPr>
            <w:r w:rsidRPr="00302741">
              <w:rPr>
                <w:rFonts w:cs="Arial"/>
                <w:b/>
                <w:u w:val="single"/>
              </w:rPr>
              <w:t>MA.40701, MA.1028:</w:t>
            </w:r>
          </w:p>
          <w:p w14:paraId="124742BE" w14:textId="77777777" w:rsidR="00696A4B" w:rsidRDefault="00696A4B" w:rsidP="008408E8"/>
          <w:p w14:paraId="72A7E90C" w14:textId="7841E050" w:rsidR="001F7291" w:rsidRDefault="00B0344A" w:rsidP="008408E8">
            <w:hyperlink r:id="rId29" w:history="1">
              <w:r w:rsidR="001F7291" w:rsidRPr="001256D2">
                <w:rPr>
                  <w:rStyle w:val="Hyperlink"/>
                  <w:rFonts w:cs="Arial"/>
                </w:rPr>
                <w:t>ABI/MFP policy manual</w:t>
              </w:r>
            </w:hyperlink>
            <w:r w:rsidR="001F7291" w:rsidRPr="00302741">
              <w:rPr>
                <w:rFonts w:cs="Arial"/>
              </w:rPr>
              <w:t xml:space="preserve"> and </w:t>
            </w:r>
            <w:hyperlink r:id="rId30" w:history="1">
              <w:r w:rsidR="001F7291" w:rsidRPr="00C36397">
                <w:rPr>
                  <w:rStyle w:val="Hyperlink"/>
                  <w:rFonts w:cs="Arial"/>
                </w:rPr>
                <w:t>member handbook</w:t>
              </w:r>
            </w:hyperlink>
          </w:p>
        </w:tc>
        <w:tc>
          <w:tcPr>
            <w:tcW w:w="2483" w:type="dxa"/>
          </w:tcPr>
          <w:p w14:paraId="03E504CE" w14:textId="77777777" w:rsidR="001F7291" w:rsidRPr="00302741" w:rsidRDefault="001F7291" w:rsidP="008408E8">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establish the right of the individual exercise control and choice in all aspects of life, a fundamental aspect of which is choice of where to reside. State standards </w:t>
            </w:r>
            <w:r>
              <w:rPr>
                <w:rFonts w:cs="Arial"/>
              </w:rPr>
              <w:t>were strengthened further</w:t>
            </w:r>
            <w:r w:rsidRPr="00302741">
              <w:rPr>
                <w:rFonts w:cs="Arial"/>
              </w:rPr>
              <w:t xml:space="preserve"> through issuance of a policy manual and member handbook</w:t>
            </w:r>
            <w:r>
              <w:rPr>
                <w:rFonts w:cs="Arial"/>
              </w:rPr>
              <w:t xml:space="preserve"> </w:t>
            </w:r>
            <w:r w:rsidRPr="00302741">
              <w:rPr>
                <w:rFonts w:cs="Arial"/>
              </w:rPr>
              <w:t>for MA.40701 and MA.</w:t>
            </w:r>
            <w:proofErr w:type="gramStart"/>
            <w:r w:rsidRPr="00302741">
              <w:rPr>
                <w:rFonts w:cs="Arial"/>
              </w:rPr>
              <w:t>1028</w:t>
            </w:r>
            <w:r>
              <w:rPr>
                <w:rFonts w:cs="Arial"/>
              </w:rPr>
              <w:t xml:space="preserve"> .</w:t>
            </w:r>
            <w:proofErr w:type="gramEnd"/>
          </w:p>
          <w:p w14:paraId="2EA47516" w14:textId="77777777" w:rsidR="001F7291" w:rsidRDefault="001F7291" w:rsidP="008408E8"/>
        </w:tc>
        <w:tc>
          <w:tcPr>
            <w:tcW w:w="1577" w:type="dxa"/>
          </w:tcPr>
          <w:p w14:paraId="50589DC0" w14:textId="77777777" w:rsidR="00C0165B" w:rsidRDefault="00C0165B" w:rsidP="008408E8">
            <w:pPr>
              <w:rPr>
                <w:b/>
                <w:bCs/>
              </w:rPr>
            </w:pPr>
            <w:r w:rsidRPr="006C48CB">
              <w:t>115 CMR 7 updated in</w:t>
            </w:r>
            <w:r>
              <w:rPr>
                <w:b/>
                <w:bCs/>
              </w:rPr>
              <w:t xml:space="preserve"> July 2016.</w:t>
            </w:r>
          </w:p>
          <w:p w14:paraId="3612E5A3" w14:textId="77777777" w:rsidR="00C0165B" w:rsidRDefault="00C0165B" w:rsidP="008408E8">
            <w:pPr>
              <w:rPr>
                <w:rFonts w:cs="Arial"/>
                <w:b/>
              </w:rPr>
            </w:pPr>
          </w:p>
          <w:p w14:paraId="4DF91C44" w14:textId="77777777" w:rsidR="00C0165B" w:rsidRDefault="00C0165B" w:rsidP="008408E8">
            <w:r>
              <w:t xml:space="preserve">115 CMR 6 updated in </w:t>
            </w:r>
            <w:r w:rsidRPr="00C0165B">
              <w:rPr>
                <w:b/>
                <w:bCs/>
              </w:rPr>
              <w:t>August 2016.</w:t>
            </w:r>
            <w:r>
              <w:t xml:space="preserve"> </w:t>
            </w:r>
          </w:p>
          <w:p w14:paraId="419D732F" w14:textId="77777777" w:rsidR="00C0165B" w:rsidRDefault="00C0165B" w:rsidP="008408E8">
            <w:pPr>
              <w:rPr>
                <w:rFonts w:cs="Arial"/>
                <w:b/>
              </w:rPr>
            </w:pPr>
          </w:p>
          <w:p w14:paraId="451C6368" w14:textId="77777777" w:rsidR="00497F99" w:rsidRDefault="00C0165B" w:rsidP="008408E8">
            <w:r>
              <w:t xml:space="preserve">Policy manual </w:t>
            </w:r>
            <w:r w:rsidR="00497F99">
              <w:t xml:space="preserve">updated in December 2016. </w:t>
            </w:r>
          </w:p>
          <w:p w14:paraId="38D6CC52" w14:textId="77777777" w:rsidR="00802EE0" w:rsidRDefault="00802EE0" w:rsidP="008408E8"/>
          <w:p w14:paraId="762C9871" w14:textId="143973A1" w:rsidR="001F7291" w:rsidRDefault="00802EE0" w:rsidP="008408E8">
            <w:pPr>
              <w:rPr>
                <w:b/>
              </w:rPr>
            </w:pPr>
            <w:r>
              <w:t>Member</w:t>
            </w:r>
            <w:r w:rsidR="0075090F">
              <w:t xml:space="preserve"> </w:t>
            </w:r>
            <w:r w:rsidR="00C0165B">
              <w:t xml:space="preserve">handbook </w:t>
            </w:r>
            <w:r>
              <w:t xml:space="preserve">updated in </w:t>
            </w:r>
            <w:r w:rsidR="006C4790">
              <w:t xml:space="preserve">August 2019. </w:t>
            </w:r>
          </w:p>
        </w:tc>
      </w:tr>
      <w:tr w:rsidR="00C0165B" w14:paraId="1065169F" w14:textId="77777777" w:rsidTr="008408E8">
        <w:trPr>
          <w:cantSplit/>
        </w:trPr>
        <w:tc>
          <w:tcPr>
            <w:tcW w:w="2847" w:type="dxa"/>
          </w:tcPr>
          <w:p w14:paraId="1CF01D78" w14:textId="77777777" w:rsidR="001F7291" w:rsidRPr="00302741" w:rsidRDefault="001F7291" w:rsidP="008408E8">
            <w:pPr>
              <w:rPr>
                <w:rFonts w:cs="Arial"/>
              </w:rPr>
            </w:pPr>
            <w:r w:rsidRPr="00302741">
              <w:rPr>
                <w:rFonts w:cs="Arial"/>
                <w:b/>
                <w:bCs/>
              </w:rPr>
              <w:lastRenderedPageBreak/>
              <w:t>441.301(c)(4)(iii):</w:t>
            </w:r>
            <w:r w:rsidRPr="00302741">
              <w:rPr>
                <w:rFonts w:cs="Arial"/>
              </w:rPr>
              <w:t xml:space="preserve"> </w:t>
            </w:r>
          </w:p>
          <w:p w14:paraId="5048F7AC" w14:textId="42A74110" w:rsidR="001F7291" w:rsidRDefault="001F7291" w:rsidP="008408E8">
            <w:r w:rsidRPr="00302741">
              <w:rPr>
                <w:rFonts w:cs="Arial"/>
              </w:rPr>
              <w:t xml:space="preserve">Privacy, dignity, respect, freedom from coercion and restraint </w:t>
            </w:r>
          </w:p>
        </w:tc>
        <w:tc>
          <w:tcPr>
            <w:tcW w:w="3739" w:type="dxa"/>
          </w:tcPr>
          <w:p w14:paraId="2577CCB2"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 MA.40701, MA.1028:</w:t>
            </w:r>
          </w:p>
          <w:p w14:paraId="4C186DD7" w14:textId="77777777" w:rsidR="00696A4B" w:rsidRDefault="00696A4B" w:rsidP="008408E8">
            <w:pPr>
              <w:tabs>
                <w:tab w:val="center" w:pos="4680"/>
                <w:tab w:val="right" w:pos="9360"/>
              </w:tabs>
            </w:pPr>
          </w:p>
          <w:p w14:paraId="7FF47FE2" w14:textId="52D8393B" w:rsidR="001F7291" w:rsidRPr="00302741" w:rsidRDefault="00B0344A" w:rsidP="008408E8">
            <w:pPr>
              <w:tabs>
                <w:tab w:val="center" w:pos="4680"/>
                <w:tab w:val="right" w:pos="9360"/>
              </w:tabs>
              <w:rPr>
                <w:rFonts w:cs="Arial"/>
                <w:b/>
                <w:u w:val="single"/>
              </w:rPr>
            </w:pPr>
            <w:hyperlink r:id="rId31" w:history="1">
              <w:r w:rsidR="001F7291" w:rsidRPr="009F5522">
                <w:rPr>
                  <w:rStyle w:val="Hyperlink"/>
                </w:rPr>
                <w:t>115 CMR 7.04</w:t>
              </w:r>
            </w:hyperlink>
            <w:r w:rsidR="001F7291" w:rsidRPr="00302741">
              <w:rPr>
                <w:rFonts w:cs="Arial"/>
                <w:b/>
              </w:rPr>
              <w:t xml:space="preserve"> </w:t>
            </w:r>
            <w:r w:rsidR="001F7291">
              <w:rPr>
                <w:rFonts w:cs="Arial"/>
              </w:rPr>
              <w:t>Standards for Services and Supports</w:t>
            </w:r>
          </w:p>
          <w:p w14:paraId="61DAFC48" w14:textId="77777777" w:rsidR="001F7291" w:rsidRPr="00302741" w:rsidRDefault="001F7291" w:rsidP="008408E8">
            <w:pPr>
              <w:tabs>
                <w:tab w:val="center" w:pos="4680"/>
                <w:tab w:val="right" w:pos="9360"/>
              </w:tabs>
              <w:rPr>
                <w:rFonts w:cs="Arial"/>
                <w:b/>
              </w:rPr>
            </w:pPr>
          </w:p>
          <w:p w14:paraId="290D47AD"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w:t>
            </w:r>
          </w:p>
          <w:p w14:paraId="46804ECB" w14:textId="77777777" w:rsidR="00696A4B" w:rsidRDefault="00696A4B" w:rsidP="008408E8">
            <w:pPr>
              <w:tabs>
                <w:tab w:val="center" w:pos="4680"/>
                <w:tab w:val="right" w:pos="9360"/>
              </w:tabs>
            </w:pPr>
          </w:p>
          <w:p w14:paraId="7D837270" w14:textId="603AB00A" w:rsidR="001F7291" w:rsidRPr="00302741" w:rsidRDefault="00B0344A" w:rsidP="008408E8">
            <w:pPr>
              <w:tabs>
                <w:tab w:val="center" w:pos="4680"/>
                <w:tab w:val="right" w:pos="9360"/>
              </w:tabs>
              <w:rPr>
                <w:rFonts w:cs="Arial"/>
              </w:rPr>
            </w:pPr>
            <w:hyperlink r:id="rId32" w:history="1">
              <w:r w:rsidR="001F7291" w:rsidRPr="00F76E56">
                <w:rPr>
                  <w:rStyle w:val="Hyperlink"/>
                  <w:rFonts w:cs="Arial"/>
                </w:rPr>
                <w:t>115 CMR 5.03</w:t>
              </w:r>
            </w:hyperlink>
            <w:r w:rsidR="001F7291" w:rsidRPr="00302741">
              <w:rPr>
                <w:rFonts w:cs="Arial"/>
                <w:b/>
              </w:rPr>
              <w:t xml:space="preserve"> </w:t>
            </w:r>
            <w:r w:rsidR="001F7291" w:rsidRPr="00302741">
              <w:rPr>
                <w:rFonts w:cs="Arial"/>
              </w:rPr>
              <w:t>General Principles</w:t>
            </w:r>
          </w:p>
          <w:p w14:paraId="36CA348A" w14:textId="77777777" w:rsidR="001F7291" w:rsidRDefault="00B0344A" w:rsidP="008408E8">
            <w:pPr>
              <w:tabs>
                <w:tab w:val="center" w:pos="4680"/>
                <w:tab w:val="right" w:pos="9360"/>
              </w:tabs>
              <w:rPr>
                <w:rFonts w:cs="Arial"/>
              </w:rPr>
            </w:pPr>
            <w:hyperlink r:id="rId33" w:history="1">
              <w:r w:rsidR="001F7291" w:rsidRPr="00F76E56">
                <w:rPr>
                  <w:rStyle w:val="Hyperlink"/>
                  <w:rFonts w:cs="Arial"/>
                </w:rPr>
                <w:t>115 CMR 5.04</w:t>
              </w:r>
            </w:hyperlink>
            <w:r w:rsidR="001F7291" w:rsidRPr="00302741">
              <w:rPr>
                <w:rFonts w:cs="Arial"/>
                <w:b/>
              </w:rPr>
              <w:t xml:space="preserve"> </w:t>
            </w:r>
            <w:r w:rsidR="001F7291" w:rsidRPr="00302741">
              <w:rPr>
                <w:rFonts w:cs="Arial"/>
              </w:rPr>
              <w:t>Other Rights</w:t>
            </w:r>
            <w:r w:rsidR="001F7291">
              <w:rPr>
                <w:rFonts w:cs="Arial"/>
              </w:rPr>
              <w:t xml:space="preserve"> of Individuals</w:t>
            </w:r>
          </w:p>
          <w:p w14:paraId="064E63BC" w14:textId="77777777" w:rsidR="001F7291" w:rsidRPr="00302741" w:rsidRDefault="00B0344A" w:rsidP="008408E8">
            <w:pPr>
              <w:tabs>
                <w:tab w:val="center" w:pos="4680"/>
                <w:tab w:val="right" w:pos="9360"/>
              </w:tabs>
              <w:rPr>
                <w:rFonts w:cs="Arial"/>
              </w:rPr>
            </w:pPr>
            <w:hyperlink r:id="rId34" w:history="1">
              <w:r w:rsidR="001F7291" w:rsidRPr="004A7CBB">
                <w:rPr>
                  <w:rStyle w:val="Hyperlink"/>
                  <w:rFonts w:cs="Arial"/>
                </w:rPr>
                <w:t>115 CMR 5.05</w:t>
              </w:r>
            </w:hyperlink>
            <w:r w:rsidR="001F7291">
              <w:rPr>
                <w:rFonts w:cs="Arial"/>
              </w:rPr>
              <w:t xml:space="preserve"> Mistreatment</w:t>
            </w:r>
          </w:p>
          <w:p w14:paraId="0854CF5C" w14:textId="77777777" w:rsidR="001F7291" w:rsidRDefault="00B0344A" w:rsidP="008408E8">
            <w:pPr>
              <w:tabs>
                <w:tab w:val="center" w:pos="4680"/>
                <w:tab w:val="right" w:pos="9360"/>
              </w:tabs>
              <w:rPr>
                <w:rFonts w:cs="Arial"/>
              </w:rPr>
            </w:pPr>
            <w:hyperlink r:id="rId35" w:history="1">
              <w:r w:rsidR="001F7291" w:rsidRPr="00F76E56">
                <w:rPr>
                  <w:rStyle w:val="Hyperlink"/>
                  <w:rFonts w:cs="Arial"/>
                </w:rPr>
                <w:t>115 CMR 5.08</w:t>
              </w:r>
            </w:hyperlink>
            <w:r w:rsidR="001F7291" w:rsidRPr="00302741">
              <w:rPr>
                <w:rFonts w:cs="Arial"/>
                <w:b/>
              </w:rPr>
              <w:t xml:space="preserve"> </w:t>
            </w:r>
            <w:r w:rsidR="001F7291" w:rsidRPr="00302741">
              <w:rPr>
                <w:rFonts w:cs="Arial"/>
              </w:rPr>
              <w:t>Informed Consent</w:t>
            </w:r>
          </w:p>
          <w:p w14:paraId="38A3A868" w14:textId="77777777" w:rsidR="001F7291" w:rsidRPr="00302741" w:rsidRDefault="00B0344A" w:rsidP="008408E8">
            <w:pPr>
              <w:tabs>
                <w:tab w:val="center" w:pos="4680"/>
                <w:tab w:val="right" w:pos="9360"/>
              </w:tabs>
              <w:rPr>
                <w:rFonts w:cs="Arial"/>
              </w:rPr>
            </w:pPr>
            <w:hyperlink r:id="rId36" w:history="1">
              <w:r w:rsidR="001F7291" w:rsidRPr="004D36E6">
                <w:rPr>
                  <w:rStyle w:val="Hyperlink"/>
                  <w:rFonts w:cs="Arial"/>
                </w:rPr>
                <w:t>115 CMR 5.11</w:t>
              </w:r>
            </w:hyperlink>
            <w:r w:rsidR="001F7291">
              <w:rPr>
                <w:rFonts w:cs="Arial"/>
              </w:rPr>
              <w:t xml:space="preserve"> Crisis Prevention, Response, and Restraint</w:t>
            </w:r>
          </w:p>
          <w:p w14:paraId="79806928" w14:textId="77777777" w:rsidR="001F7291" w:rsidRPr="00302741" w:rsidRDefault="001F7291" w:rsidP="008408E8">
            <w:pPr>
              <w:tabs>
                <w:tab w:val="center" w:pos="4680"/>
                <w:tab w:val="right" w:pos="9360"/>
              </w:tabs>
              <w:rPr>
                <w:rFonts w:cs="Arial"/>
              </w:rPr>
            </w:pPr>
          </w:p>
          <w:p w14:paraId="4E4F1965" w14:textId="77777777" w:rsidR="001F7291" w:rsidRPr="00302741" w:rsidRDefault="001F7291" w:rsidP="008408E8">
            <w:pPr>
              <w:tabs>
                <w:tab w:val="center" w:pos="4680"/>
                <w:tab w:val="right" w:pos="9360"/>
              </w:tabs>
              <w:rPr>
                <w:rFonts w:cs="Arial"/>
              </w:rPr>
            </w:pPr>
            <w:r w:rsidRPr="00302741">
              <w:rPr>
                <w:rFonts w:cs="Arial"/>
                <w:b/>
                <w:u w:val="single"/>
              </w:rPr>
              <w:t>MA.40701, MA.1028:</w:t>
            </w:r>
          </w:p>
          <w:p w14:paraId="2A9AF01E" w14:textId="77777777" w:rsidR="00696A4B" w:rsidRDefault="00696A4B" w:rsidP="008408E8">
            <w:pPr>
              <w:tabs>
                <w:tab w:val="center" w:pos="4680"/>
                <w:tab w:val="right" w:pos="9360"/>
              </w:tabs>
            </w:pPr>
          </w:p>
          <w:p w14:paraId="4B8E06E4" w14:textId="435B8F72" w:rsidR="001F7291" w:rsidRPr="00302741" w:rsidRDefault="00B0344A" w:rsidP="008408E8">
            <w:pPr>
              <w:tabs>
                <w:tab w:val="center" w:pos="4680"/>
                <w:tab w:val="right" w:pos="9360"/>
              </w:tabs>
              <w:rPr>
                <w:rFonts w:cs="Arial"/>
              </w:rPr>
            </w:pPr>
            <w:hyperlink r:id="rId37" w:history="1">
              <w:r w:rsidR="001F7291" w:rsidRPr="001256D2">
                <w:rPr>
                  <w:rStyle w:val="Hyperlink"/>
                  <w:rFonts w:cs="Arial"/>
                </w:rPr>
                <w:t>ABI/MFP policy manual</w:t>
              </w:r>
            </w:hyperlink>
            <w:r w:rsidR="001F7291" w:rsidRPr="00302741">
              <w:rPr>
                <w:rFonts w:cs="Arial"/>
              </w:rPr>
              <w:t xml:space="preserve"> and </w:t>
            </w:r>
            <w:hyperlink r:id="rId38" w:history="1">
              <w:r w:rsidR="001F7291" w:rsidRPr="00C36397">
                <w:rPr>
                  <w:rStyle w:val="Hyperlink"/>
                  <w:rFonts w:cs="Arial"/>
                </w:rPr>
                <w:t>member handbook</w:t>
              </w:r>
            </w:hyperlink>
          </w:p>
          <w:p w14:paraId="1A5270E8" w14:textId="77777777" w:rsidR="001F7291" w:rsidRDefault="001F7291" w:rsidP="008408E8"/>
        </w:tc>
        <w:tc>
          <w:tcPr>
            <w:tcW w:w="2483" w:type="dxa"/>
          </w:tcPr>
          <w:p w14:paraId="67C22B94" w14:textId="22AB3272" w:rsidR="001F7291" w:rsidRDefault="001F7291" w:rsidP="008408E8">
            <w:r w:rsidRPr="00302741">
              <w:rPr>
                <w:rFonts w:cs="Arial"/>
                <w:b/>
              </w:rPr>
              <w:t>State standards are compliant with the HCBS Settings Rule.</w:t>
            </w:r>
            <w:r w:rsidRPr="00302741">
              <w:rPr>
                <w:rFonts w:cs="Arial"/>
              </w:rPr>
              <w:t xml:space="preserve"> The cited DDS regulations provide for rights of privacy, dignity and respect, and freedom from coercion and restraint. State standards </w:t>
            </w:r>
            <w:r>
              <w:rPr>
                <w:rFonts w:cs="Arial"/>
              </w:rPr>
              <w:t>are</w:t>
            </w:r>
            <w:r w:rsidRPr="00302741">
              <w:rPr>
                <w:rFonts w:cs="Arial"/>
              </w:rPr>
              <w:t xml:space="preserve"> strengthened further with implementation of revisions to the cited DDS regulations </w:t>
            </w:r>
            <w:r>
              <w:rPr>
                <w:rFonts w:cs="Arial"/>
              </w:rPr>
              <w:t xml:space="preserve">pertaining to restraint </w:t>
            </w:r>
            <w:r w:rsidRPr="00302741">
              <w:rPr>
                <w:rFonts w:cs="Arial"/>
              </w:rPr>
              <w:t xml:space="preserve">(effective date </w:t>
            </w:r>
            <w:r>
              <w:rPr>
                <w:rFonts w:cs="Arial"/>
              </w:rPr>
              <w:t>2/21/2020). The state also developed</w:t>
            </w:r>
            <w:r w:rsidRPr="00302741">
              <w:rPr>
                <w:rFonts w:cs="Arial"/>
              </w:rPr>
              <w:t xml:space="preserve"> a policy manual and member handbook for MA.40701 and MA.1028</w:t>
            </w:r>
            <w:r>
              <w:rPr>
                <w:rFonts w:cs="Arial"/>
              </w:rPr>
              <w:t>, completed in July 2017, to further support this aspect of Community Rule compliance.</w:t>
            </w:r>
            <w:r w:rsidRPr="00302741">
              <w:rPr>
                <w:rFonts w:cs="Arial"/>
              </w:rPr>
              <w:t xml:space="preserve"> </w:t>
            </w:r>
          </w:p>
        </w:tc>
        <w:tc>
          <w:tcPr>
            <w:tcW w:w="1577" w:type="dxa"/>
          </w:tcPr>
          <w:p w14:paraId="17BDA142" w14:textId="77777777" w:rsidR="00C0165B" w:rsidRDefault="00C0165B" w:rsidP="008408E8">
            <w:pPr>
              <w:rPr>
                <w:b/>
                <w:bCs/>
              </w:rPr>
            </w:pPr>
            <w:r w:rsidRPr="006C48CB">
              <w:t>115 CMR 7 updated in</w:t>
            </w:r>
            <w:r>
              <w:rPr>
                <w:b/>
                <w:bCs/>
              </w:rPr>
              <w:t xml:space="preserve"> July 2016.</w:t>
            </w:r>
          </w:p>
          <w:p w14:paraId="60E01ECB" w14:textId="77777777" w:rsidR="00C0165B" w:rsidRDefault="00C0165B" w:rsidP="008408E8"/>
          <w:p w14:paraId="110A3178" w14:textId="77777777" w:rsidR="00C0165B" w:rsidRPr="001F7291" w:rsidRDefault="00C0165B" w:rsidP="008408E8">
            <w:pPr>
              <w:rPr>
                <w:b/>
                <w:bCs/>
              </w:rPr>
            </w:pPr>
            <w:r>
              <w:t xml:space="preserve">115 CMR 5 updated in </w:t>
            </w:r>
            <w:r w:rsidRPr="001F7291">
              <w:rPr>
                <w:b/>
                <w:bCs/>
              </w:rPr>
              <w:t>February 2020.</w:t>
            </w:r>
          </w:p>
          <w:p w14:paraId="2F44D219" w14:textId="77777777" w:rsidR="001F7291" w:rsidRDefault="001F7291" w:rsidP="008408E8"/>
          <w:p w14:paraId="07EB3F2F" w14:textId="77777777" w:rsidR="00E92FEE" w:rsidRDefault="00E92FEE" w:rsidP="00E92FEE">
            <w:r>
              <w:t xml:space="preserve">Policy manual updated in December 2016. </w:t>
            </w:r>
          </w:p>
          <w:p w14:paraId="66E3A72B" w14:textId="77777777" w:rsidR="00E92FEE" w:rsidRDefault="00E92FEE" w:rsidP="00E92FEE"/>
          <w:p w14:paraId="50C3E3CD" w14:textId="0BC51309" w:rsidR="00E92FEE" w:rsidRDefault="00E92FEE" w:rsidP="00E92FEE">
            <w:r>
              <w:t>Member handbook updated in August 2019.</w:t>
            </w:r>
          </w:p>
          <w:p w14:paraId="0DDE8D7E" w14:textId="77777777" w:rsidR="00E92FEE" w:rsidRDefault="00E92FEE" w:rsidP="008408E8"/>
          <w:p w14:paraId="1F0EA88E" w14:textId="042A341B" w:rsidR="001F7291" w:rsidRDefault="001F7291" w:rsidP="008408E8"/>
        </w:tc>
      </w:tr>
      <w:tr w:rsidR="00C0165B" w14:paraId="08F1CCC1" w14:textId="77777777" w:rsidTr="008408E8">
        <w:trPr>
          <w:cantSplit/>
        </w:trPr>
        <w:tc>
          <w:tcPr>
            <w:tcW w:w="2847" w:type="dxa"/>
          </w:tcPr>
          <w:p w14:paraId="49ED6E88" w14:textId="77777777" w:rsidR="00866453" w:rsidRPr="00302741" w:rsidRDefault="00866453" w:rsidP="008408E8">
            <w:pPr>
              <w:rPr>
                <w:rFonts w:cs="Arial"/>
                <w:b/>
                <w:bCs/>
              </w:rPr>
            </w:pPr>
            <w:r w:rsidRPr="00302741">
              <w:rPr>
                <w:rFonts w:cs="Arial"/>
                <w:b/>
                <w:bCs/>
              </w:rPr>
              <w:t xml:space="preserve">441.301(c)(4)(iv): </w:t>
            </w:r>
          </w:p>
          <w:p w14:paraId="7D6A9883" w14:textId="34B63AEA" w:rsidR="00866453" w:rsidRPr="00302741" w:rsidRDefault="00866453" w:rsidP="008408E8">
            <w:pPr>
              <w:rPr>
                <w:rFonts w:cs="Arial"/>
                <w:b/>
                <w:bCs/>
              </w:rPr>
            </w:pPr>
            <w:r w:rsidRPr="00302741">
              <w:rPr>
                <w:rFonts w:cs="Arial"/>
              </w:rPr>
              <w:t>Optimizes, but does not regiment, individual initia</w:t>
            </w:r>
            <w:r>
              <w:rPr>
                <w:rFonts w:cs="Arial"/>
              </w:rPr>
              <w:t>tive, autonomy, and independence</w:t>
            </w:r>
          </w:p>
        </w:tc>
        <w:tc>
          <w:tcPr>
            <w:tcW w:w="3739" w:type="dxa"/>
          </w:tcPr>
          <w:p w14:paraId="4DFEEA57" w14:textId="77777777" w:rsidR="00866453" w:rsidRPr="00302741" w:rsidRDefault="00866453" w:rsidP="008408E8">
            <w:pPr>
              <w:tabs>
                <w:tab w:val="center" w:pos="4680"/>
                <w:tab w:val="right" w:pos="9360"/>
              </w:tabs>
              <w:rPr>
                <w:rFonts w:cs="Arial"/>
                <w:b/>
                <w:u w:val="single"/>
              </w:rPr>
            </w:pPr>
            <w:r w:rsidRPr="00302741">
              <w:rPr>
                <w:rFonts w:cs="Arial"/>
                <w:b/>
                <w:u w:val="single"/>
              </w:rPr>
              <w:t>MA.0826, MA.0827, MA.0828, MA.40701, MA.1028:</w:t>
            </w:r>
          </w:p>
          <w:p w14:paraId="66DBB4AE" w14:textId="77777777" w:rsidR="00696A4B" w:rsidRDefault="00696A4B" w:rsidP="008408E8">
            <w:pPr>
              <w:tabs>
                <w:tab w:val="center" w:pos="4680"/>
                <w:tab w:val="right" w:pos="9360"/>
              </w:tabs>
            </w:pPr>
          </w:p>
          <w:p w14:paraId="4770E272" w14:textId="14FA715D" w:rsidR="00866453" w:rsidRPr="00302741" w:rsidRDefault="00B0344A" w:rsidP="008408E8">
            <w:pPr>
              <w:tabs>
                <w:tab w:val="center" w:pos="4680"/>
                <w:tab w:val="right" w:pos="9360"/>
              </w:tabs>
              <w:rPr>
                <w:rFonts w:cs="Arial"/>
              </w:rPr>
            </w:pPr>
            <w:hyperlink r:id="rId39" w:history="1">
              <w:r w:rsidR="00866453" w:rsidRPr="00DB21D4">
                <w:rPr>
                  <w:rStyle w:val="Hyperlink"/>
                  <w:rFonts w:cs="Arial"/>
                </w:rPr>
                <w:t>115 CMR 7.04</w:t>
              </w:r>
            </w:hyperlink>
            <w:r w:rsidR="00866453" w:rsidRPr="00302741">
              <w:rPr>
                <w:rFonts w:cs="Arial"/>
                <w:b/>
              </w:rPr>
              <w:t xml:space="preserve"> </w:t>
            </w:r>
            <w:r w:rsidR="00866453">
              <w:rPr>
                <w:rFonts w:cs="Arial"/>
              </w:rPr>
              <w:t>Standards for Services and Supports</w:t>
            </w:r>
          </w:p>
          <w:p w14:paraId="50AC1D42" w14:textId="77777777" w:rsidR="00866453" w:rsidRPr="00302741" w:rsidRDefault="00866453" w:rsidP="008408E8">
            <w:pPr>
              <w:tabs>
                <w:tab w:val="center" w:pos="4680"/>
                <w:tab w:val="right" w:pos="9360"/>
              </w:tabs>
              <w:rPr>
                <w:rFonts w:cs="Arial"/>
                <w:b/>
                <w:u w:val="single"/>
              </w:rPr>
            </w:pPr>
          </w:p>
          <w:p w14:paraId="75EB51C1" w14:textId="77777777" w:rsidR="00866453" w:rsidRPr="00302741" w:rsidRDefault="00866453" w:rsidP="008408E8">
            <w:pPr>
              <w:tabs>
                <w:tab w:val="center" w:pos="4680"/>
                <w:tab w:val="right" w:pos="9360"/>
              </w:tabs>
              <w:rPr>
                <w:rFonts w:cs="Arial"/>
                <w:b/>
                <w:u w:val="single"/>
              </w:rPr>
            </w:pPr>
            <w:r w:rsidRPr="00302741">
              <w:rPr>
                <w:rFonts w:cs="Arial"/>
                <w:b/>
                <w:u w:val="single"/>
              </w:rPr>
              <w:t>MA.0826, MA.0827, MA.0828:</w:t>
            </w:r>
          </w:p>
          <w:p w14:paraId="04AAD008" w14:textId="77777777" w:rsidR="00696A4B" w:rsidRDefault="00696A4B" w:rsidP="008408E8">
            <w:pPr>
              <w:tabs>
                <w:tab w:val="center" w:pos="4680"/>
                <w:tab w:val="right" w:pos="9360"/>
              </w:tabs>
            </w:pPr>
          </w:p>
          <w:p w14:paraId="5FAC3EB7" w14:textId="15AF6462" w:rsidR="00866453" w:rsidRDefault="00B0344A" w:rsidP="008408E8">
            <w:pPr>
              <w:tabs>
                <w:tab w:val="center" w:pos="4680"/>
                <w:tab w:val="right" w:pos="9360"/>
              </w:tabs>
              <w:rPr>
                <w:rFonts w:cs="Arial"/>
              </w:rPr>
            </w:pPr>
            <w:hyperlink r:id="rId40" w:history="1">
              <w:r w:rsidR="00866453" w:rsidRPr="00AE54E1">
                <w:rPr>
                  <w:rStyle w:val="Hyperlink"/>
                  <w:rFonts w:cs="Arial"/>
                </w:rPr>
                <w:t>115 CMR 5.03</w:t>
              </w:r>
            </w:hyperlink>
            <w:r w:rsidR="00866453" w:rsidRPr="00302741">
              <w:rPr>
                <w:rFonts w:cs="Arial"/>
                <w:b/>
              </w:rPr>
              <w:t xml:space="preserve"> </w:t>
            </w:r>
            <w:r w:rsidR="00866453" w:rsidRPr="00302741">
              <w:rPr>
                <w:rFonts w:cs="Arial"/>
              </w:rPr>
              <w:t>General Principles</w:t>
            </w:r>
            <w:r w:rsidR="00866453" w:rsidRPr="00302741">
              <w:rPr>
                <w:rFonts w:cs="Arial"/>
              </w:rPr>
              <w:br/>
            </w:r>
            <w:hyperlink r:id="rId41" w:history="1">
              <w:r w:rsidR="00866453" w:rsidRPr="00AE54E1">
                <w:rPr>
                  <w:rStyle w:val="Hyperlink"/>
                  <w:rFonts w:cs="Arial"/>
                </w:rPr>
                <w:t>115 CMR 5.04</w:t>
              </w:r>
            </w:hyperlink>
            <w:r w:rsidR="00866453" w:rsidRPr="00302741">
              <w:rPr>
                <w:rFonts w:cs="Arial"/>
              </w:rPr>
              <w:t xml:space="preserve"> Other Rights</w:t>
            </w:r>
            <w:r w:rsidR="00866453">
              <w:rPr>
                <w:rFonts w:cs="Arial"/>
              </w:rPr>
              <w:t xml:space="preserve"> of Individuals</w:t>
            </w:r>
          </w:p>
          <w:p w14:paraId="6DEED801" w14:textId="77777777" w:rsidR="00866453" w:rsidRPr="00302741" w:rsidRDefault="00B0344A" w:rsidP="008408E8">
            <w:pPr>
              <w:tabs>
                <w:tab w:val="center" w:pos="4680"/>
                <w:tab w:val="right" w:pos="9360"/>
              </w:tabs>
              <w:rPr>
                <w:rFonts w:cs="Arial"/>
              </w:rPr>
            </w:pPr>
            <w:hyperlink r:id="rId42" w:history="1">
              <w:r w:rsidR="00866453" w:rsidRPr="00AE54E1">
                <w:rPr>
                  <w:rStyle w:val="Hyperlink"/>
                  <w:rFonts w:cs="Arial"/>
                </w:rPr>
                <w:t>115 CMR 5.10</w:t>
              </w:r>
            </w:hyperlink>
            <w:r w:rsidR="00866453">
              <w:rPr>
                <w:rFonts w:cs="Arial"/>
              </w:rPr>
              <w:t xml:space="preserve"> Possessions (and Funds)</w:t>
            </w:r>
          </w:p>
          <w:p w14:paraId="7EE1A348" w14:textId="77777777" w:rsidR="00866453" w:rsidRPr="00302741" w:rsidRDefault="00866453" w:rsidP="008408E8">
            <w:pPr>
              <w:tabs>
                <w:tab w:val="center" w:pos="4680"/>
                <w:tab w:val="right" w:pos="9360"/>
              </w:tabs>
              <w:rPr>
                <w:rFonts w:cs="Arial"/>
              </w:rPr>
            </w:pPr>
          </w:p>
          <w:p w14:paraId="31420A5A" w14:textId="77777777" w:rsidR="00866453" w:rsidRPr="00302741" w:rsidRDefault="00866453" w:rsidP="008408E8">
            <w:pPr>
              <w:tabs>
                <w:tab w:val="center" w:pos="4680"/>
                <w:tab w:val="right" w:pos="9360"/>
              </w:tabs>
              <w:rPr>
                <w:rFonts w:cs="Arial"/>
              </w:rPr>
            </w:pPr>
            <w:r w:rsidRPr="00302741">
              <w:rPr>
                <w:rFonts w:cs="Arial"/>
                <w:b/>
                <w:u w:val="single"/>
              </w:rPr>
              <w:t>MA.40701, MA.1028:</w:t>
            </w:r>
          </w:p>
          <w:p w14:paraId="768BCD2A" w14:textId="77777777" w:rsidR="00696A4B" w:rsidRDefault="00696A4B" w:rsidP="008408E8">
            <w:pPr>
              <w:tabs>
                <w:tab w:val="center" w:pos="4680"/>
                <w:tab w:val="right" w:pos="9360"/>
              </w:tabs>
            </w:pPr>
          </w:p>
          <w:p w14:paraId="4D93E8A6" w14:textId="27FB80E0" w:rsidR="00866453" w:rsidRPr="00302741" w:rsidRDefault="00B0344A" w:rsidP="008408E8">
            <w:pPr>
              <w:tabs>
                <w:tab w:val="center" w:pos="4680"/>
                <w:tab w:val="right" w:pos="9360"/>
              </w:tabs>
              <w:rPr>
                <w:rFonts w:cs="Arial"/>
              </w:rPr>
            </w:pPr>
            <w:hyperlink r:id="rId43" w:history="1">
              <w:r w:rsidR="00866453" w:rsidRPr="001256D2">
                <w:rPr>
                  <w:rStyle w:val="Hyperlink"/>
                  <w:rFonts w:cs="Arial"/>
                </w:rPr>
                <w:t>ABI/MFP policy manual</w:t>
              </w:r>
            </w:hyperlink>
            <w:r w:rsidR="00866453" w:rsidRPr="00302741">
              <w:rPr>
                <w:rFonts w:cs="Arial"/>
              </w:rPr>
              <w:t xml:space="preserve"> and </w:t>
            </w:r>
            <w:hyperlink r:id="rId44" w:history="1">
              <w:r w:rsidR="00866453" w:rsidRPr="00C36397">
                <w:rPr>
                  <w:rStyle w:val="Hyperlink"/>
                  <w:rFonts w:cs="Arial"/>
                </w:rPr>
                <w:t>member handbook</w:t>
              </w:r>
            </w:hyperlink>
          </w:p>
          <w:p w14:paraId="7D69DCDC" w14:textId="77777777" w:rsidR="00866453" w:rsidRPr="00302741" w:rsidRDefault="00866453" w:rsidP="008408E8">
            <w:pPr>
              <w:tabs>
                <w:tab w:val="center" w:pos="4680"/>
                <w:tab w:val="right" w:pos="9360"/>
              </w:tabs>
              <w:rPr>
                <w:rFonts w:cs="Arial"/>
                <w:b/>
                <w:u w:val="single"/>
              </w:rPr>
            </w:pPr>
          </w:p>
        </w:tc>
        <w:tc>
          <w:tcPr>
            <w:tcW w:w="2483" w:type="dxa"/>
          </w:tcPr>
          <w:p w14:paraId="3E510CDC" w14:textId="77777777" w:rsidR="00866453" w:rsidRPr="00302741" w:rsidRDefault="00866453" w:rsidP="008408E8">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To meet the requirements of the cited DDS regulations, a setting must optimize, but not regiment, individual initiative, autonomy, and independence. State standards </w:t>
            </w:r>
            <w:r>
              <w:rPr>
                <w:rFonts w:cs="Arial"/>
              </w:rPr>
              <w:t>were</w:t>
            </w:r>
            <w:r w:rsidRPr="00302741">
              <w:rPr>
                <w:rFonts w:cs="Arial"/>
              </w:rPr>
              <w:t xml:space="preserve"> strengthened further with issuance of a policy manual and member handbook</w:t>
            </w:r>
            <w:r>
              <w:rPr>
                <w:rFonts w:cs="Arial"/>
              </w:rPr>
              <w:t xml:space="preserve"> </w:t>
            </w:r>
            <w:r w:rsidRPr="00302741">
              <w:rPr>
                <w:rFonts w:cs="Arial"/>
              </w:rPr>
              <w:t>for MA.40701 and MA.1028</w:t>
            </w:r>
            <w:r>
              <w:rPr>
                <w:rFonts w:cs="Arial"/>
              </w:rPr>
              <w:t xml:space="preserve"> (completed July</w:t>
            </w:r>
            <w:r w:rsidDel="003971E8">
              <w:rPr>
                <w:rFonts w:cs="Arial"/>
              </w:rPr>
              <w:t xml:space="preserve"> </w:t>
            </w:r>
            <w:r>
              <w:rPr>
                <w:rFonts w:cs="Arial"/>
              </w:rPr>
              <w:t>2017)</w:t>
            </w:r>
            <w:r w:rsidRPr="00302741">
              <w:rPr>
                <w:rFonts w:cs="Arial"/>
              </w:rPr>
              <w:t>.</w:t>
            </w:r>
          </w:p>
          <w:p w14:paraId="614AED1D" w14:textId="77777777" w:rsidR="00866453" w:rsidRPr="00302741" w:rsidRDefault="00866453" w:rsidP="008408E8">
            <w:pPr>
              <w:tabs>
                <w:tab w:val="center" w:pos="4680"/>
                <w:tab w:val="right" w:pos="9360"/>
              </w:tabs>
              <w:rPr>
                <w:rFonts w:cs="Arial"/>
                <w:b/>
              </w:rPr>
            </w:pPr>
          </w:p>
        </w:tc>
        <w:tc>
          <w:tcPr>
            <w:tcW w:w="1577" w:type="dxa"/>
          </w:tcPr>
          <w:p w14:paraId="105C0F07" w14:textId="77777777" w:rsidR="00C0165B" w:rsidRDefault="00C0165B" w:rsidP="008408E8">
            <w:pPr>
              <w:rPr>
                <w:b/>
                <w:bCs/>
              </w:rPr>
            </w:pPr>
            <w:r w:rsidRPr="006C48CB">
              <w:t>115 CMR 7 updated in</w:t>
            </w:r>
            <w:r>
              <w:rPr>
                <w:b/>
                <w:bCs/>
              </w:rPr>
              <w:t xml:space="preserve"> July 2016.</w:t>
            </w:r>
          </w:p>
          <w:p w14:paraId="2EF1E146" w14:textId="77777777" w:rsidR="00C0165B" w:rsidRDefault="00C0165B" w:rsidP="008408E8"/>
          <w:p w14:paraId="7A5173B3" w14:textId="77777777" w:rsidR="00C0165B" w:rsidRPr="001F7291" w:rsidRDefault="00C0165B" w:rsidP="008408E8">
            <w:pPr>
              <w:rPr>
                <w:b/>
                <w:bCs/>
              </w:rPr>
            </w:pPr>
            <w:r>
              <w:t xml:space="preserve">115 CMR 5 updated in </w:t>
            </w:r>
            <w:r w:rsidRPr="001F7291">
              <w:rPr>
                <w:b/>
                <w:bCs/>
              </w:rPr>
              <w:t>February 2020.</w:t>
            </w:r>
          </w:p>
          <w:p w14:paraId="0AF80A27" w14:textId="77777777" w:rsidR="00866453" w:rsidRDefault="00866453" w:rsidP="008408E8"/>
          <w:p w14:paraId="56AF18FB" w14:textId="77777777" w:rsidR="00410E11" w:rsidRDefault="00410E11" w:rsidP="00410E11">
            <w:r>
              <w:t xml:space="preserve">Policy manual updated in December 2016. </w:t>
            </w:r>
          </w:p>
          <w:p w14:paraId="165E3E93" w14:textId="77777777" w:rsidR="00410E11" w:rsidRDefault="00410E11" w:rsidP="00410E11"/>
          <w:p w14:paraId="3893400E" w14:textId="77777777" w:rsidR="00410E11" w:rsidRDefault="00410E11" w:rsidP="00410E11">
            <w:r>
              <w:t>Member handbook updated in August 2019.</w:t>
            </w:r>
          </w:p>
          <w:p w14:paraId="659C84DB" w14:textId="77777777" w:rsidR="00410E11" w:rsidRDefault="00410E11" w:rsidP="008408E8"/>
          <w:p w14:paraId="12D2DA6E" w14:textId="77777777" w:rsidR="00410E11" w:rsidRDefault="00410E11" w:rsidP="008408E8"/>
          <w:p w14:paraId="127761DB" w14:textId="180E154B" w:rsidR="00866453" w:rsidRDefault="00866453" w:rsidP="008408E8"/>
        </w:tc>
      </w:tr>
      <w:tr w:rsidR="00C0165B" w14:paraId="7D49A30D" w14:textId="77777777" w:rsidTr="008408E8">
        <w:trPr>
          <w:cantSplit/>
        </w:trPr>
        <w:tc>
          <w:tcPr>
            <w:tcW w:w="2847" w:type="dxa"/>
          </w:tcPr>
          <w:p w14:paraId="268BDF4F" w14:textId="77777777" w:rsidR="00866453" w:rsidRPr="00302741" w:rsidRDefault="00866453" w:rsidP="008408E8">
            <w:pPr>
              <w:rPr>
                <w:rFonts w:cs="Arial"/>
                <w:b/>
                <w:bCs/>
              </w:rPr>
            </w:pPr>
            <w:r w:rsidRPr="00302741">
              <w:rPr>
                <w:rFonts w:cs="Arial"/>
                <w:b/>
                <w:bCs/>
              </w:rPr>
              <w:lastRenderedPageBreak/>
              <w:t xml:space="preserve">441.301(c)(4)(v): </w:t>
            </w:r>
          </w:p>
          <w:p w14:paraId="4BE892F5" w14:textId="5F029E1B" w:rsidR="00866453" w:rsidRPr="00302741" w:rsidRDefault="00866453" w:rsidP="008408E8">
            <w:pPr>
              <w:rPr>
                <w:rFonts w:cs="Arial"/>
                <w:b/>
                <w:bCs/>
              </w:rPr>
            </w:pPr>
            <w:r w:rsidRPr="00302741">
              <w:rPr>
                <w:rFonts w:cs="Arial"/>
              </w:rPr>
              <w:t>Facilitates individual choice regarding services and supports</w:t>
            </w:r>
          </w:p>
        </w:tc>
        <w:tc>
          <w:tcPr>
            <w:tcW w:w="3739" w:type="dxa"/>
          </w:tcPr>
          <w:p w14:paraId="3BFC0317" w14:textId="77777777" w:rsidR="00866453" w:rsidRPr="00302741" w:rsidRDefault="00866453" w:rsidP="008408E8">
            <w:pPr>
              <w:tabs>
                <w:tab w:val="center" w:pos="4680"/>
                <w:tab w:val="right" w:pos="9360"/>
              </w:tabs>
              <w:rPr>
                <w:rFonts w:cs="Arial"/>
                <w:b/>
                <w:u w:val="single"/>
              </w:rPr>
            </w:pPr>
            <w:r w:rsidRPr="00302741">
              <w:rPr>
                <w:rFonts w:cs="Arial"/>
                <w:b/>
                <w:u w:val="single"/>
              </w:rPr>
              <w:t>MA.0826, MA.0827, MA.0828:</w:t>
            </w:r>
          </w:p>
          <w:p w14:paraId="0B14F7FB" w14:textId="77777777" w:rsidR="00696A4B" w:rsidRDefault="00696A4B" w:rsidP="008408E8">
            <w:pPr>
              <w:tabs>
                <w:tab w:val="center" w:pos="4680"/>
                <w:tab w:val="right" w:pos="9360"/>
              </w:tabs>
            </w:pPr>
          </w:p>
          <w:p w14:paraId="4E0F63DE" w14:textId="6C4AC282" w:rsidR="00866453" w:rsidRPr="00302741" w:rsidRDefault="00B0344A" w:rsidP="008408E8">
            <w:pPr>
              <w:tabs>
                <w:tab w:val="center" w:pos="4680"/>
                <w:tab w:val="right" w:pos="9360"/>
              </w:tabs>
              <w:rPr>
                <w:rFonts w:cs="Arial"/>
              </w:rPr>
            </w:pPr>
            <w:hyperlink r:id="rId45" w:history="1">
              <w:r w:rsidR="00866453" w:rsidRPr="00F814CC">
                <w:rPr>
                  <w:rStyle w:val="Hyperlink"/>
                  <w:rFonts w:cs="Arial"/>
                </w:rPr>
                <w:t>115 CMR 6.20(2)</w:t>
              </w:r>
            </w:hyperlink>
            <w:r w:rsidR="00866453" w:rsidRPr="00302741">
              <w:rPr>
                <w:rFonts w:cs="Arial"/>
                <w:b/>
              </w:rPr>
              <w:t xml:space="preserve"> </w:t>
            </w:r>
            <w:r w:rsidR="00866453" w:rsidRPr="00302741">
              <w:rPr>
                <w:rFonts w:cs="Arial"/>
              </w:rPr>
              <w:t xml:space="preserve">Principles </w:t>
            </w:r>
            <w:r w:rsidR="00866453">
              <w:rPr>
                <w:rFonts w:cs="Arial"/>
              </w:rPr>
              <w:t>G</w:t>
            </w:r>
            <w:r w:rsidR="00866453" w:rsidRPr="00302741">
              <w:rPr>
                <w:rFonts w:cs="Arial"/>
              </w:rPr>
              <w:t xml:space="preserve">overning </w:t>
            </w:r>
            <w:r w:rsidR="00866453">
              <w:rPr>
                <w:rFonts w:cs="Arial"/>
              </w:rPr>
              <w:t>I</w:t>
            </w:r>
            <w:r w:rsidR="00866453" w:rsidRPr="00302741">
              <w:rPr>
                <w:rFonts w:cs="Arial"/>
              </w:rPr>
              <w:t xml:space="preserve">ndividual </w:t>
            </w:r>
            <w:r w:rsidR="00866453">
              <w:rPr>
                <w:rFonts w:cs="Arial"/>
              </w:rPr>
              <w:t>S</w:t>
            </w:r>
            <w:r w:rsidR="00866453" w:rsidRPr="00302741">
              <w:rPr>
                <w:rFonts w:cs="Arial"/>
              </w:rPr>
              <w:t xml:space="preserve">upport </w:t>
            </w:r>
            <w:r w:rsidR="00866453">
              <w:rPr>
                <w:rFonts w:cs="Arial"/>
              </w:rPr>
              <w:t>P</w:t>
            </w:r>
            <w:r w:rsidR="00866453" w:rsidRPr="00302741">
              <w:rPr>
                <w:rFonts w:cs="Arial"/>
              </w:rPr>
              <w:t>lanning</w:t>
            </w:r>
          </w:p>
          <w:p w14:paraId="3F7725AC" w14:textId="77777777" w:rsidR="00866453" w:rsidRPr="00302741" w:rsidRDefault="00B0344A" w:rsidP="008408E8">
            <w:pPr>
              <w:tabs>
                <w:tab w:val="center" w:pos="4680"/>
                <w:tab w:val="right" w:pos="9360"/>
              </w:tabs>
              <w:rPr>
                <w:rFonts w:cs="Arial"/>
                <w:b/>
                <w:u w:val="single"/>
              </w:rPr>
            </w:pPr>
            <w:hyperlink r:id="rId46" w:history="1">
              <w:r w:rsidR="00866453" w:rsidRPr="00AE54E1">
                <w:rPr>
                  <w:rStyle w:val="Hyperlink"/>
                  <w:rFonts w:cs="Arial"/>
                </w:rPr>
                <w:t>115 CMR 5.04(6)</w:t>
              </w:r>
            </w:hyperlink>
            <w:r w:rsidR="00866453" w:rsidRPr="00302741">
              <w:rPr>
                <w:rFonts w:cs="Arial"/>
                <w:b/>
              </w:rPr>
              <w:t xml:space="preserve"> </w:t>
            </w:r>
            <w:r w:rsidR="00866453">
              <w:rPr>
                <w:rFonts w:cs="Arial"/>
              </w:rPr>
              <w:t>Other Rights of Individuals (r</w:t>
            </w:r>
            <w:r w:rsidR="00866453" w:rsidRPr="00302741">
              <w:rPr>
                <w:rFonts w:cs="Arial"/>
              </w:rPr>
              <w:t>ight to decline any service</w:t>
            </w:r>
            <w:r w:rsidR="00866453">
              <w:rPr>
                <w:rFonts w:cs="Arial"/>
              </w:rPr>
              <w:t xml:space="preserve"> or support)</w:t>
            </w:r>
          </w:p>
          <w:p w14:paraId="58ED1225" w14:textId="77777777" w:rsidR="00866453" w:rsidRPr="00302741" w:rsidRDefault="00866453" w:rsidP="008408E8">
            <w:pPr>
              <w:tabs>
                <w:tab w:val="center" w:pos="4680"/>
                <w:tab w:val="right" w:pos="9360"/>
              </w:tabs>
              <w:rPr>
                <w:rFonts w:cs="Arial"/>
                <w:b/>
                <w:u w:val="single"/>
              </w:rPr>
            </w:pPr>
          </w:p>
          <w:p w14:paraId="19DE0D67" w14:textId="77777777" w:rsidR="00866453" w:rsidRPr="00302741" w:rsidRDefault="00866453" w:rsidP="008408E8">
            <w:pPr>
              <w:tabs>
                <w:tab w:val="center" w:pos="4680"/>
                <w:tab w:val="right" w:pos="9360"/>
              </w:tabs>
              <w:rPr>
                <w:rFonts w:cs="Arial"/>
                <w:b/>
                <w:u w:val="single"/>
              </w:rPr>
            </w:pPr>
            <w:r w:rsidRPr="00302741">
              <w:rPr>
                <w:rFonts w:cs="Arial"/>
                <w:b/>
                <w:u w:val="single"/>
              </w:rPr>
              <w:t>MA.40701, MA.1028:</w:t>
            </w:r>
          </w:p>
          <w:p w14:paraId="6AEA6664" w14:textId="77777777" w:rsidR="00696A4B" w:rsidRDefault="00696A4B" w:rsidP="008408E8">
            <w:pPr>
              <w:tabs>
                <w:tab w:val="center" w:pos="4680"/>
                <w:tab w:val="right" w:pos="9360"/>
              </w:tabs>
              <w:rPr>
                <w:rFonts w:cs="Arial"/>
              </w:rPr>
            </w:pPr>
          </w:p>
          <w:p w14:paraId="76B4FAD6" w14:textId="3E7A0A50" w:rsidR="00866453" w:rsidRPr="00302741" w:rsidRDefault="00866453" w:rsidP="008408E8">
            <w:pPr>
              <w:tabs>
                <w:tab w:val="center" w:pos="4680"/>
                <w:tab w:val="right" w:pos="9360"/>
              </w:tabs>
              <w:rPr>
                <w:rFonts w:cs="Arial"/>
              </w:rPr>
            </w:pPr>
            <w:r w:rsidRPr="00302741">
              <w:rPr>
                <w:rFonts w:cs="Arial"/>
              </w:rPr>
              <w:t>Person-centered planning tools</w:t>
            </w:r>
          </w:p>
          <w:p w14:paraId="1807DC74" w14:textId="77777777" w:rsidR="00866453" w:rsidRPr="00302741" w:rsidRDefault="00866453" w:rsidP="008408E8">
            <w:pPr>
              <w:tabs>
                <w:tab w:val="center" w:pos="4680"/>
                <w:tab w:val="right" w:pos="9360"/>
              </w:tabs>
              <w:rPr>
                <w:rFonts w:cs="Arial"/>
              </w:rPr>
            </w:pPr>
          </w:p>
          <w:p w14:paraId="00A11999" w14:textId="77777777" w:rsidR="00866453" w:rsidRPr="00302741" w:rsidRDefault="00866453" w:rsidP="008408E8">
            <w:pPr>
              <w:tabs>
                <w:tab w:val="center" w:pos="4680"/>
                <w:tab w:val="right" w:pos="9360"/>
              </w:tabs>
              <w:rPr>
                <w:rFonts w:cs="Arial"/>
              </w:rPr>
            </w:pPr>
            <w:r w:rsidRPr="00302741">
              <w:rPr>
                <w:rFonts w:cs="Arial"/>
                <w:b/>
                <w:u w:val="single"/>
              </w:rPr>
              <w:t>MA.40701, MA.1028:</w:t>
            </w:r>
          </w:p>
          <w:p w14:paraId="3498DA54" w14:textId="77777777" w:rsidR="00696A4B" w:rsidRDefault="00696A4B" w:rsidP="008408E8">
            <w:pPr>
              <w:tabs>
                <w:tab w:val="center" w:pos="4680"/>
                <w:tab w:val="right" w:pos="9360"/>
              </w:tabs>
            </w:pPr>
          </w:p>
          <w:p w14:paraId="345AA136" w14:textId="3D670789" w:rsidR="00866453" w:rsidRPr="00302741" w:rsidRDefault="00B0344A" w:rsidP="008408E8">
            <w:pPr>
              <w:tabs>
                <w:tab w:val="center" w:pos="4680"/>
                <w:tab w:val="right" w:pos="9360"/>
              </w:tabs>
              <w:rPr>
                <w:rFonts w:cs="Arial"/>
                <w:b/>
                <w:u w:val="single"/>
              </w:rPr>
            </w:pPr>
            <w:hyperlink r:id="rId47" w:history="1">
              <w:r w:rsidR="00866453" w:rsidRPr="001256D2">
                <w:rPr>
                  <w:rStyle w:val="Hyperlink"/>
                  <w:rFonts w:cs="Arial"/>
                </w:rPr>
                <w:t>ABI/MFP policy manual</w:t>
              </w:r>
            </w:hyperlink>
            <w:r w:rsidR="00866453" w:rsidRPr="00302741">
              <w:rPr>
                <w:rFonts w:cs="Arial"/>
              </w:rPr>
              <w:t xml:space="preserve"> and </w:t>
            </w:r>
            <w:hyperlink r:id="rId48" w:history="1">
              <w:r w:rsidR="00866453" w:rsidRPr="00C36397">
                <w:rPr>
                  <w:rStyle w:val="Hyperlink"/>
                  <w:rFonts w:cs="Arial"/>
                </w:rPr>
                <w:t>member handbook</w:t>
              </w:r>
            </w:hyperlink>
          </w:p>
        </w:tc>
        <w:tc>
          <w:tcPr>
            <w:tcW w:w="2483" w:type="dxa"/>
          </w:tcPr>
          <w:p w14:paraId="1E7EB121" w14:textId="77777777" w:rsidR="00866453" w:rsidRDefault="00866453" w:rsidP="008408E8">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and tools describe and ensure deployment of person-centered planning principles that facilitate individual choice regarding services and </w:t>
            </w:r>
            <w:proofErr w:type="gramStart"/>
            <w:r w:rsidRPr="00302741">
              <w:rPr>
                <w:rFonts w:cs="Arial"/>
              </w:rPr>
              <w:t>supports, and</w:t>
            </w:r>
            <w:proofErr w:type="gramEnd"/>
            <w:r w:rsidRPr="00302741">
              <w:rPr>
                <w:rFonts w:cs="Arial"/>
              </w:rPr>
              <w:t xml:space="preserve"> set out an individual’s right to decline any service or support. State standards </w:t>
            </w:r>
            <w:r>
              <w:rPr>
                <w:rFonts w:cs="Arial"/>
              </w:rPr>
              <w:t>were</w:t>
            </w:r>
            <w:r w:rsidRPr="00302741">
              <w:rPr>
                <w:rFonts w:cs="Arial"/>
              </w:rPr>
              <w:t xml:space="preserve"> strengthened further with issuance of a policy manual and member handbook for MA.40701 and MA.1028</w:t>
            </w:r>
            <w:r>
              <w:rPr>
                <w:rFonts w:cs="Arial"/>
              </w:rPr>
              <w:t xml:space="preserve"> (completed July</w:t>
            </w:r>
            <w:r w:rsidDel="003971E8">
              <w:rPr>
                <w:rFonts w:cs="Arial"/>
              </w:rPr>
              <w:t xml:space="preserve"> </w:t>
            </w:r>
            <w:r>
              <w:rPr>
                <w:rFonts w:cs="Arial"/>
              </w:rPr>
              <w:t>2017)</w:t>
            </w:r>
            <w:r w:rsidRPr="00302741">
              <w:rPr>
                <w:rFonts w:cs="Arial"/>
              </w:rPr>
              <w:t>.</w:t>
            </w:r>
          </w:p>
          <w:p w14:paraId="13E77727" w14:textId="77777777" w:rsidR="00866453" w:rsidRPr="00302741" w:rsidRDefault="00866453" w:rsidP="008408E8">
            <w:pPr>
              <w:tabs>
                <w:tab w:val="center" w:pos="4680"/>
                <w:tab w:val="right" w:pos="9360"/>
              </w:tabs>
              <w:rPr>
                <w:rFonts w:cs="Arial"/>
                <w:b/>
              </w:rPr>
            </w:pPr>
          </w:p>
        </w:tc>
        <w:tc>
          <w:tcPr>
            <w:tcW w:w="1577" w:type="dxa"/>
          </w:tcPr>
          <w:p w14:paraId="32908CF3" w14:textId="77777777" w:rsidR="00C0165B" w:rsidRDefault="00C0165B" w:rsidP="008408E8">
            <w:r>
              <w:t xml:space="preserve">115 CMR 6 updated in </w:t>
            </w:r>
            <w:r w:rsidRPr="00C0165B">
              <w:rPr>
                <w:b/>
                <w:bCs/>
              </w:rPr>
              <w:t>August 2016.</w:t>
            </w:r>
            <w:r>
              <w:t xml:space="preserve"> </w:t>
            </w:r>
          </w:p>
          <w:p w14:paraId="29AF9EAB" w14:textId="77777777" w:rsidR="00C0165B" w:rsidRDefault="00C0165B" w:rsidP="008408E8"/>
          <w:p w14:paraId="5E423E6E" w14:textId="10BF8318" w:rsidR="0035351C" w:rsidRPr="001F7291" w:rsidRDefault="00C0165B" w:rsidP="008408E8">
            <w:pPr>
              <w:rPr>
                <w:b/>
                <w:bCs/>
              </w:rPr>
            </w:pPr>
            <w:r>
              <w:t xml:space="preserve">115 CMR 5 updated in </w:t>
            </w:r>
            <w:r w:rsidR="0035351C" w:rsidRPr="001F7291">
              <w:rPr>
                <w:b/>
                <w:bCs/>
              </w:rPr>
              <w:t>February 2020.</w:t>
            </w:r>
          </w:p>
          <w:p w14:paraId="2E61FA13" w14:textId="77777777" w:rsidR="0035351C" w:rsidRDefault="0035351C" w:rsidP="008408E8"/>
          <w:p w14:paraId="04617EB0" w14:textId="77777777" w:rsidR="00410E11" w:rsidRDefault="00410E11" w:rsidP="00410E11">
            <w:r>
              <w:t xml:space="preserve">Policy manual updated in December 2016. </w:t>
            </w:r>
          </w:p>
          <w:p w14:paraId="2B45D3DF" w14:textId="77777777" w:rsidR="00410E11" w:rsidRDefault="00410E11" w:rsidP="00410E11"/>
          <w:p w14:paraId="30DDD2C0" w14:textId="77777777" w:rsidR="00410E11" w:rsidRDefault="00410E11" w:rsidP="00410E11">
            <w:r>
              <w:t>Member handbook updated in August 2019.</w:t>
            </w:r>
          </w:p>
          <w:p w14:paraId="56E4F100" w14:textId="77777777" w:rsidR="00410E11" w:rsidRDefault="00410E11" w:rsidP="008408E8"/>
          <w:p w14:paraId="75CC37CE" w14:textId="77777777" w:rsidR="00410E11" w:rsidRDefault="00410E11" w:rsidP="008408E8"/>
          <w:p w14:paraId="31D2C12D" w14:textId="588B7723" w:rsidR="00866453" w:rsidRDefault="00866453" w:rsidP="008408E8">
            <w:pPr>
              <w:rPr>
                <w:b/>
              </w:rPr>
            </w:pPr>
          </w:p>
        </w:tc>
      </w:tr>
      <w:tr w:rsidR="00C0165B" w14:paraId="4F4BB205" w14:textId="77777777" w:rsidTr="008408E8">
        <w:trPr>
          <w:cantSplit/>
        </w:trPr>
        <w:tc>
          <w:tcPr>
            <w:tcW w:w="2847" w:type="dxa"/>
          </w:tcPr>
          <w:p w14:paraId="44463CAB" w14:textId="77777777" w:rsidR="0035351C" w:rsidRDefault="0035351C" w:rsidP="008408E8">
            <w:pPr>
              <w:spacing w:after="200" w:line="276" w:lineRule="auto"/>
              <w:rPr>
                <w:rFonts w:cs="Arial"/>
                <w:b/>
                <w:bCs/>
              </w:rPr>
            </w:pPr>
            <w:r w:rsidRPr="0035351C">
              <w:rPr>
                <w:rFonts w:cs="Arial"/>
                <w:b/>
                <w:bCs/>
              </w:rPr>
              <w:t xml:space="preserve">441.301(c)(4)(vi)(A): </w:t>
            </w:r>
          </w:p>
          <w:p w14:paraId="5807CDFB" w14:textId="1AA197B8" w:rsidR="0035351C" w:rsidRPr="0035351C" w:rsidRDefault="0035351C" w:rsidP="008408E8">
            <w:pPr>
              <w:spacing w:after="200" w:line="276" w:lineRule="auto"/>
              <w:rPr>
                <w:rFonts w:cs="Arial"/>
              </w:rPr>
            </w:pPr>
            <w:r w:rsidRPr="0035351C">
              <w:rPr>
                <w:rFonts w:cs="Arial"/>
              </w:rPr>
              <w:t>Unit or dwelling is a specific physical place that can be owned, rented, or occupied under a legally enforceable agreement</w:t>
            </w:r>
          </w:p>
          <w:p w14:paraId="277E6E46" w14:textId="5581D4A7" w:rsidR="00866453" w:rsidRPr="00302741" w:rsidRDefault="00866453" w:rsidP="008408E8">
            <w:pPr>
              <w:rPr>
                <w:rFonts w:cs="Arial"/>
                <w:b/>
                <w:bCs/>
              </w:rPr>
            </w:pPr>
          </w:p>
        </w:tc>
        <w:tc>
          <w:tcPr>
            <w:tcW w:w="3739" w:type="dxa"/>
          </w:tcPr>
          <w:p w14:paraId="77F84C35" w14:textId="77777777" w:rsidR="0035351C" w:rsidRPr="0035351C" w:rsidRDefault="0035351C" w:rsidP="008408E8">
            <w:pPr>
              <w:tabs>
                <w:tab w:val="center" w:pos="4680"/>
                <w:tab w:val="right" w:pos="9360"/>
              </w:tabs>
              <w:spacing w:after="200" w:line="276" w:lineRule="auto"/>
              <w:rPr>
                <w:rFonts w:cs="Arial"/>
              </w:rPr>
            </w:pPr>
            <w:r w:rsidRPr="0035351C">
              <w:rPr>
                <w:rFonts w:cs="Arial"/>
                <w:b/>
                <w:u w:val="single"/>
              </w:rPr>
              <w:t>MA.0826, MA.0827, MA.0828, MA.40701, MA.1028:</w:t>
            </w:r>
          </w:p>
          <w:p w14:paraId="44BEBDFC" w14:textId="7417924D" w:rsidR="00866453" w:rsidRDefault="00B0344A" w:rsidP="008408E8">
            <w:pPr>
              <w:tabs>
                <w:tab w:val="center" w:pos="4680"/>
                <w:tab w:val="right" w:pos="9360"/>
              </w:tabs>
              <w:rPr>
                <w:rFonts w:cs="Arial"/>
                <w:color w:val="0000FF"/>
                <w:u w:val="single"/>
              </w:rPr>
            </w:pPr>
            <w:hyperlink r:id="rId49" w:history="1">
              <w:r w:rsidR="0035351C" w:rsidRPr="0035351C">
                <w:rPr>
                  <w:rFonts w:cs="Arial"/>
                  <w:color w:val="0000FF"/>
                  <w:u w:val="single"/>
                </w:rPr>
                <w:t>Licensure tool with guidelines</w:t>
              </w:r>
            </w:hyperlink>
          </w:p>
          <w:p w14:paraId="2506B77B" w14:textId="77777777" w:rsidR="00FF6330" w:rsidRDefault="00FF6330" w:rsidP="008408E8">
            <w:pPr>
              <w:tabs>
                <w:tab w:val="center" w:pos="4680"/>
                <w:tab w:val="right" w:pos="9360"/>
              </w:tabs>
              <w:rPr>
                <w:rFonts w:cs="Arial"/>
                <w:b/>
                <w:color w:val="0000FF"/>
                <w:u w:val="single"/>
              </w:rPr>
            </w:pPr>
          </w:p>
          <w:p w14:paraId="3859342B" w14:textId="5063F04E" w:rsidR="00FF6330" w:rsidRPr="00302741" w:rsidRDefault="00FF6330" w:rsidP="008408E8">
            <w:pPr>
              <w:tabs>
                <w:tab w:val="center" w:pos="4680"/>
                <w:tab w:val="right" w:pos="9360"/>
              </w:tabs>
              <w:rPr>
                <w:rFonts w:cs="Arial"/>
                <w:b/>
                <w:u w:val="single"/>
              </w:rPr>
            </w:pPr>
          </w:p>
        </w:tc>
        <w:tc>
          <w:tcPr>
            <w:tcW w:w="2483" w:type="dxa"/>
          </w:tcPr>
          <w:p w14:paraId="723A1B48" w14:textId="41C43737" w:rsidR="0035351C" w:rsidRPr="0035351C" w:rsidRDefault="0035351C" w:rsidP="008408E8">
            <w:pPr>
              <w:tabs>
                <w:tab w:val="center" w:pos="4680"/>
                <w:tab w:val="right" w:pos="9360"/>
              </w:tabs>
              <w:spacing w:after="200" w:line="276" w:lineRule="auto"/>
              <w:rPr>
                <w:rFonts w:cs="Arial"/>
              </w:rPr>
            </w:pPr>
            <w:r w:rsidRPr="0035351C">
              <w:rPr>
                <w:rFonts w:cs="Arial"/>
                <w:b/>
              </w:rPr>
              <w:t>State standards are compliant with the HCBS Settings Rule.</w:t>
            </w:r>
            <w:r w:rsidRPr="0035351C">
              <w:rPr>
                <w:rFonts w:cs="Arial"/>
              </w:rPr>
              <w:t xml:space="preserve"> Where state standards did not previously address this aspect of the Rule, a sub-regulatory change that incorporates this requirement into the licensure and certification process was made; effective 8/1/2016.</w:t>
            </w:r>
          </w:p>
          <w:p w14:paraId="51332D10" w14:textId="77777777" w:rsidR="00866453" w:rsidRPr="00302741" w:rsidRDefault="00866453" w:rsidP="008408E8">
            <w:pPr>
              <w:rPr>
                <w:rFonts w:cs="Arial"/>
                <w:b/>
              </w:rPr>
            </w:pPr>
          </w:p>
        </w:tc>
        <w:tc>
          <w:tcPr>
            <w:tcW w:w="1577" w:type="dxa"/>
          </w:tcPr>
          <w:p w14:paraId="6F50FEA4" w14:textId="5E6C2241" w:rsidR="001C5A78" w:rsidRPr="001C5A78" w:rsidRDefault="04343413" w:rsidP="008408E8">
            <w:r w:rsidRPr="2DBE62B9">
              <w:rPr>
                <w:b/>
                <w:bCs/>
              </w:rPr>
              <w:t>August 2016</w:t>
            </w:r>
            <w:r w:rsidR="696293E5" w:rsidRPr="2DBE62B9">
              <w:rPr>
                <w:b/>
                <w:bCs/>
              </w:rPr>
              <w:t xml:space="preserve"> </w:t>
            </w:r>
            <w:r w:rsidR="001C5A78" w:rsidRPr="001C5A78">
              <w:t xml:space="preserve">Updated March </w:t>
            </w:r>
            <w:proofErr w:type="gramStart"/>
            <w:r w:rsidR="001C5A78" w:rsidRPr="001C5A78">
              <w:t>2019</w:t>
            </w:r>
            <w:r w:rsidR="00C157CF">
              <w:t>;</w:t>
            </w:r>
            <w:proofErr w:type="gramEnd"/>
          </w:p>
          <w:p w14:paraId="39D35DC9" w14:textId="5B97F2F8" w:rsidR="001C5A78" w:rsidRPr="001C5A78" w:rsidRDefault="001C5A78" w:rsidP="008408E8">
            <w:r w:rsidRPr="001C5A78">
              <w:t>most recently updated March 2022</w:t>
            </w:r>
          </w:p>
          <w:p w14:paraId="335497AE" w14:textId="19D3DEA7" w:rsidR="00866453" w:rsidRPr="00866453" w:rsidRDefault="00866453" w:rsidP="008408E8">
            <w:pPr>
              <w:rPr>
                <w:b/>
                <w:bCs/>
              </w:rPr>
            </w:pPr>
          </w:p>
        </w:tc>
      </w:tr>
      <w:tr w:rsidR="00C0165B" w14:paraId="378507EF" w14:textId="77777777" w:rsidTr="008408E8">
        <w:trPr>
          <w:cantSplit/>
        </w:trPr>
        <w:tc>
          <w:tcPr>
            <w:tcW w:w="2847" w:type="dxa"/>
          </w:tcPr>
          <w:p w14:paraId="51A6CB02" w14:textId="77777777" w:rsidR="0035351C" w:rsidRDefault="0035351C" w:rsidP="008408E8">
            <w:pPr>
              <w:spacing w:after="200" w:line="276" w:lineRule="auto"/>
              <w:rPr>
                <w:rFonts w:cs="Arial"/>
                <w:b/>
                <w:bCs/>
              </w:rPr>
            </w:pPr>
            <w:bookmarkStart w:id="3" w:name="_Hlk120040793"/>
            <w:r w:rsidRPr="0035351C">
              <w:rPr>
                <w:rFonts w:cs="Arial"/>
                <w:b/>
                <w:bCs/>
              </w:rPr>
              <w:lastRenderedPageBreak/>
              <w:t xml:space="preserve">441.301(c)(4)(vi)(A): </w:t>
            </w:r>
          </w:p>
          <w:p w14:paraId="06C6FF92" w14:textId="77777777" w:rsidR="0035351C" w:rsidRPr="0035351C" w:rsidRDefault="0035351C" w:rsidP="008408E8">
            <w:pPr>
              <w:spacing w:after="200" w:line="276" w:lineRule="auto"/>
              <w:rPr>
                <w:rFonts w:cs="Arial"/>
              </w:rPr>
            </w:pPr>
            <w:r w:rsidRPr="0035351C">
              <w:rPr>
                <w:rFonts w:cs="Arial"/>
              </w:rPr>
              <w:t>Unit or dwelling is a specific physical place that can be owned, rented, or occupied under a legally enforceable agreement</w:t>
            </w:r>
          </w:p>
          <w:p w14:paraId="123F4BB5" w14:textId="77777777" w:rsidR="0035351C" w:rsidRPr="00302741" w:rsidRDefault="0035351C" w:rsidP="008408E8">
            <w:pPr>
              <w:rPr>
                <w:rFonts w:cs="Arial"/>
                <w:b/>
                <w:bCs/>
              </w:rPr>
            </w:pPr>
          </w:p>
        </w:tc>
        <w:tc>
          <w:tcPr>
            <w:tcW w:w="3739" w:type="dxa"/>
          </w:tcPr>
          <w:p w14:paraId="1B473079" w14:textId="77777777" w:rsidR="0035351C" w:rsidRPr="0035351C" w:rsidRDefault="0035351C" w:rsidP="008408E8">
            <w:pPr>
              <w:tabs>
                <w:tab w:val="center" w:pos="4680"/>
                <w:tab w:val="right" w:pos="9360"/>
              </w:tabs>
              <w:spacing w:after="200" w:line="276" w:lineRule="auto"/>
              <w:rPr>
                <w:rFonts w:cs="Arial"/>
              </w:rPr>
            </w:pPr>
            <w:r w:rsidRPr="0035351C">
              <w:rPr>
                <w:rFonts w:cs="Arial"/>
                <w:b/>
                <w:u w:val="single"/>
              </w:rPr>
              <w:t>MA.0826, MA.0827, MA.0828, MA.40701, MA.1028:</w:t>
            </w:r>
          </w:p>
          <w:p w14:paraId="5F271947" w14:textId="4F066FBB" w:rsidR="001D1541" w:rsidRPr="00C2629A" w:rsidRDefault="00C2629A" w:rsidP="001D1541">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00756FEC" w:rsidRPr="00C2629A">
              <w:rPr>
                <w:rStyle w:val="Hyperlink"/>
                <w:rFonts w:cs="Arial"/>
                <w:bCs/>
              </w:rPr>
              <w:t xml:space="preserve">Adult Foster Care </w:t>
            </w:r>
            <w:r w:rsidR="00434322" w:rsidRPr="00DA2F88">
              <w:rPr>
                <w:rStyle w:val="Hyperlink"/>
                <w:rFonts w:cs="Arial"/>
                <w:bCs/>
              </w:rPr>
              <w:t xml:space="preserve">Provider </w:t>
            </w:r>
            <w:r w:rsidR="00756FEC" w:rsidRPr="001D400A">
              <w:rPr>
                <w:rStyle w:val="Hyperlink"/>
                <w:rFonts w:cs="Arial"/>
                <w:bCs/>
              </w:rPr>
              <w:t>Bulletin</w:t>
            </w:r>
            <w:r w:rsidR="00434322" w:rsidRPr="0058264F">
              <w:rPr>
                <w:rStyle w:val="Hyperlink"/>
                <w:rFonts w:cs="Arial"/>
                <w:bCs/>
              </w:rPr>
              <w:t xml:space="preserve"> 27</w:t>
            </w:r>
            <w:r w:rsidR="00434322" w:rsidRPr="00C2629A">
              <w:rPr>
                <w:rStyle w:val="Hyperlink"/>
                <w:rFonts w:ascii="Georgia" w:eastAsia="Times New Roman" w:hAnsi="Georgia" w:cs="Times New Roman"/>
              </w:rPr>
              <w:t xml:space="preserve">: </w:t>
            </w:r>
            <w:r w:rsidR="001D1541" w:rsidRPr="00C2629A">
              <w:rPr>
                <w:rStyle w:val="Hyperlink"/>
                <w:rFonts w:cs="Arial"/>
              </w:rPr>
              <w:t>Specific Guidance for Adult Foster Care Providers Regarding Certain Home- and Community-Based Services</w:t>
            </w:r>
          </w:p>
          <w:p w14:paraId="0BC83E8E" w14:textId="6BF6F249" w:rsidR="007415D3" w:rsidRDefault="00C2629A" w:rsidP="001D1541">
            <w:pPr>
              <w:tabs>
                <w:tab w:val="center" w:pos="4680"/>
                <w:tab w:val="right" w:pos="9360"/>
              </w:tabs>
              <w:rPr>
                <w:rStyle w:val="Hyperlink"/>
                <w:rFonts w:cs="Arial"/>
                <w:bCs/>
              </w:rPr>
            </w:pPr>
            <w:r>
              <w:rPr>
                <w:rFonts w:cs="Arial"/>
                <w:bCs/>
              </w:rPr>
              <w:fldChar w:fldCharType="end"/>
            </w:r>
          </w:p>
          <w:p w14:paraId="2148275D" w14:textId="3B94CCC8" w:rsidR="0035351C" w:rsidRPr="00302741" w:rsidRDefault="00B0344A" w:rsidP="008408E8">
            <w:pPr>
              <w:tabs>
                <w:tab w:val="center" w:pos="4680"/>
                <w:tab w:val="right" w:pos="9360"/>
              </w:tabs>
              <w:rPr>
                <w:rFonts w:cs="Arial"/>
                <w:b/>
                <w:u w:val="single"/>
              </w:rPr>
            </w:pPr>
            <w:hyperlink r:id="rId50" w:history="1">
              <w:r w:rsidR="00903BDF" w:rsidRPr="00F73C66">
                <w:rPr>
                  <w:rStyle w:val="Hyperlink"/>
                </w:rPr>
                <w:t>Adult Foster Care Provider Bulletin 28: Additional Guidance for Adult Foster Care Providers Regarding Certain Home- and Community-Based Services</w:t>
              </w:r>
            </w:hyperlink>
          </w:p>
        </w:tc>
        <w:tc>
          <w:tcPr>
            <w:tcW w:w="2483" w:type="dxa"/>
          </w:tcPr>
          <w:p w14:paraId="117C0DE1" w14:textId="7C4C4BE1" w:rsidR="0035351C" w:rsidRPr="0035351C" w:rsidRDefault="0035351C" w:rsidP="008408E8">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681ACEA2" w14:textId="4B99DE54" w:rsidR="0035351C" w:rsidRPr="00302741" w:rsidRDefault="006E4C75" w:rsidP="008408E8">
            <w:pPr>
              <w:rPr>
                <w:rFonts w:cs="Arial"/>
                <w:b/>
              </w:rPr>
            </w:pPr>
            <w:r>
              <w:rPr>
                <w:rFonts w:cs="Arial"/>
                <w:bCs/>
              </w:rPr>
              <w:t>Assessment</w:t>
            </w:r>
            <w:r w:rsidR="00EC2B47">
              <w:rPr>
                <w:rFonts w:cs="Arial"/>
                <w:bCs/>
              </w:rPr>
              <w:t>s</w:t>
            </w:r>
            <w:r>
              <w:rPr>
                <w:rFonts w:cs="Arial"/>
                <w:bCs/>
              </w:rPr>
              <w:t xml:space="preserve"> of </w:t>
            </w:r>
            <w:r w:rsidR="0035351C" w:rsidRPr="0035351C">
              <w:rPr>
                <w:rFonts w:cs="Arial"/>
                <w:bCs/>
              </w:rPr>
              <w:t xml:space="preserve">AFC homes not owned or leased by waiver participants with an unrelated caregiver </w:t>
            </w:r>
            <w:proofErr w:type="gramStart"/>
            <w:r w:rsidR="0035351C" w:rsidRPr="0035351C">
              <w:rPr>
                <w:rFonts w:cs="Arial"/>
                <w:bCs/>
              </w:rPr>
              <w:t xml:space="preserve">are </w:t>
            </w:r>
            <w:r w:rsidR="00030BCC">
              <w:rPr>
                <w:rFonts w:cs="Arial"/>
                <w:bCs/>
              </w:rPr>
              <w:t xml:space="preserve"> underway</w:t>
            </w:r>
            <w:proofErr w:type="gramEnd"/>
            <w:r w:rsidR="0035351C" w:rsidRPr="0035351C">
              <w:rPr>
                <w:rFonts w:cs="Arial"/>
                <w:bCs/>
              </w:rPr>
              <w:t>. These settings will be fully compliant by 3/17/2023.</w:t>
            </w:r>
          </w:p>
        </w:tc>
        <w:tc>
          <w:tcPr>
            <w:tcW w:w="1577" w:type="dxa"/>
          </w:tcPr>
          <w:p w14:paraId="6776115D" w14:textId="4178C876" w:rsidR="0035351C" w:rsidRPr="00866453" w:rsidRDefault="0035351C" w:rsidP="008408E8">
            <w:pPr>
              <w:rPr>
                <w:b/>
                <w:bCs/>
              </w:rPr>
            </w:pPr>
            <w:r>
              <w:rPr>
                <w:b/>
                <w:bCs/>
              </w:rPr>
              <w:t>March 202</w:t>
            </w:r>
            <w:r w:rsidR="00C0165B">
              <w:rPr>
                <w:b/>
                <w:bCs/>
              </w:rPr>
              <w:t>3</w:t>
            </w:r>
          </w:p>
        </w:tc>
      </w:tr>
      <w:bookmarkEnd w:id="3"/>
      <w:tr w:rsidR="008408E8" w14:paraId="65572C6E" w14:textId="77777777" w:rsidTr="008408E8">
        <w:trPr>
          <w:cantSplit/>
        </w:trPr>
        <w:tc>
          <w:tcPr>
            <w:tcW w:w="2847" w:type="dxa"/>
          </w:tcPr>
          <w:p w14:paraId="5CA2CDAE" w14:textId="77777777" w:rsidR="0035351C" w:rsidRPr="00302741" w:rsidRDefault="0035351C" w:rsidP="008408E8">
            <w:pPr>
              <w:rPr>
                <w:rFonts w:cs="Arial"/>
              </w:rPr>
            </w:pPr>
            <w:r w:rsidRPr="00302741">
              <w:rPr>
                <w:rFonts w:cs="Arial"/>
                <w:b/>
                <w:bCs/>
              </w:rPr>
              <w:t>441.301(c)(4)(vi)(B):</w:t>
            </w:r>
            <w:r w:rsidRPr="00302741">
              <w:rPr>
                <w:rFonts w:cs="Arial"/>
              </w:rPr>
              <w:t xml:space="preserve"> </w:t>
            </w:r>
          </w:p>
          <w:p w14:paraId="75A30819" w14:textId="6CB96992" w:rsidR="0035351C" w:rsidRPr="00302741" w:rsidRDefault="0035351C" w:rsidP="008408E8">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1E0EBA42" w14:textId="77777777" w:rsidR="0035351C" w:rsidRPr="0035351C" w:rsidRDefault="0035351C" w:rsidP="008408E8">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360C349E" w14:textId="77777777" w:rsidR="0035351C" w:rsidRPr="0035351C" w:rsidRDefault="00B0344A" w:rsidP="008408E8">
            <w:pPr>
              <w:tabs>
                <w:tab w:val="center" w:pos="4680"/>
                <w:tab w:val="right" w:pos="9360"/>
              </w:tabs>
              <w:spacing w:after="200" w:line="276" w:lineRule="auto"/>
              <w:rPr>
                <w:rFonts w:cs="Arial"/>
              </w:rPr>
            </w:pPr>
            <w:hyperlink r:id="rId51" w:history="1">
              <w:r w:rsidR="0035351C" w:rsidRPr="0035351C">
                <w:rPr>
                  <w:rFonts w:cs="Arial"/>
                  <w:color w:val="0000FF"/>
                  <w:u w:val="single"/>
                </w:rPr>
                <w:t>115 CMR 7.07(5</w:t>
              </w:r>
              <w:proofErr w:type="gramStart"/>
              <w:r w:rsidR="0035351C" w:rsidRPr="0035351C">
                <w:rPr>
                  <w:rFonts w:cs="Arial"/>
                  <w:color w:val="0000FF"/>
                  <w:u w:val="single"/>
                </w:rPr>
                <w:t>),(</w:t>
              </w:r>
              <w:proofErr w:type="gramEnd"/>
              <w:r w:rsidR="0035351C" w:rsidRPr="0035351C">
                <w:rPr>
                  <w:rFonts w:cs="Arial"/>
                  <w:color w:val="0000FF"/>
                  <w:u w:val="single"/>
                </w:rPr>
                <w:t>6),(7)</w:t>
              </w:r>
            </w:hyperlink>
            <w:r w:rsidR="0035351C" w:rsidRPr="0035351C">
              <w:rPr>
                <w:rFonts w:cs="Arial"/>
                <w:b/>
              </w:rPr>
              <w:t xml:space="preserve"> </w:t>
            </w:r>
            <w:r w:rsidR="0035351C" w:rsidRPr="0035351C">
              <w:rPr>
                <w:rFonts w:cs="Arial"/>
              </w:rPr>
              <w:t>Environmental Standards for All Site Based Services</w:t>
            </w:r>
          </w:p>
          <w:p w14:paraId="0D4B658C" w14:textId="77777777" w:rsidR="0035351C" w:rsidRPr="0035351C" w:rsidRDefault="00B0344A" w:rsidP="008408E8">
            <w:pPr>
              <w:tabs>
                <w:tab w:val="center" w:pos="4680"/>
                <w:tab w:val="right" w:pos="9360"/>
              </w:tabs>
              <w:spacing w:after="200" w:line="276" w:lineRule="auto"/>
              <w:rPr>
                <w:rFonts w:cs="Arial"/>
              </w:rPr>
            </w:pPr>
            <w:hyperlink r:id="rId52" w:history="1">
              <w:r w:rsidR="0035351C" w:rsidRPr="0035351C">
                <w:rPr>
                  <w:rFonts w:cs="Arial"/>
                  <w:color w:val="0000FF"/>
                  <w:u w:val="single"/>
                </w:rPr>
                <w:t>DDS 2016 Guidance on Locks</w:t>
              </w:r>
            </w:hyperlink>
          </w:p>
          <w:p w14:paraId="20835EAA" w14:textId="77777777" w:rsidR="0035351C" w:rsidRPr="0035351C" w:rsidRDefault="00B0344A" w:rsidP="008408E8">
            <w:pPr>
              <w:tabs>
                <w:tab w:val="center" w:pos="4680"/>
                <w:tab w:val="right" w:pos="9360"/>
              </w:tabs>
              <w:spacing w:after="200" w:line="276" w:lineRule="auto"/>
              <w:rPr>
                <w:rFonts w:cs="Arial"/>
              </w:rPr>
            </w:pPr>
            <w:hyperlink r:id="rId53" w:history="1">
              <w:r w:rsidR="0035351C" w:rsidRPr="0035351C">
                <w:rPr>
                  <w:rFonts w:cs="Arial"/>
                  <w:color w:val="0000FF"/>
                  <w:u w:val="single"/>
                </w:rPr>
                <w:t>DDS 2022 Guidance on Locks</w:t>
              </w:r>
            </w:hyperlink>
          </w:p>
          <w:p w14:paraId="6AD35913" w14:textId="77777777" w:rsidR="0035351C" w:rsidRPr="0035351C" w:rsidRDefault="0035351C" w:rsidP="008408E8">
            <w:pPr>
              <w:tabs>
                <w:tab w:val="center" w:pos="4680"/>
                <w:tab w:val="right" w:pos="9360"/>
              </w:tabs>
              <w:spacing w:after="200" w:line="276" w:lineRule="auto"/>
              <w:rPr>
                <w:rFonts w:cs="Arial"/>
              </w:rPr>
            </w:pPr>
          </w:p>
          <w:p w14:paraId="490D2C62" w14:textId="77777777" w:rsidR="0035351C" w:rsidRPr="0035351C" w:rsidRDefault="0035351C" w:rsidP="008408E8">
            <w:pPr>
              <w:tabs>
                <w:tab w:val="center" w:pos="4680"/>
                <w:tab w:val="right" w:pos="9360"/>
              </w:tabs>
              <w:spacing w:after="200" w:line="276" w:lineRule="auto"/>
              <w:rPr>
                <w:rFonts w:cs="Arial"/>
              </w:rPr>
            </w:pPr>
            <w:r w:rsidRPr="0035351C">
              <w:rPr>
                <w:rFonts w:cs="Arial"/>
                <w:b/>
                <w:u w:val="single"/>
              </w:rPr>
              <w:t>MA.40701, MA.1028:</w:t>
            </w:r>
          </w:p>
          <w:p w14:paraId="196C7675" w14:textId="77777777" w:rsidR="0035351C" w:rsidRPr="0035351C" w:rsidRDefault="00B0344A" w:rsidP="008408E8">
            <w:pPr>
              <w:tabs>
                <w:tab w:val="center" w:pos="4680"/>
                <w:tab w:val="right" w:pos="9360"/>
              </w:tabs>
              <w:spacing w:after="200" w:line="276" w:lineRule="auto"/>
              <w:rPr>
                <w:rFonts w:cs="Arial"/>
                <w:color w:val="0000FF"/>
                <w:u w:val="single"/>
              </w:rPr>
            </w:pPr>
            <w:hyperlink r:id="rId54" w:history="1">
              <w:r w:rsidR="0035351C" w:rsidRPr="0035351C">
                <w:rPr>
                  <w:rFonts w:cs="Arial"/>
                  <w:color w:val="0000FF"/>
                  <w:u w:val="single"/>
                </w:rPr>
                <w:t>ABI/MFP policy manual</w:t>
              </w:r>
            </w:hyperlink>
            <w:r w:rsidR="0035351C" w:rsidRPr="0035351C">
              <w:rPr>
                <w:rFonts w:cs="Arial"/>
              </w:rPr>
              <w:t xml:space="preserve"> and </w:t>
            </w:r>
            <w:hyperlink r:id="rId55" w:history="1">
              <w:r w:rsidR="0035351C" w:rsidRPr="0035351C">
                <w:rPr>
                  <w:rFonts w:cs="Arial"/>
                  <w:color w:val="0000FF"/>
                  <w:u w:val="single"/>
                </w:rPr>
                <w:t>member handbook</w:t>
              </w:r>
            </w:hyperlink>
          </w:p>
          <w:p w14:paraId="0A7A972E" w14:textId="77777777" w:rsidR="0035351C" w:rsidRPr="00302741" w:rsidRDefault="0035351C" w:rsidP="008408E8">
            <w:pPr>
              <w:tabs>
                <w:tab w:val="center" w:pos="4680"/>
                <w:tab w:val="right" w:pos="9360"/>
              </w:tabs>
              <w:rPr>
                <w:rFonts w:cs="Arial"/>
                <w:b/>
                <w:u w:val="single"/>
              </w:rPr>
            </w:pPr>
          </w:p>
        </w:tc>
        <w:tc>
          <w:tcPr>
            <w:tcW w:w="2483" w:type="dxa"/>
          </w:tcPr>
          <w:p w14:paraId="1C066900" w14:textId="5C985506" w:rsidR="0035351C" w:rsidRPr="00302741" w:rsidRDefault="0035351C" w:rsidP="008408E8">
            <w:pPr>
              <w:rPr>
                <w:rFonts w:cs="Arial"/>
                <w:b/>
              </w:rPr>
            </w:pPr>
            <w:r w:rsidRPr="00302741">
              <w:rPr>
                <w:rFonts w:cs="Arial"/>
                <w:b/>
              </w:rPr>
              <w:t>State standards are compliant with the HCBS Settings Rule.</w:t>
            </w:r>
            <w:r w:rsidRPr="00302741">
              <w:rPr>
                <w:rFonts w:cs="Arial"/>
              </w:rPr>
              <w:t xml:space="preserve"> The cited DDS regulations provide for individual privacy. State standards </w:t>
            </w:r>
            <w:r>
              <w:rPr>
                <w:rFonts w:cs="Arial"/>
              </w:rPr>
              <w:t>were</w:t>
            </w:r>
            <w:r w:rsidRPr="00302741">
              <w:rPr>
                <w:rFonts w:cs="Arial"/>
              </w:rPr>
              <w:t xml:space="preserve"> strengthened further through issuance of a policy manual and member handbook for MA.40701 and MA.1028</w:t>
            </w:r>
            <w:r>
              <w:rPr>
                <w:rFonts w:cs="Arial"/>
              </w:rPr>
              <w:t xml:space="preserve"> (July 2017). DDS issued provider guidance on locks in 2016 and 2022.</w:t>
            </w:r>
          </w:p>
        </w:tc>
        <w:tc>
          <w:tcPr>
            <w:tcW w:w="1577" w:type="dxa"/>
          </w:tcPr>
          <w:p w14:paraId="42FF92C5" w14:textId="77777777" w:rsidR="00C0165B" w:rsidRDefault="00C0165B" w:rsidP="008408E8">
            <w:pPr>
              <w:rPr>
                <w:b/>
                <w:bCs/>
              </w:rPr>
            </w:pPr>
            <w:r w:rsidRPr="006C48CB">
              <w:t>115 CMR 7 updated in</w:t>
            </w:r>
            <w:r>
              <w:rPr>
                <w:b/>
                <w:bCs/>
              </w:rPr>
              <w:t xml:space="preserve"> July 2016.</w:t>
            </w:r>
          </w:p>
          <w:p w14:paraId="7C7581C0" w14:textId="77777777" w:rsidR="00C0165B" w:rsidRDefault="00C0165B" w:rsidP="008408E8"/>
          <w:p w14:paraId="5EACAF42" w14:textId="7C38EEBA" w:rsidR="0035351C" w:rsidRDefault="0035351C" w:rsidP="008408E8">
            <w:pPr>
              <w:rPr>
                <w:b/>
                <w:bCs/>
              </w:rPr>
            </w:pPr>
            <w:r>
              <w:t xml:space="preserve">Lock guidance updates </w:t>
            </w:r>
            <w:r>
              <w:rPr>
                <w:b/>
                <w:bCs/>
              </w:rPr>
              <w:t xml:space="preserve">2016 and </w:t>
            </w:r>
            <w:r w:rsidR="00F72234">
              <w:rPr>
                <w:b/>
                <w:bCs/>
              </w:rPr>
              <w:t xml:space="preserve">October </w:t>
            </w:r>
            <w:r>
              <w:rPr>
                <w:b/>
                <w:bCs/>
              </w:rPr>
              <w:t>2022.</w:t>
            </w:r>
          </w:p>
          <w:p w14:paraId="3B331AD3" w14:textId="4F60B25A" w:rsidR="0035351C" w:rsidRDefault="0035351C" w:rsidP="008408E8">
            <w:pPr>
              <w:rPr>
                <w:b/>
                <w:bCs/>
              </w:rPr>
            </w:pPr>
          </w:p>
          <w:p w14:paraId="3DE7D89C" w14:textId="77777777" w:rsidR="009857E6" w:rsidRDefault="009857E6" w:rsidP="009857E6">
            <w:r>
              <w:t xml:space="preserve">Policy manual updated in December 2016. </w:t>
            </w:r>
          </w:p>
          <w:p w14:paraId="026D9DD6" w14:textId="77777777" w:rsidR="009857E6" w:rsidRDefault="009857E6" w:rsidP="009857E6"/>
          <w:p w14:paraId="424CC0F5" w14:textId="77777777" w:rsidR="009857E6" w:rsidRDefault="009857E6" w:rsidP="009857E6">
            <w:r>
              <w:t>Member handbook updated in August 2019.</w:t>
            </w:r>
          </w:p>
          <w:p w14:paraId="4BA71969" w14:textId="77777777" w:rsidR="009857E6" w:rsidRDefault="009857E6" w:rsidP="008408E8">
            <w:pPr>
              <w:rPr>
                <w:b/>
                <w:bCs/>
              </w:rPr>
            </w:pPr>
          </w:p>
          <w:p w14:paraId="06AC72E8" w14:textId="77777777" w:rsidR="009857E6" w:rsidRDefault="009857E6" w:rsidP="008408E8"/>
          <w:p w14:paraId="4585F2FA" w14:textId="77777777" w:rsidR="009857E6" w:rsidRDefault="009857E6" w:rsidP="008408E8"/>
          <w:p w14:paraId="3CF6DBB3" w14:textId="472E6172" w:rsidR="0035351C" w:rsidRPr="0035351C" w:rsidRDefault="0035351C" w:rsidP="008408E8">
            <w:pPr>
              <w:rPr>
                <w:b/>
              </w:rPr>
            </w:pPr>
          </w:p>
        </w:tc>
      </w:tr>
      <w:tr w:rsidR="00085BFC" w14:paraId="5388A208" w14:textId="77777777" w:rsidTr="008408E8">
        <w:trPr>
          <w:cantSplit/>
        </w:trPr>
        <w:tc>
          <w:tcPr>
            <w:tcW w:w="2847" w:type="dxa"/>
          </w:tcPr>
          <w:p w14:paraId="69541D2F" w14:textId="77777777" w:rsidR="00085BFC" w:rsidRPr="00302741" w:rsidRDefault="00085BFC" w:rsidP="00085BFC">
            <w:pPr>
              <w:rPr>
                <w:rFonts w:cs="Arial"/>
              </w:rPr>
            </w:pPr>
            <w:r w:rsidRPr="00302741">
              <w:rPr>
                <w:rFonts w:cs="Arial"/>
                <w:b/>
                <w:bCs/>
              </w:rPr>
              <w:lastRenderedPageBreak/>
              <w:t>441.301(c)(4)(vi)(B):</w:t>
            </w:r>
            <w:r w:rsidRPr="00302741">
              <w:rPr>
                <w:rFonts w:cs="Arial"/>
              </w:rPr>
              <w:t xml:space="preserve"> </w:t>
            </w:r>
          </w:p>
          <w:p w14:paraId="0CE1A12C" w14:textId="5AF08584" w:rsidR="00085BFC" w:rsidRPr="00302741" w:rsidRDefault="00085BFC" w:rsidP="00085BFC">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026EDFE1" w14:textId="77777777" w:rsidR="00085BFC" w:rsidRPr="0035351C" w:rsidRDefault="00085BFC" w:rsidP="00085BFC">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3E96F80A" w14:textId="77777777" w:rsidR="00085BFC" w:rsidRDefault="00085BFC" w:rsidP="00085BFC">
            <w:pPr>
              <w:tabs>
                <w:tab w:val="center" w:pos="4680"/>
                <w:tab w:val="right" w:pos="9360"/>
              </w:tabs>
              <w:rPr>
                <w:rFonts w:cs="Arial"/>
                <w:bCs/>
                <w:u w:val="single"/>
              </w:rPr>
            </w:pPr>
          </w:p>
          <w:p w14:paraId="6890D71B" w14:textId="77777777" w:rsidR="001D400A" w:rsidRPr="00C2629A" w:rsidRDefault="001D400A" w:rsidP="001D400A">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179926A4" w14:textId="77777777" w:rsidR="001D400A" w:rsidRDefault="001D400A" w:rsidP="001D400A">
            <w:pPr>
              <w:tabs>
                <w:tab w:val="center" w:pos="4680"/>
                <w:tab w:val="right" w:pos="9360"/>
              </w:tabs>
              <w:rPr>
                <w:rStyle w:val="Hyperlink"/>
                <w:rFonts w:cs="Arial"/>
                <w:bCs/>
              </w:rPr>
            </w:pPr>
            <w:r>
              <w:rPr>
                <w:rFonts w:cs="Arial"/>
                <w:bCs/>
              </w:rPr>
              <w:fldChar w:fldCharType="end"/>
            </w:r>
          </w:p>
          <w:p w14:paraId="46F0C11E" w14:textId="78222FB0" w:rsidR="00085BFC" w:rsidRPr="0035351C" w:rsidRDefault="00B0344A" w:rsidP="00085BFC">
            <w:pPr>
              <w:tabs>
                <w:tab w:val="center" w:pos="4680"/>
                <w:tab w:val="right" w:pos="9360"/>
              </w:tabs>
              <w:rPr>
                <w:rFonts w:cs="Arial"/>
                <w:b/>
                <w:u w:val="single"/>
              </w:rPr>
            </w:pPr>
            <w:hyperlink r:id="rId56" w:history="1">
              <w:r w:rsidR="001D400A" w:rsidRPr="00F73C66">
                <w:rPr>
                  <w:rStyle w:val="Hyperlink"/>
                </w:rPr>
                <w:t>Adult Foster Care Provider Bulletin 28: Additional Guidance for Adult Foster Care Providers Regarding Certain Home- and Community-Based Services</w:t>
              </w:r>
            </w:hyperlink>
          </w:p>
        </w:tc>
        <w:tc>
          <w:tcPr>
            <w:tcW w:w="2483" w:type="dxa"/>
          </w:tcPr>
          <w:p w14:paraId="415DFE4E" w14:textId="5C46FEA3" w:rsidR="00085BFC" w:rsidRPr="0035351C" w:rsidRDefault="00085BFC" w:rsidP="00085BFC">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1D2D7537" w14:textId="56CAED73" w:rsidR="00085BFC" w:rsidRPr="00302741" w:rsidRDefault="00ED6960" w:rsidP="00085BFC">
            <w:pPr>
              <w:rPr>
                <w:rFonts w:cs="Arial"/>
                <w:b/>
              </w:rPr>
            </w:pPr>
            <w:r>
              <w:rPr>
                <w:rFonts w:cs="Arial"/>
                <w:bCs/>
              </w:rPr>
              <w:t>Assessment</w:t>
            </w:r>
            <w:r w:rsidR="00EA4C62">
              <w:rPr>
                <w:rFonts w:cs="Arial"/>
                <w:bCs/>
              </w:rPr>
              <w:t>s</w:t>
            </w:r>
            <w:r>
              <w:rPr>
                <w:rFonts w:cs="Arial"/>
                <w:bCs/>
              </w:rPr>
              <w:t xml:space="preserve"> of </w:t>
            </w:r>
            <w:r w:rsidR="00085BFC" w:rsidRPr="0035351C">
              <w:rPr>
                <w:rFonts w:cs="Arial"/>
                <w:bCs/>
              </w:rPr>
              <w:t xml:space="preserve">AFC homes not owned or leased by waiver participants with an unrelated caregiver are </w:t>
            </w:r>
            <w:r>
              <w:rPr>
                <w:rFonts w:cs="Arial"/>
                <w:bCs/>
              </w:rPr>
              <w:t>underway</w:t>
            </w:r>
            <w:r w:rsidR="00085BFC" w:rsidRPr="0035351C">
              <w:rPr>
                <w:rFonts w:cs="Arial"/>
                <w:bCs/>
              </w:rPr>
              <w:t>. These settings will be fully compliant by 3/17/2023.</w:t>
            </w:r>
          </w:p>
        </w:tc>
        <w:tc>
          <w:tcPr>
            <w:tcW w:w="1577" w:type="dxa"/>
          </w:tcPr>
          <w:p w14:paraId="73F6863C" w14:textId="4FA6ED36" w:rsidR="00085BFC" w:rsidRPr="006C48CB" w:rsidRDefault="00085BFC" w:rsidP="00085BFC">
            <w:r>
              <w:rPr>
                <w:b/>
                <w:bCs/>
              </w:rPr>
              <w:t>March 2023</w:t>
            </w:r>
          </w:p>
        </w:tc>
      </w:tr>
      <w:tr w:rsidR="00085BFC" w14:paraId="016DD625" w14:textId="77777777" w:rsidTr="008408E8">
        <w:trPr>
          <w:cantSplit/>
        </w:trPr>
        <w:tc>
          <w:tcPr>
            <w:tcW w:w="2847" w:type="dxa"/>
          </w:tcPr>
          <w:p w14:paraId="464C7541" w14:textId="77777777" w:rsidR="00085BFC" w:rsidRPr="0035351C" w:rsidRDefault="00085BFC" w:rsidP="00085BFC">
            <w:pPr>
              <w:spacing w:after="200" w:line="276" w:lineRule="auto"/>
              <w:rPr>
                <w:rFonts w:cs="Arial"/>
              </w:rPr>
            </w:pPr>
            <w:r w:rsidRPr="0035351C">
              <w:rPr>
                <w:rFonts w:cs="Arial"/>
                <w:b/>
                <w:bCs/>
              </w:rPr>
              <w:t>441.301(c)(4)(vi)(C):</w:t>
            </w:r>
            <w:r w:rsidRPr="0035351C">
              <w:rPr>
                <w:rFonts w:cs="Arial"/>
              </w:rPr>
              <w:t xml:space="preserve"> </w:t>
            </w:r>
          </w:p>
          <w:p w14:paraId="0BAF92CE" w14:textId="7E3B26D6" w:rsidR="00085BFC" w:rsidRPr="00302741" w:rsidRDefault="00085BFC" w:rsidP="00085BFC">
            <w:pPr>
              <w:rPr>
                <w:rFonts w:cs="Arial"/>
                <w:b/>
                <w:bCs/>
              </w:rPr>
            </w:pPr>
            <w:r w:rsidRPr="0035351C">
              <w:rPr>
                <w:rFonts w:cs="Arial"/>
              </w:rPr>
              <w:t>Individuals have freedom to control their own schedules and activities and have access to food at any time</w:t>
            </w:r>
          </w:p>
        </w:tc>
        <w:tc>
          <w:tcPr>
            <w:tcW w:w="3739" w:type="dxa"/>
          </w:tcPr>
          <w:p w14:paraId="01DC920A" w14:textId="77777777" w:rsidR="00696A4B" w:rsidRDefault="00085BFC" w:rsidP="00085BFC">
            <w:pPr>
              <w:tabs>
                <w:tab w:val="center" w:pos="4680"/>
                <w:tab w:val="right" w:pos="9360"/>
              </w:tabs>
            </w:pPr>
            <w:r w:rsidRPr="00302741">
              <w:rPr>
                <w:rFonts w:cs="Arial"/>
                <w:b/>
                <w:u w:val="single"/>
              </w:rPr>
              <w:t>MA.0826, MA.0827, MA.0828, MA.40701, MA.1028:</w:t>
            </w:r>
            <w:r w:rsidRPr="00302741">
              <w:rPr>
                <w:rFonts w:cs="Arial"/>
                <w:b/>
              </w:rPr>
              <w:t xml:space="preserve"> </w:t>
            </w:r>
            <w:r w:rsidRPr="00302741">
              <w:rPr>
                <w:rFonts w:cs="Arial"/>
                <w:b/>
              </w:rPr>
              <w:br/>
            </w:r>
          </w:p>
          <w:p w14:paraId="4DC843CD" w14:textId="66FC8DE6" w:rsidR="00085BFC" w:rsidRPr="00302741" w:rsidRDefault="00B0344A" w:rsidP="00085BFC">
            <w:pPr>
              <w:tabs>
                <w:tab w:val="center" w:pos="4680"/>
                <w:tab w:val="right" w:pos="9360"/>
              </w:tabs>
              <w:rPr>
                <w:rFonts w:cs="Arial"/>
              </w:rPr>
            </w:pPr>
            <w:hyperlink r:id="rId57" w:history="1">
              <w:r w:rsidR="00085BFC" w:rsidRPr="00D756F7">
                <w:rPr>
                  <w:rStyle w:val="Hyperlink"/>
                  <w:rFonts w:cs="Arial"/>
                </w:rPr>
                <w:t>115 CMR 7.0</w:t>
              </w:r>
              <w:r w:rsidR="00085BFC">
                <w:rPr>
                  <w:rStyle w:val="Hyperlink"/>
                  <w:rFonts w:cs="Arial"/>
                </w:rPr>
                <w:t>4(1)</w:t>
              </w:r>
              <w:r w:rsidR="00085BFC" w:rsidRPr="00D756F7">
                <w:rPr>
                  <w:rStyle w:val="Hyperlink"/>
                  <w:rFonts w:cs="Arial"/>
                </w:rPr>
                <w:t>(b</w:t>
              </w:r>
              <w:proofErr w:type="gramStart"/>
              <w:r w:rsidR="00085BFC" w:rsidRPr="00D756F7">
                <w:rPr>
                  <w:rStyle w:val="Hyperlink"/>
                  <w:rFonts w:cs="Arial"/>
                </w:rPr>
                <w:t>)</w:t>
              </w:r>
              <w:r w:rsidR="00085BFC">
                <w:rPr>
                  <w:rStyle w:val="Hyperlink"/>
                  <w:rFonts w:cs="Arial"/>
                </w:rPr>
                <w:t>,</w:t>
              </w:r>
              <w:r w:rsidR="00085BFC" w:rsidRPr="00D756F7">
                <w:rPr>
                  <w:rStyle w:val="Hyperlink"/>
                  <w:rFonts w:cs="Arial"/>
                </w:rPr>
                <w:t>(</w:t>
              </w:r>
              <w:proofErr w:type="gramEnd"/>
              <w:r w:rsidR="00085BFC" w:rsidRPr="00D756F7">
                <w:rPr>
                  <w:rStyle w:val="Hyperlink"/>
                  <w:rFonts w:cs="Arial"/>
                </w:rPr>
                <w:t>c)</w:t>
              </w:r>
              <w:r w:rsidR="00085BFC">
                <w:rPr>
                  <w:rStyle w:val="Hyperlink"/>
                  <w:rFonts w:cs="Arial"/>
                </w:rPr>
                <w:t>,</w:t>
              </w:r>
              <w:r w:rsidR="00085BFC" w:rsidRPr="00D756F7">
                <w:rPr>
                  <w:rStyle w:val="Hyperlink"/>
                  <w:rFonts w:cs="Arial"/>
                </w:rPr>
                <w:t>(f)</w:t>
              </w:r>
            </w:hyperlink>
            <w:r w:rsidR="00085BFC" w:rsidRPr="00302741">
              <w:rPr>
                <w:rFonts w:cs="Arial"/>
                <w:b/>
              </w:rPr>
              <w:t xml:space="preserve"> </w:t>
            </w:r>
            <w:r w:rsidR="00085BFC" w:rsidRPr="00302741">
              <w:rPr>
                <w:rFonts w:cs="Arial"/>
              </w:rPr>
              <w:t xml:space="preserve">Individual </w:t>
            </w:r>
            <w:r w:rsidR="00085BFC">
              <w:rPr>
                <w:rFonts w:cs="Arial"/>
              </w:rPr>
              <w:t xml:space="preserve">Choice and </w:t>
            </w:r>
            <w:r w:rsidR="00085BFC" w:rsidRPr="00302741">
              <w:rPr>
                <w:rFonts w:cs="Arial"/>
              </w:rPr>
              <w:t>Control</w:t>
            </w:r>
            <w:r w:rsidR="00085BFC">
              <w:rPr>
                <w:rFonts w:cs="Arial"/>
              </w:rPr>
              <w:t>;</w:t>
            </w:r>
            <w:r w:rsidR="00085BFC" w:rsidRPr="00302741">
              <w:rPr>
                <w:rFonts w:cs="Arial"/>
              </w:rPr>
              <w:t xml:space="preserve"> Community Membership</w:t>
            </w:r>
            <w:r w:rsidR="00085BFC">
              <w:rPr>
                <w:rFonts w:cs="Arial"/>
              </w:rPr>
              <w:t>;</w:t>
            </w:r>
            <w:r w:rsidR="00085BFC" w:rsidRPr="00302741">
              <w:rPr>
                <w:rFonts w:cs="Arial"/>
              </w:rPr>
              <w:t xml:space="preserve"> </w:t>
            </w:r>
            <w:r w:rsidR="00085BFC">
              <w:rPr>
                <w:rFonts w:cs="Arial"/>
              </w:rPr>
              <w:t>Health, Safety, and Economic Security</w:t>
            </w:r>
          </w:p>
          <w:p w14:paraId="16DDFE25" w14:textId="77777777" w:rsidR="00085BFC" w:rsidRPr="00302741" w:rsidRDefault="00085BFC" w:rsidP="00085BFC">
            <w:pPr>
              <w:tabs>
                <w:tab w:val="center" w:pos="4680"/>
                <w:tab w:val="right" w:pos="9360"/>
              </w:tabs>
              <w:rPr>
                <w:rFonts w:cs="Arial"/>
                <w:b/>
                <w:u w:val="single"/>
              </w:rPr>
            </w:pPr>
          </w:p>
          <w:p w14:paraId="5D6B8FC8" w14:textId="77777777" w:rsidR="00085BFC" w:rsidRPr="00302741" w:rsidRDefault="00085BFC" w:rsidP="00085BFC">
            <w:pPr>
              <w:tabs>
                <w:tab w:val="center" w:pos="4680"/>
                <w:tab w:val="right" w:pos="9360"/>
              </w:tabs>
              <w:rPr>
                <w:rFonts w:cs="Arial"/>
                <w:b/>
              </w:rPr>
            </w:pPr>
            <w:r w:rsidRPr="00302741">
              <w:rPr>
                <w:rFonts w:cs="Arial"/>
                <w:b/>
                <w:u w:val="single"/>
              </w:rPr>
              <w:t>MA.0826, MA.0827, MA.0828:</w:t>
            </w:r>
          </w:p>
          <w:p w14:paraId="4892F806" w14:textId="77777777" w:rsidR="00696A4B" w:rsidRDefault="00696A4B" w:rsidP="00085BFC">
            <w:pPr>
              <w:tabs>
                <w:tab w:val="center" w:pos="4680"/>
                <w:tab w:val="right" w:pos="9360"/>
              </w:tabs>
            </w:pPr>
          </w:p>
          <w:p w14:paraId="0277CA4B" w14:textId="05DB492D" w:rsidR="00085BFC" w:rsidRPr="00302741" w:rsidRDefault="00B0344A" w:rsidP="00085BFC">
            <w:pPr>
              <w:tabs>
                <w:tab w:val="center" w:pos="4680"/>
                <w:tab w:val="right" w:pos="9360"/>
              </w:tabs>
              <w:rPr>
                <w:rFonts w:cs="Arial"/>
              </w:rPr>
            </w:pPr>
            <w:hyperlink r:id="rId58" w:history="1">
              <w:r w:rsidR="00085BFC" w:rsidRPr="00F76E56">
                <w:rPr>
                  <w:rStyle w:val="Hyperlink"/>
                  <w:rFonts w:cs="Arial"/>
                </w:rPr>
                <w:t>115 CMR 5.03(</w:t>
              </w:r>
              <w:r w:rsidR="00085BFC">
                <w:rPr>
                  <w:rStyle w:val="Hyperlink"/>
                  <w:rFonts w:cs="Arial"/>
                </w:rPr>
                <w:t>3</w:t>
              </w:r>
              <w:r w:rsidR="00085BFC" w:rsidRPr="00F76E56">
                <w:rPr>
                  <w:rStyle w:val="Hyperlink"/>
                  <w:rFonts w:cs="Arial"/>
                </w:rPr>
                <w:t>)(c)</w:t>
              </w:r>
            </w:hyperlink>
            <w:r w:rsidR="00085BFC" w:rsidRPr="00302741">
              <w:rPr>
                <w:rFonts w:cs="Arial"/>
                <w:b/>
              </w:rPr>
              <w:t xml:space="preserve"> </w:t>
            </w:r>
            <w:r w:rsidR="00085BFC">
              <w:rPr>
                <w:rFonts w:cs="Arial"/>
              </w:rPr>
              <w:t>General Principles (self-determination and freedom of choice)</w:t>
            </w:r>
          </w:p>
          <w:p w14:paraId="48986288" w14:textId="77777777" w:rsidR="00085BFC" w:rsidRPr="00302741" w:rsidRDefault="00085BFC" w:rsidP="00085BFC">
            <w:pPr>
              <w:tabs>
                <w:tab w:val="center" w:pos="4680"/>
                <w:tab w:val="right" w:pos="9360"/>
              </w:tabs>
              <w:rPr>
                <w:rFonts w:cs="Arial"/>
              </w:rPr>
            </w:pPr>
          </w:p>
          <w:p w14:paraId="1908D999" w14:textId="77777777" w:rsidR="00085BFC" w:rsidRPr="00302741" w:rsidRDefault="00085BFC" w:rsidP="00085BFC">
            <w:pPr>
              <w:tabs>
                <w:tab w:val="center" w:pos="4680"/>
                <w:tab w:val="right" w:pos="9360"/>
              </w:tabs>
              <w:rPr>
                <w:rFonts w:cs="Arial"/>
              </w:rPr>
            </w:pPr>
            <w:r w:rsidRPr="00302741">
              <w:rPr>
                <w:rFonts w:cs="Arial"/>
                <w:b/>
                <w:u w:val="single"/>
              </w:rPr>
              <w:t>MA.40701, MA.1028:</w:t>
            </w:r>
          </w:p>
          <w:p w14:paraId="7FB7DA13" w14:textId="77777777" w:rsidR="00696A4B" w:rsidRDefault="00696A4B" w:rsidP="00085BFC">
            <w:pPr>
              <w:tabs>
                <w:tab w:val="center" w:pos="4680"/>
                <w:tab w:val="right" w:pos="9360"/>
              </w:tabs>
            </w:pPr>
          </w:p>
          <w:p w14:paraId="699FA11B" w14:textId="4941E340" w:rsidR="00085BFC" w:rsidRPr="00302741" w:rsidRDefault="00B0344A" w:rsidP="00085BFC">
            <w:pPr>
              <w:tabs>
                <w:tab w:val="center" w:pos="4680"/>
                <w:tab w:val="right" w:pos="9360"/>
              </w:tabs>
              <w:rPr>
                <w:rFonts w:cs="Arial"/>
                <w:b/>
                <w:u w:val="single"/>
              </w:rPr>
            </w:pPr>
            <w:hyperlink r:id="rId59" w:history="1">
              <w:r w:rsidR="00085BFC" w:rsidRPr="001256D2">
                <w:rPr>
                  <w:rStyle w:val="Hyperlink"/>
                  <w:rFonts w:cs="Arial"/>
                </w:rPr>
                <w:t>ABI/MFP policy manual</w:t>
              </w:r>
            </w:hyperlink>
            <w:r w:rsidR="00085BFC" w:rsidRPr="00302741">
              <w:rPr>
                <w:rFonts w:cs="Arial"/>
              </w:rPr>
              <w:t xml:space="preserve"> and </w:t>
            </w:r>
            <w:hyperlink r:id="rId60" w:history="1">
              <w:r w:rsidR="00085BFC" w:rsidRPr="00C36397">
                <w:rPr>
                  <w:rStyle w:val="Hyperlink"/>
                  <w:rFonts w:cs="Arial"/>
                </w:rPr>
                <w:t>member handbook</w:t>
              </w:r>
            </w:hyperlink>
          </w:p>
        </w:tc>
        <w:tc>
          <w:tcPr>
            <w:tcW w:w="2483" w:type="dxa"/>
          </w:tcPr>
          <w:p w14:paraId="5103132F" w14:textId="77777777" w:rsidR="00085BFC" w:rsidRPr="0035351C" w:rsidRDefault="00085BFC" w:rsidP="00085BFC">
            <w:pPr>
              <w:tabs>
                <w:tab w:val="center" w:pos="4680"/>
                <w:tab w:val="right" w:pos="9360"/>
              </w:tabs>
              <w:spacing w:after="200" w:line="276" w:lineRule="auto"/>
              <w:rPr>
                <w:rFonts w:cs="Arial"/>
              </w:rPr>
            </w:pPr>
            <w:r w:rsidRPr="0035351C">
              <w:rPr>
                <w:rFonts w:cs="Arial"/>
                <w:b/>
              </w:rPr>
              <w:t>State standards are compliant with the HCBS Settings Rule.</w:t>
            </w:r>
            <w:r w:rsidRPr="0035351C">
              <w:rPr>
                <w:rFonts w:cs="Arial"/>
              </w:rPr>
              <w:t xml:space="preserve"> The cited DDS regulations and sub regulatory standards establish freedom of individual choice in all aspects of community living, including the right and freedom to choose food, schedules, and activities. State standards were strengthened further with issuance of a policy manual and member handbook for MA.40701 and MA.1028 (completed July 2017).</w:t>
            </w:r>
          </w:p>
          <w:p w14:paraId="2BF47276" w14:textId="77777777" w:rsidR="00085BFC" w:rsidRPr="00302741" w:rsidRDefault="00085BFC" w:rsidP="00085BFC">
            <w:pPr>
              <w:rPr>
                <w:rFonts w:cs="Arial"/>
                <w:b/>
              </w:rPr>
            </w:pPr>
          </w:p>
        </w:tc>
        <w:tc>
          <w:tcPr>
            <w:tcW w:w="1577" w:type="dxa"/>
          </w:tcPr>
          <w:p w14:paraId="46AA43C4" w14:textId="6B7396FC" w:rsidR="00085BFC" w:rsidRDefault="00085BFC" w:rsidP="00085BFC">
            <w:pPr>
              <w:rPr>
                <w:b/>
                <w:bCs/>
              </w:rPr>
            </w:pPr>
            <w:r w:rsidRPr="00C0165B">
              <w:t>115 CMR 7 updated in</w:t>
            </w:r>
            <w:r>
              <w:rPr>
                <w:b/>
                <w:bCs/>
              </w:rPr>
              <w:t xml:space="preserve"> July 2016.</w:t>
            </w:r>
          </w:p>
          <w:p w14:paraId="4C742068" w14:textId="1E0C0E20" w:rsidR="00085BFC" w:rsidRDefault="00085BFC" w:rsidP="00085BFC">
            <w:pPr>
              <w:rPr>
                <w:b/>
                <w:bCs/>
              </w:rPr>
            </w:pPr>
          </w:p>
          <w:p w14:paraId="4F869B05" w14:textId="0B4A3A3C" w:rsidR="00085BFC" w:rsidRDefault="00085BFC" w:rsidP="00085BFC">
            <w:pPr>
              <w:rPr>
                <w:b/>
                <w:bCs/>
              </w:rPr>
            </w:pPr>
            <w:r w:rsidRPr="00C0165B">
              <w:t>115 CMR 5 updated in</w:t>
            </w:r>
            <w:r>
              <w:rPr>
                <w:b/>
                <w:bCs/>
              </w:rPr>
              <w:t xml:space="preserve"> February 2020.</w:t>
            </w:r>
          </w:p>
          <w:p w14:paraId="39A8D51B" w14:textId="1D044753" w:rsidR="00085BFC" w:rsidRDefault="00085BFC" w:rsidP="00085BFC">
            <w:pPr>
              <w:rPr>
                <w:b/>
                <w:bCs/>
              </w:rPr>
            </w:pPr>
          </w:p>
          <w:p w14:paraId="1C196CA3" w14:textId="77777777" w:rsidR="009857E6" w:rsidRDefault="009857E6" w:rsidP="009857E6">
            <w:r>
              <w:t xml:space="preserve">Policy manual updated in December 2016. </w:t>
            </w:r>
          </w:p>
          <w:p w14:paraId="16697472" w14:textId="77777777" w:rsidR="009857E6" w:rsidRDefault="009857E6" w:rsidP="009857E6"/>
          <w:p w14:paraId="66A4FAF9" w14:textId="77777777" w:rsidR="009857E6" w:rsidRDefault="009857E6" w:rsidP="009857E6">
            <w:r>
              <w:t>Member handbook updated in August 2019.</w:t>
            </w:r>
          </w:p>
          <w:p w14:paraId="4D2D1071" w14:textId="77777777" w:rsidR="009857E6" w:rsidRDefault="009857E6" w:rsidP="00085BFC"/>
          <w:p w14:paraId="45E22AC6" w14:textId="77777777" w:rsidR="009857E6" w:rsidRDefault="009857E6" w:rsidP="00085BFC"/>
          <w:p w14:paraId="2B6F9D53" w14:textId="77777777" w:rsidR="009857E6" w:rsidRDefault="009857E6" w:rsidP="00085BFC"/>
          <w:p w14:paraId="5BD7D0B0" w14:textId="4362F6FE" w:rsidR="00085BFC" w:rsidRPr="00866453" w:rsidRDefault="00085BFC" w:rsidP="009857E6">
            <w:pPr>
              <w:rPr>
                <w:b/>
                <w:bCs/>
              </w:rPr>
            </w:pPr>
          </w:p>
        </w:tc>
      </w:tr>
      <w:tr w:rsidR="00CC4608" w14:paraId="7ACC3EAF" w14:textId="77777777" w:rsidTr="008408E8">
        <w:trPr>
          <w:cantSplit/>
        </w:trPr>
        <w:tc>
          <w:tcPr>
            <w:tcW w:w="2847" w:type="dxa"/>
          </w:tcPr>
          <w:p w14:paraId="01EA3C26" w14:textId="77777777" w:rsidR="00CC4608" w:rsidRPr="0035351C" w:rsidRDefault="00CC4608" w:rsidP="00CC4608">
            <w:pPr>
              <w:spacing w:after="200" w:line="276" w:lineRule="auto"/>
              <w:rPr>
                <w:rFonts w:cs="Arial"/>
              </w:rPr>
            </w:pPr>
            <w:r w:rsidRPr="0035351C">
              <w:rPr>
                <w:rFonts w:cs="Arial"/>
                <w:b/>
                <w:bCs/>
              </w:rPr>
              <w:lastRenderedPageBreak/>
              <w:t>441.301(c)(4)(vi)(C):</w:t>
            </w:r>
            <w:r w:rsidRPr="0035351C">
              <w:rPr>
                <w:rFonts w:cs="Arial"/>
              </w:rPr>
              <w:t xml:space="preserve"> </w:t>
            </w:r>
          </w:p>
          <w:p w14:paraId="0522C454" w14:textId="12121F4D" w:rsidR="00CC4608" w:rsidRPr="0035351C" w:rsidRDefault="00CC4608" w:rsidP="00CC4608">
            <w:pPr>
              <w:rPr>
                <w:rFonts w:cs="Arial"/>
                <w:b/>
                <w:bCs/>
              </w:rPr>
            </w:pPr>
            <w:r w:rsidRPr="0035351C">
              <w:rPr>
                <w:rFonts w:cs="Arial"/>
              </w:rPr>
              <w:t>Individuals have freedom to control their own schedules and activities and have access to food at any time</w:t>
            </w:r>
          </w:p>
        </w:tc>
        <w:tc>
          <w:tcPr>
            <w:tcW w:w="3739" w:type="dxa"/>
          </w:tcPr>
          <w:p w14:paraId="5AFF1DDA" w14:textId="337E7EF7" w:rsidR="00CC4608" w:rsidRDefault="00CC4608" w:rsidP="00CC4608">
            <w:pPr>
              <w:tabs>
                <w:tab w:val="center" w:pos="4680"/>
                <w:tab w:val="right" w:pos="9360"/>
              </w:tabs>
              <w:rPr>
                <w:rFonts w:cs="Arial"/>
                <w:b/>
                <w:u w:val="single"/>
              </w:rPr>
            </w:pPr>
            <w:r w:rsidRPr="00302741">
              <w:rPr>
                <w:rFonts w:cs="Arial"/>
                <w:b/>
                <w:u w:val="single"/>
              </w:rPr>
              <w:t>MA.0826, MA.0827, MA.0828, MA.40701, MA.1028:</w:t>
            </w:r>
          </w:p>
          <w:p w14:paraId="082924BE" w14:textId="77777777" w:rsidR="001D400A" w:rsidRPr="00C2629A" w:rsidRDefault="001D400A" w:rsidP="001D400A">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D7339C2" w14:textId="77777777" w:rsidR="001D400A" w:rsidRDefault="001D400A" w:rsidP="001D400A">
            <w:pPr>
              <w:tabs>
                <w:tab w:val="center" w:pos="4680"/>
                <w:tab w:val="right" w:pos="9360"/>
              </w:tabs>
              <w:rPr>
                <w:rStyle w:val="Hyperlink"/>
                <w:rFonts w:cs="Arial"/>
                <w:bCs/>
              </w:rPr>
            </w:pPr>
            <w:r>
              <w:rPr>
                <w:rFonts w:cs="Arial"/>
                <w:bCs/>
              </w:rPr>
              <w:fldChar w:fldCharType="end"/>
            </w:r>
          </w:p>
          <w:p w14:paraId="21D2711B" w14:textId="387B8BD0" w:rsidR="00CC4608" w:rsidRPr="00302741" w:rsidRDefault="00B0344A" w:rsidP="00CC4608">
            <w:pPr>
              <w:tabs>
                <w:tab w:val="center" w:pos="4680"/>
                <w:tab w:val="right" w:pos="9360"/>
              </w:tabs>
              <w:rPr>
                <w:rFonts w:cs="Arial"/>
                <w:b/>
                <w:u w:val="single"/>
              </w:rPr>
            </w:pPr>
            <w:hyperlink r:id="rId61" w:history="1">
              <w:r w:rsidR="001D400A" w:rsidRPr="00F73C66">
                <w:rPr>
                  <w:rStyle w:val="Hyperlink"/>
                </w:rPr>
                <w:t>Adult Foster Care Provider Bulletin 28: Additional Guidance for Adult Foster Care Providers Regarding Certain Home- and Community-Based Services</w:t>
              </w:r>
            </w:hyperlink>
          </w:p>
        </w:tc>
        <w:tc>
          <w:tcPr>
            <w:tcW w:w="2483" w:type="dxa"/>
          </w:tcPr>
          <w:p w14:paraId="1984BD59" w14:textId="39BEA40E" w:rsidR="00CC4608" w:rsidRPr="0035351C" w:rsidRDefault="00CC4608" w:rsidP="00CC4608">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2149E131" w14:textId="19176C2F" w:rsidR="00CC4608" w:rsidRPr="0035351C" w:rsidRDefault="00F641D3" w:rsidP="00CC4608">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CC4608" w:rsidRPr="0035351C">
              <w:rPr>
                <w:rFonts w:cs="Arial"/>
                <w:bCs/>
              </w:rPr>
              <w:t>AFC homes not owned or leased by waiver participants with an unrelated caregiver are</w:t>
            </w:r>
            <w:r>
              <w:rPr>
                <w:rFonts w:cs="Arial"/>
                <w:bCs/>
              </w:rPr>
              <w:t xml:space="preserve"> underway</w:t>
            </w:r>
            <w:r w:rsidR="00CC4608" w:rsidRPr="0035351C">
              <w:rPr>
                <w:rFonts w:cs="Arial"/>
                <w:bCs/>
              </w:rPr>
              <w:t>. These settings will be fully compliant by 3/17/2023.</w:t>
            </w:r>
          </w:p>
        </w:tc>
        <w:tc>
          <w:tcPr>
            <w:tcW w:w="1577" w:type="dxa"/>
          </w:tcPr>
          <w:p w14:paraId="2A50DA1C" w14:textId="5E36CFAB" w:rsidR="00CC4608" w:rsidRPr="00C0165B" w:rsidRDefault="00CC4608" w:rsidP="00CC4608">
            <w:r>
              <w:rPr>
                <w:b/>
                <w:bCs/>
              </w:rPr>
              <w:t>March 2023</w:t>
            </w:r>
          </w:p>
        </w:tc>
      </w:tr>
      <w:tr w:rsidR="00CC4608" w14:paraId="3432CB8C" w14:textId="77777777" w:rsidTr="008408E8">
        <w:trPr>
          <w:cantSplit/>
        </w:trPr>
        <w:tc>
          <w:tcPr>
            <w:tcW w:w="2847" w:type="dxa"/>
          </w:tcPr>
          <w:p w14:paraId="0AD49786" w14:textId="77777777" w:rsidR="00CC4608" w:rsidRPr="00C0165B" w:rsidRDefault="00CC4608" w:rsidP="00CC4608">
            <w:pPr>
              <w:spacing w:after="200" w:line="276" w:lineRule="auto"/>
              <w:rPr>
                <w:rFonts w:cs="Arial"/>
              </w:rPr>
            </w:pPr>
            <w:r w:rsidRPr="00C0165B">
              <w:rPr>
                <w:rFonts w:cs="Arial"/>
                <w:b/>
                <w:bCs/>
              </w:rPr>
              <w:t>441.301(c)(4)(vi)(D):</w:t>
            </w:r>
            <w:r w:rsidRPr="00C0165B">
              <w:rPr>
                <w:rFonts w:cs="Arial"/>
              </w:rPr>
              <w:t xml:space="preserve"> </w:t>
            </w:r>
          </w:p>
          <w:p w14:paraId="7CB4B8F5" w14:textId="18C5B73D" w:rsidR="00CC4608" w:rsidRPr="00302741" w:rsidRDefault="00CC4608" w:rsidP="00CC4608">
            <w:pPr>
              <w:rPr>
                <w:rFonts w:cs="Arial"/>
                <w:b/>
                <w:bCs/>
              </w:rPr>
            </w:pPr>
            <w:r w:rsidRPr="00C0165B">
              <w:rPr>
                <w:rFonts w:cs="Arial"/>
              </w:rPr>
              <w:t xml:space="preserve">Individuals </w:t>
            </w:r>
            <w:proofErr w:type="gramStart"/>
            <w:r w:rsidRPr="00C0165B">
              <w:rPr>
                <w:rFonts w:cs="Arial"/>
              </w:rPr>
              <w:t>are able to</w:t>
            </w:r>
            <w:proofErr w:type="gramEnd"/>
            <w:r w:rsidRPr="00C0165B">
              <w:rPr>
                <w:rFonts w:cs="Arial"/>
              </w:rPr>
              <w:t xml:space="preserve"> have visitors of their choosing at any time</w:t>
            </w:r>
          </w:p>
        </w:tc>
        <w:tc>
          <w:tcPr>
            <w:tcW w:w="3739" w:type="dxa"/>
          </w:tcPr>
          <w:p w14:paraId="3E4FE507" w14:textId="77777777" w:rsidR="00CC4608" w:rsidRPr="00302741" w:rsidRDefault="00CC4608" w:rsidP="00CC4608">
            <w:pPr>
              <w:tabs>
                <w:tab w:val="center" w:pos="4680"/>
                <w:tab w:val="right" w:pos="9360"/>
              </w:tabs>
              <w:rPr>
                <w:rFonts w:cs="Arial"/>
                <w:b/>
              </w:rPr>
            </w:pPr>
            <w:r w:rsidRPr="00302741">
              <w:rPr>
                <w:rFonts w:cs="Arial"/>
                <w:b/>
                <w:u w:val="single"/>
              </w:rPr>
              <w:t>MA.0826, MA.0827, MA.0828:</w:t>
            </w:r>
          </w:p>
          <w:p w14:paraId="724C6873" w14:textId="77777777" w:rsidR="00696A4B" w:rsidRDefault="00696A4B" w:rsidP="00CC4608">
            <w:pPr>
              <w:tabs>
                <w:tab w:val="center" w:pos="4680"/>
                <w:tab w:val="right" w:pos="9360"/>
              </w:tabs>
            </w:pPr>
          </w:p>
          <w:p w14:paraId="1A121ECD" w14:textId="4B360436" w:rsidR="00CC4608" w:rsidRPr="00302741" w:rsidRDefault="00B0344A" w:rsidP="00CC4608">
            <w:pPr>
              <w:tabs>
                <w:tab w:val="center" w:pos="4680"/>
                <w:tab w:val="right" w:pos="9360"/>
              </w:tabs>
              <w:rPr>
                <w:rFonts w:cs="Arial"/>
              </w:rPr>
            </w:pPr>
            <w:hyperlink r:id="rId62" w:history="1">
              <w:r w:rsidR="00CC4608" w:rsidRPr="00F76E56">
                <w:rPr>
                  <w:rStyle w:val="Hyperlink"/>
                  <w:rFonts w:cs="Arial"/>
                </w:rPr>
                <w:t>115 CMR 5.04(3)</w:t>
              </w:r>
            </w:hyperlink>
            <w:r w:rsidR="00CC4608" w:rsidRPr="00302741">
              <w:rPr>
                <w:rFonts w:cs="Arial"/>
                <w:b/>
              </w:rPr>
              <w:t xml:space="preserve"> </w:t>
            </w:r>
            <w:r w:rsidR="00CC4608">
              <w:rPr>
                <w:rFonts w:cs="Arial"/>
              </w:rPr>
              <w:t>Other Rights of Individuals (r</w:t>
            </w:r>
            <w:r w:rsidR="00CC4608" w:rsidRPr="00302741">
              <w:rPr>
                <w:rFonts w:cs="Arial"/>
              </w:rPr>
              <w:t>ight to be visited and to visit others</w:t>
            </w:r>
            <w:r w:rsidR="00CC4608">
              <w:rPr>
                <w:rFonts w:cs="Arial"/>
              </w:rPr>
              <w:t>)</w:t>
            </w:r>
          </w:p>
          <w:p w14:paraId="44346F78" w14:textId="77777777" w:rsidR="00CC4608" w:rsidRPr="00302741" w:rsidRDefault="00CC4608" w:rsidP="00CC4608">
            <w:pPr>
              <w:tabs>
                <w:tab w:val="center" w:pos="4680"/>
                <w:tab w:val="right" w:pos="9360"/>
              </w:tabs>
              <w:rPr>
                <w:rFonts w:cs="Arial"/>
                <w:b/>
              </w:rPr>
            </w:pPr>
          </w:p>
          <w:p w14:paraId="2AA535FF" w14:textId="77777777" w:rsidR="00CC4608" w:rsidRPr="00302741" w:rsidRDefault="00CC4608" w:rsidP="00CC4608">
            <w:pPr>
              <w:tabs>
                <w:tab w:val="center" w:pos="4680"/>
                <w:tab w:val="right" w:pos="9360"/>
              </w:tabs>
              <w:rPr>
                <w:rFonts w:cs="Arial"/>
              </w:rPr>
            </w:pPr>
            <w:r w:rsidRPr="00302741">
              <w:rPr>
                <w:rFonts w:cs="Arial"/>
                <w:b/>
                <w:u w:val="single"/>
              </w:rPr>
              <w:t>MA.40701, MA.1028:</w:t>
            </w:r>
          </w:p>
          <w:p w14:paraId="31032284" w14:textId="77777777" w:rsidR="00696A4B" w:rsidRDefault="00696A4B" w:rsidP="00CC4608">
            <w:pPr>
              <w:tabs>
                <w:tab w:val="center" w:pos="4680"/>
                <w:tab w:val="right" w:pos="9360"/>
              </w:tabs>
            </w:pPr>
          </w:p>
          <w:p w14:paraId="1F154497" w14:textId="78500600" w:rsidR="00CC4608" w:rsidRDefault="00B0344A" w:rsidP="00CC4608">
            <w:pPr>
              <w:tabs>
                <w:tab w:val="center" w:pos="4680"/>
                <w:tab w:val="right" w:pos="9360"/>
              </w:tabs>
              <w:rPr>
                <w:rStyle w:val="Hyperlink"/>
                <w:rFonts w:cs="Arial"/>
              </w:rPr>
            </w:pPr>
            <w:hyperlink r:id="rId63" w:history="1">
              <w:r w:rsidR="00CC4608" w:rsidRPr="001256D2">
                <w:rPr>
                  <w:rStyle w:val="Hyperlink"/>
                  <w:rFonts w:cs="Arial"/>
                </w:rPr>
                <w:t>ABI/MFP policy manual</w:t>
              </w:r>
            </w:hyperlink>
            <w:r w:rsidR="00CC4608" w:rsidRPr="00302741">
              <w:rPr>
                <w:rFonts w:cs="Arial"/>
              </w:rPr>
              <w:t xml:space="preserve"> and </w:t>
            </w:r>
            <w:hyperlink r:id="rId64" w:history="1">
              <w:r w:rsidR="00CC4608" w:rsidRPr="00C36397">
                <w:rPr>
                  <w:rStyle w:val="Hyperlink"/>
                  <w:rFonts w:cs="Arial"/>
                </w:rPr>
                <w:t>member handbook</w:t>
              </w:r>
            </w:hyperlink>
          </w:p>
          <w:p w14:paraId="0DF51D3D" w14:textId="77777777" w:rsidR="00CC4608" w:rsidRDefault="00CC4608" w:rsidP="00CC4608">
            <w:pPr>
              <w:tabs>
                <w:tab w:val="center" w:pos="4680"/>
                <w:tab w:val="right" w:pos="9360"/>
              </w:tabs>
              <w:rPr>
                <w:rStyle w:val="Hyperlink"/>
                <w:rFonts w:cs="Arial"/>
              </w:rPr>
            </w:pPr>
          </w:p>
          <w:p w14:paraId="0F6F7279" w14:textId="77777777" w:rsidR="00CC4608" w:rsidRDefault="00CC4608" w:rsidP="00CC4608">
            <w:pPr>
              <w:tabs>
                <w:tab w:val="center" w:pos="4680"/>
                <w:tab w:val="right" w:pos="9360"/>
              </w:tabs>
              <w:rPr>
                <w:rFonts w:cs="Arial"/>
                <w:b/>
                <w:u w:val="single"/>
              </w:rPr>
            </w:pPr>
            <w:r w:rsidRPr="00302741">
              <w:rPr>
                <w:rFonts w:cs="Arial"/>
                <w:b/>
                <w:u w:val="single"/>
              </w:rPr>
              <w:t>MA.0826, MA.0827, MA.0828, MA.40701, MA.1028:</w:t>
            </w:r>
          </w:p>
          <w:p w14:paraId="745690A0" w14:textId="77777777" w:rsidR="00696A4B" w:rsidRDefault="00696A4B" w:rsidP="00CC4608">
            <w:pPr>
              <w:tabs>
                <w:tab w:val="center" w:pos="4680"/>
                <w:tab w:val="right" w:pos="9360"/>
              </w:tabs>
            </w:pPr>
          </w:p>
          <w:p w14:paraId="4187401B" w14:textId="604FE6D0" w:rsidR="00CC4608" w:rsidRPr="00302741" w:rsidRDefault="00B0344A" w:rsidP="00CC4608">
            <w:pPr>
              <w:tabs>
                <w:tab w:val="center" w:pos="4680"/>
                <w:tab w:val="right" w:pos="9360"/>
              </w:tabs>
              <w:rPr>
                <w:rFonts w:cs="Arial"/>
              </w:rPr>
            </w:pPr>
            <w:hyperlink r:id="rId65" w:history="1">
              <w:r w:rsidR="00CC4608" w:rsidRPr="003759D1">
                <w:rPr>
                  <w:rStyle w:val="Hyperlink"/>
                  <w:rFonts w:cs="Arial"/>
                </w:rPr>
                <w:t>DDS Provider Guidance on Visitation</w:t>
              </w:r>
            </w:hyperlink>
          </w:p>
          <w:p w14:paraId="3C288565" w14:textId="77777777" w:rsidR="00CC4608" w:rsidRPr="00302741" w:rsidRDefault="00CC4608" w:rsidP="00CC4608">
            <w:pPr>
              <w:tabs>
                <w:tab w:val="center" w:pos="4680"/>
                <w:tab w:val="right" w:pos="9360"/>
              </w:tabs>
              <w:rPr>
                <w:rFonts w:cs="Arial"/>
                <w:b/>
                <w:u w:val="single"/>
              </w:rPr>
            </w:pPr>
          </w:p>
        </w:tc>
        <w:tc>
          <w:tcPr>
            <w:tcW w:w="2483" w:type="dxa"/>
          </w:tcPr>
          <w:p w14:paraId="3C03442E" w14:textId="77777777" w:rsidR="00CC4608" w:rsidRDefault="00CC4608" w:rsidP="00CC4608">
            <w:pPr>
              <w:tabs>
                <w:tab w:val="center" w:pos="4680"/>
                <w:tab w:val="right" w:pos="9360"/>
              </w:tabs>
              <w:rPr>
                <w:rFonts w:cs="Arial"/>
              </w:rPr>
            </w:pPr>
            <w:r w:rsidRPr="00302741">
              <w:rPr>
                <w:rFonts w:cs="Arial"/>
                <w:b/>
              </w:rPr>
              <w:t>State standards comply with the HCBS Settings Rule.</w:t>
            </w:r>
            <w:r w:rsidRPr="00302741">
              <w:rPr>
                <w:rFonts w:cs="Arial"/>
              </w:rPr>
              <w:t xml:space="preserve"> The DDS regulation establishes individuals’ right to have visitors of their choosing at any time.</w:t>
            </w:r>
            <w:r w:rsidRPr="00302741" w:rsidDel="00A40878">
              <w:rPr>
                <w:rFonts w:cs="Arial"/>
              </w:rPr>
              <w:t xml:space="preserve"> </w:t>
            </w:r>
            <w:r w:rsidRPr="00302741">
              <w:rPr>
                <w:rFonts w:cs="Arial"/>
              </w:rPr>
              <w:t xml:space="preserve">State standards </w:t>
            </w:r>
            <w:r>
              <w:rPr>
                <w:rFonts w:cs="Arial"/>
              </w:rPr>
              <w:t xml:space="preserve">were </w:t>
            </w:r>
            <w:r w:rsidRPr="00302741">
              <w:rPr>
                <w:rFonts w:cs="Arial"/>
              </w:rPr>
              <w:t>strengthened further with issuance of a policy manual and member handbook for MA.40701 and MA.1028</w:t>
            </w:r>
            <w:r>
              <w:rPr>
                <w:rFonts w:cs="Arial"/>
              </w:rPr>
              <w:t xml:space="preserve"> (July 2017) </w:t>
            </w:r>
          </w:p>
          <w:p w14:paraId="645B61FD" w14:textId="77777777" w:rsidR="00CC4608" w:rsidRDefault="00CC4608" w:rsidP="00CC4608">
            <w:pPr>
              <w:tabs>
                <w:tab w:val="center" w:pos="4680"/>
                <w:tab w:val="right" w:pos="9360"/>
              </w:tabs>
              <w:rPr>
                <w:rFonts w:cs="Arial"/>
              </w:rPr>
            </w:pPr>
          </w:p>
          <w:p w14:paraId="20CB197A" w14:textId="77777777" w:rsidR="00CC4608" w:rsidRDefault="00CC4608" w:rsidP="00CC4608">
            <w:pPr>
              <w:tabs>
                <w:tab w:val="center" w:pos="4680"/>
                <w:tab w:val="right" w:pos="9360"/>
              </w:tabs>
              <w:rPr>
                <w:rFonts w:cs="Arial"/>
              </w:rPr>
            </w:pPr>
            <w:r>
              <w:rPr>
                <w:rFonts w:cs="Arial"/>
              </w:rPr>
              <w:t>See DDS Guidance on Visitation (October 2022).</w:t>
            </w:r>
          </w:p>
          <w:p w14:paraId="79923DF1" w14:textId="77777777" w:rsidR="00CC4608" w:rsidRPr="00302741" w:rsidRDefault="00CC4608" w:rsidP="00CC4608">
            <w:pPr>
              <w:rPr>
                <w:rFonts w:cs="Arial"/>
                <w:b/>
              </w:rPr>
            </w:pPr>
          </w:p>
        </w:tc>
        <w:tc>
          <w:tcPr>
            <w:tcW w:w="1577" w:type="dxa"/>
          </w:tcPr>
          <w:p w14:paraId="16B2CB5E" w14:textId="77777777" w:rsidR="00CC4608" w:rsidRDefault="00CC4608" w:rsidP="00CC4608">
            <w:pPr>
              <w:rPr>
                <w:b/>
                <w:bCs/>
              </w:rPr>
            </w:pPr>
            <w:r w:rsidRPr="00C0165B">
              <w:t>115 CMR 5 updated in</w:t>
            </w:r>
            <w:r>
              <w:rPr>
                <w:b/>
                <w:bCs/>
              </w:rPr>
              <w:t xml:space="preserve"> February 2020.</w:t>
            </w:r>
          </w:p>
          <w:p w14:paraId="06E67014" w14:textId="77777777" w:rsidR="00CC4608" w:rsidRDefault="00CC4608" w:rsidP="00CC4608">
            <w:pPr>
              <w:rPr>
                <w:b/>
                <w:bCs/>
              </w:rPr>
            </w:pPr>
          </w:p>
          <w:p w14:paraId="259B5A7A" w14:textId="77777777" w:rsidR="009857E6" w:rsidRDefault="009857E6" w:rsidP="009857E6">
            <w:r>
              <w:t xml:space="preserve">Policy manual updated in December 2016. </w:t>
            </w:r>
          </w:p>
          <w:p w14:paraId="53EAB058" w14:textId="77777777" w:rsidR="009857E6" w:rsidRDefault="009857E6" w:rsidP="009857E6"/>
          <w:p w14:paraId="6D7BF862" w14:textId="77777777" w:rsidR="009857E6" w:rsidRDefault="009857E6" w:rsidP="009857E6">
            <w:r>
              <w:t>Member handbook updated in August 2019.</w:t>
            </w:r>
          </w:p>
          <w:p w14:paraId="7BED1A9B" w14:textId="77777777" w:rsidR="009857E6" w:rsidRDefault="009857E6" w:rsidP="00CC4608"/>
          <w:p w14:paraId="7A5F46FA" w14:textId="4478B263" w:rsidR="00CC4608" w:rsidRPr="005911C9" w:rsidRDefault="00CC4608" w:rsidP="00CC4608">
            <w:pPr>
              <w:rPr>
                <w:b/>
                <w:bCs/>
              </w:rPr>
            </w:pPr>
            <w:r>
              <w:t xml:space="preserve">DDS provider guidance on visitation published </w:t>
            </w:r>
            <w:r>
              <w:rPr>
                <w:b/>
                <w:bCs/>
              </w:rPr>
              <w:t>October 2022.</w:t>
            </w:r>
          </w:p>
        </w:tc>
      </w:tr>
      <w:tr w:rsidR="001348BF" w14:paraId="76B7B2E1" w14:textId="77777777" w:rsidTr="008408E8">
        <w:trPr>
          <w:cantSplit/>
        </w:trPr>
        <w:tc>
          <w:tcPr>
            <w:tcW w:w="2847" w:type="dxa"/>
          </w:tcPr>
          <w:p w14:paraId="4106B024" w14:textId="77777777" w:rsidR="001348BF" w:rsidRPr="00C0165B" w:rsidRDefault="001348BF" w:rsidP="001348BF">
            <w:pPr>
              <w:spacing w:after="200" w:line="276" w:lineRule="auto"/>
              <w:rPr>
                <w:rFonts w:cs="Arial"/>
              </w:rPr>
            </w:pPr>
            <w:r w:rsidRPr="00C0165B">
              <w:rPr>
                <w:rFonts w:cs="Arial"/>
                <w:b/>
                <w:bCs/>
              </w:rPr>
              <w:t>441.301(c)(4)(vi)(D):</w:t>
            </w:r>
            <w:r w:rsidRPr="00C0165B">
              <w:rPr>
                <w:rFonts w:cs="Arial"/>
              </w:rPr>
              <w:t xml:space="preserve"> </w:t>
            </w:r>
          </w:p>
          <w:p w14:paraId="5FC28062" w14:textId="38A02D1F" w:rsidR="001348BF" w:rsidRPr="00C0165B" w:rsidRDefault="001348BF" w:rsidP="001348BF">
            <w:pPr>
              <w:rPr>
                <w:rFonts w:cs="Arial"/>
                <w:b/>
                <w:bCs/>
              </w:rPr>
            </w:pPr>
            <w:r w:rsidRPr="00C0165B">
              <w:rPr>
                <w:rFonts w:cs="Arial"/>
              </w:rPr>
              <w:t xml:space="preserve">Individuals </w:t>
            </w:r>
            <w:proofErr w:type="gramStart"/>
            <w:r w:rsidRPr="00C0165B">
              <w:rPr>
                <w:rFonts w:cs="Arial"/>
              </w:rPr>
              <w:t>are able to</w:t>
            </w:r>
            <w:proofErr w:type="gramEnd"/>
            <w:r w:rsidRPr="00C0165B">
              <w:rPr>
                <w:rFonts w:cs="Arial"/>
              </w:rPr>
              <w:t xml:space="preserve"> have visitors of their choosing at any time</w:t>
            </w:r>
          </w:p>
        </w:tc>
        <w:tc>
          <w:tcPr>
            <w:tcW w:w="3739" w:type="dxa"/>
          </w:tcPr>
          <w:p w14:paraId="09C0125A" w14:textId="77777777" w:rsidR="00876109" w:rsidRDefault="00876109" w:rsidP="00876109">
            <w:pPr>
              <w:tabs>
                <w:tab w:val="center" w:pos="4680"/>
                <w:tab w:val="right" w:pos="9360"/>
              </w:tabs>
              <w:rPr>
                <w:rFonts w:cs="Arial"/>
                <w:b/>
                <w:u w:val="single"/>
              </w:rPr>
            </w:pPr>
            <w:r w:rsidRPr="00302741">
              <w:rPr>
                <w:rFonts w:cs="Arial"/>
                <w:b/>
                <w:u w:val="single"/>
              </w:rPr>
              <w:t>MA.0826, MA.0827, MA.0828, MA.40701, MA.1028:</w:t>
            </w:r>
          </w:p>
          <w:p w14:paraId="18EB74D9" w14:textId="77777777" w:rsidR="001348BF" w:rsidRDefault="001348BF" w:rsidP="001348BF">
            <w:pPr>
              <w:tabs>
                <w:tab w:val="center" w:pos="4680"/>
                <w:tab w:val="right" w:pos="9360"/>
              </w:tabs>
              <w:rPr>
                <w:rFonts w:cs="Arial"/>
                <w:bCs/>
                <w:u w:val="single"/>
              </w:rPr>
            </w:pPr>
          </w:p>
          <w:p w14:paraId="670D8ABC" w14:textId="77777777" w:rsidR="0058264F" w:rsidRPr="00C2629A" w:rsidRDefault="0058264F" w:rsidP="0058264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0D902957" w14:textId="77777777" w:rsidR="0058264F" w:rsidRDefault="0058264F" w:rsidP="0058264F">
            <w:pPr>
              <w:tabs>
                <w:tab w:val="center" w:pos="4680"/>
                <w:tab w:val="right" w:pos="9360"/>
              </w:tabs>
              <w:rPr>
                <w:rStyle w:val="Hyperlink"/>
                <w:rFonts w:cs="Arial"/>
                <w:bCs/>
              </w:rPr>
            </w:pPr>
            <w:r>
              <w:rPr>
                <w:rFonts w:cs="Arial"/>
                <w:bCs/>
              </w:rPr>
              <w:fldChar w:fldCharType="end"/>
            </w:r>
          </w:p>
          <w:p w14:paraId="43C4211E" w14:textId="1979FA7B" w:rsidR="001348BF" w:rsidRPr="00302741" w:rsidRDefault="00B0344A" w:rsidP="001348BF">
            <w:pPr>
              <w:tabs>
                <w:tab w:val="center" w:pos="4680"/>
                <w:tab w:val="right" w:pos="9360"/>
              </w:tabs>
              <w:rPr>
                <w:rFonts w:cs="Arial"/>
                <w:b/>
                <w:u w:val="single"/>
              </w:rPr>
            </w:pPr>
            <w:hyperlink r:id="rId66" w:history="1">
              <w:r w:rsidR="0058264F" w:rsidRPr="00F73C66">
                <w:rPr>
                  <w:rStyle w:val="Hyperlink"/>
                </w:rPr>
                <w:t>Adult Foster Care Provider Bulletin 28: Additional Guidance for Adult Foster Care Providers Regarding Certain Home- and Community-Based Services</w:t>
              </w:r>
            </w:hyperlink>
          </w:p>
        </w:tc>
        <w:tc>
          <w:tcPr>
            <w:tcW w:w="2483" w:type="dxa"/>
          </w:tcPr>
          <w:p w14:paraId="35F31E06" w14:textId="620BA355" w:rsidR="001348BF" w:rsidRPr="0035351C" w:rsidRDefault="001348BF" w:rsidP="001348BF">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56375CDB" w14:textId="277EF7C3" w:rsidR="001348BF" w:rsidRPr="00302741" w:rsidRDefault="00623FDC" w:rsidP="001348BF">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1348BF" w:rsidRPr="0035351C">
              <w:rPr>
                <w:rFonts w:cs="Arial"/>
                <w:bCs/>
              </w:rPr>
              <w:t xml:space="preserve">AFC homes not owned or leased by waiver participants with an unrelated caregiver are </w:t>
            </w:r>
            <w:r>
              <w:rPr>
                <w:rFonts w:cs="Arial"/>
                <w:bCs/>
              </w:rPr>
              <w:t>underway</w:t>
            </w:r>
            <w:r w:rsidR="001348BF" w:rsidRPr="0035351C">
              <w:rPr>
                <w:rFonts w:cs="Arial"/>
                <w:bCs/>
              </w:rPr>
              <w:t>. These settings will be fully compliant by 3/17/2023.</w:t>
            </w:r>
          </w:p>
        </w:tc>
        <w:tc>
          <w:tcPr>
            <w:tcW w:w="1577" w:type="dxa"/>
          </w:tcPr>
          <w:p w14:paraId="24F2190C" w14:textId="33784C4B" w:rsidR="001348BF" w:rsidRPr="00C0165B" w:rsidRDefault="001348BF" w:rsidP="001348BF">
            <w:r>
              <w:rPr>
                <w:b/>
                <w:bCs/>
              </w:rPr>
              <w:t>March 2023</w:t>
            </w:r>
          </w:p>
        </w:tc>
      </w:tr>
      <w:tr w:rsidR="001348BF" w14:paraId="158D4FAC" w14:textId="77777777" w:rsidTr="008408E8">
        <w:trPr>
          <w:cantSplit/>
        </w:trPr>
        <w:tc>
          <w:tcPr>
            <w:tcW w:w="2847" w:type="dxa"/>
          </w:tcPr>
          <w:p w14:paraId="22427818" w14:textId="77777777" w:rsidR="001348BF" w:rsidRPr="005911C9" w:rsidRDefault="001348BF" w:rsidP="001348BF">
            <w:pPr>
              <w:spacing w:after="200" w:line="276" w:lineRule="auto"/>
              <w:rPr>
                <w:rFonts w:cs="Arial"/>
                <w:b/>
                <w:bCs/>
              </w:rPr>
            </w:pPr>
            <w:r w:rsidRPr="005911C9">
              <w:rPr>
                <w:rFonts w:cs="Arial"/>
                <w:b/>
                <w:bCs/>
              </w:rPr>
              <w:lastRenderedPageBreak/>
              <w:t>441.301(c)(4)(vi)(E):</w:t>
            </w:r>
          </w:p>
          <w:p w14:paraId="1F913E9D" w14:textId="6B05F8B9" w:rsidR="001348BF" w:rsidRPr="00302741" w:rsidRDefault="001348BF" w:rsidP="001348BF">
            <w:pPr>
              <w:rPr>
                <w:rFonts w:cs="Arial"/>
                <w:b/>
                <w:bCs/>
              </w:rPr>
            </w:pPr>
            <w:r w:rsidRPr="005911C9">
              <w:rPr>
                <w:rFonts w:cs="Arial"/>
              </w:rPr>
              <w:t>The setting is physically accessible to the individual</w:t>
            </w:r>
          </w:p>
        </w:tc>
        <w:tc>
          <w:tcPr>
            <w:tcW w:w="3739" w:type="dxa"/>
          </w:tcPr>
          <w:p w14:paraId="402D4DDC" w14:textId="37F74CE0" w:rsidR="001348BF" w:rsidRDefault="001348BF" w:rsidP="001348BF">
            <w:pPr>
              <w:tabs>
                <w:tab w:val="center" w:pos="4680"/>
                <w:tab w:val="right" w:pos="9360"/>
              </w:tabs>
              <w:rPr>
                <w:rFonts w:cs="Arial"/>
                <w:b/>
              </w:rPr>
            </w:pPr>
            <w:r w:rsidRPr="00302741">
              <w:rPr>
                <w:rFonts w:cs="Arial"/>
                <w:b/>
                <w:u w:val="single"/>
              </w:rPr>
              <w:t>MA.0826, MA.0827, MA.0828, MA.40701, MA.1028:</w:t>
            </w:r>
            <w:r w:rsidRPr="00302741">
              <w:rPr>
                <w:rFonts w:cs="Arial"/>
                <w:b/>
              </w:rPr>
              <w:t xml:space="preserve"> </w:t>
            </w:r>
          </w:p>
          <w:p w14:paraId="254D05DE" w14:textId="77777777" w:rsidR="00696A4B" w:rsidRPr="00302741" w:rsidRDefault="00696A4B" w:rsidP="001348BF">
            <w:pPr>
              <w:tabs>
                <w:tab w:val="center" w:pos="4680"/>
                <w:tab w:val="right" w:pos="9360"/>
              </w:tabs>
              <w:rPr>
                <w:rFonts w:cs="Arial"/>
                <w:b/>
              </w:rPr>
            </w:pPr>
          </w:p>
          <w:p w14:paraId="2510CAFD" w14:textId="77777777" w:rsidR="001348BF" w:rsidRPr="00302741" w:rsidRDefault="00B0344A" w:rsidP="001348BF">
            <w:pPr>
              <w:tabs>
                <w:tab w:val="center" w:pos="4680"/>
                <w:tab w:val="right" w:pos="9360"/>
              </w:tabs>
              <w:rPr>
                <w:rFonts w:cs="Arial"/>
              </w:rPr>
            </w:pPr>
            <w:hyperlink r:id="rId67" w:history="1">
              <w:r w:rsidR="001348BF" w:rsidRPr="00D756F7">
                <w:rPr>
                  <w:rStyle w:val="Hyperlink"/>
                  <w:rFonts w:cs="Arial"/>
                </w:rPr>
                <w:t>115 CMR 7.07(4</w:t>
              </w:r>
              <w:proofErr w:type="gramStart"/>
              <w:r w:rsidR="001348BF" w:rsidRPr="00D756F7">
                <w:rPr>
                  <w:rStyle w:val="Hyperlink"/>
                  <w:rFonts w:cs="Arial"/>
                </w:rPr>
                <w:t>)</w:t>
              </w:r>
              <w:r w:rsidR="001348BF">
                <w:rPr>
                  <w:rStyle w:val="Hyperlink"/>
                  <w:rFonts w:cs="Arial"/>
                </w:rPr>
                <w:t>,</w:t>
              </w:r>
              <w:r w:rsidR="001348BF" w:rsidRPr="00D756F7">
                <w:rPr>
                  <w:rStyle w:val="Hyperlink"/>
                  <w:rFonts w:cs="Arial"/>
                </w:rPr>
                <w:t>(</w:t>
              </w:r>
              <w:proofErr w:type="gramEnd"/>
              <w:r w:rsidR="001348BF" w:rsidRPr="00D756F7">
                <w:rPr>
                  <w:rStyle w:val="Hyperlink"/>
                  <w:rFonts w:cs="Arial"/>
                </w:rPr>
                <w:t>5)</w:t>
              </w:r>
            </w:hyperlink>
            <w:r w:rsidR="001348BF" w:rsidRPr="00302741">
              <w:rPr>
                <w:rFonts w:cs="Arial"/>
                <w:b/>
              </w:rPr>
              <w:t xml:space="preserve"> </w:t>
            </w:r>
            <w:r w:rsidR="001348BF" w:rsidRPr="00302741">
              <w:rPr>
                <w:rFonts w:cs="Arial"/>
              </w:rPr>
              <w:t xml:space="preserve">Environmental </w:t>
            </w:r>
            <w:r w:rsidR="001348BF">
              <w:rPr>
                <w:rFonts w:cs="Arial"/>
              </w:rPr>
              <w:t>Standards for All Site Based Services</w:t>
            </w:r>
          </w:p>
          <w:p w14:paraId="221BBE1E" w14:textId="77777777" w:rsidR="001348BF" w:rsidRPr="00302741" w:rsidRDefault="001348BF" w:rsidP="001348BF">
            <w:pPr>
              <w:tabs>
                <w:tab w:val="center" w:pos="4680"/>
                <w:tab w:val="right" w:pos="9360"/>
              </w:tabs>
              <w:rPr>
                <w:rFonts w:cs="Arial"/>
                <w:b/>
                <w:u w:val="single"/>
              </w:rPr>
            </w:pPr>
          </w:p>
        </w:tc>
        <w:tc>
          <w:tcPr>
            <w:tcW w:w="2483" w:type="dxa"/>
          </w:tcPr>
          <w:p w14:paraId="3705F4A7" w14:textId="77777777" w:rsidR="001348BF" w:rsidRPr="005911C9" w:rsidRDefault="001348BF" w:rsidP="001348BF">
            <w:pPr>
              <w:tabs>
                <w:tab w:val="center" w:pos="4680"/>
                <w:tab w:val="right" w:pos="9360"/>
              </w:tabs>
              <w:spacing w:after="200" w:line="276" w:lineRule="auto"/>
              <w:rPr>
                <w:rFonts w:cs="Arial"/>
              </w:rPr>
            </w:pPr>
            <w:r w:rsidRPr="005911C9">
              <w:rPr>
                <w:rFonts w:cs="Arial"/>
                <w:b/>
              </w:rPr>
              <w:t>State standards are compliant with the HCBS Settings Rule.</w:t>
            </w:r>
            <w:r w:rsidRPr="005911C9">
              <w:rPr>
                <w:rFonts w:cs="Arial"/>
              </w:rPr>
              <w:t xml:space="preserve"> The cited DDS regulation requires settings to be physically accessible to accommodate the needs of the individual. </w:t>
            </w:r>
          </w:p>
          <w:p w14:paraId="1D593767" w14:textId="77777777" w:rsidR="001348BF" w:rsidRPr="00302741" w:rsidRDefault="001348BF" w:rsidP="001348BF">
            <w:pPr>
              <w:rPr>
                <w:rFonts w:cs="Arial"/>
                <w:b/>
              </w:rPr>
            </w:pPr>
          </w:p>
        </w:tc>
        <w:tc>
          <w:tcPr>
            <w:tcW w:w="1577" w:type="dxa"/>
          </w:tcPr>
          <w:p w14:paraId="532922DC" w14:textId="77777777" w:rsidR="001348BF" w:rsidRDefault="001348BF" w:rsidP="001348BF">
            <w:pPr>
              <w:rPr>
                <w:b/>
                <w:bCs/>
              </w:rPr>
            </w:pPr>
            <w:r w:rsidRPr="00C0165B">
              <w:t>115 CMR 7 updated in</w:t>
            </w:r>
            <w:r>
              <w:rPr>
                <w:b/>
                <w:bCs/>
              </w:rPr>
              <w:t xml:space="preserve"> July 2016.</w:t>
            </w:r>
          </w:p>
          <w:p w14:paraId="02AF2E3B" w14:textId="77777777" w:rsidR="001348BF" w:rsidRPr="00866453" w:rsidRDefault="001348BF" w:rsidP="001348BF">
            <w:pPr>
              <w:rPr>
                <w:b/>
                <w:bCs/>
              </w:rPr>
            </w:pPr>
          </w:p>
        </w:tc>
      </w:tr>
      <w:tr w:rsidR="007544C7" w14:paraId="572B71D8" w14:textId="77777777" w:rsidTr="008408E8">
        <w:trPr>
          <w:cantSplit/>
        </w:trPr>
        <w:tc>
          <w:tcPr>
            <w:tcW w:w="2847" w:type="dxa"/>
          </w:tcPr>
          <w:p w14:paraId="27907CD5" w14:textId="77777777" w:rsidR="007544C7" w:rsidRPr="005911C9" w:rsidRDefault="007544C7" w:rsidP="007544C7">
            <w:pPr>
              <w:spacing w:after="200" w:line="276" w:lineRule="auto"/>
              <w:rPr>
                <w:rFonts w:cs="Arial"/>
                <w:b/>
                <w:bCs/>
              </w:rPr>
            </w:pPr>
            <w:r w:rsidRPr="005911C9">
              <w:rPr>
                <w:rFonts w:cs="Arial"/>
                <w:b/>
                <w:bCs/>
              </w:rPr>
              <w:t>441.301(c)(4)(vi)(E):</w:t>
            </w:r>
          </w:p>
          <w:p w14:paraId="76AA543A" w14:textId="6D11CB99" w:rsidR="007544C7" w:rsidRPr="005911C9" w:rsidRDefault="007544C7" w:rsidP="007544C7">
            <w:pPr>
              <w:rPr>
                <w:rFonts w:cs="Arial"/>
                <w:b/>
                <w:bCs/>
              </w:rPr>
            </w:pPr>
            <w:r w:rsidRPr="005911C9">
              <w:rPr>
                <w:rFonts w:cs="Arial"/>
              </w:rPr>
              <w:t>The setting is physically accessible to the individual</w:t>
            </w:r>
          </w:p>
        </w:tc>
        <w:tc>
          <w:tcPr>
            <w:tcW w:w="3739" w:type="dxa"/>
          </w:tcPr>
          <w:p w14:paraId="2E805B46" w14:textId="77777777" w:rsidR="007544C7" w:rsidRPr="00302741" w:rsidRDefault="007544C7" w:rsidP="007544C7">
            <w:pPr>
              <w:tabs>
                <w:tab w:val="center" w:pos="4680"/>
                <w:tab w:val="right" w:pos="9360"/>
              </w:tabs>
              <w:rPr>
                <w:rFonts w:cs="Arial"/>
                <w:b/>
              </w:rPr>
            </w:pPr>
            <w:r w:rsidRPr="00302741">
              <w:rPr>
                <w:rFonts w:cs="Arial"/>
                <w:b/>
                <w:u w:val="single"/>
              </w:rPr>
              <w:t>MA.0826, MA.0827, MA.0828, MA.40701, MA.1028:</w:t>
            </w:r>
            <w:r w:rsidRPr="00302741">
              <w:rPr>
                <w:rFonts w:cs="Arial"/>
                <w:b/>
              </w:rPr>
              <w:t xml:space="preserve"> </w:t>
            </w:r>
          </w:p>
          <w:p w14:paraId="1BBBEE37" w14:textId="77777777" w:rsidR="007544C7" w:rsidRDefault="007544C7" w:rsidP="007544C7">
            <w:pPr>
              <w:tabs>
                <w:tab w:val="center" w:pos="4680"/>
                <w:tab w:val="right" w:pos="9360"/>
              </w:tabs>
              <w:rPr>
                <w:rFonts w:cs="Arial"/>
                <w:bCs/>
                <w:u w:val="single"/>
              </w:rPr>
            </w:pPr>
          </w:p>
          <w:p w14:paraId="4BDC114E" w14:textId="77777777" w:rsidR="0058264F" w:rsidRPr="00C2629A" w:rsidRDefault="0058264F" w:rsidP="0058264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5490C7E2" w14:textId="77777777" w:rsidR="0058264F" w:rsidRDefault="0058264F" w:rsidP="0058264F">
            <w:pPr>
              <w:tabs>
                <w:tab w:val="center" w:pos="4680"/>
                <w:tab w:val="right" w:pos="9360"/>
              </w:tabs>
              <w:rPr>
                <w:rStyle w:val="Hyperlink"/>
                <w:rFonts w:cs="Arial"/>
                <w:bCs/>
              </w:rPr>
            </w:pPr>
            <w:r>
              <w:rPr>
                <w:rFonts w:cs="Arial"/>
                <w:bCs/>
              </w:rPr>
              <w:fldChar w:fldCharType="end"/>
            </w:r>
          </w:p>
          <w:p w14:paraId="7F6E372E" w14:textId="6C84DDCD" w:rsidR="007544C7" w:rsidRPr="00302741" w:rsidRDefault="00B0344A" w:rsidP="007544C7">
            <w:pPr>
              <w:tabs>
                <w:tab w:val="center" w:pos="4680"/>
                <w:tab w:val="right" w:pos="9360"/>
              </w:tabs>
              <w:rPr>
                <w:rFonts w:cs="Arial"/>
                <w:b/>
                <w:u w:val="single"/>
              </w:rPr>
            </w:pPr>
            <w:hyperlink r:id="rId68" w:history="1">
              <w:r w:rsidR="0058264F" w:rsidRPr="00F73C66">
                <w:rPr>
                  <w:rStyle w:val="Hyperlink"/>
                </w:rPr>
                <w:t>Adult Foster Care Provider Bulletin 28: Additional Guidance for Adult Foster Care Providers Regarding Certain Home- and Community-Based Services</w:t>
              </w:r>
            </w:hyperlink>
          </w:p>
        </w:tc>
        <w:tc>
          <w:tcPr>
            <w:tcW w:w="2483" w:type="dxa"/>
          </w:tcPr>
          <w:p w14:paraId="40EFCB0F" w14:textId="3FBEE28A" w:rsidR="007544C7" w:rsidRPr="0035351C" w:rsidRDefault="007544C7" w:rsidP="007544C7">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4247DCEB" w14:textId="11AFD2F5" w:rsidR="007544C7" w:rsidRPr="005911C9" w:rsidRDefault="00391302" w:rsidP="007544C7">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7544C7" w:rsidRPr="0035351C">
              <w:rPr>
                <w:rFonts w:cs="Arial"/>
                <w:bCs/>
              </w:rPr>
              <w:t>AFC homes not owned or leased by waiver participants with an unrelated caregiver are</w:t>
            </w:r>
            <w:r>
              <w:rPr>
                <w:rFonts w:cs="Arial"/>
                <w:bCs/>
              </w:rPr>
              <w:t xml:space="preserve"> underway</w:t>
            </w:r>
            <w:r w:rsidR="007544C7" w:rsidRPr="0035351C">
              <w:rPr>
                <w:rFonts w:cs="Arial"/>
                <w:bCs/>
              </w:rPr>
              <w:t>. These settings will be fully compliant by 3/17/2023.</w:t>
            </w:r>
          </w:p>
        </w:tc>
        <w:tc>
          <w:tcPr>
            <w:tcW w:w="1577" w:type="dxa"/>
          </w:tcPr>
          <w:p w14:paraId="59F2EAED" w14:textId="272D4388" w:rsidR="007544C7" w:rsidRPr="00C0165B" w:rsidRDefault="007544C7" w:rsidP="007544C7">
            <w:r>
              <w:rPr>
                <w:b/>
                <w:bCs/>
              </w:rPr>
              <w:t>March 2023</w:t>
            </w:r>
          </w:p>
        </w:tc>
      </w:tr>
      <w:tr w:rsidR="007544C7" w14:paraId="3CDF5BCC" w14:textId="77777777" w:rsidTr="008408E8">
        <w:trPr>
          <w:cantSplit/>
        </w:trPr>
        <w:tc>
          <w:tcPr>
            <w:tcW w:w="2847" w:type="dxa"/>
          </w:tcPr>
          <w:p w14:paraId="47A09EF2" w14:textId="77777777" w:rsidR="007544C7" w:rsidRPr="005911C9" w:rsidRDefault="007544C7" w:rsidP="007544C7">
            <w:pPr>
              <w:spacing w:after="200" w:line="276" w:lineRule="auto"/>
              <w:rPr>
                <w:rFonts w:cs="Arial"/>
                <w:b/>
                <w:bCs/>
              </w:rPr>
            </w:pPr>
            <w:r w:rsidRPr="005911C9">
              <w:rPr>
                <w:rFonts w:cs="Arial"/>
                <w:b/>
                <w:bCs/>
              </w:rPr>
              <w:lastRenderedPageBreak/>
              <w:t xml:space="preserve">441.301(c)(4)(vi)(F): </w:t>
            </w:r>
          </w:p>
          <w:p w14:paraId="4C47043E" w14:textId="77FE7F2E" w:rsidR="007544C7" w:rsidRPr="00302741" w:rsidRDefault="007544C7" w:rsidP="007544C7">
            <w:pPr>
              <w:rPr>
                <w:rFonts w:cs="Arial"/>
                <w:b/>
                <w:bCs/>
              </w:rPr>
            </w:pPr>
            <w:r w:rsidRPr="005911C9">
              <w:rPr>
                <w:rFonts w:cs="Arial"/>
              </w:rPr>
              <w:t>Modifications must be supported by a specific assessed need and justified in PCP</w:t>
            </w:r>
          </w:p>
        </w:tc>
        <w:tc>
          <w:tcPr>
            <w:tcW w:w="3739" w:type="dxa"/>
          </w:tcPr>
          <w:p w14:paraId="10B3B82E" w14:textId="77777777" w:rsidR="007544C7" w:rsidRPr="00302741" w:rsidRDefault="007544C7" w:rsidP="007544C7">
            <w:pPr>
              <w:tabs>
                <w:tab w:val="center" w:pos="4680"/>
                <w:tab w:val="right" w:pos="9360"/>
              </w:tabs>
              <w:rPr>
                <w:rFonts w:cs="Arial"/>
                <w:b/>
              </w:rPr>
            </w:pPr>
            <w:r w:rsidRPr="00302741">
              <w:rPr>
                <w:rFonts w:cs="Arial"/>
                <w:b/>
                <w:u w:val="single"/>
              </w:rPr>
              <w:t>MA.0826, MA.0827, MA.0828:</w:t>
            </w:r>
          </w:p>
          <w:p w14:paraId="31B86007" w14:textId="77777777" w:rsidR="00696A4B" w:rsidRDefault="00696A4B" w:rsidP="007544C7">
            <w:pPr>
              <w:tabs>
                <w:tab w:val="center" w:pos="4680"/>
                <w:tab w:val="right" w:pos="9360"/>
              </w:tabs>
            </w:pPr>
          </w:p>
          <w:p w14:paraId="59AD64F2" w14:textId="16E6DCFC" w:rsidR="007544C7" w:rsidRDefault="00B0344A" w:rsidP="007544C7">
            <w:pPr>
              <w:tabs>
                <w:tab w:val="center" w:pos="4680"/>
                <w:tab w:val="right" w:pos="9360"/>
              </w:tabs>
              <w:rPr>
                <w:rFonts w:cs="Arial"/>
              </w:rPr>
            </w:pPr>
            <w:hyperlink r:id="rId69" w:history="1">
              <w:r w:rsidR="007544C7" w:rsidRPr="00F76E56">
                <w:rPr>
                  <w:rStyle w:val="Hyperlink"/>
                  <w:rFonts w:cs="Arial"/>
                </w:rPr>
                <w:t>115 CMR 5.</w:t>
              </w:r>
              <w:r w:rsidR="007544C7">
                <w:rPr>
                  <w:rStyle w:val="Hyperlink"/>
                  <w:rFonts w:cs="Arial"/>
                </w:rPr>
                <w:t>03, 5.04</w:t>
              </w:r>
            </w:hyperlink>
            <w:r w:rsidR="007544C7" w:rsidRPr="00302741">
              <w:rPr>
                <w:rFonts w:cs="Arial"/>
              </w:rPr>
              <w:t xml:space="preserve"> </w:t>
            </w:r>
            <w:r w:rsidR="007544C7">
              <w:rPr>
                <w:rFonts w:cs="Arial"/>
              </w:rPr>
              <w:t>(Standards to Promote Dignity: General Principles and Other Rights of Individuals)</w:t>
            </w:r>
          </w:p>
          <w:p w14:paraId="6C068681" w14:textId="77777777" w:rsidR="007544C7" w:rsidRDefault="00B0344A" w:rsidP="007544C7">
            <w:pPr>
              <w:tabs>
                <w:tab w:val="center" w:pos="4680"/>
                <w:tab w:val="right" w:pos="9360"/>
              </w:tabs>
              <w:rPr>
                <w:rFonts w:cs="Arial"/>
              </w:rPr>
            </w:pPr>
            <w:hyperlink r:id="rId70" w:history="1">
              <w:r w:rsidR="007544C7" w:rsidRPr="00BA77D5">
                <w:rPr>
                  <w:rStyle w:val="Hyperlink"/>
                  <w:rFonts w:cs="Arial"/>
                </w:rPr>
                <w:t>115 CMR 5.03(3)(f)(7)</w:t>
              </w:r>
            </w:hyperlink>
            <w:r w:rsidR="007544C7">
              <w:rPr>
                <w:rFonts w:cs="Arial"/>
              </w:rPr>
              <w:t xml:space="preserve"> (right to privacy</w:t>
            </w:r>
            <w:proofErr w:type="gramStart"/>
            <w:r w:rsidR="007544C7">
              <w:rPr>
                <w:rFonts w:cs="Arial"/>
              </w:rPr>
              <w:t>);</w:t>
            </w:r>
            <w:proofErr w:type="gramEnd"/>
          </w:p>
          <w:p w14:paraId="516306F6" w14:textId="77777777" w:rsidR="007544C7" w:rsidRDefault="00B0344A" w:rsidP="007544C7">
            <w:pPr>
              <w:tabs>
                <w:tab w:val="center" w:pos="4680"/>
                <w:tab w:val="right" w:pos="9360"/>
              </w:tabs>
              <w:rPr>
                <w:rFonts w:cs="Arial"/>
              </w:rPr>
            </w:pPr>
            <w:hyperlink r:id="rId71" w:history="1">
              <w:r w:rsidR="007544C7" w:rsidRPr="00BA77D5">
                <w:rPr>
                  <w:rStyle w:val="Hyperlink"/>
                  <w:rFonts w:cs="Arial"/>
                </w:rPr>
                <w:t>115 CMR 5.03(3)(f)(5)(6)</w:t>
              </w:r>
            </w:hyperlink>
            <w:r w:rsidR="007544C7">
              <w:rPr>
                <w:rFonts w:cs="Arial"/>
              </w:rPr>
              <w:t xml:space="preserve"> (freedom to furnish or decorate their living units</w:t>
            </w:r>
            <w:proofErr w:type="gramStart"/>
            <w:r w:rsidR="007544C7">
              <w:rPr>
                <w:rFonts w:cs="Arial"/>
              </w:rPr>
              <w:t>);</w:t>
            </w:r>
            <w:proofErr w:type="gramEnd"/>
            <w:r w:rsidR="007544C7">
              <w:rPr>
                <w:rFonts w:cs="Arial"/>
              </w:rPr>
              <w:t xml:space="preserve"> </w:t>
            </w:r>
          </w:p>
          <w:p w14:paraId="5F0EEE32" w14:textId="77777777" w:rsidR="007544C7" w:rsidRDefault="00B0344A" w:rsidP="007544C7">
            <w:pPr>
              <w:tabs>
                <w:tab w:val="center" w:pos="4680"/>
                <w:tab w:val="right" w:pos="9360"/>
              </w:tabs>
              <w:rPr>
                <w:rFonts w:cs="Arial"/>
              </w:rPr>
            </w:pPr>
            <w:hyperlink r:id="rId72" w:history="1">
              <w:r w:rsidR="007544C7" w:rsidRPr="000C3B59">
                <w:rPr>
                  <w:rStyle w:val="Hyperlink"/>
                  <w:rFonts w:cs="Arial"/>
                </w:rPr>
                <w:t>115 CMR 7.07(7)</w:t>
              </w:r>
            </w:hyperlink>
            <w:r w:rsidR="007544C7" w:rsidRPr="009F5522">
              <w:rPr>
                <w:rStyle w:val="Hyperlink"/>
              </w:rPr>
              <w:t>(f)</w:t>
            </w:r>
            <w:r w:rsidR="007544C7">
              <w:rPr>
                <w:rFonts w:cs="Arial"/>
              </w:rPr>
              <w:t xml:space="preserve"> (units have bedroom doors lockable by the individual, unless clinically contraindicated</w:t>
            </w:r>
            <w:proofErr w:type="gramStart"/>
            <w:r w:rsidR="007544C7">
              <w:rPr>
                <w:rFonts w:cs="Arial"/>
              </w:rPr>
              <w:t>);</w:t>
            </w:r>
            <w:proofErr w:type="gramEnd"/>
          </w:p>
          <w:p w14:paraId="5AD4E468" w14:textId="77777777" w:rsidR="007544C7" w:rsidRDefault="00B0344A" w:rsidP="007544C7">
            <w:pPr>
              <w:tabs>
                <w:tab w:val="center" w:pos="4680"/>
                <w:tab w:val="right" w:pos="9360"/>
              </w:tabs>
              <w:rPr>
                <w:rFonts w:cs="Arial"/>
              </w:rPr>
            </w:pPr>
            <w:hyperlink r:id="rId73" w:history="1">
              <w:r w:rsidR="007544C7" w:rsidRPr="00A94EBE">
                <w:rPr>
                  <w:rStyle w:val="Hyperlink"/>
                  <w:rFonts w:cs="Arial"/>
                </w:rPr>
                <w:t>115 CMR 5.03(2)(3)</w:t>
              </w:r>
              <w:r w:rsidR="007544C7">
                <w:rPr>
                  <w:rStyle w:val="Hyperlink"/>
                  <w:rFonts w:cs="Arial"/>
                </w:rPr>
                <w:t>,</w:t>
              </w:r>
              <w:r w:rsidR="007544C7" w:rsidRPr="00A94EBE">
                <w:rPr>
                  <w:rStyle w:val="Hyperlink"/>
                  <w:rFonts w:cs="Arial"/>
                </w:rPr>
                <w:t xml:space="preserve"> 5.04</w:t>
              </w:r>
            </w:hyperlink>
            <w:r w:rsidR="007544C7">
              <w:rPr>
                <w:rFonts w:cs="Arial"/>
              </w:rPr>
              <w:t xml:space="preserve"> (freedom and support to control individual schedules and activities)</w:t>
            </w:r>
          </w:p>
          <w:p w14:paraId="344B475E" w14:textId="77777777" w:rsidR="007544C7" w:rsidRDefault="00B0344A" w:rsidP="007544C7">
            <w:pPr>
              <w:tabs>
                <w:tab w:val="center" w:pos="4680"/>
                <w:tab w:val="right" w:pos="9360"/>
              </w:tabs>
              <w:rPr>
                <w:rFonts w:cs="Arial"/>
              </w:rPr>
            </w:pPr>
            <w:hyperlink r:id="rId74" w:history="1">
              <w:r w:rsidR="007544C7" w:rsidRPr="00A94EBE">
                <w:rPr>
                  <w:rStyle w:val="Hyperlink"/>
                  <w:rFonts w:cs="Arial"/>
                </w:rPr>
                <w:t>115 CMR 5.04(3)(c)</w:t>
              </w:r>
            </w:hyperlink>
            <w:r w:rsidR="007544C7">
              <w:rPr>
                <w:rFonts w:cs="Arial"/>
              </w:rPr>
              <w:t xml:space="preserve"> (restrictions on visitation considered a modification of the ISP). </w:t>
            </w:r>
          </w:p>
          <w:p w14:paraId="46FDB5F8" w14:textId="77777777" w:rsidR="007544C7" w:rsidRDefault="00B0344A" w:rsidP="007544C7">
            <w:pPr>
              <w:tabs>
                <w:tab w:val="center" w:pos="4680"/>
                <w:tab w:val="right" w:pos="9360"/>
              </w:tabs>
              <w:rPr>
                <w:rFonts w:cs="Arial"/>
              </w:rPr>
            </w:pPr>
            <w:hyperlink r:id="rId75" w:history="1">
              <w:r w:rsidR="007544C7" w:rsidRPr="00326690">
                <w:rPr>
                  <w:rStyle w:val="Hyperlink"/>
                  <w:rFonts w:cs="Arial"/>
                </w:rPr>
                <w:t>115 CMR 6.20-6.25</w:t>
              </w:r>
            </w:hyperlink>
            <w:r w:rsidR="007544C7">
              <w:rPr>
                <w:rFonts w:cs="Arial"/>
              </w:rPr>
              <w:t xml:space="preserve"> Individual Support Plans</w:t>
            </w:r>
          </w:p>
          <w:p w14:paraId="0E3AB640" w14:textId="77777777" w:rsidR="007544C7" w:rsidRPr="00302741" w:rsidRDefault="007544C7" w:rsidP="007544C7">
            <w:pPr>
              <w:tabs>
                <w:tab w:val="center" w:pos="4680"/>
                <w:tab w:val="right" w:pos="9360"/>
              </w:tabs>
              <w:rPr>
                <w:rFonts w:cs="Arial"/>
              </w:rPr>
            </w:pPr>
          </w:p>
          <w:p w14:paraId="7D6E6FD7" w14:textId="77777777" w:rsidR="007544C7" w:rsidRPr="00302741" w:rsidRDefault="007544C7" w:rsidP="007544C7">
            <w:pPr>
              <w:tabs>
                <w:tab w:val="center" w:pos="4680"/>
                <w:tab w:val="right" w:pos="9360"/>
              </w:tabs>
              <w:rPr>
                <w:rFonts w:cs="Arial"/>
              </w:rPr>
            </w:pPr>
          </w:p>
          <w:p w14:paraId="10C58CF6" w14:textId="77777777" w:rsidR="007544C7" w:rsidRPr="00302741" w:rsidRDefault="007544C7" w:rsidP="007544C7">
            <w:pPr>
              <w:tabs>
                <w:tab w:val="center" w:pos="4680"/>
                <w:tab w:val="right" w:pos="9360"/>
              </w:tabs>
              <w:rPr>
                <w:rFonts w:cs="Arial"/>
              </w:rPr>
            </w:pPr>
            <w:r w:rsidRPr="00302741">
              <w:rPr>
                <w:rFonts w:cs="Arial"/>
                <w:b/>
                <w:u w:val="single"/>
              </w:rPr>
              <w:t>MA.40701, MA.1028:</w:t>
            </w:r>
          </w:p>
          <w:p w14:paraId="452F2EF5" w14:textId="77777777" w:rsidR="00696A4B" w:rsidRDefault="00696A4B" w:rsidP="007544C7">
            <w:pPr>
              <w:tabs>
                <w:tab w:val="center" w:pos="4680"/>
                <w:tab w:val="right" w:pos="9360"/>
              </w:tabs>
            </w:pPr>
          </w:p>
          <w:p w14:paraId="05BD649B" w14:textId="0948B407" w:rsidR="007544C7" w:rsidRDefault="00B0344A" w:rsidP="007544C7">
            <w:pPr>
              <w:tabs>
                <w:tab w:val="center" w:pos="4680"/>
                <w:tab w:val="right" w:pos="9360"/>
              </w:tabs>
              <w:rPr>
                <w:rStyle w:val="Hyperlink"/>
                <w:rFonts w:cs="Arial"/>
              </w:rPr>
            </w:pPr>
            <w:hyperlink r:id="rId76" w:history="1">
              <w:r w:rsidR="007544C7" w:rsidRPr="001256D2">
                <w:rPr>
                  <w:rStyle w:val="Hyperlink"/>
                  <w:rFonts w:cs="Arial"/>
                </w:rPr>
                <w:t>ABI/MFP policy manual</w:t>
              </w:r>
            </w:hyperlink>
            <w:r w:rsidR="007544C7" w:rsidRPr="00302741">
              <w:rPr>
                <w:rFonts w:cs="Arial"/>
              </w:rPr>
              <w:t xml:space="preserve"> and </w:t>
            </w:r>
            <w:hyperlink r:id="rId77" w:history="1">
              <w:r w:rsidR="007544C7" w:rsidRPr="00C36397">
                <w:rPr>
                  <w:rStyle w:val="Hyperlink"/>
                  <w:rFonts w:cs="Arial"/>
                </w:rPr>
                <w:t>member handbook</w:t>
              </w:r>
            </w:hyperlink>
          </w:p>
          <w:p w14:paraId="5B26A583" w14:textId="74A88873" w:rsidR="007544C7" w:rsidRDefault="007544C7" w:rsidP="007544C7">
            <w:pPr>
              <w:tabs>
                <w:tab w:val="center" w:pos="4680"/>
                <w:tab w:val="right" w:pos="9360"/>
              </w:tabs>
              <w:rPr>
                <w:rStyle w:val="Hyperlink"/>
                <w:rFonts w:cs="Arial"/>
              </w:rPr>
            </w:pPr>
          </w:p>
          <w:p w14:paraId="6D0F9859" w14:textId="77777777" w:rsidR="007544C7" w:rsidRPr="0035351C" w:rsidRDefault="007544C7" w:rsidP="007544C7">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74CD89EE" w14:textId="77777777" w:rsidR="007544C7" w:rsidRPr="0035351C" w:rsidRDefault="00B0344A" w:rsidP="007544C7">
            <w:pPr>
              <w:tabs>
                <w:tab w:val="center" w:pos="4680"/>
                <w:tab w:val="right" w:pos="9360"/>
              </w:tabs>
              <w:spacing w:line="276" w:lineRule="auto"/>
              <w:rPr>
                <w:rFonts w:cs="Arial"/>
              </w:rPr>
            </w:pPr>
            <w:hyperlink r:id="rId78" w:history="1">
              <w:r w:rsidR="007544C7" w:rsidRPr="0035351C">
                <w:rPr>
                  <w:rFonts w:cs="Arial"/>
                  <w:color w:val="0000FF"/>
                  <w:u w:val="single"/>
                </w:rPr>
                <w:t>DDS 2016 Guidance on Locks</w:t>
              </w:r>
            </w:hyperlink>
          </w:p>
          <w:p w14:paraId="0C316BEC" w14:textId="77777777" w:rsidR="007544C7" w:rsidRPr="0035351C" w:rsidRDefault="00B0344A" w:rsidP="007544C7">
            <w:pPr>
              <w:tabs>
                <w:tab w:val="center" w:pos="4680"/>
                <w:tab w:val="right" w:pos="9360"/>
              </w:tabs>
              <w:spacing w:line="276" w:lineRule="auto"/>
              <w:rPr>
                <w:rFonts w:cs="Arial"/>
              </w:rPr>
            </w:pPr>
            <w:hyperlink r:id="rId79" w:history="1">
              <w:r w:rsidR="007544C7" w:rsidRPr="0035351C">
                <w:rPr>
                  <w:rFonts w:cs="Arial"/>
                  <w:color w:val="0000FF"/>
                  <w:u w:val="single"/>
                </w:rPr>
                <w:t>DDS 2022 Guidance on Locks</w:t>
              </w:r>
            </w:hyperlink>
          </w:p>
          <w:p w14:paraId="00879945" w14:textId="49CE7822" w:rsidR="007544C7" w:rsidRPr="00302741" w:rsidRDefault="00B0344A" w:rsidP="007544C7">
            <w:pPr>
              <w:tabs>
                <w:tab w:val="center" w:pos="4680"/>
                <w:tab w:val="right" w:pos="9360"/>
              </w:tabs>
              <w:rPr>
                <w:rFonts w:cs="Arial"/>
              </w:rPr>
            </w:pPr>
            <w:hyperlink r:id="rId80" w:history="1">
              <w:r w:rsidR="007544C7" w:rsidRPr="003759D1">
                <w:rPr>
                  <w:rStyle w:val="Hyperlink"/>
                  <w:rFonts w:cs="Arial"/>
                </w:rPr>
                <w:t>DDS Provider Guidance on Visitation</w:t>
              </w:r>
            </w:hyperlink>
          </w:p>
          <w:p w14:paraId="5B7A97C3" w14:textId="77777777" w:rsidR="007544C7" w:rsidRPr="00302741" w:rsidRDefault="007544C7" w:rsidP="007544C7">
            <w:pPr>
              <w:tabs>
                <w:tab w:val="center" w:pos="4680"/>
                <w:tab w:val="right" w:pos="9360"/>
              </w:tabs>
              <w:rPr>
                <w:rFonts w:cs="Arial"/>
                <w:b/>
                <w:u w:val="single"/>
              </w:rPr>
            </w:pPr>
          </w:p>
        </w:tc>
        <w:tc>
          <w:tcPr>
            <w:tcW w:w="2483" w:type="dxa"/>
          </w:tcPr>
          <w:p w14:paraId="38A1B8CD" w14:textId="77777777" w:rsidR="007544C7" w:rsidRPr="005911C9" w:rsidRDefault="007544C7" w:rsidP="007544C7">
            <w:pPr>
              <w:tabs>
                <w:tab w:val="center" w:pos="4680"/>
                <w:tab w:val="right" w:pos="9360"/>
              </w:tabs>
              <w:spacing w:after="200" w:line="276" w:lineRule="auto"/>
              <w:rPr>
                <w:rFonts w:cs="Arial"/>
              </w:rPr>
            </w:pPr>
            <w:r w:rsidRPr="005911C9">
              <w:rPr>
                <w:rFonts w:cs="Arial"/>
                <w:b/>
              </w:rPr>
              <w:t>State standards are compliant with the HCBS Settings Rule.</w:t>
            </w:r>
            <w:r w:rsidRPr="005911C9">
              <w:rPr>
                <w:rFonts w:cs="Arial"/>
              </w:rPr>
              <w:t xml:space="preserve"> The cited DDS regulations require that modifications to individual rights must be supported by a specific assessed need and justified in the PCP. </w:t>
            </w:r>
          </w:p>
          <w:p w14:paraId="2F3B6BF6" w14:textId="77777777" w:rsidR="007544C7" w:rsidRPr="005911C9" w:rsidRDefault="007544C7" w:rsidP="007544C7">
            <w:pPr>
              <w:tabs>
                <w:tab w:val="center" w:pos="4680"/>
                <w:tab w:val="right" w:pos="9360"/>
              </w:tabs>
              <w:spacing w:after="200" w:line="276" w:lineRule="auto"/>
              <w:rPr>
                <w:rFonts w:cs="Arial"/>
              </w:rPr>
            </w:pPr>
          </w:p>
          <w:p w14:paraId="15A98DE4" w14:textId="01486D2E" w:rsidR="007544C7" w:rsidRPr="005911C9" w:rsidRDefault="007544C7" w:rsidP="007544C7">
            <w:pPr>
              <w:tabs>
                <w:tab w:val="center" w:pos="4680"/>
                <w:tab w:val="right" w:pos="9360"/>
              </w:tabs>
              <w:spacing w:after="200" w:line="276" w:lineRule="auto"/>
              <w:rPr>
                <w:rFonts w:cs="Arial"/>
              </w:rPr>
            </w:pPr>
            <w:r w:rsidRPr="005911C9">
              <w:rPr>
                <w:rFonts w:cs="Arial"/>
              </w:rPr>
              <w:t xml:space="preserve">The state also developed a policy manual and member handbook for MA.40701 and MA.1028, July 2017, to further support this aspect of Community Rule compliance </w:t>
            </w:r>
          </w:p>
          <w:p w14:paraId="24B52F48" w14:textId="77777777" w:rsidR="007544C7" w:rsidRPr="005911C9" w:rsidRDefault="007544C7" w:rsidP="007544C7">
            <w:pPr>
              <w:tabs>
                <w:tab w:val="center" w:pos="4680"/>
                <w:tab w:val="right" w:pos="9360"/>
              </w:tabs>
              <w:spacing w:after="200" w:line="276" w:lineRule="auto"/>
              <w:rPr>
                <w:rFonts w:cs="Arial"/>
              </w:rPr>
            </w:pPr>
          </w:p>
          <w:p w14:paraId="091CFA7F" w14:textId="55E3B39F" w:rsidR="007544C7" w:rsidRPr="00302741" w:rsidRDefault="007544C7" w:rsidP="007544C7">
            <w:pPr>
              <w:rPr>
                <w:rFonts w:cs="Arial"/>
                <w:b/>
              </w:rPr>
            </w:pPr>
            <w:r w:rsidRPr="005911C9">
              <w:rPr>
                <w:rFonts w:cs="Arial"/>
              </w:rPr>
              <w:t>See DDS Guidance on Locks and Guidance on Visitation (October 2022).</w:t>
            </w:r>
          </w:p>
        </w:tc>
        <w:tc>
          <w:tcPr>
            <w:tcW w:w="1577" w:type="dxa"/>
          </w:tcPr>
          <w:p w14:paraId="01E7E04B" w14:textId="77777777" w:rsidR="007544C7" w:rsidRDefault="007544C7" w:rsidP="007544C7">
            <w:pPr>
              <w:rPr>
                <w:b/>
                <w:bCs/>
              </w:rPr>
            </w:pPr>
            <w:r w:rsidRPr="00C0165B">
              <w:t>115 CMR 5 updated in</w:t>
            </w:r>
            <w:r>
              <w:rPr>
                <w:b/>
                <w:bCs/>
              </w:rPr>
              <w:t xml:space="preserve"> February 2020.</w:t>
            </w:r>
          </w:p>
          <w:p w14:paraId="3A411ECA" w14:textId="77777777" w:rsidR="007544C7" w:rsidRDefault="007544C7" w:rsidP="007544C7">
            <w:pPr>
              <w:rPr>
                <w:b/>
                <w:bCs/>
              </w:rPr>
            </w:pPr>
          </w:p>
          <w:p w14:paraId="6F46EE4B" w14:textId="77777777" w:rsidR="007544C7" w:rsidRDefault="007544C7" w:rsidP="007544C7">
            <w:pPr>
              <w:rPr>
                <w:b/>
                <w:bCs/>
              </w:rPr>
            </w:pPr>
            <w:r w:rsidRPr="00C0165B">
              <w:t>115 CMR 7 updated in</w:t>
            </w:r>
            <w:r>
              <w:rPr>
                <w:b/>
                <w:bCs/>
              </w:rPr>
              <w:t xml:space="preserve"> July 2016.</w:t>
            </w:r>
          </w:p>
          <w:p w14:paraId="0767FFAC" w14:textId="77777777" w:rsidR="007544C7" w:rsidRDefault="007544C7" w:rsidP="007544C7">
            <w:pPr>
              <w:rPr>
                <w:b/>
                <w:bCs/>
              </w:rPr>
            </w:pPr>
          </w:p>
          <w:p w14:paraId="3BC81252" w14:textId="77777777" w:rsidR="007544C7" w:rsidRDefault="007544C7" w:rsidP="007544C7">
            <w:r>
              <w:t xml:space="preserve">115 CMR 6 updated in </w:t>
            </w:r>
            <w:r w:rsidRPr="00C0165B">
              <w:rPr>
                <w:b/>
                <w:bCs/>
              </w:rPr>
              <w:t>August 2016.</w:t>
            </w:r>
            <w:r>
              <w:t xml:space="preserve"> </w:t>
            </w:r>
          </w:p>
          <w:p w14:paraId="6A237F9C" w14:textId="77777777" w:rsidR="007544C7" w:rsidRDefault="007544C7" w:rsidP="007544C7">
            <w:pPr>
              <w:rPr>
                <w:b/>
                <w:bCs/>
              </w:rPr>
            </w:pPr>
          </w:p>
          <w:p w14:paraId="45FD1F4D" w14:textId="77777777" w:rsidR="003A6A89" w:rsidRDefault="003A6A89" w:rsidP="003A6A89">
            <w:r>
              <w:t xml:space="preserve">Policy manual updated in December 2016. </w:t>
            </w:r>
          </w:p>
          <w:p w14:paraId="1AA6A41E" w14:textId="77777777" w:rsidR="003A6A89" w:rsidRDefault="003A6A89" w:rsidP="003A6A89"/>
          <w:p w14:paraId="05F2CFE5" w14:textId="77777777" w:rsidR="003A6A89" w:rsidRDefault="003A6A89" w:rsidP="003A6A89">
            <w:r>
              <w:t>Member handbook updated in August 2019.</w:t>
            </w:r>
          </w:p>
          <w:p w14:paraId="46DE4A8A" w14:textId="77777777" w:rsidR="007544C7" w:rsidRDefault="007544C7" w:rsidP="007544C7"/>
          <w:p w14:paraId="34C26AEA" w14:textId="4930733D" w:rsidR="007544C7" w:rsidRDefault="007544C7" w:rsidP="007544C7">
            <w:pPr>
              <w:rPr>
                <w:b/>
                <w:bCs/>
              </w:rPr>
            </w:pPr>
            <w:r>
              <w:t xml:space="preserve">Lock guidance updates </w:t>
            </w:r>
            <w:r>
              <w:rPr>
                <w:b/>
                <w:bCs/>
              </w:rPr>
              <w:t xml:space="preserve">2016 and </w:t>
            </w:r>
            <w:r w:rsidR="00ED2F5C">
              <w:rPr>
                <w:b/>
                <w:bCs/>
              </w:rPr>
              <w:t xml:space="preserve">October </w:t>
            </w:r>
            <w:r>
              <w:rPr>
                <w:b/>
                <w:bCs/>
              </w:rPr>
              <w:t>2022.</w:t>
            </w:r>
          </w:p>
          <w:p w14:paraId="73F783EB" w14:textId="77777777" w:rsidR="007544C7" w:rsidRDefault="007544C7" w:rsidP="007544C7"/>
          <w:p w14:paraId="37C287C5" w14:textId="798CBA7D" w:rsidR="007544C7" w:rsidRPr="005911C9" w:rsidRDefault="007544C7" w:rsidP="007544C7">
            <w:r>
              <w:t xml:space="preserve">DDS provider guidance on visitation published </w:t>
            </w:r>
            <w:r>
              <w:rPr>
                <w:b/>
                <w:bCs/>
              </w:rPr>
              <w:t>October 2022.</w:t>
            </w:r>
          </w:p>
        </w:tc>
      </w:tr>
      <w:tr w:rsidR="007544C7" w14:paraId="4C80809F" w14:textId="77777777" w:rsidTr="008408E8">
        <w:trPr>
          <w:cantSplit/>
        </w:trPr>
        <w:tc>
          <w:tcPr>
            <w:tcW w:w="2847" w:type="dxa"/>
          </w:tcPr>
          <w:p w14:paraId="7BA7B596" w14:textId="77777777" w:rsidR="007544C7" w:rsidRPr="005911C9" w:rsidRDefault="007544C7" w:rsidP="007544C7">
            <w:pPr>
              <w:spacing w:after="200" w:line="276" w:lineRule="auto"/>
              <w:rPr>
                <w:rFonts w:cs="Arial"/>
                <w:b/>
                <w:bCs/>
              </w:rPr>
            </w:pPr>
            <w:r w:rsidRPr="005911C9">
              <w:rPr>
                <w:rFonts w:cs="Arial"/>
                <w:b/>
                <w:bCs/>
              </w:rPr>
              <w:lastRenderedPageBreak/>
              <w:t xml:space="preserve">441.301(c)(4)(vi)(F): </w:t>
            </w:r>
          </w:p>
          <w:p w14:paraId="2DEE117F" w14:textId="6BEE2D75" w:rsidR="007544C7" w:rsidRPr="005911C9" w:rsidRDefault="007544C7" w:rsidP="007544C7">
            <w:pPr>
              <w:rPr>
                <w:rFonts w:cs="Arial"/>
                <w:b/>
                <w:bCs/>
              </w:rPr>
            </w:pPr>
            <w:r w:rsidRPr="005911C9">
              <w:rPr>
                <w:rFonts w:cs="Arial"/>
              </w:rPr>
              <w:t>Modifications must be supported by a specific assessed need and justified in PCP</w:t>
            </w:r>
          </w:p>
        </w:tc>
        <w:tc>
          <w:tcPr>
            <w:tcW w:w="3739" w:type="dxa"/>
          </w:tcPr>
          <w:p w14:paraId="4F177840" w14:textId="77777777" w:rsidR="007544C7" w:rsidRPr="0035351C" w:rsidRDefault="007544C7" w:rsidP="007544C7">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73B3626F"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43D4399B" w14:textId="77777777" w:rsidR="0084566F" w:rsidRDefault="0084566F" w:rsidP="0084566F">
            <w:pPr>
              <w:tabs>
                <w:tab w:val="center" w:pos="4680"/>
                <w:tab w:val="right" w:pos="9360"/>
              </w:tabs>
              <w:rPr>
                <w:rStyle w:val="Hyperlink"/>
                <w:rFonts w:cs="Arial"/>
                <w:bCs/>
              </w:rPr>
            </w:pPr>
            <w:r>
              <w:rPr>
                <w:rFonts w:cs="Arial"/>
                <w:bCs/>
              </w:rPr>
              <w:fldChar w:fldCharType="end"/>
            </w:r>
          </w:p>
          <w:p w14:paraId="212212B9" w14:textId="6878F0A2" w:rsidR="007544C7" w:rsidRPr="00302741" w:rsidRDefault="00B0344A" w:rsidP="007544C7">
            <w:pPr>
              <w:tabs>
                <w:tab w:val="center" w:pos="4680"/>
                <w:tab w:val="right" w:pos="9360"/>
              </w:tabs>
              <w:rPr>
                <w:rFonts w:cs="Arial"/>
                <w:b/>
                <w:u w:val="single"/>
              </w:rPr>
            </w:pPr>
            <w:hyperlink r:id="rId81"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2E69C928" w14:textId="34CCF75A" w:rsidR="007544C7" w:rsidRPr="0035351C" w:rsidRDefault="007544C7" w:rsidP="007544C7">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3351807" w14:textId="2681E3AB" w:rsidR="007544C7" w:rsidRPr="005911C9" w:rsidRDefault="00391302" w:rsidP="007544C7">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7544C7" w:rsidRPr="0035351C">
              <w:rPr>
                <w:rFonts w:cs="Arial"/>
                <w:bCs/>
              </w:rPr>
              <w:t>AFC homes not owned or leased by waiver participants with an unrelated caregiver are</w:t>
            </w:r>
            <w:r>
              <w:rPr>
                <w:rFonts w:cs="Arial"/>
                <w:bCs/>
              </w:rPr>
              <w:t xml:space="preserve"> underway</w:t>
            </w:r>
            <w:r w:rsidR="007544C7" w:rsidRPr="0035351C">
              <w:rPr>
                <w:rFonts w:cs="Arial"/>
                <w:bCs/>
              </w:rPr>
              <w:t>. These settings will be fully compliant by 3/17/2023.</w:t>
            </w:r>
          </w:p>
        </w:tc>
        <w:tc>
          <w:tcPr>
            <w:tcW w:w="1577" w:type="dxa"/>
          </w:tcPr>
          <w:p w14:paraId="16E78FB3" w14:textId="3DED5D64" w:rsidR="007544C7" w:rsidRPr="00C0165B" w:rsidRDefault="007544C7" w:rsidP="007544C7">
            <w:r>
              <w:rPr>
                <w:b/>
                <w:bCs/>
              </w:rPr>
              <w:t>March 2023</w:t>
            </w:r>
          </w:p>
        </w:tc>
      </w:tr>
      <w:bookmarkEnd w:id="2"/>
    </w:tbl>
    <w:p w14:paraId="42CC314B" w14:textId="77777777" w:rsidR="00DB67E7" w:rsidRDefault="00DB67E7" w:rsidP="00866453"/>
    <w:p w14:paraId="33903D16" w14:textId="56898236" w:rsidR="00DB67E7" w:rsidRPr="00144BE9" w:rsidRDefault="00BF561E" w:rsidP="00144BE9">
      <w:pPr>
        <w:pStyle w:val="Heading3"/>
        <w:rPr>
          <w:sz w:val="26"/>
          <w:szCs w:val="26"/>
        </w:rPr>
      </w:pPr>
      <w:r w:rsidRPr="00144BE9">
        <w:rPr>
          <w:sz w:val="26"/>
          <w:szCs w:val="26"/>
        </w:rPr>
        <w:t xml:space="preserve">For Waivers Operated by </w:t>
      </w:r>
      <w:r w:rsidR="00E07E03" w:rsidRPr="00144BE9">
        <w:rPr>
          <w:sz w:val="26"/>
          <w:szCs w:val="26"/>
        </w:rPr>
        <w:t xml:space="preserve">the </w:t>
      </w:r>
      <w:r w:rsidR="00DB67E7" w:rsidRPr="00144BE9">
        <w:rPr>
          <w:sz w:val="26"/>
          <w:szCs w:val="26"/>
        </w:rPr>
        <w:t>Massachusetts Rehabilitation Commission</w:t>
      </w:r>
    </w:p>
    <w:tbl>
      <w:tblPr>
        <w:tblStyle w:val="TableGrid"/>
        <w:tblW w:w="0" w:type="auto"/>
        <w:tblLook w:val="04A0" w:firstRow="1" w:lastRow="0" w:firstColumn="1" w:lastColumn="0" w:noHBand="0" w:noVBand="1"/>
      </w:tblPr>
      <w:tblGrid>
        <w:gridCol w:w="2847"/>
        <w:gridCol w:w="3739"/>
        <w:gridCol w:w="2483"/>
        <w:gridCol w:w="1577"/>
      </w:tblGrid>
      <w:tr w:rsidR="00AF1F50" w14:paraId="156F2E10" w14:textId="77777777" w:rsidTr="005C6E59">
        <w:trPr>
          <w:cantSplit/>
          <w:tblHeader/>
        </w:trPr>
        <w:tc>
          <w:tcPr>
            <w:tcW w:w="2847" w:type="dxa"/>
            <w:shd w:val="clear" w:color="auto" w:fill="B8CCE4" w:themeFill="accent1" w:themeFillTint="66"/>
            <w:vAlign w:val="center"/>
          </w:tcPr>
          <w:p w14:paraId="3F843F9F" w14:textId="77777777" w:rsidR="00DB67E7" w:rsidRPr="00302741" w:rsidRDefault="00DB67E7" w:rsidP="005C6E59">
            <w:pPr>
              <w:tabs>
                <w:tab w:val="center" w:pos="4680"/>
                <w:tab w:val="right" w:pos="9360"/>
              </w:tabs>
              <w:jc w:val="center"/>
              <w:rPr>
                <w:rFonts w:cs="Arial"/>
                <w:b/>
                <w:sz w:val="24"/>
                <w:szCs w:val="24"/>
              </w:rPr>
            </w:pPr>
            <w:r w:rsidRPr="00302741">
              <w:rPr>
                <w:rFonts w:cs="Arial"/>
                <w:b/>
                <w:sz w:val="24"/>
                <w:szCs w:val="24"/>
              </w:rPr>
              <w:t>CMS</w:t>
            </w:r>
          </w:p>
          <w:p w14:paraId="4F898D4E" w14:textId="77777777" w:rsidR="00DB67E7" w:rsidRDefault="00DB67E7" w:rsidP="005C6E59">
            <w:pPr>
              <w:jc w:val="center"/>
            </w:pPr>
            <w:r w:rsidRPr="00302741">
              <w:rPr>
                <w:rFonts w:cs="Arial"/>
                <w:b/>
                <w:sz w:val="24"/>
                <w:szCs w:val="24"/>
              </w:rPr>
              <w:t>Regulatory Citation</w:t>
            </w:r>
          </w:p>
        </w:tc>
        <w:tc>
          <w:tcPr>
            <w:tcW w:w="3739" w:type="dxa"/>
            <w:shd w:val="clear" w:color="auto" w:fill="B8CCE4" w:themeFill="accent1" w:themeFillTint="66"/>
            <w:vAlign w:val="center"/>
          </w:tcPr>
          <w:p w14:paraId="6AFEBB4E" w14:textId="77777777" w:rsidR="00DB67E7" w:rsidRDefault="00DB67E7" w:rsidP="005C6E59">
            <w:pPr>
              <w:jc w:val="center"/>
            </w:pPr>
            <w:r w:rsidRPr="00302741">
              <w:rPr>
                <w:rFonts w:cs="Arial"/>
                <w:b/>
                <w:sz w:val="24"/>
                <w:szCs w:val="24"/>
              </w:rPr>
              <w:t>Massachusetts Regulatory/</w:t>
            </w:r>
            <w:r>
              <w:rPr>
                <w:rFonts w:cs="Arial"/>
                <w:b/>
                <w:sz w:val="24"/>
                <w:szCs w:val="24"/>
              </w:rPr>
              <w:t xml:space="preserve"> </w:t>
            </w:r>
            <w:r w:rsidRPr="00302741">
              <w:rPr>
                <w:rFonts w:cs="Arial"/>
                <w:b/>
                <w:sz w:val="24"/>
                <w:szCs w:val="24"/>
              </w:rPr>
              <w:t>Policy/Practice/Citation</w:t>
            </w:r>
          </w:p>
        </w:tc>
        <w:tc>
          <w:tcPr>
            <w:tcW w:w="2483" w:type="dxa"/>
            <w:shd w:val="clear" w:color="auto" w:fill="B8CCE4" w:themeFill="accent1" w:themeFillTint="66"/>
            <w:vAlign w:val="center"/>
          </w:tcPr>
          <w:p w14:paraId="49649499" w14:textId="77777777" w:rsidR="00DB67E7" w:rsidRDefault="00DB67E7" w:rsidP="005C6E59">
            <w:pPr>
              <w:jc w:val="center"/>
            </w:pPr>
            <w:r w:rsidRPr="00302741">
              <w:rPr>
                <w:rFonts w:cs="Arial"/>
                <w:b/>
                <w:sz w:val="24"/>
                <w:szCs w:val="24"/>
              </w:rPr>
              <w:t>Compliance Status</w:t>
            </w:r>
          </w:p>
        </w:tc>
        <w:tc>
          <w:tcPr>
            <w:tcW w:w="1577" w:type="dxa"/>
            <w:shd w:val="clear" w:color="auto" w:fill="B8CCE4" w:themeFill="accent1" w:themeFillTint="66"/>
            <w:vAlign w:val="center"/>
          </w:tcPr>
          <w:p w14:paraId="32A595C3" w14:textId="77777777" w:rsidR="00DB67E7" w:rsidRDefault="00DB67E7" w:rsidP="005C6E59">
            <w:pPr>
              <w:jc w:val="center"/>
            </w:pPr>
            <w:r>
              <w:rPr>
                <w:rFonts w:cs="Arial"/>
                <w:b/>
                <w:sz w:val="24"/>
                <w:szCs w:val="24"/>
              </w:rPr>
              <w:t>Compliance Date</w:t>
            </w:r>
          </w:p>
        </w:tc>
      </w:tr>
      <w:tr w:rsidR="00703D08" w14:paraId="20EE63ED" w14:textId="77777777" w:rsidTr="005C6E59">
        <w:trPr>
          <w:cantSplit/>
        </w:trPr>
        <w:tc>
          <w:tcPr>
            <w:tcW w:w="2847" w:type="dxa"/>
          </w:tcPr>
          <w:p w14:paraId="6726CC62" w14:textId="77777777" w:rsidR="00703D08" w:rsidRPr="00703D08" w:rsidRDefault="00703D08" w:rsidP="00703D08">
            <w:pPr>
              <w:spacing w:after="200" w:line="276" w:lineRule="auto"/>
              <w:rPr>
                <w:rFonts w:cs="Arial"/>
                <w:b/>
                <w:bCs/>
              </w:rPr>
            </w:pPr>
            <w:r w:rsidRPr="00703D08">
              <w:rPr>
                <w:rFonts w:cs="Arial"/>
                <w:b/>
                <w:bCs/>
              </w:rPr>
              <w:t>441.301(c)(4)(</w:t>
            </w:r>
            <w:proofErr w:type="spellStart"/>
            <w:r w:rsidRPr="00703D08">
              <w:rPr>
                <w:rFonts w:cs="Arial"/>
                <w:b/>
                <w:bCs/>
              </w:rPr>
              <w:t>i</w:t>
            </w:r>
            <w:proofErr w:type="spellEnd"/>
            <w:r w:rsidRPr="00703D08">
              <w:rPr>
                <w:rFonts w:cs="Arial"/>
                <w:b/>
                <w:bCs/>
              </w:rPr>
              <w:t xml:space="preserve">): </w:t>
            </w:r>
          </w:p>
          <w:p w14:paraId="7E92FB1D" w14:textId="567BBBD8" w:rsidR="00703D08" w:rsidRPr="00302741" w:rsidRDefault="00703D08" w:rsidP="00703D08">
            <w:pPr>
              <w:rPr>
                <w:rFonts w:cs="Arial"/>
                <w:b/>
                <w:bCs/>
              </w:rPr>
            </w:pPr>
            <w:r w:rsidRPr="00703D08">
              <w:rPr>
                <w:rFonts w:cs="Arial"/>
              </w:rPr>
              <w:t>The setting is integrated in and supports full access to the community</w:t>
            </w:r>
          </w:p>
        </w:tc>
        <w:tc>
          <w:tcPr>
            <w:tcW w:w="3739" w:type="dxa"/>
          </w:tcPr>
          <w:p w14:paraId="7DF211F8" w14:textId="77777777" w:rsidR="00703D08" w:rsidRPr="00302741" w:rsidRDefault="00703D08" w:rsidP="00703D08">
            <w:pPr>
              <w:rPr>
                <w:rFonts w:cs="Arial"/>
                <w:b/>
                <w:bCs/>
                <w:u w:val="single"/>
              </w:rPr>
            </w:pPr>
            <w:r w:rsidRPr="00302741">
              <w:rPr>
                <w:rFonts w:cs="Arial"/>
                <w:b/>
                <w:bCs/>
                <w:u w:val="single"/>
              </w:rPr>
              <w:t>MA.0359, MA.40702, MA.1027:</w:t>
            </w:r>
          </w:p>
          <w:p w14:paraId="5252E9D6" w14:textId="77777777" w:rsidR="00696A4B" w:rsidRDefault="00696A4B" w:rsidP="00703D08"/>
          <w:p w14:paraId="4AA84251" w14:textId="3E29529B" w:rsidR="00703D08" w:rsidRPr="00302741" w:rsidRDefault="00B0344A" w:rsidP="00703D08">
            <w:pPr>
              <w:rPr>
                <w:rFonts w:cs="Arial"/>
                <w:b/>
                <w:bCs/>
              </w:rPr>
            </w:pPr>
            <w:hyperlink r:id="rId82" w:history="1">
              <w:r w:rsidR="00703D08" w:rsidRPr="00AA079E">
                <w:rPr>
                  <w:rStyle w:val="Hyperlink"/>
                  <w:rFonts w:cs="Arial"/>
                </w:rPr>
                <w:t>130 CMR 630.404(A)(2)</w:t>
              </w:r>
            </w:hyperlink>
            <w:r w:rsidR="00703D08" w:rsidRPr="280537F4">
              <w:rPr>
                <w:rFonts w:cs="Arial"/>
              </w:rPr>
              <w:t xml:space="preserve"> Provider Eligibility</w:t>
            </w:r>
          </w:p>
          <w:p w14:paraId="3404F492" w14:textId="77777777" w:rsidR="00703D08" w:rsidRPr="00302741" w:rsidRDefault="00703D08" w:rsidP="00703D08">
            <w:pPr>
              <w:rPr>
                <w:rFonts w:cs="Arial"/>
                <w:b/>
                <w:bCs/>
              </w:rPr>
            </w:pPr>
          </w:p>
          <w:p w14:paraId="3D274208" w14:textId="77777777" w:rsidR="00703D08" w:rsidRPr="00302741" w:rsidRDefault="00B0344A" w:rsidP="00703D08">
            <w:pPr>
              <w:rPr>
                <w:rFonts w:cs="Arial"/>
              </w:rPr>
            </w:pPr>
            <w:hyperlink r:id="rId83" w:history="1">
              <w:r w:rsidR="00703D08" w:rsidRPr="2FD410C2">
                <w:rPr>
                  <w:rStyle w:val="Hyperlink"/>
                  <w:rFonts w:cs="Arial"/>
                </w:rPr>
                <w:t>MRC Community Living Division Provider Manual</w:t>
              </w:r>
            </w:hyperlink>
          </w:p>
          <w:p w14:paraId="261D0134" w14:textId="77777777" w:rsidR="00703D08" w:rsidRPr="00302741" w:rsidRDefault="00703D08" w:rsidP="004427AF">
            <w:pPr>
              <w:numPr>
                <w:ilvl w:val="0"/>
                <w:numId w:val="19"/>
              </w:numPr>
              <w:rPr>
                <w:rFonts w:cs="Arial"/>
              </w:rPr>
            </w:pPr>
            <w:r w:rsidRPr="00302741">
              <w:rPr>
                <w:rFonts w:cs="Arial"/>
                <w:i/>
              </w:rPr>
              <w:t>Home and Community-Based Settings (General)</w:t>
            </w:r>
            <w:r w:rsidRPr="00302741">
              <w:rPr>
                <w:rFonts w:cs="Arial"/>
              </w:rPr>
              <w:t>; and</w:t>
            </w:r>
          </w:p>
          <w:p w14:paraId="67B875E7" w14:textId="41C3E8A1" w:rsidR="00703D08" w:rsidRPr="00703D08" w:rsidRDefault="00703D08" w:rsidP="004427AF">
            <w:pPr>
              <w:pStyle w:val="ListParagraph"/>
              <w:numPr>
                <w:ilvl w:val="0"/>
                <w:numId w:val="19"/>
              </w:numPr>
              <w:rPr>
                <w:rFonts w:cs="Arial"/>
                <w:b/>
                <w:bCs/>
                <w:u w:val="single"/>
              </w:rPr>
            </w:pPr>
            <w:r w:rsidRPr="00703D08">
              <w:rPr>
                <w:rFonts w:cs="Arial"/>
                <w:i/>
              </w:rPr>
              <w:t xml:space="preserve">Home and Community-Based Settings </w:t>
            </w:r>
            <w:proofErr w:type="gramStart"/>
            <w:r w:rsidRPr="00703D08">
              <w:rPr>
                <w:rFonts w:cs="Arial"/>
                <w:i/>
              </w:rPr>
              <w:t>For</w:t>
            </w:r>
            <w:proofErr w:type="gramEnd"/>
            <w:r w:rsidRPr="00703D08">
              <w:rPr>
                <w:rFonts w:cs="Arial"/>
                <w:i/>
              </w:rPr>
              <w:t xml:space="preserve"> Residential Homes</w:t>
            </w:r>
            <w:r w:rsidRPr="00703D08">
              <w:rPr>
                <w:rFonts w:cs="Arial"/>
              </w:rPr>
              <w:t xml:space="preserve"> </w:t>
            </w:r>
          </w:p>
        </w:tc>
        <w:tc>
          <w:tcPr>
            <w:tcW w:w="2483" w:type="dxa"/>
          </w:tcPr>
          <w:p w14:paraId="2A900E30" w14:textId="51616653" w:rsidR="00703D08" w:rsidRPr="00302741" w:rsidRDefault="00703D08" w:rsidP="00703D08">
            <w:pPr>
              <w:rPr>
                <w:rFonts w:cs="Arial"/>
                <w:b/>
              </w:rPr>
            </w:pPr>
            <w:r w:rsidRPr="00302741">
              <w:rPr>
                <w:rFonts w:cs="Arial"/>
                <w:b/>
              </w:rPr>
              <w:t>State standards are compliant with the HCBS Settings Rule.</w:t>
            </w:r>
            <w:r w:rsidRPr="00302741">
              <w:rPr>
                <w:rFonts w:cs="Arial"/>
              </w:rPr>
              <w:t xml:space="preserve"> To meet the requirements of the cited MRC policy, a setting must be integrated in and support</w:t>
            </w:r>
            <w:r>
              <w:rPr>
                <w:rFonts w:cs="Arial"/>
              </w:rPr>
              <w:t xml:space="preserve"> full access to the community.</w:t>
            </w:r>
          </w:p>
        </w:tc>
        <w:tc>
          <w:tcPr>
            <w:tcW w:w="1577" w:type="dxa"/>
          </w:tcPr>
          <w:p w14:paraId="5289BD81" w14:textId="77777777" w:rsidR="00703D08" w:rsidRDefault="00703D08" w:rsidP="00703D08">
            <w:pPr>
              <w:rPr>
                <w:b/>
                <w:bCs/>
              </w:rPr>
            </w:pPr>
            <w:r w:rsidRPr="006C48CB">
              <w:t xml:space="preserve">115 CMR </w:t>
            </w:r>
            <w:r>
              <w:t>630 last</w:t>
            </w:r>
            <w:r w:rsidRPr="006C48CB">
              <w:t xml:space="preserve"> updated in</w:t>
            </w:r>
            <w:r>
              <w:rPr>
                <w:b/>
                <w:bCs/>
              </w:rPr>
              <w:t xml:space="preserve"> June 2022.</w:t>
            </w:r>
          </w:p>
          <w:p w14:paraId="4182A1B9" w14:textId="77777777" w:rsidR="00703D08" w:rsidRDefault="00703D08" w:rsidP="00703D08"/>
          <w:p w14:paraId="737D1729" w14:textId="7AB2D85B" w:rsidR="00703D08" w:rsidRPr="006C48CB" w:rsidRDefault="00703D08" w:rsidP="00703D08">
            <w:r>
              <w:t xml:space="preserve">Provider manual was revised in </w:t>
            </w:r>
            <w:r w:rsidRPr="00703D08">
              <w:rPr>
                <w:b/>
                <w:bCs/>
              </w:rPr>
              <w:t>April 2016.</w:t>
            </w:r>
          </w:p>
        </w:tc>
      </w:tr>
      <w:tr w:rsidR="00703D08" w14:paraId="3A5CE793" w14:textId="77777777" w:rsidTr="005C6E59">
        <w:trPr>
          <w:cantSplit/>
        </w:trPr>
        <w:tc>
          <w:tcPr>
            <w:tcW w:w="2847" w:type="dxa"/>
          </w:tcPr>
          <w:p w14:paraId="2C417049" w14:textId="77777777" w:rsidR="00703D08" w:rsidRPr="00703D08" w:rsidRDefault="00703D08" w:rsidP="00703D08">
            <w:pPr>
              <w:spacing w:after="200" w:line="276" w:lineRule="auto"/>
              <w:rPr>
                <w:rFonts w:cs="Arial"/>
                <w:b/>
                <w:bCs/>
              </w:rPr>
            </w:pPr>
            <w:r w:rsidRPr="00703D08">
              <w:rPr>
                <w:rFonts w:cs="Arial"/>
                <w:b/>
                <w:bCs/>
              </w:rPr>
              <w:t xml:space="preserve">441.301(c)(4)(ii): </w:t>
            </w:r>
          </w:p>
          <w:p w14:paraId="66ED11B5" w14:textId="657D7D5B" w:rsidR="00703D08" w:rsidRPr="00302741" w:rsidRDefault="00703D08" w:rsidP="00703D08">
            <w:pPr>
              <w:rPr>
                <w:rFonts w:cs="Arial"/>
                <w:b/>
                <w:bCs/>
              </w:rPr>
            </w:pPr>
            <w:r w:rsidRPr="00703D08">
              <w:rPr>
                <w:rFonts w:cs="Arial"/>
              </w:rPr>
              <w:t>The setting is selected by the individual from among setting options</w:t>
            </w:r>
            <w:r w:rsidRPr="00703D08">
              <w:rPr>
                <w:rFonts w:cs="Arial"/>
                <w:b/>
                <w:bCs/>
              </w:rPr>
              <w:t> </w:t>
            </w:r>
          </w:p>
        </w:tc>
        <w:tc>
          <w:tcPr>
            <w:tcW w:w="3739" w:type="dxa"/>
          </w:tcPr>
          <w:p w14:paraId="508E1329" w14:textId="77777777" w:rsidR="00703D08" w:rsidRPr="00302741" w:rsidRDefault="00703D08" w:rsidP="00703D08">
            <w:pPr>
              <w:rPr>
                <w:rFonts w:cs="Arial"/>
                <w:b/>
                <w:bCs/>
                <w:u w:val="single"/>
              </w:rPr>
            </w:pPr>
            <w:r w:rsidRPr="00302741">
              <w:rPr>
                <w:rFonts w:cs="Arial"/>
                <w:b/>
                <w:bCs/>
                <w:u w:val="single"/>
              </w:rPr>
              <w:t>MA.0359, MA.40702, MA.1027:</w:t>
            </w:r>
          </w:p>
          <w:p w14:paraId="56298DA7" w14:textId="77777777" w:rsidR="00696A4B" w:rsidRDefault="00696A4B" w:rsidP="00703D08"/>
          <w:p w14:paraId="7581DB77" w14:textId="51E1954D" w:rsidR="00703D08" w:rsidRPr="00302741" w:rsidRDefault="00B0344A" w:rsidP="00703D08">
            <w:pPr>
              <w:rPr>
                <w:rFonts w:cs="Arial"/>
                <w:b/>
                <w:bCs/>
              </w:rPr>
            </w:pPr>
            <w:hyperlink r:id="rId84">
              <w:r w:rsidR="00703D08" w:rsidRPr="2FD410C2">
                <w:rPr>
                  <w:rStyle w:val="Hyperlink"/>
                  <w:rFonts w:cs="Arial"/>
                </w:rPr>
                <w:t>130 CMR 630.404(A)(2)</w:t>
              </w:r>
            </w:hyperlink>
            <w:r w:rsidR="00703D08" w:rsidRPr="2FD410C2">
              <w:rPr>
                <w:rFonts w:cs="Arial"/>
                <w:b/>
                <w:bCs/>
              </w:rPr>
              <w:t xml:space="preserve"> </w:t>
            </w:r>
            <w:r w:rsidR="00703D08" w:rsidRPr="2FD410C2">
              <w:rPr>
                <w:rFonts w:cs="Arial"/>
              </w:rPr>
              <w:t>Provider Eligibility</w:t>
            </w:r>
          </w:p>
          <w:p w14:paraId="11CD60B1" w14:textId="77777777" w:rsidR="00703D08" w:rsidRPr="00302741" w:rsidRDefault="00703D08" w:rsidP="00703D08">
            <w:pPr>
              <w:rPr>
                <w:rFonts w:eastAsia="Arial" w:cs="Arial"/>
                <w:color w:val="000000" w:themeColor="text1"/>
                <w:sz w:val="18"/>
                <w:szCs w:val="18"/>
              </w:rPr>
            </w:pPr>
          </w:p>
          <w:p w14:paraId="0F030E8A" w14:textId="77777777" w:rsidR="00703D08" w:rsidRPr="009F5522" w:rsidRDefault="00B0344A" w:rsidP="00703D08">
            <w:pPr>
              <w:rPr>
                <w:rStyle w:val="Hyperlink"/>
              </w:rPr>
            </w:pPr>
            <w:hyperlink r:id="rId85" w:history="1">
              <w:hyperlink w:history="1">
                <w:r w:rsidR="00703D08" w:rsidRPr="009F5522">
                  <w:rPr>
                    <w:rStyle w:val="Hyperlink"/>
                  </w:rPr>
                  <w:t>MRC Community Living Division Provider Manual</w:t>
                </w:r>
              </w:hyperlink>
            </w:hyperlink>
          </w:p>
          <w:p w14:paraId="03518C5E" w14:textId="77777777" w:rsidR="00703D08" w:rsidRPr="00302741" w:rsidRDefault="00703D08" w:rsidP="004427AF">
            <w:pPr>
              <w:numPr>
                <w:ilvl w:val="0"/>
                <w:numId w:val="19"/>
              </w:numPr>
              <w:rPr>
                <w:rFonts w:cs="Arial"/>
                <w:i/>
              </w:rPr>
            </w:pPr>
            <w:r w:rsidRPr="00302741">
              <w:rPr>
                <w:rFonts w:cs="Arial"/>
                <w:i/>
              </w:rPr>
              <w:t>Home and Community-Based Settings (General</w:t>
            </w:r>
            <w:proofErr w:type="gramStart"/>
            <w:r w:rsidRPr="00302741">
              <w:rPr>
                <w:rFonts w:cs="Arial"/>
                <w:i/>
              </w:rPr>
              <w:t>);</w:t>
            </w:r>
            <w:proofErr w:type="gramEnd"/>
          </w:p>
          <w:p w14:paraId="6A82A985" w14:textId="77777777" w:rsidR="00703D08" w:rsidRPr="00302741" w:rsidRDefault="00703D08" w:rsidP="004427AF">
            <w:pPr>
              <w:numPr>
                <w:ilvl w:val="0"/>
                <w:numId w:val="19"/>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31AE3613" w14:textId="77777777" w:rsidR="00703D08" w:rsidRPr="00302741" w:rsidRDefault="00703D08" w:rsidP="004427AF">
            <w:pPr>
              <w:numPr>
                <w:ilvl w:val="0"/>
                <w:numId w:val="19"/>
              </w:numPr>
              <w:rPr>
                <w:rFonts w:cs="Arial"/>
                <w:i/>
              </w:rPr>
            </w:pPr>
            <w:r w:rsidRPr="00302741">
              <w:rPr>
                <w:rFonts w:cs="Arial"/>
                <w:i/>
              </w:rPr>
              <w:t>Person-Centered Planning Principles; and</w:t>
            </w:r>
          </w:p>
          <w:p w14:paraId="2FCD3C66" w14:textId="035D50D2" w:rsidR="00703D08" w:rsidRPr="00703D08" w:rsidRDefault="00703D08" w:rsidP="004427AF">
            <w:pPr>
              <w:pStyle w:val="ListParagraph"/>
              <w:numPr>
                <w:ilvl w:val="0"/>
                <w:numId w:val="19"/>
              </w:numPr>
              <w:rPr>
                <w:rFonts w:cs="Arial"/>
                <w:b/>
                <w:bCs/>
                <w:u w:val="single"/>
              </w:rPr>
            </w:pPr>
            <w:r w:rsidRPr="00703D08">
              <w:rPr>
                <w:rFonts w:cs="Arial"/>
                <w:i/>
              </w:rPr>
              <w:t>Person-Centered Service Plan</w:t>
            </w:r>
          </w:p>
        </w:tc>
        <w:tc>
          <w:tcPr>
            <w:tcW w:w="2483" w:type="dxa"/>
          </w:tcPr>
          <w:p w14:paraId="6F92E141" w14:textId="2E1BFDBF" w:rsidR="00703D08" w:rsidRPr="00302741" w:rsidRDefault="00703D08" w:rsidP="00703D08">
            <w:pPr>
              <w:rPr>
                <w:rFonts w:cs="Arial"/>
                <w:b/>
              </w:rPr>
            </w:pPr>
            <w:r w:rsidRPr="00302741">
              <w:rPr>
                <w:rFonts w:cs="Arial"/>
                <w:b/>
              </w:rPr>
              <w:t>State standards are compliant with the HCBS Settings Rule.</w:t>
            </w:r>
            <w:r w:rsidRPr="00302741">
              <w:rPr>
                <w:rFonts w:cs="Arial"/>
              </w:rPr>
              <w:t xml:space="preserve"> The cited MRC policy ensures that the individual selects from among settings options as part of the per</w:t>
            </w:r>
            <w:r>
              <w:rPr>
                <w:rFonts w:cs="Arial"/>
              </w:rPr>
              <w:t>son-centered planning process.</w:t>
            </w:r>
          </w:p>
        </w:tc>
        <w:tc>
          <w:tcPr>
            <w:tcW w:w="1577" w:type="dxa"/>
          </w:tcPr>
          <w:p w14:paraId="12D67618" w14:textId="77777777" w:rsidR="00703D08" w:rsidRDefault="00703D08" w:rsidP="00703D08">
            <w:pPr>
              <w:rPr>
                <w:b/>
                <w:bCs/>
              </w:rPr>
            </w:pPr>
            <w:r w:rsidRPr="006C48CB">
              <w:t xml:space="preserve">115 CMR </w:t>
            </w:r>
            <w:r>
              <w:t>630 last</w:t>
            </w:r>
            <w:r w:rsidRPr="006C48CB">
              <w:t xml:space="preserve"> updated in</w:t>
            </w:r>
            <w:r>
              <w:rPr>
                <w:b/>
                <w:bCs/>
              </w:rPr>
              <w:t xml:space="preserve"> June 2022.</w:t>
            </w:r>
          </w:p>
          <w:p w14:paraId="487D1F41" w14:textId="77777777" w:rsidR="00703D08" w:rsidRDefault="00703D08" w:rsidP="00703D08"/>
          <w:p w14:paraId="70D87066" w14:textId="39673418" w:rsidR="00703D08" w:rsidRPr="006C48CB" w:rsidRDefault="00703D08" w:rsidP="00703D08">
            <w:r>
              <w:t xml:space="preserve">Provider manual was revised in </w:t>
            </w:r>
            <w:r w:rsidRPr="00703D08">
              <w:rPr>
                <w:b/>
                <w:bCs/>
              </w:rPr>
              <w:t>April 2016</w:t>
            </w:r>
            <w:r>
              <w:rPr>
                <w:b/>
                <w:bCs/>
              </w:rPr>
              <w:t>.</w:t>
            </w:r>
          </w:p>
        </w:tc>
      </w:tr>
      <w:tr w:rsidR="00AF1F50" w14:paraId="104B1BED" w14:textId="77777777" w:rsidTr="005C6E59">
        <w:trPr>
          <w:cantSplit/>
        </w:trPr>
        <w:tc>
          <w:tcPr>
            <w:tcW w:w="2847" w:type="dxa"/>
          </w:tcPr>
          <w:p w14:paraId="08659C06" w14:textId="77777777" w:rsidR="00AF1F50" w:rsidRPr="00302741" w:rsidRDefault="00AF1F50" w:rsidP="00AF1F50">
            <w:pPr>
              <w:rPr>
                <w:rFonts w:cs="Arial"/>
                <w:b/>
                <w:bCs/>
              </w:rPr>
            </w:pPr>
            <w:r w:rsidRPr="00302741">
              <w:rPr>
                <w:rFonts w:cs="Arial"/>
                <w:b/>
                <w:bCs/>
              </w:rPr>
              <w:lastRenderedPageBreak/>
              <w:t xml:space="preserve">441.301(c)(4)(iii): </w:t>
            </w:r>
          </w:p>
          <w:p w14:paraId="2CD080EE" w14:textId="3D1F5551" w:rsidR="00AF1F50" w:rsidRPr="00302741" w:rsidRDefault="00AF1F50" w:rsidP="00AF1F50">
            <w:pPr>
              <w:rPr>
                <w:rFonts w:cs="Arial"/>
                <w:b/>
                <w:bCs/>
              </w:rPr>
            </w:pPr>
            <w:r w:rsidRPr="00302741">
              <w:rPr>
                <w:rFonts w:cs="Arial"/>
              </w:rPr>
              <w:t xml:space="preserve">Privacy, dignity, respect, freedom from coercion and restraint </w:t>
            </w:r>
          </w:p>
        </w:tc>
        <w:tc>
          <w:tcPr>
            <w:tcW w:w="3739" w:type="dxa"/>
          </w:tcPr>
          <w:p w14:paraId="3A6E28E2" w14:textId="77777777" w:rsidR="00AF1F50" w:rsidRPr="00302741" w:rsidRDefault="00AF1F50" w:rsidP="00AF1F50">
            <w:pPr>
              <w:rPr>
                <w:rFonts w:cs="Arial"/>
                <w:b/>
                <w:bCs/>
                <w:u w:val="single"/>
              </w:rPr>
            </w:pPr>
            <w:r w:rsidRPr="00302741">
              <w:rPr>
                <w:rFonts w:cs="Arial"/>
                <w:b/>
                <w:bCs/>
                <w:u w:val="single"/>
              </w:rPr>
              <w:t>MA.0359, MA.40702, MA.1027:</w:t>
            </w:r>
          </w:p>
          <w:p w14:paraId="1F203349" w14:textId="77777777" w:rsidR="00696A4B" w:rsidRDefault="00696A4B" w:rsidP="00AF1F50"/>
          <w:p w14:paraId="2F232904" w14:textId="132C21FA" w:rsidR="00AF1F50" w:rsidRDefault="00B0344A" w:rsidP="00AF1F50">
            <w:pPr>
              <w:rPr>
                <w:rFonts w:cs="Arial"/>
              </w:rPr>
            </w:pPr>
            <w:hyperlink r:id="rId86">
              <w:r w:rsidR="00AF1F50" w:rsidRPr="2FD410C2">
                <w:rPr>
                  <w:rStyle w:val="Hyperlink"/>
                  <w:rFonts w:cs="Arial"/>
                </w:rPr>
                <w:t>130 CMR 630.404(A)(2)</w:t>
              </w:r>
            </w:hyperlink>
            <w:r w:rsidR="00AF1F50" w:rsidRPr="2FD410C2">
              <w:rPr>
                <w:rFonts w:cs="Arial"/>
              </w:rPr>
              <w:t xml:space="preserve"> Provider Eligibility</w:t>
            </w:r>
          </w:p>
          <w:p w14:paraId="72E939CB" w14:textId="77777777" w:rsidR="00AF1F50" w:rsidRPr="00302741" w:rsidRDefault="00AF1F50" w:rsidP="00AF1F50">
            <w:pPr>
              <w:rPr>
                <w:rFonts w:cs="Arial"/>
                <w:b/>
                <w:bCs/>
              </w:rPr>
            </w:pPr>
          </w:p>
          <w:p w14:paraId="785B1B8D" w14:textId="77777777" w:rsidR="00AF1F50" w:rsidRPr="00C26176" w:rsidRDefault="00B0344A" w:rsidP="00AF1F50">
            <w:pPr>
              <w:rPr>
                <w:rStyle w:val="Hyperlink"/>
              </w:rPr>
            </w:pPr>
            <w:hyperlink r:id="rId87" w:history="1">
              <w:hyperlink w:history="1">
                <w:r w:rsidR="00AF1F50" w:rsidRPr="00C26176">
                  <w:rPr>
                    <w:rStyle w:val="Hyperlink"/>
                  </w:rPr>
                  <w:t>MRC Community Living Division Provider Manual</w:t>
                </w:r>
              </w:hyperlink>
            </w:hyperlink>
          </w:p>
          <w:p w14:paraId="5A3CE556" w14:textId="77777777" w:rsidR="00AF1F50" w:rsidRPr="00302741" w:rsidRDefault="00AF1F50" w:rsidP="004427AF">
            <w:pPr>
              <w:pStyle w:val="ListParagraph"/>
              <w:numPr>
                <w:ilvl w:val="0"/>
                <w:numId w:val="19"/>
              </w:numPr>
              <w:rPr>
                <w:rFonts w:asciiTheme="minorHAnsi" w:hAnsiTheme="minorHAnsi"/>
                <w:b/>
                <w:bCs/>
                <w:i/>
                <w:iCs/>
              </w:rPr>
            </w:pPr>
            <w:r w:rsidRPr="2FD410C2">
              <w:rPr>
                <w:rFonts w:cs="Arial"/>
                <w:i/>
                <w:iCs/>
              </w:rPr>
              <w:t xml:space="preserve">Guiding </w:t>
            </w:r>
            <w:proofErr w:type="gramStart"/>
            <w:r w:rsidRPr="2FD410C2">
              <w:rPr>
                <w:rFonts w:cs="Arial"/>
                <w:i/>
                <w:iCs/>
              </w:rPr>
              <w:t>Principles;</w:t>
            </w:r>
            <w:proofErr w:type="gramEnd"/>
          </w:p>
          <w:p w14:paraId="6D36EA7B" w14:textId="77777777" w:rsidR="00AF1F50" w:rsidRPr="00302741" w:rsidRDefault="00AF1F50" w:rsidP="004427AF">
            <w:pPr>
              <w:numPr>
                <w:ilvl w:val="0"/>
                <w:numId w:val="19"/>
              </w:numPr>
              <w:rPr>
                <w:rFonts w:cs="Arial"/>
                <w:i/>
              </w:rPr>
            </w:pPr>
            <w:r w:rsidRPr="00302741">
              <w:rPr>
                <w:rFonts w:cs="Arial"/>
                <w:i/>
              </w:rPr>
              <w:t>Home and Community-Based Settings (General</w:t>
            </w:r>
            <w:proofErr w:type="gramStart"/>
            <w:r w:rsidRPr="00302741">
              <w:rPr>
                <w:rFonts w:cs="Arial"/>
                <w:i/>
              </w:rPr>
              <w:t>);</w:t>
            </w:r>
            <w:proofErr w:type="gramEnd"/>
          </w:p>
          <w:p w14:paraId="6ECE7382" w14:textId="77777777" w:rsidR="00AF1F50" w:rsidRPr="00302741" w:rsidRDefault="00AF1F50" w:rsidP="004427AF">
            <w:pPr>
              <w:numPr>
                <w:ilvl w:val="0"/>
                <w:numId w:val="19"/>
              </w:numPr>
              <w:rPr>
                <w:rFonts w:cs="Arial"/>
                <w:i/>
              </w:rPr>
            </w:pPr>
            <w:r w:rsidRPr="00302741">
              <w:rPr>
                <w:rFonts w:cs="Arial"/>
                <w:i/>
              </w:rPr>
              <w:t>Alcohol Use and Drug Abstinence; and</w:t>
            </w:r>
          </w:p>
          <w:p w14:paraId="013221C4" w14:textId="77777777" w:rsidR="00AF1F50" w:rsidRPr="00302741" w:rsidRDefault="00AF1F50" w:rsidP="004427AF">
            <w:pPr>
              <w:numPr>
                <w:ilvl w:val="0"/>
                <w:numId w:val="19"/>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55EEFF6E" w14:textId="77777777" w:rsidR="00AF1F50" w:rsidRPr="00302741" w:rsidRDefault="00AF1F50" w:rsidP="00AF1F50">
            <w:pPr>
              <w:rPr>
                <w:rFonts w:cs="Arial"/>
                <w:b/>
                <w:bCs/>
                <w:u w:val="single"/>
              </w:rPr>
            </w:pPr>
          </w:p>
        </w:tc>
        <w:tc>
          <w:tcPr>
            <w:tcW w:w="2483" w:type="dxa"/>
          </w:tcPr>
          <w:p w14:paraId="4CC9F80D" w14:textId="19CACFAB" w:rsidR="00AF1F50" w:rsidRPr="00302741" w:rsidRDefault="00AF1F50" w:rsidP="00AF1F50">
            <w:pPr>
              <w:rPr>
                <w:rFonts w:cs="Arial"/>
                <w:b/>
              </w:rPr>
            </w:pPr>
            <w:r w:rsidRPr="00302741">
              <w:rPr>
                <w:rFonts w:cs="Arial"/>
                <w:b/>
              </w:rPr>
              <w:t>State standards are compliant with the HCBS Settings Rule.</w:t>
            </w:r>
            <w:r w:rsidRPr="00302741">
              <w:rPr>
                <w:rFonts w:cs="Arial"/>
              </w:rPr>
              <w:t xml:space="preserve"> The cited MRC policy provides for rights of privacy, dignity and respect, and freedo</w:t>
            </w:r>
            <w:r>
              <w:rPr>
                <w:rFonts w:cs="Arial"/>
              </w:rPr>
              <w:t>m from coercion and restraint.</w:t>
            </w:r>
          </w:p>
        </w:tc>
        <w:tc>
          <w:tcPr>
            <w:tcW w:w="1577" w:type="dxa"/>
          </w:tcPr>
          <w:p w14:paraId="50087B76" w14:textId="77777777" w:rsidR="00AF1F50" w:rsidRDefault="00AF1F50" w:rsidP="00AF1F50">
            <w:pPr>
              <w:rPr>
                <w:b/>
                <w:bCs/>
              </w:rPr>
            </w:pPr>
            <w:r w:rsidRPr="006C48CB">
              <w:t xml:space="preserve">115 CMR </w:t>
            </w:r>
            <w:r>
              <w:t>630 last</w:t>
            </w:r>
            <w:r w:rsidRPr="006C48CB">
              <w:t xml:space="preserve"> updated in</w:t>
            </w:r>
            <w:r>
              <w:rPr>
                <w:b/>
                <w:bCs/>
              </w:rPr>
              <w:t xml:space="preserve"> June 2022.</w:t>
            </w:r>
          </w:p>
          <w:p w14:paraId="70754D48" w14:textId="77777777" w:rsidR="00AF1F50" w:rsidRDefault="00AF1F50" w:rsidP="00AF1F50"/>
          <w:p w14:paraId="7B3DE36F" w14:textId="5F22C72E" w:rsidR="00AF1F50" w:rsidRPr="006C48CB" w:rsidRDefault="00AF1F50" w:rsidP="00AF1F50">
            <w:r>
              <w:t xml:space="preserve">Provider manual was revised in </w:t>
            </w:r>
            <w:r w:rsidRPr="00703D08">
              <w:rPr>
                <w:b/>
                <w:bCs/>
              </w:rPr>
              <w:t>April 2016</w:t>
            </w:r>
            <w:r>
              <w:rPr>
                <w:b/>
                <w:bCs/>
              </w:rPr>
              <w:t>.</w:t>
            </w:r>
          </w:p>
        </w:tc>
      </w:tr>
      <w:tr w:rsidR="00AF1F50" w14:paraId="4F7FD0CB" w14:textId="77777777" w:rsidTr="005C6E59">
        <w:trPr>
          <w:cantSplit/>
        </w:trPr>
        <w:tc>
          <w:tcPr>
            <w:tcW w:w="2847" w:type="dxa"/>
          </w:tcPr>
          <w:p w14:paraId="35BD6D6F" w14:textId="77777777" w:rsidR="00AF1F50" w:rsidRPr="00302741" w:rsidRDefault="00AF1F50" w:rsidP="00AF1F50">
            <w:pPr>
              <w:rPr>
                <w:rFonts w:cs="Arial"/>
                <w:b/>
                <w:bCs/>
              </w:rPr>
            </w:pPr>
            <w:r w:rsidRPr="00302741">
              <w:rPr>
                <w:rFonts w:cs="Arial"/>
                <w:b/>
                <w:bCs/>
              </w:rPr>
              <w:t xml:space="preserve">441.301(c)(4)(iv): </w:t>
            </w:r>
          </w:p>
          <w:p w14:paraId="697C90B0" w14:textId="3E648788" w:rsidR="00AF1F50" w:rsidRDefault="00AF1F50" w:rsidP="00AF1F50">
            <w:r w:rsidRPr="00302741">
              <w:rPr>
                <w:rFonts w:cs="Arial"/>
              </w:rPr>
              <w:t>Optimizes, but does not regiment, individual initia</w:t>
            </w:r>
            <w:r>
              <w:rPr>
                <w:rFonts w:cs="Arial"/>
              </w:rPr>
              <w:t>tive, autonomy, and independence</w:t>
            </w:r>
          </w:p>
        </w:tc>
        <w:tc>
          <w:tcPr>
            <w:tcW w:w="3739" w:type="dxa"/>
          </w:tcPr>
          <w:p w14:paraId="4F170B49" w14:textId="77777777" w:rsidR="00AF1F50" w:rsidRPr="00302741" w:rsidRDefault="00AF1F50" w:rsidP="00AF1F50">
            <w:pPr>
              <w:rPr>
                <w:rFonts w:cs="Arial"/>
                <w:b/>
                <w:bCs/>
                <w:u w:val="single"/>
              </w:rPr>
            </w:pPr>
            <w:r w:rsidRPr="00302741">
              <w:rPr>
                <w:rFonts w:cs="Arial"/>
                <w:b/>
                <w:bCs/>
                <w:u w:val="single"/>
              </w:rPr>
              <w:t>MA.0359, MA.40702, MA.1027:</w:t>
            </w:r>
          </w:p>
          <w:p w14:paraId="3CCCB20D" w14:textId="77777777" w:rsidR="00696A4B" w:rsidRDefault="00696A4B" w:rsidP="00AF1F50"/>
          <w:p w14:paraId="4218D619" w14:textId="315C4B97" w:rsidR="00AF1F50" w:rsidRDefault="00B0344A" w:rsidP="00AF1F50">
            <w:pPr>
              <w:rPr>
                <w:rFonts w:cs="Arial"/>
              </w:rPr>
            </w:pPr>
            <w:hyperlink r:id="rId88" w:history="1">
              <w:r w:rsidR="00AF1F50" w:rsidRPr="2FD410C2">
                <w:rPr>
                  <w:rStyle w:val="Hyperlink"/>
                  <w:rFonts w:cs="Arial"/>
                </w:rPr>
                <w:t>130 CMR 630.404(A)(2)</w:t>
              </w:r>
            </w:hyperlink>
            <w:r w:rsidR="00AF1F50" w:rsidRPr="2FD410C2">
              <w:rPr>
                <w:rFonts w:cs="Arial"/>
              </w:rPr>
              <w:t xml:space="preserve"> Provider Eligibility</w:t>
            </w:r>
          </w:p>
          <w:p w14:paraId="4DDA4A1C" w14:textId="77777777" w:rsidR="00AF1F50" w:rsidRPr="00302741" w:rsidRDefault="00AF1F50" w:rsidP="00AF1F50">
            <w:pPr>
              <w:rPr>
                <w:rFonts w:cs="Arial"/>
                <w:b/>
                <w:bCs/>
              </w:rPr>
            </w:pPr>
          </w:p>
          <w:p w14:paraId="4A59E385" w14:textId="77777777" w:rsidR="00AF1F50" w:rsidRPr="00C26176" w:rsidRDefault="00B0344A" w:rsidP="00AF1F50">
            <w:pPr>
              <w:rPr>
                <w:rStyle w:val="Hyperlink"/>
              </w:rPr>
            </w:pPr>
            <w:hyperlink r:id="rId89" w:history="1">
              <w:hyperlink w:history="1">
                <w:r w:rsidR="00AF1F50" w:rsidRPr="00C26176">
                  <w:rPr>
                    <w:rStyle w:val="Hyperlink"/>
                  </w:rPr>
                  <w:t>MRC Community Living Division Provider Manual</w:t>
                </w:r>
              </w:hyperlink>
            </w:hyperlink>
          </w:p>
          <w:p w14:paraId="757A4CDD" w14:textId="77777777" w:rsidR="00AF1F50" w:rsidRPr="00302741" w:rsidRDefault="00AF1F50" w:rsidP="004427AF">
            <w:pPr>
              <w:numPr>
                <w:ilvl w:val="0"/>
                <w:numId w:val="19"/>
              </w:numPr>
              <w:rPr>
                <w:rFonts w:cs="Arial"/>
                <w:i/>
              </w:rPr>
            </w:pPr>
            <w:r w:rsidRPr="00302741">
              <w:rPr>
                <w:rFonts w:cs="Arial"/>
                <w:i/>
              </w:rPr>
              <w:t>Home and Community-Based Settings (General</w:t>
            </w:r>
            <w:proofErr w:type="gramStart"/>
            <w:r w:rsidRPr="00302741">
              <w:rPr>
                <w:rFonts w:cs="Arial"/>
                <w:i/>
              </w:rPr>
              <w:t>);</w:t>
            </w:r>
            <w:proofErr w:type="gramEnd"/>
          </w:p>
          <w:p w14:paraId="6FE3BB89" w14:textId="77777777" w:rsidR="00AF1F50" w:rsidRPr="00302741" w:rsidRDefault="00AF1F50" w:rsidP="004427AF">
            <w:pPr>
              <w:numPr>
                <w:ilvl w:val="0"/>
                <w:numId w:val="19"/>
              </w:numPr>
              <w:rPr>
                <w:rFonts w:cs="Arial"/>
                <w:i/>
              </w:rPr>
            </w:pPr>
            <w:r w:rsidRPr="00302741">
              <w:rPr>
                <w:rFonts w:cs="Arial"/>
                <w:i/>
              </w:rPr>
              <w:t xml:space="preserve">Person-Centered Planning Principles; </w:t>
            </w:r>
            <w:r w:rsidRPr="00302741">
              <w:rPr>
                <w:rFonts w:cs="Arial"/>
              </w:rPr>
              <w:t>and</w:t>
            </w:r>
            <w:r w:rsidRPr="00302741">
              <w:rPr>
                <w:rFonts w:cs="Arial"/>
                <w:i/>
              </w:rPr>
              <w:t xml:space="preserve"> </w:t>
            </w:r>
          </w:p>
          <w:p w14:paraId="0E9E5D5A" w14:textId="77777777" w:rsidR="00AF1F50" w:rsidRPr="00302741" w:rsidRDefault="00AF1F50" w:rsidP="004427AF">
            <w:pPr>
              <w:numPr>
                <w:ilvl w:val="0"/>
                <w:numId w:val="19"/>
              </w:numPr>
              <w:rPr>
                <w:rFonts w:cs="Arial"/>
                <w:i/>
              </w:rPr>
            </w:pPr>
            <w:r w:rsidRPr="00302741">
              <w:rPr>
                <w:rFonts w:cs="Arial"/>
                <w:i/>
              </w:rPr>
              <w:t>Additional Policies for Group Living Residential Program Providers Only</w:t>
            </w:r>
          </w:p>
          <w:p w14:paraId="6C6FEC6E" w14:textId="77777777" w:rsidR="00AF1F50" w:rsidRPr="00302741" w:rsidRDefault="00AF1F50" w:rsidP="00AF1F50">
            <w:pPr>
              <w:rPr>
                <w:rFonts w:cs="Arial"/>
              </w:rPr>
            </w:pPr>
          </w:p>
          <w:p w14:paraId="1CCE34A5" w14:textId="77777777" w:rsidR="00AF1F50" w:rsidRPr="00302741" w:rsidRDefault="00AF1F50" w:rsidP="00AF1F50">
            <w:pPr>
              <w:rPr>
                <w:rFonts w:cs="Arial"/>
                <w:bCs/>
              </w:rPr>
            </w:pPr>
            <w:r w:rsidRPr="00302741">
              <w:rPr>
                <w:rFonts w:cs="Arial"/>
                <w:b/>
                <w:bCs/>
                <w:u w:val="single"/>
              </w:rPr>
              <w:t>MA.40702, MA.1027:</w:t>
            </w:r>
          </w:p>
          <w:p w14:paraId="2DC65B02" w14:textId="77777777" w:rsidR="00AF1F50" w:rsidRPr="00302741" w:rsidRDefault="00B0344A" w:rsidP="00AF1F50">
            <w:pPr>
              <w:rPr>
                <w:rFonts w:cs="Arial"/>
              </w:rPr>
            </w:pPr>
            <w:hyperlink r:id="rId90" w:history="1">
              <w:r w:rsidR="00AF1F50" w:rsidRPr="00C36397">
                <w:rPr>
                  <w:rStyle w:val="Hyperlink"/>
                  <w:rFonts w:cs="Arial"/>
                  <w:bCs/>
                </w:rPr>
                <w:t>ABI/MFP member handbook</w:t>
              </w:r>
            </w:hyperlink>
            <w:r w:rsidR="00AF1F50" w:rsidRPr="00302741">
              <w:rPr>
                <w:rFonts w:cs="Arial"/>
                <w:bCs/>
              </w:rPr>
              <w:t xml:space="preserve"> </w:t>
            </w:r>
          </w:p>
          <w:p w14:paraId="017C7172" w14:textId="735BCEEA" w:rsidR="00AF1F50" w:rsidRDefault="00AF1F50" w:rsidP="00AF1F50"/>
        </w:tc>
        <w:tc>
          <w:tcPr>
            <w:tcW w:w="2483" w:type="dxa"/>
          </w:tcPr>
          <w:p w14:paraId="1E18DB83" w14:textId="68DFEA59" w:rsidR="00AF1F50" w:rsidRDefault="00AF1F50" w:rsidP="00AF1F50">
            <w:r w:rsidRPr="00302741">
              <w:rPr>
                <w:rFonts w:cs="Arial"/>
                <w:b/>
              </w:rPr>
              <w:t>State standards are compliant with the HCBS Settings Rule.</w:t>
            </w:r>
            <w:r w:rsidRPr="00302741">
              <w:rPr>
                <w:rFonts w:cs="Arial"/>
              </w:rPr>
              <w:t xml:space="preserve"> Under the cited MRC policy, settings must optimize, but not regiment, individual initiative, autonomy, and independence. State standards </w:t>
            </w:r>
            <w:r>
              <w:rPr>
                <w:rFonts w:cs="Arial"/>
              </w:rPr>
              <w:t>were</w:t>
            </w:r>
            <w:r w:rsidRPr="00302741">
              <w:rPr>
                <w:rFonts w:cs="Arial"/>
              </w:rPr>
              <w:t xml:space="preserve"> strengthened further with issuance of a member handbook for MA.4070</w:t>
            </w:r>
            <w:r>
              <w:rPr>
                <w:rFonts w:cs="Arial"/>
              </w:rPr>
              <w:t>2</w:t>
            </w:r>
            <w:r w:rsidRPr="00302741">
              <w:rPr>
                <w:rFonts w:cs="Arial"/>
              </w:rPr>
              <w:t xml:space="preserve"> and MA.102</w:t>
            </w:r>
            <w:r>
              <w:rPr>
                <w:rFonts w:cs="Arial"/>
              </w:rPr>
              <w:t>7 (completed July 2017)</w:t>
            </w:r>
            <w:r w:rsidRPr="00302741">
              <w:rPr>
                <w:rFonts w:cs="Arial"/>
              </w:rPr>
              <w:t>.</w:t>
            </w:r>
          </w:p>
        </w:tc>
        <w:tc>
          <w:tcPr>
            <w:tcW w:w="1577" w:type="dxa"/>
          </w:tcPr>
          <w:p w14:paraId="3AA9F3CD" w14:textId="7DF7E82C" w:rsidR="00AF1F50" w:rsidRDefault="00AF1F50" w:rsidP="00AF1F50">
            <w:pPr>
              <w:rPr>
                <w:b/>
                <w:bCs/>
              </w:rPr>
            </w:pPr>
            <w:r w:rsidRPr="006C48CB">
              <w:t xml:space="preserve">115 CMR </w:t>
            </w:r>
            <w:r>
              <w:t>630 last</w:t>
            </w:r>
            <w:r w:rsidRPr="006C48CB">
              <w:t xml:space="preserve"> updated in</w:t>
            </w:r>
            <w:r>
              <w:rPr>
                <w:b/>
                <w:bCs/>
              </w:rPr>
              <w:t xml:space="preserve"> June 2022.</w:t>
            </w:r>
          </w:p>
          <w:p w14:paraId="24FAE231" w14:textId="77777777" w:rsidR="00AF1F50" w:rsidRDefault="00AF1F50" w:rsidP="00AF1F50">
            <w:pPr>
              <w:rPr>
                <w:rFonts w:cs="Arial"/>
                <w:b/>
              </w:rPr>
            </w:pPr>
          </w:p>
          <w:p w14:paraId="3580D1DD" w14:textId="4BF3B818" w:rsidR="00AF1F50" w:rsidRDefault="00AF1F50" w:rsidP="00AF1F50">
            <w:pPr>
              <w:rPr>
                <w:b/>
                <w:bCs/>
              </w:rPr>
            </w:pPr>
            <w:r>
              <w:t xml:space="preserve">Provider manual was revised in </w:t>
            </w:r>
            <w:r w:rsidRPr="00703D08">
              <w:rPr>
                <w:b/>
                <w:bCs/>
              </w:rPr>
              <w:t>April 2016</w:t>
            </w:r>
            <w:r>
              <w:rPr>
                <w:b/>
                <w:bCs/>
              </w:rPr>
              <w:t>.</w:t>
            </w:r>
          </w:p>
          <w:p w14:paraId="5FEA54F9" w14:textId="77777777" w:rsidR="00AF1F50" w:rsidRDefault="00AF1F50" w:rsidP="00AF1F50"/>
          <w:p w14:paraId="47C4445F" w14:textId="77261DF9" w:rsidR="00AF1F50" w:rsidRDefault="00AF1F50" w:rsidP="00AF1F50">
            <w:r>
              <w:t xml:space="preserve">Member handbook updated in </w:t>
            </w:r>
            <w:r>
              <w:rPr>
                <w:b/>
                <w:bCs/>
              </w:rPr>
              <w:t>August 2019.</w:t>
            </w:r>
          </w:p>
        </w:tc>
      </w:tr>
      <w:tr w:rsidR="00AF1F50" w14:paraId="5930EDF5" w14:textId="77777777" w:rsidTr="005C6E59">
        <w:trPr>
          <w:cantSplit/>
        </w:trPr>
        <w:tc>
          <w:tcPr>
            <w:tcW w:w="2847" w:type="dxa"/>
          </w:tcPr>
          <w:p w14:paraId="231050D9" w14:textId="77777777" w:rsidR="00AF1F50" w:rsidRPr="00302741" w:rsidRDefault="00AF1F50" w:rsidP="00AF1F50">
            <w:pPr>
              <w:rPr>
                <w:rFonts w:cs="Arial"/>
                <w:b/>
                <w:bCs/>
              </w:rPr>
            </w:pPr>
            <w:r w:rsidRPr="00302741">
              <w:rPr>
                <w:rFonts w:cs="Arial"/>
                <w:b/>
                <w:bCs/>
              </w:rPr>
              <w:lastRenderedPageBreak/>
              <w:t xml:space="preserve">441.301(c)(4)(v): </w:t>
            </w:r>
          </w:p>
          <w:p w14:paraId="605C7222" w14:textId="00CD3076" w:rsidR="00AF1F50" w:rsidRDefault="00AF1F50" w:rsidP="00AF1F50">
            <w:r w:rsidRPr="00302741">
              <w:rPr>
                <w:rFonts w:cs="Arial"/>
              </w:rPr>
              <w:t>Facilitates individual choice regarding services and supports</w:t>
            </w:r>
          </w:p>
        </w:tc>
        <w:tc>
          <w:tcPr>
            <w:tcW w:w="3739" w:type="dxa"/>
          </w:tcPr>
          <w:p w14:paraId="13A5D925" w14:textId="77777777" w:rsidR="00AF1F50" w:rsidRPr="00302741" w:rsidRDefault="00AF1F50" w:rsidP="00AF1F50">
            <w:pPr>
              <w:rPr>
                <w:rFonts w:cs="Arial"/>
                <w:b/>
                <w:bCs/>
                <w:u w:val="single"/>
              </w:rPr>
            </w:pPr>
            <w:r w:rsidRPr="00302741">
              <w:rPr>
                <w:rFonts w:cs="Arial"/>
                <w:b/>
                <w:bCs/>
                <w:u w:val="single"/>
              </w:rPr>
              <w:t>MA.0359, MA.40702, MA.1027:</w:t>
            </w:r>
          </w:p>
          <w:p w14:paraId="4D6A92C9" w14:textId="77777777" w:rsidR="00696A4B" w:rsidRDefault="00696A4B" w:rsidP="00AF1F50"/>
          <w:p w14:paraId="5C881304" w14:textId="13D78088" w:rsidR="00AF1F50" w:rsidRDefault="00B0344A" w:rsidP="00AF1F50">
            <w:pPr>
              <w:rPr>
                <w:rFonts w:cs="Arial"/>
              </w:rPr>
            </w:pPr>
            <w:hyperlink r:id="rId91">
              <w:r w:rsidR="00AF1F50" w:rsidRPr="2FD410C2">
                <w:rPr>
                  <w:rStyle w:val="Hyperlink"/>
                  <w:rFonts w:cs="Arial"/>
                </w:rPr>
                <w:t>130 CMR 630.404(A)(2)</w:t>
              </w:r>
            </w:hyperlink>
            <w:r w:rsidR="00AF1F50" w:rsidRPr="2FD410C2">
              <w:rPr>
                <w:rFonts w:cs="Arial"/>
              </w:rPr>
              <w:t xml:space="preserve"> Provider Eligibility</w:t>
            </w:r>
          </w:p>
          <w:p w14:paraId="6B4E7198" w14:textId="77777777" w:rsidR="00AF1F50" w:rsidRPr="00302741" w:rsidRDefault="00AF1F50" w:rsidP="00AF1F50">
            <w:pPr>
              <w:rPr>
                <w:rFonts w:cs="Arial"/>
                <w:b/>
                <w:bCs/>
              </w:rPr>
            </w:pPr>
          </w:p>
          <w:p w14:paraId="3B68B8B3" w14:textId="77777777" w:rsidR="00AF1F50" w:rsidRPr="00C26176" w:rsidRDefault="00B0344A" w:rsidP="00AF1F50">
            <w:pPr>
              <w:rPr>
                <w:rStyle w:val="Hyperlink"/>
              </w:rPr>
            </w:pPr>
            <w:hyperlink r:id="rId92" w:history="1">
              <w:hyperlink w:history="1">
                <w:r w:rsidR="00AF1F50" w:rsidRPr="00C26176">
                  <w:rPr>
                    <w:rStyle w:val="Hyperlink"/>
                  </w:rPr>
                  <w:t>MRC Community Living Division Provider Manual</w:t>
                </w:r>
              </w:hyperlink>
            </w:hyperlink>
          </w:p>
          <w:p w14:paraId="3B8274D5" w14:textId="77777777" w:rsidR="00AF1F50" w:rsidRPr="00302741" w:rsidRDefault="00AF1F50" w:rsidP="004427AF">
            <w:pPr>
              <w:numPr>
                <w:ilvl w:val="0"/>
                <w:numId w:val="19"/>
              </w:numPr>
              <w:rPr>
                <w:rFonts w:cs="Arial"/>
                <w:i/>
              </w:rPr>
            </w:pPr>
            <w:r w:rsidRPr="00302741">
              <w:rPr>
                <w:rFonts w:cs="Arial"/>
                <w:i/>
              </w:rPr>
              <w:t xml:space="preserve">Guiding </w:t>
            </w:r>
            <w:proofErr w:type="gramStart"/>
            <w:r w:rsidRPr="00302741">
              <w:rPr>
                <w:rFonts w:cs="Arial"/>
                <w:i/>
              </w:rPr>
              <w:t>Principles;</w:t>
            </w:r>
            <w:proofErr w:type="gramEnd"/>
          </w:p>
          <w:p w14:paraId="16C8E600" w14:textId="77777777" w:rsidR="00AF1F50" w:rsidRPr="00302741" w:rsidRDefault="00AF1F50" w:rsidP="004427AF">
            <w:pPr>
              <w:numPr>
                <w:ilvl w:val="0"/>
                <w:numId w:val="19"/>
              </w:numPr>
              <w:rPr>
                <w:rFonts w:cs="Arial"/>
                <w:i/>
              </w:rPr>
            </w:pPr>
            <w:r w:rsidRPr="00302741">
              <w:rPr>
                <w:rFonts w:cs="Arial"/>
                <w:i/>
              </w:rPr>
              <w:t>Home and Community-Based Settings (General</w:t>
            </w:r>
            <w:proofErr w:type="gramStart"/>
            <w:r w:rsidRPr="00302741">
              <w:rPr>
                <w:rFonts w:cs="Arial"/>
                <w:i/>
              </w:rPr>
              <w:t>);</w:t>
            </w:r>
            <w:proofErr w:type="gramEnd"/>
          </w:p>
          <w:p w14:paraId="342C4094" w14:textId="77777777" w:rsidR="00AF1F50" w:rsidRPr="00302741" w:rsidRDefault="00AF1F50" w:rsidP="004427AF">
            <w:pPr>
              <w:numPr>
                <w:ilvl w:val="0"/>
                <w:numId w:val="19"/>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20B6388C" w14:textId="77777777" w:rsidR="00AF1F50" w:rsidRPr="00302741" w:rsidRDefault="00AF1F50" w:rsidP="004427AF">
            <w:pPr>
              <w:numPr>
                <w:ilvl w:val="0"/>
                <w:numId w:val="19"/>
              </w:numPr>
              <w:rPr>
                <w:rFonts w:cs="Arial"/>
                <w:i/>
              </w:rPr>
            </w:pPr>
            <w:r w:rsidRPr="00302741">
              <w:rPr>
                <w:rFonts w:cs="Arial"/>
                <w:i/>
              </w:rPr>
              <w:t xml:space="preserve">Person-Centered Planning Principles; </w:t>
            </w:r>
            <w:r w:rsidRPr="00302741">
              <w:rPr>
                <w:rFonts w:cs="Arial"/>
              </w:rPr>
              <w:t>and</w:t>
            </w:r>
          </w:p>
          <w:p w14:paraId="09A410FB" w14:textId="77777777" w:rsidR="00AF1F50" w:rsidRPr="00302741" w:rsidRDefault="00AF1F50" w:rsidP="004427AF">
            <w:pPr>
              <w:numPr>
                <w:ilvl w:val="0"/>
                <w:numId w:val="19"/>
              </w:numPr>
              <w:rPr>
                <w:rFonts w:cs="Arial"/>
                <w:sz w:val="24"/>
              </w:rPr>
            </w:pPr>
            <w:r w:rsidRPr="00302741">
              <w:rPr>
                <w:rFonts w:cs="Arial"/>
                <w:i/>
              </w:rPr>
              <w:t>Person-Centered Service Plan</w:t>
            </w:r>
            <w:r w:rsidRPr="00302741">
              <w:rPr>
                <w:rFonts w:cs="Arial"/>
                <w:sz w:val="24"/>
              </w:rPr>
              <w:t> </w:t>
            </w:r>
          </w:p>
          <w:p w14:paraId="762C108C" w14:textId="77777777" w:rsidR="00AF1F50" w:rsidRPr="00302741" w:rsidRDefault="00AF1F50" w:rsidP="00AF1F50">
            <w:pPr>
              <w:rPr>
                <w:rFonts w:cs="Arial"/>
              </w:rPr>
            </w:pPr>
          </w:p>
          <w:p w14:paraId="1383C0E0" w14:textId="77777777" w:rsidR="00AF1F50" w:rsidRPr="00302741" w:rsidRDefault="00AF1F50" w:rsidP="00AF1F50">
            <w:pPr>
              <w:tabs>
                <w:tab w:val="center" w:pos="4680"/>
                <w:tab w:val="right" w:pos="9360"/>
              </w:tabs>
              <w:rPr>
                <w:rFonts w:cs="Arial"/>
                <w:b/>
                <w:u w:val="single"/>
              </w:rPr>
            </w:pPr>
            <w:r w:rsidRPr="00302741">
              <w:rPr>
                <w:rFonts w:cs="Arial"/>
                <w:b/>
                <w:u w:val="single"/>
              </w:rPr>
              <w:t>MA.40702, MA.1027:</w:t>
            </w:r>
          </w:p>
          <w:p w14:paraId="3D58B762" w14:textId="77777777" w:rsidR="00696A4B" w:rsidRDefault="00696A4B" w:rsidP="00AF1F50">
            <w:pPr>
              <w:tabs>
                <w:tab w:val="center" w:pos="4680"/>
                <w:tab w:val="right" w:pos="9360"/>
              </w:tabs>
            </w:pPr>
          </w:p>
          <w:p w14:paraId="408B0826" w14:textId="0C8DF766" w:rsidR="00AF1F50" w:rsidRPr="00302741" w:rsidRDefault="00B0344A" w:rsidP="00AF1F50">
            <w:pPr>
              <w:tabs>
                <w:tab w:val="center" w:pos="4680"/>
                <w:tab w:val="right" w:pos="9360"/>
              </w:tabs>
              <w:rPr>
                <w:rFonts w:cs="Arial"/>
              </w:rPr>
            </w:pPr>
            <w:hyperlink r:id="rId93" w:history="1">
              <w:r w:rsidR="00AF1F50" w:rsidRPr="00C36397">
                <w:rPr>
                  <w:rStyle w:val="Hyperlink"/>
                  <w:rFonts w:cs="Arial"/>
                </w:rPr>
                <w:t>ABI/MFP member handbook</w:t>
              </w:r>
            </w:hyperlink>
            <w:r w:rsidR="00AF1F50" w:rsidRPr="00302741">
              <w:rPr>
                <w:rFonts w:cs="Arial"/>
              </w:rPr>
              <w:t xml:space="preserve"> </w:t>
            </w:r>
          </w:p>
          <w:p w14:paraId="30C46B2E" w14:textId="77777777" w:rsidR="00AF1F50" w:rsidRPr="00302741" w:rsidRDefault="00AF1F50" w:rsidP="00AF1F50">
            <w:pPr>
              <w:tabs>
                <w:tab w:val="center" w:pos="4680"/>
                <w:tab w:val="right" w:pos="9360"/>
              </w:tabs>
              <w:rPr>
                <w:rFonts w:cs="Arial"/>
              </w:rPr>
            </w:pPr>
            <w:r w:rsidRPr="00302741">
              <w:rPr>
                <w:rFonts w:cs="Arial"/>
              </w:rPr>
              <w:t>Person-centere</w:t>
            </w:r>
            <w:r>
              <w:rPr>
                <w:rFonts w:cs="Arial"/>
              </w:rPr>
              <w:t>d planning tools</w:t>
            </w:r>
          </w:p>
          <w:p w14:paraId="2526B53F" w14:textId="5FB6C565" w:rsidR="00AF1F50" w:rsidRDefault="00AF1F50" w:rsidP="00AF1F50"/>
        </w:tc>
        <w:tc>
          <w:tcPr>
            <w:tcW w:w="2483" w:type="dxa"/>
          </w:tcPr>
          <w:p w14:paraId="05D08EF8" w14:textId="278A13CB" w:rsidR="00AF1F50" w:rsidRDefault="00AF1F50" w:rsidP="00AF1F50">
            <w:r w:rsidRPr="00302741">
              <w:rPr>
                <w:rFonts w:cs="Arial"/>
                <w:b/>
              </w:rPr>
              <w:t>State standards are compliant with the HCBS Settings Rule.</w:t>
            </w:r>
            <w:r w:rsidRPr="00302741">
              <w:rPr>
                <w:rFonts w:cs="Arial"/>
              </w:rPr>
              <w:t xml:space="preserve"> The cited MRC policy and tools describe and ensure deployment of person-centered planning principles that facilitate individual choice regarding services and supports. State standards </w:t>
            </w:r>
            <w:r>
              <w:rPr>
                <w:rFonts w:cs="Arial"/>
              </w:rPr>
              <w:t>were</w:t>
            </w:r>
            <w:r w:rsidRPr="00302741">
              <w:rPr>
                <w:rFonts w:cs="Arial"/>
              </w:rPr>
              <w:t xml:space="preserve"> strengthened further wit</w:t>
            </w:r>
            <w:r>
              <w:rPr>
                <w:rFonts w:cs="Arial"/>
              </w:rPr>
              <w:t xml:space="preserve">h issuance of a member handbook </w:t>
            </w:r>
            <w:r w:rsidRPr="00302741">
              <w:rPr>
                <w:rFonts w:cs="Arial"/>
              </w:rPr>
              <w:t>for MA.4070</w:t>
            </w:r>
            <w:r>
              <w:rPr>
                <w:rFonts w:cs="Arial"/>
              </w:rPr>
              <w:t>2</w:t>
            </w:r>
            <w:r w:rsidRPr="00302741">
              <w:rPr>
                <w:rFonts w:cs="Arial"/>
              </w:rPr>
              <w:t xml:space="preserve"> and MA.102</w:t>
            </w:r>
            <w:r>
              <w:rPr>
                <w:rFonts w:cs="Arial"/>
              </w:rPr>
              <w:t>7(completed July 2017)</w:t>
            </w:r>
            <w:r w:rsidRPr="00302741">
              <w:rPr>
                <w:rFonts w:cs="Arial"/>
              </w:rPr>
              <w:t>.</w:t>
            </w:r>
          </w:p>
        </w:tc>
        <w:tc>
          <w:tcPr>
            <w:tcW w:w="1577" w:type="dxa"/>
          </w:tcPr>
          <w:p w14:paraId="31084E93" w14:textId="77777777" w:rsidR="00AF1F50" w:rsidRDefault="00AF1F50" w:rsidP="00AF1F50">
            <w:pPr>
              <w:rPr>
                <w:b/>
                <w:bCs/>
              </w:rPr>
            </w:pPr>
            <w:r w:rsidRPr="006C48CB">
              <w:t xml:space="preserve">115 CMR </w:t>
            </w:r>
            <w:r>
              <w:t>630 last</w:t>
            </w:r>
            <w:r w:rsidRPr="006C48CB">
              <w:t xml:space="preserve"> updated in</w:t>
            </w:r>
            <w:r>
              <w:rPr>
                <w:b/>
                <w:bCs/>
              </w:rPr>
              <w:t xml:space="preserve"> June 2022.</w:t>
            </w:r>
          </w:p>
          <w:p w14:paraId="26BB269C" w14:textId="77777777" w:rsidR="00AF1F50" w:rsidRDefault="00AF1F50" w:rsidP="00AF1F50">
            <w:pPr>
              <w:rPr>
                <w:rFonts w:cs="Arial"/>
                <w:b/>
              </w:rPr>
            </w:pPr>
          </w:p>
          <w:p w14:paraId="74C4F3E7" w14:textId="77777777" w:rsidR="00AF1F50" w:rsidRDefault="00AF1F50" w:rsidP="00AF1F50">
            <w:pPr>
              <w:rPr>
                <w:b/>
                <w:bCs/>
              </w:rPr>
            </w:pPr>
            <w:r>
              <w:t xml:space="preserve">Provider manual was revised in </w:t>
            </w:r>
            <w:r w:rsidRPr="00703D08">
              <w:rPr>
                <w:b/>
                <w:bCs/>
              </w:rPr>
              <w:t>April 2016</w:t>
            </w:r>
            <w:r>
              <w:rPr>
                <w:b/>
                <w:bCs/>
              </w:rPr>
              <w:t>.</w:t>
            </w:r>
          </w:p>
          <w:p w14:paraId="11F16C19" w14:textId="77777777" w:rsidR="00AF1F50" w:rsidRDefault="00AF1F50" w:rsidP="00AF1F50">
            <w:pPr>
              <w:rPr>
                <w:rFonts w:cs="Arial"/>
                <w:b/>
              </w:rPr>
            </w:pPr>
          </w:p>
          <w:p w14:paraId="4811427F" w14:textId="414512DC" w:rsidR="00AF1F50" w:rsidRDefault="00AF1F50" w:rsidP="00AF1F50">
            <w:r>
              <w:t xml:space="preserve">Member handbook updated in </w:t>
            </w:r>
            <w:r>
              <w:rPr>
                <w:b/>
                <w:bCs/>
              </w:rPr>
              <w:t>August 2019.</w:t>
            </w:r>
          </w:p>
        </w:tc>
      </w:tr>
      <w:tr w:rsidR="00AF1F50" w14:paraId="1EB647CC" w14:textId="77777777" w:rsidTr="005C6E59">
        <w:trPr>
          <w:cantSplit/>
        </w:trPr>
        <w:tc>
          <w:tcPr>
            <w:tcW w:w="2847" w:type="dxa"/>
          </w:tcPr>
          <w:p w14:paraId="5C87FA02" w14:textId="77777777" w:rsidR="00AF1F50" w:rsidRPr="00AF1F50" w:rsidRDefault="00AF1F50" w:rsidP="00AF1F50">
            <w:pPr>
              <w:spacing w:after="200" w:line="276" w:lineRule="auto"/>
              <w:rPr>
                <w:rFonts w:cs="Arial"/>
                <w:b/>
                <w:bCs/>
              </w:rPr>
            </w:pPr>
            <w:r w:rsidRPr="00AF1F50">
              <w:rPr>
                <w:rFonts w:cs="Arial"/>
                <w:b/>
                <w:bCs/>
              </w:rPr>
              <w:t xml:space="preserve">441.301(c)(4)(vi)(A): </w:t>
            </w:r>
          </w:p>
          <w:p w14:paraId="53221BEC" w14:textId="67F18D69" w:rsidR="00AF1F50" w:rsidRDefault="00AF1F50" w:rsidP="00AF1F50">
            <w:r w:rsidRPr="00AF1F50">
              <w:rPr>
                <w:rFonts w:cs="Arial"/>
              </w:rPr>
              <w:t>Unit or dwelling is a specific physical place that can be owned, rented, or occupied under a legally enforceable agreement</w:t>
            </w:r>
          </w:p>
        </w:tc>
        <w:tc>
          <w:tcPr>
            <w:tcW w:w="3739" w:type="dxa"/>
          </w:tcPr>
          <w:p w14:paraId="05610722" w14:textId="77777777" w:rsidR="000D0C43" w:rsidRDefault="00AF1F50" w:rsidP="00AF1F50">
            <w:pPr>
              <w:spacing w:after="200" w:line="276" w:lineRule="auto"/>
              <w:rPr>
                <w:rFonts w:cs="Arial"/>
                <w:b/>
                <w:bCs/>
                <w:u w:val="single"/>
              </w:rPr>
            </w:pPr>
            <w:r w:rsidRPr="00AF1F50">
              <w:rPr>
                <w:rFonts w:cs="Arial"/>
                <w:b/>
                <w:bCs/>
                <w:u w:val="single"/>
              </w:rPr>
              <w:t>MA.0359:</w:t>
            </w:r>
          </w:p>
          <w:p w14:paraId="7A9D7B6F" w14:textId="40BF4904" w:rsidR="00AF1F50" w:rsidRPr="00AF1F50" w:rsidRDefault="00B0344A" w:rsidP="00AF1F50">
            <w:pPr>
              <w:spacing w:after="200" w:line="276" w:lineRule="auto"/>
              <w:rPr>
                <w:color w:val="0000FF"/>
                <w:u w:val="single"/>
              </w:rPr>
            </w:pPr>
            <w:hyperlink r:id="rId94" w:history="1">
              <w:hyperlink w:history="1">
                <w:r w:rsidR="00AF1F50" w:rsidRPr="00AF1F50">
                  <w:rPr>
                    <w:color w:val="0000FF"/>
                    <w:u w:val="single"/>
                  </w:rPr>
                  <w:t>MRC Community Living Division Provider Manual</w:t>
                </w:r>
              </w:hyperlink>
            </w:hyperlink>
          </w:p>
          <w:p w14:paraId="0BA6DF19" w14:textId="77777777" w:rsidR="00AF1F50" w:rsidRPr="00AF1F50" w:rsidRDefault="00AF1F50" w:rsidP="004427AF">
            <w:pPr>
              <w:pStyle w:val="ListParagraph"/>
              <w:numPr>
                <w:ilvl w:val="0"/>
                <w:numId w:val="19"/>
              </w:numPr>
            </w:pPr>
            <w:r w:rsidRPr="00AF1F50">
              <w:rPr>
                <w:rFonts w:cs="Arial"/>
                <w:i/>
              </w:rPr>
              <w:t xml:space="preserve">Home and Community-Based Settings </w:t>
            </w:r>
            <w:proofErr w:type="gramStart"/>
            <w:r w:rsidRPr="00AF1F50">
              <w:rPr>
                <w:rFonts w:cs="Arial"/>
                <w:i/>
              </w:rPr>
              <w:t>For</w:t>
            </w:r>
            <w:proofErr w:type="gramEnd"/>
            <w:r w:rsidRPr="00AF1F50">
              <w:rPr>
                <w:rFonts w:cs="Arial"/>
                <w:i/>
              </w:rPr>
              <w:t xml:space="preserve"> Residential Homes; </w:t>
            </w:r>
            <w:r w:rsidRPr="00AF1F50">
              <w:rPr>
                <w:rFonts w:cs="Arial"/>
              </w:rPr>
              <w:t>and</w:t>
            </w:r>
          </w:p>
          <w:p w14:paraId="3EE083D8" w14:textId="4EF44278" w:rsidR="00AF1F50" w:rsidRDefault="00AF1F50" w:rsidP="004427AF">
            <w:pPr>
              <w:pStyle w:val="ListParagraph"/>
              <w:numPr>
                <w:ilvl w:val="0"/>
                <w:numId w:val="19"/>
              </w:numPr>
            </w:pPr>
            <w:r w:rsidRPr="00AF1F50">
              <w:rPr>
                <w:rFonts w:cs="Arial"/>
                <w:i/>
              </w:rPr>
              <w:t>Leases</w:t>
            </w:r>
          </w:p>
        </w:tc>
        <w:tc>
          <w:tcPr>
            <w:tcW w:w="2483" w:type="dxa"/>
          </w:tcPr>
          <w:p w14:paraId="7CE1031B" w14:textId="77777777" w:rsidR="00AF1F50" w:rsidRPr="00AF1F50" w:rsidRDefault="00AF1F50" w:rsidP="00AF1F50">
            <w:pPr>
              <w:spacing w:after="200" w:line="276" w:lineRule="auto"/>
              <w:rPr>
                <w:rFonts w:cs="Arial"/>
                <w:b/>
              </w:rPr>
            </w:pPr>
            <w:r w:rsidRPr="00AF1F50">
              <w:rPr>
                <w:rFonts w:cs="Arial"/>
                <w:b/>
              </w:rPr>
              <w:t>State standards are compliant with the HCBS Settings Rule.</w:t>
            </w:r>
            <w:r w:rsidRPr="00AF1F50">
              <w:rPr>
                <w:rFonts w:cs="Arial"/>
              </w:rPr>
              <w:t xml:space="preserve"> For provider-owned or controlled residential settings, the cited MRC policy sets out requirements consistent with this part of the HCBS Settings Rule.</w:t>
            </w:r>
          </w:p>
          <w:p w14:paraId="462ED77A" w14:textId="6BC0754C" w:rsidR="00AF1F50" w:rsidRDefault="00AF1F50" w:rsidP="00AF1F50"/>
        </w:tc>
        <w:tc>
          <w:tcPr>
            <w:tcW w:w="1577" w:type="dxa"/>
          </w:tcPr>
          <w:p w14:paraId="69E3B549" w14:textId="77777777" w:rsidR="000D0C43" w:rsidRDefault="000D0C43" w:rsidP="000D0C43">
            <w:pPr>
              <w:rPr>
                <w:b/>
                <w:bCs/>
              </w:rPr>
            </w:pPr>
            <w:r>
              <w:t xml:space="preserve">Provider manual was revised in </w:t>
            </w:r>
            <w:r w:rsidRPr="00703D08">
              <w:rPr>
                <w:b/>
                <w:bCs/>
              </w:rPr>
              <w:t>April 2016</w:t>
            </w:r>
            <w:r>
              <w:rPr>
                <w:b/>
                <w:bCs/>
              </w:rPr>
              <w:t>.</w:t>
            </w:r>
          </w:p>
          <w:p w14:paraId="5FAEA3DC" w14:textId="77777777" w:rsidR="000D0C43" w:rsidRDefault="000D0C43" w:rsidP="000D0C43">
            <w:pPr>
              <w:rPr>
                <w:rFonts w:cs="Arial"/>
                <w:b/>
              </w:rPr>
            </w:pPr>
          </w:p>
          <w:p w14:paraId="012C61F3" w14:textId="735B993C" w:rsidR="00AF1F50" w:rsidRDefault="00AF1F50" w:rsidP="00AF1F50"/>
        </w:tc>
      </w:tr>
      <w:tr w:rsidR="000D0C43" w14:paraId="23D44A56" w14:textId="77777777" w:rsidTr="005C6E59">
        <w:trPr>
          <w:cantSplit/>
        </w:trPr>
        <w:tc>
          <w:tcPr>
            <w:tcW w:w="2847" w:type="dxa"/>
          </w:tcPr>
          <w:p w14:paraId="2E4BCCD2" w14:textId="77777777" w:rsidR="000D0C43" w:rsidRPr="00AF1F50" w:rsidRDefault="000D0C43" w:rsidP="000D0C43">
            <w:pPr>
              <w:spacing w:after="200" w:line="276" w:lineRule="auto"/>
              <w:rPr>
                <w:rFonts w:cs="Arial"/>
                <w:b/>
                <w:bCs/>
              </w:rPr>
            </w:pPr>
            <w:r w:rsidRPr="00AF1F50">
              <w:rPr>
                <w:rFonts w:cs="Arial"/>
                <w:b/>
                <w:bCs/>
              </w:rPr>
              <w:t xml:space="preserve">441.301(c)(4)(vi)(A): </w:t>
            </w:r>
          </w:p>
          <w:p w14:paraId="2F74DF88" w14:textId="2CFD5973" w:rsidR="000D0C43" w:rsidRPr="00AF1F50" w:rsidRDefault="000D0C43" w:rsidP="000D0C43">
            <w:pPr>
              <w:rPr>
                <w:rFonts w:cs="Arial"/>
                <w:b/>
                <w:bCs/>
              </w:rPr>
            </w:pPr>
            <w:r w:rsidRPr="00AF1F50">
              <w:rPr>
                <w:rFonts w:cs="Arial"/>
              </w:rPr>
              <w:t>Unit or dwelling is a specific physical place that can be owned, rented, or occupied under a legally enforceable agreement</w:t>
            </w:r>
          </w:p>
        </w:tc>
        <w:tc>
          <w:tcPr>
            <w:tcW w:w="3739" w:type="dxa"/>
          </w:tcPr>
          <w:p w14:paraId="0E5D5D5B" w14:textId="78B97E55" w:rsidR="000D0C43" w:rsidRDefault="000D0C43" w:rsidP="000D0C43">
            <w:pPr>
              <w:spacing w:after="200" w:line="276" w:lineRule="auto"/>
              <w:rPr>
                <w:rFonts w:cs="Arial"/>
                <w:b/>
                <w:bCs/>
                <w:u w:val="single"/>
              </w:rPr>
            </w:pPr>
            <w:r w:rsidRPr="00AF1F50">
              <w:rPr>
                <w:rFonts w:cs="Arial"/>
                <w:b/>
                <w:bCs/>
                <w:u w:val="single"/>
              </w:rPr>
              <w:t>MA.</w:t>
            </w:r>
            <w:r>
              <w:rPr>
                <w:rFonts w:cs="Arial"/>
                <w:b/>
                <w:bCs/>
                <w:u w:val="single"/>
              </w:rPr>
              <w:t>1027, MA.40702, MA.0359:</w:t>
            </w:r>
          </w:p>
          <w:p w14:paraId="5EA4F2B9"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790096BE" w14:textId="77777777" w:rsidR="0084566F" w:rsidRDefault="0084566F" w:rsidP="0084566F">
            <w:pPr>
              <w:tabs>
                <w:tab w:val="center" w:pos="4680"/>
                <w:tab w:val="right" w:pos="9360"/>
              </w:tabs>
              <w:rPr>
                <w:rStyle w:val="Hyperlink"/>
                <w:rFonts w:cs="Arial"/>
                <w:bCs/>
              </w:rPr>
            </w:pPr>
            <w:r>
              <w:rPr>
                <w:rFonts w:cs="Arial"/>
                <w:bCs/>
              </w:rPr>
              <w:fldChar w:fldCharType="end"/>
            </w:r>
          </w:p>
          <w:p w14:paraId="31B02080" w14:textId="4D1C7E3A" w:rsidR="000D0C43" w:rsidRPr="00AF1F50" w:rsidRDefault="00B0344A" w:rsidP="000D0C43">
            <w:pPr>
              <w:rPr>
                <w:rFonts w:cs="Arial"/>
                <w:b/>
                <w:bCs/>
                <w:u w:val="single"/>
              </w:rPr>
            </w:pPr>
            <w:hyperlink r:id="rId95"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5270D579" w14:textId="0E979CEC" w:rsidR="000D0C43" w:rsidRPr="0035351C" w:rsidRDefault="000D0C43" w:rsidP="000D0C43">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4CDB9BE7" w14:textId="3294B95B" w:rsidR="000D0C43" w:rsidRPr="00AF1F50" w:rsidRDefault="00391302" w:rsidP="000D0C43">
            <w:pPr>
              <w:rPr>
                <w:rFonts w:cs="Arial"/>
                <w:b/>
              </w:rPr>
            </w:pPr>
            <w:r>
              <w:rPr>
                <w:rFonts w:cs="Arial"/>
                <w:bCs/>
              </w:rPr>
              <w:t>Assessment</w:t>
            </w:r>
            <w:r w:rsidR="00EA4C62">
              <w:rPr>
                <w:rFonts w:cs="Arial"/>
                <w:bCs/>
              </w:rPr>
              <w:t>s</w:t>
            </w:r>
            <w:r>
              <w:rPr>
                <w:rFonts w:cs="Arial"/>
                <w:bCs/>
              </w:rPr>
              <w:t xml:space="preserve"> of</w:t>
            </w:r>
            <w:r w:rsidR="000D0C43" w:rsidRPr="0035351C">
              <w:rPr>
                <w:rFonts w:cs="Arial"/>
                <w:bCs/>
              </w:rPr>
              <w:t xml:space="preserve"> AFC homes not owned or leased by waiver participants with an unrelated caregiver are </w:t>
            </w:r>
            <w:r>
              <w:rPr>
                <w:rFonts w:cs="Arial"/>
                <w:bCs/>
              </w:rPr>
              <w:t>underway</w:t>
            </w:r>
            <w:r w:rsidR="000D0C43" w:rsidRPr="0035351C">
              <w:rPr>
                <w:rFonts w:cs="Arial"/>
                <w:bCs/>
              </w:rPr>
              <w:t>. These settings will be fully compliant by 3/17/2023.</w:t>
            </w:r>
          </w:p>
        </w:tc>
        <w:tc>
          <w:tcPr>
            <w:tcW w:w="1577" w:type="dxa"/>
          </w:tcPr>
          <w:p w14:paraId="1FF8B8BF" w14:textId="49F1FA4E" w:rsidR="000D0C43" w:rsidRDefault="000D0C43" w:rsidP="000D0C43">
            <w:r>
              <w:rPr>
                <w:b/>
                <w:bCs/>
              </w:rPr>
              <w:t>March 2023</w:t>
            </w:r>
          </w:p>
        </w:tc>
      </w:tr>
      <w:tr w:rsidR="000D0C43" w14:paraId="4950577B" w14:textId="77777777" w:rsidTr="005C6E59">
        <w:trPr>
          <w:cantSplit/>
        </w:trPr>
        <w:tc>
          <w:tcPr>
            <w:tcW w:w="2847" w:type="dxa"/>
          </w:tcPr>
          <w:p w14:paraId="3442A108" w14:textId="77777777" w:rsidR="000D0C43" w:rsidRPr="00302741" w:rsidRDefault="000D0C43" w:rsidP="000D0C43">
            <w:pPr>
              <w:rPr>
                <w:rFonts w:cs="Arial"/>
              </w:rPr>
            </w:pPr>
            <w:r w:rsidRPr="00302741">
              <w:rPr>
                <w:rFonts w:cs="Arial"/>
                <w:b/>
                <w:bCs/>
              </w:rPr>
              <w:lastRenderedPageBreak/>
              <w:t>441.301(c)(4)(vi)(B):</w:t>
            </w:r>
            <w:r w:rsidRPr="00302741">
              <w:rPr>
                <w:rFonts w:cs="Arial"/>
              </w:rPr>
              <w:t xml:space="preserve"> </w:t>
            </w:r>
          </w:p>
          <w:p w14:paraId="136AB093" w14:textId="0B8FC045" w:rsidR="000D0C43" w:rsidRPr="00302741" w:rsidRDefault="000D0C43" w:rsidP="000D0C43">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330D8FD2" w14:textId="77777777" w:rsidR="000D0C43" w:rsidRPr="00302741" w:rsidRDefault="000D0C43" w:rsidP="000D0C43">
            <w:pPr>
              <w:rPr>
                <w:rFonts w:cs="Arial"/>
                <w:b/>
                <w:bCs/>
                <w:u w:val="single"/>
              </w:rPr>
            </w:pPr>
            <w:r w:rsidRPr="2FD410C2">
              <w:rPr>
                <w:rFonts w:cs="Arial"/>
                <w:b/>
                <w:bCs/>
                <w:u w:val="single"/>
              </w:rPr>
              <w:t>MA.0359:</w:t>
            </w:r>
          </w:p>
          <w:p w14:paraId="39E73AE0" w14:textId="77777777" w:rsidR="00696A4B" w:rsidRDefault="00696A4B" w:rsidP="000D0C43"/>
          <w:p w14:paraId="2A5330E6" w14:textId="0F7FEE57" w:rsidR="000D0C43" w:rsidRPr="00C26176" w:rsidRDefault="00B0344A" w:rsidP="000D0C43">
            <w:pPr>
              <w:rPr>
                <w:rStyle w:val="Hyperlink"/>
              </w:rPr>
            </w:pPr>
            <w:hyperlink r:id="rId96" w:history="1">
              <w:hyperlink w:history="1">
                <w:r w:rsidR="000D0C43" w:rsidRPr="00C26176">
                  <w:rPr>
                    <w:rStyle w:val="Hyperlink"/>
                  </w:rPr>
                  <w:t>MRC Community Living Division Provider Manual</w:t>
                </w:r>
              </w:hyperlink>
            </w:hyperlink>
          </w:p>
          <w:p w14:paraId="5487B794" w14:textId="04672BD3" w:rsidR="000D0C43" w:rsidRPr="000D0C43" w:rsidRDefault="000D0C43" w:rsidP="004427AF">
            <w:pPr>
              <w:numPr>
                <w:ilvl w:val="0"/>
                <w:numId w:val="19"/>
              </w:numPr>
              <w:rPr>
                <w:rFonts w:cs="Arial"/>
                <w:sz w:val="24"/>
              </w:rPr>
            </w:pPr>
            <w:r w:rsidRPr="00302741">
              <w:rPr>
                <w:rFonts w:cs="Arial"/>
                <w:i/>
              </w:rPr>
              <w:t xml:space="preserve">Guiding Principles; </w:t>
            </w:r>
            <w:r w:rsidRPr="00302741">
              <w:rPr>
                <w:rFonts w:cs="Arial"/>
              </w:rPr>
              <w:t>and</w:t>
            </w:r>
          </w:p>
          <w:p w14:paraId="68703CF8" w14:textId="0C145E02" w:rsidR="000D0C43" w:rsidRPr="000D0C43" w:rsidRDefault="000D0C43" w:rsidP="004427AF">
            <w:pPr>
              <w:numPr>
                <w:ilvl w:val="0"/>
                <w:numId w:val="19"/>
              </w:numPr>
              <w:rPr>
                <w:rFonts w:cs="Arial"/>
                <w:b/>
                <w:u w:val="single"/>
              </w:rPr>
            </w:pPr>
            <w:r w:rsidRPr="000D0C43">
              <w:rPr>
                <w:rFonts w:cs="Arial"/>
                <w:i/>
              </w:rPr>
              <w:t xml:space="preserve">Home and Community-Based Settings </w:t>
            </w:r>
            <w:proofErr w:type="gramStart"/>
            <w:r w:rsidRPr="000D0C43">
              <w:rPr>
                <w:rFonts w:cs="Arial"/>
                <w:i/>
              </w:rPr>
              <w:t>For</w:t>
            </w:r>
            <w:proofErr w:type="gramEnd"/>
            <w:r w:rsidRPr="000D0C43">
              <w:rPr>
                <w:rFonts w:cs="Arial"/>
                <w:i/>
              </w:rPr>
              <w:t xml:space="preserve"> Residential Homes</w:t>
            </w:r>
          </w:p>
        </w:tc>
        <w:tc>
          <w:tcPr>
            <w:tcW w:w="2483" w:type="dxa"/>
          </w:tcPr>
          <w:p w14:paraId="59EACB99" w14:textId="77777777" w:rsidR="000D0C43" w:rsidRPr="00302741" w:rsidRDefault="000D0C43" w:rsidP="000D0C43">
            <w:pPr>
              <w:rPr>
                <w:rFonts w:cs="Arial"/>
              </w:rPr>
            </w:pPr>
            <w:r w:rsidRPr="00302741">
              <w:rPr>
                <w:rFonts w:cs="Arial"/>
                <w:b/>
              </w:rPr>
              <w:t>State standards are compliant with the HCBS Settings Rule.</w:t>
            </w:r>
            <w:r w:rsidRPr="00302741">
              <w:rPr>
                <w:rFonts w:cs="Arial"/>
              </w:rPr>
              <w:t xml:space="preserve"> The cited MRC policy requires that </w:t>
            </w:r>
            <w:proofErr w:type="gramStart"/>
            <w:r w:rsidRPr="00302741">
              <w:rPr>
                <w:rFonts w:cs="Arial"/>
              </w:rPr>
              <w:t>each individual</w:t>
            </w:r>
            <w:proofErr w:type="gramEnd"/>
            <w:r w:rsidRPr="00302741">
              <w:rPr>
                <w:rFonts w:cs="Arial"/>
              </w:rPr>
              <w:t xml:space="preserve"> has privacy in their sleeping or living unit. </w:t>
            </w:r>
          </w:p>
          <w:p w14:paraId="0C3852F8" w14:textId="77777777" w:rsidR="000D0C43" w:rsidRPr="00302741" w:rsidRDefault="000D0C43" w:rsidP="000D0C43">
            <w:pPr>
              <w:tabs>
                <w:tab w:val="center" w:pos="4680"/>
                <w:tab w:val="right" w:pos="9360"/>
              </w:tabs>
              <w:rPr>
                <w:rFonts w:cs="Arial"/>
                <w:b/>
              </w:rPr>
            </w:pPr>
          </w:p>
        </w:tc>
        <w:tc>
          <w:tcPr>
            <w:tcW w:w="1577" w:type="dxa"/>
          </w:tcPr>
          <w:p w14:paraId="4244287B" w14:textId="77777777" w:rsidR="000D0C43" w:rsidRDefault="000D0C43" w:rsidP="000D0C43">
            <w:pPr>
              <w:rPr>
                <w:b/>
                <w:bCs/>
              </w:rPr>
            </w:pPr>
            <w:r>
              <w:t xml:space="preserve">Provider manual was revised in </w:t>
            </w:r>
            <w:r w:rsidRPr="00703D08">
              <w:rPr>
                <w:b/>
                <w:bCs/>
              </w:rPr>
              <w:t>April 2016</w:t>
            </w:r>
            <w:r>
              <w:rPr>
                <w:b/>
                <w:bCs/>
              </w:rPr>
              <w:t>.</w:t>
            </w:r>
          </w:p>
          <w:p w14:paraId="086FEFD4" w14:textId="37DD6300" w:rsidR="000D0C43" w:rsidRDefault="000D0C43" w:rsidP="000D0C43"/>
        </w:tc>
      </w:tr>
      <w:tr w:rsidR="000E18A5" w14:paraId="5DF9A904" w14:textId="77777777" w:rsidTr="005C6E59">
        <w:trPr>
          <w:cantSplit/>
        </w:trPr>
        <w:tc>
          <w:tcPr>
            <w:tcW w:w="2847" w:type="dxa"/>
          </w:tcPr>
          <w:p w14:paraId="58B0D53F" w14:textId="77777777" w:rsidR="000E18A5" w:rsidRPr="00302741" w:rsidRDefault="000E18A5" w:rsidP="000E18A5">
            <w:pPr>
              <w:rPr>
                <w:rFonts w:cs="Arial"/>
              </w:rPr>
            </w:pPr>
            <w:r w:rsidRPr="00302741">
              <w:rPr>
                <w:rFonts w:cs="Arial"/>
                <w:b/>
                <w:bCs/>
              </w:rPr>
              <w:t>441.301(c)(4)(vi)(B):</w:t>
            </w:r>
            <w:r w:rsidRPr="00302741">
              <w:rPr>
                <w:rFonts w:cs="Arial"/>
              </w:rPr>
              <w:t xml:space="preserve"> </w:t>
            </w:r>
          </w:p>
          <w:p w14:paraId="6ED09AF3" w14:textId="12F1C26F" w:rsidR="000E18A5" w:rsidRPr="00302741" w:rsidRDefault="000E18A5" w:rsidP="000E18A5">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6FAB5CD9" w14:textId="77777777" w:rsidR="000E18A5" w:rsidRDefault="000E18A5" w:rsidP="000E18A5">
            <w:pPr>
              <w:spacing w:after="200" w:line="276" w:lineRule="auto"/>
              <w:rPr>
                <w:rFonts w:cs="Arial"/>
                <w:b/>
                <w:bCs/>
                <w:u w:val="single"/>
              </w:rPr>
            </w:pPr>
            <w:r w:rsidRPr="00AF1F50">
              <w:rPr>
                <w:rFonts w:cs="Arial"/>
                <w:b/>
                <w:bCs/>
                <w:u w:val="single"/>
              </w:rPr>
              <w:t>MA.</w:t>
            </w:r>
            <w:r>
              <w:rPr>
                <w:rFonts w:cs="Arial"/>
                <w:b/>
                <w:bCs/>
                <w:u w:val="single"/>
              </w:rPr>
              <w:t>1027, MA.40702, MA.0359:</w:t>
            </w:r>
          </w:p>
          <w:p w14:paraId="3AB10DDB"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356D7016" w14:textId="77777777" w:rsidR="0084566F" w:rsidRDefault="0084566F" w:rsidP="0084566F">
            <w:pPr>
              <w:tabs>
                <w:tab w:val="center" w:pos="4680"/>
                <w:tab w:val="right" w:pos="9360"/>
              </w:tabs>
              <w:rPr>
                <w:rStyle w:val="Hyperlink"/>
                <w:rFonts w:cs="Arial"/>
                <w:bCs/>
              </w:rPr>
            </w:pPr>
            <w:r>
              <w:rPr>
                <w:rFonts w:cs="Arial"/>
                <w:bCs/>
              </w:rPr>
              <w:fldChar w:fldCharType="end"/>
            </w:r>
          </w:p>
          <w:p w14:paraId="25319D9D" w14:textId="6B0194D6" w:rsidR="00A82B4A" w:rsidRDefault="00B0344A" w:rsidP="000E18A5">
            <w:pPr>
              <w:spacing w:after="200" w:line="276" w:lineRule="auto"/>
              <w:rPr>
                <w:rFonts w:cs="Arial"/>
                <w:b/>
                <w:bCs/>
                <w:u w:val="single"/>
              </w:rPr>
            </w:pPr>
            <w:hyperlink r:id="rId97" w:history="1">
              <w:r w:rsidR="0084566F" w:rsidRPr="00F73C66">
                <w:rPr>
                  <w:rStyle w:val="Hyperlink"/>
                </w:rPr>
                <w:t>Adult Foster Care Provider Bulletin 28: Additional Guidance for Adult Foster Care Providers Regarding Certain Home- and Community-Based Services</w:t>
              </w:r>
            </w:hyperlink>
          </w:p>
          <w:p w14:paraId="53D54F97" w14:textId="52C870D7" w:rsidR="000E18A5" w:rsidRPr="2FD410C2" w:rsidRDefault="000E18A5" w:rsidP="000E18A5">
            <w:pPr>
              <w:rPr>
                <w:rFonts w:cs="Arial"/>
                <w:b/>
                <w:bCs/>
                <w:u w:val="single"/>
              </w:rPr>
            </w:pPr>
          </w:p>
        </w:tc>
        <w:tc>
          <w:tcPr>
            <w:tcW w:w="2483" w:type="dxa"/>
          </w:tcPr>
          <w:p w14:paraId="315CBC79" w14:textId="64DC3712" w:rsidR="000E18A5" w:rsidRPr="0035351C" w:rsidRDefault="000E18A5" w:rsidP="000E18A5">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95B42AD" w14:textId="4E8FCB54" w:rsidR="000E18A5" w:rsidRPr="00302741" w:rsidRDefault="00391302" w:rsidP="000E18A5">
            <w:pPr>
              <w:rPr>
                <w:rFonts w:cs="Arial"/>
                <w:b/>
              </w:rPr>
            </w:pPr>
            <w:r>
              <w:rPr>
                <w:rFonts w:cs="Arial"/>
                <w:bCs/>
              </w:rPr>
              <w:t>Assessment</w:t>
            </w:r>
            <w:r w:rsidR="00EA4C62">
              <w:rPr>
                <w:rFonts w:cs="Arial"/>
                <w:bCs/>
              </w:rPr>
              <w:t>s</w:t>
            </w:r>
            <w:r>
              <w:rPr>
                <w:rFonts w:cs="Arial"/>
                <w:bCs/>
              </w:rPr>
              <w:t xml:space="preserve"> of</w:t>
            </w:r>
            <w:r w:rsidR="000E18A5" w:rsidRPr="0035351C">
              <w:rPr>
                <w:rFonts w:cs="Arial"/>
                <w:bCs/>
              </w:rPr>
              <w:t xml:space="preserve"> AFC homes not owned or leased by waiver participants with an unrelated caregiver are</w:t>
            </w:r>
            <w:r>
              <w:rPr>
                <w:rFonts w:cs="Arial"/>
                <w:bCs/>
              </w:rPr>
              <w:t xml:space="preserve"> underway</w:t>
            </w:r>
            <w:r w:rsidR="000E18A5" w:rsidRPr="0035351C">
              <w:rPr>
                <w:rFonts w:cs="Arial"/>
                <w:bCs/>
              </w:rPr>
              <w:t>. These settings will be fully compliant by 3/17/2023.</w:t>
            </w:r>
          </w:p>
        </w:tc>
        <w:tc>
          <w:tcPr>
            <w:tcW w:w="1577" w:type="dxa"/>
          </w:tcPr>
          <w:p w14:paraId="7D19B31F" w14:textId="2E2A721A" w:rsidR="000E18A5" w:rsidRDefault="000E18A5" w:rsidP="000E18A5">
            <w:r>
              <w:rPr>
                <w:b/>
                <w:bCs/>
              </w:rPr>
              <w:t>March 2023</w:t>
            </w:r>
          </w:p>
        </w:tc>
      </w:tr>
      <w:tr w:rsidR="000E18A5" w14:paraId="5E7E2939" w14:textId="77777777" w:rsidTr="005C6E59">
        <w:trPr>
          <w:cantSplit/>
        </w:trPr>
        <w:tc>
          <w:tcPr>
            <w:tcW w:w="2847" w:type="dxa"/>
          </w:tcPr>
          <w:p w14:paraId="600A164E" w14:textId="77777777" w:rsidR="000E18A5" w:rsidRPr="00302741" w:rsidRDefault="000E18A5" w:rsidP="000E18A5">
            <w:pPr>
              <w:rPr>
                <w:rFonts w:cs="Arial"/>
              </w:rPr>
            </w:pPr>
            <w:r w:rsidRPr="00302741">
              <w:rPr>
                <w:rFonts w:cs="Arial"/>
                <w:b/>
                <w:bCs/>
              </w:rPr>
              <w:t>441.301(c)(4)(vi)(C):</w:t>
            </w:r>
            <w:r w:rsidRPr="00302741">
              <w:rPr>
                <w:rFonts w:cs="Arial"/>
              </w:rPr>
              <w:t xml:space="preserve"> </w:t>
            </w:r>
          </w:p>
          <w:p w14:paraId="62A0074F" w14:textId="1CF47A75" w:rsidR="000E18A5" w:rsidRPr="00302741" w:rsidRDefault="000E18A5" w:rsidP="000E18A5">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3739" w:type="dxa"/>
          </w:tcPr>
          <w:p w14:paraId="31E53C23" w14:textId="77777777" w:rsidR="000E18A5" w:rsidRPr="00302741" w:rsidRDefault="000E18A5" w:rsidP="000E18A5">
            <w:pPr>
              <w:rPr>
                <w:rFonts w:cs="Arial"/>
                <w:b/>
                <w:bCs/>
                <w:u w:val="single"/>
              </w:rPr>
            </w:pPr>
            <w:r w:rsidRPr="00302741">
              <w:rPr>
                <w:rFonts w:cs="Arial"/>
                <w:b/>
                <w:bCs/>
                <w:u w:val="single"/>
              </w:rPr>
              <w:t>MA.0359, MA.40702, MA.1027:</w:t>
            </w:r>
          </w:p>
          <w:p w14:paraId="4F582DFE" w14:textId="77777777" w:rsidR="00696A4B" w:rsidRDefault="00696A4B" w:rsidP="000E18A5"/>
          <w:p w14:paraId="4240EBAC" w14:textId="76CA70D9" w:rsidR="000E18A5" w:rsidRDefault="00B0344A" w:rsidP="000E18A5">
            <w:pPr>
              <w:rPr>
                <w:rFonts w:cs="Arial"/>
              </w:rPr>
            </w:pPr>
            <w:hyperlink r:id="rId98">
              <w:r w:rsidR="000E18A5" w:rsidRPr="2FD410C2">
                <w:rPr>
                  <w:rStyle w:val="Hyperlink"/>
                  <w:rFonts w:cs="Arial"/>
                </w:rPr>
                <w:t>130 CMR 630.404(A)(2)</w:t>
              </w:r>
            </w:hyperlink>
            <w:r w:rsidR="000E18A5" w:rsidRPr="2FD410C2">
              <w:rPr>
                <w:rFonts w:cs="Arial"/>
                <w:b/>
                <w:bCs/>
              </w:rPr>
              <w:t xml:space="preserve"> </w:t>
            </w:r>
            <w:r w:rsidR="000E18A5" w:rsidRPr="2FD410C2">
              <w:rPr>
                <w:rFonts w:cs="Arial"/>
              </w:rPr>
              <w:t>Provider Eligibility</w:t>
            </w:r>
          </w:p>
          <w:p w14:paraId="4F9E00F9" w14:textId="77777777" w:rsidR="000E18A5" w:rsidRPr="00302741" w:rsidRDefault="000E18A5" w:rsidP="000E18A5">
            <w:pPr>
              <w:rPr>
                <w:rFonts w:cs="Arial"/>
                <w:b/>
                <w:bCs/>
              </w:rPr>
            </w:pPr>
          </w:p>
          <w:p w14:paraId="7B9821FA" w14:textId="77777777" w:rsidR="000E18A5" w:rsidRPr="00C26176" w:rsidRDefault="00B0344A" w:rsidP="000E18A5">
            <w:pPr>
              <w:rPr>
                <w:rStyle w:val="Hyperlink"/>
              </w:rPr>
            </w:pPr>
            <w:hyperlink r:id="rId99" w:history="1">
              <w:hyperlink w:history="1">
                <w:r w:rsidR="000E18A5" w:rsidRPr="00C26176">
                  <w:rPr>
                    <w:rStyle w:val="Hyperlink"/>
                  </w:rPr>
                  <w:t>MRC Community Living Division Provider Manual</w:t>
                </w:r>
              </w:hyperlink>
            </w:hyperlink>
          </w:p>
          <w:p w14:paraId="165C65A4" w14:textId="77777777" w:rsidR="000E18A5" w:rsidRPr="00302741" w:rsidRDefault="000E18A5" w:rsidP="004427AF">
            <w:pPr>
              <w:numPr>
                <w:ilvl w:val="0"/>
                <w:numId w:val="19"/>
              </w:numPr>
              <w:rPr>
                <w:rFonts w:cs="Arial"/>
                <w:sz w:val="24"/>
              </w:rPr>
            </w:pPr>
            <w:r w:rsidRPr="00302741">
              <w:rPr>
                <w:rFonts w:cs="Arial"/>
                <w:i/>
              </w:rPr>
              <w:t xml:space="preserve">Person-Centered Planning Principles; </w:t>
            </w:r>
            <w:r w:rsidRPr="00302741">
              <w:rPr>
                <w:rFonts w:cs="Arial"/>
              </w:rPr>
              <w:t>and</w:t>
            </w:r>
          </w:p>
          <w:p w14:paraId="4421F908" w14:textId="38040911" w:rsidR="000E18A5" w:rsidRPr="000E18A5" w:rsidRDefault="000E18A5" w:rsidP="004427AF">
            <w:pPr>
              <w:pStyle w:val="ListParagraph"/>
              <w:numPr>
                <w:ilvl w:val="0"/>
                <w:numId w:val="19"/>
              </w:numPr>
              <w:tabs>
                <w:tab w:val="center" w:pos="4680"/>
                <w:tab w:val="right" w:pos="9360"/>
              </w:tabs>
              <w:rPr>
                <w:rFonts w:cs="Arial"/>
                <w:b/>
                <w:u w:val="single"/>
              </w:rPr>
            </w:pPr>
            <w:r w:rsidRPr="000E18A5">
              <w:rPr>
                <w:rFonts w:cs="Arial"/>
                <w:i/>
              </w:rPr>
              <w:t xml:space="preserve">Home and Community-Based Settings </w:t>
            </w:r>
            <w:proofErr w:type="gramStart"/>
            <w:r w:rsidRPr="000E18A5">
              <w:rPr>
                <w:rFonts w:cs="Arial"/>
                <w:i/>
              </w:rPr>
              <w:t>For</w:t>
            </w:r>
            <w:proofErr w:type="gramEnd"/>
            <w:r w:rsidRPr="000E18A5">
              <w:rPr>
                <w:rFonts w:cs="Arial"/>
                <w:i/>
              </w:rPr>
              <w:t xml:space="preserve"> Residential Homes</w:t>
            </w:r>
          </w:p>
        </w:tc>
        <w:tc>
          <w:tcPr>
            <w:tcW w:w="2483" w:type="dxa"/>
          </w:tcPr>
          <w:p w14:paraId="5E5C9BC4" w14:textId="1113E5C7" w:rsidR="000E18A5" w:rsidRPr="00302741" w:rsidRDefault="000E18A5" w:rsidP="000E18A5">
            <w:pPr>
              <w:tabs>
                <w:tab w:val="center" w:pos="4680"/>
                <w:tab w:val="right" w:pos="9360"/>
              </w:tabs>
              <w:rPr>
                <w:rFonts w:cs="Arial"/>
                <w:b/>
              </w:rPr>
            </w:pPr>
            <w:r w:rsidRPr="00302741">
              <w:rPr>
                <w:rFonts w:cs="Arial"/>
                <w:b/>
              </w:rPr>
              <w:t>State standards are compliant with the HCBS Settings Rule.</w:t>
            </w:r>
            <w:r w:rsidRPr="00302741">
              <w:rPr>
                <w:rFonts w:cs="Arial"/>
              </w:rPr>
              <w:t xml:space="preserve"> The cited MRC policy establishes that individuals have the right and freedom to control their own access to food, schedules, and activities. </w:t>
            </w:r>
          </w:p>
        </w:tc>
        <w:tc>
          <w:tcPr>
            <w:tcW w:w="1577" w:type="dxa"/>
          </w:tcPr>
          <w:p w14:paraId="13762CC7" w14:textId="77777777" w:rsidR="000E18A5" w:rsidRDefault="000E18A5" w:rsidP="000E18A5">
            <w:pPr>
              <w:rPr>
                <w:b/>
                <w:bCs/>
              </w:rPr>
            </w:pPr>
            <w:r w:rsidRPr="006C48CB">
              <w:t xml:space="preserve">115 CMR </w:t>
            </w:r>
            <w:r>
              <w:t>630 last</w:t>
            </w:r>
            <w:r w:rsidRPr="006C48CB">
              <w:t xml:space="preserve"> updated in</w:t>
            </w:r>
            <w:r>
              <w:rPr>
                <w:b/>
                <w:bCs/>
              </w:rPr>
              <w:t xml:space="preserve"> June 2022.</w:t>
            </w:r>
          </w:p>
          <w:p w14:paraId="37A09660" w14:textId="77777777" w:rsidR="000E18A5" w:rsidRDefault="000E18A5" w:rsidP="000E18A5">
            <w:pPr>
              <w:rPr>
                <w:rFonts w:cs="Arial"/>
                <w:b/>
              </w:rPr>
            </w:pPr>
          </w:p>
          <w:p w14:paraId="26B5B0AD" w14:textId="77777777" w:rsidR="000E18A5" w:rsidRDefault="000E18A5" w:rsidP="000E18A5">
            <w:pPr>
              <w:rPr>
                <w:b/>
                <w:bCs/>
              </w:rPr>
            </w:pPr>
            <w:r>
              <w:t xml:space="preserve">Provider manual was revised in </w:t>
            </w:r>
            <w:r w:rsidRPr="00703D08">
              <w:rPr>
                <w:b/>
                <w:bCs/>
              </w:rPr>
              <w:t>April 2016</w:t>
            </w:r>
            <w:r>
              <w:rPr>
                <w:b/>
                <w:bCs/>
              </w:rPr>
              <w:t>.</w:t>
            </w:r>
          </w:p>
          <w:p w14:paraId="2347A17C" w14:textId="77777777" w:rsidR="000E18A5" w:rsidRDefault="000E18A5" w:rsidP="000E18A5">
            <w:pPr>
              <w:rPr>
                <w:rFonts w:cs="Arial"/>
                <w:b/>
              </w:rPr>
            </w:pPr>
          </w:p>
          <w:p w14:paraId="29D15387" w14:textId="40C73D7F" w:rsidR="000E18A5" w:rsidRDefault="000E18A5" w:rsidP="000E18A5"/>
        </w:tc>
      </w:tr>
      <w:tr w:rsidR="000E18A5" w14:paraId="41BA1CB4" w14:textId="77777777" w:rsidTr="005C6E59">
        <w:trPr>
          <w:cantSplit/>
        </w:trPr>
        <w:tc>
          <w:tcPr>
            <w:tcW w:w="2847" w:type="dxa"/>
          </w:tcPr>
          <w:p w14:paraId="2893361F" w14:textId="77777777" w:rsidR="000E18A5" w:rsidRPr="00302741" w:rsidRDefault="000E18A5" w:rsidP="000E18A5">
            <w:pPr>
              <w:rPr>
                <w:rFonts w:cs="Arial"/>
              </w:rPr>
            </w:pPr>
            <w:r w:rsidRPr="00302741">
              <w:rPr>
                <w:rFonts w:cs="Arial"/>
                <w:b/>
                <w:bCs/>
              </w:rPr>
              <w:t>441.301(c)(4)(vi)(C):</w:t>
            </w:r>
            <w:r w:rsidRPr="00302741">
              <w:rPr>
                <w:rFonts w:cs="Arial"/>
              </w:rPr>
              <w:t xml:space="preserve"> </w:t>
            </w:r>
          </w:p>
          <w:p w14:paraId="439B837B" w14:textId="32901143" w:rsidR="000E18A5" w:rsidRPr="00302741" w:rsidRDefault="000E18A5" w:rsidP="000E18A5">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3739" w:type="dxa"/>
          </w:tcPr>
          <w:p w14:paraId="3CB39EF9" w14:textId="77777777" w:rsidR="000E18A5" w:rsidRDefault="000E18A5" w:rsidP="000E18A5">
            <w:pPr>
              <w:spacing w:after="200" w:line="276" w:lineRule="auto"/>
              <w:rPr>
                <w:rFonts w:cs="Arial"/>
                <w:b/>
                <w:bCs/>
                <w:u w:val="single"/>
              </w:rPr>
            </w:pPr>
            <w:r w:rsidRPr="00AF1F50">
              <w:rPr>
                <w:rFonts w:cs="Arial"/>
                <w:b/>
                <w:bCs/>
                <w:u w:val="single"/>
              </w:rPr>
              <w:t>MA.</w:t>
            </w:r>
            <w:r>
              <w:rPr>
                <w:rFonts w:cs="Arial"/>
                <w:b/>
                <w:bCs/>
                <w:u w:val="single"/>
              </w:rPr>
              <w:t>1027, MA.40702, MA.0359:</w:t>
            </w:r>
          </w:p>
          <w:p w14:paraId="143F786D"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61FBA8DD" w14:textId="77777777" w:rsidR="0084566F" w:rsidRDefault="0084566F" w:rsidP="0084566F">
            <w:pPr>
              <w:tabs>
                <w:tab w:val="center" w:pos="4680"/>
                <w:tab w:val="right" w:pos="9360"/>
              </w:tabs>
              <w:rPr>
                <w:rStyle w:val="Hyperlink"/>
                <w:rFonts w:cs="Arial"/>
                <w:bCs/>
              </w:rPr>
            </w:pPr>
            <w:r>
              <w:rPr>
                <w:rFonts w:cs="Arial"/>
                <w:bCs/>
              </w:rPr>
              <w:fldChar w:fldCharType="end"/>
            </w:r>
          </w:p>
          <w:p w14:paraId="400FECA3" w14:textId="150F35DE" w:rsidR="000E18A5" w:rsidRPr="00302741" w:rsidRDefault="00B0344A" w:rsidP="000E18A5">
            <w:pPr>
              <w:rPr>
                <w:rFonts w:cs="Arial"/>
                <w:b/>
                <w:bCs/>
                <w:u w:val="single"/>
              </w:rPr>
            </w:pPr>
            <w:hyperlink r:id="rId100"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7097BE10" w14:textId="0602B024" w:rsidR="000E18A5" w:rsidRPr="0035351C" w:rsidRDefault="000E18A5" w:rsidP="000E18A5">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DF5F2B8" w14:textId="2F2DBCF5" w:rsidR="000E18A5" w:rsidRPr="00302741" w:rsidRDefault="007B2E37" w:rsidP="000E18A5">
            <w:pPr>
              <w:tabs>
                <w:tab w:val="center" w:pos="4680"/>
                <w:tab w:val="right" w:pos="9360"/>
              </w:tabs>
              <w:rPr>
                <w:rFonts w:cs="Arial"/>
                <w:b/>
              </w:rPr>
            </w:pPr>
            <w:r>
              <w:rPr>
                <w:rFonts w:cs="Arial"/>
                <w:bCs/>
              </w:rPr>
              <w:t>Assessment</w:t>
            </w:r>
            <w:r w:rsidR="00EA4C62">
              <w:rPr>
                <w:rFonts w:cs="Arial"/>
                <w:bCs/>
              </w:rPr>
              <w:t>s</w:t>
            </w:r>
            <w:r w:rsidR="000E18A5" w:rsidRPr="0035351C">
              <w:rPr>
                <w:rFonts w:cs="Arial"/>
                <w:bCs/>
              </w:rPr>
              <w:t xml:space="preserve"> AFC homes not owned or leased by waiver participants with an unrelated caregiver are </w:t>
            </w:r>
            <w:r>
              <w:rPr>
                <w:rFonts w:cs="Arial"/>
                <w:bCs/>
              </w:rPr>
              <w:t>underway</w:t>
            </w:r>
            <w:r w:rsidR="000E18A5" w:rsidRPr="0035351C">
              <w:rPr>
                <w:rFonts w:cs="Arial"/>
                <w:bCs/>
              </w:rPr>
              <w:t>. These settings will be fully compliant by 3/17/2023.</w:t>
            </w:r>
          </w:p>
        </w:tc>
        <w:tc>
          <w:tcPr>
            <w:tcW w:w="1577" w:type="dxa"/>
          </w:tcPr>
          <w:p w14:paraId="1F6D5DF4" w14:textId="40CE1610" w:rsidR="000E18A5" w:rsidRPr="006C48CB" w:rsidRDefault="000E18A5" w:rsidP="000E18A5">
            <w:r>
              <w:rPr>
                <w:b/>
                <w:bCs/>
              </w:rPr>
              <w:t>March 2023</w:t>
            </w:r>
          </w:p>
        </w:tc>
      </w:tr>
      <w:tr w:rsidR="00D42D64" w14:paraId="32BEBF86" w14:textId="77777777" w:rsidTr="005C6E59">
        <w:trPr>
          <w:cantSplit/>
        </w:trPr>
        <w:tc>
          <w:tcPr>
            <w:tcW w:w="2847" w:type="dxa"/>
          </w:tcPr>
          <w:p w14:paraId="6E524D3C" w14:textId="77777777" w:rsidR="00D42D64" w:rsidRPr="00302741" w:rsidRDefault="00D42D64" w:rsidP="00D42D64">
            <w:pPr>
              <w:rPr>
                <w:rFonts w:cs="Arial"/>
              </w:rPr>
            </w:pPr>
            <w:r w:rsidRPr="00302741">
              <w:rPr>
                <w:rFonts w:cs="Arial"/>
                <w:b/>
                <w:bCs/>
              </w:rPr>
              <w:lastRenderedPageBreak/>
              <w:t>441.301(c)(4)(vi)(D):</w:t>
            </w:r>
            <w:r w:rsidRPr="00302741">
              <w:rPr>
                <w:rFonts w:cs="Arial"/>
              </w:rPr>
              <w:t xml:space="preserve"> </w:t>
            </w:r>
          </w:p>
          <w:p w14:paraId="0B78F487" w14:textId="0D0F2DBA" w:rsidR="00D42D64" w:rsidRPr="00302741" w:rsidRDefault="00D42D64" w:rsidP="00D42D64">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3739" w:type="dxa"/>
          </w:tcPr>
          <w:p w14:paraId="6BA49B06" w14:textId="77777777" w:rsidR="00D42D64" w:rsidRPr="00302741" w:rsidRDefault="00D42D64" w:rsidP="00D42D64">
            <w:pPr>
              <w:rPr>
                <w:rFonts w:cs="Arial"/>
                <w:b/>
                <w:bCs/>
                <w:u w:val="single"/>
              </w:rPr>
            </w:pPr>
            <w:r w:rsidRPr="2FD410C2">
              <w:rPr>
                <w:rFonts w:cs="Arial"/>
                <w:b/>
                <w:bCs/>
                <w:u w:val="single"/>
              </w:rPr>
              <w:t>MA.0359:</w:t>
            </w:r>
          </w:p>
          <w:p w14:paraId="021CD418" w14:textId="77777777" w:rsidR="00696A4B" w:rsidRDefault="00696A4B" w:rsidP="00D42D64"/>
          <w:p w14:paraId="24DC2D4B" w14:textId="04E9382D" w:rsidR="00D42D64" w:rsidRPr="00C26176" w:rsidRDefault="00B0344A" w:rsidP="00D42D64">
            <w:pPr>
              <w:rPr>
                <w:rStyle w:val="Hyperlink"/>
              </w:rPr>
            </w:pPr>
            <w:hyperlink r:id="rId101" w:history="1">
              <w:hyperlink w:history="1">
                <w:r w:rsidR="00D42D64" w:rsidRPr="00C26176">
                  <w:rPr>
                    <w:rStyle w:val="Hyperlink"/>
                  </w:rPr>
                  <w:t>MRC Community Living Division Provider Manual</w:t>
                </w:r>
              </w:hyperlink>
            </w:hyperlink>
          </w:p>
          <w:p w14:paraId="2DC25051" w14:textId="77777777" w:rsidR="00D42D64" w:rsidRPr="00302741" w:rsidRDefault="00D42D64" w:rsidP="004427AF">
            <w:pPr>
              <w:numPr>
                <w:ilvl w:val="0"/>
                <w:numId w:val="19"/>
              </w:numPr>
              <w:rPr>
                <w:rFonts w:cs="Arial"/>
                <w:i/>
              </w:rPr>
            </w:pPr>
            <w:r w:rsidRPr="00302741">
              <w:rPr>
                <w:rFonts w:cs="Arial"/>
                <w:i/>
              </w:rPr>
              <w:t xml:space="preserve">Guiding </w:t>
            </w:r>
            <w:proofErr w:type="gramStart"/>
            <w:r w:rsidRPr="00302741">
              <w:rPr>
                <w:rFonts w:cs="Arial"/>
                <w:i/>
              </w:rPr>
              <w:t>Principles;</w:t>
            </w:r>
            <w:proofErr w:type="gramEnd"/>
          </w:p>
          <w:p w14:paraId="12900480" w14:textId="77777777" w:rsidR="00D42D64" w:rsidRPr="00302741" w:rsidRDefault="00D42D64" w:rsidP="004427AF">
            <w:pPr>
              <w:numPr>
                <w:ilvl w:val="0"/>
                <w:numId w:val="19"/>
              </w:numPr>
              <w:rPr>
                <w:rFonts w:cs="Arial"/>
                <w:i/>
              </w:rPr>
            </w:pPr>
            <w:r w:rsidRPr="00302741">
              <w:rPr>
                <w:rFonts w:cs="Arial"/>
                <w:i/>
              </w:rPr>
              <w:t>Home and Community-Based Settings (General</w:t>
            </w:r>
            <w:proofErr w:type="gramStart"/>
            <w:r w:rsidRPr="00302741">
              <w:rPr>
                <w:rFonts w:cs="Arial"/>
                <w:i/>
              </w:rPr>
              <w:t>);</w:t>
            </w:r>
            <w:proofErr w:type="gramEnd"/>
          </w:p>
          <w:p w14:paraId="3A096A82" w14:textId="77777777" w:rsidR="00D42D64" w:rsidRPr="00302741" w:rsidRDefault="00D42D64" w:rsidP="004427AF">
            <w:pPr>
              <w:numPr>
                <w:ilvl w:val="0"/>
                <w:numId w:val="19"/>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1647C60F" w14:textId="77777777" w:rsidR="00D42D64" w:rsidRPr="00302741" w:rsidRDefault="00D42D64" w:rsidP="004427AF">
            <w:pPr>
              <w:numPr>
                <w:ilvl w:val="0"/>
                <w:numId w:val="19"/>
              </w:numPr>
              <w:rPr>
                <w:rFonts w:cs="Arial"/>
                <w:i/>
              </w:rPr>
            </w:pPr>
            <w:r w:rsidRPr="00302741">
              <w:rPr>
                <w:rFonts w:cs="Arial"/>
                <w:i/>
              </w:rPr>
              <w:t xml:space="preserve">Person-Centered Planning Principles; </w:t>
            </w:r>
            <w:r w:rsidRPr="00302741">
              <w:rPr>
                <w:rFonts w:cs="Arial"/>
              </w:rPr>
              <w:t>and</w:t>
            </w:r>
          </w:p>
          <w:p w14:paraId="36584987" w14:textId="3ED9F62B" w:rsidR="00D42D64" w:rsidRPr="00D42D64" w:rsidRDefault="00D42D64" w:rsidP="004427AF">
            <w:pPr>
              <w:pStyle w:val="ListParagraph"/>
              <w:numPr>
                <w:ilvl w:val="0"/>
                <w:numId w:val="19"/>
              </w:numPr>
              <w:tabs>
                <w:tab w:val="center" w:pos="4680"/>
                <w:tab w:val="right" w:pos="9360"/>
              </w:tabs>
              <w:rPr>
                <w:rFonts w:cs="Arial"/>
                <w:b/>
                <w:u w:val="single"/>
              </w:rPr>
            </w:pPr>
            <w:r w:rsidRPr="00D42D64">
              <w:rPr>
                <w:rFonts w:cs="Arial"/>
                <w:i/>
              </w:rPr>
              <w:t>Person-Centered Service Plan</w:t>
            </w:r>
          </w:p>
        </w:tc>
        <w:tc>
          <w:tcPr>
            <w:tcW w:w="2483" w:type="dxa"/>
          </w:tcPr>
          <w:p w14:paraId="3E79200F" w14:textId="77777777" w:rsidR="00D42D64" w:rsidRPr="00302741" w:rsidRDefault="00D42D64" w:rsidP="00D42D64">
            <w:pPr>
              <w:rPr>
                <w:rFonts w:cs="Arial"/>
              </w:rPr>
            </w:pPr>
            <w:r w:rsidRPr="00302741">
              <w:rPr>
                <w:rFonts w:cs="Arial"/>
                <w:b/>
              </w:rPr>
              <w:t>State standards are compliant with the HCBS Settings Rule.</w:t>
            </w:r>
            <w:r w:rsidRPr="00302741">
              <w:rPr>
                <w:rFonts w:cs="Arial"/>
              </w:rPr>
              <w:t xml:space="preserve"> The cited MRC policy establishes that individuals have the right and freedom to have visitors of their choosing at any time.</w:t>
            </w:r>
          </w:p>
          <w:p w14:paraId="47CFB76A" w14:textId="77777777" w:rsidR="00D42D64" w:rsidRPr="00302741" w:rsidRDefault="00D42D64" w:rsidP="00D42D64">
            <w:pPr>
              <w:rPr>
                <w:rFonts w:cs="Arial"/>
              </w:rPr>
            </w:pPr>
          </w:p>
          <w:p w14:paraId="2F86A318" w14:textId="77777777" w:rsidR="00D42D64" w:rsidRPr="00302741" w:rsidRDefault="00D42D64" w:rsidP="00D42D64">
            <w:pPr>
              <w:tabs>
                <w:tab w:val="center" w:pos="4680"/>
                <w:tab w:val="right" w:pos="9360"/>
              </w:tabs>
              <w:rPr>
                <w:rFonts w:cs="Arial"/>
                <w:b/>
              </w:rPr>
            </w:pPr>
          </w:p>
        </w:tc>
        <w:tc>
          <w:tcPr>
            <w:tcW w:w="1577" w:type="dxa"/>
          </w:tcPr>
          <w:p w14:paraId="0A5ED046" w14:textId="77777777" w:rsidR="00D42D64" w:rsidRDefault="00D42D64" w:rsidP="00D42D64">
            <w:pPr>
              <w:rPr>
                <w:b/>
                <w:bCs/>
              </w:rPr>
            </w:pPr>
            <w:r>
              <w:t xml:space="preserve">Provider manual was revised in </w:t>
            </w:r>
            <w:r w:rsidRPr="00703D08">
              <w:rPr>
                <w:b/>
                <w:bCs/>
              </w:rPr>
              <w:t>April 2016</w:t>
            </w:r>
            <w:r>
              <w:rPr>
                <w:b/>
                <w:bCs/>
              </w:rPr>
              <w:t>.</w:t>
            </w:r>
          </w:p>
          <w:p w14:paraId="7268C686" w14:textId="77777777" w:rsidR="00D42D64" w:rsidRDefault="00D42D64" w:rsidP="00D42D64">
            <w:pPr>
              <w:rPr>
                <w:rFonts w:cs="Arial"/>
                <w:b/>
              </w:rPr>
            </w:pPr>
          </w:p>
          <w:p w14:paraId="5B2B99F9" w14:textId="3894EC41" w:rsidR="00D42D64" w:rsidRPr="00866453" w:rsidRDefault="00D42D64" w:rsidP="00D42D64">
            <w:pPr>
              <w:rPr>
                <w:b/>
                <w:bCs/>
              </w:rPr>
            </w:pPr>
          </w:p>
        </w:tc>
      </w:tr>
      <w:tr w:rsidR="00D42D64" w14:paraId="322AEB75" w14:textId="77777777" w:rsidTr="005C6E59">
        <w:trPr>
          <w:cantSplit/>
        </w:trPr>
        <w:tc>
          <w:tcPr>
            <w:tcW w:w="2847" w:type="dxa"/>
          </w:tcPr>
          <w:p w14:paraId="68E8B27B" w14:textId="77777777" w:rsidR="00D42D64" w:rsidRPr="00302741" w:rsidRDefault="00D42D64" w:rsidP="00D42D64">
            <w:pPr>
              <w:rPr>
                <w:rFonts w:cs="Arial"/>
              </w:rPr>
            </w:pPr>
            <w:r w:rsidRPr="00302741">
              <w:rPr>
                <w:rFonts w:cs="Arial"/>
                <w:b/>
                <w:bCs/>
              </w:rPr>
              <w:t>441.301(c)(4)(vi)(D):</w:t>
            </w:r>
            <w:r w:rsidRPr="00302741">
              <w:rPr>
                <w:rFonts w:cs="Arial"/>
              </w:rPr>
              <w:t xml:space="preserve"> </w:t>
            </w:r>
          </w:p>
          <w:p w14:paraId="230781DB" w14:textId="4214119E" w:rsidR="00D42D64" w:rsidRPr="00302741" w:rsidRDefault="00D42D64" w:rsidP="00D42D64">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3739" w:type="dxa"/>
          </w:tcPr>
          <w:p w14:paraId="543E59B7" w14:textId="77777777" w:rsidR="00D42D64" w:rsidRDefault="00D42D64" w:rsidP="00D42D64">
            <w:pPr>
              <w:spacing w:after="200" w:line="276" w:lineRule="auto"/>
              <w:rPr>
                <w:rFonts w:cs="Arial"/>
                <w:b/>
                <w:bCs/>
                <w:u w:val="single"/>
              </w:rPr>
            </w:pPr>
            <w:r w:rsidRPr="00AF1F50">
              <w:rPr>
                <w:rFonts w:cs="Arial"/>
                <w:b/>
                <w:bCs/>
                <w:u w:val="single"/>
              </w:rPr>
              <w:t>MA.</w:t>
            </w:r>
            <w:r>
              <w:rPr>
                <w:rFonts w:cs="Arial"/>
                <w:b/>
                <w:bCs/>
                <w:u w:val="single"/>
              </w:rPr>
              <w:t>1027, MA.40702, MA.0359:</w:t>
            </w:r>
          </w:p>
          <w:p w14:paraId="2AAF6607"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5E9D79D" w14:textId="77777777" w:rsidR="0084566F" w:rsidRDefault="0084566F" w:rsidP="0084566F">
            <w:pPr>
              <w:tabs>
                <w:tab w:val="center" w:pos="4680"/>
                <w:tab w:val="right" w:pos="9360"/>
              </w:tabs>
              <w:rPr>
                <w:rStyle w:val="Hyperlink"/>
                <w:rFonts w:cs="Arial"/>
                <w:bCs/>
              </w:rPr>
            </w:pPr>
            <w:r>
              <w:rPr>
                <w:rFonts w:cs="Arial"/>
                <w:bCs/>
              </w:rPr>
              <w:fldChar w:fldCharType="end"/>
            </w:r>
          </w:p>
          <w:p w14:paraId="059D83AE" w14:textId="29A2CFBC" w:rsidR="00A82B4A" w:rsidRDefault="00B0344A" w:rsidP="00D42D64">
            <w:pPr>
              <w:spacing w:after="200" w:line="276" w:lineRule="auto"/>
              <w:rPr>
                <w:rFonts w:cs="Arial"/>
                <w:b/>
                <w:bCs/>
                <w:u w:val="single"/>
              </w:rPr>
            </w:pPr>
            <w:hyperlink r:id="rId102" w:history="1">
              <w:r w:rsidR="0084566F" w:rsidRPr="00F73C66">
                <w:rPr>
                  <w:rStyle w:val="Hyperlink"/>
                </w:rPr>
                <w:t>Adult Foster Care Provider Bulletin 28: Additional Guidance for Adult Foster Care Providers Regarding Certain Home- and Community-Based Services</w:t>
              </w:r>
            </w:hyperlink>
          </w:p>
          <w:p w14:paraId="720D84A6" w14:textId="77777777" w:rsidR="00D42D64" w:rsidRPr="2FD410C2" w:rsidRDefault="00D42D64" w:rsidP="00D42D64">
            <w:pPr>
              <w:rPr>
                <w:rFonts w:cs="Arial"/>
                <w:b/>
                <w:bCs/>
                <w:u w:val="single"/>
              </w:rPr>
            </w:pPr>
          </w:p>
        </w:tc>
        <w:tc>
          <w:tcPr>
            <w:tcW w:w="2483" w:type="dxa"/>
          </w:tcPr>
          <w:p w14:paraId="0A22E3CC" w14:textId="67CD9876" w:rsidR="00D42D64" w:rsidRPr="0035351C" w:rsidRDefault="00D42D64" w:rsidP="00D42D64">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0BA6C932" w14:textId="5C1524FA" w:rsidR="00D42D64" w:rsidRPr="00302741" w:rsidRDefault="007B2E37" w:rsidP="00D42D64">
            <w:pPr>
              <w:rPr>
                <w:rFonts w:cs="Arial"/>
                <w:b/>
              </w:rPr>
            </w:pPr>
            <w:r>
              <w:rPr>
                <w:rFonts w:cs="Arial"/>
                <w:bCs/>
              </w:rPr>
              <w:t>Assessment</w:t>
            </w:r>
            <w:r w:rsidR="00EA4C62">
              <w:rPr>
                <w:rFonts w:cs="Arial"/>
                <w:bCs/>
              </w:rPr>
              <w:t>s</w:t>
            </w:r>
            <w:r>
              <w:rPr>
                <w:rFonts w:cs="Arial"/>
                <w:bCs/>
              </w:rPr>
              <w:t xml:space="preserve"> of</w:t>
            </w:r>
            <w:r w:rsidR="00D42D64" w:rsidRPr="0035351C">
              <w:rPr>
                <w:rFonts w:cs="Arial"/>
                <w:bCs/>
              </w:rPr>
              <w:t xml:space="preserve"> AFC homes not owned or leased by waiver participants with an unrelated caregiver </w:t>
            </w:r>
            <w:proofErr w:type="spellStart"/>
            <w:r w:rsidR="00D42D64" w:rsidRPr="0035351C">
              <w:rPr>
                <w:rFonts w:cs="Arial"/>
                <w:bCs/>
              </w:rPr>
              <w:t>are</w:t>
            </w:r>
            <w:r w:rsidR="00D62EC0">
              <w:rPr>
                <w:rFonts w:cs="Arial"/>
                <w:bCs/>
              </w:rPr>
              <w:t>underway</w:t>
            </w:r>
            <w:proofErr w:type="spellEnd"/>
            <w:r w:rsidR="00D42D64" w:rsidRPr="0035351C">
              <w:rPr>
                <w:rFonts w:cs="Arial"/>
                <w:bCs/>
              </w:rPr>
              <w:t>. These settings will be fully compliant by 3/17/2023.</w:t>
            </w:r>
          </w:p>
        </w:tc>
        <w:tc>
          <w:tcPr>
            <w:tcW w:w="1577" w:type="dxa"/>
          </w:tcPr>
          <w:p w14:paraId="1881446E" w14:textId="7956E0B2" w:rsidR="00D42D64" w:rsidRDefault="00D42D64" w:rsidP="00D42D64">
            <w:r>
              <w:rPr>
                <w:b/>
                <w:bCs/>
              </w:rPr>
              <w:t>March 2023</w:t>
            </w:r>
          </w:p>
        </w:tc>
      </w:tr>
      <w:tr w:rsidR="00D42D64" w14:paraId="391F70DB" w14:textId="77777777" w:rsidTr="005C6E59">
        <w:trPr>
          <w:cantSplit/>
        </w:trPr>
        <w:tc>
          <w:tcPr>
            <w:tcW w:w="2847" w:type="dxa"/>
          </w:tcPr>
          <w:p w14:paraId="32D1DFA2" w14:textId="77777777" w:rsidR="00D42D64" w:rsidRPr="00302741" w:rsidRDefault="00D42D64" w:rsidP="00D42D64">
            <w:pPr>
              <w:rPr>
                <w:rFonts w:cs="Arial"/>
              </w:rPr>
            </w:pPr>
            <w:r w:rsidRPr="00302741">
              <w:rPr>
                <w:rFonts w:cs="Arial"/>
                <w:b/>
                <w:bCs/>
              </w:rPr>
              <w:t>441.301(c)(4)(vi)(E):</w:t>
            </w:r>
            <w:r w:rsidRPr="00302741">
              <w:rPr>
                <w:rFonts w:cs="Arial"/>
              </w:rPr>
              <w:t xml:space="preserve"> </w:t>
            </w:r>
          </w:p>
          <w:p w14:paraId="1EE348B2" w14:textId="52998055" w:rsidR="00D42D64" w:rsidRPr="00302741" w:rsidRDefault="00D42D64" w:rsidP="00D42D64">
            <w:pPr>
              <w:rPr>
                <w:rFonts w:cs="Arial"/>
                <w:b/>
                <w:bCs/>
              </w:rPr>
            </w:pPr>
            <w:r w:rsidRPr="00302741">
              <w:rPr>
                <w:rFonts w:cs="Arial"/>
              </w:rPr>
              <w:t>The setting is physically accessible to the individual</w:t>
            </w:r>
          </w:p>
        </w:tc>
        <w:tc>
          <w:tcPr>
            <w:tcW w:w="3739" w:type="dxa"/>
          </w:tcPr>
          <w:p w14:paraId="5AD5A4F7" w14:textId="77777777" w:rsidR="00D42D64" w:rsidRPr="00302741" w:rsidRDefault="00D42D64" w:rsidP="00D42D64">
            <w:pPr>
              <w:rPr>
                <w:rFonts w:cs="Arial"/>
                <w:b/>
                <w:bCs/>
                <w:u w:val="single"/>
              </w:rPr>
            </w:pPr>
            <w:r w:rsidRPr="00302741">
              <w:rPr>
                <w:rFonts w:cs="Arial"/>
                <w:b/>
                <w:bCs/>
                <w:u w:val="single"/>
              </w:rPr>
              <w:t>MA.0359, MA.40702, MA.1027:</w:t>
            </w:r>
          </w:p>
          <w:p w14:paraId="768B7590" w14:textId="77777777" w:rsidR="00696A4B" w:rsidRDefault="00696A4B" w:rsidP="00D42D64"/>
          <w:p w14:paraId="51267BFC" w14:textId="2701439C" w:rsidR="00D42D64" w:rsidRDefault="00B0344A" w:rsidP="00D42D64">
            <w:pPr>
              <w:rPr>
                <w:rFonts w:cs="Arial"/>
              </w:rPr>
            </w:pPr>
            <w:hyperlink r:id="rId103">
              <w:r w:rsidR="00D42D64" w:rsidRPr="2FD410C2">
                <w:rPr>
                  <w:rStyle w:val="Hyperlink"/>
                  <w:rFonts w:cs="Arial"/>
                </w:rPr>
                <w:t>130 CMR 630.404(A)(2)</w:t>
              </w:r>
            </w:hyperlink>
            <w:r w:rsidR="00D42D64" w:rsidRPr="2FD410C2">
              <w:rPr>
                <w:rFonts w:cs="Arial"/>
                <w:b/>
                <w:bCs/>
              </w:rPr>
              <w:t xml:space="preserve"> </w:t>
            </w:r>
            <w:r w:rsidR="00D42D64" w:rsidRPr="2FD410C2">
              <w:rPr>
                <w:rFonts w:cs="Arial"/>
              </w:rPr>
              <w:t>Provider Eligibility</w:t>
            </w:r>
          </w:p>
          <w:p w14:paraId="4C6F4DBC" w14:textId="77777777" w:rsidR="00D42D64" w:rsidRPr="00302741" w:rsidRDefault="00D42D64" w:rsidP="00D42D64">
            <w:pPr>
              <w:rPr>
                <w:rFonts w:cs="Arial"/>
                <w:b/>
                <w:bCs/>
              </w:rPr>
            </w:pPr>
          </w:p>
          <w:p w14:paraId="6506014F" w14:textId="77777777" w:rsidR="00D42D64" w:rsidRPr="00C26176" w:rsidRDefault="00B0344A" w:rsidP="00D42D64">
            <w:pPr>
              <w:rPr>
                <w:rStyle w:val="Hyperlink"/>
              </w:rPr>
            </w:pPr>
            <w:hyperlink r:id="rId104" w:history="1">
              <w:hyperlink w:history="1">
                <w:r w:rsidR="00D42D64" w:rsidRPr="00C26176">
                  <w:rPr>
                    <w:rStyle w:val="Hyperlink"/>
                  </w:rPr>
                  <w:t>MRC Community Living Division Provider Manual</w:t>
                </w:r>
              </w:hyperlink>
            </w:hyperlink>
          </w:p>
          <w:p w14:paraId="326D0FA3" w14:textId="77777777" w:rsidR="00D42D64" w:rsidRPr="00302741" w:rsidRDefault="00D42D64" w:rsidP="004427AF">
            <w:pPr>
              <w:numPr>
                <w:ilvl w:val="0"/>
                <w:numId w:val="19"/>
              </w:numPr>
              <w:rPr>
                <w:rFonts w:cs="Arial"/>
                <w:sz w:val="24"/>
              </w:rPr>
            </w:pPr>
            <w:r w:rsidRPr="00302741">
              <w:rPr>
                <w:rFonts w:cs="Arial"/>
                <w:i/>
              </w:rPr>
              <w:t>Home and Community-Based Settings (General)</w:t>
            </w:r>
          </w:p>
          <w:p w14:paraId="1CFDB530" w14:textId="77777777" w:rsidR="00D42D64" w:rsidRPr="00302741" w:rsidRDefault="00D42D64" w:rsidP="00D42D64">
            <w:pPr>
              <w:rPr>
                <w:rFonts w:cs="Arial"/>
              </w:rPr>
            </w:pPr>
          </w:p>
          <w:p w14:paraId="4C1CA52A" w14:textId="77777777" w:rsidR="00D42D64" w:rsidRPr="00302741" w:rsidRDefault="00D42D64" w:rsidP="00D42D64">
            <w:pPr>
              <w:rPr>
                <w:rFonts w:cs="Arial"/>
              </w:rPr>
            </w:pPr>
          </w:p>
          <w:p w14:paraId="01F914FA" w14:textId="77777777" w:rsidR="00D42D64" w:rsidRPr="00302741" w:rsidRDefault="00D42D64" w:rsidP="00D42D64">
            <w:pPr>
              <w:rPr>
                <w:rFonts w:cs="Arial"/>
                <w:b/>
                <w:bCs/>
                <w:u w:val="single"/>
              </w:rPr>
            </w:pPr>
            <w:r w:rsidRPr="00302741">
              <w:rPr>
                <w:rFonts w:cs="Arial"/>
                <w:b/>
                <w:bCs/>
                <w:u w:val="single"/>
              </w:rPr>
              <w:t>MA.40702, MA.1027:</w:t>
            </w:r>
          </w:p>
          <w:p w14:paraId="6A6EB2CE" w14:textId="77777777" w:rsidR="00696A4B" w:rsidRDefault="00696A4B" w:rsidP="00D42D64">
            <w:pPr>
              <w:tabs>
                <w:tab w:val="center" w:pos="4680"/>
                <w:tab w:val="right" w:pos="9360"/>
              </w:tabs>
            </w:pPr>
          </w:p>
          <w:p w14:paraId="1749B296" w14:textId="5F2A0780" w:rsidR="00D42D64" w:rsidRPr="00302741" w:rsidRDefault="00B0344A" w:rsidP="00D42D64">
            <w:pPr>
              <w:tabs>
                <w:tab w:val="center" w:pos="4680"/>
                <w:tab w:val="right" w:pos="9360"/>
              </w:tabs>
              <w:rPr>
                <w:rFonts w:cs="Arial"/>
                <w:b/>
                <w:u w:val="single"/>
              </w:rPr>
            </w:pPr>
            <w:hyperlink r:id="rId105" w:history="1">
              <w:r w:rsidR="00D42D64" w:rsidRPr="003858BF">
                <w:rPr>
                  <w:rStyle w:val="Hyperlink"/>
                  <w:rFonts w:cs="Arial"/>
                  <w:bCs/>
                </w:rPr>
                <w:t>130 CMR 630.436</w:t>
              </w:r>
            </w:hyperlink>
            <w:r w:rsidR="00D42D64" w:rsidRPr="00302741">
              <w:rPr>
                <w:rFonts w:cs="Arial"/>
              </w:rPr>
              <w:t xml:space="preserve"> Location Requirements for HCBS Waiver Providers </w:t>
            </w:r>
          </w:p>
        </w:tc>
        <w:tc>
          <w:tcPr>
            <w:tcW w:w="2483" w:type="dxa"/>
          </w:tcPr>
          <w:p w14:paraId="2DA0B53D" w14:textId="77777777" w:rsidR="00D42D64" w:rsidRPr="00302741" w:rsidRDefault="00D42D64" w:rsidP="00D42D64">
            <w:pPr>
              <w:rPr>
                <w:rFonts w:cs="Arial"/>
              </w:rPr>
            </w:pPr>
            <w:r w:rsidRPr="00302741">
              <w:rPr>
                <w:rFonts w:cs="Arial"/>
                <w:b/>
              </w:rPr>
              <w:t>State standards are compliant with the HCBS Settings Rule.</w:t>
            </w:r>
            <w:r w:rsidRPr="00302741">
              <w:rPr>
                <w:rFonts w:cs="Arial"/>
              </w:rPr>
              <w:t xml:space="preserve"> The cited policy and regulation require settings to be physically accessible to accommodate the needs of the individual.</w:t>
            </w:r>
          </w:p>
          <w:p w14:paraId="0955A634" w14:textId="77777777" w:rsidR="00D42D64" w:rsidRPr="00302741" w:rsidRDefault="00D42D64" w:rsidP="00D42D64">
            <w:pPr>
              <w:rPr>
                <w:rFonts w:cs="Arial"/>
              </w:rPr>
            </w:pPr>
          </w:p>
          <w:p w14:paraId="3305D7A1" w14:textId="7A61620D" w:rsidR="00D42D64" w:rsidRPr="00302741" w:rsidRDefault="00D42D64" w:rsidP="00D42D64">
            <w:pPr>
              <w:rPr>
                <w:rFonts w:cs="Arial"/>
                <w:b/>
              </w:rPr>
            </w:pPr>
          </w:p>
        </w:tc>
        <w:tc>
          <w:tcPr>
            <w:tcW w:w="1577" w:type="dxa"/>
          </w:tcPr>
          <w:p w14:paraId="78E83DEE" w14:textId="77777777" w:rsidR="00D42D64" w:rsidRDefault="00D42D64" w:rsidP="00D42D64">
            <w:pPr>
              <w:rPr>
                <w:b/>
                <w:bCs/>
              </w:rPr>
            </w:pPr>
            <w:r w:rsidRPr="006C48CB">
              <w:t xml:space="preserve">115 CMR </w:t>
            </w:r>
            <w:r>
              <w:t>630 last</w:t>
            </w:r>
            <w:r w:rsidRPr="006C48CB">
              <w:t xml:space="preserve"> updated in</w:t>
            </w:r>
            <w:r>
              <w:rPr>
                <w:b/>
                <w:bCs/>
              </w:rPr>
              <w:t xml:space="preserve"> June 2022.</w:t>
            </w:r>
          </w:p>
          <w:p w14:paraId="6ADB892A" w14:textId="77777777" w:rsidR="00D42D64" w:rsidRDefault="00D42D64" w:rsidP="00D42D64">
            <w:pPr>
              <w:rPr>
                <w:b/>
                <w:bCs/>
              </w:rPr>
            </w:pPr>
          </w:p>
          <w:p w14:paraId="032A01DA" w14:textId="77777777" w:rsidR="00D42D64" w:rsidRDefault="00D42D64" w:rsidP="00D42D64">
            <w:pPr>
              <w:rPr>
                <w:b/>
                <w:bCs/>
              </w:rPr>
            </w:pPr>
            <w:r>
              <w:t xml:space="preserve">Provider manual was revised in </w:t>
            </w:r>
            <w:r w:rsidRPr="00703D08">
              <w:rPr>
                <w:b/>
                <w:bCs/>
              </w:rPr>
              <w:t>April 2016</w:t>
            </w:r>
            <w:r>
              <w:rPr>
                <w:b/>
                <w:bCs/>
              </w:rPr>
              <w:t>.</w:t>
            </w:r>
          </w:p>
          <w:p w14:paraId="7D95C9C1" w14:textId="77777777" w:rsidR="00D42D64" w:rsidRDefault="00D42D64" w:rsidP="00D42D64">
            <w:pPr>
              <w:rPr>
                <w:rFonts w:cs="Arial"/>
                <w:b/>
              </w:rPr>
            </w:pPr>
          </w:p>
          <w:p w14:paraId="022DFBBF" w14:textId="415166A4" w:rsidR="00D42D64" w:rsidRPr="00866453" w:rsidRDefault="00D42D64" w:rsidP="00D42D64">
            <w:pPr>
              <w:rPr>
                <w:b/>
                <w:bCs/>
              </w:rPr>
            </w:pPr>
          </w:p>
        </w:tc>
      </w:tr>
      <w:tr w:rsidR="00D42D64" w14:paraId="24680D82" w14:textId="77777777" w:rsidTr="005C6E59">
        <w:trPr>
          <w:cantSplit/>
        </w:trPr>
        <w:tc>
          <w:tcPr>
            <w:tcW w:w="2847" w:type="dxa"/>
          </w:tcPr>
          <w:p w14:paraId="4003CDF5" w14:textId="77777777" w:rsidR="00D42D64" w:rsidRPr="00302741" w:rsidRDefault="00D42D64" w:rsidP="00D42D64">
            <w:pPr>
              <w:rPr>
                <w:rFonts w:cs="Arial"/>
              </w:rPr>
            </w:pPr>
            <w:r w:rsidRPr="00302741">
              <w:rPr>
                <w:rFonts w:cs="Arial"/>
                <w:b/>
                <w:bCs/>
              </w:rPr>
              <w:lastRenderedPageBreak/>
              <w:t>441.301(c)(4)(vi)(E):</w:t>
            </w:r>
            <w:r w:rsidRPr="00302741">
              <w:rPr>
                <w:rFonts w:cs="Arial"/>
              </w:rPr>
              <w:t xml:space="preserve"> </w:t>
            </w:r>
          </w:p>
          <w:p w14:paraId="62E50DFE" w14:textId="6D00F4DC" w:rsidR="00D42D64" w:rsidRPr="00302741" w:rsidRDefault="00D42D64" w:rsidP="00D42D64">
            <w:pPr>
              <w:rPr>
                <w:rFonts w:cs="Arial"/>
                <w:b/>
                <w:bCs/>
              </w:rPr>
            </w:pPr>
            <w:r w:rsidRPr="00302741">
              <w:rPr>
                <w:rFonts w:cs="Arial"/>
              </w:rPr>
              <w:t>The setting is physically accessible to the individual</w:t>
            </w:r>
          </w:p>
        </w:tc>
        <w:tc>
          <w:tcPr>
            <w:tcW w:w="3739" w:type="dxa"/>
          </w:tcPr>
          <w:p w14:paraId="14BF244D" w14:textId="77777777" w:rsidR="00D42D64" w:rsidRDefault="00D42D64" w:rsidP="00D42D64">
            <w:pPr>
              <w:spacing w:after="200" w:line="276" w:lineRule="auto"/>
              <w:rPr>
                <w:rFonts w:cs="Arial"/>
                <w:b/>
                <w:bCs/>
                <w:u w:val="single"/>
              </w:rPr>
            </w:pPr>
            <w:r w:rsidRPr="00AF1F50">
              <w:rPr>
                <w:rFonts w:cs="Arial"/>
                <w:b/>
                <w:bCs/>
                <w:u w:val="single"/>
              </w:rPr>
              <w:t>MA.</w:t>
            </w:r>
            <w:r>
              <w:rPr>
                <w:rFonts w:cs="Arial"/>
                <w:b/>
                <w:bCs/>
                <w:u w:val="single"/>
              </w:rPr>
              <w:t>1027, MA.40702, MA.0359:</w:t>
            </w:r>
          </w:p>
          <w:p w14:paraId="5352F7DB"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30FB680C" w14:textId="77777777" w:rsidR="0084566F" w:rsidRDefault="0084566F" w:rsidP="0084566F">
            <w:pPr>
              <w:tabs>
                <w:tab w:val="center" w:pos="4680"/>
                <w:tab w:val="right" w:pos="9360"/>
              </w:tabs>
              <w:rPr>
                <w:rStyle w:val="Hyperlink"/>
                <w:rFonts w:cs="Arial"/>
                <w:bCs/>
              </w:rPr>
            </w:pPr>
            <w:r>
              <w:rPr>
                <w:rFonts w:cs="Arial"/>
                <w:bCs/>
              </w:rPr>
              <w:fldChar w:fldCharType="end"/>
            </w:r>
          </w:p>
          <w:p w14:paraId="0856A6F0" w14:textId="0D6A6961" w:rsidR="00D42D64" w:rsidRPr="00302741" w:rsidRDefault="00B0344A" w:rsidP="00D42D64">
            <w:pPr>
              <w:rPr>
                <w:rFonts w:cs="Arial"/>
                <w:b/>
                <w:bCs/>
                <w:u w:val="single"/>
              </w:rPr>
            </w:pPr>
            <w:hyperlink r:id="rId106"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514DC72E" w14:textId="28FA3020" w:rsidR="00D42D64" w:rsidRPr="0035351C" w:rsidRDefault="00D42D64" w:rsidP="00D42D64">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7F4EFA9C" w14:textId="11E63C7A" w:rsidR="00D42D64" w:rsidRPr="00302741" w:rsidRDefault="00D62EC0" w:rsidP="00D42D64">
            <w:pPr>
              <w:rPr>
                <w:rFonts w:cs="Arial"/>
                <w:b/>
              </w:rPr>
            </w:pPr>
            <w:r>
              <w:rPr>
                <w:rFonts w:cs="Arial"/>
                <w:bCs/>
              </w:rPr>
              <w:t>Assessment</w:t>
            </w:r>
            <w:r w:rsidR="00EA4C62">
              <w:rPr>
                <w:rFonts w:cs="Arial"/>
                <w:bCs/>
              </w:rPr>
              <w:t>s</w:t>
            </w:r>
            <w:r>
              <w:rPr>
                <w:rFonts w:cs="Arial"/>
                <w:bCs/>
              </w:rPr>
              <w:t xml:space="preserve"> of</w:t>
            </w:r>
            <w:r w:rsidR="00D42D64" w:rsidRPr="0035351C">
              <w:rPr>
                <w:rFonts w:cs="Arial"/>
                <w:bCs/>
              </w:rPr>
              <w:t xml:space="preserve"> AFC homes not owned or leased by waiver participants with an unrelated caregiver are </w:t>
            </w:r>
            <w:r>
              <w:rPr>
                <w:rFonts w:cs="Arial"/>
                <w:bCs/>
              </w:rPr>
              <w:t>underway</w:t>
            </w:r>
            <w:r w:rsidR="00D42D64" w:rsidRPr="0035351C">
              <w:rPr>
                <w:rFonts w:cs="Arial"/>
                <w:bCs/>
              </w:rPr>
              <w:t>. These settings will be fully compliant by 3/17/2023.</w:t>
            </w:r>
          </w:p>
        </w:tc>
        <w:tc>
          <w:tcPr>
            <w:tcW w:w="1577" w:type="dxa"/>
          </w:tcPr>
          <w:p w14:paraId="13F12012" w14:textId="1A645910" w:rsidR="00D42D64" w:rsidRPr="006C48CB" w:rsidRDefault="00D42D64" w:rsidP="00D42D64">
            <w:r>
              <w:rPr>
                <w:b/>
                <w:bCs/>
              </w:rPr>
              <w:t>March 2023</w:t>
            </w:r>
          </w:p>
        </w:tc>
      </w:tr>
      <w:tr w:rsidR="00893C96" w14:paraId="17291F32" w14:textId="77777777" w:rsidTr="005C6E59">
        <w:trPr>
          <w:cantSplit/>
        </w:trPr>
        <w:tc>
          <w:tcPr>
            <w:tcW w:w="2847" w:type="dxa"/>
          </w:tcPr>
          <w:p w14:paraId="0A288572" w14:textId="77777777" w:rsidR="00893C96" w:rsidRPr="005911C9" w:rsidRDefault="00893C96" w:rsidP="00893C96">
            <w:pPr>
              <w:spacing w:after="200" w:line="276" w:lineRule="auto"/>
              <w:rPr>
                <w:rFonts w:cs="Arial"/>
                <w:b/>
                <w:bCs/>
              </w:rPr>
            </w:pPr>
            <w:r w:rsidRPr="005911C9">
              <w:rPr>
                <w:rFonts w:cs="Arial"/>
                <w:b/>
                <w:bCs/>
              </w:rPr>
              <w:t xml:space="preserve">441.301(c)(4)(vi)(F): </w:t>
            </w:r>
          </w:p>
          <w:p w14:paraId="4F94177E" w14:textId="77777777" w:rsidR="00893C96" w:rsidRPr="00302741" w:rsidRDefault="00893C96" w:rsidP="00893C96">
            <w:pPr>
              <w:rPr>
                <w:rFonts w:cs="Arial"/>
                <w:b/>
                <w:bCs/>
              </w:rPr>
            </w:pPr>
            <w:r w:rsidRPr="005911C9">
              <w:rPr>
                <w:rFonts w:cs="Arial"/>
              </w:rPr>
              <w:t>Modifications must be supported by a specific assessed need and justified in PCP</w:t>
            </w:r>
          </w:p>
        </w:tc>
        <w:tc>
          <w:tcPr>
            <w:tcW w:w="3739" w:type="dxa"/>
          </w:tcPr>
          <w:p w14:paraId="3115DEAF" w14:textId="77777777" w:rsidR="00893C96" w:rsidRPr="00302741" w:rsidRDefault="00893C96" w:rsidP="00893C96">
            <w:pPr>
              <w:rPr>
                <w:rFonts w:cs="Arial"/>
                <w:b/>
                <w:bCs/>
                <w:u w:val="single"/>
              </w:rPr>
            </w:pPr>
            <w:r w:rsidRPr="00302741">
              <w:rPr>
                <w:rFonts w:cs="Arial"/>
                <w:b/>
                <w:bCs/>
                <w:u w:val="single"/>
              </w:rPr>
              <w:t>MA.0359, MA.40702, MA.1027:</w:t>
            </w:r>
          </w:p>
          <w:p w14:paraId="15DC3144" w14:textId="77777777" w:rsidR="00696A4B" w:rsidRDefault="00696A4B" w:rsidP="00893C96"/>
          <w:p w14:paraId="2F0CAC01" w14:textId="33CE8BF6" w:rsidR="00893C96" w:rsidRDefault="00B0344A" w:rsidP="00893C96">
            <w:pPr>
              <w:rPr>
                <w:rFonts w:cs="Arial"/>
              </w:rPr>
            </w:pPr>
            <w:hyperlink r:id="rId107">
              <w:r w:rsidR="00893C96" w:rsidRPr="2FD410C2">
                <w:rPr>
                  <w:rStyle w:val="Hyperlink"/>
                  <w:rFonts w:cs="Arial"/>
                </w:rPr>
                <w:t>130 CMR 630.404(A)(2)</w:t>
              </w:r>
            </w:hyperlink>
            <w:r w:rsidR="00893C96" w:rsidRPr="2FD410C2">
              <w:rPr>
                <w:rFonts w:cs="Arial"/>
                <w:b/>
                <w:bCs/>
              </w:rPr>
              <w:t xml:space="preserve"> </w:t>
            </w:r>
            <w:r w:rsidR="00893C96" w:rsidRPr="2FD410C2">
              <w:rPr>
                <w:rFonts w:cs="Arial"/>
              </w:rPr>
              <w:t>Provider Eligibility</w:t>
            </w:r>
          </w:p>
          <w:p w14:paraId="142F6055" w14:textId="77777777" w:rsidR="00893C96" w:rsidRPr="00302741" w:rsidRDefault="00893C96" w:rsidP="00893C96">
            <w:pPr>
              <w:rPr>
                <w:rFonts w:cs="Arial"/>
                <w:b/>
                <w:bCs/>
              </w:rPr>
            </w:pPr>
          </w:p>
          <w:p w14:paraId="788F58AB" w14:textId="77777777" w:rsidR="00893C96" w:rsidRPr="00C26176" w:rsidRDefault="00B0344A" w:rsidP="00893C96">
            <w:pPr>
              <w:rPr>
                <w:rStyle w:val="Hyperlink"/>
              </w:rPr>
            </w:pPr>
            <w:hyperlink r:id="rId108" w:history="1">
              <w:hyperlink w:history="1">
                <w:r w:rsidR="00893C96" w:rsidRPr="00C26176">
                  <w:rPr>
                    <w:rStyle w:val="Hyperlink"/>
                  </w:rPr>
                  <w:t>MRC Community Living Division Provider Manual</w:t>
                </w:r>
              </w:hyperlink>
            </w:hyperlink>
          </w:p>
          <w:p w14:paraId="2E499660" w14:textId="77777777" w:rsidR="00893C96" w:rsidRPr="00302741" w:rsidRDefault="00893C96" w:rsidP="004427AF">
            <w:pPr>
              <w:numPr>
                <w:ilvl w:val="0"/>
                <w:numId w:val="19"/>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581ABD43" w14:textId="77777777" w:rsidR="00893C96" w:rsidRPr="00302741" w:rsidRDefault="00893C96" w:rsidP="004427AF">
            <w:pPr>
              <w:numPr>
                <w:ilvl w:val="0"/>
                <w:numId w:val="19"/>
              </w:numPr>
              <w:rPr>
                <w:rFonts w:cs="Arial"/>
                <w:sz w:val="24"/>
              </w:rPr>
            </w:pPr>
            <w:r w:rsidRPr="00302741">
              <w:rPr>
                <w:rFonts w:cs="Arial"/>
                <w:i/>
              </w:rPr>
              <w:t xml:space="preserve">Behavioral Assessment, Management, and Supports in Site-Based </w:t>
            </w:r>
            <w:proofErr w:type="gramStart"/>
            <w:r w:rsidRPr="00302741">
              <w:rPr>
                <w:rFonts w:cs="Arial"/>
                <w:i/>
              </w:rPr>
              <w:t>Programs;</w:t>
            </w:r>
            <w:proofErr w:type="gramEnd"/>
          </w:p>
          <w:p w14:paraId="14DB8BC2" w14:textId="77777777" w:rsidR="00893C96" w:rsidRPr="00302741" w:rsidRDefault="00893C96" w:rsidP="004427AF">
            <w:pPr>
              <w:numPr>
                <w:ilvl w:val="0"/>
                <w:numId w:val="19"/>
              </w:numPr>
              <w:rPr>
                <w:rFonts w:cs="Arial"/>
                <w:sz w:val="24"/>
              </w:rPr>
            </w:pPr>
            <w:r w:rsidRPr="00302741">
              <w:rPr>
                <w:rFonts w:cs="Arial"/>
                <w:i/>
              </w:rPr>
              <w:t xml:space="preserve">Person-Centered Planning Principles; and </w:t>
            </w:r>
          </w:p>
          <w:p w14:paraId="0F5A23A0" w14:textId="563CF7E9" w:rsidR="00893C96" w:rsidRPr="00D42D64" w:rsidRDefault="00893C96" w:rsidP="004427AF">
            <w:pPr>
              <w:pStyle w:val="ListParagraph"/>
              <w:numPr>
                <w:ilvl w:val="0"/>
                <w:numId w:val="19"/>
              </w:numPr>
              <w:tabs>
                <w:tab w:val="center" w:pos="4680"/>
                <w:tab w:val="right" w:pos="9360"/>
              </w:tabs>
              <w:rPr>
                <w:rFonts w:cs="Arial"/>
                <w:b/>
                <w:u w:val="single"/>
              </w:rPr>
            </w:pPr>
            <w:r w:rsidRPr="00D42D64">
              <w:rPr>
                <w:rFonts w:cs="Arial"/>
                <w:i/>
              </w:rPr>
              <w:t>Person-Centered Service Plan</w:t>
            </w:r>
          </w:p>
        </w:tc>
        <w:tc>
          <w:tcPr>
            <w:tcW w:w="2483" w:type="dxa"/>
          </w:tcPr>
          <w:p w14:paraId="672BD682" w14:textId="77777777" w:rsidR="00893C96" w:rsidRPr="00302741" w:rsidRDefault="00893C96" w:rsidP="00893C96">
            <w:pPr>
              <w:rPr>
                <w:rFonts w:cs="Arial"/>
              </w:rPr>
            </w:pPr>
            <w:r w:rsidRPr="00302741">
              <w:rPr>
                <w:rFonts w:cs="Arial"/>
                <w:b/>
              </w:rPr>
              <w:t>State standards are compliant with the HCBS Settings Rule.</w:t>
            </w:r>
            <w:r w:rsidRPr="00302741">
              <w:rPr>
                <w:rFonts w:cs="Arial"/>
              </w:rPr>
              <w:t xml:space="preserve"> The cited MRC policy requires that modifications to individual rights must be supported by a specific assessed need and justified in the PCP. </w:t>
            </w:r>
          </w:p>
          <w:p w14:paraId="17D134C9" w14:textId="77777777" w:rsidR="00893C96" w:rsidRPr="00302741" w:rsidRDefault="00893C96" w:rsidP="00893C96">
            <w:pPr>
              <w:rPr>
                <w:rFonts w:cs="Arial"/>
              </w:rPr>
            </w:pPr>
          </w:p>
          <w:p w14:paraId="37F96F64" w14:textId="670C9D1D" w:rsidR="00893C96" w:rsidRPr="00302741" w:rsidRDefault="00893C96" w:rsidP="00893C96">
            <w:pPr>
              <w:rPr>
                <w:rFonts w:cs="Arial"/>
                <w:b/>
              </w:rPr>
            </w:pPr>
          </w:p>
        </w:tc>
        <w:tc>
          <w:tcPr>
            <w:tcW w:w="1577" w:type="dxa"/>
          </w:tcPr>
          <w:p w14:paraId="22A68FEB" w14:textId="77777777" w:rsidR="00893C96" w:rsidRDefault="00893C96" w:rsidP="00893C96">
            <w:pPr>
              <w:rPr>
                <w:b/>
                <w:bCs/>
              </w:rPr>
            </w:pPr>
            <w:r w:rsidRPr="006C48CB">
              <w:t xml:space="preserve">115 CMR </w:t>
            </w:r>
            <w:r>
              <w:t>630 last</w:t>
            </w:r>
            <w:r w:rsidRPr="006C48CB">
              <w:t xml:space="preserve"> updated in</w:t>
            </w:r>
            <w:r>
              <w:rPr>
                <w:b/>
                <w:bCs/>
              </w:rPr>
              <w:t xml:space="preserve"> June 2022.</w:t>
            </w:r>
          </w:p>
          <w:p w14:paraId="6AEBDE72" w14:textId="77777777" w:rsidR="00893C96" w:rsidRDefault="00893C96" w:rsidP="00893C96">
            <w:pPr>
              <w:rPr>
                <w:b/>
                <w:bCs/>
              </w:rPr>
            </w:pPr>
          </w:p>
          <w:p w14:paraId="75C19E77" w14:textId="77777777" w:rsidR="00893C96" w:rsidRDefault="00893C96" w:rsidP="00893C96">
            <w:pPr>
              <w:rPr>
                <w:b/>
                <w:bCs/>
              </w:rPr>
            </w:pPr>
            <w:r>
              <w:t xml:space="preserve">Provider manual was revised in </w:t>
            </w:r>
            <w:r w:rsidRPr="00703D08">
              <w:rPr>
                <w:b/>
                <w:bCs/>
              </w:rPr>
              <w:t>April 2016</w:t>
            </w:r>
            <w:r>
              <w:rPr>
                <w:b/>
                <w:bCs/>
              </w:rPr>
              <w:t>.</w:t>
            </w:r>
          </w:p>
          <w:p w14:paraId="1FE94088" w14:textId="77777777" w:rsidR="00893C96" w:rsidRDefault="00893C96" w:rsidP="00893C96">
            <w:pPr>
              <w:rPr>
                <w:rFonts w:cs="Arial"/>
                <w:b/>
              </w:rPr>
            </w:pPr>
          </w:p>
          <w:p w14:paraId="5A6CB358" w14:textId="33373FEB" w:rsidR="00893C96" w:rsidRPr="005911C9" w:rsidRDefault="00893C96" w:rsidP="00893C96"/>
        </w:tc>
      </w:tr>
      <w:tr w:rsidR="00893C96" w14:paraId="2DAC70F8" w14:textId="77777777" w:rsidTr="005C6E59">
        <w:trPr>
          <w:cantSplit/>
        </w:trPr>
        <w:tc>
          <w:tcPr>
            <w:tcW w:w="2847" w:type="dxa"/>
          </w:tcPr>
          <w:p w14:paraId="3D7E55BF" w14:textId="77777777" w:rsidR="00893C96" w:rsidRPr="005911C9" w:rsidRDefault="00893C96" w:rsidP="00893C96">
            <w:pPr>
              <w:spacing w:after="200" w:line="276" w:lineRule="auto"/>
              <w:rPr>
                <w:rFonts w:cs="Arial"/>
                <w:b/>
                <w:bCs/>
              </w:rPr>
            </w:pPr>
            <w:r w:rsidRPr="005911C9">
              <w:rPr>
                <w:rFonts w:cs="Arial"/>
                <w:b/>
                <w:bCs/>
              </w:rPr>
              <w:t xml:space="preserve">441.301(c)(4)(vi)(F): </w:t>
            </w:r>
          </w:p>
          <w:p w14:paraId="4047E3FE" w14:textId="32AC5AD4" w:rsidR="00893C96" w:rsidRPr="005911C9" w:rsidRDefault="00893C96" w:rsidP="00893C96">
            <w:pPr>
              <w:rPr>
                <w:rFonts w:cs="Arial"/>
                <w:b/>
                <w:bCs/>
              </w:rPr>
            </w:pPr>
            <w:r w:rsidRPr="005911C9">
              <w:rPr>
                <w:rFonts w:cs="Arial"/>
              </w:rPr>
              <w:t>Modifications must be supported by a specific assessed need and justified in PCP</w:t>
            </w:r>
          </w:p>
        </w:tc>
        <w:tc>
          <w:tcPr>
            <w:tcW w:w="3739" w:type="dxa"/>
          </w:tcPr>
          <w:p w14:paraId="33258DF7" w14:textId="77777777" w:rsidR="00893C96" w:rsidRDefault="00893C96" w:rsidP="00893C96">
            <w:pPr>
              <w:spacing w:after="200" w:line="276" w:lineRule="auto"/>
              <w:rPr>
                <w:rFonts w:cs="Arial"/>
                <w:b/>
                <w:bCs/>
                <w:u w:val="single"/>
              </w:rPr>
            </w:pPr>
            <w:r w:rsidRPr="00AF1F50">
              <w:rPr>
                <w:rFonts w:cs="Arial"/>
                <w:b/>
                <w:bCs/>
                <w:u w:val="single"/>
              </w:rPr>
              <w:t>MA.</w:t>
            </w:r>
            <w:r>
              <w:rPr>
                <w:rFonts w:cs="Arial"/>
                <w:b/>
                <w:bCs/>
                <w:u w:val="single"/>
              </w:rPr>
              <w:t>1027, MA.40702, MA.0359:</w:t>
            </w:r>
          </w:p>
          <w:p w14:paraId="663EA5A0"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0C64EB7B" w14:textId="77777777" w:rsidR="0084566F" w:rsidRDefault="0084566F" w:rsidP="0084566F">
            <w:pPr>
              <w:tabs>
                <w:tab w:val="center" w:pos="4680"/>
                <w:tab w:val="right" w:pos="9360"/>
              </w:tabs>
              <w:rPr>
                <w:rStyle w:val="Hyperlink"/>
                <w:rFonts w:cs="Arial"/>
                <w:bCs/>
              </w:rPr>
            </w:pPr>
            <w:r>
              <w:rPr>
                <w:rFonts w:cs="Arial"/>
                <w:bCs/>
              </w:rPr>
              <w:fldChar w:fldCharType="end"/>
            </w:r>
          </w:p>
          <w:p w14:paraId="21025234" w14:textId="4B800795" w:rsidR="00893C96" w:rsidRPr="00302741" w:rsidRDefault="00B0344A" w:rsidP="00893C96">
            <w:pPr>
              <w:rPr>
                <w:rFonts w:cs="Arial"/>
                <w:b/>
                <w:bCs/>
                <w:u w:val="single"/>
              </w:rPr>
            </w:pPr>
            <w:hyperlink r:id="rId109"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758EE8A2" w14:textId="5C3B1DB5" w:rsidR="00893C96" w:rsidRPr="0035351C" w:rsidRDefault="00893C96" w:rsidP="00893C96">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711860F1" w14:textId="0633304E" w:rsidR="00893C96" w:rsidRPr="00302741" w:rsidRDefault="00D62EC0" w:rsidP="00893C96">
            <w:pPr>
              <w:rPr>
                <w:rFonts w:cs="Arial"/>
                <w:b/>
              </w:rPr>
            </w:pPr>
            <w:r>
              <w:rPr>
                <w:rFonts w:cs="Arial"/>
                <w:bCs/>
              </w:rPr>
              <w:t>Assessment</w:t>
            </w:r>
            <w:r w:rsidR="00EA4C62">
              <w:rPr>
                <w:rFonts w:cs="Arial"/>
                <w:bCs/>
              </w:rPr>
              <w:t>s</w:t>
            </w:r>
            <w:r w:rsidR="00893C96" w:rsidRPr="0035351C">
              <w:rPr>
                <w:rFonts w:cs="Arial"/>
                <w:bCs/>
              </w:rPr>
              <w:t xml:space="preserve"> AFC homes not owned or leased by waiver participants with an unrelated caregiver are </w:t>
            </w:r>
            <w:r>
              <w:rPr>
                <w:rFonts w:cs="Arial"/>
                <w:bCs/>
              </w:rPr>
              <w:t>underway</w:t>
            </w:r>
            <w:r w:rsidR="00893C96" w:rsidRPr="0035351C">
              <w:rPr>
                <w:rFonts w:cs="Arial"/>
                <w:bCs/>
              </w:rPr>
              <w:t>. These settings will be fully compliant by 3/17/2023.</w:t>
            </w:r>
          </w:p>
        </w:tc>
        <w:tc>
          <w:tcPr>
            <w:tcW w:w="1577" w:type="dxa"/>
          </w:tcPr>
          <w:p w14:paraId="4F4BE567" w14:textId="65D3C6F0" w:rsidR="00893C96" w:rsidRPr="006C48CB" w:rsidRDefault="00893C96" w:rsidP="00893C96">
            <w:r>
              <w:rPr>
                <w:b/>
                <w:bCs/>
              </w:rPr>
              <w:t>March 2023</w:t>
            </w:r>
          </w:p>
        </w:tc>
      </w:tr>
    </w:tbl>
    <w:p w14:paraId="719E662E" w14:textId="74D0C426" w:rsidR="001F7291" w:rsidRDefault="001F7291" w:rsidP="008E7527">
      <w:pPr>
        <w:pStyle w:val="Heading2"/>
      </w:pPr>
    </w:p>
    <w:p w14:paraId="0801DF44" w14:textId="4ADEF81D" w:rsidR="00C36EE8" w:rsidRDefault="00C36EE8" w:rsidP="00C36EE8"/>
    <w:p w14:paraId="66E14427" w14:textId="6B008147" w:rsidR="00C36EE8" w:rsidRDefault="00C36EE8" w:rsidP="00C36EE8"/>
    <w:p w14:paraId="703EF7CB" w14:textId="562D9829" w:rsidR="00CC54FF" w:rsidRPr="00144BE9" w:rsidRDefault="00E07E03" w:rsidP="00144BE9">
      <w:pPr>
        <w:pStyle w:val="Heading3"/>
        <w:rPr>
          <w:sz w:val="26"/>
          <w:szCs w:val="26"/>
        </w:rPr>
      </w:pPr>
      <w:r w:rsidRPr="00144BE9">
        <w:rPr>
          <w:sz w:val="26"/>
          <w:szCs w:val="26"/>
        </w:rPr>
        <w:lastRenderedPageBreak/>
        <w:t xml:space="preserve">For Waivers Operated by the </w:t>
      </w:r>
      <w:r w:rsidR="00893C96" w:rsidRPr="00144BE9">
        <w:rPr>
          <w:sz w:val="26"/>
          <w:szCs w:val="26"/>
        </w:rPr>
        <w:t>Executive Office of Elder Affairs</w:t>
      </w:r>
    </w:p>
    <w:tbl>
      <w:tblPr>
        <w:tblStyle w:val="TableGrid"/>
        <w:tblW w:w="0" w:type="auto"/>
        <w:tblLook w:val="04A0" w:firstRow="1" w:lastRow="0" w:firstColumn="1" w:lastColumn="0" w:noHBand="0" w:noVBand="1"/>
        <w:tblCaption w:val="Table 1 Regulatory Crosswalk, page 10 of 14"/>
        <w:tblDescription w:val="Table 1 identifies and describes the compliance status of Massachusetts regulations, policies, practices, or other citations that relate to the requirements in each subsection of the Community Rule at 42 CFR 441.301(c)(4)"/>
      </w:tblPr>
      <w:tblGrid>
        <w:gridCol w:w="2636"/>
        <w:gridCol w:w="4245"/>
        <w:gridCol w:w="2188"/>
        <w:gridCol w:w="1577"/>
      </w:tblGrid>
      <w:tr w:rsidR="00A77869" w14:paraId="6383C9C6" w14:textId="77777777" w:rsidTr="00DD1973">
        <w:trPr>
          <w:cantSplit/>
          <w:tblHeader/>
        </w:trPr>
        <w:tc>
          <w:tcPr>
            <w:tcW w:w="2636" w:type="dxa"/>
            <w:shd w:val="clear" w:color="auto" w:fill="B8CCE4" w:themeFill="accent1" w:themeFillTint="66"/>
            <w:vAlign w:val="center"/>
          </w:tcPr>
          <w:p w14:paraId="416BD4B8" w14:textId="77777777" w:rsidR="00893C96" w:rsidRPr="00302741" w:rsidRDefault="00893C96" w:rsidP="005C6E59">
            <w:pPr>
              <w:tabs>
                <w:tab w:val="center" w:pos="4680"/>
                <w:tab w:val="right" w:pos="9360"/>
              </w:tabs>
              <w:jc w:val="center"/>
              <w:rPr>
                <w:rFonts w:cs="Arial"/>
                <w:b/>
                <w:sz w:val="24"/>
                <w:szCs w:val="24"/>
              </w:rPr>
            </w:pPr>
            <w:r w:rsidRPr="00302741">
              <w:rPr>
                <w:rFonts w:cs="Arial"/>
                <w:b/>
                <w:sz w:val="24"/>
                <w:szCs w:val="24"/>
              </w:rPr>
              <w:t>CMS</w:t>
            </w:r>
          </w:p>
          <w:p w14:paraId="60CC5B67" w14:textId="77777777" w:rsidR="00893C96" w:rsidRDefault="00893C96" w:rsidP="005C6E59">
            <w:pPr>
              <w:jc w:val="center"/>
            </w:pPr>
            <w:r w:rsidRPr="00302741">
              <w:rPr>
                <w:rFonts w:cs="Arial"/>
                <w:b/>
                <w:sz w:val="24"/>
                <w:szCs w:val="24"/>
              </w:rPr>
              <w:t>Regulatory Citation</w:t>
            </w:r>
          </w:p>
        </w:tc>
        <w:tc>
          <w:tcPr>
            <w:tcW w:w="4245" w:type="dxa"/>
            <w:shd w:val="clear" w:color="auto" w:fill="B8CCE4" w:themeFill="accent1" w:themeFillTint="66"/>
            <w:vAlign w:val="center"/>
          </w:tcPr>
          <w:p w14:paraId="1ADB5FFA" w14:textId="77777777" w:rsidR="00893C96" w:rsidRDefault="00893C96" w:rsidP="005C6E59">
            <w:pPr>
              <w:jc w:val="center"/>
            </w:pPr>
            <w:r w:rsidRPr="00302741">
              <w:rPr>
                <w:rFonts w:cs="Arial"/>
                <w:b/>
                <w:sz w:val="24"/>
                <w:szCs w:val="24"/>
              </w:rPr>
              <w:t>Massachusetts Regulatory/</w:t>
            </w:r>
            <w:r>
              <w:rPr>
                <w:rFonts w:cs="Arial"/>
                <w:b/>
                <w:sz w:val="24"/>
                <w:szCs w:val="24"/>
              </w:rPr>
              <w:t xml:space="preserve"> </w:t>
            </w:r>
            <w:r w:rsidRPr="00302741">
              <w:rPr>
                <w:rFonts w:cs="Arial"/>
                <w:b/>
                <w:sz w:val="24"/>
                <w:szCs w:val="24"/>
              </w:rPr>
              <w:t>Policy/Practice/Citation</w:t>
            </w:r>
          </w:p>
        </w:tc>
        <w:tc>
          <w:tcPr>
            <w:tcW w:w="2188" w:type="dxa"/>
            <w:shd w:val="clear" w:color="auto" w:fill="B8CCE4" w:themeFill="accent1" w:themeFillTint="66"/>
            <w:vAlign w:val="center"/>
          </w:tcPr>
          <w:p w14:paraId="6CFDC053" w14:textId="77777777" w:rsidR="00893C96" w:rsidRDefault="00893C96" w:rsidP="005C6E59">
            <w:pPr>
              <w:jc w:val="center"/>
            </w:pPr>
            <w:r w:rsidRPr="00302741">
              <w:rPr>
                <w:rFonts w:cs="Arial"/>
                <w:b/>
                <w:sz w:val="24"/>
                <w:szCs w:val="24"/>
              </w:rPr>
              <w:t>Compliance Status</w:t>
            </w:r>
          </w:p>
        </w:tc>
        <w:tc>
          <w:tcPr>
            <w:tcW w:w="1577" w:type="dxa"/>
            <w:shd w:val="clear" w:color="auto" w:fill="B8CCE4" w:themeFill="accent1" w:themeFillTint="66"/>
            <w:vAlign w:val="center"/>
          </w:tcPr>
          <w:p w14:paraId="5DC82D6E" w14:textId="77777777" w:rsidR="00893C96" w:rsidRDefault="00893C96" w:rsidP="005C6E59">
            <w:pPr>
              <w:jc w:val="center"/>
            </w:pPr>
            <w:r>
              <w:rPr>
                <w:rFonts w:cs="Arial"/>
                <w:b/>
                <w:sz w:val="24"/>
                <w:szCs w:val="24"/>
              </w:rPr>
              <w:t>Compliance Date</w:t>
            </w:r>
          </w:p>
        </w:tc>
      </w:tr>
      <w:tr w:rsidR="00A77869" w14:paraId="386E2F09" w14:textId="77777777" w:rsidTr="00DD1973">
        <w:trPr>
          <w:cantSplit/>
        </w:trPr>
        <w:tc>
          <w:tcPr>
            <w:tcW w:w="2636" w:type="dxa"/>
          </w:tcPr>
          <w:p w14:paraId="51E09196" w14:textId="77777777" w:rsidR="00893C96" w:rsidRPr="00703D08" w:rsidRDefault="00893C96" w:rsidP="00893C96">
            <w:pPr>
              <w:spacing w:after="200" w:line="276" w:lineRule="auto"/>
              <w:rPr>
                <w:rFonts w:cs="Arial"/>
                <w:b/>
                <w:bCs/>
              </w:rPr>
            </w:pPr>
            <w:r w:rsidRPr="00703D08">
              <w:rPr>
                <w:rFonts w:cs="Arial"/>
                <w:b/>
                <w:bCs/>
              </w:rPr>
              <w:t>441.301(c)(4)(</w:t>
            </w:r>
            <w:proofErr w:type="spellStart"/>
            <w:r w:rsidRPr="00703D08">
              <w:rPr>
                <w:rFonts w:cs="Arial"/>
                <w:b/>
                <w:bCs/>
              </w:rPr>
              <w:t>i</w:t>
            </w:r>
            <w:proofErr w:type="spellEnd"/>
            <w:r w:rsidRPr="00703D08">
              <w:rPr>
                <w:rFonts w:cs="Arial"/>
                <w:b/>
                <w:bCs/>
              </w:rPr>
              <w:t xml:space="preserve">): </w:t>
            </w:r>
          </w:p>
          <w:p w14:paraId="2F3E0D79" w14:textId="77777777" w:rsidR="00893C96" w:rsidRPr="00302741" w:rsidRDefault="00893C96" w:rsidP="00893C96">
            <w:pPr>
              <w:rPr>
                <w:rFonts w:cs="Arial"/>
                <w:b/>
                <w:bCs/>
              </w:rPr>
            </w:pPr>
            <w:r w:rsidRPr="00703D08">
              <w:rPr>
                <w:rFonts w:cs="Arial"/>
              </w:rPr>
              <w:t>The setting is integrated in and supports full access to the community</w:t>
            </w:r>
          </w:p>
        </w:tc>
        <w:tc>
          <w:tcPr>
            <w:tcW w:w="4245" w:type="dxa"/>
          </w:tcPr>
          <w:p w14:paraId="014586F5" w14:textId="77777777" w:rsidR="00893C96" w:rsidRPr="004F5337" w:rsidRDefault="00893C96" w:rsidP="00893C96">
            <w:pPr>
              <w:pStyle w:val="Header"/>
              <w:rPr>
                <w:rFonts w:cs="Arial"/>
                <w:b/>
                <w:u w:val="single"/>
              </w:rPr>
            </w:pPr>
            <w:r w:rsidRPr="004F5337">
              <w:rPr>
                <w:rFonts w:cs="Arial"/>
                <w:b/>
                <w:u w:val="single"/>
              </w:rPr>
              <w:t>MA.0059:</w:t>
            </w:r>
          </w:p>
          <w:p w14:paraId="2023F0B5" w14:textId="77777777" w:rsidR="00696A4B" w:rsidRDefault="00696A4B" w:rsidP="00C36EE8"/>
          <w:p w14:paraId="37EA4BA0" w14:textId="3B5AA976" w:rsidR="00893C96" w:rsidRPr="00C36EE8" w:rsidRDefault="00B0344A" w:rsidP="00C36EE8">
            <w:pPr>
              <w:rPr>
                <w:rFonts w:cs="Arial"/>
                <w:b/>
                <w:bCs/>
                <w:u w:val="single"/>
              </w:rPr>
            </w:pPr>
            <w:hyperlink r:id="rId110" w:history="1">
              <w:r w:rsidR="00893C96" w:rsidRPr="00C36EE8">
                <w:rPr>
                  <w:rStyle w:val="Hyperlink"/>
                  <w:rFonts w:cs="Arial"/>
                </w:rPr>
                <w:t>651 CMR 3.04(3)(b)</w:t>
              </w:r>
            </w:hyperlink>
            <w:r w:rsidR="00893C96" w:rsidRPr="00C36EE8">
              <w:rPr>
                <w:rFonts w:cs="Arial"/>
              </w:rPr>
              <w:t xml:space="preserve"> Residential settings </w:t>
            </w:r>
          </w:p>
          <w:p w14:paraId="27683A36" w14:textId="77777777" w:rsidR="00C36EE8" w:rsidRDefault="00C36EE8" w:rsidP="00C36EE8"/>
          <w:p w14:paraId="032BFB90" w14:textId="0F00A936" w:rsidR="00C36EE8" w:rsidRPr="00C36EE8" w:rsidRDefault="00B0344A" w:rsidP="00C36EE8">
            <w:pPr>
              <w:rPr>
                <w:rFonts w:ascii="Calibri" w:hAnsi="Calibri"/>
              </w:rPr>
            </w:pPr>
            <w:hyperlink r:id="rId111" w:history="1">
              <w:r w:rsidR="00C36EE8">
                <w:rPr>
                  <w:rStyle w:val="Hyperlink"/>
                </w:rPr>
                <w:t>1915 (c) Home and Community Based Services Waiver for Frail Elders Program Guidelines - Document Library (800ageinfo.com)</w:t>
              </w:r>
            </w:hyperlink>
          </w:p>
          <w:p w14:paraId="7D8D22C5" w14:textId="530FBE74" w:rsidR="003A3F1F" w:rsidRPr="00C36EE8" w:rsidRDefault="003A3F1F" w:rsidP="00C36EE8">
            <w:pPr>
              <w:pStyle w:val="ListParagraph"/>
              <w:ind w:left="360"/>
              <w:rPr>
                <w:rFonts w:cs="Arial"/>
                <w:b/>
                <w:bCs/>
                <w:u w:val="single"/>
              </w:rPr>
            </w:pPr>
          </w:p>
        </w:tc>
        <w:tc>
          <w:tcPr>
            <w:tcW w:w="2188" w:type="dxa"/>
          </w:tcPr>
          <w:p w14:paraId="2A7BC94B" w14:textId="32387572" w:rsidR="00893C96" w:rsidRPr="00302741" w:rsidRDefault="00893C96" w:rsidP="00893C96">
            <w:pPr>
              <w:rPr>
                <w:rFonts w:cs="Arial"/>
                <w:b/>
              </w:rPr>
            </w:pPr>
            <w:r w:rsidRPr="004F5337">
              <w:rPr>
                <w:rFonts w:cs="Arial"/>
                <w:b/>
              </w:rPr>
              <w:t>State standards are compliant with the HCBS Settings Rule.</w:t>
            </w:r>
            <w:r>
              <w:rPr>
                <w:rFonts w:cs="Arial"/>
                <w:b/>
              </w:rPr>
              <w:t xml:space="preserve"> </w:t>
            </w:r>
            <w:r>
              <w:rPr>
                <w:rFonts w:cs="Arial"/>
              </w:rPr>
              <w:t>The cited EOEA regulation provides that</w:t>
            </w:r>
            <w:r w:rsidRPr="0009201C">
              <w:rPr>
                <w:rFonts w:cs="Arial"/>
              </w:rPr>
              <w:t xml:space="preserve"> services shall not be delivered to an individual residing in an inpatient setting, group home or assisted living residence. </w:t>
            </w:r>
            <w:r>
              <w:rPr>
                <w:rFonts w:cs="Arial"/>
              </w:rPr>
              <w:t xml:space="preserve">EOEA </w:t>
            </w:r>
            <w:proofErr w:type="spellStart"/>
            <w:r>
              <w:rPr>
                <w:rFonts w:cs="Arial"/>
              </w:rPr>
              <w:t>furtherstrengthen</w:t>
            </w:r>
            <w:r w:rsidR="007A7C64">
              <w:rPr>
                <w:rFonts w:cs="Arial"/>
              </w:rPr>
              <w:t>ed</w:t>
            </w:r>
            <w:proofErr w:type="spellEnd"/>
            <w:r>
              <w:rPr>
                <w:rFonts w:cs="Arial"/>
              </w:rPr>
              <w:t xml:space="preserve"> the state standards through updates to its HCBS Program Guidelines</w:t>
            </w:r>
            <w:r w:rsidR="007A7C64">
              <w:rPr>
                <w:rFonts w:cs="Arial"/>
              </w:rPr>
              <w:t>.</w:t>
            </w:r>
          </w:p>
        </w:tc>
        <w:tc>
          <w:tcPr>
            <w:tcW w:w="1577" w:type="dxa"/>
          </w:tcPr>
          <w:p w14:paraId="69E6011C" w14:textId="7860021A" w:rsidR="00893C96" w:rsidRDefault="00893C96" w:rsidP="00893C96">
            <w:pPr>
              <w:rPr>
                <w:b/>
                <w:bCs/>
              </w:rPr>
            </w:pPr>
            <w:r>
              <w:t>651</w:t>
            </w:r>
            <w:r w:rsidRPr="006C48CB">
              <w:t xml:space="preserve"> CMR </w:t>
            </w:r>
            <w:r>
              <w:t>3 last</w:t>
            </w:r>
            <w:r w:rsidRPr="006C48CB">
              <w:t xml:space="preserve"> updated in</w:t>
            </w:r>
            <w:r>
              <w:rPr>
                <w:b/>
                <w:bCs/>
              </w:rPr>
              <w:t xml:space="preserve"> J</w:t>
            </w:r>
            <w:r w:rsidR="00A77869">
              <w:rPr>
                <w:b/>
                <w:bCs/>
              </w:rPr>
              <w:t>anuary 2017</w:t>
            </w:r>
            <w:r>
              <w:rPr>
                <w:b/>
                <w:bCs/>
              </w:rPr>
              <w:t>.</w:t>
            </w:r>
          </w:p>
          <w:p w14:paraId="163D9A55" w14:textId="54565E28" w:rsidR="00A77869" w:rsidRDefault="00A77869" w:rsidP="00893C96">
            <w:pPr>
              <w:rPr>
                <w:b/>
                <w:bCs/>
              </w:rPr>
            </w:pPr>
          </w:p>
          <w:p w14:paraId="106715FA" w14:textId="1A79E39C" w:rsidR="00A77869" w:rsidRPr="00A77869" w:rsidRDefault="00A77869" w:rsidP="00893C96">
            <w:r>
              <w:t xml:space="preserve">HCBS Program Guidelines </w:t>
            </w:r>
            <w:r w:rsidR="007A7C64">
              <w:t>were</w:t>
            </w:r>
            <w:r>
              <w:t xml:space="preserve"> updated in </w:t>
            </w:r>
            <w:r w:rsidR="007A7C64">
              <w:rPr>
                <w:b/>
                <w:bCs/>
              </w:rPr>
              <w:t>January 2023</w:t>
            </w:r>
            <w:r>
              <w:rPr>
                <w:b/>
                <w:bCs/>
              </w:rPr>
              <w:t>.</w:t>
            </w:r>
          </w:p>
          <w:p w14:paraId="37C57839" w14:textId="77777777" w:rsidR="00893C96" w:rsidRDefault="00893C96" w:rsidP="00893C96"/>
          <w:p w14:paraId="2DA1EF83" w14:textId="1339C0C6" w:rsidR="00893C96" w:rsidRPr="006C48CB" w:rsidRDefault="00893C96" w:rsidP="00893C96"/>
        </w:tc>
      </w:tr>
      <w:tr w:rsidR="00A77869" w14:paraId="0AD59DF4" w14:textId="77777777" w:rsidTr="00DD1973">
        <w:trPr>
          <w:cantSplit/>
        </w:trPr>
        <w:tc>
          <w:tcPr>
            <w:tcW w:w="2636" w:type="dxa"/>
          </w:tcPr>
          <w:p w14:paraId="760F39D1" w14:textId="77777777" w:rsidR="00A77869" w:rsidRPr="00703D08" w:rsidRDefault="00A77869" w:rsidP="00A77869">
            <w:pPr>
              <w:spacing w:after="200" w:line="276" w:lineRule="auto"/>
              <w:rPr>
                <w:rFonts w:cs="Arial"/>
                <w:b/>
                <w:bCs/>
              </w:rPr>
            </w:pPr>
            <w:r w:rsidRPr="00703D08">
              <w:rPr>
                <w:rFonts w:cs="Arial"/>
                <w:b/>
                <w:bCs/>
              </w:rPr>
              <w:t xml:space="preserve">441.301(c)(4)(ii): </w:t>
            </w:r>
          </w:p>
          <w:p w14:paraId="412A070E" w14:textId="77777777" w:rsidR="00A77869" w:rsidRPr="00302741" w:rsidRDefault="00A77869" w:rsidP="00A77869">
            <w:pPr>
              <w:rPr>
                <w:rFonts w:cs="Arial"/>
                <w:b/>
                <w:bCs/>
              </w:rPr>
            </w:pPr>
            <w:r w:rsidRPr="00703D08">
              <w:rPr>
                <w:rFonts w:cs="Arial"/>
              </w:rPr>
              <w:t>The setting is selected by the individual from among setting options</w:t>
            </w:r>
            <w:r w:rsidRPr="00703D08">
              <w:rPr>
                <w:rFonts w:cs="Arial"/>
                <w:b/>
                <w:bCs/>
              </w:rPr>
              <w:t> </w:t>
            </w:r>
          </w:p>
        </w:tc>
        <w:tc>
          <w:tcPr>
            <w:tcW w:w="4245" w:type="dxa"/>
          </w:tcPr>
          <w:p w14:paraId="4860B148" w14:textId="77777777" w:rsidR="00A77869" w:rsidRPr="004F5337" w:rsidRDefault="00A77869" w:rsidP="00A77869">
            <w:pPr>
              <w:pStyle w:val="Header"/>
              <w:rPr>
                <w:rFonts w:cs="Arial"/>
                <w:b/>
                <w:u w:val="single"/>
              </w:rPr>
            </w:pPr>
            <w:r w:rsidRPr="004F5337">
              <w:rPr>
                <w:rFonts w:cs="Arial"/>
                <w:b/>
                <w:u w:val="single"/>
              </w:rPr>
              <w:t>MA.0059:</w:t>
            </w:r>
          </w:p>
          <w:p w14:paraId="36945C9D" w14:textId="77777777" w:rsidR="00696A4B" w:rsidRDefault="00696A4B" w:rsidP="00A77869"/>
          <w:p w14:paraId="407E03CD" w14:textId="1DD60541" w:rsidR="00A77869" w:rsidRDefault="00B0344A" w:rsidP="00A77869">
            <w:pPr>
              <w:rPr>
                <w:rFonts w:eastAsia="Times New Roman" w:cs="Arial"/>
              </w:rPr>
            </w:pPr>
            <w:hyperlink r:id="rId112" w:history="1">
              <w:r w:rsidR="00A77869" w:rsidRPr="00F2767C">
                <w:rPr>
                  <w:rStyle w:val="Hyperlink"/>
                  <w:rFonts w:eastAsia="Times New Roman" w:cs="Arial"/>
                </w:rPr>
                <w:t>PI-09-20</w:t>
              </w:r>
            </w:hyperlink>
            <w:r w:rsidR="00A77869">
              <w:rPr>
                <w:rFonts w:eastAsia="Times New Roman" w:cs="Arial"/>
              </w:rPr>
              <w:t xml:space="preserve"> Service Plans – State issued person-centered planning guidance</w:t>
            </w:r>
          </w:p>
          <w:p w14:paraId="3D64B7D9" w14:textId="77777777" w:rsidR="00A77869" w:rsidRDefault="00A77869" w:rsidP="00A77869">
            <w:pPr>
              <w:rPr>
                <w:rFonts w:eastAsia="Times New Roman" w:cs="Arial"/>
              </w:rPr>
            </w:pPr>
          </w:p>
          <w:p w14:paraId="5BEDDAA5" w14:textId="77777777" w:rsidR="00A77869" w:rsidRDefault="00A77869" w:rsidP="00A77869">
            <w:pPr>
              <w:rPr>
                <w:rFonts w:cs="Arial"/>
              </w:rPr>
            </w:pPr>
            <w:r w:rsidRPr="5E83C6CD">
              <w:rPr>
                <w:rFonts w:cs="Arial"/>
              </w:rPr>
              <w:t>ASAP Contract: Choice of providers 4.4.15, 4.6.1.5</w:t>
            </w:r>
          </w:p>
          <w:p w14:paraId="56B88C3A" w14:textId="2C4B0046" w:rsidR="00A77869" w:rsidRPr="00703D08" w:rsidRDefault="00A77869" w:rsidP="00A77869">
            <w:pPr>
              <w:pStyle w:val="ListParagraph"/>
              <w:ind w:left="360"/>
              <w:rPr>
                <w:rFonts w:cs="Arial"/>
                <w:b/>
                <w:bCs/>
                <w:u w:val="single"/>
              </w:rPr>
            </w:pPr>
          </w:p>
        </w:tc>
        <w:tc>
          <w:tcPr>
            <w:tcW w:w="2188" w:type="dxa"/>
          </w:tcPr>
          <w:p w14:paraId="00E866EA" w14:textId="4439B9AD" w:rsidR="00A77869" w:rsidRPr="00302741" w:rsidRDefault="00A77869" w:rsidP="00A77869">
            <w:pPr>
              <w:rPr>
                <w:rFonts w:cs="Arial"/>
                <w:b/>
              </w:rPr>
            </w:pPr>
            <w:r w:rsidRPr="004F5337">
              <w:rPr>
                <w:rFonts w:cs="Arial"/>
                <w:b/>
              </w:rPr>
              <w:t>State standards are compliant with the HCBS Settings Rule.</w:t>
            </w:r>
            <w:r>
              <w:rPr>
                <w:rFonts w:cs="Arial"/>
                <w:b/>
              </w:rPr>
              <w:t xml:space="preserve"> </w:t>
            </w:r>
            <w:r>
              <w:rPr>
                <w:rFonts w:cs="Arial"/>
              </w:rPr>
              <w:t>The cited EOEA Program Instruction (PI) and ASAP Contract ensure that participants have a free choice of providers and are supported in their decision-making through the person-centered planning process.</w:t>
            </w:r>
          </w:p>
        </w:tc>
        <w:tc>
          <w:tcPr>
            <w:tcW w:w="1577" w:type="dxa"/>
          </w:tcPr>
          <w:p w14:paraId="6EC0CA50" w14:textId="56DFB6F8" w:rsidR="00A77869" w:rsidRDefault="00A77869" w:rsidP="00A77869">
            <w:pPr>
              <w:rPr>
                <w:b/>
                <w:bCs/>
              </w:rPr>
            </w:pPr>
            <w:r>
              <w:t xml:space="preserve">Program Instruction was published in </w:t>
            </w:r>
            <w:r w:rsidRPr="00A77869">
              <w:rPr>
                <w:b/>
                <w:bCs/>
              </w:rPr>
              <w:t>December 2009.</w:t>
            </w:r>
          </w:p>
          <w:p w14:paraId="751E5ED0" w14:textId="77777777" w:rsidR="00A77869" w:rsidRDefault="00A77869" w:rsidP="00A77869"/>
          <w:p w14:paraId="292851C4" w14:textId="3F93309A" w:rsidR="00A77869" w:rsidRPr="006C48CB" w:rsidRDefault="00A77869" w:rsidP="00A77869">
            <w:r>
              <w:t xml:space="preserve">The ASAP Contract was last updated in </w:t>
            </w:r>
            <w:r>
              <w:rPr>
                <w:b/>
                <w:bCs/>
              </w:rPr>
              <w:t>June 2021.</w:t>
            </w:r>
          </w:p>
        </w:tc>
      </w:tr>
      <w:tr w:rsidR="00A77869" w14:paraId="6156BF5E" w14:textId="77777777" w:rsidTr="00DD1973">
        <w:trPr>
          <w:cantSplit/>
        </w:trPr>
        <w:tc>
          <w:tcPr>
            <w:tcW w:w="2636" w:type="dxa"/>
          </w:tcPr>
          <w:p w14:paraId="401953A3" w14:textId="77777777" w:rsidR="00A77869" w:rsidRPr="00302741" w:rsidRDefault="00A77869" w:rsidP="00A77869">
            <w:pPr>
              <w:rPr>
                <w:rFonts w:cs="Arial"/>
                <w:b/>
                <w:bCs/>
              </w:rPr>
            </w:pPr>
            <w:r w:rsidRPr="00302741">
              <w:rPr>
                <w:rFonts w:cs="Arial"/>
                <w:b/>
                <w:bCs/>
              </w:rPr>
              <w:lastRenderedPageBreak/>
              <w:t xml:space="preserve">441.301(c)(4)(iii): </w:t>
            </w:r>
          </w:p>
          <w:p w14:paraId="26AA5E52" w14:textId="77777777" w:rsidR="00A77869" w:rsidRPr="00302741" w:rsidRDefault="00A77869" w:rsidP="00A77869">
            <w:pPr>
              <w:rPr>
                <w:rFonts w:cs="Arial"/>
                <w:b/>
                <w:bCs/>
              </w:rPr>
            </w:pPr>
            <w:r w:rsidRPr="00302741">
              <w:rPr>
                <w:rFonts w:cs="Arial"/>
              </w:rPr>
              <w:t xml:space="preserve">Privacy, dignity, respect, freedom from coercion and restraint </w:t>
            </w:r>
          </w:p>
        </w:tc>
        <w:tc>
          <w:tcPr>
            <w:tcW w:w="4245" w:type="dxa"/>
          </w:tcPr>
          <w:p w14:paraId="1BB1B6FA" w14:textId="77777777" w:rsidR="00A77869" w:rsidRDefault="00A77869" w:rsidP="00A77869">
            <w:pPr>
              <w:pStyle w:val="Header"/>
              <w:rPr>
                <w:rFonts w:cs="Arial"/>
                <w:b/>
              </w:rPr>
            </w:pPr>
            <w:r w:rsidRPr="004F5337">
              <w:rPr>
                <w:rFonts w:cs="Arial"/>
                <w:b/>
                <w:u w:val="single"/>
              </w:rPr>
              <w:t>MA.0059:</w:t>
            </w:r>
          </w:p>
          <w:p w14:paraId="648ED93A" w14:textId="77777777" w:rsidR="00696A4B" w:rsidRDefault="00696A4B" w:rsidP="00A77869">
            <w:pPr>
              <w:pStyle w:val="Header"/>
            </w:pPr>
          </w:p>
          <w:p w14:paraId="0BC55569" w14:textId="74B1D03E" w:rsidR="00A77869" w:rsidRDefault="00B0344A" w:rsidP="00A77869">
            <w:pPr>
              <w:pStyle w:val="Header"/>
              <w:rPr>
                <w:rFonts w:cs="Arial"/>
              </w:rPr>
            </w:pPr>
            <w:hyperlink r:id="rId113">
              <w:r w:rsidR="00A77869" w:rsidRPr="5E83C6CD">
                <w:rPr>
                  <w:rStyle w:val="Hyperlink"/>
                  <w:rFonts w:cs="Arial"/>
                </w:rPr>
                <w:t>651 CMR 3.01</w:t>
              </w:r>
            </w:hyperlink>
            <w:r w:rsidR="00A77869" w:rsidRPr="5E83C6CD">
              <w:rPr>
                <w:rFonts w:cs="Arial"/>
              </w:rPr>
              <w:t xml:space="preserve"> Scope and Purpose</w:t>
            </w:r>
          </w:p>
          <w:p w14:paraId="2C6A66A7" w14:textId="77777777" w:rsidR="00A77869" w:rsidRDefault="00A77869" w:rsidP="00A77869">
            <w:pPr>
              <w:pStyle w:val="Header"/>
              <w:rPr>
                <w:rFonts w:cs="Arial"/>
              </w:rPr>
            </w:pPr>
          </w:p>
          <w:p w14:paraId="08F0CF6A" w14:textId="77777777" w:rsidR="00A77869" w:rsidRPr="00B90831" w:rsidRDefault="00B0344A" w:rsidP="00A77869">
            <w:pPr>
              <w:pStyle w:val="Header"/>
              <w:rPr>
                <w:rFonts w:cs="Arial"/>
              </w:rPr>
            </w:pPr>
            <w:hyperlink r:id="rId114" w:history="1">
              <w:r w:rsidR="00A77869" w:rsidRPr="00805C67">
                <w:rPr>
                  <w:rStyle w:val="Hyperlink"/>
                  <w:rFonts w:cs="Arial"/>
                </w:rPr>
                <w:t>Frail Elder Wa</w:t>
              </w:r>
              <w:r w:rsidR="00A77869">
                <w:rPr>
                  <w:rStyle w:val="Hyperlink"/>
                  <w:rFonts w:cs="Arial"/>
                </w:rPr>
                <w:t>i</w:t>
              </w:r>
              <w:r w:rsidR="00A77869" w:rsidRPr="00805C67">
                <w:rPr>
                  <w:rStyle w:val="Hyperlink"/>
                  <w:rFonts w:cs="Arial"/>
                </w:rPr>
                <w:t>ver Application, Appendix G-2</w:t>
              </w:r>
            </w:hyperlink>
          </w:p>
          <w:p w14:paraId="1951D892" w14:textId="77777777" w:rsidR="00A77869" w:rsidRDefault="00A77869" w:rsidP="00A77869">
            <w:pPr>
              <w:pStyle w:val="Header"/>
              <w:rPr>
                <w:rFonts w:cs="Arial"/>
                <w:b/>
              </w:rPr>
            </w:pPr>
          </w:p>
          <w:p w14:paraId="02583214" w14:textId="77777777" w:rsidR="002845C0" w:rsidRDefault="00B0344A" w:rsidP="00A77869">
            <w:pPr>
              <w:rPr>
                <w:rFonts w:cs="Arial"/>
              </w:rPr>
            </w:pPr>
            <w:hyperlink r:id="rId115" w:history="1">
              <w:r w:rsidR="00A77869" w:rsidRPr="0028621B">
                <w:rPr>
                  <w:rStyle w:val="Hyperlink"/>
                  <w:rFonts w:cs="Arial"/>
                </w:rPr>
                <w:t>PI-09-13</w:t>
              </w:r>
            </w:hyperlink>
            <w:r w:rsidR="00A77869">
              <w:rPr>
                <w:rFonts w:cs="Arial"/>
              </w:rPr>
              <w:t xml:space="preserve"> Attachment A Provider Agreement –</w:t>
            </w:r>
            <w:r w:rsidR="00A77869" w:rsidRPr="00B90831">
              <w:rPr>
                <w:rFonts w:cs="Arial"/>
              </w:rPr>
              <w:t xml:space="preserve"> </w:t>
            </w:r>
            <w:r w:rsidR="00A77869">
              <w:rPr>
                <w:rFonts w:cs="Arial"/>
              </w:rPr>
              <w:t>Mandated reporting</w:t>
            </w:r>
          </w:p>
          <w:p w14:paraId="03A39708" w14:textId="77777777" w:rsidR="002845C0" w:rsidRDefault="002845C0" w:rsidP="00A77869">
            <w:pPr>
              <w:rPr>
                <w:rFonts w:cs="Arial"/>
              </w:rPr>
            </w:pPr>
          </w:p>
          <w:p w14:paraId="3C4DDAA1" w14:textId="77777777" w:rsidR="002845C0" w:rsidRDefault="00B0344A" w:rsidP="002845C0">
            <w:pPr>
              <w:rPr>
                <w:rFonts w:ascii="Calibri" w:hAnsi="Calibri"/>
              </w:rPr>
            </w:pPr>
            <w:hyperlink r:id="rId116" w:history="1">
              <w:r w:rsidR="002845C0">
                <w:rPr>
                  <w:rStyle w:val="Hyperlink"/>
                </w:rPr>
                <w:t>1915 (c) Home and Community Based Services Waiver for Frail Elders Program Guidelines - Document Library (800ageinfo.com)</w:t>
              </w:r>
            </w:hyperlink>
          </w:p>
          <w:p w14:paraId="038E4925" w14:textId="0C85CA03" w:rsidR="00A77869" w:rsidRPr="00302741" w:rsidRDefault="00A77869" w:rsidP="00A77869">
            <w:pPr>
              <w:rPr>
                <w:rFonts w:cs="Arial"/>
                <w:b/>
                <w:bCs/>
                <w:u w:val="single"/>
              </w:rPr>
            </w:pPr>
            <w:r>
              <w:rPr>
                <w:rFonts w:cs="Arial"/>
              </w:rPr>
              <w:t xml:space="preserve"> </w:t>
            </w:r>
          </w:p>
        </w:tc>
        <w:tc>
          <w:tcPr>
            <w:tcW w:w="2188" w:type="dxa"/>
          </w:tcPr>
          <w:p w14:paraId="0498D11C" w14:textId="5E143695" w:rsidR="00A77869" w:rsidRPr="00302741" w:rsidRDefault="00A77869" w:rsidP="00A77869">
            <w:pPr>
              <w:rPr>
                <w:rFonts w:cs="Arial"/>
                <w:b/>
              </w:rPr>
            </w:pPr>
            <w:r w:rsidRPr="004F5337">
              <w:rPr>
                <w:rFonts w:cs="Arial"/>
                <w:b/>
              </w:rPr>
              <w:t>State standards are compliant with the HCBS Settings Rule.</w:t>
            </w:r>
            <w:r>
              <w:rPr>
                <w:rFonts w:cs="Arial"/>
                <w:b/>
              </w:rPr>
              <w:t xml:space="preserve"> </w:t>
            </w:r>
            <w:r>
              <w:rPr>
                <w:rFonts w:cs="Arial"/>
              </w:rPr>
              <w:t>T</w:t>
            </w:r>
            <w:r w:rsidRPr="0010042F">
              <w:rPr>
                <w:rFonts w:cs="Arial"/>
              </w:rPr>
              <w:t xml:space="preserve">he overarching purpose of the Home Care program and the Frail Elder Waiver </w:t>
            </w:r>
            <w:r>
              <w:rPr>
                <w:rFonts w:cs="Arial"/>
              </w:rPr>
              <w:t>is to ensure</w:t>
            </w:r>
            <w:r w:rsidRPr="0010042F">
              <w:rPr>
                <w:rFonts w:cs="Arial"/>
              </w:rPr>
              <w:t xml:space="preserve"> </w:t>
            </w:r>
            <w:r>
              <w:rPr>
                <w:rFonts w:cs="Arial"/>
              </w:rPr>
              <w:t>elders’ dignity</w:t>
            </w:r>
            <w:r w:rsidRPr="0010042F">
              <w:rPr>
                <w:rFonts w:cs="Arial"/>
              </w:rPr>
              <w:t xml:space="preserve"> and independ</w:t>
            </w:r>
            <w:r>
              <w:rPr>
                <w:rFonts w:cs="Arial"/>
              </w:rPr>
              <w:t>en</w:t>
            </w:r>
            <w:r w:rsidRPr="0010042F">
              <w:rPr>
                <w:rFonts w:cs="Arial"/>
              </w:rPr>
              <w:t>ce</w:t>
            </w:r>
            <w:r>
              <w:rPr>
                <w:rFonts w:cs="Arial"/>
              </w:rPr>
              <w:t xml:space="preserve"> in the community</w:t>
            </w:r>
            <w:r w:rsidRPr="0010042F">
              <w:rPr>
                <w:rFonts w:cs="Arial"/>
              </w:rPr>
              <w:t>.</w:t>
            </w:r>
            <w:r>
              <w:rPr>
                <w:rFonts w:cs="Arial"/>
                <w:b/>
              </w:rPr>
              <w:t xml:space="preserve"> </w:t>
            </w:r>
            <w:r w:rsidRPr="00B90831">
              <w:rPr>
                <w:rFonts w:cs="Arial"/>
              </w:rPr>
              <w:t xml:space="preserve">Use of restraints </w:t>
            </w:r>
            <w:r>
              <w:rPr>
                <w:rFonts w:cs="Arial"/>
              </w:rPr>
              <w:t>is</w:t>
            </w:r>
            <w:r w:rsidRPr="00B90831">
              <w:rPr>
                <w:rFonts w:cs="Arial"/>
              </w:rPr>
              <w:t xml:space="preserve"> not authorized in the Home Care program, as stated in Frail Elder Waiver application</w:t>
            </w:r>
            <w:r>
              <w:rPr>
                <w:rFonts w:cs="Arial"/>
              </w:rPr>
              <w:t xml:space="preserve">. The other EOEA policies cited as well as the ASAP Contract, set forth standards regarding privacy and the mandatory reporting of elder abuse, neglect, and mistreatment. </w:t>
            </w:r>
            <w:proofErr w:type="gramStart"/>
            <w:r>
              <w:rPr>
                <w:rFonts w:cs="Arial"/>
              </w:rPr>
              <w:t>EOEA  further</w:t>
            </w:r>
            <w:proofErr w:type="gramEnd"/>
            <w:r>
              <w:rPr>
                <w:rFonts w:cs="Arial"/>
              </w:rPr>
              <w:t xml:space="preserve"> strengthen</w:t>
            </w:r>
            <w:r w:rsidR="00A93215">
              <w:rPr>
                <w:rFonts w:cs="Arial"/>
              </w:rPr>
              <w:t>ed</w:t>
            </w:r>
            <w:r>
              <w:rPr>
                <w:rFonts w:cs="Arial"/>
              </w:rPr>
              <w:t xml:space="preserve"> the state standards through updates to its HCBS Program Guidelines</w:t>
            </w:r>
            <w:r w:rsidR="00197768">
              <w:rPr>
                <w:rFonts w:cs="Arial"/>
              </w:rPr>
              <w:t>.</w:t>
            </w:r>
          </w:p>
        </w:tc>
        <w:tc>
          <w:tcPr>
            <w:tcW w:w="1577" w:type="dxa"/>
          </w:tcPr>
          <w:p w14:paraId="492AAEFC" w14:textId="77777777" w:rsidR="00A77869" w:rsidRDefault="00A77869" w:rsidP="00A77869">
            <w:pPr>
              <w:rPr>
                <w:b/>
                <w:bCs/>
              </w:rPr>
            </w:pPr>
            <w:r>
              <w:t>651</w:t>
            </w:r>
            <w:r w:rsidRPr="006C48CB">
              <w:t xml:space="preserve"> CMR </w:t>
            </w:r>
            <w:r>
              <w:t>3 last</w:t>
            </w:r>
            <w:r w:rsidRPr="006C48CB">
              <w:t xml:space="preserve"> updated in</w:t>
            </w:r>
            <w:r>
              <w:rPr>
                <w:b/>
                <w:bCs/>
              </w:rPr>
              <w:t xml:space="preserve"> January 2017.</w:t>
            </w:r>
          </w:p>
          <w:p w14:paraId="0587DB2F" w14:textId="65EF3331" w:rsidR="00A77869" w:rsidRDefault="00A77869" w:rsidP="00A77869">
            <w:pPr>
              <w:rPr>
                <w:b/>
                <w:bCs/>
              </w:rPr>
            </w:pPr>
          </w:p>
          <w:p w14:paraId="248BD15E" w14:textId="715D237A" w:rsidR="00A77869" w:rsidRDefault="00A77869" w:rsidP="00A77869">
            <w:pPr>
              <w:rPr>
                <w:b/>
                <w:bCs/>
              </w:rPr>
            </w:pPr>
            <w:r>
              <w:t xml:space="preserve">Frail Elder Waiver Application last updated in </w:t>
            </w:r>
            <w:r w:rsidRPr="007E2323">
              <w:rPr>
                <w:b/>
                <w:bCs/>
              </w:rPr>
              <w:t>March 2022.</w:t>
            </w:r>
          </w:p>
          <w:p w14:paraId="1D26F629" w14:textId="77777777" w:rsidR="00A77869" w:rsidRPr="007E2323" w:rsidRDefault="00A77869" w:rsidP="00A77869"/>
          <w:p w14:paraId="4113A326" w14:textId="3EEAF7E4" w:rsidR="00A77869" w:rsidRDefault="00A77869" w:rsidP="00A77869">
            <w:pPr>
              <w:rPr>
                <w:b/>
                <w:bCs/>
              </w:rPr>
            </w:pPr>
            <w:r>
              <w:t xml:space="preserve">Program Instruction was published in </w:t>
            </w:r>
            <w:r>
              <w:rPr>
                <w:b/>
                <w:bCs/>
              </w:rPr>
              <w:t>August</w:t>
            </w:r>
            <w:r w:rsidRPr="00A77869">
              <w:rPr>
                <w:b/>
                <w:bCs/>
              </w:rPr>
              <w:t xml:space="preserve"> 2009.</w:t>
            </w:r>
          </w:p>
          <w:p w14:paraId="2966B023" w14:textId="77777777" w:rsidR="00A77869" w:rsidRDefault="00A77869" w:rsidP="00A77869"/>
          <w:p w14:paraId="47F04130" w14:textId="779A447A" w:rsidR="00A77869" w:rsidRPr="00A77869" w:rsidRDefault="00A77869" w:rsidP="00A77869">
            <w:r>
              <w:t xml:space="preserve">HCBS Program Guidelines </w:t>
            </w:r>
            <w:r w:rsidR="00A93215">
              <w:t>were</w:t>
            </w:r>
            <w:r>
              <w:t xml:space="preserve"> updated in </w:t>
            </w:r>
            <w:r w:rsidR="00A93215">
              <w:rPr>
                <w:b/>
                <w:bCs/>
              </w:rPr>
              <w:t>January 2023</w:t>
            </w:r>
            <w:r>
              <w:rPr>
                <w:b/>
                <w:bCs/>
              </w:rPr>
              <w:t>.</w:t>
            </w:r>
          </w:p>
          <w:p w14:paraId="0960CAF5" w14:textId="11106A07" w:rsidR="00A77869" w:rsidRPr="006C48CB" w:rsidRDefault="00A77869" w:rsidP="00A77869"/>
        </w:tc>
      </w:tr>
      <w:tr w:rsidR="00DD1973" w14:paraId="713DB4A4" w14:textId="77777777" w:rsidTr="00DD1973">
        <w:trPr>
          <w:cantSplit/>
        </w:trPr>
        <w:tc>
          <w:tcPr>
            <w:tcW w:w="2636" w:type="dxa"/>
          </w:tcPr>
          <w:p w14:paraId="57F852FC" w14:textId="77777777" w:rsidR="007E2323" w:rsidRPr="00302741" w:rsidRDefault="007E2323" w:rsidP="007E2323">
            <w:pPr>
              <w:rPr>
                <w:rFonts w:cs="Arial"/>
                <w:b/>
                <w:bCs/>
              </w:rPr>
            </w:pPr>
            <w:r w:rsidRPr="00302741">
              <w:rPr>
                <w:rFonts w:cs="Arial"/>
                <w:b/>
                <w:bCs/>
              </w:rPr>
              <w:lastRenderedPageBreak/>
              <w:t xml:space="preserve">441.301(c)(4)(iv): </w:t>
            </w:r>
          </w:p>
          <w:p w14:paraId="6C948594" w14:textId="77777777" w:rsidR="007E2323" w:rsidRDefault="007E2323" w:rsidP="007E2323">
            <w:r w:rsidRPr="00302741">
              <w:rPr>
                <w:rFonts w:cs="Arial"/>
              </w:rPr>
              <w:t>Optimizes, but does not regiment, individual initia</w:t>
            </w:r>
            <w:r>
              <w:rPr>
                <w:rFonts w:cs="Arial"/>
              </w:rPr>
              <w:t>tive, autonomy, and independence</w:t>
            </w:r>
          </w:p>
        </w:tc>
        <w:tc>
          <w:tcPr>
            <w:tcW w:w="4245" w:type="dxa"/>
          </w:tcPr>
          <w:p w14:paraId="50AC1957" w14:textId="77777777" w:rsidR="007E2323" w:rsidRPr="004F5337" w:rsidRDefault="007E2323" w:rsidP="007E2323">
            <w:pPr>
              <w:pStyle w:val="Header"/>
              <w:rPr>
                <w:rFonts w:cs="Arial"/>
                <w:b/>
                <w:u w:val="single"/>
              </w:rPr>
            </w:pPr>
            <w:r w:rsidRPr="004F5337">
              <w:rPr>
                <w:rFonts w:cs="Arial"/>
                <w:b/>
                <w:u w:val="single"/>
              </w:rPr>
              <w:t>MA.0059:</w:t>
            </w:r>
          </w:p>
          <w:p w14:paraId="76C234F8" w14:textId="77777777" w:rsidR="00696A4B" w:rsidRDefault="00696A4B" w:rsidP="007E2323">
            <w:pPr>
              <w:pStyle w:val="Header"/>
            </w:pPr>
          </w:p>
          <w:p w14:paraId="75550867" w14:textId="573065E7" w:rsidR="007E2323" w:rsidRDefault="00B0344A" w:rsidP="007E2323">
            <w:pPr>
              <w:pStyle w:val="Header"/>
              <w:rPr>
                <w:rFonts w:cs="Arial"/>
              </w:rPr>
            </w:pPr>
            <w:hyperlink r:id="rId117" w:history="1">
              <w:r w:rsidR="007E2323">
                <w:rPr>
                  <w:rStyle w:val="Hyperlink"/>
                </w:rPr>
                <w:t>651 CMR 3.03(1)</w:t>
              </w:r>
            </w:hyperlink>
            <w:r w:rsidR="007E2323" w:rsidRPr="5E83C6CD">
              <w:rPr>
                <w:rFonts w:cs="Arial"/>
                <w:b/>
                <w:bCs/>
              </w:rPr>
              <w:t xml:space="preserve"> </w:t>
            </w:r>
            <w:r w:rsidR="007E2323" w:rsidRPr="5E83C6CD">
              <w:rPr>
                <w:rFonts w:cs="Arial"/>
              </w:rPr>
              <w:t>Functions and Responsibilities</w:t>
            </w:r>
          </w:p>
          <w:p w14:paraId="5A30438A" w14:textId="77777777" w:rsidR="007E2323" w:rsidRDefault="007E2323" w:rsidP="007E2323">
            <w:pPr>
              <w:pStyle w:val="Header"/>
              <w:rPr>
                <w:rFonts w:cs="Arial"/>
              </w:rPr>
            </w:pPr>
          </w:p>
          <w:p w14:paraId="12B63D27" w14:textId="544619BE" w:rsidR="007E2323" w:rsidRDefault="00B0344A" w:rsidP="007E2323">
            <w:hyperlink r:id="rId118" w:history="1">
              <w:r w:rsidR="007E2323" w:rsidRPr="0028621B">
                <w:rPr>
                  <w:rStyle w:val="Hyperlink"/>
                  <w:rFonts w:cs="Arial"/>
                </w:rPr>
                <w:t>PI-09-13</w:t>
              </w:r>
            </w:hyperlink>
            <w:r w:rsidR="007E2323">
              <w:rPr>
                <w:rFonts w:cs="Arial"/>
              </w:rPr>
              <w:t xml:space="preserve"> Attachment A – I. Program goals, and VI. Program services (Supportive Day Program) </w:t>
            </w:r>
          </w:p>
        </w:tc>
        <w:tc>
          <w:tcPr>
            <w:tcW w:w="2188" w:type="dxa"/>
          </w:tcPr>
          <w:p w14:paraId="7454B338" w14:textId="06268162" w:rsidR="007E2323" w:rsidRDefault="007E2323" w:rsidP="007E2323">
            <w:r w:rsidRPr="004F5337">
              <w:rPr>
                <w:rFonts w:cs="Arial"/>
                <w:b/>
              </w:rPr>
              <w:t xml:space="preserve">State standards are compliant with the HCBS Settings Rule. </w:t>
            </w:r>
            <w:r>
              <w:rPr>
                <w:rFonts w:cs="Arial"/>
              </w:rPr>
              <w:t>As set out in the cited EOEA regulation, p</w:t>
            </w:r>
            <w:r w:rsidRPr="004F5337">
              <w:rPr>
                <w:rFonts w:cs="Arial"/>
              </w:rPr>
              <w:t>articipants’ dignity and independence are the cornerstone of the planning and delivery of services in the waiver</w:t>
            </w:r>
            <w:r>
              <w:rPr>
                <w:rFonts w:cs="Arial"/>
              </w:rPr>
              <w:t>. The cited Program Instruction (PI) emphasizes participants’ independence, self-determination, and choice, as well as structured yet flexible service settings</w:t>
            </w:r>
            <w:r w:rsidRPr="004F5337">
              <w:rPr>
                <w:rFonts w:cs="Arial"/>
              </w:rPr>
              <w:t>.</w:t>
            </w:r>
          </w:p>
        </w:tc>
        <w:tc>
          <w:tcPr>
            <w:tcW w:w="1577" w:type="dxa"/>
          </w:tcPr>
          <w:p w14:paraId="79177B4B" w14:textId="77777777" w:rsidR="007E2323" w:rsidRDefault="007E2323" w:rsidP="007E2323">
            <w:pPr>
              <w:rPr>
                <w:b/>
                <w:bCs/>
              </w:rPr>
            </w:pPr>
            <w:r>
              <w:t>651</w:t>
            </w:r>
            <w:r w:rsidRPr="006C48CB">
              <w:t xml:space="preserve"> CMR </w:t>
            </w:r>
            <w:r>
              <w:t>3 last</w:t>
            </w:r>
            <w:r w:rsidRPr="006C48CB">
              <w:t xml:space="preserve"> updated in</w:t>
            </w:r>
            <w:r>
              <w:rPr>
                <w:b/>
                <w:bCs/>
              </w:rPr>
              <w:t xml:space="preserve"> January 2017.</w:t>
            </w:r>
          </w:p>
          <w:p w14:paraId="0A07CFF4" w14:textId="77777777" w:rsidR="007E2323" w:rsidRDefault="007E2323" w:rsidP="007E2323">
            <w:pPr>
              <w:rPr>
                <w:rFonts w:cs="Arial"/>
                <w:b/>
              </w:rPr>
            </w:pPr>
          </w:p>
          <w:p w14:paraId="27298482" w14:textId="77777777" w:rsidR="007E2323" w:rsidRDefault="007E2323" w:rsidP="007E2323">
            <w:pPr>
              <w:rPr>
                <w:b/>
                <w:bCs/>
              </w:rPr>
            </w:pPr>
            <w:r>
              <w:t xml:space="preserve">Program Instruction was published in </w:t>
            </w:r>
            <w:r>
              <w:rPr>
                <w:b/>
                <w:bCs/>
              </w:rPr>
              <w:t>August</w:t>
            </w:r>
            <w:r w:rsidRPr="00A77869">
              <w:rPr>
                <w:b/>
                <w:bCs/>
              </w:rPr>
              <w:t xml:space="preserve"> 2009.</w:t>
            </w:r>
          </w:p>
          <w:p w14:paraId="79C0B71C" w14:textId="39EAC1E1" w:rsidR="007E2323" w:rsidRDefault="007E2323" w:rsidP="007E2323"/>
        </w:tc>
      </w:tr>
      <w:tr w:rsidR="00DD1973" w14:paraId="43800BF9" w14:textId="77777777" w:rsidTr="00DD1973">
        <w:trPr>
          <w:cantSplit/>
        </w:trPr>
        <w:tc>
          <w:tcPr>
            <w:tcW w:w="2636" w:type="dxa"/>
          </w:tcPr>
          <w:p w14:paraId="6747E100" w14:textId="77777777" w:rsidR="007E2323" w:rsidRPr="00302741" w:rsidRDefault="007E2323" w:rsidP="007E2323">
            <w:pPr>
              <w:rPr>
                <w:rFonts w:cs="Arial"/>
                <w:b/>
                <w:bCs/>
              </w:rPr>
            </w:pPr>
            <w:r w:rsidRPr="00302741">
              <w:rPr>
                <w:rFonts w:cs="Arial"/>
                <w:b/>
                <w:bCs/>
              </w:rPr>
              <w:t xml:space="preserve">441.301(c)(4)(v): </w:t>
            </w:r>
          </w:p>
          <w:p w14:paraId="4B8FACB8" w14:textId="77777777" w:rsidR="007E2323" w:rsidRDefault="007E2323" w:rsidP="007E2323">
            <w:r w:rsidRPr="00302741">
              <w:rPr>
                <w:rFonts w:cs="Arial"/>
              </w:rPr>
              <w:t>Facilitates individual choice regarding services and supports</w:t>
            </w:r>
          </w:p>
        </w:tc>
        <w:tc>
          <w:tcPr>
            <w:tcW w:w="4245" w:type="dxa"/>
          </w:tcPr>
          <w:p w14:paraId="065EEBF5" w14:textId="77777777" w:rsidR="007E2323" w:rsidRPr="004F5337" w:rsidRDefault="007E2323" w:rsidP="007E2323">
            <w:pPr>
              <w:pStyle w:val="Header"/>
              <w:rPr>
                <w:rFonts w:cs="Arial"/>
                <w:b/>
                <w:u w:val="single"/>
              </w:rPr>
            </w:pPr>
            <w:r w:rsidRPr="004F5337">
              <w:rPr>
                <w:rFonts w:cs="Arial"/>
                <w:b/>
                <w:u w:val="single"/>
              </w:rPr>
              <w:t>MA.0059:</w:t>
            </w:r>
          </w:p>
          <w:p w14:paraId="55F13372" w14:textId="77777777" w:rsidR="00696A4B" w:rsidRDefault="00696A4B" w:rsidP="007E2323">
            <w:pPr>
              <w:pStyle w:val="Header"/>
            </w:pPr>
          </w:p>
          <w:p w14:paraId="028ED373" w14:textId="1376F712" w:rsidR="007E2323" w:rsidRPr="004F5337" w:rsidRDefault="00B0344A" w:rsidP="007E2323">
            <w:pPr>
              <w:pStyle w:val="Header"/>
              <w:rPr>
                <w:rFonts w:cs="Arial"/>
              </w:rPr>
            </w:pPr>
            <w:hyperlink r:id="rId119" w:history="1">
              <w:r w:rsidR="007E2323" w:rsidRPr="0028621B">
                <w:rPr>
                  <w:rStyle w:val="Hyperlink"/>
                  <w:rFonts w:cs="Arial"/>
                </w:rPr>
                <w:t>PI 97-31</w:t>
              </w:r>
            </w:hyperlink>
            <w:r w:rsidR="007E2323">
              <w:rPr>
                <w:rFonts w:cs="Arial"/>
              </w:rPr>
              <w:t xml:space="preserve"> (</w:t>
            </w:r>
            <w:r w:rsidR="007E2323" w:rsidRPr="004F5337">
              <w:rPr>
                <w:rFonts w:cs="Arial"/>
              </w:rPr>
              <w:t xml:space="preserve">Medicaid Waiver </w:t>
            </w:r>
            <w:r w:rsidR="007E2323">
              <w:rPr>
                <w:rFonts w:cs="Arial"/>
              </w:rPr>
              <w:t>M</w:t>
            </w:r>
            <w:r w:rsidR="007E2323" w:rsidRPr="004F5337">
              <w:rPr>
                <w:rFonts w:cs="Arial"/>
              </w:rPr>
              <w:t>anual Clarification</w:t>
            </w:r>
            <w:r w:rsidR="007E2323">
              <w:rPr>
                <w:rFonts w:cs="Arial"/>
              </w:rPr>
              <w:t xml:space="preserve">) – Attachment D (Recipient Choice Form) </w:t>
            </w:r>
          </w:p>
          <w:p w14:paraId="3C529428" w14:textId="77777777" w:rsidR="007E2323" w:rsidRDefault="007E2323" w:rsidP="007E2323">
            <w:pPr>
              <w:pStyle w:val="Header"/>
              <w:rPr>
                <w:rFonts w:cs="Arial"/>
              </w:rPr>
            </w:pPr>
          </w:p>
          <w:p w14:paraId="470A90E9" w14:textId="77777777" w:rsidR="007E2323" w:rsidRDefault="00B0344A" w:rsidP="007E2323">
            <w:pPr>
              <w:pStyle w:val="Header"/>
              <w:rPr>
                <w:rFonts w:cs="Arial"/>
              </w:rPr>
            </w:pPr>
            <w:hyperlink r:id="rId120" w:history="1">
              <w:r w:rsidR="007E2323" w:rsidRPr="0028621B">
                <w:rPr>
                  <w:rStyle w:val="Hyperlink"/>
                  <w:rFonts w:cs="Arial"/>
                </w:rPr>
                <w:t>PI-09-13</w:t>
              </w:r>
            </w:hyperlink>
            <w:r w:rsidR="007E2323">
              <w:rPr>
                <w:rFonts w:cs="Arial"/>
              </w:rPr>
              <w:t xml:space="preserve"> Attachment A – VI. Program services </w:t>
            </w:r>
          </w:p>
          <w:p w14:paraId="7B6604F8" w14:textId="77777777" w:rsidR="007E2323" w:rsidRDefault="007E2323" w:rsidP="007E2323">
            <w:pPr>
              <w:pStyle w:val="Header"/>
              <w:rPr>
                <w:rFonts w:cs="Arial"/>
              </w:rPr>
            </w:pPr>
          </w:p>
          <w:p w14:paraId="46DE18B1" w14:textId="77716607" w:rsidR="007E2323" w:rsidRDefault="007E2323" w:rsidP="007E2323">
            <w:r w:rsidRPr="5E83C6CD">
              <w:rPr>
                <w:rFonts w:cs="Arial"/>
              </w:rPr>
              <w:t>ASAP Contract: Choice of Providers 4.4.15, 4.6.1.5</w:t>
            </w:r>
          </w:p>
        </w:tc>
        <w:tc>
          <w:tcPr>
            <w:tcW w:w="2188" w:type="dxa"/>
          </w:tcPr>
          <w:p w14:paraId="7418F0FA" w14:textId="77777777" w:rsidR="007E2323" w:rsidRDefault="007E2323" w:rsidP="007E2323">
            <w:pPr>
              <w:pStyle w:val="Header"/>
              <w:rPr>
                <w:rFonts w:cs="Arial"/>
              </w:rPr>
            </w:pPr>
            <w:r w:rsidRPr="004F5337">
              <w:rPr>
                <w:rFonts w:cs="Arial"/>
                <w:b/>
              </w:rPr>
              <w:t>State standards are compliant with the HCBS Settings Rule.</w:t>
            </w:r>
            <w:r w:rsidRPr="004F5337">
              <w:rPr>
                <w:rFonts w:cs="Arial"/>
              </w:rPr>
              <w:t xml:space="preserve"> The cited polic</w:t>
            </w:r>
            <w:r>
              <w:rPr>
                <w:rFonts w:cs="Arial"/>
              </w:rPr>
              <w:t>ies</w:t>
            </w:r>
            <w:r w:rsidRPr="004F5337">
              <w:rPr>
                <w:rFonts w:cs="Arial"/>
              </w:rPr>
              <w:t xml:space="preserve"> and procurement document establish that individuals have choice regarding services and supports</w:t>
            </w:r>
            <w:r>
              <w:rPr>
                <w:rFonts w:cs="Arial"/>
              </w:rPr>
              <w:t>, as well as free choice of providers.</w:t>
            </w:r>
          </w:p>
          <w:p w14:paraId="51661C2F" w14:textId="66EFB290" w:rsidR="007E2323" w:rsidRDefault="007E2323" w:rsidP="007E2323"/>
        </w:tc>
        <w:tc>
          <w:tcPr>
            <w:tcW w:w="1577" w:type="dxa"/>
          </w:tcPr>
          <w:p w14:paraId="461799E3" w14:textId="221D4D26" w:rsidR="008832EB" w:rsidRDefault="008832EB" w:rsidP="008832EB">
            <w:pPr>
              <w:rPr>
                <w:b/>
                <w:bCs/>
              </w:rPr>
            </w:pPr>
            <w:r>
              <w:t xml:space="preserve">Program Instruction 97-31 was published in </w:t>
            </w:r>
            <w:r>
              <w:rPr>
                <w:b/>
                <w:bCs/>
              </w:rPr>
              <w:t>September 1997</w:t>
            </w:r>
            <w:r w:rsidRPr="00A77869">
              <w:rPr>
                <w:b/>
                <w:bCs/>
              </w:rPr>
              <w:t>.</w:t>
            </w:r>
          </w:p>
          <w:p w14:paraId="0F0931F8" w14:textId="77777777" w:rsidR="007E2323" w:rsidRDefault="007E2323" w:rsidP="007E2323"/>
          <w:p w14:paraId="6ECEB68E" w14:textId="7ED46D65" w:rsidR="008832EB" w:rsidRDefault="008832EB" w:rsidP="008832EB">
            <w:pPr>
              <w:rPr>
                <w:b/>
                <w:bCs/>
              </w:rPr>
            </w:pPr>
            <w:r>
              <w:t xml:space="preserve">Program Instruction 09-13 was published in </w:t>
            </w:r>
            <w:r>
              <w:rPr>
                <w:b/>
                <w:bCs/>
              </w:rPr>
              <w:t>August</w:t>
            </w:r>
            <w:r w:rsidRPr="00A77869">
              <w:rPr>
                <w:b/>
                <w:bCs/>
              </w:rPr>
              <w:t xml:space="preserve"> 2009.</w:t>
            </w:r>
          </w:p>
          <w:p w14:paraId="353BCB9C" w14:textId="77777777" w:rsidR="008832EB" w:rsidRDefault="008832EB" w:rsidP="007E2323"/>
          <w:p w14:paraId="04A4DB5C" w14:textId="51FEDD56" w:rsidR="008832EB" w:rsidRDefault="008832EB" w:rsidP="007E2323">
            <w:r>
              <w:t xml:space="preserve">The ASAP Contract was last updated in </w:t>
            </w:r>
            <w:r>
              <w:rPr>
                <w:b/>
                <w:bCs/>
              </w:rPr>
              <w:t>June 2021.</w:t>
            </w:r>
          </w:p>
        </w:tc>
      </w:tr>
      <w:tr w:rsidR="00DD1973" w14:paraId="316E4658" w14:textId="77777777" w:rsidTr="00DD1973">
        <w:trPr>
          <w:cantSplit/>
        </w:trPr>
        <w:tc>
          <w:tcPr>
            <w:tcW w:w="2636" w:type="dxa"/>
          </w:tcPr>
          <w:p w14:paraId="22582819" w14:textId="77777777" w:rsidR="008832EB" w:rsidRPr="00AF1F50" w:rsidRDefault="008832EB" w:rsidP="008832EB">
            <w:pPr>
              <w:spacing w:after="200" w:line="276" w:lineRule="auto"/>
              <w:rPr>
                <w:rFonts w:cs="Arial"/>
                <w:b/>
                <w:bCs/>
              </w:rPr>
            </w:pPr>
            <w:r w:rsidRPr="00AF1F50">
              <w:rPr>
                <w:rFonts w:cs="Arial"/>
                <w:b/>
                <w:bCs/>
              </w:rPr>
              <w:lastRenderedPageBreak/>
              <w:t xml:space="preserve">441.301(c)(4)(vi)(A): </w:t>
            </w:r>
          </w:p>
          <w:p w14:paraId="2B071C5A" w14:textId="77777777" w:rsidR="008832EB" w:rsidRDefault="008832EB" w:rsidP="008832EB">
            <w:r w:rsidRPr="00AF1F50">
              <w:rPr>
                <w:rFonts w:cs="Arial"/>
              </w:rPr>
              <w:t>Unit or dwelling is a specific physical place that can be owned, rented, or occupied under a legally enforceable agreement</w:t>
            </w:r>
          </w:p>
        </w:tc>
        <w:tc>
          <w:tcPr>
            <w:tcW w:w="4245" w:type="dxa"/>
          </w:tcPr>
          <w:p w14:paraId="373E201A" w14:textId="77777777" w:rsidR="008832EB" w:rsidRDefault="008832EB" w:rsidP="008832EB">
            <w:pPr>
              <w:pStyle w:val="Header"/>
              <w:rPr>
                <w:rFonts w:cs="Arial"/>
                <w:b/>
                <w:u w:val="single"/>
              </w:rPr>
            </w:pPr>
            <w:r w:rsidRPr="002A60F1">
              <w:rPr>
                <w:rFonts w:cs="Arial"/>
                <w:b/>
                <w:u w:val="single"/>
              </w:rPr>
              <w:t>MA.0059:</w:t>
            </w:r>
          </w:p>
          <w:p w14:paraId="032D2E1F" w14:textId="77777777" w:rsidR="00696A4B" w:rsidRDefault="00696A4B" w:rsidP="008832EB">
            <w:pPr>
              <w:pStyle w:val="Header"/>
            </w:pPr>
          </w:p>
          <w:p w14:paraId="65625A30" w14:textId="214F8850" w:rsidR="008832EB" w:rsidRDefault="00B0344A" w:rsidP="008832EB">
            <w:pPr>
              <w:pStyle w:val="Header"/>
              <w:rPr>
                <w:rFonts w:cs="Arial"/>
              </w:rPr>
            </w:pPr>
            <w:hyperlink r:id="rId121" w:history="1">
              <w:r w:rsidR="008832EB" w:rsidRPr="005114C8">
                <w:rPr>
                  <w:rStyle w:val="Hyperlink"/>
                  <w:rFonts w:cs="Arial"/>
                </w:rPr>
                <w:t>651 CMR 3.04(3)(b)</w:t>
              </w:r>
            </w:hyperlink>
            <w:r w:rsidR="008832EB" w:rsidRPr="5E83C6CD">
              <w:rPr>
                <w:rFonts w:cs="Arial"/>
              </w:rPr>
              <w:t xml:space="preserve"> Waiver services are provided to consumers living in community settings that are not waiver service provider owned or controlled.</w:t>
            </w:r>
          </w:p>
          <w:p w14:paraId="29844F16" w14:textId="77777777" w:rsidR="002845C0" w:rsidRDefault="002845C0" w:rsidP="008832EB">
            <w:pPr>
              <w:pStyle w:val="Header"/>
              <w:rPr>
                <w:rFonts w:cs="Arial"/>
              </w:rPr>
            </w:pPr>
          </w:p>
          <w:p w14:paraId="0ABAD7B7" w14:textId="26E47B52" w:rsidR="002845C0" w:rsidRPr="002845C0" w:rsidRDefault="00B0344A" w:rsidP="002845C0">
            <w:pPr>
              <w:rPr>
                <w:rFonts w:ascii="Calibri" w:hAnsi="Calibri"/>
              </w:rPr>
            </w:pPr>
            <w:hyperlink r:id="rId122" w:history="1">
              <w:r w:rsidR="002845C0">
                <w:rPr>
                  <w:rStyle w:val="Hyperlink"/>
                </w:rPr>
                <w:t>1915 (c) Home and Community Based Services Waiver for Frail Elders Program Guidelines - Document Library (800ageinfo.com)</w:t>
              </w:r>
            </w:hyperlink>
          </w:p>
          <w:p w14:paraId="3E91D1DD" w14:textId="0C82636E" w:rsidR="008832EB" w:rsidRDefault="008832EB" w:rsidP="008832EB">
            <w:pPr>
              <w:pStyle w:val="ListParagraph"/>
              <w:ind w:left="360"/>
            </w:pPr>
          </w:p>
        </w:tc>
        <w:tc>
          <w:tcPr>
            <w:tcW w:w="2188" w:type="dxa"/>
          </w:tcPr>
          <w:p w14:paraId="00EF35E0" w14:textId="0B603F7C" w:rsidR="008832EB" w:rsidRDefault="008832EB" w:rsidP="008832EB">
            <w:r w:rsidRPr="004F5337">
              <w:rPr>
                <w:rFonts w:cs="Arial"/>
                <w:b/>
              </w:rPr>
              <w:t>State standards are compliant with the HCBS Settings Rule.</w:t>
            </w:r>
            <w:r w:rsidRPr="004F5337">
              <w:rPr>
                <w:rFonts w:cs="Arial"/>
              </w:rPr>
              <w:t xml:space="preserve"> </w:t>
            </w:r>
            <w:r w:rsidRPr="00833896">
              <w:rPr>
                <w:rFonts w:cs="Arial"/>
              </w:rPr>
              <w:t>EOEA updat</w:t>
            </w:r>
            <w:r w:rsidR="004A30A1">
              <w:rPr>
                <w:rFonts w:cs="Arial"/>
              </w:rPr>
              <w:t>ed</w:t>
            </w:r>
            <w:r w:rsidRPr="00833896">
              <w:rPr>
                <w:rFonts w:cs="Arial"/>
              </w:rPr>
              <w:t xml:space="preserve"> and revis</w:t>
            </w:r>
            <w:r w:rsidR="004A30A1">
              <w:rPr>
                <w:rFonts w:cs="Arial"/>
              </w:rPr>
              <w:t>ed</w:t>
            </w:r>
            <w:r w:rsidR="00C36EE8">
              <w:rPr>
                <w:rFonts w:cs="Arial"/>
              </w:rPr>
              <w:t xml:space="preserve"> </w:t>
            </w:r>
            <w:r w:rsidRPr="00833896">
              <w:rPr>
                <w:rFonts w:cs="Arial"/>
              </w:rPr>
              <w:t>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Pr="00833896">
              <w:rPr>
                <w:rFonts w:cs="Arial"/>
              </w:rPr>
              <w:t>.</w:t>
            </w:r>
            <w:r w:rsidRPr="00833896">
              <w:rPr>
                <w:rStyle w:val="FootnoteReference"/>
                <w:rFonts w:cs="Arial"/>
              </w:rPr>
              <w:footnoteReference w:id="3"/>
            </w:r>
          </w:p>
        </w:tc>
        <w:tc>
          <w:tcPr>
            <w:tcW w:w="1577" w:type="dxa"/>
          </w:tcPr>
          <w:p w14:paraId="5CE1F3A3" w14:textId="77777777" w:rsidR="008832EB" w:rsidRDefault="008832EB" w:rsidP="008832EB">
            <w:pPr>
              <w:rPr>
                <w:b/>
                <w:bCs/>
              </w:rPr>
            </w:pPr>
            <w:r>
              <w:t>651</w:t>
            </w:r>
            <w:r w:rsidRPr="006C48CB">
              <w:t xml:space="preserve"> CMR </w:t>
            </w:r>
            <w:r>
              <w:t>3 last</w:t>
            </w:r>
            <w:r w:rsidRPr="006C48CB">
              <w:t xml:space="preserve"> updated in</w:t>
            </w:r>
            <w:r>
              <w:rPr>
                <w:b/>
                <w:bCs/>
              </w:rPr>
              <w:t xml:space="preserve"> January 2017.</w:t>
            </w:r>
          </w:p>
          <w:p w14:paraId="3936D72E" w14:textId="11A8E4C3" w:rsidR="008832EB" w:rsidRDefault="008832EB" w:rsidP="008832EB">
            <w:pPr>
              <w:rPr>
                <w:rFonts w:cs="Arial"/>
                <w:b/>
              </w:rPr>
            </w:pPr>
          </w:p>
          <w:p w14:paraId="17381D80" w14:textId="0104C39C" w:rsidR="008832EB" w:rsidRPr="00A77869" w:rsidRDefault="008832EB" w:rsidP="008832EB">
            <w:r>
              <w:t xml:space="preserve">HCBS Program Guidelines </w:t>
            </w:r>
            <w:r w:rsidR="0066794E">
              <w:t xml:space="preserve">were </w:t>
            </w:r>
            <w:r>
              <w:t xml:space="preserve">updated in </w:t>
            </w:r>
            <w:r w:rsidR="004A30A1">
              <w:rPr>
                <w:b/>
                <w:bCs/>
              </w:rPr>
              <w:t>January 2023</w:t>
            </w:r>
            <w:r>
              <w:rPr>
                <w:b/>
                <w:bCs/>
              </w:rPr>
              <w:t>.</w:t>
            </w:r>
          </w:p>
          <w:p w14:paraId="07E9DA74" w14:textId="77777777" w:rsidR="008832EB" w:rsidRDefault="008832EB" w:rsidP="008832EB"/>
        </w:tc>
      </w:tr>
      <w:tr w:rsidR="00A77869" w14:paraId="68DC461E" w14:textId="77777777" w:rsidTr="00DD1973">
        <w:trPr>
          <w:cantSplit/>
        </w:trPr>
        <w:tc>
          <w:tcPr>
            <w:tcW w:w="2636" w:type="dxa"/>
          </w:tcPr>
          <w:p w14:paraId="6E8D6C44" w14:textId="77777777" w:rsidR="00893C96" w:rsidRPr="00AF1F50" w:rsidRDefault="00893C96" w:rsidP="005C6E59">
            <w:pPr>
              <w:spacing w:after="200" w:line="276" w:lineRule="auto"/>
              <w:rPr>
                <w:rFonts w:cs="Arial"/>
                <w:b/>
                <w:bCs/>
              </w:rPr>
            </w:pPr>
            <w:r w:rsidRPr="00AF1F50">
              <w:rPr>
                <w:rFonts w:cs="Arial"/>
                <w:b/>
                <w:bCs/>
              </w:rPr>
              <w:t xml:space="preserve">441.301(c)(4)(vi)(A): </w:t>
            </w:r>
          </w:p>
          <w:p w14:paraId="427F65CA" w14:textId="77777777" w:rsidR="00893C96" w:rsidRPr="00AF1F50" w:rsidRDefault="00893C96" w:rsidP="005C6E59">
            <w:pPr>
              <w:rPr>
                <w:rFonts w:cs="Arial"/>
                <w:b/>
                <w:bCs/>
              </w:rPr>
            </w:pPr>
            <w:r w:rsidRPr="00AF1F50">
              <w:rPr>
                <w:rFonts w:cs="Arial"/>
              </w:rPr>
              <w:t>Unit or dwelling is a specific physical place that can be owned, rented, or occupied under a legally enforceable agreement</w:t>
            </w:r>
          </w:p>
        </w:tc>
        <w:tc>
          <w:tcPr>
            <w:tcW w:w="4245" w:type="dxa"/>
          </w:tcPr>
          <w:p w14:paraId="2C70BE3E" w14:textId="6F5EA1F8" w:rsidR="00893C96" w:rsidRDefault="00893C96" w:rsidP="005C6E59">
            <w:pPr>
              <w:spacing w:after="200" w:line="276" w:lineRule="auto"/>
              <w:rPr>
                <w:rFonts w:cs="Arial"/>
                <w:b/>
                <w:bCs/>
                <w:u w:val="single"/>
              </w:rPr>
            </w:pPr>
            <w:r w:rsidRPr="00AF1F50">
              <w:rPr>
                <w:rFonts w:cs="Arial"/>
                <w:b/>
                <w:bCs/>
                <w:u w:val="single"/>
              </w:rPr>
              <w:t>MA.</w:t>
            </w:r>
            <w:r w:rsidR="008832EB">
              <w:rPr>
                <w:rFonts w:cs="Arial"/>
                <w:b/>
                <w:bCs/>
                <w:u w:val="single"/>
              </w:rPr>
              <w:t>0059</w:t>
            </w:r>
            <w:r>
              <w:rPr>
                <w:rFonts w:cs="Arial"/>
                <w:b/>
                <w:bCs/>
                <w:u w:val="single"/>
              </w:rPr>
              <w:t>:</w:t>
            </w:r>
          </w:p>
          <w:p w14:paraId="1E1D34E2"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61828ADB" w14:textId="77777777" w:rsidR="0084566F" w:rsidRDefault="0084566F" w:rsidP="0084566F">
            <w:pPr>
              <w:tabs>
                <w:tab w:val="center" w:pos="4680"/>
                <w:tab w:val="right" w:pos="9360"/>
              </w:tabs>
              <w:rPr>
                <w:rStyle w:val="Hyperlink"/>
                <w:rFonts w:cs="Arial"/>
                <w:bCs/>
              </w:rPr>
            </w:pPr>
            <w:r>
              <w:rPr>
                <w:rFonts w:cs="Arial"/>
                <w:bCs/>
              </w:rPr>
              <w:fldChar w:fldCharType="end"/>
            </w:r>
          </w:p>
          <w:p w14:paraId="7C3F0B6A" w14:textId="4185B873" w:rsidR="00893C96" w:rsidRPr="00AF1F50" w:rsidRDefault="00B0344A" w:rsidP="005C6E59">
            <w:pPr>
              <w:rPr>
                <w:rFonts w:cs="Arial"/>
                <w:b/>
                <w:bCs/>
                <w:u w:val="single"/>
              </w:rPr>
            </w:pPr>
            <w:hyperlink r:id="rId123"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19A5D8DF" w14:textId="55C821A2" w:rsidR="00893C96" w:rsidRPr="0035351C" w:rsidRDefault="00893C96" w:rsidP="005C6E59">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0A7DA421" w14:textId="335EB383" w:rsidR="00893C96" w:rsidRPr="00AF1F50" w:rsidRDefault="00D62EC0" w:rsidP="005C6E59">
            <w:pPr>
              <w:rPr>
                <w:rFonts w:cs="Arial"/>
                <w:b/>
              </w:rPr>
            </w:pPr>
            <w:r>
              <w:rPr>
                <w:rFonts w:cs="Arial"/>
                <w:bCs/>
              </w:rPr>
              <w:t>Assessment</w:t>
            </w:r>
            <w:r w:rsidR="00EA4C62">
              <w:rPr>
                <w:rFonts w:cs="Arial"/>
                <w:bCs/>
              </w:rPr>
              <w:t>s</w:t>
            </w:r>
            <w:r>
              <w:rPr>
                <w:rFonts w:cs="Arial"/>
                <w:bCs/>
              </w:rPr>
              <w:t xml:space="preserve"> of</w:t>
            </w:r>
            <w:r w:rsidR="00893C96" w:rsidRPr="0035351C">
              <w:rPr>
                <w:rFonts w:cs="Arial"/>
                <w:bCs/>
              </w:rPr>
              <w:t xml:space="preserve"> AFC homes not owned or leased by waiver participants with an unrelated caregiver are </w:t>
            </w:r>
            <w:r w:rsidR="007A0AA1">
              <w:rPr>
                <w:rFonts w:cs="Arial"/>
                <w:bCs/>
              </w:rPr>
              <w:t>underway</w:t>
            </w:r>
            <w:r w:rsidR="00893C96" w:rsidRPr="0035351C">
              <w:rPr>
                <w:rFonts w:cs="Arial"/>
                <w:bCs/>
              </w:rPr>
              <w:t>. These settings will be fully compliant by 3/17/2023.</w:t>
            </w:r>
          </w:p>
        </w:tc>
        <w:tc>
          <w:tcPr>
            <w:tcW w:w="1577" w:type="dxa"/>
          </w:tcPr>
          <w:p w14:paraId="110E338C" w14:textId="77777777" w:rsidR="00893C96" w:rsidRDefault="00893C96" w:rsidP="005C6E59">
            <w:r>
              <w:rPr>
                <w:b/>
                <w:bCs/>
              </w:rPr>
              <w:t>March 2023</w:t>
            </w:r>
          </w:p>
        </w:tc>
      </w:tr>
      <w:tr w:rsidR="00DD1973" w14:paraId="579F71AA" w14:textId="77777777" w:rsidTr="00DD1973">
        <w:trPr>
          <w:cantSplit/>
        </w:trPr>
        <w:tc>
          <w:tcPr>
            <w:tcW w:w="2636" w:type="dxa"/>
          </w:tcPr>
          <w:p w14:paraId="657AD8F1" w14:textId="77777777" w:rsidR="00DD1973" w:rsidRPr="00302741" w:rsidRDefault="00DD1973" w:rsidP="00DD1973">
            <w:pPr>
              <w:rPr>
                <w:rFonts w:cs="Arial"/>
              </w:rPr>
            </w:pPr>
            <w:r w:rsidRPr="00302741">
              <w:rPr>
                <w:rFonts w:cs="Arial"/>
                <w:b/>
                <w:bCs/>
              </w:rPr>
              <w:t>441.301(c)(4)(vi)(B):</w:t>
            </w:r>
            <w:r w:rsidRPr="00302741">
              <w:rPr>
                <w:rFonts w:cs="Arial"/>
              </w:rPr>
              <w:t xml:space="preserve"> </w:t>
            </w:r>
          </w:p>
          <w:p w14:paraId="34E192E8" w14:textId="77777777" w:rsidR="00DD1973" w:rsidRPr="00302741" w:rsidRDefault="00DD1973" w:rsidP="00DD1973">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4245" w:type="dxa"/>
          </w:tcPr>
          <w:p w14:paraId="1AE336C5" w14:textId="77777777" w:rsidR="00DD1973" w:rsidRDefault="00DD1973" w:rsidP="00DD1973">
            <w:pPr>
              <w:pStyle w:val="Header"/>
              <w:rPr>
                <w:rFonts w:cs="Arial"/>
                <w:b/>
                <w:u w:val="single"/>
              </w:rPr>
            </w:pPr>
            <w:r w:rsidRPr="002A60F1">
              <w:rPr>
                <w:rFonts w:cs="Arial"/>
                <w:b/>
                <w:u w:val="single"/>
              </w:rPr>
              <w:t>MA.0059:</w:t>
            </w:r>
          </w:p>
          <w:p w14:paraId="2F87D3BD" w14:textId="77777777" w:rsidR="00696A4B" w:rsidRDefault="00696A4B" w:rsidP="00DD1973">
            <w:pPr>
              <w:pStyle w:val="Header"/>
            </w:pPr>
          </w:p>
          <w:p w14:paraId="19B8F70A" w14:textId="774F128E" w:rsidR="00DD1973" w:rsidRDefault="00B0344A" w:rsidP="00DD1973">
            <w:pPr>
              <w:pStyle w:val="Header"/>
              <w:rPr>
                <w:rFonts w:cs="Arial"/>
              </w:rPr>
            </w:pPr>
            <w:hyperlink r:id="rId124" w:history="1">
              <w:r w:rsidR="00DD1973" w:rsidRPr="005114C8">
                <w:rPr>
                  <w:rStyle w:val="Hyperlink"/>
                  <w:rFonts w:cs="Arial"/>
                </w:rPr>
                <w:t>651 CMR 3.04(3)(b)</w:t>
              </w:r>
            </w:hyperlink>
            <w:r w:rsidR="00DD1973" w:rsidRPr="5E83C6CD">
              <w:rPr>
                <w:rFonts w:cs="Arial"/>
              </w:rPr>
              <w:t xml:space="preserve"> Waiver services are provided to consumers living in community settings that are not waiver service provider owned or controlled.</w:t>
            </w:r>
          </w:p>
          <w:p w14:paraId="27764CA9" w14:textId="77777777" w:rsidR="002845C0" w:rsidRDefault="002845C0" w:rsidP="00DD1973">
            <w:pPr>
              <w:pStyle w:val="Header"/>
              <w:rPr>
                <w:rFonts w:cs="Arial"/>
              </w:rPr>
            </w:pPr>
          </w:p>
          <w:p w14:paraId="246FA4B6" w14:textId="48250F60" w:rsidR="002845C0" w:rsidRPr="002845C0" w:rsidRDefault="00B0344A" w:rsidP="002845C0">
            <w:pPr>
              <w:rPr>
                <w:rFonts w:ascii="Calibri" w:hAnsi="Calibri"/>
              </w:rPr>
            </w:pPr>
            <w:hyperlink r:id="rId125" w:history="1">
              <w:r w:rsidR="002845C0">
                <w:rPr>
                  <w:rStyle w:val="Hyperlink"/>
                </w:rPr>
                <w:t xml:space="preserve">1915 </w:t>
              </w:r>
              <w:r w:rsidR="00E67048">
                <w:rPr>
                  <w:rStyle w:val="Hyperlink"/>
                </w:rPr>
                <w:t>(c)</w:t>
              </w:r>
              <w:r w:rsidR="002845C0">
                <w:rPr>
                  <w:rStyle w:val="Hyperlink"/>
                </w:rPr>
                <w:t xml:space="preserve"> Home and Community Based Services Waiver for Frail Elders Program Guidelines </w:t>
              </w:r>
              <w:r w:rsidR="00696A4B">
                <w:rPr>
                  <w:rStyle w:val="Hyperlink"/>
                </w:rPr>
                <w:t>–</w:t>
              </w:r>
              <w:r w:rsidR="002845C0">
                <w:rPr>
                  <w:rStyle w:val="Hyperlink"/>
                </w:rPr>
                <w:t xml:space="preserve"> Document Library (800ageinfo.com)</w:t>
              </w:r>
            </w:hyperlink>
          </w:p>
          <w:p w14:paraId="4480403E" w14:textId="2272B73E" w:rsidR="00DD1973" w:rsidRPr="000D0C43" w:rsidRDefault="00DD1973" w:rsidP="00DD1973">
            <w:pPr>
              <w:ind w:left="360"/>
              <w:rPr>
                <w:rFonts w:cs="Arial"/>
                <w:b/>
                <w:u w:val="single"/>
              </w:rPr>
            </w:pPr>
          </w:p>
        </w:tc>
        <w:tc>
          <w:tcPr>
            <w:tcW w:w="2188" w:type="dxa"/>
          </w:tcPr>
          <w:p w14:paraId="40121EED" w14:textId="123939E6"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73B7F239" w14:textId="4185BA9A" w:rsidR="00DD1973" w:rsidRPr="00302741" w:rsidRDefault="00DD1973" w:rsidP="00DD1973">
            <w:pPr>
              <w:tabs>
                <w:tab w:val="center" w:pos="4680"/>
                <w:tab w:val="right" w:pos="9360"/>
              </w:tabs>
              <w:rPr>
                <w:rFonts w:cs="Arial"/>
                <w:b/>
              </w:rPr>
            </w:pPr>
            <w:r w:rsidRPr="00833896">
              <w:rPr>
                <w:rFonts w:cs="Arial"/>
              </w:rPr>
              <w:t xml:space="preserve">EOEA </w:t>
            </w:r>
            <w:r w:rsidR="00FE400B">
              <w:rPr>
                <w:rFonts w:cs="Arial"/>
              </w:rPr>
              <w:t>has</w:t>
            </w:r>
            <w:r w:rsidRPr="00833896">
              <w:rPr>
                <w:rFonts w:cs="Arial"/>
              </w:rPr>
              <w:t xml:space="preserve"> updat</w:t>
            </w:r>
            <w:r w:rsidR="00FE400B">
              <w:rPr>
                <w:rFonts w:cs="Arial"/>
              </w:rPr>
              <w:t>ed</w:t>
            </w:r>
            <w:r w:rsidR="00E67048">
              <w:rPr>
                <w:rFonts w:cs="Arial"/>
              </w:rPr>
              <w:t xml:space="preserve"> </w:t>
            </w:r>
            <w:r w:rsidRPr="00833896">
              <w:rPr>
                <w:rFonts w:cs="Arial"/>
              </w:rPr>
              <w:t>and revis</w:t>
            </w:r>
            <w:r w:rsidR="00FE400B">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p>
        </w:tc>
        <w:tc>
          <w:tcPr>
            <w:tcW w:w="1577" w:type="dxa"/>
          </w:tcPr>
          <w:p w14:paraId="64D620B2"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05B1454D" w14:textId="77777777" w:rsidR="00DD1973" w:rsidRDefault="00DD1973" w:rsidP="00DD1973">
            <w:pPr>
              <w:rPr>
                <w:rFonts w:cs="Arial"/>
                <w:b/>
              </w:rPr>
            </w:pPr>
          </w:p>
          <w:p w14:paraId="7CBC5F61" w14:textId="417756DB"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5793AEA2" w14:textId="77777777" w:rsidR="00DD1973" w:rsidRDefault="00DD1973" w:rsidP="00DD1973"/>
        </w:tc>
      </w:tr>
      <w:tr w:rsidR="00DD1973" w14:paraId="52DE1929" w14:textId="77777777" w:rsidTr="00DD1973">
        <w:trPr>
          <w:cantSplit/>
        </w:trPr>
        <w:tc>
          <w:tcPr>
            <w:tcW w:w="2636" w:type="dxa"/>
          </w:tcPr>
          <w:p w14:paraId="1AD8676B" w14:textId="569702FC" w:rsidR="00DD1973" w:rsidRPr="00302741" w:rsidRDefault="00DD1973" w:rsidP="00DD1973">
            <w:pPr>
              <w:rPr>
                <w:rFonts w:cs="Arial"/>
              </w:rPr>
            </w:pPr>
            <w:r w:rsidRPr="00302741">
              <w:rPr>
                <w:rFonts w:cs="Arial"/>
                <w:b/>
                <w:bCs/>
              </w:rPr>
              <w:lastRenderedPageBreak/>
              <w:t>441.301</w:t>
            </w:r>
            <w:r w:rsidR="0066794E">
              <w:rPr>
                <w:rFonts w:cs="Arial"/>
                <w:b/>
                <w:bCs/>
              </w:rPr>
              <w:t>(c)</w:t>
            </w:r>
            <w:r w:rsidRPr="00302741">
              <w:rPr>
                <w:rFonts w:cs="Arial"/>
                <w:b/>
                <w:bCs/>
              </w:rPr>
              <w:t>(4)(vi)(B):</w:t>
            </w:r>
            <w:r w:rsidRPr="00302741">
              <w:rPr>
                <w:rFonts w:cs="Arial"/>
              </w:rPr>
              <w:t xml:space="preserve"> </w:t>
            </w:r>
          </w:p>
          <w:p w14:paraId="7B04337B" w14:textId="77777777" w:rsidR="00DD1973" w:rsidRPr="00302741" w:rsidRDefault="00DD1973" w:rsidP="00DD1973">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4245" w:type="dxa"/>
          </w:tcPr>
          <w:p w14:paraId="1230A579"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09808F78"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40C9C74" w14:textId="77777777" w:rsidR="0084566F" w:rsidRDefault="0084566F" w:rsidP="0084566F">
            <w:pPr>
              <w:tabs>
                <w:tab w:val="center" w:pos="4680"/>
                <w:tab w:val="right" w:pos="9360"/>
              </w:tabs>
              <w:rPr>
                <w:rStyle w:val="Hyperlink"/>
                <w:rFonts w:cs="Arial"/>
                <w:bCs/>
              </w:rPr>
            </w:pPr>
            <w:r>
              <w:rPr>
                <w:rFonts w:cs="Arial"/>
                <w:bCs/>
              </w:rPr>
              <w:fldChar w:fldCharType="end"/>
            </w:r>
          </w:p>
          <w:p w14:paraId="5E1A290A" w14:textId="085C7D8F" w:rsidR="00DD1973" w:rsidRPr="2FD410C2" w:rsidRDefault="00B0344A" w:rsidP="00DD1973">
            <w:pPr>
              <w:rPr>
                <w:rFonts w:cs="Arial"/>
                <w:b/>
                <w:bCs/>
                <w:u w:val="single"/>
              </w:rPr>
            </w:pPr>
            <w:hyperlink r:id="rId126"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2CA54943" w14:textId="244C8DE2"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5BF86701" w14:textId="34A82D05" w:rsidR="00DD1973" w:rsidRPr="00302741" w:rsidRDefault="007A0AA1" w:rsidP="00DD1973">
            <w:pPr>
              <w:rPr>
                <w:rFonts w:cs="Arial"/>
                <w:b/>
              </w:rPr>
            </w:pPr>
            <w:r>
              <w:rPr>
                <w:rFonts w:cs="Arial"/>
                <w:bCs/>
              </w:rPr>
              <w:t>Assessment</w:t>
            </w:r>
            <w:r w:rsidR="00EA4C62">
              <w:rPr>
                <w:rFonts w:cs="Arial"/>
                <w:bCs/>
              </w:rPr>
              <w:t xml:space="preserve">s </w:t>
            </w:r>
            <w:r>
              <w:rPr>
                <w:rFonts w:cs="Arial"/>
                <w:bCs/>
              </w:rPr>
              <w:t>of</w:t>
            </w:r>
            <w:r w:rsidR="00DD1973" w:rsidRPr="0035351C">
              <w:rPr>
                <w:rFonts w:cs="Arial"/>
                <w:bCs/>
              </w:rPr>
              <w:t xml:space="preserve"> AFC homes not owned or leased by waiver participants with an unrelated caregiver are </w:t>
            </w:r>
            <w:r>
              <w:rPr>
                <w:rFonts w:cs="Arial"/>
                <w:bCs/>
              </w:rPr>
              <w:t>underway</w:t>
            </w:r>
            <w:r w:rsidR="00DD1973" w:rsidRPr="0035351C">
              <w:rPr>
                <w:rFonts w:cs="Arial"/>
                <w:bCs/>
              </w:rPr>
              <w:t>. These settings will be fully compliant by 3/17/2023.</w:t>
            </w:r>
          </w:p>
        </w:tc>
        <w:tc>
          <w:tcPr>
            <w:tcW w:w="1577" w:type="dxa"/>
          </w:tcPr>
          <w:p w14:paraId="63947F22" w14:textId="77777777" w:rsidR="00DD1973" w:rsidRDefault="00DD1973" w:rsidP="00DD1973">
            <w:r>
              <w:rPr>
                <w:b/>
                <w:bCs/>
              </w:rPr>
              <w:t>March 2023</w:t>
            </w:r>
          </w:p>
        </w:tc>
      </w:tr>
      <w:tr w:rsidR="00DD1973" w14:paraId="13D96D8D" w14:textId="77777777" w:rsidTr="00DD1973">
        <w:trPr>
          <w:cantSplit/>
        </w:trPr>
        <w:tc>
          <w:tcPr>
            <w:tcW w:w="2636" w:type="dxa"/>
          </w:tcPr>
          <w:p w14:paraId="2D78239F" w14:textId="0B4DFF8E" w:rsidR="00DD1973" w:rsidRPr="00302741" w:rsidRDefault="00DD1973" w:rsidP="00DD1973">
            <w:pPr>
              <w:rPr>
                <w:rFonts w:cs="Arial"/>
              </w:rPr>
            </w:pPr>
            <w:r w:rsidRPr="00302741">
              <w:rPr>
                <w:rFonts w:cs="Arial"/>
                <w:b/>
                <w:bCs/>
              </w:rPr>
              <w:t>441.301</w:t>
            </w:r>
            <w:r w:rsidR="0066794E">
              <w:rPr>
                <w:rFonts w:cs="Arial"/>
                <w:b/>
                <w:bCs/>
              </w:rPr>
              <w:t>(c)</w:t>
            </w:r>
            <w:r w:rsidRPr="00302741">
              <w:rPr>
                <w:rFonts w:cs="Arial"/>
                <w:b/>
                <w:bCs/>
              </w:rPr>
              <w:t>(4)(vi)</w:t>
            </w:r>
            <w:r w:rsidR="0066794E">
              <w:rPr>
                <w:rFonts w:cs="Arial"/>
                <w:b/>
                <w:bCs/>
              </w:rPr>
              <w:t>(C)</w:t>
            </w:r>
            <w:r w:rsidRPr="00302741">
              <w:rPr>
                <w:rFonts w:cs="Arial"/>
                <w:b/>
                <w:bCs/>
              </w:rPr>
              <w:t>:</w:t>
            </w:r>
            <w:r w:rsidRPr="00302741">
              <w:rPr>
                <w:rFonts w:cs="Arial"/>
              </w:rPr>
              <w:t xml:space="preserve"> </w:t>
            </w:r>
          </w:p>
          <w:p w14:paraId="74FB498C" w14:textId="77777777" w:rsidR="00DD1973" w:rsidRPr="00302741" w:rsidRDefault="00DD1973" w:rsidP="00DD1973">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4245" w:type="dxa"/>
          </w:tcPr>
          <w:p w14:paraId="07CF760D" w14:textId="77777777" w:rsidR="00DD1973" w:rsidRPr="002A60F1" w:rsidRDefault="00DD1973" w:rsidP="00DD1973">
            <w:pPr>
              <w:pStyle w:val="Header"/>
              <w:rPr>
                <w:rFonts w:cs="Arial"/>
                <w:b/>
                <w:u w:val="single"/>
              </w:rPr>
            </w:pPr>
            <w:r w:rsidRPr="002A60F1">
              <w:rPr>
                <w:rFonts w:cs="Arial"/>
                <w:b/>
                <w:u w:val="single"/>
              </w:rPr>
              <w:t>MA.0059:</w:t>
            </w:r>
          </w:p>
          <w:p w14:paraId="4DEDDAAD" w14:textId="77777777" w:rsidR="00696A4B" w:rsidRDefault="00696A4B" w:rsidP="00696A4B">
            <w:pPr>
              <w:tabs>
                <w:tab w:val="center" w:pos="4680"/>
                <w:tab w:val="right" w:pos="9360"/>
              </w:tabs>
            </w:pPr>
          </w:p>
          <w:p w14:paraId="1A93F9E2" w14:textId="224BB866" w:rsidR="002845C0" w:rsidRPr="00696A4B" w:rsidRDefault="00B0344A" w:rsidP="00696A4B">
            <w:pPr>
              <w:tabs>
                <w:tab w:val="center" w:pos="4680"/>
                <w:tab w:val="right" w:pos="9360"/>
              </w:tabs>
              <w:rPr>
                <w:rFonts w:cs="Arial"/>
                <w:b/>
                <w:u w:val="single"/>
              </w:rPr>
            </w:pPr>
            <w:hyperlink r:id="rId127" w:history="1">
              <w:r w:rsidR="00DD1973" w:rsidRPr="00696A4B">
                <w:rPr>
                  <w:rStyle w:val="Hyperlink"/>
                  <w:rFonts w:cs="Arial"/>
                </w:rPr>
                <w:t>651 CMR 3.04(3)(b)</w:t>
              </w:r>
            </w:hyperlink>
            <w:r w:rsidR="00DD1973" w:rsidRPr="00696A4B">
              <w:rPr>
                <w:rFonts w:cs="Arial"/>
              </w:rPr>
              <w:t xml:space="preserve"> Waiver services are provided to consumers living in community settings that are not waiver service provider owned or controlled.</w:t>
            </w:r>
          </w:p>
          <w:p w14:paraId="08443CD0" w14:textId="77777777" w:rsidR="00696A4B" w:rsidRDefault="00696A4B" w:rsidP="00696A4B">
            <w:pPr>
              <w:tabs>
                <w:tab w:val="center" w:pos="4680"/>
                <w:tab w:val="right" w:pos="9360"/>
              </w:tabs>
            </w:pPr>
          </w:p>
          <w:p w14:paraId="4C7CF1E6" w14:textId="73FE926C" w:rsidR="002845C0" w:rsidRPr="00696A4B" w:rsidRDefault="00B0344A" w:rsidP="00696A4B">
            <w:pPr>
              <w:tabs>
                <w:tab w:val="center" w:pos="4680"/>
                <w:tab w:val="right" w:pos="9360"/>
              </w:tabs>
              <w:rPr>
                <w:rFonts w:cs="Arial"/>
                <w:b/>
                <w:u w:val="single"/>
              </w:rPr>
            </w:pPr>
            <w:hyperlink r:id="rId128" w:history="1">
              <w:r w:rsidR="002845C0">
                <w:rPr>
                  <w:rStyle w:val="Hyperlink"/>
                </w:rPr>
                <w:t>1915 (c) Home and Community Based Services Waiver for Frail Elders Program Guidelines - Document Library (800ageinfo.com)</w:t>
              </w:r>
            </w:hyperlink>
          </w:p>
        </w:tc>
        <w:tc>
          <w:tcPr>
            <w:tcW w:w="2188" w:type="dxa"/>
          </w:tcPr>
          <w:p w14:paraId="1270BF8C"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7058D600" w14:textId="0C3540DD" w:rsidR="00DD1973" w:rsidRPr="00302741" w:rsidRDefault="00DD1973" w:rsidP="00DD1973">
            <w:pPr>
              <w:tabs>
                <w:tab w:val="center" w:pos="4680"/>
                <w:tab w:val="right" w:pos="9360"/>
              </w:tabs>
              <w:rPr>
                <w:rFonts w:cs="Arial"/>
                <w:b/>
              </w:rPr>
            </w:pPr>
            <w:r w:rsidRPr="00833896">
              <w:rPr>
                <w:rFonts w:cs="Arial"/>
              </w:rPr>
              <w:t xml:space="preserve">EOEA </w:t>
            </w:r>
            <w:r w:rsidR="00AA679A">
              <w:rPr>
                <w:rFonts w:cs="Arial"/>
              </w:rPr>
              <w:t>has</w:t>
            </w:r>
            <w:r w:rsidRPr="00833896">
              <w:rPr>
                <w:rFonts w:cs="Arial"/>
              </w:rPr>
              <w:t xml:space="preserve"> 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p>
        </w:tc>
        <w:tc>
          <w:tcPr>
            <w:tcW w:w="1577" w:type="dxa"/>
          </w:tcPr>
          <w:p w14:paraId="23A865D8"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0E57E03F" w14:textId="77777777" w:rsidR="00DD1973" w:rsidRDefault="00DD1973" w:rsidP="00DD1973">
            <w:pPr>
              <w:rPr>
                <w:rFonts w:cs="Arial"/>
                <w:b/>
              </w:rPr>
            </w:pPr>
          </w:p>
          <w:p w14:paraId="5C427D05" w14:textId="5D5A59C7"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4A755F64" w14:textId="77777777" w:rsidR="00DD1973" w:rsidRDefault="00DD1973" w:rsidP="00DD1973"/>
        </w:tc>
      </w:tr>
      <w:tr w:rsidR="00DD1973" w14:paraId="649F497A" w14:textId="77777777" w:rsidTr="00DD1973">
        <w:trPr>
          <w:cantSplit/>
        </w:trPr>
        <w:tc>
          <w:tcPr>
            <w:tcW w:w="2636" w:type="dxa"/>
          </w:tcPr>
          <w:p w14:paraId="174C751E" w14:textId="77777777" w:rsidR="00DD1973" w:rsidRPr="00302741" w:rsidRDefault="00DD1973" w:rsidP="00DD1973">
            <w:pPr>
              <w:rPr>
                <w:rFonts w:cs="Arial"/>
              </w:rPr>
            </w:pPr>
            <w:r w:rsidRPr="00302741">
              <w:rPr>
                <w:rFonts w:cs="Arial"/>
                <w:b/>
                <w:bCs/>
              </w:rPr>
              <w:t>441.301(c)(4)(vi)(C):</w:t>
            </w:r>
            <w:r w:rsidRPr="00302741">
              <w:rPr>
                <w:rFonts w:cs="Arial"/>
              </w:rPr>
              <w:t xml:space="preserve"> </w:t>
            </w:r>
          </w:p>
          <w:p w14:paraId="6B35D0E5" w14:textId="77777777" w:rsidR="00DD1973" w:rsidRPr="00302741" w:rsidRDefault="00DD1973" w:rsidP="00DD1973">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4245" w:type="dxa"/>
          </w:tcPr>
          <w:p w14:paraId="7F898C8F"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78E01671"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47C9D3C7" w14:textId="77777777" w:rsidR="0084566F" w:rsidRDefault="0084566F" w:rsidP="0084566F">
            <w:pPr>
              <w:tabs>
                <w:tab w:val="center" w:pos="4680"/>
                <w:tab w:val="right" w:pos="9360"/>
              </w:tabs>
              <w:rPr>
                <w:rStyle w:val="Hyperlink"/>
                <w:rFonts w:cs="Arial"/>
                <w:bCs/>
              </w:rPr>
            </w:pPr>
            <w:r>
              <w:rPr>
                <w:rFonts w:cs="Arial"/>
                <w:bCs/>
              </w:rPr>
              <w:fldChar w:fldCharType="end"/>
            </w:r>
          </w:p>
          <w:p w14:paraId="156B3C2C" w14:textId="3F86515C" w:rsidR="00DD1973" w:rsidRPr="00302741" w:rsidRDefault="00B0344A" w:rsidP="00DD1973">
            <w:pPr>
              <w:rPr>
                <w:rFonts w:cs="Arial"/>
                <w:b/>
                <w:bCs/>
                <w:u w:val="single"/>
              </w:rPr>
            </w:pPr>
            <w:hyperlink r:id="rId129"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4DF02C5D" w14:textId="1EBDF2E5"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11E2D776" w14:textId="012FC756" w:rsidR="00DD1973" w:rsidRPr="00302741" w:rsidRDefault="007A0AA1" w:rsidP="00DD1973">
            <w:pPr>
              <w:tabs>
                <w:tab w:val="center" w:pos="4680"/>
                <w:tab w:val="right" w:pos="9360"/>
              </w:tabs>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 </w:t>
            </w:r>
            <w:r>
              <w:rPr>
                <w:rFonts w:cs="Arial"/>
                <w:bCs/>
              </w:rPr>
              <w:t>underway</w:t>
            </w:r>
            <w:r w:rsidR="00DD1973" w:rsidRPr="0035351C">
              <w:rPr>
                <w:rFonts w:cs="Arial"/>
                <w:bCs/>
              </w:rPr>
              <w:t>. These settings will be fully compliant by 3/17/2023.</w:t>
            </w:r>
          </w:p>
        </w:tc>
        <w:tc>
          <w:tcPr>
            <w:tcW w:w="1577" w:type="dxa"/>
          </w:tcPr>
          <w:p w14:paraId="46707E04" w14:textId="77777777" w:rsidR="00DD1973" w:rsidRPr="006C48CB" w:rsidRDefault="00DD1973" w:rsidP="00DD1973">
            <w:r>
              <w:rPr>
                <w:b/>
                <w:bCs/>
              </w:rPr>
              <w:t>March 2023</w:t>
            </w:r>
          </w:p>
        </w:tc>
      </w:tr>
      <w:tr w:rsidR="00DD1973" w14:paraId="24424AFB" w14:textId="77777777" w:rsidTr="00DD1973">
        <w:trPr>
          <w:cantSplit/>
        </w:trPr>
        <w:tc>
          <w:tcPr>
            <w:tcW w:w="2636" w:type="dxa"/>
          </w:tcPr>
          <w:p w14:paraId="4DD2A7FC" w14:textId="77777777" w:rsidR="00DD1973" w:rsidRPr="00302741" w:rsidRDefault="00DD1973" w:rsidP="00DD1973">
            <w:pPr>
              <w:rPr>
                <w:rFonts w:cs="Arial"/>
              </w:rPr>
            </w:pPr>
            <w:r w:rsidRPr="00302741">
              <w:rPr>
                <w:rFonts w:cs="Arial"/>
                <w:b/>
                <w:bCs/>
              </w:rPr>
              <w:lastRenderedPageBreak/>
              <w:t>441.301(c)(4)(vi)(D):</w:t>
            </w:r>
            <w:r w:rsidRPr="00302741">
              <w:rPr>
                <w:rFonts w:cs="Arial"/>
              </w:rPr>
              <w:t xml:space="preserve"> </w:t>
            </w:r>
          </w:p>
          <w:p w14:paraId="25834025" w14:textId="77777777" w:rsidR="00DD1973" w:rsidRPr="00302741" w:rsidRDefault="00DD1973" w:rsidP="00DD1973">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4245" w:type="dxa"/>
          </w:tcPr>
          <w:p w14:paraId="0587AC85" w14:textId="20FEEDEF" w:rsidR="00DD1973" w:rsidRDefault="00DD1973" w:rsidP="00DD1973">
            <w:pPr>
              <w:pStyle w:val="Header"/>
              <w:rPr>
                <w:rFonts w:cs="Arial"/>
                <w:b/>
                <w:u w:val="single"/>
              </w:rPr>
            </w:pPr>
            <w:r w:rsidRPr="002A60F1">
              <w:rPr>
                <w:rFonts w:cs="Arial"/>
                <w:b/>
                <w:u w:val="single"/>
              </w:rPr>
              <w:t>MA.0059:</w:t>
            </w:r>
          </w:p>
          <w:p w14:paraId="6EFAAC6F" w14:textId="77777777" w:rsidR="00696A4B" w:rsidRPr="002A60F1" w:rsidRDefault="00696A4B" w:rsidP="00DD1973">
            <w:pPr>
              <w:pStyle w:val="Header"/>
              <w:rPr>
                <w:rFonts w:cs="Arial"/>
                <w:b/>
                <w:u w:val="single"/>
              </w:rPr>
            </w:pPr>
          </w:p>
          <w:p w14:paraId="10F89752" w14:textId="77777777" w:rsidR="00DD1973" w:rsidRPr="00696A4B" w:rsidRDefault="00B0344A" w:rsidP="00696A4B">
            <w:pPr>
              <w:tabs>
                <w:tab w:val="center" w:pos="4680"/>
                <w:tab w:val="right" w:pos="9360"/>
              </w:tabs>
              <w:rPr>
                <w:rFonts w:cs="Arial"/>
                <w:b/>
                <w:u w:val="single"/>
              </w:rPr>
            </w:pPr>
            <w:hyperlink r:id="rId130" w:history="1">
              <w:r w:rsidR="00DD1973" w:rsidRPr="00696A4B">
                <w:rPr>
                  <w:rStyle w:val="Hyperlink"/>
                  <w:rFonts w:cs="Arial"/>
                </w:rPr>
                <w:t>651 CMR 3.04(3)(b)</w:t>
              </w:r>
            </w:hyperlink>
            <w:r w:rsidR="00DD1973" w:rsidRPr="00696A4B">
              <w:rPr>
                <w:rFonts w:cs="Arial"/>
              </w:rPr>
              <w:t xml:space="preserve"> Waiver services are provided to consumers living in community settings that are not waiver service provider owned or controlled.</w:t>
            </w:r>
          </w:p>
          <w:p w14:paraId="04CFEAA0" w14:textId="6330BD8E" w:rsidR="00696A4B" w:rsidRDefault="00696A4B" w:rsidP="00696A4B">
            <w:pPr>
              <w:tabs>
                <w:tab w:val="center" w:pos="4680"/>
                <w:tab w:val="right" w:pos="9360"/>
              </w:tabs>
              <w:rPr>
                <w:rFonts w:cs="Arial"/>
                <w:b/>
                <w:u w:val="single"/>
              </w:rPr>
            </w:pPr>
          </w:p>
          <w:p w14:paraId="5FE4D5AA" w14:textId="78DBBDCF" w:rsidR="007E0FBA" w:rsidRDefault="00B0344A" w:rsidP="00696A4B">
            <w:pPr>
              <w:tabs>
                <w:tab w:val="center" w:pos="4680"/>
                <w:tab w:val="right" w:pos="9360"/>
              </w:tabs>
            </w:pPr>
            <w:hyperlink r:id="rId131" w:history="1">
              <w:r w:rsidR="007E0FBA">
                <w:rPr>
                  <w:rStyle w:val="Hyperlink"/>
                </w:rPr>
                <w:t>1915 (c) Home and Community Based Services Waiver for Frail Elders Program Guidelines - Document Library (800ageinfo.com)</w:t>
              </w:r>
            </w:hyperlink>
          </w:p>
          <w:p w14:paraId="3CCF5CFC" w14:textId="253EB349" w:rsidR="00DC53DA" w:rsidRPr="00696A4B" w:rsidRDefault="00DC53DA" w:rsidP="00696A4B">
            <w:pPr>
              <w:tabs>
                <w:tab w:val="center" w:pos="4680"/>
                <w:tab w:val="right" w:pos="9360"/>
              </w:tabs>
              <w:rPr>
                <w:rFonts w:cs="Arial"/>
                <w:b/>
                <w:u w:val="single"/>
              </w:rPr>
            </w:pPr>
          </w:p>
        </w:tc>
        <w:tc>
          <w:tcPr>
            <w:tcW w:w="2188" w:type="dxa"/>
          </w:tcPr>
          <w:p w14:paraId="3E23FBA1"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44E9B5C4" w14:textId="6AD5C78E" w:rsidR="00DD1973" w:rsidRPr="00302741" w:rsidRDefault="00DD1973" w:rsidP="00DD1973">
            <w:pPr>
              <w:tabs>
                <w:tab w:val="center" w:pos="4680"/>
                <w:tab w:val="right" w:pos="9360"/>
              </w:tabs>
              <w:rPr>
                <w:rFonts w:cs="Arial"/>
                <w:b/>
              </w:rPr>
            </w:pPr>
            <w:r w:rsidRPr="00833896">
              <w:rPr>
                <w:rFonts w:cs="Arial"/>
              </w:rPr>
              <w:t xml:space="preserve">EOEA </w:t>
            </w:r>
            <w:r w:rsidR="00AA679A">
              <w:rPr>
                <w:rFonts w:cs="Arial"/>
              </w:rPr>
              <w:t xml:space="preserve">has </w:t>
            </w:r>
            <w:r w:rsidRPr="00833896">
              <w:rPr>
                <w:rFonts w:cs="Arial"/>
              </w:rPr>
              <w:t>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r>
              <w:rPr>
                <w:rFonts w:cs="Arial"/>
              </w:rPr>
              <w:t xml:space="preserve"> </w:t>
            </w:r>
          </w:p>
        </w:tc>
        <w:tc>
          <w:tcPr>
            <w:tcW w:w="1577" w:type="dxa"/>
          </w:tcPr>
          <w:p w14:paraId="43E1DE19"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4B123EEC" w14:textId="77777777" w:rsidR="00DD1973" w:rsidRDefault="00DD1973" w:rsidP="00DD1973">
            <w:pPr>
              <w:rPr>
                <w:rFonts w:cs="Arial"/>
                <w:b/>
              </w:rPr>
            </w:pPr>
          </w:p>
          <w:p w14:paraId="1604B569" w14:textId="6FCF93D9"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05E10325" w14:textId="77777777" w:rsidR="00DD1973" w:rsidRPr="00866453" w:rsidRDefault="00DD1973" w:rsidP="00DD1973">
            <w:pPr>
              <w:rPr>
                <w:b/>
                <w:bCs/>
              </w:rPr>
            </w:pPr>
          </w:p>
        </w:tc>
      </w:tr>
      <w:tr w:rsidR="00DD1973" w14:paraId="22FBE69B" w14:textId="77777777" w:rsidTr="00DD1973">
        <w:trPr>
          <w:cantSplit/>
        </w:trPr>
        <w:tc>
          <w:tcPr>
            <w:tcW w:w="2636" w:type="dxa"/>
          </w:tcPr>
          <w:p w14:paraId="1E433CED" w14:textId="77777777" w:rsidR="00DD1973" w:rsidRPr="00302741" w:rsidRDefault="00DD1973" w:rsidP="00DD1973">
            <w:pPr>
              <w:rPr>
                <w:rFonts w:cs="Arial"/>
              </w:rPr>
            </w:pPr>
            <w:r w:rsidRPr="00302741">
              <w:rPr>
                <w:rFonts w:cs="Arial"/>
                <w:b/>
                <w:bCs/>
              </w:rPr>
              <w:t>441.301(c)(4)(vi)(D):</w:t>
            </w:r>
            <w:r w:rsidRPr="00302741">
              <w:rPr>
                <w:rFonts w:cs="Arial"/>
              </w:rPr>
              <w:t xml:space="preserve"> </w:t>
            </w:r>
          </w:p>
          <w:p w14:paraId="14851D5A" w14:textId="77777777" w:rsidR="00DD1973" w:rsidRPr="00302741" w:rsidRDefault="00DD1973" w:rsidP="00DD1973">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4245" w:type="dxa"/>
          </w:tcPr>
          <w:p w14:paraId="2C10FD91"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14481B6A"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D505D1E" w14:textId="77777777" w:rsidR="0084566F" w:rsidRDefault="0084566F" w:rsidP="0084566F">
            <w:pPr>
              <w:tabs>
                <w:tab w:val="center" w:pos="4680"/>
                <w:tab w:val="right" w:pos="9360"/>
              </w:tabs>
              <w:rPr>
                <w:rStyle w:val="Hyperlink"/>
                <w:rFonts w:cs="Arial"/>
                <w:bCs/>
              </w:rPr>
            </w:pPr>
            <w:r>
              <w:rPr>
                <w:rFonts w:cs="Arial"/>
                <w:bCs/>
              </w:rPr>
              <w:fldChar w:fldCharType="end"/>
            </w:r>
          </w:p>
          <w:p w14:paraId="5E332CAE" w14:textId="48491120" w:rsidR="00DD1973" w:rsidRPr="2FD410C2" w:rsidRDefault="00B0344A" w:rsidP="00DD1973">
            <w:pPr>
              <w:rPr>
                <w:rFonts w:cs="Arial"/>
                <w:b/>
                <w:bCs/>
                <w:u w:val="single"/>
              </w:rPr>
            </w:pPr>
            <w:hyperlink r:id="rId132"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6C45EB38" w14:textId="0FCEEB97"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515DC5A5" w14:textId="7BC06416" w:rsidR="00DD1973" w:rsidRPr="00302741" w:rsidRDefault="007A0AA1" w:rsidP="00DD1973">
            <w:pPr>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w:t>
            </w:r>
            <w:r>
              <w:rPr>
                <w:rFonts w:cs="Arial"/>
                <w:bCs/>
              </w:rPr>
              <w:t xml:space="preserve"> underway</w:t>
            </w:r>
            <w:r w:rsidR="00DD1973" w:rsidRPr="0035351C">
              <w:rPr>
                <w:rFonts w:cs="Arial"/>
                <w:bCs/>
              </w:rPr>
              <w:t>. These settings will be fully compliant by 3/17/2023.</w:t>
            </w:r>
          </w:p>
        </w:tc>
        <w:tc>
          <w:tcPr>
            <w:tcW w:w="1577" w:type="dxa"/>
          </w:tcPr>
          <w:p w14:paraId="15741FFD" w14:textId="77777777" w:rsidR="00DD1973" w:rsidRDefault="00DD1973" w:rsidP="00DD1973">
            <w:r>
              <w:rPr>
                <w:b/>
                <w:bCs/>
              </w:rPr>
              <w:t>March 2023</w:t>
            </w:r>
          </w:p>
        </w:tc>
      </w:tr>
      <w:tr w:rsidR="00DD1973" w14:paraId="72256F44" w14:textId="77777777" w:rsidTr="00DD1973">
        <w:trPr>
          <w:cantSplit/>
        </w:trPr>
        <w:tc>
          <w:tcPr>
            <w:tcW w:w="2636" w:type="dxa"/>
          </w:tcPr>
          <w:p w14:paraId="34CA9CE7" w14:textId="77777777" w:rsidR="00DD1973" w:rsidRPr="00302741" w:rsidRDefault="00DD1973" w:rsidP="00DD1973">
            <w:pPr>
              <w:rPr>
                <w:rFonts w:cs="Arial"/>
              </w:rPr>
            </w:pPr>
            <w:r w:rsidRPr="00302741">
              <w:rPr>
                <w:rFonts w:cs="Arial"/>
                <w:b/>
                <w:bCs/>
              </w:rPr>
              <w:t>441.301(c)(4)(vi)(E):</w:t>
            </w:r>
            <w:r w:rsidRPr="00302741">
              <w:rPr>
                <w:rFonts w:cs="Arial"/>
              </w:rPr>
              <w:t xml:space="preserve"> </w:t>
            </w:r>
          </w:p>
          <w:p w14:paraId="5BF22687" w14:textId="77777777" w:rsidR="00DD1973" w:rsidRPr="00302741" w:rsidRDefault="00DD1973" w:rsidP="00DD1973">
            <w:pPr>
              <w:rPr>
                <w:rFonts w:cs="Arial"/>
                <w:b/>
                <w:bCs/>
              </w:rPr>
            </w:pPr>
            <w:r w:rsidRPr="00302741">
              <w:rPr>
                <w:rFonts w:cs="Arial"/>
              </w:rPr>
              <w:t>The setting is physically accessible to the individual</w:t>
            </w:r>
          </w:p>
        </w:tc>
        <w:tc>
          <w:tcPr>
            <w:tcW w:w="4245" w:type="dxa"/>
          </w:tcPr>
          <w:p w14:paraId="1C6CC3D2" w14:textId="1ECC9050" w:rsidR="00DD1973" w:rsidRDefault="00DD1973" w:rsidP="00DD1973">
            <w:pPr>
              <w:pStyle w:val="Header"/>
              <w:rPr>
                <w:rFonts w:cs="Arial"/>
                <w:b/>
                <w:u w:val="single"/>
              </w:rPr>
            </w:pPr>
            <w:r w:rsidRPr="002A60F1">
              <w:rPr>
                <w:rFonts w:cs="Arial"/>
                <w:b/>
                <w:u w:val="single"/>
              </w:rPr>
              <w:t>MA.0059:</w:t>
            </w:r>
          </w:p>
          <w:p w14:paraId="28C90B54" w14:textId="77777777" w:rsidR="007E0FBA" w:rsidRPr="002A60F1" w:rsidRDefault="007E0FBA" w:rsidP="00DD1973">
            <w:pPr>
              <w:pStyle w:val="Header"/>
              <w:rPr>
                <w:rFonts w:cs="Arial"/>
                <w:b/>
                <w:u w:val="single"/>
              </w:rPr>
            </w:pPr>
          </w:p>
          <w:p w14:paraId="63E94C21" w14:textId="77777777" w:rsidR="00DD1973" w:rsidRDefault="00B0344A" w:rsidP="00DD1973">
            <w:pPr>
              <w:tabs>
                <w:tab w:val="center" w:pos="4680"/>
                <w:tab w:val="right" w:pos="9360"/>
              </w:tabs>
              <w:rPr>
                <w:rFonts w:cs="Arial"/>
              </w:rPr>
            </w:pPr>
            <w:hyperlink r:id="rId133" w:history="1">
              <w:r w:rsidR="00DD1973" w:rsidRPr="003F6E44">
                <w:rPr>
                  <w:rStyle w:val="Hyperlink"/>
                  <w:rFonts w:cs="Arial"/>
                </w:rPr>
                <w:t>651 CMR 3.04(3)(b)</w:t>
              </w:r>
            </w:hyperlink>
            <w:r w:rsidR="00DD1973" w:rsidRPr="5E83C6CD">
              <w:rPr>
                <w:rFonts w:cs="Arial"/>
              </w:rPr>
              <w:t xml:space="preserve"> Waiver services are provided to consumers living in community settings that are not waiver service provider owned or controlled.</w:t>
            </w:r>
          </w:p>
          <w:p w14:paraId="7C71EF1E" w14:textId="77777777" w:rsidR="00DC53DA" w:rsidRDefault="00DC53DA" w:rsidP="00DD1973">
            <w:pPr>
              <w:tabs>
                <w:tab w:val="center" w:pos="4680"/>
                <w:tab w:val="right" w:pos="9360"/>
              </w:tabs>
              <w:rPr>
                <w:rFonts w:cs="Arial"/>
                <w:b/>
                <w:u w:val="single"/>
              </w:rPr>
            </w:pPr>
          </w:p>
          <w:p w14:paraId="0A590874" w14:textId="0DC33676" w:rsidR="00DC53DA" w:rsidRPr="00DC53DA" w:rsidRDefault="00B0344A" w:rsidP="00DC53DA">
            <w:pPr>
              <w:rPr>
                <w:rFonts w:ascii="Calibri" w:hAnsi="Calibri"/>
              </w:rPr>
            </w:pPr>
            <w:hyperlink r:id="rId134" w:history="1">
              <w:r w:rsidR="00DC53DA">
                <w:rPr>
                  <w:rStyle w:val="Hyperlink"/>
                </w:rPr>
                <w:t>1915 (c) Home and Community Based Services Waiver for Frail Elders Program Guidelines - Document Library (800ageinfo.com)</w:t>
              </w:r>
            </w:hyperlink>
          </w:p>
        </w:tc>
        <w:tc>
          <w:tcPr>
            <w:tcW w:w="2188" w:type="dxa"/>
          </w:tcPr>
          <w:p w14:paraId="3D5661FF"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5CEC13DC" w14:textId="6C0CCE76" w:rsidR="00DD1973" w:rsidRPr="00302741" w:rsidRDefault="00DD1973" w:rsidP="00DD1973">
            <w:pPr>
              <w:rPr>
                <w:rFonts w:cs="Arial"/>
                <w:b/>
              </w:rPr>
            </w:pPr>
            <w:r w:rsidRPr="00833896">
              <w:rPr>
                <w:rFonts w:cs="Arial"/>
              </w:rPr>
              <w:t xml:space="preserve">EOEA </w:t>
            </w:r>
            <w:r w:rsidR="00AA679A">
              <w:rPr>
                <w:rFonts w:cs="Arial"/>
              </w:rPr>
              <w:t xml:space="preserve">has </w:t>
            </w:r>
            <w:r w:rsidRPr="00833896">
              <w:rPr>
                <w:rFonts w:cs="Arial"/>
              </w:rPr>
              <w:t>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r>
              <w:rPr>
                <w:rFonts w:cs="Arial"/>
              </w:rPr>
              <w:t xml:space="preserve"> </w:t>
            </w:r>
          </w:p>
        </w:tc>
        <w:tc>
          <w:tcPr>
            <w:tcW w:w="1577" w:type="dxa"/>
          </w:tcPr>
          <w:p w14:paraId="30A3AAAC"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11D74EC5" w14:textId="77777777" w:rsidR="00DD1973" w:rsidRDefault="00DD1973" w:rsidP="00DD1973">
            <w:pPr>
              <w:rPr>
                <w:rFonts w:cs="Arial"/>
                <w:b/>
              </w:rPr>
            </w:pPr>
          </w:p>
          <w:p w14:paraId="0BF59D95" w14:textId="42B2BA77"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70799726" w14:textId="77777777" w:rsidR="00DD1973" w:rsidRDefault="00DD1973" w:rsidP="00DD1973">
            <w:pPr>
              <w:rPr>
                <w:rFonts w:cs="Arial"/>
                <w:b/>
              </w:rPr>
            </w:pPr>
          </w:p>
          <w:p w14:paraId="03A87F39" w14:textId="77777777" w:rsidR="00DD1973" w:rsidRPr="00866453" w:rsidRDefault="00DD1973" w:rsidP="00DD1973">
            <w:pPr>
              <w:rPr>
                <w:b/>
                <w:bCs/>
              </w:rPr>
            </w:pPr>
          </w:p>
        </w:tc>
      </w:tr>
      <w:tr w:rsidR="00DD1973" w14:paraId="26D3CC4D" w14:textId="77777777" w:rsidTr="00DD1973">
        <w:trPr>
          <w:cantSplit/>
        </w:trPr>
        <w:tc>
          <w:tcPr>
            <w:tcW w:w="2636" w:type="dxa"/>
          </w:tcPr>
          <w:p w14:paraId="212A816F" w14:textId="77777777" w:rsidR="00DD1973" w:rsidRPr="00302741" w:rsidRDefault="00DD1973" w:rsidP="00DD1973">
            <w:pPr>
              <w:rPr>
                <w:rFonts w:cs="Arial"/>
              </w:rPr>
            </w:pPr>
            <w:r w:rsidRPr="00302741">
              <w:rPr>
                <w:rFonts w:cs="Arial"/>
                <w:b/>
                <w:bCs/>
              </w:rPr>
              <w:lastRenderedPageBreak/>
              <w:t>441.301(c)(4)(vi)(E):</w:t>
            </w:r>
            <w:r w:rsidRPr="00302741">
              <w:rPr>
                <w:rFonts w:cs="Arial"/>
              </w:rPr>
              <w:t xml:space="preserve"> </w:t>
            </w:r>
          </w:p>
          <w:p w14:paraId="76B4515E" w14:textId="77777777" w:rsidR="00DD1973" w:rsidRPr="00302741" w:rsidRDefault="00DD1973" w:rsidP="00DD1973">
            <w:pPr>
              <w:rPr>
                <w:rFonts w:cs="Arial"/>
                <w:b/>
                <w:bCs/>
              </w:rPr>
            </w:pPr>
            <w:r w:rsidRPr="00302741">
              <w:rPr>
                <w:rFonts w:cs="Arial"/>
              </w:rPr>
              <w:t>The setting is physically accessible to the individual</w:t>
            </w:r>
          </w:p>
        </w:tc>
        <w:tc>
          <w:tcPr>
            <w:tcW w:w="4245" w:type="dxa"/>
          </w:tcPr>
          <w:p w14:paraId="4A1C491C"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760C90DD"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5B1E60A0" w14:textId="77777777" w:rsidR="0084566F" w:rsidRDefault="0084566F" w:rsidP="0084566F">
            <w:pPr>
              <w:tabs>
                <w:tab w:val="center" w:pos="4680"/>
                <w:tab w:val="right" w:pos="9360"/>
              </w:tabs>
              <w:rPr>
                <w:rStyle w:val="Hyperlink"/>
                <w:rFonts w:cs="Arial"/>
                <w:bCs/>
              </w:rPr>
            </w:pPr>
            <w:r>
              <w:rPr>
                <w:rFonts w:cs="Arial"/>
                <w:bCs/>
              </w:rPr>
              <w:fldChar w:fldCharType="end"/>
            </w:r>
          </w:p>
          <w:p w14:paraId="3AFD8C5F" w14:textId="22FD5FC7" w:rsidR="00DD1973" w:rsidRPr="00302741" w:rsidRDefault="00B0344A" w:rsidP="00DD1973">
            <w:pPr>
              <w:rPr>
                <w:rFonts w:cs="Arial"/>
                <w:b/>
                <w:bCs/>
                <w:u w:val="single"/>
              </w:rPr>
            </w:pPr>
            <w:hyperlink r:id="rId135"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2BFEF427" w14:textId="08F66A80"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6EE93543" w14:textId="74CF3C39" w:rsidR="00DD1973" w:rsidRPr="00302741" w:rsidRDefault="007A0AA1" w:rsidP="00DD1973">
            <w:pPr>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w:t>
            </w:r>
            <w:r>
              <w:rPr>
                <w:rFonts w:cs="Arial"/>
                <w:bCs/>
              </w:rPr>
              <w:t xml:space="preserve"> underway</w:t>
            </w:r>
            <w:r w:rsidR="00DD1973" w:rsidRPr="0035351C">
              <w:rPr>
                <w:rFonts w:cs="Arial"/>
                <w:bCs/>
              </w:rPr>
              <w:t>. These settings will be fully compliant by 3/17/2023.</w:t>
            </w:r>
          </w:p>
        </w:tc>
        <w:tc>
          <w:tcPr>
            <w:tcW w:w="1577" w:type="dxa"/>
          </w:tcPr>
          <w:p w14:paraId="03AD34EB" w14:textId="77777777" w:rsidR="00DD1973" w:rsidRPr="006C48CB" w:rsidRDefault="00DD1973" w:rsidP="00DD1973">
            <w:r>
              <w:rPr>
                <w:b/>
                <w:bCs/>
              </w:rPr>
              <w:t>March 2023</w:t>
            </w:r>
          </w:p>
        </w:tc>
      </w:tr>
      <w:tr w:rsidR="00DD1973" w14:paraId="7C8AB85F" w14:textId="77777777" w:rsidTr="00DD1973">
        <w:trPr>
          <w:cantSplit/>
        </w:trPr>
        <w:tc>
          <w:tcPr>
            <w:tcW w:w="2636" w:type="dxa"/>
          </w:tcPr>
          <w:p w14:paraId="265170E7" w14:textId="77777777" w:rsidR="00DD1973" w:rsidRPr="005911C9" w:rsidRDefault="00DD1973" w:rsidP="00DD1973">
            <w:pPr>
              <w:spacing w:after="200" w:line="276" w:lineRule="auto"/>
              <w:rPr>
                <w:rFonts w:cs="Arial"/>
                <w:b/>
                <w:bCs/>
              </w:rPr>
            </w:pPr>
            <w:r w:rsidRPr="005911C9">
              <w:rPr>
                <w:rFonts w:cs="Arial"/>
                <w:b/>
                <w:bCs/>
              </w:rPr>
              <w:t xml:space="preserve">441.301(c)(4)(vi)(F): </w:t>
            </w:r>
          </w:p>
          <w:p w14:paraId="1D6519F9" w14:textId="77777777" w:rsidR="00DD1973" w:rsidRPr="00302741" w:rsidRDefault="00DD1973" w:rsidP="00DD1973">
            <w:pPr>
              <w:rPr>
                <w:rFonts w:cs="Arial"/>
                <w:b/>
                <w:bCs/>
              </w:rPr>
            </w:pPr>
            <w:r w:rsidRPr="005911C9">
              <w:rPr>
                <w:rFonts w:cs="Arial"/>
              </w:rPr>
              <w:t>Modifications must be supported by a specific assessed need and justified in PCP</w:t>
            </w:r>
          </w:p>
        </w:tc>
        <w:tc>
          <w:tcPr>
            <w:tcW w:w="4245" w:type="dxa"/>
          </w:tcPr>
          <w:p w14:paraId="05945B0A" w14:textId="4D4639E9" w:rsidR="00DD1973" w:rsidRDefault="00DD1973" w:rsidP="00DD1973">
            <w:pPr>
              <w:pStyle w:val="Header"/>
              <w:rPr>
                <w:rFonts w:cs="Arial"/>
                <w:b/>
                <w:u w:val="single"/>
              </w:rPr>
            </w:pPr>
            <w:r w:rsidRPr="002A60F1">
              <w:rPr>
                <w:rFonts w:cs="Arial"/>
                <w:b/>
                <w:u w:val="single"/>
              </w:rPr>
              <w:t>MA.0059:</w:t>
            </w:r>
          </w:p>
          <w:p w14:paraId="1A288C5E" w14:textId="77777777" w:rsidR="007E0FBA" w:rsidRPr="002A60F1" w:rsidRDefault="007E0FBA" w:rsidP="00DD1973">
            <w:pPr>
              <w:pStyle w:val="Header"/>
              <w:rPr>
                <w:rFonts w:cs="Arial"/>
                <w:b/>
                <w:u w:val="single"/>
              </w:rPr>
            </w:pPr>
          </w:p>
          <w:p w14:paraId="2CFED8AC" w14:textId="77777777" w:rsidR="00DD1973" w:rsidRPr="007E0FBA" w:rsidRDefault="00B0344A" w:rsidP="007E0FBA">
            <w:pPr>
              <w:tabs>
                <w:tab w:val="center" w:pos="4680"/>
                <w:tab w:val="right" w:pos="9360"/>
              </w:tabs>
              <w:rPr>
                <w:rFonts w:cs="Arial"/>
                <w:b/>
                <w:u w:val="single"/>
              </w:rPr>
            </w:pPr>
            <w:hyperlink r:id="rId136" w:history="1">
              <w:r w:rsidR="00DD1973" w:rsidRPr="007E0FBA">
                <w:rPr>
                  <w:rStyle w:val="Hyperlink"/>
                  <w:rFonts w:cs="Arial"/>
                </w:rPr>
                <w:t>651 CMR 3.04(3)(b)</w:t>
              </w:r>
            </w:hyperlink>
            <w:r w:rsidR="00DD1973" w:rsidRPr="007E0FBA">
              <w:rPr>
                <w:rFonts w:cs="Arial"/>
              </w:rPr>
              <w:t xml:space="preserve"> Waiver services are provided to consumers living in community settings that are not waiver service provider owned or controlled.</w:t>
            </w:r>
          </w:p>
          <w:p w14:paraId="2B36E507" w14:textId="4E04796A" w:rsidR="007E0FBA" w:rsidRDefault="007E0FBA" w:rsidP="007E0FBA">
            <w:pPr>
              <w:tabs>
                <w:tab w:val="center" w:pos="4680"/>
                <w:tab w:val="right" w:pos="9360"/>
              </w:tabs>
              <w:rPr>
                <w:rFonts w:cs="Arial"/>
                <w:b/>
                <w:u w:val="single"/>
              </w:rPr>
            </w:pPr>
          </w:p>
          <w:p w14:paraId="1CB2C907" w14:textId="44F85DB7" w:rsidR="007E0FBA" w:rsidRDefault="00B0344A" w:rsidP="007E0FBA">
            <w:pPr>
              <w:tabs>
                <w:tab w:val="center" w:pos="4680"/>
                <w:tab w:val="right" w:pos="9360"/>
              </w:tabs>
              <w:rPr>
                <w:rFonts w:cs="Arial"/>
                <w:b/>
                <w:u w:val="single"/>
              </w:rPr>
            </w:pPr>
            <w:hyperlink r:id="rId137" w:history="1">
              <w:r w:rsidR="007E0FBA">
                <w:rPr>
                  <w:rStyle w:val="Hyperlink"/>
                </w:rPr>
                <w:t>1915 (c) Home and Community Based Services Waiver for Frail Elders Program Guidelines - Document Library (800ageinfo.com)</w:t>
              </w:r>
            </w:hyperlink>
          </w:p>
          <w:p w14:paraId="5C730E4C" w14:textId="77777777" w:rsidR="007E0FBA" w:rsidRDefault="007E0FBA" w:rsidP="007E0FBA">
            <w:pPr>
              <w:tabs>
                <w:tab w:val="center" w:pos="4680"/>
                <w:tab w:val="right" w:pos="9360"/>
              </w:tabs>
              <w:rPr>
                <w:rFonts w:cs="Arial"/>
                <w:b/>
                <w:u w:val="single"/>
              </w:rPr>
            </w:pPr>
          </w:p>
          <w:p w14:paraId="152D9AD6" w14:textId="073002BC" w:rsidR="002E6BA4" w:rsidRPr="007E0FBA" w:rsidRDefault="002E6BA4" w:rsidP="007E0FBA">
            <w:pPr>
              <w:tabs>
                <w:tab w:val="center" w:pos="4680"/>
                <w:tab w:val="right" w:pos="9360"/>
              </w:tabs>
              <w:rPr>
                <w:rFonts w:cs="Arial"/>
                <w:b/>
                <w:u w:val="single"/>
              </w:rPr>
            </w:pPr>
          </w:p>
        </w:tc>
        <w:tc>
          <w:tcPr>
            <w:tcW w:w="2188" w:type="dxa"/>
          </w:tcPr>
          <w:p w14:paraId="1037010A"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1B49262B" w14:textId="0149F8D0" w:rsidR="00DD1973" w:rsidRPr="00302741" w:rsidRDefault="00DD1973" w:rsidP="00DD1973">
            <w:pPr>
              <w:rPr>
                <w:rFonts w:cs="Arial"/>
                <w:b/>
              </w:rPr>
            </w:pPr>
            <w:r w:rsidRPr="00833896">
              <w:rPr>
                <w:rFonts w:cs="Arial"/>
              </w:rPr>
              <w:t xml:space="preserve">EOEA </w:t>
            </w:r>
            <w:r w:rsidR="00AA679A">
              <w:rPr>
                <w:rFonts w:cs="Arial"/>
              </w:rPr>
              <w:t>has</w:t>
            </w:r>
            <w:r w:rsidRPr="00833896">
              <w:rPr>
                <w:rFonts w:cs="Arial"/>
              </w:rPr>
              <w:t xml:space="preserve"> 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p>
        </w:tc>
        <w:tc>
          <w:tcPr>
            <w:tcW w:w="1577" w:type="dxa"/>
          </w:tcPr>
          <w:p w14:paraId="205156C8"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6B7AF9B7" w14:textId="77777777" w:rsidR="00DD1973" w:rsidRDefault="00DD1973" w:rsidP="00DD1973">
            <w:pPr>
              <w:rPr>
                <w:rFonts w:cs="Arial"/>
                <w:b/>
              </w:rPr>
            </w:pPr>
          </w:p>
          <w:p w14:paraId="67CAD11F" w14:textId="24676721"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6AC584FA" w14:textId="77777777" w:rsidR="00DD1973" w:rsidRDefault="00DD1973" w:rsidP="00DD1973">
            <w:pPr>
              <w:rPr>
                <w:rFonts w:cs="Arial"/>
                <w:b/>
              </w:rPr>
            </w:pPr>
          </w:p>
          <w:p w14:paraId="2DC29C4A" w14:textId="77777777" w:rsidR="00DD1973" w:rsidRDefault="00DD1973" w:rsidP="00DD1973">
            <w:pPr>
              <w:rPr>
                <w:rFonts w:cs="Arial"/>
                <w:b/>
              </w:rPr>
            </w:pPr>
          </w:p>
          <w:p w14:paraId="1DF28951" w14:textId="77777777" w:rsidR="00DD1973" w:rsidRPr="005911C9" w:rsidRDefault="00DD1973" w:rsidP="00DD1973"/>
        </w:tc>
      </w:tr>
      <w:tr w:rsidR="00DD1973" w14:paraId="50294E55" w14:textId="77777777" w:rsidTr="00DD1973">
        <w:trPr>
          <w:cantSplit/>
        </w:trPr>
        <w:tc>
          <w:tcPr>
            <w:tcW w:w="2636" w:type="dxa"/>
          </w:tcPr>
          <w:p w14:paraId="70D00D71" w14:textId="77777777" w:rsidR="00DD1973" w:rsidRPr="005911C9" w:rsidRDefault="00DD1973" w:rsidP="00DD1973">
            <w:pPr>
              <w:spacing w:after="200" w:line="276" w:lineRule="auto"/>
              <w:rPr>
                <w:rFonts w:cs="Arial"/>
                <w:b/>
                <w:bCs/>
              </w:rPr>
            </w:pPr>
            <w:r w:rsidRPr="005911C9">
              <w:rPr>
                <w:rFonts w:cs="Arial"/>
                <w:b/>
                <w:bCs/>
              </w:rPr>
              <w:t xml:space="preserve">441.301(c)(4)(vi)(F): </w:t>
            </w:r>
          </w:p>
          <w:p w14:paraId="78A0AED8" w14:textId="77777777" w:rsidR="00DD1973" w:rsidRPr="005911C9" w:rsidRDefault="00DD1973" w:rsidP="00DD1973">
            <w:pPr>
              <w:rPr>
                <w:rFonts w:cs="Arial"/>
                <w:b/>
                <w:bCs/>
              </w:rPr>
            </w:pPr>
            <w:r w:rsidRPr="005911C9">
              <w:rPr>
                <w:rFonts w:cs="Arial"/>
              </w:rPr>
              <w:t>Modifications must be supported by a specific assessed need and justified in PCP</w:t>
            </w:r>
          </w:p>
        </w:tc>
        <w:tc>
          <w:tcPr>
            <w:tcW w:w="4245" w:type="dxa"/>
          </w:tcPr>
          <w:p w14:paraId="29B34FB4"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603859BB"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6CD74EB2" w14:textId="77777777" w:rsidR="0084566F" w:rsidRDefault="0084566F" w:rsidP="0084566F">
            <w:pPr>
              <w:tabs>
                <w:tab w:val="center" w:pos="4680"/>
                <w:tab w:val="right" w:pos="9360"/>
              </w:tabs>
              <w:rPr>
                <w:rStyle w:val="Hyperlink"/>
                <w:rFonts w:cs="Arial"/>
                <w:bCs/>
              </w:rPr>
            </w:pPr>
            <w:r>
              <w:rPr>
                <w:rFonts w:cs="Arial"/>
                <w:bCs/>
              </w:rPr>
              <w:fldChar w:fldCharType="end"/>
            </w:r>
          </w:p>
          <w:p w14:paraId="5DE6EB3B" w14:textId="2A2965AE" w:rsidR="00DD1973" w:rsidRPr="00302741" w:rsidRDefault="00B0344A" w:rsidP="00DD1973">
            <w:pPr>
              <w:rPr>
                <w:rFonts w:cs="Arial"/>
                <w:b/>
                <w:bCs/>
                <w:u w:val="single"/>
              </w:rPr>
            </w:pPr>
            <w:hyperlink r:id="rId138"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7EDB2879" w14:textId="758C805E"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8AC9554" w14:textId="4310257F" w:rsidR="00DD1973" w:rsidRPr="00302741" w:rsidRDefault="007A0AA1" w:rsidP="00DD1973">
            <w:pPr>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w:t>
            </w:r>
            <w:r>
              <w:rPr>
                <w:rFonts w:cs="Arial"/>
                <w:bCs/>
              </w:rPr>
              <w:t xml:space="preserve"> underway</w:t>
            </w:r>
            <w:r w:rsidR="00DD1973" w:rsidRPr="0035351C">
              <w:rPr>
                <w:rFonts w:cs="Arial"/>
                <w:bCs/>
              </w:rPr>
              <w:t>. These settings will be fully compliant by 3/17/2023.</w:t>
            </w:r>
          </w:p>
        </w:tc>
        <w:tc>
          <w:tcPr>
            <w:tcW w:w="1577" w:type="dxa"/>
          </w:tcPr>
          <w:p w14:paraId="4FE99C98" w14:textId="77777777" w:rsidR="00DD1973" w:rsidRPr="006C48CB" w:rsidRDefault="00DD1973" w:rsidP="00DD1973">
            <w:r>
              <w:rPr>
                <w:b/>
                <w:bCs/>
              </w:rPr>
              <w:t>March 2023</w:t>
            </w:r>
          </w:p>
        </w:tc>
      </w:tr>
    </w:tbl>
    <w:p w14:paraId="61027D48" w14:textId="77777777" w:rsidR="007E0FBA" w:rsidRDefault="007E0FBA" w:rsidP="008469E7">
      <w:pPr>
        <w:pStyle w:val="Heading1"/>
        <w:rPr>
          <w:color w:val="365F91" w:themeColor="accent1" w:themeShade="BF"/>
        </w:rPr>
      </w:pPr>
    </w:p>
    <w:p w14:paraId="3B5A8BBD" w14:textId="77777777" w:rsidR="007E0FBA" w:rsidRDefault="007E0FBA" w:rsidP="008469E7">
      <w:pPr>
        <w:pStyle w:val="Heading1"/>
        <w:rPr>
          <w:color w:val="365F91" w:themeColor="accent1" w:themeShade="BF"/>
        </w:rPr>
      </w:pPr>
    </w:p>
    <w:p w14:paraId="3D234DCE" w14:textId="378D1B3C" w:rsidR="00CC6770" w:rsidRDefault="00D635A3" w:rsidP="00144BE9">
      <w:pPr>
        <w:pStyle w:val="Heading2"/>
      </w:pPr>
      <w:r w:rsidRPr="768B82E9">
        <w:lastRenderedPageBreak/>
        <w:t xml:space="preserve">Table 2. Analysis of </w:t>
      </w:r>
      <w:r w:rsidR="006C424E" w:rsidRPr="768B82E9">
        <w:t xml:space="preserve">Waiver </w:t>
      </w:r>
      <w:r w:rsidRPr="768B82E9">
        <w:t>Settings</w:t>
      </w:r>
    </w:p>
    <w:p w14:paraId="7B799D0C" w14:textId="2BA2C1E4" w:rsidR="007F1DC3" w:rsidRPr="00144BE9" w:rsidRDefault="007F1DC3" w:rsidP="00144BE9">
      <w:pPr>
        <w:pStyle w:val="Heading3"/>
        <w:rPr>
          <w:sz w:val="26"/>
          <w:szCs w:val="26"/>
        </w:rPr>
      </w:pPr>
      <w:r w:rsidRPr="00144BE9">
        <w:rPr>
          <w:sz w:val="26"/>
          <w:szCs w:val="26"/>
        </w:rPr>
        <w:t>Department of Developmental Services</w:t>
      </w:r>
      <w:r w:rsidR="00C1370A" w:rsidRPr="00144BE9">
        <w:rPr>
          <w:sz w:val="26"/>
          <w:szCs w:val="26"/>
        </w:rPr>
        <w:t xml:space="preserve"> – Residential Settings</w:t>
      </w:r>
    </w:p>
    <w:tbl>
      <w:tblPr>
        <w:tblStyle w:val="TableGrid"/>
        <w:tblW w:w="5000" w:type="pct"/>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967"/>
        <w:gridCol w:w="1355"/>
        <w:gridCol w:w="1367"/>
        <w:gridCol w:w="1084"/>
        <w:gridCol w:w="840"/>
        <w:gridCol w:w="1414"/>
        <w:gridCol w:w="1477"/>
        <w:gridCol w:w="1122"/>
      </w:tblGrid>
      <w:tr w:rsidR="00DD4A79" w:rsidRPr="00720F79" w14:paraId="6618EF20" w14:textId="77777777" w:rsidTr="00B8688B">
        <w:trPr>
          <w:cantSplit/>
          <w:trHeight w:val="918"/>
          <w:tblHeader/>
        </w:trPr>
        <w:tc>
          <w:tcPr>
            <w:tcW w:w="926" w:type="pct"/>
            <w:tcBorders>
              <w:top w:val="single" w:sz="12" w:space="0" w:color="auto"/>
              <w:left w:val="single" w:sz="12" w:space="0" w:color="auto"/>
              <w:bottom w:val="single" w:sz="12" w:space="0" w:color="auto"/>
            </w:tcBorders>
            <w:shd w:val="clear" w:color="auto" w:fill="B8CCE4" w:themeFill="accent1" w:themeFillTint="66"/>
            <w:vAlign w:val="center"/>
          </w:tcPr>
          <w:p w14:paraId="79DDB78B" w14:textId="40AE4DA6" w:rsidR="003E297A" w:rsidRPr="003C2ADB" w:rsidRDefault="003E297A" w:rsidP="003E297A">
            <w:pPr>
              <w:jc w:val="center"/>
              <w:rPr>
                <w:rFonts w:cs="Arial"/>
                <w:b/>
              </w:rPr>
            </w:pPr>
            <w:bookmarkStart w:id="4" w:name="_Hlk101194826"/>
            <w:r w:rsidRPr="003C2ADB">
              <w:rPr>
                <w:rFonts w:cs="Arial"/>
                <w:b/>
              </w:rPr>
              <w:t>Waiver(s)</w:t>
            </w:r>
          </w:p>
        </w:tc>
        <w:tc>
          <w:tcPr>
            <w:tcW w:w="638" w:type="pct"/>
            <w:tcBorders>
              <w:top w:val="single" w:sz="12" w:space="0" w:color="auto"/>
              <w:bottom w:val="single" w:sz="12" w:space="0" w:color="auto"/>
            </w:tcBorders>
            <w:shd w:val="clear" w:color="auto" w:fill="B8CCE4" w:themeFill="accent1" w:themeFillTint="66"/>
            <w:vAlign w:val="center"/>
          </w:tcPr>
          <w:p w14:paraId="49D74EE0" w14:textId="78BAFB42" w:rsidR="003E297A" w:rsidRPr="003C2ADB" w:rsidRDefault="003E297A" w:rsidP="003E297A">
            <w:pPr>
              <w:jc w:val="center"/>
              <w:rPr>
                <w:rFonts w:cs="Arial"/>
                <w:b/>
              </w:rPr>
            </w:pPr>
            <w:r>
              <w:rPr>
                <w:rFonts w:cs="Arial"/>
                <w:b/>
              </w:rPr>
              <w:t xml:space="preserve">Waiver </w:t>
            </w:r>
            <w:r w:rsidRPr="003C2ADB">
              <w:rPr>
                <w:rFonts w:cs="Arial"/>
                <w:b/>
              </w:rPr>
              <w:t>Service</w:t>
            </w:r>
          </w:p>
        </w:tc>
        <w:tc>
          <w:tcPr>
            <w:tcW w:w="643" w:type="pct"/>
            <w:tcBorders>
              <w:top w:val="single" w:sz="12" w:space="0" w:color="auto"/>
              <w:bottom w:val="single" w:sz="12" w:space="0" w:color="auto"/>
            </w:tcBorders>
            <w:shd w:val="clear" w:color="auto" w:fill="B8CCE4" w:themeFill="accent1" w:themeFillTint="66"/>
            <w:vAlign w:val="center"/>
          </w:tcPr>
          <w:p w14:paraId="63F9B91F" w14:textId="152808BE" w:rsidR="003E297A" w:rsidRPr="003C2ADB" w:rsidRDefault="003E297A" w:rsidP="003E297A">
            <w:pPr>
              <w:jc w:val="center"/>
              <w:rPr>
                <w:rFonts w:cs="Arial"/>
                <w:b/>
              </w:rPr>
            </w:pPr>
            <w:r w:rsidRPr="003C2ADB">
              <w:rPr>
                <w:rFonts w:cs="Arial"/>
                <w:b/>
              </w:rPr>
              <w:t>Type of Setting</w:t>
            </w:r>
          </w:p>
        </w:tc>
        <w:tc>
          <w:tcPr>
            <w:tcW w:w="510" w:type="pct"/>
            <w:tcBorders>
              <w:top w:val="single" w:sz="12" w:space="0" w:color="auto"/>
              <w:bottom w:val="single" w:sz="12" w:space="0" w:color="auto"/>
            </w:tcBorders>
            <w:shd w:val="clear" w:color="auto" w:fill="B8CCE4" w:themeFill="accent1" w:themeFillTint="66"/>
            <w:vAlign w:val="center"/>
          </w:tcPr>
          <w:p w14:paraId="7E3FBA9E" w14:textId="03168620" w:rsidR="003E297A" w:rsidRPr="003C2ADB" w:rsidRDefault="003E297A" w:rsidP="003E297A">
            <w:pPr>
              <w:jc w:val="center"/>
              <w:rPr>
                <w:rFonts w:cs="Arial"/>
                <w:b/>
              </w:rPr>
            </w:pPr>
            <w:r w:rsidRPr="003C2ADB">
              <w:rPr>
                <w:rFonts w:cs="Arial"/>
                <w:b/>
              </w:rPr>
              <w:t>Number of Settings</w:t>
            </w:r>
          </w:p>
        </w:tc>
        <w:tc>
          <w:tcPr>
            <w:tcW w:w="395" w:type="pct"/>
            <w:tcBorders>
              <w:top w:val="single" w:sz="12" w:space="0" w:color="auto"/>
              <w:bottom w:val="single" w:sz="12" w:space="0" w:color="auto"/>
            </w:tcBorders>
            <w:shd w:val="clear" w:color="auto" w:fill="B8CCE4" w:themeFill="accent1" w:themeFillTint="66"/>
            <w:vAlign w:val="center"/>
          </w:tcPr>
          <w:p w14:paraId="6DE72FDD" w14:textId="51075DFC" w:rsidR="003E297A" w:rsidRPr="003C2ADB" w:rsidRDefault="003E297A" w:rsidP="003E297A">
            <w:pPr>
              <w:jc w:val="center"/>
              <w:rPr>
                <w:rFonts w:cs="Arial"/>
                <w:b/>
              </w:rPr>
            </w:pPr>
            <w:r w:rsidRPr="003C2ADB">
              <w:rPr>
                <w:rFonts w:cs="Arial"/>
                <w:b/>
              </w:rPr>
              <w:t>Meets HCBS</w:t>
            </w:r>
          </w:p>
        </w:tc>
        <w:tc>
          <w:tcPr>
            <w:tcW w:w="665" w:type="pct"/>
            <w:tcBorders>
              <w:top w:val="single" w:sz="12" w:space="0" w:color="auto"/>
              <w:bottom w:val="single" w:sz="12" w:space="0" w:color="auto"/>
            </w:tcBorders>
            <w:shd w:val="clear" w:color="auto" w:fill="B8CCE4" w:themeFill="accent1" w:themeFillTint="66"/>
            <w:vAlign w:val="center"/>
          </w:tcPr>
          <w:p w14:paraId="5A8031B1" w14:textId="6D59A6AC" w:rsidR="003E297A" w:rsidRPr="003C2ADB" w:rsidRDefault="003E297A" w:rsidP="003E297A">
            <w:pPr>
              <w:jc w:val="center"/>
              <w:rPr>
                <w:rFonts w:cs="Arial"/>
                <w:b/>
              </w:rPr>
            </w:pPr>
            <w:r>
              <w:rPr>
                <w:rFonts w:cs="Arial"/>
                <w:b/>
              </w:rPr>
              <w:t xml:space="preserve">Meets HCBS, but subject to Heightened </w:t>
            </w:r>
            <w:r w:rsidR="00F59BC8" w:rsidRPr="2DBE62B9">
              <w:rPr>
                <w:rFonts w:cs="Arial"/>
                <w:b/>
                <w:bCs/>
              </w:rPr>
              <w:t>Sc</w:t>
            </w:r>
            <w:r w:rsidR="2278B2C8" w:rsidRPr="2DBE62B9">
              <w:rPr>
                <w:rFonts w:cs="Arial"/>
                <w:b/>
                <w:bCs/>
              </w:rPr>
              <w:t>r</w:t>
            </w:r>
            <w:r w:rsidR="00F59BC8" w:rsidRPr="2DBE62B9">
              <w:rPr>
                <w:rFonts w:cs="Arial"/>
                <w:b/>
                <w:bCs/>
              </w:rPr>
              <w:t>utiny</w:t>
            </w:r>
          </w:p>
        </w:tc>
        <w:tc>
          <w:tcPr>
            <w:tcW w:w="695" w:type="pct"/>
            <w:tcBorders>
              <w:top w:val="single" w:sz="12" w:space="0" w:color="auto"/>
              <w:bottom w:val="single" w:sz="12" w:space="0" w:color="auto"/>
            </w:tcBorders>
            <w:shd w:val="clear" w:color="auto" w:fill="B8CCE4" w:themeFill="accent1" w:themeFillTint="66"/>
            <w:vAlign w:val="center"/>
          </w:tcPr>
          <w:p w14:paraId="19D8B8D9" w14:textId="77777777" w:rsidR="003E297A" w:rsidRDefault="003E297A" w:rsidP="003E297A">
            <w:pPr>
              <w:jc w:val="center"/>
              <w:rPr>
                <w:rFonts w:cs="Arial"/>
                <w:b/>
              </w:rPr>
            </w:pPr>
            <w:r w:rsidRPr="003C2ADB">
              <w:rPr>
                <w:rFonts w:cs="Arial"/>
                <w:b/>
              </w:rPr>
              <w:t xml:space="preserve">Not </w:t>
            </w:r>
            <w:proofErr w:type="gramStart"/>
            <w:r w:rsidRPr="003C2ADB">
              <w:rPr>
                <w:rFonts w:cs="Arial"/>
                <w:b/>
              </w:rPr>
              <w:t>yet;</w:t>
            </w:r>
            <w:proofErr w:type="gramEnd"/>
          </w:p>
          <w:p w14:paraId="16984008" w14:textId="77C6A965" w:rsidR="003E297A" w:rsidRPr="003C2ADB" w:rsidRDefault="003E297A" w:rsidP="003E297A">
            <w:pPr>
              <w:jc w:val="center"/>
              <w:rPr>
                <w:rFonts w:cs="Arial"/>
                <w:b/>
              </w:rPr>
            </w:pPr>
            <w:r>
              <w:rPr>
                <w:rFonts w:cs="Arial"/>
                <w:b/>
              </w:rPr>
              <w:t>individual site assessment in process</w:t>
            </w:r>
          </w:p>
        </w:tc>
        <w:tc>
          <w:tcPr>
            <w:tcW w:w="528" w:type="pct"/>
            <w:tcBorders>
              <w:top w:val="single" w:sz="12" w:space="0" w:color="auto"/>
              <w:bottom w:val="single" w:sz="12" w:space="0" w:color="auto"/>
              <w:right w:val="single" w:sz="12" w:space="0" w:color="auto"/>
            </w:tcBorders>
            <w:shd w:val="clear" w:color="auto" w:fill="B8CCE4" w:themeFill="accent1" w:themeFillTint="66"/>
            <w:vAlign w:val="center"/>
          </w:tcPr>
          <w:p w14:paraId="69DD33CB" w14:textId="1B5D8174" w:rsidR="003E297A" w:rsidRPr="003C2ADB" w:rsidRDefault="003E297A" w:rsidP="003E297A">
            <w:pPr>
              <w:tabs>
                <w:tab w:val="left" w:pos="1782"/>
              </w:tabs>
              <w:jc w:val="center"/>
              <w:rPr>
                <w:rFonts w:cs="Arial"/>
                <w:b/>
              </w:rPr>
            </w:pPr>
            <w:r w:rsidRPr="003C2ADB">
              <w:rPr>
                <w:rFonts w:cs="Arial"/>
                <w:b/>
              </w:rPr>
              <w:t>No; Cannot Meet</w:t>
            </w:r>
          </w:p>
        </w:tc>
        <w:bookmarkEnd w:id="4"/>
      </w:tr>
      <w:tr w:rsidR="003E297A" w:rsidRPr="00720F79" w14:paraId="388F8B77" w14:textId="77777777" w:rsidTr="007F1DC3">
        <w:trPr>
          <w:cantSplit/>
          <w:trHeight w:val="918"/>
        </w:trPr>
        <w:tc>
          <w:tcPr>
            <w:tcW w:w="926" w:type="pct"/>
            <w:tcBorders>
              <w:top w:val="single" w:sz="12" w:space="0" w:color="auto"/>
              <w:left w:val="single" w:sz="12" w:space="0" w:color="auto"/>
            </w:tcBorders>
          </w:tcPr>
          <w:p w14:paraId="1CACDF9D" w14:textId="77777777" w:rsidR="00CC6770" w:rsidRPr="003C2ADB" w:rsidRDefault="00CC6770" w:rsidP="004427AF">
            <w:pPr>
              <w:pStyle w:val="ListParagraph"/>
              <w:numPr>
                <w:ilvl w:val="0"/>
                <w:numId w:val="16"/>
              </w:numPr>
              <w:ind w:left="148" w:hanging="148"/>
              <w:rPr>
                <w:rFonts w:cs="Arial"/>
              </w:rPr>
            </w:pPr>
            <w:r w:rsidRPr="003C2ADB">
              <w:rPr>
                <w:rFonts w:cs="Arial"/>
              </w:rPr>
              <w:t>Intensive Supports (MA.0827)</w:t>
            </w:r>
          </w:p>
        </w:tc>
        <w:tc>
          <w:tcPr>
            <w:tcW w:w="638" w:type="pct"/>
            <w:tcBorders>
              <w:top w:val="single" w:sz="12" w:space="0" w:color="auto"/>
            </w:tcBorders>
          </w:tcPr>
          <w:p w14:paraId="2F0B53FE" w14:textId="77777777" w:rsidR="00CC6770" w:rsidRPr="003C2ADB" w:rsidRDefault="00CC6770" w:rsidP="0067043D">
            <w:pPr>
              <w:rPr>
                <w:rFonts w:cs="Arial"/>
              </w:rPr>
            </w:pPr>
            <w:r w:rsidRPr="003C2ADB">
              <w:rPr>
                <w:rFonts w:cs="Arial"/>
              </w:rPr>
              <w:t>Residential Habilitation</w:t>
            </w:r>
          </w:p>
        </w:tc>
        <w:tc>
          <w:tcPr>
            <w:tcW w:w="643" w:type="pct"/>
            <w:tcBorders>
              <w:top w:val="single" w:sz="12" w:space="0" w:color="auto"/>
            </w:tcBorders>
          </w:tcPr>
          <w:p w14:paraId="60A1F576" w14:textId="77777777" w:rsidR="00CC6770" w:rsidRPr="003C2ADB" w:rsidRDefault="00CC6770" w:rsidP="0067043D">
            <w:pPr>
              <w:rPr>
                <w:rFonts w:cs="Arial"/>
              </w:rPr>
            </w:pPr>
            <w:r w:rsidRPr="003C2ADB">
              <w:rPr>
                <w:rFonts w:cs="Arial"/>
              </w:rPr>
              <w:t>Private Provider</w:t>
            </w:r>
          </w:p>
          <w:p w14:paraId="4052A6EE" w14:textId="3FA3B659" w:rsidR="00CC6770" w:rsidRDefault="00CC6770" w:rsidP="0067043D">
            <w:pPr>
              <w:rPr>
                <w:rFonts w:cs="Arial"/>
              </w:rPr>
            </w:pPr>
            <w:r w:rsidRPr="003C2ADB">
              <w:rPr>
                <w:rFonts w:cs="Arial"/>
              </w:rPr>
              <w:t>Owned</w:t>
            </w:r>
            <w:r w:rsidR="00A648EC">
              <w:rPr>
                <w:rFonts w:cs="Arial"/>
              </w:rPr>
              <w:t>, Operated</w:t>
            </w:r>
            <w:r w:rsidRPr="003C2ADB">
              <w:rPr>
                <w:rFonts w:cs="Arial"/>
              </w:rPr>
              <w:t xml:space="preserve"> or Leased</w:t>
            </w:r>
            <w:r w:rsidR="002144CB">
              <w:rPr>
                <w:rFonts w:cs="Arial"/>
              </w:rPr>
              <w:t xml:space="preserve"> Group Residences</w:t>
            </w:r>
          </w:p>
          <w:p w14:paraId="3DDAC3FD" w14:textId="77777777" w:rsidR="003C2ADB" w:rsidRPr="003C2ADB" w:rsidRDefault="003C2ADB" w:rsidP="0067043D">
            <w:pPr>
              <w:rPr>
                <w:rFonts w:cs="Arial"/>
              </w:rPr>
            </w:pPr>
          </w:p>
        </w:tc>
        <w:tc>
          <w:tcPr>
            <w:tcW w:w="510" w:type="pct"/>
            <w:tcBorders>
              <w:top w:val="single" w:sz="12" w:space="0" w:color="auto"/>
            </w:tcBorders>
          </w:tcPr>
          <w:p w14:paraId="15D08338" w14:textId="5AB82535" w:rsidR="0042022C" w:rsidRPr="003C2ADB" w:rsidRDefault="7CC71007" w:rsidP="00CB1500">
            <w:pPr>
              <w:jc w:val="center"/>
              <w:rPr>
                <w:rFonts w:cs="Arial"/>
              </w:rPr>
            </w:pPr>
            <w:r w:rsidRPr="628C881F">
              <w:rPr>
                <w:rFonts w:cs="Arial"/>
              </w:rPr>
              <w:t>206</w:t>
            </w:r>
            <w:r w:rsidR="00DD4A79">
              <w:rPr>
                <w:rFonts w:cs="Arial"/>
              </w:rPr>
              <w:t>5</w:t>
            </w:r>
          </w:p>
        </w:tc>
        <w:tc>
          <w:tcPr>
            <w:tcW w:w="395" w:type="pct"/>
            <w:tcBorders>
              <w:top w:val="single" w:sz="12" w:space="0" w:color="auto"/>
            </w:tcBorders>
          </w:tcPr>
          <w:p w14:paraId="7B46A85F" w14:textId="65784FA6" w:rsidR="00CC6770" w:rsidRPr="003C2ADB" w:rsidRDefault="0009187F" w:rsidP="0009187F">
            <w:pPr>
              <w:jc w:val="center"/>
              <w:rPr>
                <w:rFonts w:cs="Arial"/>
              </w:rPr>
            </w:pPr>
            <w:r w:rsidRPr="628C881F">
              <w:rPr>
                <w:rFonts w:cs="Arial"/>
              </w:rPr>
              <w:t>20</w:t>
            </w:r>
            <w:r w:rsidR="00DD4A79">
              <w:rPr>
                <w:rFonts w:cs="Arial"/>
              </w:rPr>
              <w:t>40</w:t>
            </w:r>
          </w:p>
        </w:tc>
        <w:tc>
          <w:tcPr>
            <w:tcW w:w="665" w:type="pct"/>
            <w:tcBorders>
              <w:top w:val="single" w:sz="12" w:space="0" w:color="auto"/>
            </w:tcBorders>
          </w:tcPr>
          <w:p w14:paraId="60B64B15" w14:textId="5DF5735F" w:rsidR="00CC6770" w:rsidRPr="003C2ADB" w:rsidRDefault="00C1370A" w:rsidP="0009187F">
            <w:pPr>
              <w:jc w:val="center"/>
              <w:rPr>
                <w:rFonts w:cs="Arial"/>
              </w:rPr>
            </w:pPr>
            <w:r>
              <w:rPr>
                <w:rFonts w:cs="Arial"/>
              </w:rPr>
              <w:t>25</w:t>
            </w:r>
            <w:r w:rsidRPr="628C881F">
              <w:rPr>
                <w:rFonts w:cs="Arial"/>
              </w:rPr>
              <w:t xml:space="preserve"> </w:t>
            </w:r>
            <w:r w:rsidR="0009187F" w:rsidRPr="628C881F">
              <w:rPr>
                <w:rFonts w:cs="Arial"/>
              </w:rPr>
              <w:t>(</w:t>
            </w:r>
            <w:r>
              <w:rPr>
                <w:rFonts w:cs="Arial"/>
              </w:rPr>
              <w:t>2</w:t>
            </w:r>
            <w:r w:rsidR="00F0649D">
              <w:rPr>
                <w:rFonts w:cs="Arial"/>
              </w:rPr>
              <w:t xml:space="preserve"> </w:t>
            </w:r>
            <w:r w:rsidR="0009187F" w:rsidRPr="628C881F">
              <w:rPr>
                <w:rFonts w:cs="Arial"/>
              </w:rPr>
              <w:t>provider</w:t>
            </w:r>
            <w:r>
              <w:rPr>
                <w:rFonts w:cs="Arial"/>
              </w:rPr>
              <w:t>s</w:t>
            </w:r>
            <w:r w:rsidR="0009187F" w:rsidRPr="628C881F">
              <w:rPr>
                <w:rFonts w:cs="Arial"/>
              </w:rPr>
              <w:t>)</w:t>
            </w:r>
          </w:p>
        </w:tc>
        <w:tc>
          <w:tcPr>
            <w:tcW w:w="695" w:type="pct"/>
            <w:tcBorders>
              <w:top w:val="single" w:sz="12" w:space="0" w:color="auto"/>
            </w:tcBorders>
          </w:tcPr>
          <w:p w14:paraId="4A95C443" w14:textId="2C57FA20" w:rsidR="00CC6770" w:rsidRPr="003C2ADB" w:rsidRDefault="00C1370A" w:rsidP="0067043D">
            <w:pPr>
              <w:jc w:val="center"/>
              <w:rPr>
                <w:rFonts w:cs="Arial"/>
              </w:rPr>
            </w:pPr>
            <w:r>
              <w:rPr>
                <w:rFonts w:cs="Arial"/>
              </w:rPr>
              <w:t>0</w:t>
            </w:r>
          </w:p>
        </w:tc>
        <w:tc>
          <w:tcPr>
            <w:tcW w:w="528" w:type="pct"/>
            <w:tcBorders>
              <w:top w:val="single" w:sz="12" w:space="0" w:color="auto"/>
              <w:right w:val="single" w:sz="12" w:space="0" w:color="auto"/>
            </w:tcBorders>
          </w:tcPr>
          <w:p w14:paraId="6E972C68" w14:textId="77777777" w:rsidR="00CC6770" w:rsidRPr="003C2ADB" w:rsidRDefault="00CC6770" w:rsidP="0067043D">
            <w:pPr>
              <w:jc w:val="center"/>
              <w:rPr>
                <w:rFonts w:cs="Arial"/>
              </w:rPr>
            </w:pPr>
            <w:r w:rsidRPr="003C2ADB">
              <w:rPr>
                <w:rFonts w:cs="Arial"/>
              </w:rPr>
              <w:t>0</w:t>
            </w:r>
          </w:p>
        </w:tc>
      </w:tr>
      <w:tr w:rsidR="003E297A" w:rsidRPr="00720F79" w14:paraId="798083D6" w14:textId="77777777" w:rsidTr="007F1DC3">
        <w:trPr>
          <w:cantSplit/>
          <w:trHeight w:val="620"/>
        </w:trPr>
        <w:tc>
          <w:tcPr>
            <w:tcW w:w="926" w:type="pct"/>
            <w:tcBorders>
              <w:left w:val="single" w:sz="12" w:space="0" w:color="auto"/>
            </w:tcBorders>
          </w:tcPr>
          <w:p w14:paraId="35851BBE" w14:textId="7A38242B" w:rsidR="00D60652" w:rsidRPr="003C2ADB" w:rsidRDefault="00D60652" w:rsidP="004427AF">
            <w:pPr>
              <w:pStyle w:val="ListParagraph"/>
              <w:numPr>
                <w:ilvl w:val="0"/>
                <w:numId w:val="17"/>
              </w:numPr>
              <w:ind w:left="180" w:hanging="180"/>
              <w:rPr>
                <w:rFonts w:cs="Arial"/>
              </w:rPr>
            </w:pPr>
            <w:r w:rsidRPr="003C2ADB">
              <w:rPr>
                <w:rFonts w:cs="Arial"/>
              </w:rPr>
              <w:t>Intensive Supports (MA.0827)</w:t>
            </w:r>
          </w:p>
        </w:tc>
        <w:tc>
          <w:tcPr>
            <w:tcW w:w="638" w:type="pct"/>
          </w:tcPr>
          <w:p w14:paraId="4E8613ED" w14:textId="0AF4EFE9" w:rsidR="00D60652" w:rsidRPr="003C2ADB" w:rsidRDefault="00D60652" w:rsidP="0067043D">
            <w:pPr>
              <w:rPr>
                <w:rFonts w:cs="Arial"/>
              </w:rPr>
            </w:pPr>
            <w:r w:rsidRPr="00D60652">
              <w:rPr>
                <w:rFonts w:cs="Arial"/>
              </w:rPr>
              <w:t>Residential Habilitation</w:t>
            </w:r>
          </w:p>
        </w:tc>
        <w:tc>
          <w:tcPr>
            <w:tcW w:w="643" w:type="pct"/>
          </w:tcPr>
          <w:p w14:paraId="08B74504" w14:textId="069743D6" w:rsidR="00D60652" w:rsidRPr="003C2ADB" w:rsidRDefault="00D60652" w:rsidP="0067043D">
            <w:pPr>
              <w:rPr>
                <w:rFonts w:cs="Arial"/>
              </w:rPr>
            </w:pPr>
            <w:r w:rsidRPr="00D60652">
              <w:rPr>
                <w:rFonts w:cs="Arial"/>
              </w:rPr>
              <w:t>State Operated</w:t>
            </w:r>
            <w:r w:rsidR="002144CB">
              <w:rPr>
                <w:rFonts w:cs="Arial"/>
              </w:rPr>
              <w:t xml:space="preserve"> Group Residences</w:t>
            </w:r>
          </w:p>
        </w:tc>
        <w:tc>
          <w:tcPr>
            <w:tcW w:w="510" w:type="pct"/>
          </w:tcPr>
          <w:p w14:paraId="79DF5CBA" w14:textId="66833FF0" w:rsidR="00D60652" w:rsidRDefault="00DD4A79" w:rsidP="00B7192F">
            <w:pPr>
              <w:spacing w:after="200" w:line="276" w:lineRule="auto"/>
              <w:jc w:val="center"/>
              <w:rPr>
                <w:rFonts w:cs="Arial"/>
              </w:rPr>
            </w:pPr>
            <w:r>
              <w:rPr>
                <w:rFonts w:cs="Arial"/>
              </w:rPr>
              <w:t>247</w:t>
            </w:r>
          </w:p>
        </w:tc>
        <w:tc>
          <w:tcPr>
            <w:tcW w:w="395" w:type="pct"/>
          </w:tcPr>
          <w:p w14:paraId="08F54735" w14:textId="5438D90A" w:rsidR="00D60652" w:rsidRDefault="00DD4A79" w:rsidP="00B7192F">
            <w:pPr>
              <w:spacing w:after="200" w:line="276" w:lineRule="auto"/>
              <w:jc w:val="center"/>
              <w:rPr>
                <w:rFonts w:eastAsia="MS Mincho" w:cs="Arial"/>
              </w:rPr>
            </w:pPr>
            <w:r>
              <w:rPr>
                <w:rFonts w:cs="Arial"/>
              </w:rPr>
              <w:t>247</w:t>
            </w:r>
          </w:p>
        </w:tc>
        <w:tc>
          <w:tcPr>
            <w:tcW w:w="665" w:type="pct"/>
          </w:tcPr>
          <w:p w14:paraId="44B9647E" w14:textId="24027EFE" w:rsidR="00D60652" w:rsidRDefault="00D60652" w:rsidP="0067043D">
            <w:pPr>
              <w:jc w:val="center"/>
              <w:rPr>
                <w:rFonts w:cs="Arial"/>
              </w:rPr>
            </w:pPr>
            <w:r>
              <w:rPr>
                <w:rFonts w:cs="Arial"/>
              </w:rPr>
              <w:t>0</w:t>
            </w:r>
          </w:p>
        </w:tc>
        <w:tc>
          <w:tcPr>
            <w:tcW w:w="695" w:type="pct"/>
          </w:tcPr>
          <w:p w14:paraId="1750FE02" w14:textId="714A0B21" w:rsidR="00D60652" w:rsidRPr="003C2ADB" w:rsidRDefault="00D60652" w:rsidP="0067043D">
            <w:pPr>
              <w:jc w:val="center"/>
              <w:rPr>
                <w:rFonts w:cs="Arial"/>
              </w:rPr>
            </w:pPr>
            <w:r>
              <w:rPr>
                <w:rFonts w:cs="Arial"/>
              </w:rPr>
              <w:t>0</w:t>
            </w:r>
          </w:p>
        </w:tc>
        <w:tc>
          <w:tcPr>
            <w:tcW w:w="528" w:type="pct"/>
            <w:tcBorders>
              <w:right w:val="single" w:sz="12" w:space="0" w:color="auto"/>
            </w:tcBorders>
          </w:tcPr>
          <w:p w14:paraId="192D4A1A" w14:textId="4099F83C" w:rsidR="00D60652" w:rsidRPr="003C2ADB" w:rsidRDefault="00D60652" w:rsidP="0067043D">
            <w:pPr>
              <w:jc w:val="center"/>
              <w:rPr>
                <w:rFonts w:cs="Arial"/>
              </w:rPr>
            </w:pPr>
            <w:r>
              <w:rPr>
                <w:rFonts w:cs="Arial"/>
              </w:rPr>
              <w:t>0</w:t>
            </w:r>
          </w:p>
        </w:tc>
      </w:tr>
      <w:tr w:rsidR="003E297A" w:rsidRPr="00720F79" w14:paraId="6CD5FE16" w14:textId="77777777" w:rsidTr="007F1DC3">
        <w:trPr>
          <w:cantSplit/>
          <w:trHeight w:val="620"/>
        </w:trPr>
        <w:tc>
          <w:tcPr>
            <w:tcW w:w="926" w:type="pct"/>
            <w:tcBorders>
              <w:left w:val="single" w:sz="12" w:space="0" w:color="auto"/>
            </w:tcBorders>
          </w:tcPr>
          <w:p w14:paraId="2F5A2AF8" w14:textId="79170C97" w:rsidR="00D60652" w:rsidRPr="003C2ADB" w:rsidRDefault="00D60652" w:rsidP="004427AF">
            <w:pPr>
              <w:pStyle w:val="ListParagraph"/>
              <w:numPr>
                <w:ilvl w:val="0"/>
                <w:numId w:val="17"/>
              </w:numPr>
              <w:ind w:left="180" w:hanging="180"/>
              <w:rPr>
                <w:rFonts w:cs="Arial"/>
              </w:rPr>
            </w:pPr>
            <w:r w:rsidRPr="00D60652">
              <w:rPr>
                <w:rFonts w:cs="Arial"/>
              </w:rPr>
              <w:t>Intensive Supports (MA.0827)</w:t>
            </w:r>
          </w:p>
        </w:tc>
        <w:tc>
          <w:tcPr>
            <w:tcW w:w="638" w:type="pct"/>
          </w:tcPr>
          <w:p w14:paraId="312F45DC" w14:textId="21121389" w:rsidR="00D60652" w:rsidRPr="003C2ADB" w:rsidRDefault="002511EF" w:rsidP="0067043D">
            <w:pPr>
              <w:rPr>
                <w:rFonts w:cs="Arial"/>
              </w:rPr>
            </w:pPr>
            <w:r w:rsidRPr="002511EF">
              <w:rPr>
                <w:rFonts w:cs="Arial"/>
              </w:rPr>
              <w:t>Residential Habilitation</w:t>
            </w:r>
          </w:p>
        </w:tc>
        <w:tc>
          <w:tcPr>
            <w:tcW w:w="643" w:type="pct"/>
          </w:tcPr>
          <w:p w14:paraId="7D97D39F" w14:textId="05566C78" w:rsidR="00D60652" w:rsidRPr="003C2ADB" w:rsidRDefault="00D60652" w:rsidP="0067043D">
            <w:pPr>
              <w:rPr>
                <w:rFonts w:cs="Arial"/>
              </w:rPr>
            </w:pPr>
            <w:r w:rsidRPr="00D60652">
              <w:rPr>
                <w:rFonts w:cs="Arial"/>
              </w:rPr>
              <w:t>Placement Service Settings</w:t>
            </w:r>
          </w:p>
        </w:tc>
        <w:tc>
          <w:tcPr>
            <w:tcW w:w="510" w:type="pct"/>
          </w:tcPr>
          <w:p w14:paraId="449E7EA3" w14:textId="61AEAFDD" w:rsidR="00D60652" w:rsidRDefault="00DD4A79" w:rsidP="00B7192F">
            <w:pPr>
              <w:spacing w:after="200" w:line="276" w:lineRule="auto"/>
              <w:jc w:val="center"/>
              <w:rPr>
                <w:rFonts w:eastAsia="MS Mincho" w:cs="Arial"/>
              </w:rPr>
            </w:pPr>
            <w:r>
              <w:rPr>
                <w:rFonts w:cs="Arial"/>
              </w:rPr>
              <w:t>1461</w:t>
            </w:r>
          </w:p>
        </w:tc>
        <w:tc>
          <w:tcPr>
            <w:tcW w:w="395" w:type="pct"/>
          </w:tcPr>
          <w:p w14:paraId="0F6D0112" w14:textId="35798C55" w:rsidR="00D60652" w:rsidRDefault="00DD4A79" w:rsidP="0009187F">
            <w:pPr>
              <w:jc w:val="center"/>
              <w:rPr>
                <w:rFonts w:cs="Arial"/>
              </w:rPr>
            </w:pPr>
            <w:r>
              <w:rPr>
                <w:rFonts w:cs="Arial"/>
              </w:rPr>
              <w:t>1461</w:t>
            </w:r>
          </w:p>
        </w:tc>
        <w:tc>
          <w:tcPr>
            <w:tcW w:w="665" w:type="pct"/>
          </w:tcPr>
          <w:p w14:paraId="63CEB873" w14:textId="0ECE894E" w:rsidR="00D60652" w:rsidRDefault="00D60652" w:rsidP="0067043D">
            <w:pPr>
              <w:jc w:val="center"/>
              <w:rPr>
                <w:rFonts w:cs="Arial"/>
              </w:rPr>
            </w:pPr>
            <w:r>
              <w:rPr>
                <w:rFonts w:cs="Arial"/>
              </w:rPr>
              <w:t>0</w:t>
            </w:r>
          </w:p>
        </w:tc>
        <w:tc>
          <w:tcPr>
            <w:tcW w:w="695" w:type="pct"/>
          </w:tcPr>
          <w:p w14:paraId="0C86F45D" w14:textId="24761D33" w:rsidR="00D60652" w:rsidRPr="003C2ADB" w:rsidRDefault="00D60652" w:rsidP="0067043D">
            <w:pPr>
              <w:jc w:val="center"/>
              <w:rPr>
                <w:rFonts w:cs="Arial"/>
              </w:rPr>
            </w:pPr>
            <w:r>
              <w:rPr>
                <w:rFonts w:cs="Arial"/>
              </w:rPr>
              <w:t>0</w:t>
            </w:r>
          </w:p>
        </w:tc>
        <w:tc>
          <w:tcPr>
            <w:tcW w:w="528" w:type="pct"/>
            <w:tcBorders>
              <w:right w:val="single" w:sz="12" w:space="0" w:color="auto"/>
            </w:tcBorders>
          </w:tcPr>
          <w:p w14:paraId="30594C6F" w14:textId="624AF947" w:rsidR="00D60652" w:rsidRPr="003C2ADB" w:rsidRDefault="00D60652" w:rsidP="0067043D">
            <w:pPr>
              <w:jc w:val="center"/>
              <w:rPr>
                <w:rFonts w:cs="Arial"/>
              </w:rPr>
            </w:pPr>
            <w:r>
              <w:rPr>
                <w:rFonts w:cs="Arial"/>
              </w:rPr>
              <w:t>0</w:t>
            </w:r>
          </w:p>
        </w:tc>
      </w:tr>
      <w:tr w:rsidR="003E297A" w:rsidRPr="00720F79" w14:paraId="10542EC8" w14:textId="77777777" w:rsidTr="007F1DC3">
        <w:trPr>
          <w:cantSplit/>
          <w:trHeight w:val="620"/>
        </w:trPr>
        <w:tc>
          <w:tcPr>
            <w:tcW w:w="926" w:type="pct"/>
            <w:tcBorders>
              <w:left w:val="single" w:sz="12" w:space="0" w:color="auto"/>
            </w:tcBorders>
          </w:tcPr>
          <w:p w14:paraId="603B6EF2" w14:textId="77777777" w:rsidR="002511EF" w:rsidRPr="002511EF" w:rsidRDefault="002511EF" w:rsidP="004427AF">
            <w:pPr>
              <w:pStyle w:val="ListParagraph"/>
              <w:numPr>
                <w:ilvl w:val="0"/>
                <w:numId w:val="17"/>
              </w:numPr>
              <w:ind w:left="180" w:hanging="180"/>
              <w:rPr>
                <w:rFonts w:cs="Arial"/>
              </w:rPr>
            </w:pPr>
            <w:r w:rsidRPr="002511EF">
              <w:rPr>
                <w:rFonts w:cs="Arial"/>
              </w:rPr>
              <w:t>Acquired Brain Injury (ABI) - Residential Habilitation (MA.40701)</w:t>
            </w:r>
          </w:p>
          <w:p w14:paraId="1CC233FE" w14:textId="631C2150" w:rsidR="002511EF" w:rsidRPr="00D60652" w:rsidRDefault="002511EF" w:rsidP="004427AF">
            <w:pPr>
              <w:pStyle w:val="ListParagraph"/>
              <w:numPr>
                <w:ilvl w:val="0"/>
                <w:numId w:val="17"/>
              </w:numPr>
              <w:ind w:left="180" w:hanging="180"/>
              <w:rPr>
                <w:rFonts w:cs="Arial"/>
              </w:rPr>
            </w:pPr>
            <w:r w:rsidRPr="002511EF">
              <w:rPr>
                <w:rFonts w:cs="Arial"/>
              </w:rPr>
              <w:t>Moving Forward Plan (MFP) - Residential Supports (MA.1028)</w:t>
            </w:r>
          </w:p>
        </w:tc>
        <w:tc>
          <w:tcPr>
            <w:tcW w:w="638" w:type="pct"/>
          </w:tcPr>
          <w:p w14:paraId="615157C9" w14:textId="6FCB3F01" w:rsidR="002511EF" w:rsidRPr="002511EF" w:rsidRDefault="002511EF" w:rsidP="0067043D">
            <w:pPr>
              <w:rPr>
                <w:rFonts w:cs="Arial"/>
              </w:rPr>
            </w:pPr>
            <w:r w:rsidRPr="002511EF">
              <w:rPr>
                <w:rFonts w:cs="Arial"/>
              </w:rPr>
              <w:t>Residential Habilitation</w:t>
            </w:r>
          </w:p>
        </w:tc>
        <w:tc>
          <w:tcPr>
            <w:tcW w:w="643" w:type="pct"/>
          </w:tcPr>
          <w:p w14:paraId="6B618773" w14:textId="77777777" w:rsidR="002511EF" w:rsidRPr="002511EF" w:rsidRDefault="002511EF" w:rsidP="002511EF">
            <w:pPr>
              <w:rPr>
                <w:rFonts w:cs="Arial"/>
              </w:rPr>
            </w:pPr>
            <w:r w:rsidRPr="002511EF">
              <w:rPr>
                <w:rFonts w:cs="Arial"/>
              </w:rPr>
              <w:t>Private Provider</w:t>
            </w:r>
          </w:p>
          <w:p w14:paraId="17962617" w14:textId="74365482" w:rsidR="002511EF" w:rsidRPr="002511EF" w:rsidRDefault="002511EF" w:rsidP="002511EF">
            <w:pPr>
              <w:rPr>
                <w:rFonts w:cs="Arial"/>
              </w:rPr>
            </w:pPr>
            <w:r w:rsidRPr="002511EF">
              <w:rPr>
                <w:rFonts w:cs="Arial"/>
              </w:rPr>
              <w:t>Owned, Operated or Leased</w:t>
            </w:r>
            <w:r w:rsidR="002144CB">
              <w:rPr>
                <w:rFonts w:cs="Arial"/>
              </w:rPr>
              <w:t xml:space="preserve"> Group Residences</w:t>
            </w:r>
          </w:p>
          <w:p w14:paraId="08A1A2EC" w14:textId="77777777" w:rsidR="002511EF" w:rsidRPr="00D60652" w:rsidRDefault="002511EF" w:rsidP="0067043D">
            <w:pPr>
              <w:rPr>
                <w:rFonts w:cs="Arial"/>
              </w:rPr>
            </w:pPr>
          </w:p>
        </w:tc>
        <w:tc>
          <w:tcPr>
            <w:tcW w:w="510" w:type="pct"/>
          </w:tcPr>
          <w:p w14:paraId="3BF3F69A" w14:textId="5B8C3786" w:rsidR="002511EF" w:rsidRPr="00D60652" w:rsidRDefault="00DD4A79" w:rsidP="00B7192F">
            <w:pPr>
              <w:spacing w:after="200" w:line="276" w:lineRule="auto"/>
              <w:jc w:val="center"/>
              <w:rPr>
                <w:rFonts w:eastAsia="MS Mincho" w:cs="Arial"/>
              </w:rPr>
            </w:pPr>
            <w:r>
              <w:rPr>
                <w:rFonts w:cs="Arial"/>
              </w:rPr>
              <w:t>259</w:t>
            </w:r>
          </w:p>
        </w:tc>
        <w:tc>
          <w:tcPr>
            <w:tcW w:w="395" w:type="pct"/>
          </w:tcPr>
          <w:p w14:paraId="194834A2" w14:textId="2D3AFC1A" w:rsidR="002511EF" w:rsidRPr="00D60652" w:rsidRDefault="00DD4A79" w:rsidP="0009187F">
            <w:pPr>
              <w:jc w:val="center"/>
              <w:rPr>
                <w:rFonts w:cs="Arial"/>
              </w:rPr>
            </w:pPr>
            <w:r>
              <w:rPr>
                <w:rFonts w:cs="Arial"/>
              </w:rPr>
              <w:t>259</w:t>
            </w:r>
          </w:p>
        </w:tc>
        <w:tc>
          <w:tcPr>
            <w:tcW w:w="665" w:type="pct"/>
          </w:tcPr>
          <w:p w14:paraId="0217F7A8" w14:textId="1AC0FEE7" w:rsidR="002511EF" w:rsidRDefault="00EA3CFB" w:rsidP="0067043D">
            <w:pPr>
              <w:jc w:val="center"/>
              <w:rPr>
                <w:rFonts w:cs="Arial"/>
              </w:rPr>
            </w:pPr>
            <w:r>
              <w:rPr>
                <w:rFonts w:cs="Arial"/>
              </w:rPr>
              <w:t>0</w:t>
            </w:r>
          </w:p>
        </w:tc>
        <w:tc>
          <w:tcPr>
            <w:tcW w:w="695" w:type="pct"/>
          </w:tcPr>
          <w:p w14:paraId="6C84A279" w14:textId="252F97F3" w:rsidR="002511EF" w:rsidRDefault="002511EF" w:rsidP="0067043D">
            <w:pPr>
              <w:jc w:val="center"/>
              <w:rPr>
                <w:rFonts w:cs="Arial"/>
              </w:rPr>
            </w:pPr>
            <w:r>
              <w:rPr>
                <w:rFonts w:cs="Arial"/>
              </w:rPr>
              <w:t>0</w:t>
            </w:r>
          </w:p>
        </w:tc>
        <w:tc>
          <w:tcPr>
            <w:tcW w:w="528" w:type="pct"/>
            <w:tcBorders>
              <w:right w:val="single" w:sz="12" w:space="0" w:color="auto"/>
            </w:tcBorders>
          </w:tcPr>
          <w:p w14:paraId="3759EFE0" w14:textId="2DE5045E" w:rsidR="002511EF" w:rsidRDefault="002511EF" w:rsidP="0067043D">
            <w:pPr>
              <w:jc w:val="center"/>
              <w:rPr>
                <w:rFonts w:cs="Arial"/>
              </w:rPr>
            </w:pPr>
            <w:r>
              <w:rPr>
                <w:rFonts w:cs="Arial"/>
              </w:rPr>
              <w:t>0</w:t>
            </w:r>
          </w:p>
        </w:tc>
      </w:tr>
      <w:tr w:rsidR="003E297A" w:rsidRPr="00720F79" w14:paraId="15ADCDCE" w14:textId="77777777" w:rsidTr="007F1DC3">
        <w:trPr>
          <w:cantSplit/>
          <w:trHeight w:val="620"/>
        </w:trPr>
        <w:tc>
          <w:tcPr>
            <w:tcW w:w="926" w:type="pct"/>
            <w:tcBorders>
              <w:left w:val="single" w:sz="12" w:space="0" w:color="auto"/>
            </w:tcBorders>
          </w:tcPr>
          <w:p w14:paraId="7B83B8FE" w14:textId="77777777" w:rsidR="002511EF" w:rsidRPr="002511EF" w:rsidRDefault="002511EF" w:rsidP="004427AF">
            <w:pPr>
              <w:pStyle w:val="ListParagraph"/>
              <w:numPr>
                <w:ilvl w:val="0"/>
                <w:numId w:val="17"/>
              </w:numPr>
              <w:ind w:left="180" w:hanging="180"/>
              <w:rPr>
                <w:rFonts w:cs="Arial"/>
              </w:rPr>
            </w:pPr>
            <w:r w:rsidRPr="002511EF">
              <w:rPr>
                <w:rFonts w:cs="Arial"/>
              </w:rPr>
              <w:t>Acquired Brain Injury (ABI) - Residential Habilitation (MA.40701)</w:t>
            </w:r>
          </w:p>
          <w:p w14:paraId="65EFD398" w14:textId="075CE196" w:rsidR="002511EF" w:rsidRPr="00D60652" w:rsidRDefault="002511EF" w:rsidP="004427AF">
            <w:pPr>
              <w:pStyle w:val="ListParagraph"/>
              <w:numPr>
                <w:ilvl w:val="0"/>
                <w:numId w:val="17"/>
              </w:numPr>
              <w:ind w:left="180" w:hanging="180"/>
              <w:rPr>
                <w:rFonts w:cs="Arial"/>
              </w:rPr>
            </w:pPr>
            <w:r w:rsidRPr="002511EF">
              <w:rPr>
                <w:rFonts w:cs="Arial"/>
              </w:rPr>
              <w:t>Moving Forward Plan (MFP) - Residential Supports (MA.1028)</w:t>
            </w:r>
          </w:p>
        </w:tc>
        <w:tc>
          <w:tcPr>
            <w:tcW w:w="638" w:type="pct"/>
          </w:tcPr>
          <w:p w14:paraId="3C956521" w14:textId="57AC4CB4" w:rsidR="002511EF" w:rsidRPr="002511EF" w:rsidRDefault="002511EF" w:rsidP="0067043D">
            <w:pPr>
              <w:rPr>
                <w:rFonts w:cs="Arial"/>
              </w:rPr>
            </w:pPr>
            <w:r w:rsidRPr="002511EF">
              <w:rPr>
                <w:rFonts w:cs="Arial"/>
              </w:rPr>
              <w:t>Assisted Living</w:t>
            </w:r>
          </w:p>
        </w:tc>
        <w:tc>
          <w:tcPr>
            <w:tcW w:w="643" w:type="pct"/>
          </w:tcPr>
          <w:p w14:paraId="4A5586F1" w14:textId="34C2B44B" w:rsidR="002511EF" w:rsidRPr="00D60652" w:rsidRDefault="002511EF" w:rsidP="0067043D">
            <w:pPr>
              <w:rPr>
                <w:rFonts w:cs="Arial"/>
              </w:rPr>
            </w:pPr>
            <w:r w:rsidRPr="002511EF">
              <w:rPr>
                <w:rFonts w:cs="Arial"/>
              </w:rPr>
              <w:t>Assisted Living</w:t>
            </w:r>
          </w:p>
        </w:tc>
        <w:tc>
          <w:tcPr>
            <w:tcW w:w="510" w:type="pct"/>
          </w:tcPr>
          <w:p w14:paraId="4E26B13A" w14:textId="2C8B6535" w:rsidR="002511EF" w:rsidRPr="00D60652" w:rsidRDefault="002511EF" w:rsidP="0067043D">
            <w:pPr>
              <w:jc w:val="center"/>
              <w:rPr>
                <w:rFonts w:cs="Arial"/>
              </w:rPr>
            </w:pPr>
            <w:r>
              <w:rPr>
                <w:rFonts w:cs="Arial"/>
              </w:rPr>
              <w:t>4</w:t>
            </w:r>
          </w:p>
        </w:tc>
        <w:tc>
          <w:tcPr>
            <w:tcW w:w="395" w:type="pct"/>
          </w:tcPr>
          <w:p w14:paraId="3D69EA91" w14:textId="7AB6726D" w:rsidR="002511EF" w:rsidRPr="00D60652" w:rsidRDefault="002511EF" w:rsidP="0009187F">
            <w:pPr>
              <w:jc w:val="center"/>
              <w:rPr>
                <w:rFonts w:cs="Arial"/>
              </w:rPr>
            </w:pPr>
            <w:r>
              <w:rPr>
                <w:rFonts w:cs="Arial"/>
              </w:rPr>
              <w:t>4</w:t>
            </w:r>
          </w:p>
        </w:tc>
        <w:tc>
          <w:tcPr>
            <w:tcW w:w="665" w:type="pct"/>
          </w:tcPr>
          <w:p w14:paraId="2358971E" w14:textId="4450A713" w:rsidR="002511EF" w:rsidRDefault="002511EF" w:rsidP="0067043D">
            <w:pPr>
              <w:jc w:val="center"/>
              <w:rPr>
                <w:rFonts w:cs="Arial"/>
              </w:rPr>
            </w:pPr>
            <w:r>
              <w:rPr>
                <w:rFonts w:cs="Arial"/>
              </w:rPr>
              <w:t>0</w:t>
            </w:r>
          </w:p>
        </w:tc>
        <w:tc>
          <w:tcPr>
            <w:tcW w:w="695" w:type="pct"/>
          </w:tcPr>
          <w:p w14:paraId="18AA1698" w14:textId="652657E5" w:rsidR="002511EF" w:rsidRDefault="002511EF" w:rsidP="0067043D">
            <w:pPr>
              <w:jc w:val="center"/>
              <w:rPr>
                <w:rFonts w:cs="Arial"/>
              </w:rPr>
            </w:pPr>
            <w:r>
              <w:rPr>
                <w:rFonts w:cs="Arial"/>
              </w:rPr>
              <w:t>0</w:t>
            </w:r>
          </w:p>
        </w:tc>
        <w:tc>
          <w:tcPr>
            <w:tcW w:w="528" w:type="pct"/>
            <w:tcBorders>
              <w:right w:val="single" w:sz="12" w:space="0" w:color="auto"/>
            </w:tcBorders>
          </w:tcPr>
          <w:p w14:paraId="50317DA4" w14:textId="0B06DDC9" w:rsidR="002511EF" w:rsidRDefault="002511EF" w:rsidP="0067043D">
            <w:pPr>
              <w:jc w:val="center"/>
              <w:rPr>
                <w:rFonts w:cs="Arial"/>
              </w:rPr>
            </w:pPr>
            <w:r>
              <w:rPr>
                <w:rFonts w:cs="Arial"/>
              </w:rPr>
              <w:t>0</w:t>
            </w:r>
          </w:p>
        </w:tc>
      </w:tr>
      <w:tr w:rsidR="00DD4A79" w:rsidRPr="00720F79" w14:paraId="66AA78F3" w14:textId="77777777" w:rsidTr="007F1DC3">
        <w:trPr>
          <w:cantSplit/>
          <w:trHeight w:val="620"/>
        </w:trPr>
        <w:tc>
          <w:tcPr>
            <w:tcW w:w="926" w:type="pct"/>
            <w:tcBorders>
              <w:left w:val="single" w:sz="12" w:space="0" w:color="auto"/>
            </w:tcBorders>
          </w:tcPr>
          <w:p w14:paraId="772041B4" w14:textId="77777777" w:rsidR="00C1370A" w:rsidRPr="002511EF" w:rsidRDefault="00C1370A" w:rsidP="004427AF">
            <w:pPr>
              <w:pStyle w:val="ListParagraph"/>
              <w:numPr>
                <w:ilvl w:val="0"/>
                <w:numId w:val="17"/>
              </w:numPr>
              <w:ind w:left="180" w:hanging="180"/>
              <w:rPr>
                <w:rFonts w:cs="Arial"/>
              </w:rPr>
            </w:pPr>
            <w:r w:rsidRPr="002511EF">
              <w:rPr>
                <w:rFonts w:cs="Arial"/>
              </w:rPr>
              <w:lastRenderedPageBreak/>
              <w:t>Acquired Brain Injury (ABI) - Residential Habilitation (MA.40701)</w:t>
            </w:r>
          </w:p>
          <w:p w14:paraId="413EB7C5" w14:textId="2B857B05" w:rsidR="00C1370A" w:rsidRPr="002511EF" w:rsidRDefault="00C1370A" w:rsidP="004427AF">
            <w:pPr>
              <w:pStyle w:val="ListParagraph"/>
              <w:numPr>
                <w:ilvl w:val="0"/>
                <w:numId w:val="17"/>
              </w:numPr>
              <w:ind w:left="180" w:hanging="180"/>
              <w:rPr>
                <w:rFonts w:cs="Arial"/>
              </w:rPr>
            </w:pPr>
            <w:r w:rsidRPr="002511EF">
              <w:rPr>
                <w:rFonts w:cs="Arial"/>
              </w:rPr>
              <w:t>Moving Forward Plan (MFP) - Residential Supports (MA.1028)</w:t>
            </w:r>
          </w:p>
        </w:tc>
        <w:tc>
          <w:tcPr>
            <w:tcW w:w="638" w:type="pct"/>
          </w:tcPr>
          <w:p w14:paraId="1E1CCC2C" w14:textId="3ACD468F" w:rsidR="00C1370A" w:rsidRPr="002511EF" w:rsidRDefault="00C1370A" w:rsidP="00C1370A">
            <w:pPr>
              <w:rPr>
                <w:rFonts w:cs="Arial"/>
              </w:rPr>
            </w:pPr>
            <w:r w:rsidRPr="002511EF">
              <w:rPr>
                <w:rFonts w:cs="Arial"/>
              </w:rPr>
              <w:t>Shared Living 24-Hour Supports</w:t>
            </w:r>
          </w:p>
        </w:tc>
        <w:tc>
          <w:tcPr>
            <w:tcW w:w="643" w:type="pct"/>
          </w:tcPr>
          <w:p w14:paraId="51D17206" w14:textId="7018AA52" w:rsidR="00C1370A" w:rsidRPr="002511EF" w:rsidRDefault="00C1370A" w:rsidP="00C1370A">
            <w:pPr>
              <w:rPr>
                <w:rFonts w:cs="Arial"/>
              </w:rPr>
            </w:pPr>
            <w:r w:rsidRPr="002511EF">
              <w:rPr>
                <w:rFonts w:cs="Arial"/>
              </w:rPr>
              <w:t>Placement Service Settings</w:t>
            </w:r>
          </w:p>
        </w:tc>
        <w:tc>
          <w:tcPr>
            <w:tcW w:w="510" w:type="pct"/>
          </w:tcPr>
          <w:p w14:paraId="6B10394D" w14:textId="0E9EBD5D" w:rsidR="00C1370A" w:rsidRDefault="00DD4A79" w:rsidP="00C1370A">
            <w:pPr>
              <w:jc w:val="center"/>
              <w:rPr>
                <w:rFonts w:cs="Arial"/>
              </w:rPr>
            </w:pPr>
            <w:r>
              <w:rPr>
                <w:rFonts w:cs="Arial"/>
              </w:rPr>
              <w:t>44</w:t>
            </w:r>
          </w:p>
        </w:tc>
        <w:tc>
          <w:tcPr>
            <w:tcW w:w="395" w:type="pct"/>
          </w:tcPr>
          <w:p w14:paraId="6873391B" w14:textId="7AD36210" w:rsidR="00C1370A" w:rsidRDefault="00DD4A79" w:rsidP="00C1370A">
            <w:pPr>
              <w:jc w:val="center"/>
              <w:rPr>
                <w:rFonts w:cs="Arial"/>
              </w:rPr>
            </w:pPr>
            <w:r>
              <w:rPr>
                <w:rFonts w:cs="Arial"/>
              </w:rPr>
              <w:t>44</w:t>
            </w:r>
          </w:p>
        </w:tc>
        <w:tc>
          <w:tcPr>
            <w:tcW w:w="665" w:type="pct"/>
          </w:tcPr>
          <w:p w14:paraId="27629DA6" w14:textId="29938978" w:rsidR="00C1370A" w:rsidRDefault="00C1370A" w:rsidP="00C1370A">
            <w:pPr>
              <w:jc w:val="center"/>
              <w:rPr>
                <w:rFonts w:cs="Arial"/>
              </w:rPr>
            </w:pPr>
            <w:r>
              <w:rPr>
                <w:rFonts w:cs="Arial"/>
              </w:rPr>
              <w:t>0</w:t>
            </w:r>
          </w:p>
        </w:tc>
        <w:tc>
          <w:tcPr>
            <w:tcW w:w="695" w:type="pct"/>
          </w:tcPr>
          <w:p w14:paraId="0D469ECF" w14:textId="1C0D90EB" w:rsidR="00C1370A" w:rsidRDefault="00C1370A" w:rsidP="00C1370A">
            <w:pPr>
              <w:jc w:val="center"/>
              <w:rPr>
                <w:rFonts w:cs="Arial"/>
              </w:rPr>
            </w:pPr>
            <w:r>
              <w:rPr>
                <w:rFonts w:cs="Arial"/>
              </w:rPr>
              <w:t>0</w:t>
            </w:r>
          </w:p>
        </w:tc>
        <w:tc>
          <w:tcPr>
            <w:tcW w:w="528" w:type="pct"/>
            <w:tcBorders>
              <w:right w:val="single" w:sz="12" w:space="0" w:color="auto"/>
            </w:tcBorders>
          </w:tcPr>
          <w:p w14:paraId="694712D6" w14:textId="4F7D566B" w:rsidR="00C1370A" w:rsidRDefault="00C1370A" w:rsidP="00C1370A">
            <w:pPr>
              <w:jc w:val="center"/>
              <w:rPr>
                <w:rFonts w:cs="Arial"/>
              </w:rPr>
            </w:pPr>
            <w:r>
              <w:rPr>
                <w:rFonts w:cs="Arial"/>
              </w:rPr>
              <w:t>0</w:t>
            </w:r>
          </w:p>
        </w:tc>
      </w:tr>
      <w:tr w:rsidR="00DD4A79" w:rsidRPr="00720F79" w14:paraId="377880D2" w14:textId="77777777" w:rsidTr="007F1DC3">
        <w:trPr>
          <w:cantSplit/>
          <w:trHeight w:val="620"/>
        </w:trPr>
        <w:tc>
          <w:tcPr>
            <w:tcW w:w="926" w:type="pct"/>
            <w:tcBorders>
              <w:left w:val="single" w:sz="12" w:space="0" w:color="auto"/>
            </w:tcBorders>
          </w:tcPr>
          <w:p w14:paraId="0E3BA18A" w14:textId="77777777" w:rsidR="00C1370A" w:rsidRPr="00CD74BA" w:rsidRDefault="00C1370A" w:rsidP="004427AF">
            <w:pPr>
              <w:pStyle w:val="ListParagraph"/>
              <w:numPr>
                <w:ilvl w:val="0"/>
                <w:numId w:val="17"/>
              </w:numPr>
              <w:ind w:left="180" w:hanging="180"/>
              <w:rPr>
                <w:rFonts w:cs="Arial"/>
              </w:rPr>
            </w:pPr>
            <w:r w:rsidRPr="00CD74BA">
              <w:rPr>
                <w:rFonts w:cs="Arial"/>
              </w:rPr>
              <w:t>Intensive Supports (MA.0827)</w:t>
            </w:r>
          </w:p>
          <w:p w14:paraId="20B0F0BE" w14:textId="77777777" w:rsidR="00C1370A" w:rsidRPr="00CD74BA" w:rsidRDefault="00C1370A" w:rsidP="004427AF">
            <w:pPr>
              <w:pStyle w:val="ListParagraph"/>
              <w:numPr>
                <w:ilvl w:val="0"/>
                <w:numId w:val="17"/>
              </w:numPr>
              <w:ind w:left="180" w:hanging="180"/>
              <w:rPr>
                <w:rFonts w:cs="Arial"/>
              </w:rPr>
            </w:pPr>
            <w:r w:rsidRPr="00CD74BA">
              <w:rPr>
                <w:rFonts w:cs="Arial"/>
              </w:rPr>
              <w:t>Community Living (MA.0826)</w:t>
            </w:r>
          </w:p>
          <w:p w14:paraId="53A7C478" w14:textId="3F10790C" w:rsidR="00C1370A" w:rsidRPr="002511EF" w:rsidRDefault="00C1370A" w:rsidP="004427AF">
            <w:pPr>
              <w:pStyle w:val="ListParagraph"/>
              <w:numPr>
                <w:ilvl w:val="0"/>
                <w:numId w:val="17"/>
              </w:numPr>
              <w:ind w:left="180" w:hanging="180"/>
              <w:rPr>
                <w:rFonts w:cs="Arial"/>
              </w:rPr>
            </w:pPr>
            <w:r w:rsidRPr="00CD74BA">
              <w:rPr>
                <w:rFonts w:cs="Arial"/>
              </w:rPr>
              <w:t>Adult Supports (MA.0828)</w:t>
            </w:r>
          </w:p>
        </w:tc>
        <w:tc>
          <w:tcPr>
            <w:tcW w:w="638" w:type="pct"/>
          </w:tcPr>
          <w:p w14:paraId="66290922" w14:textId="76009AE5" w:rsidR="00C1370A" w:rsidRPr="002511EF" w:rsidRDefault="00C1370A" w:rsidP="00C1370A">
            <w:pPr>
              <w:rPr>
                <w:rFonts w:cs="Arial"/>
              </w:rPr>
            </w:pPr>
            <w:r>
              <w:rPr>
                <w:rFonts w:cs="Arial"/>
              </w:rPr>
              <w:t>N/A - A</w:t>
            </w:r>
            <w:r w:rsidRPr="003C2ADB">
              <w:rPr>
                <w:rFonts w:cs="Arial"/>
              </w:rPr>
              <w:t xml:space="preserve"> variety of waiver services can be provided in </w:t>
            </w:r>
            <w:r>
              <w:rPr>
                <w:rFonts w:cs="Arial"/>
              </w:rPr>
              <w:t>Adult Foster Care settings</w:t>
            </w:r>
          </w:p>
        </w:tc>
        <w:tc>
          <w:tcPr>
            <w:tcW w:w="643" w:type="pct"/>
          </w:tcPr>
          <w:p w14:paraId="4F503983" w14:textId="104345B8" w:rsidR="00C1370A" w:rsidRPr="002511EF" w:rsidRDefault="00C1370A" w:rsidP="00C1370A">
            <w:pPr>
              <w:rPr>
                <w:rFonts w:cs="Arial"/>
              </w:rPr>
            </w:pPr>
            <w:r>
              <w:rPr>
                <w:rFonts w:cs="Arial"/>
              </w:rPr>
              <w:t>State Plan Adult Foster Care</w:t>
            </w:r>
          </w:p>
        </w:tc>
        <w:tc>
          <w:tcPr>
            <w:tcW w:w="510" w:type="pct"/>
          </w:tcPr>
          <w:p w14:paraId="53BB4076" w14:textId="7FD66780" w:rsidR="00C1370A" w:rsidRPr="628C881F" w:rsidRDefault="00C1370A" w:rsidP="00C1370A">
            <w:pPr>
              <w:jc w:val="center"/>
              <w:rPr>
                <w:rFonts w:cs="Arial"/>
              </w:rPr>
            </w:pPr>
            <w:r>
              <w:rPr>
                <w:rFonts w:cs="Arial"/>
              </w:rPr>
              <w:t>2,154</w:t>
            </w:r>
          </w:p>
        </w:tc>
        <w:tc>
          <w:tcPr>
            <w:tcW w:w="395" w:type="pct"/>
          </w:tcPr>
          <w:p w14:paraId="51A4E1F5" w14:textId="5F4D9A86" w:rsidR="00C1370A" w:rsidRPr="628C881F" w:rsidRDefault="00C1370A" w:rsidP="00C1370A">
            <w:pPr>
              <w:jc w:val="center"/>
              <w:rPr>
                <w:rFonts w:cs="Arial"/>
              </w:rPr>
            </w:pPr>
            <w:r>
              <w:rPr>
                <w:rFonts w:cs="Arial"/>
              </w:rPr>
              <w:t>1,805</w:t>
            </w:r>
          </w:p>
        </w:tc>
        <w:tc>
          <w:tcPr>
            <w:tcW w:w="665" w:type="pct"/>
          </w:tcPr>
          <w:p w14:paraId="3D7D4DD8" w14:textId="7B9243C8" w:rsidR="00C1370A" w:rsidRDefault="00C1370A" w:rsidP="00C1370A">
            <w:pPr>
              <w:jc w:val="center"/>
              <w:rPr>
                <w:rFonts w:cs="Arial"/>
              </w:rPr>
            </w:pPr>
            <w:r>
              <w:rPr>
                <w:rFonts w:cs="Arial"/>
              </w:rPr>
              <w:t xml:space="preserve">0 </w:t>
            </w:r>
          </w:p>
        </w:tc>
        <w:tc>
          <w:tcPr>
            <w:tcW w:w="695" w:type="pct"/>
          </w:tcPr>
          <w:p w14:paraId="6A464FF7" w14:textId="1BAF9B51" w:rsidR="00C1370A" w:rsidRDefault="005F64E0" w:rsidP="00C1370A">
            <w:pPr>
              <w:jc w:val="center"/>
              <w:rPr>
                <w:rFonts w:cs="Arial"/>
              </w:rPr>
            </w:pPr>
            <w:r>
              <w:rPr>
                <w:rFonts w:cs="Arial"/>
              </w:rPr>
              <w:t>308</w:t>
            </w:r>
          </w:p>
          <w:p w14:paraId="1268AFBA" w14:textId="00FA5403" w:rsidR="00735F66" w:rsidRDefault="00735F66" w:rsidP="00C1370A">
            <w:pPr>
              <w:jc w:val="center"/>
              <w:rPr>
                <w:rFonts w:cs="Arial"/>
              </w:rPr>
            </w:pPr>
            <w:r>
              <w:rPr>
                <w:rFonts w:cs="Arial"/>
              </w:rPr>
              <w:t xml:space="preserve">Remediation will be complete by March </w:t>
            </w:r>
            <w:r w:rsidR="007A0AA1">
              <w:rPr>
                <w:rFonts w:cs="Arial"/>
              </w:rPr>
              <w:t xml:space="preserve">17, </w:t>
            </w:r>
            <w:r w:rsidR="001117E8">
              <w:rPr>
                <w:rFonts w:cs="Arial"/>
              </w:rPr>
              <w:t>2023</w:t>
            </w:r>
          </w:p>
          <w:p w14:paraId="0B202925" w14:textId="7B619962" w:rsidR="00C1370A" w:rsidRDefault="00C1370A" w:rsidP="00C1370A">
            <w:pPr>
              <w:jc w:val="center"/>
              <w:rPr>
                <w:rFonts w:cs="Arial"/>
              </w:rPr>
            </w:pPr>
          </w:p>
        </w:tc>
        <w:tc>
          <w:tcPr>
            <w:tcW w:w="528" w:type="pct"/>
            <w:tcBorders>
              <w:right w:val="single" w:sz="12" w:space="0" w:color="auto"/>
            </w:tcBorders>
          </w:tcPr>
          <w:p w14:paraId="6BD72377" w14:textId="62946BBD" w:rsidR="00C1370A" w:rsidRDefault="00C1370A" w:rsidP="00C1370A">
            <w:pPr>
              <w:jc w:val="center"/>
              <w:rPr>
                <w:rFonts w:cs="Arial"/>
              </w:rPr>
            </w:pPr>
            <w:r>
              <w:rPr>
                <w:rFonts w:cs="Arial"/>
              </w:rPr>
              <w:t>0</w:t>
            </w:r>
          </w:p>
        </w:tc>
      </w:tr>
    </w:tbl>
    <w:p w14:paraId="178C1826" w14:textId="77777777" w:rsidR="003E297A" w:rsidRDefault="003E297A" w:rsidP="008E7527">
      <w:pPr>
        <w:pStyle w:val="Heading2"/>
      </w:pPr>
    </w:p>
    <w:p w14:paraId="06A58B7A" w14:textId="11B63E98" w:rsidR="00C1370A" w:rsidRPr="00144BE9" w:rsidRDefault="00C1370A" w:rsidP="00144BE9">
      <w:pPr>
        <w:pStyle w:val="Heading3"/>
        <w:rPr>
          <w:sz w:val="26"/>
          <w:szCs w:val="26"/>
        </w:rPr>
      </w:pPr>
      <w:r w:rsidRPr="00144BE9">
        <w:rPr>
          <w:sz w:val="26"/>
          <w:szCs w:val="26"/>
        </w:rPr>
        <w:t>Department of Developmental Services – Non-Residential Settings</w:t>
      </w: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509"/>
        <w:gridCol w:w="1439"/>
        <w:gridCol w:w="1537"/>
        <w:gridCol w:w="1268"/>
        <w:gridCol w:w="860"/>
        <w:gridCol w:w="1463"/>
        <w:gridCol w:w="1576"/>
        <w:gridCol w:w="974"/>
      </w:tblGrid>
      <w:tr w:rsidR="00B8688B" w:rsidRPr="00720F79" w14:paraId="19D1E34A" w14:textId="79A78FB2" w:rsidTr="00B8688B">
        <w:trPr>
          <w:cantSplit/>
          <w:trHeight w:val="288"/>
          <w:tblHeader/>
        </w:trPr>
        <w:tc>
          <w:tcPr>
            <w:tcW w:w="704" w:type="pct"/>
            <w:tcBorders>
              <w:top w:val="single" w:sz="12" w:space="0" w:color="auto"/>
              <w:left w:val="single" w:sz="12" w:space="0" w:color="auto"/>
              <w:bottom w:val="single" w:sz="12" w:space="0" w:color="auto"/>
            </w:tcBorders>
            <w:shd w:val="clear" w:color="auto" w:fill="B8CCE4" w:themeFill="accent1" w:themeFillTint="66"/>
            <w:vAlign w:val="center"/>
          </w:tcPr>
          <w:p w14:paraId="3583BC0C" w14:textId="6BC70D49" w:rsidR="00AC0C5A" w:rsidRPr="003C2ADB" w:rsidRDefault="00AC0C5A" w:rsidP="00AC0C5A">
            <w:pPr>
              <w:jc w:val="center"/>
              <w:rPr>
                <w:rFonts w:cs="Arial"/>
                <w:b/>
              </w:rPr>
            </w:pPr>
            <w:r w:rsidRPr="003C2ADB">
              <w:rPr>
                <w:rFonts w:cs="Arial"/>
                <w:b/>
              </w:rPr>
              <w:t>Waiver(s)</w:t>
            </w:r>
          </w:p>
        </w:tc>
        <w:tc>
          <w:tcPr>
            <w:tcW w:w="671" w:type="pct"/>
            <w:tcBorders>
              <w:top w:val="single" w:sz="12" w:space="0" w:color="auto"/>
              <w:bottom w:val="single" w:sz="12" w:space="0" w:color="auto"/>
            </w:tcBorders>
            <w:shd w:val="clear" w:color="auto" w:fill="B8CCE4" w:themeFill="accent1" w:themeFillTint="66"/>
            <w:vAlign w:val="center"/>
          </w:tcPr>
          <w:p w14:paraId="2C409CF2" w14:textId="2CB4E0BC" w:rsidR="00AC0C5A" w:rsidRPr="00720F79" w:rsidRDefault="00AC0C5A" w:rsidP="00AC0C5A">
            <w:pPr>
              <w:jc w:val="center"/>
            </w:pPr>
            <w:r>
              <w:rPr>
                <w:rFonts w:cs="Arial"/>
                <w:b/>
              </w:rPr>
              <w:t xml:space="preserve">Waiver </w:t>
            </w:r>
            <w:r w:rsidRPr="003C2ADB">
              <w:rPr>
                <w:rFonts w:cs="Arial"/>
                <w:b/>
              </w:rPr>
              <w:t>Service</w:t>
            </w:r>
          </w:p>
        </w:tc>
        <w:tc>
          <w:tcPr>
            <w:tcW w:w="717" w:type="pct"/>
            <w:tcBorders>
              <w:top w:val="single" w:sz="12" w:space="0" w:color="auto"/>
              <w:bottom w:val="single" w:sz="12" w:space="0" w:color="auto"/>
            </w:tcBorders>
            <w:shd w:val="clear" w:color="auto" w:fill="B8CCE4" w:themeFill="accent1" w:themeFillTint="66"/>
            <w:vAlign w:val="center"/>
          </w:tcPr>
          <w:p w14:paraId="45D1BE5D" w14:textId="4153AC2B" w:rsidR="00AC0C5A" w:rsidRPr="00720F79" w:rsidRDefault="00AC0C5A" w:rsidP="00AC0C5A">
            <w:pPr>
              <w:jc w:val="center"/>
            </w:pPr>
            <w:r w:rsidRPr="003C2ADB">
              <w:rPr>
                <w:rFonts w:cs="Arial"/>
                <w:b/>
              </w:rPr>
              <w:t>Type of Setting</w:t>
            </w:r>
          </w:p>
        </w:tc>
        <w:tc>
          <w:tcPr>
            <w:tcW w:w="505" w:type="pct"/>
            <w:tcBorders>
              <w:top w:val="single" w:sz="12" w:space="0" w:color="auto"/>
              <w:bottom w:val="single" w:sz="12" w:space="0" w:color="auto"/>
            </w:tcBorders>
            <w:shd w:val="clear" w:color="auto" w:fill="B8CCE4" w:themeFill="accent1" w:themeFillTint="66"/>
            <w:vAlign w:val="center"/>
          </w:tcPr>
          <w:p w14:paraId="1A80D672" w14:textId="4200B687" w:rsidR="00AC0C5A" w:rsidRPr="00720F79" w:rsidRDefault="00AC0C5A" w:rsidP="00AC0C5A">
            <w:pPr>
              <w:jc w:val="center"/>
            </w:pPr>
            <w:r w:rsidRPr="003C2ADB">
              <w:rPr>
                <w:rFonts w:cs="Arial"/>
                <w:b/>
              </w:rPr>
              <w:t>Number of Settings</w:t>
            </w:r>
          </w:p>
        </w:tc>
        <w:tc>
          <w:tcPr>
            <w:tcW w:w="443" w:type="pct"/>
            <w:tcBorders>
              <w:top w:val="single" w:sz="12" w:space="0" w:color="auto"/>
              <w:bottom w:val="single" w:sz="12" w:space="0" w:color="auto"/>
            </w:tcBorders>
            <w:shd w:val="clear" w:color="auto" w:fill="B8CCE4" w:themeFill="accent1" w:themeFillTint="66"/>
            <w:vAlign w:val="center"/>
          </w:tcPr>
          <w:p w14:paraId="5BAF9307" w14:textId="486BCF41" w:rsidR="00AC0C5A" w:rsidRPr="00720F79" w:rsidRDefault="00AC0C5A" w:rsidP="00AC0C5A">
            <w:pPr>
              <w:jc w:val="center"/>
            </w:pPr>
            <w:r w:rsidRPr="003C2ADB">
              <w:rPr>
                <w:rFonts w:cs="Arial"/>
                <w:b/>
              </w:rPr>
              <w:t>Meets HCBS</w:t>
            </w:r>
          </w:p>
        </w:tc>
        <w:tc>
          <w:tcPr>
            <w:tcW w:w="726" w:type="pct"/>
            <w:tcBorders>
              <w:top w:val="single" w:sz="12" w:space="0" w:color="auto"/>
              <w:bottom w:val="single" w:sz="12" w:space="0" w:color="auto"/>
            </w:tcBorders>
            <w:shd w:val="clear" w:color="auto" w:fill="B8CCE4" w:themeFill="accent1" w:themeFillTint="66"/>
            <w:vAlign w:val="center"/>
          </w:tcPr>
          <w:p w14:paraId="79A8558C" w14:textId="6B28B126" w:rsidR="00AC0C5A" w:rsidRPr="00720F79" w:rsidRDefault="00AC0C5A" w:rsidP="00AC0C5A">
            <w:pPr>
              <w:jc w:val="center"/>
              <w:rPr>
                <w:rFonts w:cs="Arial"/>
                <w:b/>
              </w:rPr>
            </w:pPr>
            <w:r>
              <w:rPr>
                <w:rFonts w:cs="Arial"/>
                <w:b/>
              </w:rPr>
              <w:t xml:space="preserve">Meets HCBS, but subject to Heightened </w:t>
            </w:r>
            <w:r w:rsidR="6BB9EEBA" w:rsidRPr="2DBE62B9">
              <w:rPr>
                <w:rFonts w:cs="Arial"/>
                <w:b/>
                <w:bCs/>
              </w:rPr>
              <w:t>Sc</w:t>
            </w:r>
            <w:r w:rsidR="1E25BAD2" w:rsidRPr="2DBE62B9">
              <w:rPr>
                <w:rFonts w:cs="Arial"/>
                <w:b/>
                <w:bCs/>
              </w:rPr>
              <w:t>r</w:t>
            </w:r>
            <w:r w:rsidR="6BB9EEBA" w:rsidRPr="2DBE62B9">
              <w:rPr>
                <w:rFonts w:cs="Arial"/>
                <w:b/>
                <w:bCs/>
              </w:rPr>
              <w:t>utiny</w:t>
            </w:r>
          </w:p>
        </w:tc>
        <w:tc>
          <w:tcPr>
            <w:tcW w:w="779" w:type="pct"/>
            <w:tcBorders>
              <w:top w:val="single" w:sz="12" w:space="0" w:color="auto"/>
              <w:bottom w:val="single" w:sz="12" w:space="0" w:color="auto"/>
            </w:tcBorders>
            <w:shd w:val="clear" w:color="auto" w:fill="B8CCE4" w:themeFill="accent1" w:themeFillTint="66"/>
            <w:vAlign w:val="center"/>
          </w:tcPr>
          <w:p w14:paraId="7BB14B9E" w14:textId="128C5405" w:rsidR="00AC0C5A" w:rsidRDefault="00AC0C5A" w:rsidP="00AC0C5A">
            <w:pPr>
              <w:jc w:val="center"/>
              <w:rPr>
                <w:rFonts w:cs="Arial"/>
                <w:b/>
              </w:rPr>
            </w:pPr>
            <w:r w:rsidRPr="003C2ADB">
              <w:rPr>
                <w:rFonts w:cs="Arial"/>
                <w:b/>
              </w:rPr>
              <w:t xml:space="preserve">Not </w:t>
            </w:r>
            <w:proofErr w:type="gramStart"/>
            <w:r w:rsidRPr="003C2ADB">
              <w:rPr>
                <w:rFonts w:cs="Arial"/>
                <w:b/>
              </w:rPr>
              <w:t>yet;</w:t>
            </w:r>
            <w:proofErr w:type="gramEnd"/>
          </w:p>
          <w:p w14:paraId="49E6CC2D" w14:textId="57FBF511" w:rsidR="00AC0C5A" w:rsidRPr="00720F79" w:rsidRDefault="00AC0C5A" w:rsidP="00AC0C5A">
            <w:pPr>
              <w:jc w:val="center"/>
            </w:pPr>
            <w:r>
              <w:rPr>
                <w:rFonts w:cs="Arial"/>
                <w:b/>
              </w:rPr>
              <w:t>individual site assessment in process</w:t>
            </w:r>
          </w:p>
        </w:tc>
        <w:tc>
          <w:tcPr>
            <w:tcW w:w="455" w:type="pct"/>
            <w:tcBorders>
              <w:top w:val="single" w:sz="12" w:space="0" w:color="auto"/>
              <w:bottom w:val="single" w:sz="12" w:space="0" w:color="auto"/>
              <w:right w:val="single" w:sz="12" w:space="0" w:color="auto"/>
            </w:tcBorders>
            <w:shd w:val="clear" w:color="auto" w:fill="B8CCE4" w:themeFill="accent1" w:themeFillTint="66"/>
            <w:vAlign w:val="center"/>
          </w:tcPr>
          <w:p w14:paraId="3633BEFA" w14:textId="77F563B7" w:rsidR="00AC0C5A" w:rsidRPr="00720F79" w:rsidRDefault="00AC0C5A" w:rsidP="00AC0C5A">
            <w:pPr>
              <w:jc w:val="center"/>
            </w:pPr>
            <w:r w:rsidRPr="003C2ADB">
              <w:rPr>
                <w:rFonts w:cs="Arial"/>
                <w:b/>
              </w:rPr>
              <w:t>No; Cannot Meet</w:t>
            </w:r>
          </w:p>
        </w:tc>
      </w:tr>
      <w:tr w:rsidR="00AC0C5A" w:rsidRPr="00720F79" w14:paraId="1B4C10DE" w14:textId="77777777" w:rsidTr="001E0FCC">
        <w:trPr>
          <w:cantSplit/>
          <w:trHeight w:val="627"/>
        </w:trPr>
        <w:tc>
          <w:tcPr>
            <w:tcW w:w="704" w:type="pct"/>
          </w:tcPr>
          <w:p w14:paraId="6D99D942" w14:textId="77777777" w:rsidR="00C1370A" w:rsidRPr="008F4C80" w:rsidRDefault="00C1370A" w:rsidP="004427AF">
            <w:pPr>
              <w:pStyle w:val="ListParagraph"/>
              <w:numPr>
                <w:ilvl w:val="0"/>
                <w:numId w:val="16"/>
              </w:numPr>
              <w:ind w:left="180" w:hanging="180"/>
              <w:rPr>
                <w:rFonts w:cs="Arial"/>
              </w:rPr>
            </w:pPr>
            <w:r w:rsidRPr="008F4C80">
              <w:rPr>
                <w:rFonts w:cs="Arial"/>
              </w:rPr>
              <w:t>Intensive Supports (MA.0827)</w:t>
            </w:r>
          </w:p>
          <w:p w14:paraId="4230B8F4" w14:textId="77777777" w:rsidR="00C1370A" w:rsidRPr="008F4C80" w:rsidRDefault="00C1370A" w:rsidP="004427AF">
            <w:pPr>
              <w:pStyle w:val="ListParagraph"/>
              <w:numPr>
                <w:ilvl w:val="0"/>
                <w:numId w:val="16"/>
              </w:numPr>
              <w:ind w:left="180" w:hanging="180"/>
              <w:rPr>
                <w:rFonts w:cs="Arial"/>
              </w:rPr>
            </w:pPr>
            <w:r w:rsidRPr="008F4C80">
              <w:rPr>
                <w:rFonts w:cs="Arial"/>
              </w:rPr>
              <w:t>Community Living (MA.0826)</w:t>
            </w:r>
          </w:p>
          <w:p w14:paraId="731A82D8" w14:textId="62344BC5" w:rsidR="00C1370A" w:rsidRPr="003C2ADB" w:rsidRDefault="00C1370A" w:rsidP="004427AF">
            <w:pPr>
              <w:pStyle w:val="ListParagraph"/>
              <w:numPr>
                <w:ilvl w:val="0"/>
                <w:numId w:val="16"/>
              </w:numPr>
              <w:ind w:left="180" w:hanging="180"/>
              <w:rPr>
                <w:rFonts w:cs="Arial"/>
              </w:rPr>
            </w:pPr>
            <w:r w:rsidRPr="008F4C80">
              <w:rPr>
                <w:rFonts w:cs="Arial"/>
              </w:rPr>
              <w:t>Adult Supports (MA.0828)</w:t>
            </w:r>
          </w:p>
        </w:tc>
        <w:tc>
          <w:tcPr>
            <w:tcW w:w="671" w:type="pct"/>
          </w:tcPr>
          <w:p w14:paraId="5B1A8DA8" w14:textId="22146D0D" w:rsidR="00C1370A" w:rsidRPr="003C2ADB" w:rsidRDefault="00C1370A" w:rsidP="00C1370A">
            <w:pPr>
              <w:rPr>
                <w:rFonts w:cs="Arial"/>
              </w:rPr>
            </w:pPr>
            <w:r w:rsidRPr="008F4C80">
              <w:rPr>
                <w:rFonts w:cs="Arial"/>
              </w:rPr>
              <w:t>Center Based Day Supports</w:t>
            </w:r>
          </w:p>
        </w:tc>
        <w:tc>
          <w:tcPr>
            <w:tcW w:w="717" w:type="pct"/>
          </w:tcPr>
          <w:p w14:paraId="24B9432B" w14:textId="1554E9CF" w:rsidR="00C1370A" w:rsidRPr="003C2ADB" w:rsidRDefault="00C1370A" w:rsidP="00C1370A">
            <w:pPr>
              <w:rPr>
                <w:rFonts w:cs="Arial"/>
              </w:rPr>
            </w:pPr>
            <w:r w:rsidRPr="008F4C80">
              <w:rPr>
                <w:rFonts w:cs="Arial"/>
              </w:rPr>
              <w:t>Sheltered workshops</w:t>
            </w:r>
          </w:p>
        </w:tc>
        <w:tc>
          <w:tcPr>
            <w:tcW w:w="505" w:type="pct"/>
          </w:tcPr>
          <w:p w14:paraId="7ADF727F" w14:textId="77777777" w:rsidR="00C1370A" w:rsidRDefault="00C1370A" w:rsidP="00C1370A">
            <w:pPr>
              <w:jc w:val="center"/>
              <w:rPr>
                <w:rFonts w:cs="Arial"/>
              </w:rPr>
            </w:pPr>
            <w:r>
              <w:rPr>
                <w:rFonts w:cs="Arial"/>
              </w:rPr>
              <w:t>0</w:t>
            </w:r>
          </w:p>
          <w:p w14:paraId="725299FE" w14:textId="6938660C" w:rsidR="00A1521A" w:rsidRPr="00BF0166" w:rsidRDefault="00A1521A" w:rsidP="00C1370A">
            <w:pPr>
              <w:jc w:val="center"/>
              <w:rPr>
                <w:rFonts w:cs="Arial"/>
                <w:bCs/>
              </w:rPr>
            </w:pPr>
            <w:r w:rsidRPr="00BF0166">
              <w:rPr>
                <w:rFonts w:cs="Arial"/>
                <w:bCs/>
              </w:rPr>
              <w:t>All Remaining Closed (June 2016)</w:t>
            </w:r>
          </w:p>
        </w:tc>
        <w:tc>
          <w:tcPr>
            <w:tcW w:w="443" w:type="pct"/>
          </w:tcPr>
          <w:p w14:paraId="65EA8927" w14:textId="4010D01D" w:rsidR="00C1370A" w:rsidRPr="003C2ADB" w:rsidRDefault="00C1370A" w:rsidP="00C1370A">
            <w:pPr>
              <w:jc w:val="center"/>
              <w:rPr>
                <w:rFonts w:cs="Arial"/>
              </w:rPr>
            </w:pPr>
            <w:r>
              <w:rPr>
                <w:rFonts w:cs="Arial"/>
              </w:rPr>
              <w:t>0</w:t>
            </w:r>
          </w:p>
        </w:tc>
        <w:tc>
          <w:tcPr>
            <w:tcW w:w="726" w:type="pct"/>
          </w:tcPr>
          <w:p w14:paraId="6AEEAD1A" w14:textId="6B61F28D" w:rsidR="00C1370A" w:rsidRPr="00A1521A" w:rsidRDefault="00A1521A" w:rsidP="00C1370A">
            <w:pPr>
              <w:jc w:val="center"/>
              <w:rPr>
                <w:rFonts w:cs="Arial"/>
                <w:bCs/>
              </w:rPr>
            </w:pPr>
            <w:r w:rsidRPr="00A1521A">
              <w:rPr>
                <w:rFonts w:cs="Arial"/>
                <w:bCs/>
              </w:rPr>
              <w:t>0</w:t>
            </w:r>
          </w:p>
        </w:tc>
        <w:tc>
          <w:tcPr>
            <w:tcW w:w="779" w:type="pct"/>
          </w:tcPr>
          <w:p w14:paraId="6173B907" w14:textId="27A300DD" w:rsidR="00C1370A" w:rsidRPr="00A1521A" w:rsidRDefault="00A1521A" w:rsidP="00C1370A">
            <w:pPr>
              <w:jc w:val="center"/>
              <w:rPr>
                <w:rFonts w:cs="Arial"/>
                <w:bCs/>
              </w:rPr>
            </w:pPr>
            <w:r w:rsidRPr="00A1521A">
              <w:rPr>
                <w:rFonts w:cs="Arial"/>
                <w:bCs/>
              </w:rPr>
              <w:t>0</w:t>
            </w:r>
          </w:p>
        </w:tc>
        <w:tc>
          <w:tcPr>
            <w:tcW w:w="455" w:type="pct"/>
          </w:tcPr>
          <w:p w14:paraId="719C7BF3" w14:textId="3364E6E4" w:rsidR="00C1370A" w:rsidRPr="00A1521A" w:rsidRDefault="00A1521A" w:rsidP="00C1370A">
            <w:pPr>
              <w:jc w:val="center"/>
              <w:rPr>
                <w:rFonts w:cs="Arial"/>
                <w:bCs/>
              </w:rPr>
            </w:pPr>
            <w:r w:rsidRPr="00A1521A">
              <w:rPr>
                <w:rFonts w:cs="Arial"/>
                <w:bCs/>
              </w:rPr>
              <w:t>0</w:t>
            </w:r>
          </w:p>
        </w:tc>
      </w:tr>
      <w:tr w:rsidR="00AC0C5A" w:rsidRPr="00720F79" w14:paraId="52B7664C" w14:textId="77777777" w:rsidTr="001E0FCC">
        <w:trPr>
          <w:cantSplit/>
          <w:trHeight w:val="161"/>
        </w:trPr>
        <w:tc>
          <w:tcPr>
            <w:tcW w:w="704" w:type="pct"/>
          </w:tcPr>
          <w:p w14:paraId="302B2A77" w14:textId="77777777" w:rsidR="00C1370A" w:rsidRPr="00EF5B2D" w:rsidRDefault="00C1370A" w:rsidP="004427AF">
            <w:pPr>
              <w:numPr>
                <w:ilvl w:val="0"/>
                <w:numId w:val="16"/>
              </w:numPr>
              <w:ind w:left="180" w:hanging="180"/>
              <w:rPr>
                <w:rFonts w:cs="Arial"/>
              </w:rPr>
            </w:pPr>
            <w:r w:rsidRPr="00EF5B2D">
              <w:rPr>
                <w:rFonts w:cs="Arial"/>
              </w:rPr>
              <w:lastRenderedPageBreak/>
              <w:t>Intensive Supports (MA.0827)</w:t>
            </w:r>
          </w:p>
          <w:p w14:paraId="7FF1AC00" w14:textId="77777777" w:rsidR="00C1370A" w:rsidRDefault="00C1370A" w:rsidP="004427AF">
            <w:pPr>
              <w:numPr>
                <w:ilvl w:val="0"/>
                <w:numId w:val="16"/>
              </w:numPr>
              <w:ind w:left="180" w:hanging="180"/>
              <w:rPr>
                <w:rFonts w:cs="Arial"/>
              </w:rPr>
            </w:pPr>
            <w:r w:rsidRPr="00EF5B2D">
              <w:rPr>
                <w:rFonts w:cs="Arial"/>
              </w:rPr>
              <w:t>Community Living (MA.0826)</w:t>
            </w:r>
          </w:p>
          <w:p w14:paraId="5126A2E4" w14:textId="13DCADCC" w:rsidR="00C1370A" w:rsidRPr="003C2ADB" w:rsidRDefault="00C1370A" w:rsidP="004427AF">
            <w:pPr>
              <w:numPr>
                <w:ilvl w:val="0"/>
                <w:numId w:val="16"/>
              </w:numPr>
              <w:ind w:left="180" w:hanging="180"/>
              <w:rPr>
                <w:rFonts w:cs="Arial"/>
              </w:rPr>
            </w:pPr>
            <w:r w:rsidRPr="00EF5B2D">
              <w:rPr>
                <w:rFonts w:cs="Arial"/>
              </w:rPr>
              <w:t>Adult Supports (MA.0828</w:t>
            </w:r>
            <w:r>
              <w:rPr>
                <w:rFonts w:cs="Arial"/>
              </w:rPr>
              <w:t>)</w:t>
            </w:r>
          </w:p>
        </w:tc>
        <w:tc>
          <w:tcPr>
            <w:tcW w:w="671" w:type="pct"/>
          </w:tcPr>
          <w:p w14:paraId="5243EB54" w14:textId="11D814E5" w:rsidR="00C1370A" w:rsidRPr="003C2ADB" w:rsidRDefault="00C1370A" w:rsidP="00C1370A">
            <w:pPr>
              <w:rPr>
                <w:rFonts w:cs="Arial"/>
              </w:rPr>
            </w:pPr>
            <w:r>
              <w:rPr>
                <w:rFonts w:cs="Arial"/>
              </w:rPr>
              <w:t>Community Based Day Supports</w:t>
            </w:r>
          </w:p>
        </w:tc>
        <w:tc>
          <w:tcPr>
            <w:tcW w:w="717" w:type="pct"/>
          </w:tcPr>
          <w:p w14:paraId="4D9387A8" w14:textId="307A1AC0" w:rsidR="00C1370A" w:rsidRPr="003C2ADB" w:rsidRDefault="00C1370A" w:rsidP="00C1370A">
            <w:pPr>
              <w:rPr>
                <w:rFonts w:cs="Arial"/>
              </w:rPr>
            </w:pPr>
            <w:r w:rsidRPr="628C881F">
              <w:rPr>
                <w:rFonts w:cs="Arial"/>
              </w:rPr>
              <w:t>Community Based Day Supports Private Provider</w:t>
            </w:r>
          </w:p>
        </w:tc>
        <w:tc>
          <w:tcPr>
            <w:tcW w:w="505" w:type="pct"/>
          </w:tcPr>
          <w:p w14:paraId="2B6212AA" w14:textId="038FC953" w:rsidR="00C1370A" w:rsidRPr="003C2ADB" w:rsidRDefault="00C1370A" w:rsidP="00C1370A">
            <w:pPr>
              <w:spacing w:after="200" w:line="276" w:lineRule="auto"/>
              <w:jc w:val="center"/>
              <w:rPr>
                <w:rFonts w:eastAsia="MS Mincho" w:cs="Arial"/>
              </w:rPr>
            </w:pPr>
            <w:r>
              <w:rPr>
                <w:rFonts w:cs="Arial"/>
              </w:rPr>
              <w:t>224</w:t>
            </w:r>
          </w:p>
        </w:tc>
        <w:tc>
          <w:tcPr>
            <w:tcW w:w="443" w:type="pct"/>
          </w:tcPr>
          <w:p w14:paraId="6C72D880" w14:textId="190A56EE" w:rsidR="00C1370A" w:rsidRPr="003C2ADB" w:rsidRDefault="00C1370A" w:rsidP="00C1370A">
            <w:pPr>
              <w:jc w:val="center"/>
              <w:rPr>
                <w:rFonts w:cs="Arial"/>
              </w:rPr>
            </w:pPr>
            <w:r>
              <w:rPr>
                <w:rFonts w:cs="Arial"/>
              </w:rPr>
              <w:t>224</w:t>
            </w:r>
          </w:p>
        </w:tc>
        <w:tc>
          <w:tcPr>
            <w:tcW w:w="726" w:type="pct"/>
          </w:tcPr>
          <w:p w14:paraId="0CE8910D" w14:textId="4E9B6B7B" w:rsidR="00C1370A" w:rsidRPr="003C2ADB" w:rsidRDefault="00C1370A" w:rsidP="00C1370A">
            <w:pPr>
              <w:jc w:val="center"/>
              <w:rPr>
                <w:rFonts w:cs="Arial"/>
              </w:rPr>
            </w:pPr>
            <w:r>
              <w:rPr>
                <w:rFonts w:cs="Arial"/>
              </w:rPr>
              <w:t>0</w:t>
            </w:r>
          </w:p>
        </w:tc>
        <w:tc>
          <w:tcPr>
            <w:tcW w:w="779" w:type="pct"/>
          </w:tcPr>
          <w:p w14:paraId="51115E96" w14:textId="0446C0D6" w:rsidR="00C1370A" w:rsidRPr="003C2ADB" w:rsidRDefault="00C1370A" w:rsidP="00C1370A">
            <w:pPr>
              <w:jc w:val="center"/>
              <w:rPr>
                <w:rFonts w:cs="Arial"/>
              </w:rPr>
            </w:pPr>
            <w:r>
              <w:rPr>
                <w:rFonts w:cs="Arial"/>
              </w:rPr>
              <w:t>0</w:t>
            </w:r>
          </w:p>
        </w:tc>
        <w:tc>
          <w:tcPr>
            <w:tcW w:w="455" w:type="pct"/>
          </w:tcPr>
          <w:p w14:paraId="2266898B" w14:textId="77777777" w:rsidR="00C1370A" w:rsidRPr="003C2ADB" w:rsidRDefault="00C1370A" w:rsidP="00C1370A">
            <w:pPr>
              <w:jc w:val="center"/>
              <w:rPr>
                <w:rFonts w:cs="Arial"/>
              </w:rPr>
            </w:pPr>
            <w:r w:rsidRPr="003C2ADB">
              <w:rPr>
                <w:rFonts w:cs="Arial"/>
              </w:rPr>
              <w:t>0</w:t>
            </w:r>
          </w:p>
        </w:tc>
      </w:tr>
      <w:tr w:rsidR="00AC0C5A" w14:paraId="61839C10" w14:textId="77777777" w:rsidTr="001E0FCC">
        <w:trPr>
          <w:cantSplit/>
          <w:trHeight w:val="161"/>
        </w:trPr>
        <w:tc>
          <w:tcPr>
            <w:tcW w:w="704" w:type="pct"/>
          </w:tcPr>
          <w:p w14:paraId="2104494E" w14:textId="30BA992E" w:rsidR="00C1370A" w:rsidRPr="00B7192F" w:rsidRDefault="00C1370A" w:rsidP="004427AF">
            <w:pPr>
              <w:numPr>
                <w:ilvl w:val="0"/>
                <w:numId w:val="16"/>
              </w:numPr>
              <w:ind w:left="180" w:hanging="180"/>
              <w:rPr>
                <w:rFonts w:cs="Arial"/>
              </w:rPr>
            </w:pPr>
            <w:r w:rsidRPr="628C881F">
              <w:rPr>
                <w:rFonts w:cs="Arial"/>
              </w:rPr>
              <w:t>Intensive Supports (MA.0827)</w:t>
            </w:r>
          </w:p>
          <w:p w14:paraId="3ACAA059" w14:textId="77777777" w:rsidR="00C1370A" w:rsidRPr="00B7192F" w:rsidRDefault="00C1370A" w:rsidP="004427AF">
            <w:pPr>
              <w:numPr>
                <w:ilvl w:val="0"/>
                <w:numId w:val="16"/>
              </w:numPr>
              <w:ind w:left="180" w:hanging="180"/>
              <w:rPr>
                <w:rFonts w:cs="Arial"/>
              </w:rPr>
            </w:pPr>
            <w:r w:rsidRPr="628C881F">
              <w:rPr>
                <w:rFonts w:cs="Arial"/>
              </w:rPr>
              <w:t>Community Living (MA.0826)</w:t>
            </w:r>
          </w:p>
          <w:p w14:paraId="48EEFBA3" w14:textId="77777777" w:rsidR="00C1370A" w:rsidRPr="009F5522" w:rsidRDefault="00C1370A" w:rsidP="004427AF">
            <w:pPr>
              <w:numPr>
                <w:ilvl w:val="0"/>
                <w:numId w:val="16"/>
              </w:numPr>
              <w:ind w:left="180" w:hanging="180"/>
              <w:rPr>
                <w:rFonts w:asciiTheme="minorHAnsi" w:hAnsiTheme="minorHAnsi"/>
              </w:rPr>
            </w:pPr>
            <w:r w:rsidRPr="628C881F">
              <w:rPr>
                <w:rFonts w:cs="Arial"/>
              </w:rPr>
              <w:t>Adult Supports (MA.0828)</w:t>
            </w:r>
          </w:p>
          <w:p w14:paraId="1A1BDC17" w14:textId="3A4ED04F" w:rsidR="00C1370A" w:rsidRDefault="00C1370A" w:rsidP="00144BE9">
            <w:pPr>
              <w:rPr>
                <w:rFonts w:asciiTheme="minorHAnsi" w:hAnsiTheme="minorHAnsi"/>
              </w:rPr>
            </w:pPr>
          </w:p>
        </w:tc>
        <w:tc>
          <w:tcPr>
            <w:tcW w:w="671" w:type="pct"/>
          </w:tcPr>
          <w:p w14:paraId="07B6412E" w14:textId="11D814E5" w:rsidR="00C1370A" w:rsidRDefault="00C1370A" w:rsidP="00C1370A">
            <w:pPr>
              <w:rPr>
                <w:rFonts w:cs="Arial"/>
              </w:rPr>
            </w:pPr>
            <w:r w:rsidRPr="628C881F">
              <w:rPr>
                <w:rFonts w:cs="Arial"/>
              </w:rPr>
              <w:t>Community Based Day Supports</w:t>
            </w:r>
          </w:p>
          <w:p w14:paraId="16EAB5F1" w14:textId="4F7812DC" w:rsidR="00C1370A" w:rsidRDefault="00C1370A" w:rsidP="00C1370A">
            <w:pPr>
              <w:rPr>
                <w:rFonts w:eastAsia="MS Mincho" w:cs="Arial"/>
              </w:rPr>
            </w:pPr>
          </w:p>
        </w:tc>
        <w:tc>
          <w:tcPr>
            <w:tcW w:w="717" w:type="pct"/>
          </w:tcPr>
          <w:p w14:paraId="35A915A5" w14:textId="5D5F9303" w:rsidR="00C1370A" w:rsidRDefault="00C1370A" w:rsidP="00C1370A">
            <w:pPr>
              <w:rPr>
                <w:rFonts w:eastAsia="MS Mincho" w:cs="Arial"/>
                <w:color w:val="000000" w:themeColor="text1"/>
              </w:rPr>
            </w:pPr>
            <w:r w:rsidRPr="628C881F">
              <w:rPr>
                <w:rFonts w:eastAsia="Arial" w:cs="Arial"/>
                <w:color w:val="000000" w:themeColor="text1"/>
              </w:rPr>
              <w:t>Community Based Day Supports State Operated Provider</w:t>
            </w:r>
          </w:p>
        </w:tc>
        <w:tc>
          <w:tcPr>
            <w:tcW w:w="505" w:type="pct"/>
          </w:tcPr>
          <w:p w14:paraId="451216C2" w14:textId="6E2315B0" w:rsidR="00C1370A" w:rsidRDefault="00C1370A" w:rsidP="00C1370A">
            <w:pPr>
              <w:spacing w:line="276" w:lineRule="auto"/>
              <w:jc w:val="center"/>
              <w:rPr>
                <w:rFonts w:eastAsia="MS Mincho" w:cs="Arial"/>
              </w:rPr>
            </w:pPr>
            <w:r w:rsidRPr="628C881F">
              <w:rPr>
                <w:rFonts w:eastAsia="MS Mincho" w:cs="Arial"/>
              </w:rPr>
              <w:t>1</w:t>
            </w:r>
          </w:p>
        </w:tc>
        <w:tc>
          <w:tcPr>
            <w:tcW w:w="443" w:type="pct"/>
          </w:tcPr>
          <w:p w14:paraId="619EC0D6" w14:textId="7FBB4BE3" w:rsidR="00C1370A" w:rsidRDefault="00C1370A" w:rsidP="00C1370A">
            <w:pPr>
              <w:jc w:val="center"/>
              <w:rPr>
                <w:rFonts w:eastAsia="MS Mincho" w:cs="Arial"/>
              </w:rPr>
            </w:pPr>
            <w:r w:rsidRPr="628C881F">
              <w:rPr>
                <w:rFonts w:eastAsia="MS Mincho" w:cs="Arial"/>
              </w:rPr>
              <w:t>1</w:t>
            </w:r>
          </w:p>
        </w:tc>
        <w:tc>
          <w:tcPr>
            <w:tcW w:w="726" w:type="pct"/>
          </w:tcPr>
          <w:p w14:paraId="44C7BCA4" w14:textId="0AE6AFD2" w:rsidR="00C1370A" w:rsidRDefault="00C1370A" w:rsidP="00C1370A">
            <w:pPr>
              <w:jc w:val="center"/>
              <w:rPr>
                <w:rFonts w:eastAsia="MS Mincho" w:cs="Arial"/>
              </w:rPr>
            </w:pPr>
            <w:r w:rsidRPr="628C881F">
              <w:rPr>
                <w:rFonts w:eastAsia="MS Mincho" w:cs="Arial"/>
              </w:rPr>
              <w:t>0</w:t>
            </w:r>
          </w:p>
        </w:tc>
        <w:tc>
          <w:tcPr>
            <w:tcW w:w="779" w:type="pct"/>
          </w:tcPr>
          <w:p w14:paraId="2DB02DC3" w14:textId="77DF5F7E" w:rsidR="00C1370A" w:rsidRDefault="00C1370A" w:rsidP="00C1370A">
            <w:pPr>
              <w:jc w:val="center"/>
              <w:rPr>
                <w:rFonts w:eastAsia="MS Mincho" w:cs="Arial"/>
              </w:rPr>
            </w:pPr>
            <w:r w:rsidRPr="628C881F">
              <w:rPr>
                <w:rFonts w:eastAsia="MS Mincho" w:cs="Arial"/>
              </w:rPr>
              <w:t>0</w:t>
            </w:r>
          </w:p>
        </w:tc>
        <w:tc>
          <w:tcPr>
            <w:tcW w:w="455" w:type="pct"/>
          </w:tcPr>
          <w:p w14:paraId="009FC48D" w14:textId="0B47F109" w:rsidR="00C1370A" w:rsidRDefault="00C1370A" w:rsidP="00C1370A">
            <w:pPr>
              <w:jc w:val="center"/>
              <w:rPr>
                <w:rFonts w:eastAsia="MS Mincho" w:cs="Arial"/>
              </w:rPr>
            </w:pPr>
            <w:r w:rsidRPr="628C881F">
              <w:rPr>
                <w:rFonts w:eastAsia="MS Mincho" w:cs="Arial"/>
              </w:rPr>
              <w:t>0</w:t>
            </w:r>
          </w:p>
        </w:tc>
      </w:tr>
      <w:tr w:rsidR="00AC0C5A" w:rsidRPr="00720F79" w14:paraId="1CB50CD6" w14:textId="77777777" w:rsidTr="001E0FCC">
        <w:trPr>
          <w:trHeight w:val="161"/>
        </w:trPr>
        <w:tc>
          <w:tcPr>
            <w:tcW w:w="704" w:type="pct"/>
          </w:tcPr>
          <w:p w14:paraId="0216220A" w14:textId="77777777" w:rsidR="00AC0C5A" w:rsidRPr="00EF5B2D" w:rsidRDefault="00AC0C5A" w:rsidP="004427AF">
            <w:pPr>
              <w:numPr>
                <w:ilvl w:val="0"/>
                <w:numId w:val="16"/>
              </w:numPr>
              <w:ind w:left="180" w:hanging="180"/>
              <w:rPr>
                <w:rFonts w:cs="Arial"/>
              </w:rPr>
            </w:pPr>
            <w:r w:rsidRPr="00EF5B2D">
              <w:rPr>
                <w:rFonts w:cs="Arial"/>
              </w:rPr>
              <w:t>Intensive Supports (MA.0827)</w:t>
            </w:r>
          </w:p>
          <w:p w14:paraId="26249BB9" w14:textId="77777777" w:rsidR="00AC0C5A" w:rsidRDefault="00AC0C5A" w:rsidP="004427AF">
            <w:pPr>
              <w:numPr>
                <w:ilvl w:val="0"/>
                <w:numId w:val="16"/>
              </w:numPr>
              <w:ind w:left="180" w:hanging="180"/>
              <w:rPr>
                <w:rFonts w:cs="Arial"/>
              </w:rPr>
            </w:pPr>
            <w:r w:rsidRPr="00EF5B2D">
              <w:rPr>
                <w:rFonts w:cs="Arial"/>
              </w:rPr>
              <w:t>Community Living (MA.0826)</w:t>
            </w:r>
          </w:p>
          <w:p w14:paraId="06C26E58" w14:textId="6576C3A0" w:rsidR="00AC0C5A" w:rsidRPr="00EF5B2D" w:rsidRDefault="00AC0C5A" w:rsidP="004427AF">
            <w:pPr>
              <w:numPr>
                <w:ilvl w:val="0"/>
                <w:numId w:val="16"/>
              </w:numPr>
              <w:ind w:left="180" w:hanging="180"/>
              <w:rPr>
                <w:rFonts w:cs="Arial"/>
              </w:rPr>
            </w:pPr>
            <w:r w:rsidRPr="00EF5B2D">
              <w:rPr>
                <w:rFonts w:cs="Arial"/>
              </w:rPr>
              <w:t>Adult Supports (MA.0828</w:t>
            </w:r>
            <w:r>
              <w:rPr>
                <w:rFonts w:cs="Arial"/>
              </w:rPr>
              <w:t>)</w:t>
            </w:r>
          </w:p>
        </w:tc>
        <w:tc>
          <w:tcPr>
            <w:tcW w:w="671" w:type="pct"/>
          </w:tcPr>
          <w:p w14:paraId="6C0FD28C" w14:textId="183BC38B" w:rsidR="00AC0C5A" w:rsidRDefault="00AC0C5A" w:rsidP="00C1370A">
            <w:pPr>
              <w:rPr>
                <w:rFonts w:cs="Arial"/>
              </w:rPr>
            </w:pPr>
            <w:r>
              <w:rPr>
                <w:rFonts w:cs="Arial"/>
              </w:rPr>
              <w:t>Day Habilitation Supplement</w:t>
            </w:r>
          </w:p>
        </w:tc>
        <w:tc>
          <w:tcPr>
            <w:tcW w:w="717" w:type="pct"/>
          </w:tcPr>
          <w:p w14:paraId="360D47FC" w14:textId="47C96CFC" w:rsidR="00AC0C5A" w:rsidRPr="00EF5B2D" w:rsidRDefault="00AC0C5A" w:rsidP="00C1370A">
            <w:pPr>
              <w:rPr>
                <w:rFonts w:cs="Arial"/>
              </w:rPr>
            </w:pPr>
            <w:r>
              <w:rPr>
                <w:rFonts w:cs="Arial"/>
              </w:rPr>
              <w:t>Day Habilitation</w:t>
            </w:r>
          </w:p>
        </w:tc>
        <w:tc>
          <w:tcPr>
            <w:tcW w:w="505" w:type="pct"/>
          </w:tcPr>
          <w:p w14:paraId="4374586B" w14:textId="77A637B6" w:rsidR="00AC0C5A" w:rsidRDefault="00AC0C5A" w:rsidP="00C1370A">
            <w:pPr>
              <w:jc w:val="center"/>
              <w:rPr>
                <w:rFonts w:cs="Arial"/>
              </w:rPr>
            </w:pPr>
            <w:r>
              <w:rPr>
                <w:rFonts w:cs="Arial"/>
              </w:rPr>
              <w:t>161</w:t>
            </w:r>
            <w:r w:rsidR="00A1521A">
              <w:rPr>
                <w:rStyle w:val="FootnoteReference"/>
                <w:rFonts w:cs="Arial"/>
              </w:rPr>
              <w:footnoteReference w:id="4"/>
            </w:r>
          </w:p>
          <w:p w14:paraId="368F6371" w14:textId="16130E93" w:rsidR="00A1521A" w:rsidRPr="00A1521A" w:rsidRDefault="00A1521A" w:rsidP="00C1370A">
            <w:pPr>
              <w:jc w:val="center"/>
              <w:rPr>
                <w:rFonts w:cs="Arial"/>
              </w:rPr>
            </w:pPr>
          </w:p>
        </w:tc>
        <w:tc>
          <w:tcPr>
            <w:tcW w:w="443" w:type="pct"/>
          </w:tcPr>
          <w:p w14:paraId="11998C07" w14:textId="77777777" w:rsidR="00AC0C5A" w:rsidRDefault="00AC0C5A" w:rsidP="00C1370A">
            <w:pPr>
              <w:jc w:val="center"/>
              <w:rPr>
                <w:rFonts w:cs="Arial"/>
              </w:rPr>
            </w:pPr>
            <w:r>
              <w:rPr>
                <w:rFonts w:cs="Arial"/>
              </w:rPr>
              <w:t>0</w:t>
            </w:r>
          </w:p>
        </w:tc>
        <w:tc>
          <w:tcPr>
            <w:tcW w:w="726" w:type="pct"/>
          </w:tcPr>
          <w:p w14:paraId="1E7FE07B" w14:textId="2EFE14BC" w:rsidR="00AC0C5A" w:rsidRDefault="00A1521A" w:rsidP="00C1370A">
            <w:pPr>
              <w:jc w:val="center"/>
              <w:rPr>
                <w:rFonts w:cs="Arial"/>
              </w:rPr>
            </w:pPr>
            <w:r>
              <w:rPr>
                <w:rFonts w:cs="Arial"/>
              </w:rPr>
              <w:t>0</w:t>
            </w:r>
          </w:p>
        </w:tc>
        <w:tc>
          <w:tcPr>
            <w:tcW w:w="779" w:type="pct"/>
          </w:tcPr>
          <w:p w14:paraId="02D41D97" w14:textId="646E2A5D" w:rsidR="00AC0C5A" w:rsidRPr="00A1521A" w:rsidRDefault="00A1521A" w:rsidP="00C1370A">
            <w:pPr>
              <w:jc w:val="center"/>
              <w:rPr>
                <w:rFonts w:cs="Arial"/>
                <w:bCs/>
              </w:rPr>
            </w:pPr>
            <w:r w:rsidRPr="00A1521A">
              <w:rPr>
                <w:rFonts w:cs="Arial"/>
                <w:bCs/>
              </w:rPr>
              <w:t>0</w:t>
            </w:r>
          </w:p>
        </w:tc>
        <w:tc>
          <w:tcPr>
            <w:tcW w:w="455" w:type="pct"/>
          </w:tcPr>
          <w:p w14:paraId="2ED0D62B" w14:textId="715C2938" w:rsidR="00AC0C5A" w:rsidRPr="00A1521A" w:rsidRDefault="00A1521A" w:rsidP="00C1370A">
            <w:pPr>
              <w:jc w:val="center"/>
              <w:rPr>
                <w:rFonts w:cs="Arial"/>
                <w:bCs/>
              </w:rPr>
            </w:pPr>
            <w:r w:rsidRPr="00A1521A">
              <w:rPr>
                <w:rFonts w:cs="Arial"/>
                <w:bCs/>
              </w:rPr>
              <w:t>0</w:t>
            </w:r>
          </w:p>
        </w:tc>
      </w:tr>
      <w:tr w:rsidR="00AC0C5A" w:rsidRPr="00720F79" w14:paraId="153B9E76" w14:textId="77777777" w:rsidTr="001E0FCC">
        <w:trPr>
          <w:trHeight w:val="991"/>
        </w:trPr>
        <w:tc>
          <w:tcPr>
            <w:tcW w:w="704" w:type="pct"/>
          </w:tcPr>
          <w:p w14:paraId="2EC07E4C" w14:textId="77777777" w:rsidR="00C1370A" w:rsidRPr="00724B58" w:rsidRDefault="00C1370A" w:rsidP="004427AF">
            <w:pPr>
              <w:numPr>
                <w:ilvl w:val="0"/>
                <w:numId w:val="16"/>
              </w:numPr>
              <w:ind w:left="180" w:hanging="180"/>
              <w:rPr>
                <w:rFonts w:cs="Arial"/>
              </w:rPr>
            </w:pPr>
            <w:r w:rsidRPr="00724B58">
              <w:rPr>
                <w:rFonts w:cs="Arial"/>
              </w:rPr>
              <w:t>Intensive Supports (MA.0827)</w:t>
            </w:r>
          </w:p>
          <w:p w14:paraId="29B9E9C0" w14:textId="77777777" w:rsidR="00C1370A" w:rsidRPr="00724B58" w:rsidRDefault="00C1370A" w:rsidP="004427AF">
            <w:pPr>
              <w:numPr>
                <w:ilvl w:val="0"/>
                <w:numId w:val="16"/>
              </w:numPr>
              <w:ind w:left="180" w:hanging="180"/>
              <w:rPr>
                <w:rFonts w:cs="Arial"/>
              </w:rPr>
            </w:pPr>
            <w:r w:rsidRPr="00724B58">
              <w:rPr>
                <w:rFonts w:cs="Arial"/>
              </w:rPr>
              <w:t>Community Living (MA.0826)</w:t>
            </w:r>
          </w:p>
          <w:p w14:paraId="3769BEED" w14:textId="5C4930CE" w:rsidR="00C1370A" w:rsidRPr="00EF5B2D" w:rsidRDefault="00C1370A" w:rsidP="004427AF">
            <w:pPr>
              <w:numPr>
                <w:ilvl w:val="0"/>
                <w:numId w:val="16"/>
              </w:numPr>
              <w:ind w:left="180" w:hanging="180"/>
              <w:rPr>
                <w:rFonts w:cs="Arial"/>
              </w:rPr>
            </w:pPr>
            <w:r w:rsidRPr="00724B58">
              <w:rPr>
                <w:rFonts w:cs="Arial"/>
              </w:rPr>
              <w:t>Adult Supports (MA.0828)</w:t>
            </w:r>
          </w:p>
        </w:tc>
        <w:tc>
          <w:tcPr>
            <w:tcW w:w="671" w:type="pct"/>
          </w:tcPr>
          <w:p w14:paraId="6ECE4C8E" w14:textId="3C5BEA4E" w:rsidR="00C1370A" w:rsidRDefault="00C1370A" w:rsidP="00C1370A">
            <w:pPr>
              <w:rPr>
                <w:rFonts w:cs="Arial"/>
              </w:rPr>
            </w:pPr>
            <w:r w:rsidRPr="00724B58">
              <w:rPr>
                <w:rFonts w:cs="Arial"/>
              </w:rPr>
              <w:t>Group Supported Employment</w:t>
            </w:r>
          </w:p>
        </w:tc>
        <w:tc>
          <w:tcPr>
            <w:tcW w:w="717" w:type="pct"/>
          </w:tcPr>
          <w:p w14:paraId="7B5BE835" w14:textId="0E73DCA3" w:rsidR="00C1370A" w:rsidRDefault="00C1370A" w:rsidP="00C1370A">
            <w:pPr>
              <w:rPr>
                <w:rFonts w:cs="Arial"/>
              </w:rPr>
            </w:pPr>
            <w:r w:rsidRPr="628C881F">
              <w:rPr>
                <w:rFonts w:cs="Arial"/>
              </w:rPr>
              <w:t>Group Supported Employment Private Provider (supports are provided in business, social enterprises, and locations in the community)</w:t>
            </w:r>
          </w:p>
        </w:tc>
        <w:tc>
          <w:tcPr>
            <w:tcW w:w="505" w:type="pct"/>
          </w:tcPr>
          <w:p w14:paraId="0FE8266D" w14:textId="20CFF5D9" w:rsidR="00C1370A" w:rsidRDefault="00C1370A" w:rsidP="00C1370A">
            <w:pPr>
              <w:spacing w:after="200" w:line="276" w:lineRule="auto"/>
              <w:jc w:val="center"/>
              <w:rPr>
                <w:rFonts w:eastAsia="MS Mincho" w:cs="Arial"/>
              </w:rPr>
            </w:pPr>
            <w:r>
              <w:rPr>
                <w:rFonts w:cs="Arial"/>
              </w:rPr>
              <w:t>113</w:t>
            </w:r>
          </w:p>
        </w:tc>
        <w:tc>
          <w:tcPr>
            <w:tcW w:w="443" w:type="pct"/>
          </w:tcPr>
          <w:p w14:paraId="5816F019" w14:textId="5D8B8DDC" w:rsidR="00C1370A" w:rsidRDefault="00C1370A" w:rsidP="00C1370A">
            <w:pPr>
              <w:spacing w:after="200" w:line="276" w:lineRule="auto"/>
              <w:jc w:val="center"/>
              <w:rPr>
                <w:rFonts w:eastAsia="MS Mincho" w:cs="Arial"/>
              </w:rPr>
            </w:pPr>
            <w:r>
              <w:rPr>
                <w:rFonts w:eastAsia="MS Mincho" w:cs="Arial"/>
              </w:rPr>
              <w:t>113</w:t>
            </w:r>
          </w:p>
        </w:tc>
        <w:tc>
          <w:tcPr>
            <w:tcW w:w="726" w:type="pct"/>
          </w:tcPr>
          <w:p w14:paraId="0305DA62" w14:textId="748F98E4" w:rsidR="00C1370A" w:rsidRDefault="00C1370A" w:rsidP="00C1370A">
            <w:pPr>
              <w:spacing w:after="200" w:line="276" w:lineRule="auto"/>
              <w:jc w:val="center"/>
              <w:rPr>
                <w:rFonts w:eastAsia="MS Mincho" w:cs="Arial"/>
              </w:rPr>
            </w:pPr>
            <w:r>
              <w:rPr>
                <w:rFonts w:cs="Arial"/>
              </w:rPr>
              <w:t xml:space="preserve"> 0</w:t>
            </w:r>
          </w:p>
        </w:tc>
        <w:tc>
          <w:tcPr>
            <w:tcW w:w="779" w:type="pct"/>
          </w:tcPr>
          <w:p w14:paraId="12979947" w14:textId="0341F202" w:rsidR="00C1370A" w:rsidRDefault="00C1370A" w:rsidP="00C1370A">
            <w:pPr>
              <w:jc w:val="center"/>
              <w:rPr>
                <w:rFonts w:cs="Arial"/>
              </w:rPr>
            </w:pPr>
            <w:r>
              <w:rPr>
                <w:rFonts w:cs="Arial"/>
              </w:rPr>
              <w:t>0</w:t>
            </w:r>
          </w:p>
        </w:tc>
        <w:tc>
          <w:tcPr>
            <w:tcW w:w="455" w:type="pct"/>
          </w:tcPr>
          <w:p w14:paraId="5CDFEAB2" w14:textId="13EDF30C" w:rsidR="00C1370A" w:rsidRDefault="00C1370A" w:rsidP="00C1370A">
            <w:pPr>
              <w:jc w:val="center"/>
              <w:rPr>
                <w:rFonts w:cs="Arial"/>
              </w:rPr>
            </w:pPr>
            <w:r>
              <w:rPr>
                <w:rFonts w:cs="Arial"/>
              </w:rPr>
              <w:t>0</w:t>
            </w:r>
          </w:p>
        </w:tc>
      </w:tr>
      <w:tr w:rsidR="00AC0C5A" w14:paraId="2657907B" w14:textId="77777777" w:rsidTr="001E0FCC">
        <w:trPr>
          <w:trHeight w:val="991"/>
        </w:trPr>
        <w:tc>
          <w:tcPr>
            <w:tcW w:w="704" w:type="pct"/>
          </w:tcPr>
          <w:p w14:paraId="2384DB8D" w14:textId="5DC22609" w:rsidR="00C1370A" w:rsidRPr="00B7192F" w:rsidRDefault="00C1370A" w:rsidP="004427AF">
            <w:pPr>
              <w:numPr>
                <w:ilvl w:val="0"/>
                <w:numId w:val="16"/>
              </w:numPr>
              <w:ind w:left="180" w:hanging="180"/>
              <w:rPr>
                <w:rFonts w:cs="Arial"/>
              </w:rPr>
            </w:pPr>
            <w:r w:rsidRPr="628C881F">
              <w:rPr>
                <w:rFonts w:cs="Arial"/>
              </w:rPr>
              <w:lastRenderedPageBreak/>
              <w:t>Intensive Supports (MA.0827)</w:t>
            </w:r>
          </w:p>
          <w:p w14:paraId="469C2BF0" w14:textId="77777777" w:rsidR="00C1370A" w:rsidRPr="00B7192F" w:rsidRDefault="00C1370A" w:rsidP="004427AF">
            <w:pPr>
              <w:numPr>
                <w:ilvl w:val="0"/>
                <w:numId w:val="16"/>
              </w:numPr>
              <w:ind w:left="180" w:hanging="180"/>
              <w:rPr>
                <w:rFonts w:cs="Arial"/>
              </w:rPr>
            </w:pPr>
            <w:r w:rsidRPr="628C881F">
              <w:rPr>
                <w:rFonts w:cs="Arial"/>
              </w:rPr>
              <w:t>Community Living (MA.0826)</w:t>
            </w:r>
          </w:p>
          <w:p w14:paraId="4F2AF7A4" w14:textId="77777777" w:rsidR="00C1370A" w:rsidRDefault="00C1370A" w:rsidP="004427AF">
            <w:pPr>
              <w:numPr>
                <w:ilvl w:val="0"/>
                <w:numId w:val="16"/>
              </w:numPr>
              <w:ind w:left="180" w:hanging="180"/>
              <w:rPr>
                <w:rFonts w:cs="Arial"/>
              </w:rPr>
            </w:pPr>
            <w:r w:rsidRPr="628C881F">
              <w:rPr>
                <w:rFonts w:cs="Arial"/>
              </w:rPr>
              <w:t>Adult Supports (MA.0828)</w:t>
            </w:r>
          </w:p>
          <w:p w14:paraId="12BE0F9C" w14:textId="77777777" w:rsidR="00C1370A" w:rsidRDefault="00C1370A" w:rsidP="00C1370A">
            <w:pPr>
              <w:rPr>
                <w:rFonts w:cs="Arial"/>
              </w:rPr>
            </w:pPr>
          </w:p>
          <w:p w14:paraId="0E8BEAC9" w14:textId="77777777" w:rsidR="00C1370A" w:rsidRDefault="00C1370A" w:rsidP="00C1370A">
            <w:pPr>
              <w:rPr>
                <w:rFonts w:cs="Arial"/>
              </w:rPr>
            </w:pPr>
          </w:p>
          <w:p w14:paraId="246B074F" w14:textId="77777777" w:rsidR="00C1370A" w:rsidRDefault="00C1370A" w:rsidP="00C1370A">
            <w:pPr>
              <w:rPr>
                <w:rFonts w:cs="Arial"/>
              </w:rPr>
            </w:pPr>
          </w:p>
          <w:p w14:paraId="29336C60" w14:textId="77777777" w:rsidR="00C1370A" w:rsidRDefault="00C1370A" w:rsidP="00C1370A">
            <w:pPr>
              <w:rPr>
                <w:rFonts w:cs="Arial"/>
              </w:rPr>
            </w:pPr>
          </w:p>
          <w:p w14:paraId="3AE5C52A" w14:textId="450D4596" w:rsidR="00C1370A" w:rsidRPr="00B7192F" w:rsidRDefault="00C1370A" w:rsidP="00C1370A">
            <w:pPr>
              <w:rPr>
                <w:rFonts w:cs="Arial"/>
              </w:rPr>
            </w:pPr>
          </w:p>
        </w:tc>
        <w:tc>
          <w:tcPr>
            <w:tcW w:w="671" w:type="pct"/>
          </w:tcPr>
          <w:p w14:paraId="3729681F" w14:textId="3C5BEA4E" w:rsidR="00C1370A" w:rsidRDefault="00C1370A" w:rsidP="00C1370A">
            <w:pPr>
              <w:rPr>
                <w:rFonts w:cs="Arial"/>
              </w:rPr>
            </w:pPr>
            <w:r w:rsidRPr="628C881F">
              <w:rPr>
                <w:rFonts w:cs="Arial"/>
              </w:rPr>
              <w:t>Group Supported Employment</w:t>
            </w:r>
          </w:p>
          <w:p w14:paraId="2FE5254D" w14:textId="5378ACCD" w:rsidR="00C1370A" w:rsidRDefault="00C1370A" w:rsidP="00C1370A">
            <w:pPr>
              <w:rPr>
                <w:rFonts w:eastAsia="MS Mincho" w:cs="Arial"/>
              </w:rPr>
            </w:pPr>
          </w:p>
        </w:tc>
        <w:tc>
          <w:tcPr>
            <w:tcW w:w="717" w:type="pct"/>
          </w:tcPr>
          <w:p w14:paraId="22D6356E" w14:textId="21ACCB5A" w:rsidR="00C1370A" w:rsidRDefault="00C1370A" w:rsidP="00C1370A">
            <w:pPr>
              <w:rPr>
                <w:rFonts w:cs="Arial"/>
              </w:rPr>
            </w:pPr>
            <w:r w:rsidRPr="628C881F">
              <w:rPr>
                <w:rFonts w:cs="Arial"/>
              </w:rPr>
              <w:t>Group Supported Employment State Operated Provider (supports are provided in business, social enterprises, and locations in the community)</w:t>
            </w:r>
          </w:p>
          <w:p w14:paraId="13E7661D" w14:textId="39317348" w:rsidR="00C1370A" w:rsidRDefault="00C1370A" w:rsidP="00C1370A">
            <w:pPr>
              <w:rPr>
                <w:rFonts w:eastAsia="MS Mincho" w:cs="Arial"/>
              </w:rPr>
            </w:pPr>
          </w:p>
        </w:tc>
        <w:tc>
          <w:tcPr>
            <w:tcW w:w="505" w:type="pct"/>
          </w:tcPr>
          <w:p w14:paraId="28495C7C" w14:textId="573999EC" w:rsidR="00C1370A" w:rsidRDefault="00C1370A" w:rsidP="00C1370A">
            <w:pPr>
              <w:jc w:val="center"/>
              <w:rPr>
                <w:rFonts w:eastAsia="MS Mincho" w:cs="Arial"/>
              </w:rPr>
            </w:pPr>
            <w:r w:rsidRPr="628C881F">
              <w:rPr>
                <w:rFonts w:eastAsia="MS Mincho" w:cs="Arial"/>
              </w:rPr>
              <w:t>3</w:t>
            </w:r>
          </w:p>
        </w:tc>
        <w:tc>
          <w:tcPr>
            <w:tcW w:w="443" w:type="pct"/>
          </w:tcPr>
          <w:p w14:paraId="7FA9D2BC" w14:textId="2F056B5A" w:rsidR="00C1370A" w:rsidRDefault="00C1370A" w:rsidP="00C1370A">
            <w:pPr>
              <w:jc w:val="center"/>
              <w:rPr>
                <w:rFonts w:eastAsia="MS Mincho" w:cs="Arial"/>
              </w:rPr>
            </w:pPr>
            <w:r w:rsidRPr="628C881F">
              <w:rPr>
                <w:rFonts w:eastAsia="MS Mincho" w:cs="Arial"/>
              </w:rPr>
              <w:t>3</w:t>
            </w:r>
          </w:p>
        </w:tc>
        <w:tc>
          <w:tcPr>
            <w:tcW w:w="726" w:type="pct"/>
          </w:tcPr>
          <w:p w14:paraId="4AF6737E" w14:textId="27AB9722" w:rsidR="00C1370A" w:rsidRDefault="00C1370A" w:rsidP="00C1370A">
            <w:pPr>
              <w:jc w:val="center"/>
              <w:rPr>
                <w:rFonts w:eastAsia="MS Mincho" w:cs="Arial"/>
              </w:rPr>
            </w:pPr>
            <w:r w:rsidRPr="628C881F">
              <w:rPr>
                <w:rFonts w:eastAsia="MS Mincho" w:cs="Arial"/>
              </w:rPr>
              <w:t>0</w:t>
            </w:r>
          </w:p>
        </w:tc>
        <w:tc>
          <w:tcPr>
            <w:tcW w:w="779" w:type="pct"/>
          </w:tcPr>
          <w:p w14:paraId="66462490" w14:textId="7CB57C98" w:rsidR="00C1370A" w:rsidRDefault="00C1370A" w:rsidP="00C1370A">
            <w:pPr>
              <w:jc w:val="center"/>
              <w:rPr>
                <w:rFonts w:eastAsia="MS Mincho" w:cs="Arial"/>
              </w:rPr>
            </w:pPr>
            <w:r w:rsidRPr="628C881F">
              <w:rPr>
                <w:rFonts w:eastAsia="MS Mincho" w:cs="Arial"/>
              </w:rPr>
              <w:t>0</w:t>
            </w:r>
          </w:p>
        </w:tc>
        <w:tc>
          <w:tcPr>
            <w:tcW w:w="455" w:type="pct"/>
          </w:tcPr>
          <w:p w14:paraId="485F7B16" w14:textId="246B889B" w:rsidR="00C1370A" w:rsidRDefault="00C1370A" w:rsidP="00C1370A">
            <w:pPr>
              <w:jc w:val="center"/>
              <w:rPr>
                <w:rFonts w:eastAsia="MS Mincho" w:cs="Arial"/>
              </w:rPr>
            </w:pPr>
            <w:r w:rsidRPr="628C881F">
              <w:rPr>
                <w:rFonts w:eastAsia="MS Mincho" w:cs="Arial"/>
              </w:rPr>
              <w:t>0</w:t>
            </w:r>
          </w:p>
        </w:tc>
      </w:tr>
      <w:tr w:rsidR="00AC0C5A" w:rsidRPr="00720F79" w14:paraId="4066DE1C" w14:textId="77777777" w:rsidTr="001E0FCC">
        <w:trPr>
          <w:trHeight w:val="991"/>
        </w:trPr>
        <w:tc>
          <w:tcPr>
            <w:tcW w:w="704" w:type="pct"/>
          </w:tcPr>
          <w:p w14:paraId="705F1802" w14:textId="77777777" w:rsidR="00C1370A" w:rsidRPr="00EF5B2D" w:rsidRDefault="00C1370A" w:rsidP="004427AF">
            <w:pPr>
              <w:numPr>
                <w:ilvl w:val="0"/>
                <w:numId w:val="16"/>
              </w:numPr>
              <w:ind w:left="180" w:hanging="180"/>
              <w:rPr>
                <w:rFonts w:cs="Arial"/>
              </w:rPr>
            </w:pPr>
            <w:r w:rsidRPr="00EF5B2D">
              <w:rPr>
                <w:rFonts w:cs="Arial"/>
              </w:rPr>
              <w:t>Intensive Supports (MA.0827)</w:t>
            </w:r>
          </w:p>
          <w:p w14:paraId="646777BF" w14:textId="77777777" w:rsidR="00C1370A" w:rsidRDefault="00C1370A" w:rsidP="004427AF">
            <w:pPr>
              <w:numPr>
                <w:ilvl w:val="0"/>
                <w:numId w:val="16"/>
              </w:numPr>
              <w:ind w:left="180" w:hanging="180"/>
              <w:rPr>
                <w:rFonts w:cs="Arial"/>
              </w:rPr>
            </w:pPr>
            <w:r w:rsidRPr="00EF5B2D">
              <w:rPr>
                <w:rFonts w:cs="Arial"/>
              </w:rPr>
              <w:t>Community Living (MA.0826)</w:t>
            </w:r>
          </w:p>
          <w:p w14:paraId="12BB72F7" w14:textId="7069C84E" w:rsidR="00C1370A" w:rsidRPr="003C2ADB" w:rsidRDefault="00C1370A" w:rsidP="004427AF">
            <w:pPr>
              <w:numPr>
                <w:ilvl w:val="0"/>
                <w:numId w:val="16"/>
              </w:numPr>
              <w:ind w:left="180" w:hanging="180"/>
              <w:rPr>
                <w:rFonts w:cs="Arial"/>
              </w:rPr>
            </w:pPr>
            <w:r w:rsidRPr="00EF5B2D">
              <w:rPr>
                <w:rFonts w:cs="Arial"/>
              </w:rPr>
              <w:t>Adult Supports (MA.0828)</w:t>
            </w:r>
          </w:p>
        </w:tc>
        <w:tc>
          <w:tcPr>
            <w:tcW w:w="671" w:type="pct"/>
          </w:tcPr>
          <w:p w14:paraId="3C36288D" w14:textId="25364416" w:rsidR="00C1370A" w:rsidRPr="003C2ADB" w:rsidRDefault="00C1370A" w:rsidP="00C1370A">
            <w:pPr>
              <w:rPr>
                <w:rFonts w:cs="Arial"/>
              </w:rPr>
            </w:pPr>
            <w:r>
              <w:rPr>
                <w:rFonts w:cs="Arial"/>
              </w:rPr>
              <w:t>Individual Supported Employment</w:t>
            </w:r>
          </w:p>
        </w:tc>
        <w:tc>
          <w:tcPr>
            <w:tcW w:w="717" w:type="pct"/>
          </w:tcPr>
          <w:p w14:paraId="04BE7341" w14:textId="001E329C" w:rsidR="00C1370A" w:rsidRPr="003C2ADB" w:rsidRDefault="00C1370A" w:rsidP="00C1370A">
            <w:pPr>
              <w:rPr>
                <w:rFonts w:cs="Arial"/>
              </w:rPr>
            </w:pPr>
            <w:r w:rsidRPr="628C881F">
              <w:rPr>
                <w:rFonts w:cs="Arial"/>
              </w:rPr>
              <w:t>Employment Supports Private Provider (supports are provided in businesses, self-employment opportunities, and locations in the community)</w:t>
            </w:r>
          </w:p>
        </w:tc>
        <w:tc>
          <w:tcPr>
            <w:tcW w:w="505" w:type="pct"/>
          </w:tcPr>
          <w:p w14:paraId="195849C6" w14:textId="3F01D0BE" w:rsidR="00C1370A" w:rsidRDefault="00F10762" w:rsidP="00C1370A">
            <w:pPr>
              <w:spacing w:after="200" w:line="276" w:lineRule="auto"/>
              <w:jc w:val="center"/>
              <w:rPr>
                <w:rFonts w:eastAsia="MS Mincho" w:cs="Arial"/>
              </w:rPr>
            </w:pPr>
            <w:r>
              <w:rPr>
                <w:rFonts w:cs="Arial"/>
              </w:rPr>
              <w:t>178</w:t>
            </w:r>
          </w:p>
        </w:tc>
        <w:tc>
          <w:tcPr>
            <w:tcW w:w="443" w:type="pct"/>
          </w:tcPr>
          <w:p w14:paraId="6B12FD81" w14:textId="55CB7257" w:rsidR="00C1370A" w:rsidRDefault="00C1370A" w:rsidP="00C1370A">
            <w:pPr>
              <w:spacing w:after="200" w:line="276" w:lineRule="auto"/>
              <w:jc w:val="center"/>
              <w:rPr>
                <w:rFonts w:eastAsia="MS Mincho" w:cs="Arial"/>
              </w:rPr>
            </w:pPr>
            <w:r>
              <w:rPr>
                <w:rFonts w:cs="Arial"/>
              </w:rPr>
              <w:t>178</w:t>
            </w:r>
          </w:p>
        </w:tc>
        <w:tc>
          <w:tcPr>
            <w:tcW w:w="726" w:type="pct"/>
          </w:tcPr>
          <w:p w14:paraId="52943021" w14:textId="78EE4520" w:rsidR="00C1370A" w:rsidRPr="003C2ADB" w:rsidRDefault="00C1370A" w:rsidP="00C1370A">
            <w:pPr>
              <w:spacing w:after="200" w:line="276" w:lineRule="auto"/>
              <w:jc w:val="center"/>
              <w:rPr>
                <w:rFonts w:eastAsia="MS Mincho" w:cs="Arial"/>
              </w:rPr>
            </w:pPr>
            <w:r>
              <w:rPr>
                <w:rFonts w:cs="Arial"/>
              </w:rPr>
              <w:t xml:space="preserve">0 </w:t>
            </w:r>
          </w:p>
        </w:tc>
        <w:tc>
          <w:tcPr>
            <w:tcW w:w="779" w:type="pct"/>
          </w:tcPr>
          <w:p w14:paraId="1A073BFB" w14:textId="3C6FEB4E" w:rsidR="00C1370A" w:rsidRPr="003C2ADB" w:rsidRDefault="00C1370A" w:rsidP="00C1370A">
            <w:pPr>
              <w:jc w:val="center"/>
              <w:rPr>
                <w:rFonts w:cs="Arial"/>
              </w:rPr>
            </w:pPr>
            <w:r>
              <w:rPr>
                <w:rFonts w:cs="Arial"/>
              </w:rPr>
              <w:t>0</w:t>
            </w:r>
          </w:p>
        </w:tc>
        <w:tc>
          <w:tcPr>
            <w:tcW w:w="455" w:type="pct"/>
          </w:tcPr>
          <w:p w14:paraId="2294C56E" w14:textId="2CA2E38F" w:rsidR="00C1370A" w:rsidRPr="003C2ADB" w:rsidRDefault="00C1370A" w:rsidP="00C1370A">
            <w:pPr>
              <w:jc w:val="center"/>
              <w:rPr>
                <w:rFonts w:cs="Arial"/>
              </w:rPr>
            </w:pPr>
            <w:r>
              <w:rPr>
                <w:rFonts w:cs="Arial"/>
              </w:rPr>
              <w:t>0</w:t>
            </w:r>
          </w:p>
        </w:tc>
      </w:tr>
      <w:tr w:rsidR="00AC0C5A" w14:paraId="6EF26C5D" w14:textId="77777777" w:rsidTr="001E0FCC">
        <w:trPr>
          <w:trHeight w:val="991"/>
        </w:trPr>
        <w:tc>
          <w:tcPr>
            <w:tcW w:w="704" w:type="pct"/>
          </w:tcPr>
          <w:p w14:paraId="308EB646" w14:textId="29F35394" w:rsidR="00C1370A" w:rsidRPr="00B7192F" w:rsidRDefault="00C1370A" w:rsidP="004427AF">
            <w:pPr>
              <w:numPr>
                <w:ilvl w:val="0"/>
                <w:numId w:val="16"/>
              </w:numPr>
              <w:ind w:left="180" w:hanging="180"/>
              <w:rPr>
                <w:rFonts w:asciiTheme="minorHAnsi" w:hAnsiTheme="minorHAnsi"/>
              </w:rPr>
            </w:pPr>
            <w:r w:rsidRPr="628C881F">
              <w:rPr>
                <w:rFonts w:cs="Arial"/>
              </w:rPr>
              <w:t>Intensive Supports (MA.0827)</w:t>
            </w:r>
          </w:p>
          <w:p w14:paraId="5F8EF497" w14:textId="77777777" w:rsidR="00C1370A" w:rsidRPr="00B7192F" w:rsidRDefault="00C1370A" w:rsidP="004427AF">
            <w:pPr>
              <w:numPr>
                <w:ilvl w:val="0"/>
                <w:numId w:val="16"/>
              </w:numPr>
              <w:ind w:left="180" w:hanging="180"/>
              <w:rPr>
                <w:rFonts w:cs="Arial"/>
              </w:rPr>
            </w:pPr>
            <w:r w:rsidRPr="628C881F">
              <w:rPr>
                <w:rFonts w:cs="Arial"/>
              </w:rPr>
              <w:t>Community Living (MA.0826)</w:t>
            </w:r>
          </w:p>
          <w:p w14:paraId="2B29F3AC" w14:textId="4D06D754" w:rsidR="00C1370A" w:rsidRPr="00B7192F" w:rsidRDefault="00C1370A" w:rsidP="004427AF">
            <w:pPr>
              <w:numPr>
                <w:ilvl w:val="0"/>
                <w:numId w:val="16"/>
              </w:numPr>
              <w:ind w:left="180" w:hanging="180"/>
              <w:rPr>
                <w:rFonts w:cs="Arial"/>
              </w:rPr>
            </w:pPr>
            <w:r w:rsidRPr="628C881F">
              <w:rPr>
                <w:rFonts w:cs="Arial"/>
              </w:rPr>
              <w:t>Adult Supports (MA.0828</w:t>
            </w:r>
          </w:p>
        </w:tc>
        <w:tc>
          <w:tcPr>
            <w:tcW w:w="671" w:type="pct"/>
          </w:tcPr>
          <w:p w14:paraId="5755540E" w14:textId="25364416" w:rsidR="00C1370A" w:rsidRDefault="00C1370A" w:rsidP="00C1370A">
            <w:pPr>
              <w:rPr>
                <w:rFonts w:cs="Arial"/>
              </w:rPr>
            </w:pPr>
            <w:r w:rsidRPr="628C881F">
              <w:rPr>
                <w:rFonts w:cs="Arial"/>
              </w:rPr>
              <w:t>Individual Supported Employment</w:t>
            </w:r>
          </w:p>
          <w:p w14:paraId="20A48B2B" w14:textId="378A9AAB" w:rsidR="00C1370A" w:rsidRDefault="00C1370A" w:rsidP="00C1370A">
            <w:pPr>
              <w:rPr>
                <w:rFonts w:eastAsia="MS Mincho" w:cs="Arial"/>
              </w:rPr>
            </w:pPr>
          </w:p>
        </w:tc>
        <w:tc>
          <w:tcPr>
            <w:tcW w:w="717" w:type="pct"/>
          </w:tcPr>
          <w:p w14:paraId="65A052E1" w14:textId="03494388" w:rsidR="00C1370A" w:rsidRDefault="00C1370A" w:rsidP="00C1370A">
            <w:pPr>
              <w:rPr>
                <w:rFonts w:cs="Arial"/>
              </w:rPr>
            </w:pPr>
            <w:r w:rsidRPr="628C881F">
              <w:rPr>
                <w:rFonts w:cs="Arial"/>
              </w:rPr>
              <w:t xml:space="preserve">Employment Supports State Operated </w:t>
            </w:r>
            <w:proofErr w:type="gramStart"/>
            <w:r w:rsidRPr="628C881F">
              <w:rPr>
                <w:rFonts w:cs="Arial"/>
              </w:rPr>
              <w:t>Provider  (</w:t>
            </w:r>
            <w:proofErr w:type="gramEnd"/>
            <w:r w:rsidRPr="628C881F">
              <w:rPr>
                <w:rFonts w:cs="Arial"/>
              </w:rPr>
              <w:t>supports are provided in businesses, self-employment opportunities, and locations in the community)</w:t>
            </w:r>
          </w:p>
          <w:p w14:paraId="7E3C5B23" w14:textId="10FE5392" w:rsidR="00C1370A" w:rsidRDefault="00C1370A" w:rsidP="00C1370A">
            <w:pPr>
              <w:rPr>
                <w:rFonts w:eastAsia="MS Mincho" w:cs="Arial"/>
              </w:rPr>
            </w:pPr>
          </w:p>
        </w:tc>
        <w:tc>
          <w:tcPr>
            <w:tcW w:w="505" w:type="pct"/>
          </w:tcPr>
          <w:p w14:paraId="239E93CE" w14:textId="46E55884" w:rsidR="00C1370A" w:rsidRDefault="00C1370A" w:rsidP="00C1370A">
            <w:pPr>
              <w:spacing w:after="200" w:line="276" w:lineRule="auto"/>
              <w:jc w:val="center"/>
              <w:rPr>
                <w:rFonts w:eastAsia="MS Mincho" w:cs="Arial"/>
              </w:rPr>
            </w:pPr>
            <w:r w:rsidRPr="4A740DA4">
              <w:rPr>
                <w:rFonts w:eastAsia="MS Mincho" w:cs="Arial"/>
              </w:rPr>
              <w:t>5</w:t>
            </w:r>
          </w:p>
        </w:tc>
        <w:tc>
          <w:tcPr>
            <w:tcW w:w="443" w:type="pct"/>
          </w:tcPr>
          <w:p w14:paraId="19391422" w14:textId="6781AB79" w:rsidR="00C1370A" w:rsidRDefault="00C1370A" w:rsidP="00C1370A">
            <w:pPr>
              <w:spacing w:after="200" w:line="276" w:lineRule="auto"/>
              <w:jc w:val="center"/>
              <w:rPr>
                <w:rFonts w:eastAsia="MS Mincho" w:cs="Arial"/>
              </w:rPr>
            </w:pPr>
            <w:r w:rsidRPr="4A740DA4">
              <w:rPr>
                <w:rFonts w:eastAsia="MS Mincho" w:cs="Arial"/>
              </w:rPr>
              <w:t>5</w:t>
            </w:r>
          </w:p>
        </w:tc>
        <w:tc>
          <w:tcPr>
            <w:tcW w:w="726" w:type="pct"/>
          </w:tcPr>
          <w:p w14:paraId="43A43430" w14:textId="196DC050" w:rsidR="00C1370A" w:rsidRDefault="00C1370A" w:rsidP="00C1370A">
            <w:pPr>
              <w:spacing w:line="276" w:lineRule="auto"/>
              <w:jc w:val="center"/>
              <w:rPr>
                <w:rFonts w:eastAsia="MS Mincho" w:cs="Arial"/>
              </w:rPr>
            </w:pPr>
            <w:r w:rsidRPr="628C881F">
              <w:rPr>
                <w:rFonts w:eastAsia="MS Mincho" w:cs="Arial"/>
              </w:rPr>
              <w:t>0</w:t>
            </w:r>
          </w:p>
        </w:tc>
        <w:tc>
          <w:tcPr>
            <w:tcW w:w="779" w:type="pct"/>
          </w:tcPr>
          <w:p w14:paraId="2844D96A" w14:textId="161718E3" w:rsidR="00C1370A" w:rsidRDefault="00C1370A" w:rsidP="00C1370A">
            <w:pPr>
              <w:jc w:val="center"/>
              <w:rPr>
                <w:rFonts w:eastAsia="MS Mincho" w:cs="Arial"/>
              </w:rPr>
            </w:pPr>
            <w:r w:rsidRPr="628C881F">
              <w:rPr>
                <w:rFonts w:eastAsia="MS Mincho" w:cs="Arial"/>
              </w:rPr>
              <w:t>0</w:t>
            </w:r>
          </w:p>
        </w:tc>
        <w:tc>
          <w:tcPr>
            <w:tcW w:w="455" w:type="pct"/>
          </w:tcPr>
          <w:p w14:paraId="154B33BA" w14:textId="3FDA811F" w:rsidR="00C1370A" w:rsidRDefault="00C1370A" w:rsidP="00C1370A">
            <w:pPr>
              <w:jc w:val="center"/>
              <w:rPr>
                <w:rFonts w:eastAsia="MS Mincho" w:cs="Arial"/>
              </w:rPr>
            </w:pPr>
            <w:r w:rsidRPr="628C881F">
              <w:rPr>
                <w:rFonts w:eastAsia="MS Mincho" w:cs="Arial"/>
              </w:rPr>
              <w:t>0</w:t>
            </w:r>
          </w:p>
        </w:tc>
      </w:tr>
    </w:tbl>
    <w:p w14:paraId="4F8ED018" w14:textId="77777777" w:rsidR="001C26D3" w:rsidRDefault="001C26D3"/>
    <w:p w14:paraId="0E6EB012" w14:textId="77777777" w:rsidR="00C37FEA" w:rsidRDefault="00C37FEA" w:rsidP="00C37FEA">
      <w:pPr>
        <w:pStyle w:val="Heading3"/>
        <w:rPr>
          <w:sz w:val="26"/>
          <w:szCs w:val="26"/>
        </w:rPr>
      </w:pPr>
      <w:r>
        <w:rPr>
          <w:sz w:val="26"/>
          <w:szCs w:val="26"/>
        </w:rPr>
        <w:br w:type="page"/>
      </w:r>
    </w:p>
    <w:p w14:paraId="34D21285" w14:textId="3F99E839" w:rsidR="001C26D3" w:rsidRPr="00144BE9" w:rsidRDefault="001C26D3" w:rsidP="00144BE9">
      <w:pPr>
        <w:pStyle w:val="Heading3"/>
        <w:rPr>
          <w:sz w:val="26"/>
          <w:szCs w:val="26"/>
        </w:rPr>
      </w:pPr>
      <w:r w:rsidRPr="00144BE9">
        <w:rPr>
          <w:sz w:val="26"/>
          <w:szCs w:val="26"/>
        </w:rPr>
        <w:lastRenderedPageBreak/>
        <w:t>Massachusetts Rehabilitation Commission – 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D96B7F" w:rsidRPr="00720F79" w14:paraId="504FE556" w14:textId="77777777" w:rsidTr="00B8688B">
        <w:trPr>
          <w:cantSplit/>
          <w:trHeight w:val="620"/>
          <w:tblHeader/>
        </w:trPr>
        <w:tc>
          <w:tcPr>
            <w:tcW w:w="795" w:type="pct"/>
            <w:shd w:val="clear" w:color="auto" w:fill="B8CCE4" w:themeFill="accent1" w:themeFillTint="66"/>
            <w:vAlign w:val="center"/>
          </w:tcPr>
          <w:p w14:paraId="35A02A0B" w14:textId="6AD15653" w:rsidR="001C26D3" w:rsidRPr="003C2ADB" w:rsidRDefault="001C26D3" w:rsidP="001C26D3">
            <w:pPr>
              <w:pStyle w:val="ListParagraph"/>
              <w:ind w:left="238"/>
              <w:rPr>
                <w:rFonts w:cs="Arial"/>
              </w:rPr>
            </w:pPr>
            <w:bookmarkStart w:id="5" w:name="_Hlk100237105"/>
            <w:r w:rsidRPr="003C2ADB">
              <w:rPr>
                <w:rFonts w:cs="Arial"/>
                <w:b/>
              </w:rPr>
              <w:t>Waiver(s)</w:t>
            </w:r>
          </w:p>
        </w:tc>
        <w:tc>
          <w:tcPr>
            <w:tcW w:w="679" w:type="pct"/>
            <w:shd w:val="clear" w:color="auto" w:fill="B8CCE4" w:themeFill="accent1" w:themeFillTint="66"/>
            <w:vAlign w:val="center"/>
          </w:tcPr>
          <w:p w14:paraId="5C79AEF4" w14:textId="69D0043F" w:rsidR="001C26D3" w:rsidRPr="003C2ADB" w:rsidRDefault="001C26D3" w:rsidP="001C26D3">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4339A101" w14:textId="2639DBB7" w:rsidR="001C26D3" w:rsidRPr="003C2ADB" w:rsidRDefault="001C26D3" w:rsidP="00D96B7F">
            <w:pPr>
              <w:jc w:val="center"/>
              <w:rPr>
                <w:rFonts w:cs="Arial"/>
              </w:rPr>
            </w:pPr>
            <w:r w:rsidRPr="003C2ADB">
              <w:rPr>
                <w:rFonts w:cs="Arial"/>
                <w:b/>
              </w:rPr>
              <w:t>Type of Setting</w:t>
            </w:r>
          </w:p>
        </w:tc>
        <w:tc>
          <w:tcPr>
            <w:tcW w:w="552" w:type="pct"/>
            <w:shd w:val="clear" w:color="auto" w:fill="B8CCE4" w:themeFill="accent1" w:themeFillTint="66"/>
            <w:vAlign w:val="center"/>
          </w:tcPr>
          <w:p w14:paraId="14E27F74" w14:textId="0AEADD89" w:rsidR="001C26D3" w:rsidRPr="003C2ADB" w:rsidRDefault="001C26D3" w:rsidP="001C26D3">
            <w:pPr>
              <w:jc w:val="center"/>
              <w:rPr>
                <w:rFonts w:cs="Arial"/>
              </w:rPr>
            </w:pPr>
            <w:r w:rsidRPr="003C2ADB">
              <w:rPr>
                <w:rFonts w:cs="Arial"/>
                <w:b/>
              </w:rPr>
              <w:t>Number of Settings</w:t>
            </w:r>
          </w:p>
        </w:tc>
        <w:tc>
          <w:tcPr>
            <w:tcW w:w="424" w:type="pct"/>
            <w:shd w:val="clear" w:color="auto" w:fill="B8CCE4" w:themeFill="accent1" w:themeFillTint="66"/>
            <w:vAlign w:val="center"/>
          </w:tcPr>
          <w:p w14:paraId="504041AF" w14:textId="1328C95F" w:rsidR="001C26D3" w:rsidRDefault="001C26D3" w:rsidP="001C26D3">
            <w:pPr>
              <w:jc w:val="center"/>
              <w:rPr>
                <w:rFonts w:cs="Arial"/>
              </w:rPr>
            </w:pPr>
            <w:r w:rsidRPr="003C2ADB">
              <w:rPr>
                <w:rFonts w:cs="Arial"/>
                <w:b/>
              </w:rPr>
              <w:t>Meets HCBS</w:t>
            </w:r>
          </w:p>
        </w:tc>
        <w:tc>
          <w:tcPr>
            <w:tcW w:w="678" w:type="pct"/>
            <w:shd w:val="clear" w:color="auto" w:fill="B8CCE4" w:themeFill="accent1" w:themeFillTint="66"/>
            <w:vAlign w:val="center"/>
          </w:tcPr>
          <w:p w14:paraId="4C24A76C" w14:textId="68BEF03E" w:rsidR="001C26D3" w:rsidRDefault="001C26D3" w:rsidP="001C26D3">
            <w:pPr>
              <w:jc w:val="center"/>
              <w:rPr>
                <w:rFonts w:cs="Arial"/>
              </w:rPr>
            </w:pPr>
            <w:r>
              <w:rPr>
                <w:rFonts w:cs="Arial"/>
                <w:b/>
              </w:rPr>
              <w:t>Meets HCBS</w:t>
            </w:r>
            <w:r w:rsidR="001E0FCC">
              <w:rPr>
                <w:rFonts w:cs="Arial"/>
                <w:b/>
              </w:rPr>
              <w:t>;</w:t>
            </w:r>
            <w:r>
              <w:rPr>
                <w:rFonts w:cs="Arial"/>
                <w:b/>
              </w:rPr>
              <w:t xml:space="preserve"> but subject to Heightened </w:t>
            </w:r>
            <w:r w:rsidRPr="2DBE62B9">
              <w:rPr>
                <w:rFonts w:cs="Arial"/>
                <w:b/>
                <w:bCs/>
              </w:rPr>
              <w:t>Sc</w:t>
            </w:r>
            <w:r w:rsidR="714FAEF1" w:rsidRPr="2DBE62B9">
              <w:rPr>
                <w:rFonts w:cs="Arial"/>
                <w:b/>
                <w:bCs/>
              </w:rPr>
              <w:t>r</w:t>
            </w:r>
            <w:r w:rsidRPr="2DBE62B9">
              <w:rPr>
                <w:rFonts w:cs="Arial"/>
                <w:b/>
                <w:bCs/>
              </w:rPr>
              <w:t>utiny</w:t>
            </w:r>
          </w:p>
        </w:tc>
        <w:tc>
          <w:tcPr>
            <w:tcW w:w="721" w:type="pct"/>
            <w:shd w:val="clear" w:color="auto" w:fill="B8CCE4" w:themeFill="accent1" w:themeFillTint="66"/>
            <w:vAlign w:val="center"/>
          </w:tcPr>
          <w:p w14:paraId="776F0D1C" w14:textId="77777777" w:rsidR="001C26D3" w:rsidRDefault="001C26D3" w:rsidP="001C26D3">
            <w:pPr>
              <w:jc w:val="center"/>
              <w:rPr>
                <w:rFonts w:cs="Arial"/>
                <w:b/>
              </w:rPr>
            </w:pPr>
            <w:r w:rsidRPr="003C2ADB">
              <w:rPr>
                <w:rFonts w:cs="Arial"/>
                <w:b/>
              </w:rPr>
              <w:t xml:space="preserve">Not </w:t>
            </w:r>
            <w:proofErr w:type="gramStart"/>
            <w:r w:rsidRPr="003C2ADB">
              <w:rPr>
                <w:rFonts w:cs="Arial"/>
                <w:b/>
              </w:rPr>
              <w:t>yet;</w:t>
            </w:r>
            <w:proofErr w:type="gramEnd"/>
          </w:p>
          <w:p w14:paraId="3537B3B3" w14:textId="2A8F7799" w:rsidR="001C26D3" w:rsidRPr="003C2ADB" w:rsidRDefault="001C26D3" w:rsidP="001C26D3">
            <w:pPr>
              <w:jc w:val="center"/>
              <w:rPr>
                <w:rFonts w:cs="Arial"/>
              </w:rPr>
            </w:pPr>
            <w:r>
              <w:rPr>
                <w:rFonts w:cs="Arial"/>
                <w:b/>
              </w:rPr>
              <w:t>individual site assessment in process</w:t>
            </w:r>
          </w:p>
        </w:tc>
        <w:tc>
          <w:tcPr>
            <w:tcW w:w="473" w:type="pct"/>
            <w:shd w:val="clear" w:color="auto" w:fill="B8CCE4" w:themeFill="accent1" w:themeFillTint="66"/>
            <w:vAlign w:val="center"/>
          </w:tcPr>
          <w:p w14:paraId="34F5AF39" w14:textId="5CEC01D2" w:rsidR="001C26D3" w:rsidRPr="003C2ADB" w:rsidRDefault="001C26D3" w:rsidP="001C26D3">
            <w:pPr>
              <w:jc w:val="center"/>
              <w:rPr>
                <w:rFonts w:cs="Arial"/>
              </w:rPr>
            </w:pPr>
            <w:r w:rsidRPr="003C2ADB">
              <w:rPr>
                <w:rFonts w:cs="Arial"/>
                <w:b/>
              </w:rPr>
              <w:t>No; Cannot Meet</w:t>
            </w:r>
          </w:p>
        </w:tc>
      </w:tr>
      <w:tr w:rsidR="00D96B7F" w:rsidRPr="00720F79" w14:paraId="4CC5B0C7" w14:textId="77777777" w:rsidTr="006C2BD0">
        <w:trPr>
          <w:cantSplit/>
          <w:trHeight w:val="620"/>
        </w:trPr>
        <w:tc>
          <w:tcPr>
            <w:tcW w:w="795" w:type="pct"/>
          </w:tcPr>
          <w:p w14:paraId="685DCD35" w14:textId="77777777" w:rsidR="00E06CC8" w:rsidRPr="003C2ADB" w:rsidRDefault="00E06CC8" w:rsidP="004427AF">
            <w:pPr>
              <w:pStyle w:val="ListParagraph"/>
              <w:numPr>
                <w:ilvl w:val="0"/>
                <w:numId w:val="17"/>
              </w:numPr>
              <w:ind w:left="187" w:hanging="187"/>
              <w:rPr>
                <w:rFonts w:cs="Arial"/>
              </w:rPr>
            </w:pPr>
            <w:r w:rsidRPr="003C2ADB">
              <w:rPr>
                <w:rFonts w:cs="Arial"/>
              </w:rPr>
              <w:t>Traumatic Brain Injury Waiver (MA.0359)</w:t>
            </w:r>
          </w:p>
        </w:tc>
        <w:tc>
          <w:tcPr>
            <w:tcW w:w="679" w:type="pct"/>
          </w:tcPr>
          <w:p w14:paraId="71965C97" w14:textId="77777777" w:rsidR="00E06CC8" w:rsidRPr="003C2ADB" w:rsidRDefault="00E06CC8" w:rsidP="0067043D">
            <w:pPr>
              <w:rPr>
                <w:rFonts w:cs="Arial"/>
              </w:rPr>
            </w:pPr>
            <w:r w:rsidRPr="003C2ADB">
              <w:rPr>
                <w:rFonts w:cs="Arial"/>
              </w:rPr>
              <w:t>Residential Habilitation</w:t>
            </w:r>
          </w:p>
        </w:tc>
        <w:tc>
          <w:tcPr>
            <w:tcW w:w="678" w:type="pct"/>
          </w:tcPr>
          <w:p w14:paraId="306B141A" w14:textId="77777777" w:rsidR="00E06CC8" w:rsidRPr="003C2ADB" w:rsidRDefault="00E06CC8" w:rsidP="0067043D">
            <w:pPr>
              <w:rPr>
                <w:rFonts w:cs="Arial"/>
              </w:rPr>
            </w:pPr>
            <w:r w:rsidRPr="003C2ADB">
              <w:rPr>
                <w:rFonts w:cs="Arial"/>
              </w:rPr>
              <w:t>Private Provider</w:t>
            </w:r>
          </w:p>
          <w:p w14:paraId="16EEFE0B" w14:textId="77777777" w:rsidR="00E06CC8" w:rsidRPr="003C2ADB" w:rsidRDefault="00E06CC8" w:rsidP="00E06CC8">
            <w:pPr>
              <w:rPr>
                <w:rFonts w:cs="Arial"/>
              </w:rPr>
            </w:pPr>
            <w:r w:rsidRPr="003C2ADB">
              <w:rPr>
                <w:rFonts w:cs="Arial"/>
              </w:rPr>
              <w:t>Owned or Leased</w:t>
            </w:r>
          </w:p>
          <w:p w14:paraId="6994A23E" w14:textId="77777777" w:rsidR="00FB6899" w:rsidRPr="003C2ADB" w:rsidRDefault="00FB6899" w:rsidP="00E06CC8">
            <w:pPr>
              <w:rPr>
                <w:rFonts w:cs="Arial"/>
              </w:rPr>
            </w:pPr>
          </w:p>
        </w:tc>
        <w:tc>
          <w:tcPr>
            <w:tcW w:w="552" w:type="pct"/>
          </w:tcPr>
          <w:p w14:paraId="062111D9" w14:textId="1DC05AAA" w:rsidR="00E06CC8" w:rsidRPr="003C2ADB" w:rsidRDefault="00303190" w:rsidP="00B7192F">
            <w:pPr>
              <w:spacing w:after="200" w:line="276" w:lineRule="auto"/>
              <w:jc w:val="center"/>
              <w:rPr>
                <w:rFonts w:cs="Arial"/>
              </w:rPr>
            </w:pPr>
            <w:r>
              <w:rPr>
                <w:rFonts w:cs="Arial"/>
              </w:rPr>
              <w:t>41</w:t>
            </w:r>
          </w:p>
        </w:tc>
        <w:tc>
          <w:tcPr>
            <w:tcW w:w="424" w:type="pct"/>
          </w:tcPr>
          <w:p w14:paraId="3DB665D5" w14:textId="7762EDA7" w:rsidR="00E06CC8" w:rsidRPr="003C2ADB" w:rsidRDefault="00303190" w:rsidP="00B7192F">
            <w:pPr>
              <w:spacing w:after="200" w:line="276" w:lineRule="auto"/>
              <w:jc w:val="center"/>
              <w:rPr>
                <w:rFonts w:eastAsia="MS Mincho" w:cs="Arial"/>
              </w:rPr>
            </w:pPr>
            <w:r>
              <w:rPr>
                <w:rFonts w:cs="Arial"/>
              </w:rPr>
              <w:t>41</w:t>
            </w:r>
          </w:p>
        </w:tc>
        <w:tc>
          <w:tcPr>
            <w:tcW w:w="678" w:type="pct"/>
          </w:tcPr>
          <w:p w14:paraId="196D7878" w14:textId="77777777" w:rsidR="00E06CC8" w:rsidRPr="003C2ADB" w:rsidRDefault="00A93B1C" w:rsidP="0067043D">
            <w:pPr>
              <w:jc w:val="center"/>
              <w:rPr>
                <w:rFonts w:cs="Arial"/>
              </w:rPr>
            </w:pPr>
            <w:r>
              <w:rPr>
                <w:rFonts w:cs="Arial"/>
              </w:rPr>
              <w:t>0</w:t>
            </w:r>
          </w:p>
        </w:tc>
        <w:tc>
          <w:tcPr>
            <w:tcW w:w="721" w:type="pct"/>
          </w:tcPr>
          <w:p w14:paraId="17B35023" w14:textId="77777777" w:rsidR="00E06CC8" w:rsidRPr="003C2ADB" w:rsidRDefault="00E06CC8" w:rsidP="0067043D">
            <w:pPr>
              <w:jc w:val="center"/>
              <w:rPr>
                <w:rFonts w:cs="Arial"/>
              </w:rPr>
            </w:pPr>
            <w:r w:rsidRPr="003C2ADB">
              <w:rPr>
                <w:rFonts w:cs="Arial"/>
              </w:rPr>
              <w:t>0</w:t>
            </w:r>
          </w:p>
        </w:tc>
        <w:tc>
          <w:tcPr>
            <w:tcW w:w="473" w:type="pct"/>
          </w:tcPr>
          <w:p w14:paraId="55161F90" w14:textId="448AADD8" w:rsidR="00E06CC8" w:rsidRPr="003C2ADB" w:rsidRDefault="00E06CC8" w:rsidP="0067043D">
            <w:pPr>
              <w:jc w:val="center"/>
              <w:rPr>
                <w:rFonts w:cs="Arial"/>
              </w:rPr>
            </w:pPr>
            <w:r w:rsidRPr="003C2ADB">
              <w:rPr>
                <w:rFonts w:cs="Arial"/>
              </w:rPr>
              <w:t>0</w:t>
            </w:r>
          </w:p>
        </w:tc>
      </w:tr>
      <w:tr w:rsidR="00D96B7F" w:rsidRPr="00720F79" w14:paraId="349D7906" w14:textId="77777777" w:rsidTr="006C2BD0">
        <w:trPr>
          <w:cantSplit/>
          <w:trHeight w:val="1170"/>
        </w:trPr>
        <w:tc>
          <w:tcPr>
            <w:tcW w:w="795" w:type="pct"/>
          </w:tcPr>
          <w:p w14:paraId="1E2788FA" w14:textId="7D7EDF74" w:rsidR="00EF5B2D" w:rsidRPr="003C2ADB" w:rsidRDefault="00EF5B2D" w:rsidP="004427AF">
            <w:pPr>
              <w:pStyle w:val="ListParagraph"/>
              <w:numPr>
                <w:ilvl w:val="0"/>
                <w:numId w:val="17"/>
              </w:numPr>
              <w:ind w:left="187" w:hanging="187"/>
              <w:rPr>
                <w:rFonts w:cs="Arial"/>
              </w:rPr>
            </w:pPr>
            <w:r w:rsidRPr="00EF5B2D">
              <w:rPr>
                <w:rFonts w:cs="Arial"/>
              </w:rPr>
              <w:t>Traumatic Brain Injury Waiver (MA.0359)</w:t>
            </w:r>
          </w:p>
        </w:tc>
        <w:tc>
          <w:tcPr>
            <w:tcW w:w="679" w:type="pct"/>
          </w:tcPr>
          <w:p w14:paraId="6DBE90F2" w14:textId="73DAD993" w:rsidR="00EF5B2D" w:rsidRPr="003C2ADB" w:rsidRDefault="00EF5B2D" w:rsidP="00652A92">
            <w:pPr>
              <w:rPr>
                <w:rFonts w:cs="Arial"/>
              </w:rPr>
            </w:pPr>
            <w:r w:rsidRPr="00EF5B2D">
              <w:rPr>
                <w:rFonts w:cs="Arial"/>
              </w:rPr>
              <w:t>Shared Living 24-Hour Supports</w:t>
            </w:r>
          </w:p>
        </w:tc>
        <w:tc>
          <w:tcPr>
            <w:tcW w:w="678" w:type="pct"/>
          </w:tcPr>
          <w:p w14:paraId="28D682EB" w14:textId="77777777" w:rsidR="006D4242" w:rsidRPr="006D4242" w:rsidRDefault="006D4242" w:rsidP="006D4242">
            <w:pPr>
              <w:rPr>
                <w:rFonts w:cs="Arial"/>
              </w:rPr>
            </w:pPr>
            <w:r w:rsidRPr="006D4242">
              <w:rPr>
                <w:rFonts w:cs="Arial"/>
              </w:rPr>
              <w:t xml:space="preserve">Private Provider </w:t>
            </w:r>
          </w:p>
          <w:p w14:paraId="48693B40" w14:textId="77777777" w:rsidR="006D4242" w:rsidRPr="006D4242" w:rsidRDefault="006D4242" w:rsidP="006D4242">
            <w:pPr>
              <w:rPr>
                <w:rFonts w:cs="Arial"/>
              </w:rPr>
            </w:pPr>
            <w:r w:rsidRPr="006D4242">
              <w:rPr>
                <w:rFonts w:cs="Arial"/>
              </w:rPr>
              <w:t>Owned or Leased</w:t>
            </w:r>
          </w:p>
          <w:p w14:paraId="42CB819C" w14:textId="77777777" w:rsidR="00EF5B2D" w:rsidRPr="003C2ADB" w:rsidRDefault="00EF5B2D" w:rsidP="0067043D">
            <w:pPr>
              <w:rPr>
                <w:rFonts w:cs="Arial"/>
              </w:rPr>
            </w:pPr>
          </w:p>
        </w:tc>
        <w:tc>
          <w:tcPr>
            <w:tcW w:w="552" w:type="pct"/>
          </w:tcPr>
          <w:p w14:paraId="14381484" w14:textId="09BE41EF" w:rsidR="00EF5B2D" w:rsidRPr="003C2ADB" w:rsidRDefault="00417E1F" w:rsidP="00B7192F">
            <w:pPr>
              <w:spacing w:after="200" w:line="276" w:lineRule="auto"/>
              <w:jc w:val="center"/>
              <w:rPr>
                <w:rFonts w:eastAsia="MS Mincho" w:cs="Arial"/>
              </w:rPr>
            </w:pPr>
            <w:r>
              <w:rPr>
                <w:rFonts w:cs="Arial"/>
              </w:rPr>
              <w:t>1</w:t>
            </w:r>
          </w:p>
        </w:tc>
        <w:tc>
          <w:tcPr>
            <w:tcW w:w="424" w:type="pct"/>
          </w:tcPr>
          <w:p w14:paraId="4677D36F" w14:textId="4935D957" w:rsidR="00EF5B2D" w:rsidRPr="003C2ADB" w:rsidRDefault="00417E1F" w:rsidP="00B7192F">
            <w:pPr>
              <w:spacing w:after="200" w:line="276" w:lineRule="auto"/>
              <w:jc w:val="center"/>
              <w:rPr>
                <w:rFonts w:cs="Arial"/>
              </w:rPr>
            </w:pPr>
            <w:r>
              <w:rPr>
                <w:rFonts w:cs="Arial"/>
              </w:rPr>
              <w:t>1</w:t>
            </w:r>
          </w:p>
        </w:tc>
        <w:tc>
          <w:tcPr>
            <w:tcW w:w="678" w:type="pct"/>
          </w:tcPr>
          <w:p w14:paraId="7DF72E19" w14:textId="4A012877" w:rsidR="00EF5B2D" w:rsidRPr="003C2ADB" w:rsidRDefault="006D4242" w:rsidP="0067043D">
            <w:pPr>
              <w:jc w:val="center"/>
              <w:rPr>
                <w:rFonts w:cs="Arial"/>
              </w:rPr>
            </w:pPr>
            <w:r>
              <w:rPr>
                <w:rFonts w:cs="Arial"/>
              </w:rPr>
              <w:t>0</w:t>
            </w:r>
          </w:p>
        </w:tc>
        <w:tc>
          <w:tcPr>
            <w:tcW w:w="721" w:type="pct"/>
          </w:tcPr>
          <w:p w14:paraId="0EB0810D" w14:textId="297A3E30" w:rsidR="00EF5B2D" w:rsidRPr="003C2ADB" w:rsidRDefault="006D4242" w:rsidP="0067043D">
            <w:pPr>
              <w:jc w:val="center"/>
              <w:rPr>
                <w:rFonts w:cs="Arial"/>
              </w:rPr>
            </w:pPr>
            <w:r>
              <w:rPr>
                <w:rFonts w:cs="Arial"/>
              </w:rPr>
              <w:t>0</w:t>
            </w:r>
          </w:p>
        </w:tc>
        <w:tc>
          <w:tcPr>
            <w:tcW w:w="473" w:type="pct"/>
          </w:tcPr>
          <w:p w14:paraId="24538EE4" w14:textId="51B092ED" w:rsidR="00EF5B2D" w:rsidRPr="003C2ADB" w:rsidRDefault="006D4242" w:rsidP="0067043D">
            <w:pPr>
              <w:jc w:val="center"/>
              <w:rPr>
                <w:rFonts w:cs="Arial"/>
              </w:rPr>
            </w:pPr>
            <w:r>
              <w:rPr>
                <w:rFonts w:cs="Arial"/>
              </w:rPr>
              <w:t>0</w:t>
            </w:r>
          </w:p>
        </w:tc>
      </w:tr>
      <w:tr w:rsidR="00D96B7F" w:rsidRPr="00720F79" w14:paraId="5CEE9540" w14:textId="77777777" w:rsidTr="006C2BD0">
        <w:trPr>
          <w:cantSplit/>
          <w:trHeight w:val="1170"/>
        </w:trPr>
        <w:tc>
          <w:tcPr>
            <w:tcW w:w="795" w:type="pct"/>
          </w:tcPr>
          <w:p w14:paraId="585118E9" w14:textId="77777777" w:rsidR="00D96B7F" w:rsidRPr="003C2ADB" w:rsidRDefault="00D96B7F" w:rsidP="004427AF">
            <w:pPr>
              <w:pStyle w:val="ListParagraph"/>
              <w:numPr>
                <w:ilvl w:val="0"/>
                <w:numId w:val="17"/>
              </w:numPr>
              <w:ind w:left="187" w:hanging="187"/>
              <w:rPr>
                <w:rFonts w:cs="Arial"/>
              </w:rPr>
            </w:pPr>
            <w:r w:rsidRPr="003C2ADB">
              <w:rPr>
                <w:rFonts w:cs="Arial"/>
              </w:rPr>
              <w:t>Traumatic Brain Injury Waiver (MA.0359)</w:t>
            </w:r>
          </w:p>
          <w:p w14:paraId="3A358C38" w14:textId="77777777" w:rsidR="00D96B7F" w:rsidRPr="003C2ADB" w:rsidRDefault="00D96B7F" w:rsidP="004427AF">
            <w:pPr>
              <w:pStyle w:val="ListParagraph"/>
              <w:numPr>
                <w:ilvl w:val="0"/>
                <w:numId w:val="17"/>
              </w:numPr>
              <w:ind w:left="187" w:hanging="187"/>
              <w:rPr>
                <w:rFonts w:cs="Arial"/>
              </w:rPr>
            </w:pPr>
            <w:r w:rsidRPr="003C2ADB">
              <w:rPr>
                <w:rFonts w:cs="Arial"/>
              </w:rPr>
              <w:t>Acquired Brain Injury (ABI) - Non-Residential Habilitation (MA.40702)</w:t>
            </w:r>
          </w:p>
          <w:p w14:paraId="1CF5606B" w14:textId="6925657C" w:rsidR="00D96B7F" w:rsidRPr="000F0A20" w:rsidRDefault="00D96B7F" w:rsidP="004427AF">
            <w:pPr>
              <w:pStyle w:val="ListParagraph"/>
              <w:numPr>
                <w:ilvl w:val="0"/>
                <w:numId w:val="17"/>
              </w:numPr>
              <w:ind w:left="187" w:hanging="187"/>
              <w:rPr>
                <w:rFonts w:cs="Arial"/>
              </w:rPr>
            </w:pPr>
            <w:r>
              <w:rPr>
                <w:rFonts w:cs="Arial"/>
              </w:rPr>
              <w:t>Moving Forward Plan</w:t>
            </w:r>
            <w:r w:rsidRPr="003C2ADB">
              <w:rPr>
                <w:rFonts w:cs="Arial"/>
              </w:rPr>
              <w:t xml:space="preserve"> (MFP) - Community Living (MA.1027)</w:t>
            </w:r>
          </w:p>
        </w:tc>
        <w:tc>
          <w:tcPr>
            <w:tcW w:w="679" w:type="pct"/>
          </w:tcPr>
          <w:p w14:paraId="0C80AE55" w14:textId="5D3DC8F7" w:rsidR="00D96B7F" w:rsidRPr="00EF5B2D" w:rsidRDefault="00D96B7F" w:rsidP="000F0A20">
            <w:pPr>
              <w:rPr>
                <w:rFonts w:cs="Arial"/>
              </w:rPr>
            </w:pPr>
            <w:r>
              <w:rPr>
                <w:rFonts w:cs="Arial"/>
              </w:rPr>
              <w:t>N/A - A</w:t>
            </w:r>
            <w:r w:rsidRPr="003C2ADB">
              <w:rPr>
                <w:rFonts w:cs="Arial"/>
              </w:rPr>
              <w:t xml:space="preserve"> variety of waiver services can be provided in </w:t>
            </w:r>
            <w:r>
              <w:rPr>
                <w:rFonts w:cs="Arial"/>
              </w:rPr>
              <w:t>Adult Foster Care settings</w:t>
            </w:r>
          </w:p>
        </w:tc>
        <w:tc>
          <w:tcPr>
            <w:tcW w:w="678" w:type="pct"/>
          </w:tcPr>
          <w:p w14:paraId="3FACB4F7" w14:textId="1A5439D7" w:rsidR="00D96B7F" w:rsidRPr="006D4242" w:rsidRDefault="00D96B7F" w:rsidP="000F0A20">
            <w:pPr>
              <w:rPr>
                <w:rFonts w:cs="Arial"/>
              </w:rPr>
            </w:pPr>
            <w:r>
              <w:rPr>
                <w:rFonts w:cs="Arial"/>
              </w:rPr>
              <w:t>State Plan Adult Foster Care</w:t>
            </w:r>
          </w:p>
        </w:tc>
        <w:tc>
          <w:tcPr>
            <w:tcW w:w="552" w:type="pct"/>
          </w:tcPr>
          <w:p w14:paraId="5FA74983" w14:textId="69806352" w:rsidR="00D96B7F" w:rsidRDefault="00D96B7F" w:rsidP="000F0A20">
            <w:pPr>
              <w:jc w:val="center"/>
              <w:rPr>
                <w:rFonts w:cs="Arial"/>
              </w:rPr>
            </w:pPr>
            <w:r>
              <w:rPr>
                <w:rFonts w:cs="Arial"/>
              </w:rPr>
              <w:t>12</w:t>
            </w:r>
          </w:p>
        </w:tc>
        <w:tc>
          <w:tcPr>
            <w:tcW w:w="424" w:type="pct"/>
          </w:tcPr>
          <w:p w14:paraId="2FBC0201" w14:textId="71280584" w:rsidR="00D96B7F" w:rsidRDefault="00D96B7F" w:rsidP="000F0A20">
            <w:pPr>
              <w:jc w:val="center"/>
              <w:rPr>
                <w:rFonts w:cs="Arial"/>
              </w:rPr>
            </w:pPr>
            <w:r>
              <w:rPr>
                <w:rFonts w:cs="Arial"/>
              </w:rPr>
              <w:t>9</w:t>
            </w:r>
          </w:p>
        </w:tc>
        <w:tc>
          <w:tcPr>
            <w:tcW w:w="678" w:type="pct"/>
          </w:tcPr>
          <w:p w14:paraId="50BA4EFA" w14:textId="4A5692A6" w:rsidR="00D96B7F" w:rsidRDefault="00D96B7F" w:rsidP="000F0A20">
            <w:pPr>
              <w:jc w:val="center"/>
              <w:rPr>
                <w:rFonts w:cs="Arial"/>
              </w:rPr>
            </w:pPr>
            <w:r>
              <w:rPr>
                <w:rFonts w:cs="Arial"/>
              </w:rPr>
              <w:t xml:space="preserve">0 </w:t>
            </w:r>
          </w:p>
        </w:tc>
        <w:tc>
          <w:tcPr>
            <w:tcW w:w="721" w:type="pct"/>
          </w:tcPr>
          <w:p w14:paraId="22F14FA6" w14:textId="77777777" w:rsidR="00D96B7F" w:rsidRDefault="00D96B7F" w:rsidP="000F0A20">
            <w:pPr>
              <w:jc w:val="center"/>
              <w:rPr>
                <w:rFonts w:cs="Arial"/>
              </w:rPr>
            </w:pPr>
            <w:r>
              <w:rPr>
                <w:rFonts w:cs="Arial"/>
              </w:rPr>
              <w:t>3</w:t>
            </w:r>
          </w:p>
          <w:p w14:paraId="42D9668B" w14:textId="32D3CD2F" w:rsidR="00794948" w:rsidRDefault="00794948" w:rsidP="00794948">
            <w:pPr>
              <w:jc w:val="center"/>
              <w:rPr>
                <w:rFonts w:cs="Arial"/>
              </w:rPr>
            </w:pPr>
            <w:r>
              <w:rPr>
                <w:rFonts w:cs="Arial"/>
              </w:rPr>
              <w:t xml:space="preserve">Remediation will be complete by March </w:t>
            </w:r>
            <w:r w:rsidR="00152CD3">
              <w:rPr>
                <w:rFonts w:cs="Arial"/>
              </w:rPr>
              <w:t xml:space="preserve">17, </w:t>
            </w:r>
            <w:r>
              <w:rPr>
                <w:rFonts w:cs="Arial"/>
              </w:rPr>
              <w:t>2023</w:t>
            </w:r>
          </w:p>
          <w:p w14:paraId="1674B473" w14:textId="20742662" w:rsidR="00794948" w:rsidRDefault="00794948" w:rsidP="000F0A20">
            <w:pPr>
              <w:jc w:val="center"/>
              <w:rPr>
                <w:rFonts w:cs="Arial"/>
              </w:rPr>
            </w:pPr>
          </w:p>
        </w:tc>
        <w:tc>
          <w:tcPr>
            <w:tcW w:w="473" w:type="pct"/>
          </w:tcPr>
          <w:p w14:paraId="6D1BC201" w14:textId="2FB81D9B" w:rsidR="00D96B7F" w:rsidRDefault="00D96B7F" w:rsidP="000F0A20">
            <w:pPr>
              <w:jc w:val="center"/>
              <w:rPr>
                <w:rFonts w:cs="Arial"/>
              </w:rPr>
            </w:pPr>
            <w:r>
              <w:rPr>
                <w:rFonts w:cs="Arial"/>
              </w:rPr>
              <w:t>0</w:t>
            </w:r>
          </w:p>
        </w:tc>
      </w:tr>
      <w:bookmarkEnd w:id="5"/>
    </w:tbl>
    <w:p w14:paraId="5E9EA787" w14:textId="1C445FAC" w:rsidR="006C2BD0" w:rsidRDefault="006C2BD0"/>
    <w:p w14:paraId="58848297" w14:textId="77777777" w:rsidR="0090785D" w:rsidRDefault="0090785D" w:rsidP="008E7527">
      <w:pPr>
        <w:pStyle w:val="Heading2"/>
      </w:pPr>
    </w:p>
    <w:p w14:paraId="07E5F8FB" w14:textId="77777777" w:rsidR="00500DF0" w:rsidRDefault="00500DF0" w:rsidP="008E7527">
      <w:pPr>
        <w:pStyle w:val="Heading2"/>
      </w:pPr>
      <w:r>
        <w:br w:type="page"/>
      </w:r>
    </w:p>
    <w:p w14:paraId="16FF3DB3" w14:textId="3C043159" w:rsidR="006C2BD0" w:rsidRPr="00144BE9" w:rsidRDefault="006C2BD0" w:rsidP="00144BE9">
      <w:pPr>
        <w:pStyle w:val="Heading3"/>
        <w:rPr>
          <w:sz w:val="26"/>
          <w:szCs w:val="26"/>
        </w:rPr>
      </w:pPr>
      <w:r w:rsidRPr="00144BE9">
        <w:rPr>
          <w:sz w:val="26"/>
          <w:szCs w:val="26"/>
        </w:rPr>
        <w:lastRenderedPageBreak/>
        <w:t>Massachusetts Rehabilitation Commission – Non-Residential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6C2BD0" w:rsidRPr="00720F79" w14:paraId="09C9F8BC" w14:textId="77777777" w:rsidTr="00B8688B">
        <w:trPr>
          <w:cantSplit/>
          <w:trHeight w:val="620"/>
          <w:tblHeader/>
        </w:trPr>
        <w:tc>
          <w:tcPr>
            <w:tcW w:w="795" w:type="pct"/>
            <w:shd w:val="clear" w:color="auto" w:fill="B8CCE4" w:themeFill="accent1" w:themeFillTint="66"/>
            <w:vAlign w:val="center"/>
          </w:tcPr>
          <w:p w14:paraId="58EEB259" w14:textId="77777777" w:rsidR="006C2BD0" w:rsidRPr="003C2ADB" w:rsidRDefault="006C2BD0" w:rsidP="005C6E59">
            <w:pPr>
              <w:pStyle w:val="ListParagraph"/>
              <w:ind w:left="238"/>
              <w:rPr>
                <w:rFonts w:cs="Arial"/>
              </w:rPr>
            </w:pPr>
            <w:r w:rsidRPr="003C2ADB">
              <w:rPr>
                <w:rFonts w:cs="Arial"/>
                <w:b/>
              </w:rPr>
              <w:t>Waiver(s)</w:t>
            </w:r>
          </w:p>
        </w:tc>
        <w:tc>
          <w:tcPr>
            <w:tcW w:w="679" w:type="pct"/>
            <w:shd w:val="clear" w:color="auto" w:fill="B8CCE4" w:themeFill="accent1" w:themeFillTint="66"/>
            <w:vAlign w:val="center"/>
          </w:tcPr>
          <w:p w14:paraId="583CF49F" w14:textId="77777777" w:rsidR="006C2BD0" w:rsidRPr="003C2ADB" w:rsidRDefault="006C2BD0" w:rsidP="005C6E59">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35814E01" w14:textId="77777777" w:rsidR="006C2BD0" w:rsidRPr="003C2ADB" w:rsidRDefault="006C2BD0" w:rsidP="005C6E59">
            <w:pPr>
              <w:jc w:val="center"/>
              <w:rPr>
                <w:rFonts w:cs="Arial"/>
              </w:rPr>
            </w:pPr>
            <w:r w:rsidRPr="003C2ADB">
              <w:rPr>
                <w:rFonts w:cs="Arial"/>
                <w:b/>
              </w:rPr>
              <w:t>Type of Setting</w:t>
            </w:r>
          </w:p>
        </w:tc>
        <w:tc>
          <w:tcPr>
            <w:tcW w:w="552" w:type="pct"/>
            <w:shd w:val="clear" w:color="auto" w:fill="B8CCE4" w:themeFill="accent1" w:themeFillTint="66"/>
            <w:vAlign w:val="center"/>
          </w:tcPr>
          <w:p w14:paraId="3C9A58D3" w14:textId="77777777" w:rsidR="006C2BD0" w:rsidRPr="003C2ADB" w:rsidRDefault="006C2BD0" w:rsidP="005C6E59">
            <w:pPr>
              <w:jc w:val="center"/>
              <w:rPr>
                <w:rFonts w:cs="Arial"/>
              </w:rPr>
            </w:pPr>
            <w:r w:rsidRPr="003C2ADB">
              <w:rPr>
                <w:rFonts w:cs="Arial"/>
                <w:b/>
              </w:rPr>
              <w:t>Number of Settings</w:t>
            </w:r>
          </w:p>
        </w:tc>
        <w:tc>
          <w:tcPr>
            <w:tcW w:w="424" w:type="pct"/>
            <w:shd w:val="clear" w:color="auto" w:fill="B8CCE4" w:themeFill="accent1" w:themeFillTint="66"/>
            <w:vAlign w:val="center"/>
          </w:tcPr>
          <w:p w14:paraId="084E760A" w14:textId="77777777" w:rsidR="006C2BD0" w:rsidRDefault="006C2BD0" w:rsidP="005C6E59">
            <w:pPr>
              <w:jc w:val="center"/>
              <w:rPr>
                <w:rFonts w:cs="Arial"/>
              </w:rPr>
            </w:pPr>
            <w:r w:rsidRPr="003C2ADB">
              <w:rPr>
                <w:rFonts w:cs="Arial"/>
                <w:b/>
              </w:rPr>
              <w:t>Meets HCBS</w:t>
            </w:r>
          </w:p>
        </w:tc>
        <w:tc>
          <w:tcPr>
            <w:tcW w:w="678" w:type="pct"/>
            <w:shd w:val="clear" w:color="auto" w:fill="B8CCE4" w:themeFill="accent1" w:themeFillTint="66"/>
            <w:vAlign w:val="center"/>
          </w:tcPr>
          <w:p w14:paraId="451319E0" w14:textId="32119439" w:rsidR="006C2BD0" w:rsidRDefault="006C2BD0" w:rsidP="005C6E59">
            <w:pPr>
              <w:jc w:val="center"/>
              <w:rPr>
                <w:rFonts w:cs="Arial"/>
              </w:rPr>
            </w:pPr>
            <w:r>
              <w:rPr>
                <w:rFonts w:cs="Arial"/>
                <w:b/>
              </w:rPr>
              <w:t xml:space="preserve">Meets HCBS; but subject to Heightened </w:t>
            </w:r>
            <w:r w:rsidRPr="2DBE62B9">
              <w:rPr>
                <w:rFonts w:cs="Arial"/>
                <w:b/>
                <w:bCs/>
              </w:rPr>
              <w:t>Sc</w:t>
            </w:r>
            <w:r w:rsidR="007C1E62" w:rsidRPr="2DBE62B9">
              <w:rPr>
                <w:rFonts w:cs="Arial"/>
                <w:b/>
                <w:bCs/>
              </w:rPr>
              <w:t>r</w:t>
            </w:r>
            <w:r w:rsidRPr="2DBE62B9">
              <w:rPr>
                <w:rFonts w:cs="Arial"/>
                <w:b/>
                <w:bCs/>
              </w:rPr>
              <w:t>utiny</w:t>
            </w:r>
          </w:p>
        </w:tc>
        <w:tc>
          <w:tcPr>
            <w:tcW w:w="721" w:type="pct"/>
            <w:shd w:val="clear" w:color="auto" w:fill="B8CCE4" w:themeFill="accent1" w:themeFillTint="66"/>
            <w:vAlign w:val="center"/>
          </w:tcPr>
          <w:p w14:paraId="08D481B7" w14:textId="77777777" w:rsidR="006C2BD0" w:rsidRDefault="006C2BD0" w:rsidP="005C6E59">
            <w:pPr>
              <w:jc w:val="center"/>
              <w:rPr>
                <w:rFonts w:cs="Arial"/>
                <w:b/>
              </w:rPr>
            </w:pPr>
            <w:r w:rsidRPr="003C2ADB">
              <w:rPr>
                <w:rFonts w:cs="Arial"/>
                <w:b/>
              </w:rPr>
              <w:t xml:space="preserve">Not </w:t>
            </w:r>
            <w:proofErr w:type="gramStart"/>
            <w:r w:rsidRPr="003C2ADB">
              <w:rPr>
                <w:rFonts w:cs="Arial"/>
                <w:b/>
              </w:rPr>
              <w:t>yet;</w:t>
            </w:r>
            <w:proofErr w:type="gramEnd"/>
          </w:p>
          <w:p w14:paraId="5B810D10" w14:textId="77777777" w:rsidR="006C2BD0" w:rsidRPr="003C2ADB" w:rsidRDefault="006C2BD0" w:rsidP="005C6E59">
            <w:pPr>
              <w:jc w:val="center"/>
              <w:rPr>
                <w:rFonts w:cs="Arial"/>
              </w:rPr>
            </w:pPr>
            <w:r>
              <w:rPr>
                <w:rFonts w:cs="Arial"/>
                <w:b/>
              </w:rPr>
              <w:t>individual site assessment in process</w:t>
            </w:r>
          </w:p>
        </w:tc>
        <w:tc>
          <w:tcPr>
            <w:tcW w:w="473" w:type="pct"/>
            <w:shd w:val="clear" w:color="auto" w:fill="B8CCE4" w:themeFill="accent1" w:themeFillTint="66"/>
            <w:vAlign w:val="center"/>
          </w:tcPr>
          <w:p w14:paraId="00DF18E0" w14:textId="77777777" w:rsidR="006C2BD0" w:rsidRPr="003C2ADB" w:rsidRDefault="006C2BD0" w:rsidP="005C6E59">
            <w:pPr>
              <w:jc w:val="center"/>
              <w:rPr>
                <w:rFonts w:cs="Arial"/>
              </w:rPr>
            </w:pPr>
            <w:r w:rsidRPr="003C2ADB">
              <w:rPr>
                <w:rFonts w:cs="Arial"/>
                <w:b/>
              </w:rPr>
              <w:t>No; Cannot Meet</w:t>
            </w:r>
          </w:p>
        </w:tc>
      </w:tr>
      <w:tr w:rsidR="006C2BD0" w:rsidRPr="003C2ADB" w14:paraId="0A154424" w14:textId="77777777" w:rsidTr="006C2BD0">
        <w:trPr>
          <w:cantSplit/>
          <w:trHeight w:val="161"/>
        </w:trPr>
        <w:tc>
          <w:tcPr>
            <w:tcW w:w="795" w:type="pct"/>
          </w:tcPr>
          <w:p w14:paraId="078DBEE9" w14:textId="77777777" w:rsidR="006C2BD0" w:rsidRPr="003C2ADB" w:rsidRDefault="006C2BD0" w:rsidP="004427AF">
            <w:pPr>
              <w:pStyle w:val="ListParagraph"/>
              <w:numPr>
                <w:ilvl w:val="0"/>
                <w:numId w:val="16"/>
              </w:numPr>
              <w:ind w:left="187" w:hanging="187"/>
              <w:rPr>
                <w:rFonts w:cs="Arial"/>
              </w:rPr>
            </w:pPr>
            <w:r w:rsidRPr="003C2ADB">
              <w:rPr>
                <w:rFonts w:cs="Arial"/>
              </w:rPr>
              <w:t>Traumatic Brain Injury Waiver (MA.0359)</w:t>
            </w:r>
          </w:p>
          <w:p w14:paraId="63E1B474" w14:textId="77777777" w:rsidR="006C2BD0" w:rsidRPr="003C2ADB" w:rsidRDefault="006C2BD0" w:rsidP="004427AF">
            <w:pPr>
              <w:pStyle w:val="ListParagraph"/>
              <w:numPr>
                <w:ilvl w:val="0"/>
                <w:numId w:val="16"/>
              </w:numPr>
              <w:ind w:left="187" w:hanging="187"/>
              <w:rPr>
                <w:rFonts w:cs="Arial"/>
              </w:rPr>
            </w:pPr>
            <w:r w:rsidRPr="003C2ADB">
              <w:rPr>
                <w:rFonts w:cs="Arial"/>
              </w:rPr>
              <w:t>Acquired Brain Injury (ABI) - Non-Residential Habilitation (MA.40702)</w:t>
            </w:r>
          </w:p>
          <w:p w14:paraId="321384F2" w14:textId="1EF57A5D" w:rsidR="006C2BD0" w:rsidRPr="006C2BD0" w:rsidRDefault="006C2BD0" w:rsidP="004427AF">
            <w:pPr>
              <w:pStyle w:val="ListParagraph"/>
              <w:numPr>
                <w:ilvl w:val="0"/>
                <w:numId w:val="16"/>
              </w:numPr>
              <w:ind w:left="187" w:hanging="187"/>
              <w:rPr>
                <w:rFonts w:cs="Arial"/>
              </w:rPr>
            </w:pPr>
            <w:r w:rsidRPr="006C2BD0">
              <w:rPr>
                <w:rFonts w:cs="Arial"/>
              </w:rPr>
              <w:t>Moving Forward Plan (MFP) - Community Living (MA.1027)</w:t>
            </w:r>
          </w:p>
        </w:tc>
        <w:tc>
          <w:tcPr>
            <w:tcW w:w="679" w:type="pct"/>
          </w:tcPr>
          <w:p w14:paraId="31E010DB" w14:textId="77777777" w:rsidR="006C2BD0" w:rsidRPr="003C2ADB" w:rsidRDefault="006C2BD0" w:rsidP="005C6E59">
            <w:pPr>
              <w:rPr>
                <w:rFonts w:cs="Arial"/>
              </w:rPr>
            </w:pPr>
            <w:r w:rsidRPr="003C2ADB">
              <w:rPr>
                <w:rFonts w:cs="Arial"/>
              </w:rPr>
              <w:t>Day Services</w:t>
            </w:r>
          </w:p>
        </w:tc>
        <w:tc>
          <w:tcPr>
            <w:tcW w:w="678" w:type="pct"/>
          </w:tcPr>
          <w:p w14:paraId="7BF36C55" w14:textId="77777777" w:rsidR="006C2BD0" w:rsidRDefault="006C2BD0" w:rsidP="005C6E59">
            <w:pPr>
              <w:rPr>
                <w:rFonts w:cs="Arial"/>
              </w:rPr>
            </w:pPr>
            <w:r w:rsidRPr="003C2ADB">
              <w:rPr>
                <w:rFonts w:cs="Arial"/>
              </w:rPr>
              <w:t>Community-Based Day Services</w:t>
            </w:r>
          </w:p>
          <w:p w14:paraId="449003B9" w14:textId="77777777" w:rsidR="006C2BD0" w:rsidRPr="003C2ADB" w:rsidRDefault="006C2BD0" w:rsidP="005C6E59">
            <w:pPr>
              <w:rPr>
                <w:rFonts w:cs="Arial"/>
              </w:rPr>
            </w:pPr>
          </w:p>
        </w:tc>
        <w:tc>
          <w:tcPr>
            <w:tcW w:w="552" w:type="pct"/>
          </w:tcPr>
          <w:p w14:paraId="63EB9A02" w14:textId="77777777" w:rsidR="006C2BD0" w:rsidRPr="003C2ADB" w:rsidRDefault="006C2BD0" w:rsidP="005C6E59">
            <w:pPr>
              <w:spacing w:after="200" w:line="276" w:lineRule="auto"/>
              <w:jc w:val="center"/>
              <w:rPr>
                <w:rFonts w:cs="Arial"/>
              </w:rPr>
            </w:pPr>
            <w:r w:rsidRPr="2FD410C2">
              <w:rPr>
                <w:rFonts w:cs="Arial"/>
              </w:rPr>
              <w:t>4 TBI and ABI/MFP is 13</w:t>
            </w:r>
          </w:p>
        </w:tc>
        <w:tc>
          <w:tcPr>
            <w:tcW w:w="424" w:type="pct"/>
          </w:tcPr>
          <w:p w14:paraId="60803BB5" w14:textId="77777777" w:rsidR="006C2BD0" w:rsidRPr="003C2ADB" w:rsidRDefault="006C2BD0" w:rsidP="005C6E59">
            <w:pPr>
              <w:spacing w:after="200" w:line="276" w:lineRule="auto"/>
              <w:jc w:val="center"/>
              <w:rPr>
                <w:rFonts w:cs="Arial"/>
              </w:rPr>
            </w:pPr>
            <w:r w:rsidRPr="2FD410C2">
              <w:rPr>
                <w:rFonts w:cs="Arial"/>
              </w:rPr>
              <w:t>4 for TBI and ABI /MFP is 13</w:t>
            </w:r>
          </w:p>
        </w:tc>
        <w:tc>
          <w:tcPr>
            <w:tcW w:w="678" w:type="pct"/>
          </w:tcPr>
          <w:p w14:paraId="327F67B2" w14:textId="77777777" w:rsidR="006C2BD0" w:rsidRPr="003C2ADB" w:rsidRDefault="006C2BD0" w:rsidP="005C6E59">
            <w:pPr>
              <w:spacing w:after="200" w:line="276" w:lineRule="auto"/>
              <w:jc w:val="center"/>
              <w:rPr>
                <w:rFonts w:cs="Arial"/>
              </w:rPr>
            </w:pPr>
            <w:r>
              <w:rPr>
                <w:rFonts w:cs="Arial"/>
              </w:rPr>
              <w:t>0</w:t>
            </w:r>
          </w:p>
        </w:tc>
        <w:tc>
          <w:tcPr>
            <w:tcW w:w="721" w:type="pct"/>
          </w:tcPr>
          <w:p w14:paraId="5CB9E271" w14:textId="77777777" w:rsidR="006C2BD0" w:rsidRPr="003C2ADB" w:rsidRDefault="006C2BD0" w:rsidP="005C6E59">
            <w:pPr>
              <w:jc w:val="center"/>
              <w:rPr>
                <w:rFonts w:cs="Arial"/>
              </w:rPr>
            </w:pPr>
            <w:r w:rsidRPr="003C2ADB">
              <w:rPr>
                <w:rFonts w:cs="Arial"/>
              </w:rPr>
              <w:t>0</w:t>
            </w:r>
          </w:p>
        </w:tc>
        <w:tc>
          <w:tcPr>
            <w:tcW w:w="473" w:type="pct"/>
          </w:tcPr>
          <w:p w14:paraId="6230ED87" w14:textId="77777777" w:rsidR="006C2BD0" w:rsidRPr="003C2ADB" w:rsidRDefault="006C2BD0" w:rsidP="005C6E59">
            <w:pPr>
              <w:jc w:val="center"/>
              <w:rPr>
                <w:rFonts w:cs="Arial"/>
              </w:rPr>
            </w:pPr>
            <w:r w:rsidRPr="003C2ADB">
              <w:rPr>
                <w:rFonts w:cs="Arial"/>
              </w:rPr>
              <w:t>0</w:t>
            </w:r>
          </w:p>
        </w:tc>
      </w:tr>
      <w:tr w:rsidR="006C2BD0" w:rsidRPr="003C2ADB" w14:paraId="5F221A77" w14:textId="77777777" w:rsidTr="006C2BD0">
        <w:trPr>
          <w:cantSplit/>
          <w:trHeight w:val="161"/>
        </w:trPr>
        <w:tc>
          <w:tcPr>
            <w:tcW w:w="795" w:type="pct"/>
          </w:tcPr>
          <w:p w14:paraId="6CE3C25C" w14:textId="77777777" w:rsidR="006C2BD0" w:rsidRPr="006D4242" w:rsidRDefault="006C2BD0" w:rsidP="004427AF">
            <w:pPr>
              <w:numPr>
                <w:ilvl w:val="0"/>
                <w:numId w:val="16"/>
              </w:numPr>
              <w:ind w:left="187" w:hanging="187"/>
              <w:contextualSpacing/>
              <w:rPr>
                <w:rFonts w:cs="Arial"/>
              </w:rPr>
            </w:pPr>
            <w:r w:rsidRPr="006D4242">
              <w:rPr>
                <w:rFonts w:cs="Arial"/>
              </w:rPr>
              <w:t>Traumatic Brain Injury Waiver (MA.0359)</w:t>
            </w:r>
          </w:p>
          <w:p w14:paraId="78A446D8" w14:textId="77777777" w:rsidR="006C2BD0" w:rsidRDefault="006C2BD0" w:rsidP="004427AF">
            <w:pPr>
              <w:numPr>
                <w:ilvl w:val="0"/>
                <w:numId w:val="16"/>
              </w:numPr>
              <w:ind w:left="187" w:hanging="187"/>
              <w:contextualSpacing/>
              <w:rPr>
                <w:rFonts w:cs="Arial"/>
              </w:rPr>
            </w:pPr>
            <w:r w:rsidRPr="006D4242">
              <w:rPr>
                <w:rFonts w:cs="Arial"/>
              </w:rPr>
              <w:t>Acquired Brain Injury (ABI) - Non-Residential Habilitation MA.40702)</w:t>
            </w:r>
          </w:p>
          <w:p w14:paraId="513EBD63" w14:textId="77777777" w:rsidR="006C2BD0" w:rsidRPr="00EB09A3" w:rsidRDefault="006C2BD0" w:rsidP="004427AF">
            <w:pPr>
              <w:numPr>
                <w:ilvl w:val="0"/>
                <w:numId w:val="16"/>
              </w:numPr>
              <w:ind w:left="187" w:hanging="187"/>
              <w:contextualSpacing/>
              <w:rPr>
                <w:rFonts w:cs="Arial"/>
              </w:rPr>
            </w:pPr>
            <w:r w:rsidRPr="00EB09A3">
              <w:rPr>
                <w:rFonts w:cs="Arial"/>
              </w:rPr>
              <w:t>Moving Forward Plan (MFP) - Community Living (MA.1027)</w:t>
            </w:r>
          </w:p>
        </w:tc>
        <w:tc>
          <w:tcPr>
            <w:tcW w:w="679" w:type="pct"/>
          </w:tcPr>
          <w:p w14:paraId="6EF44E9C" w14:textId="77777777" w:rsidR="006C2BD0" w:rsidRPr="003C2ADB" w:rsidRDefault="006C2BD0" w:rsidP="005C6E59">
            <w:pPr>
              <w:rPr>
                <w:rFonts w:cs="Arial"/>
              </w:rPr>
            </w:pPr>
            <w:r w:rsidRPr="006D4242">
              <w:rPr>
                <w:rFonts w:cs="Arial"/>
              </w:rPr>
              <w:t>Supported Employment</w:t>
            </w:r>
          </w:p>
        </w:tc>
        <w:tc>
          <w:tcPr>
            <w:tcW w:w="678" w:type="pct"/>
          </w:tcPr>
          <w:p w14:paraId="2D78BA19" w14:textId="77777777" w:rsidR="006C2BD0" w:rsidRPr="003C2ADB" w:rsidRDefault="006C2BD0" w:rsidP="005C6E59">
            <w:pPr>
              <w:rPr>
                <w:rFonts w:cs="Arial"/>
              </w:rPr>
            </w:pPr>
            <w:r w:rsidRPr="006D4242">
              <w:rPr>
                <w:rFonts w:cs="Arial"/>
              </w:rPr>
              <w:t>Supported Employment</w:t>
            </w:r>
          </w:p>
        </w:tc>
        <w:tc>
          <w:tcPr>
            <w:tcW w:w="552" w:type="pct"/>
          </w:tcPr>
          <w:p w14:paraId="0B881BA4" w14:textId="77777777" w:rsidR="006C2BD0" w:rsidRPr="003C2ADB" w:rsidRDefault="006C2BD0" w:rsidP="005C6E59">
            <w:pPr>
              <w:spacing w:after="200" w:line="276" w:lineRule="auto"/>
              <w:jc w:val="center"/>
              <w:rPr>
                <w:rFonts w:eastAsia="MS Mincho" w:cs="Arial"/>
              </w:rPr>
            </w:pPr>
            <w:r w:rsidRPr="2FD410C2">
              <w:rPr>
                <w:rFonts w:cs="Arial"/>
              </w:rPr>
              <w:t>16 for</w:t>
            </w:r>
            <w:r>
              <w:rPr>
                <w:rFonts w:cs="Arial"/>
              </w:rPr>
              <w:t xml:space="preserve"> </w:t>
            </w:r>
            <w:r w:rsidRPr="2FD410C2">
              <w:rPr>
                <w:rFonts w:cs="Arial"/>
              </w:rPr>
              <w:t>TBI and ABI/MFP is 43</w:t>
            </w:r>
          </w:p>
        </w:tc>
        <w:tc>
          <w:tcPr>
            <w:tcW w:w="424" w:type="pct"/>
          </w:tcPr>
          <w:p w14:paraId="7F990BC9" w14:textId="4A6416AE" w:rsidR="006C2BD0" w:rsidRPr="003C2ADB" w:rsidRDefault="006C2BD0" w:rsidP="005C6E59">
            <w:pPr>
              <w:spacing w:after="200" w:line="276" w:lineRule="auto"/>
              <w:jc w:val="center"/>
              <w:rPr>
                <w:rFonts w:cs="Arial"/>
              </w:rPr>
            </w:pPr>
            <w:r w:rsidRPr="2FD410C2">
              <w:rPr>
                <w:rFonts w:cs="Arial"/>
              </w:rPr>
              <w:t>16 for TBI and ABI/</w:t>
            </w:r>
            <w:r>
              <w:rPr>
                <w:rFonts w:cs="Arial"/>
              </w:rPr>
              <w:t xml:space="preserve"> </w:t>
            </w:r>
            <w:r w:rsidRPr="2FD410C2">
              <w:rPr>
                <w:rFonts w:cs="Arial"/>
              </w:rPr>
              <w:t>MFP is 43</w:t>
            </w:r>
          </w:p>
        </w:tc>
        <w:tc>
          <w:tcPr>
            <w:tcW w:w="678" w:type="pct"/>
          </w:tcPr>
          <w:p w14:paraId="2D661A7A" w14:textId="77777777" w:rsidR="006C2BD0" w:rsidRPr="003C2ADB" w:rsidRDefault="006C2BD0" w:rsidP="005C6E59">
            <w:pPr>
              <w:jc w:val="center"/>
              <w:rPr>
                <w:rFonts w:cs="Arial"/>
              </w:rPr>
            </w:pPr>
            <w:r>
              <w:rPr>
                <w:rFonts w:cs="Arial"/>
              </w:rPr>
              <w:t>0</w:t>
            </w:r>
          </w:p>
        </w:tc>
        <w:tc>
          <w:tcPr>
            <w:tcW w:w="721" w:type="pct"/>
          </w:tcPr>
          <w:p w14:paraId="411288EC" w14:textId="77777777" w:rsidR="006C2BD0" w:rsidRPr="003C2ADB" w:rsidRDefault="006C2BD0" w:rsidP="005C6E59">
            <w:pPr>
              <w:jc w:val="center"/>
              <w:rPr>
                <w:rFonts w:cs="Arial"/>
              </w:rPr>
            </w:pPr>
            <w:r>
              <w:rPr>
                <w:rFonts w:cs="Arial"/>
              </w:rPr>
              <w:t>0</w:t>
            </w:r>
          </w:p>
        </w:tc>
        <w:tc>
          <w:tcPr>
            <w:tcW w:w="473" w:type="pct"/>
          </w:tcPr>
          <w:p w14:paraId="7F1B8DF6" w14:textId="77777777" w:rsidR="006C2BD0" w:rsidRPr="003C2ADB" w:rsidRDefault="006C2BD0" w:rsidP="005C6E59">
            <w:pPr>
              <w:jc w:val="center"/>
              <w:rPr>
                <w:rFonts w:cs="Arial"/>
              </w:rPr>
            </w:pPr>
            <w:r>
              <w:rPr>
                <w:rFonts w:cs="Arial"/>
              </w:rPr>
              <w:t>0</w:t>
            </w:r>
          </w:p>
        </w:tc>
      </w:tr>
    </w:tbl>
    <w:p w14:paraId="2060B8A2" w14:textId="77777777" w:rsidR="00B8688B" w:rsidRDefault="00B8688B"/>
    <w:p w14:paraId="5ADF5CF6" w14:textId="77777777" w:rsidR="00500DF0" w:rsidRDefault="00500DF0" w:rsidP="008E7527">
      <w:pPr>
        <w:pStyle w:val="Heading2"/>
      </w:pPr>
      <w:r>
        <w:br w:type="page"/>
      </w:r>
    </w:p>
    <w:p w14:paraId="4DA9AA8A" w14:textId="6C718A9B" w:rsidR="00B8688B" w:rsidRPr="00144BE9" w:rsidRDefault="00B8688B" w:rsidP="00144BE9">
      <w:pPr>
        <w:pStyle w:val="Heading3"/>
        <w:rPr>
          <w:sz w:val="26"/>
          <w:szCs w:val="26"/>
        </w:rPr>
      </w:pPr>
      <w:r w:rsidRPr="00144BE9">
        <w:rPr>
          <w:sz w:val="26"/>
          <w:szCs w:val="26"/>
        </w:rPr>
        <w:lastRenderedPageBreak/>
        <w:t>Executive Office of Elder Affairs – 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B8688B" w:rsidRPr="00720F79" w14:paraId="761A416E" w14:textId="77777777" w:rsidTr="00B8688B">
        <w:trPr>
          <w:cantSplit/>
          <w:trHeight w:val="620"/>
          <w:tblHeader/>
        </w:trPr>
        <w:tc>
          <w:tcPr>
            <w:tcW w:w="795" w:type="pct"/>
            <w:shd w:val="clear" w:color="auto" w:fill="B8CCE4" w:themeFill="accent1" w:themeFillTint="66"/>
            <w:vAlign w:val="center"/>
          </w:tcPr>
          <w:p w14:paraId="0100537E" w14:textId="77777777" w:rsidR="00B8688B" w:rsidRPr="003C2ADB" w:rsidRDefault="00B8688B" w:rsidP="005C6E59">
            <w:pPr>
              <w:pStyle w:val="ListParagraph"/>
              <w:ind w:left="238"/>
              <w:rPr>
                <w:rFonts w:cs="Arial"/>
              </w:rPr>
            </w:pPr>
            <w:r w:rsidRPr="003C2ADB">
              <w:rPr>
                <w:rFonts w:cs="Arial"/>
                <w:b/>
              </w:rPr>
              <w:t>Waiver(s)</w:t>
            </w:r>
          </w:p>
        </w:tc>
        <w:tc>
          <w:tcPr>
            <w:tcW w:w="679" w:type="pct"/>
            <w:shd w:val="clear" w:color="auto" w:fill="B8CCE4" w:themeFill="accent1" w:themeFillTint="66"/>
            <w:vAlign w:val="center"/>
          </w:tcPr>
          <w:p w14:paraId="048FB6B5" w14:textId="77777777" w:rsidR="00B8688B" w:rsidRPr="003C2ADB" w:rsidRDefault="00B8688B" w:rsidP="005C6E59">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1860FE7F" w14:textId="77777777" w:rsidR="00B8688B" w:rsidRPr="003C2ADB" w:rsidRDefault="00B8688B" w:rsidP="005C6E59">
            <w:pPr>
              <w:jc w:val="center"/>
              <w:rPr>
                <w:rFonts w:cs="Arial"/>
              </w:rPr>
            </w:pPr>
            <w:r w:rsidRPr="003C2ADB">
              <w:rPr>
                <w:rFonts w:cs="Arial"/>
                <w:b/>
              </w:rPr>
              <w:t>Type of Setting</w:t>
            </w:r>
          </w:p>
        </w:tc>
        <w:tc>
          <w:tcPr>
            <w:tcW w:w="552" w:type="pct"/>
            <w:shd w:val="clear" w:color="auto" w:fill="B8CCE4" w:themeFill="accent1" w:themeFillTint="66"/>
            <w:vAlign w:val="center"/>
          </w:tcPr>
          <w:p w14:paraId="5C100AB6" w14:textId="77777777" w:rsidR="00B8688B" w:rsidRPr="003C2ADB" w:rsidRDefault="00B8688B" w:rsidP="005C6E59">
            <w:pPr>
              <w:jc w:val="center"/>
              <w:rPr>
                <w:rFonts w:cs="Arial"/>
              </w:rPr>
            </w:pPr>
            <w:r w:rsidRPr="003C2ADB">
              <w:rPr>
                <w:rFonts w:cs="Arial"/>
                <w:b/>
              </w:rPr>
              <w:t>Number of Settings</w:t>
            </w:r>
          </w:p>
        </w:tc>
        <w:tc>
          <w:tcPr>
            <w:tcW w:w="424" w:type="pct"/>
            <w:shd w:val="clear" w:color="auto" w:fill="B8CCE4" w:themeFill="accent1" w:themeFillTint="66"/>
            <w:vAlign w:val="center"/>
          </w:tcPr>
          <w:p w14:paraId="6E77C801" w14:textId="77777777" w:rsidR="00B8688B" w:rsidRDefault="00B8688B" w:rsidP="005C6E59">
            <w:pPr>
              <w:jc w:val="center"/>
              <w:rPr>
                <w:rFonts w:cs="Arial"/>
              </w:rPr>
            </w:pPr>
            <w:r w:rsidRPr="003C2ADB">
              <w:rPr>
                <w:rFonts w:cs="Arial"/>
                <w:b/>
              </w:rPr>
              <w:t>Meets HCBS</w:t>
            </w:r>
          </w:p>
        </w:tc>
        <w:tc>
          <w:tcPr>
            <w:tcW w:w="678" w:type="pct"/>
            <w:shd w:val="clear" w:color="auto" w:fill="B8CCE4" w:themeFill="accent1" w:themeFillTint="66"/>
            <w:vAlign w:val="center"/>
          </w:tcPr>
          <w:p w14:paraId="0440C341" w14:textId="4E200851" w:rsidR="00B8688B" w:rsidRDefault="00B8688B" w:rsidP="005C6E59">
            <w:pPr>
              <w:jc w:val="center"/>
              <w:rPr>
                <w:rFonts w:cs="Arial"/>
              </w:rPr>
            </w:pPr>
            <w:r>
              <w:rPr>
                <w:rFonts w:cs="Arial"/>
                <w:b/>
              </w:rPr>
              <w:t xml:space="preserve">Meets HCBS; but subject to Heightened </w:t>
            </w:r>
            <w:r w:rsidRPr="2DBE62B9">
              <w:rPr>
                <w:rFonts w:cs="Arial"/>
                <w:b/>
                <w:bCs/>
              </w:rPr>
              <w:t>Sc</w:t>
            </w:r>
            <w:r w:rsidR="77885C8D" w:rsidRPr="2DBE62B9">
              <w:rPr>
                <w:rFonts w:cs="Arial"/>
                <w:b/>
                <w:bCs/>
              </w:rPr>
              <w:t>r</w:t>
            </w:r>
            <w:r w:rsidRPr="2DBE62B9">
              <w:rPr>
                <w:rFonts w:cs="Arial"/>
                <w:b/>
                <w:bCs/>
              </w:rPr>
              <w:t>utiny</w:t>
            </w:r>
          </w:p>
        </w:tc>
        <w:tc>
          <w:tcPr>
            <w:tcW w:w="721" w:type="pct"/>
            <w:shd w:val="clear" w:color="auto" w:fill="B8CCE4" w:themeFill="accent1" w:themeFillTint="66"/>
            <w:vAlign w:val="center"/>
          </w:tcPr>
          <w:p w14:paraId="438F55E0" w14:textId="77777777" w:rsidR="00B8688B" w:rsidRDefault="00B8688B" w:rsidP="005C6E59">
            <w:pPr>
              <w:jc w:val="center"/>
              <w:rPr>
                <w:rFonts w:cs="Arial"/>
                <w:b/>
              </w:rPr>
            </w:pPr>
            <w:r w:rsidRPr="003C2ADB">
              <w:rPr>
                <w:rFonts w:cs="Arial"/>
                <w:b/>
              </w:rPr>
              <w:t xml:space="preserve">Not </w:t>
            </w:r>
            <w:proofErr w:type="gramStart"/>
            <w:r w:rsidRPr="003C2ADB">
              <w:rPr>
                <w:rFonts w:cs="Arial"/>
                <w:b/>
              </w:rPr>
              <w:t>yet;</w:t>
            </w:r>
            <w:proofErr w:type="gramEnd"/>
          </w:p>
          <w:p w14:paraId="6CDE543B" w14:textId="77777777" w:rsidR="00B8688B" w:rsidRPr="003C2ADB" w:rsidRDefault="00B8688B" w:rsidP="005C6E59">
            <w:pPr>
              <w:jc w:val="center"/>
              <w:rPr>
                <w:rFonts w:cs="Arial"/>
              </w:rPr>
            </w:pPr>
            <w:r>
              <w:rPr>
                <w:rFonts w:cs="Arial"/>
                <w:b/>
              </w:rPr>
              <w:t>individual site assessment in process</w:t>
            </w:r>
          </w:p>
        </w:tc>
        <w:tc>
          <w:tcPr>
            <w:tcW w:w="473" w:type="pct"/>
            <w:shd w:val="clear" w:color="auto" w:fill="B8CCE4" w:themeFill="accent1" w:themeFillTint="66"/>
            <w:vAlign w:val="center"/>
          </w:tcPr>
          <w:p w14:paraId="28523DD1" w14:textId="77777777" w:rsidR="00B8688B" w:rsidRPr="003C2ADB" w:rsidRDefault="00B8688B" w:rsidP="005C6E59">
            <w:pPr>
              <w:jc w:val="center"/>
              <w:rPr>
                <w:rFonts w:cs="Arial"/>
              </w:rPr>
            </w:pPr>
            <w:r w:rsidRPr="003C2ADB">
              <w:rPr>
                <w:rFonts w:cs="Arial"/>
                <w:b/>
              </w:rPr>
              <w:t>No; Cannot Meet</w:t>
            </w:r>
          </w:p>
        </w:tc>
      </w:tr>
      <w:tr w:rsidR="00B8688B" w:rsidRPr="00720F79" w14:paraId="6FB8B48F" w14:textId="77777777" w:rsidTr="005C6E59">
        <w:trPr>
          <w:cantSplit/>
          <w:trHeight w:val="620"/>
        </w:trPr>
        <w:tc>
          <w:tcPr>
            <w:tcW w:w="795" w:type="pct"/>
          </w:tcPr>
          <w:p w14:paraId="684D163D" w14:textId="2F7AFE8A" w:rsidR="00B8688B" w:rsidRPr="003C2ADB" w:rsidRDefault="00B8688B" w:rsidP="004427AF">
            <w:pPr>
              <w:pStyle w:val="ListParagraph"/>
              <w:numPr>
                <w:ilvl w:val="0"/>
                <w:numId w:val="17"/>
              </w:numPr>
              <w:ind w:left="187" w:hanging="187"/>
              <w:rPr>
                <w:rFonts w:cs="Arial"/>
              </w:rPr>
            </w:pPr>
            <w:r w:rsidRPr="003C2ADB">
              <w:rPr>
                <w:rFonts w:cs="Arial"/>
              </w:rPr>
              <w:t>Frail Elder Waiver (MA.0059)</w:t>
            </w:r>
          </w:p>
        </w:tc>
        <w:tc>
          <w:tcPr>
            <w:tcW w:w="679" w:type="pct"/>
          </w:tcPr>
          <w:p w14:paraId="705B16F9" w14:textId="06C9A369" w:rsidR="00B8688B" w:rsidRPr="003C2ADB" w:rsidRDefault="00B8688B" w:rsidP="00B8688B">
            <w:pPr>
              <w:rPr>
                <w:rFonts w:cs="Arial"/>
              </w:rPr>
            </w:pPr>
            <w:r w:rsidRPr="003C2ADB">
              <w:rPr>
                <w:rFonts w:cs="Arial"/>
              </w:rPr>
              <w:t xml:space="preserve">N/A – </w:t>
            </w:r>
            <w:r>
              <w:rPr>
                <w:rFonts w:cs="Arial"/>
              </w:rPr>
              <w:t>A</w:t>
            </w:r>
            <w:r w:rsidRPr="003C2ADB">
              <w:rPr>
                <w:rFonts w:cs="Arial"/>
              </w:rPr>
              <w:t xml:space="preserve"> variety of waiver services can be provided in </w:t>
            </w:r>
            <w:r>
              <w:rPr>
                <w:rFonts w:cs="Arial"/>
              </w:rPr>
              <w:t>C</w:t>
            </w:r>
            <w:r w:rsidRPr="003C2ADB">
              <w:rPr>
                <w:rFonts w:cs="Arial"/>
              </w:rPr>
              <w:t xml:space="preserve">ongregate </w:t>
            </w:r>
            <w:r>
              <w:rPr>
                <w:rFonts w:cs="Arial"/>
              </w:rPr>
              <w:t>H</w:t>
            </w:r>
            <w:r w:rsidRPr="003C2ADB">
              <w:rPr>
                <w:rFonts w:cs="Arial"/>
              </w:rPr>
              <w:t>ousing settings</w:t>
            </w:r>
          </w:p>
        </w:tc>
        <w:tc>
          <w:tcPr>
            <w:tcW w:w="678" w:type="pct"/>
          </w:tcPr>
          <w:p w14:paraId="742AB069" w14:textId="5B38CE5E" w:rsidR="00B8688B" w:rsidRPr="003C2ADB" w:rsidRDefault="00B8688B" w:rsidP="00B8688B">
            <w:pPr>
              <w:rPr>
                <w:rFonts w:cs="Arial"/>
              </w:rPr>
            </w:pPr>
            <w:r w:rsidRPr="003C2ADB">
              <w:rPr>
                <w:rFonts w:cs="Arial"/>
              </w:rPr>
              <w:t>Congregate Housing Settings</w:t>
            </w:r>
          </w:p>
        </w:tc>
        <w:tc>
          <w:tcPr>
            <w:tcW w:w="552" w:type="pct"/>
          </w:tcPr>
          <w:p w14:paraId="24BE9B31" w14:textId="3B86CBCE" w:rsidR="00B8688B" w:rsidRPr="003C2ADB" w:rsidRDefault="00B8688B" w:rsidP="00B8688B">
            <w:pPr>
              <w:spacing w:after="200" w:line="276" w:lineRule="auto"/>
              <w:jc w:val="center"/>
              <w:rPr>
                <w:rFonts w:cs="Arial"/>
              </w:rPr>
            </w:pPr>
            <w:r w:rsidRPr="5E83C6CD">
              <w:rPr>
                <w:rFonts w:cs="Arial"/>
              </w:rPr>
              <w:t>42</w:t>
            </w:r>
          </w:p>
        </w:tc>
        <w:tc>
          <w:tcPr>
            <w:tcW w:w="424" w:type="pct"/>
          </w:tcPr>
          <w:p w14:paraId="3F5461C5" w14:textId="2EA80707" w:rsidR="00B8688B" w:rsidRPr="003C2ADB" w:rsidRDefault="00B8688B" w:rsidP="00B8688B">
            <w:pPr>
              <w:spacing w:after="200" w:line="276" w:lineRule="auto"/>
              <w:jc w:val="center"/>
              <w:rPr>
                <w:rFonts w:eastAsia="MS Mincho" w:cs="Arial"/>
              </w:rPr>
            </w:pPr>
            <w:r w:rsidRPr="5E83C6CD">
              <w:rPr>
                <w:rFonts w:cs="Arial"/>
              </w:rPr>
              <w:t>42</w:t>
            </w:r>
          </w:p>
        </w:tc>
        <w:tc>
          <w:tcPr>
            <w:tcW w:w="678" w:type="pct"/>
          </w:tcPr>
          <w:p w14:paraId="23379A89" w14:textId="653F86F9" w:rsidR="00B8688B" w:rsidRPr="003C2ADB" w:rsidRDefault="00B8688B" w:rsidP="00B8688B">
            <w:pPr>
              <w:jc w:val="center"/>
              <w:rPr>
                <w:rFonts w:cs="Arial"/>
              </w:rPr>
            </w:pPr>
            <w:r>
              <w:rPr>
                <w:rFonts w:cs="Arial"/>
              </w:rPr>
              <w:t>0</w:t>
            </w:r>
          </w:p>
        </w:tc>
        <w:tc>
          <w:tcPr>
            <w:tcW w:w="721" w:type="pct"/>
          </w:tcPr>
          <w:p w14:paraId="273036B0" w14:textId="50470BA8" w:rsidR="00B8688B" w:rsidRPr="003C2ADB" w:rsidRDefault="00B8688B" w:rsidP="00B8688B">
            <w:pPr>
              <w:jc w:val="center"/>
              <w:rPr>
                <w:rFonts w:cs="Arial"/>
              </w:rPr>
            </w:pPr>
            <w:r w:rsidRPr="003C2ADB">
              <w:rPr>
                <w:rFonts w:cs="Arial"/>
              </w:rPr>
              <w:t>0</w:t>
            </w:r>
          </w:p>
        </w:tc>
        <w:tc>
          <w:tcPr>
            <w:tcW w:w="473" w:type="pct"/>
          </w:tcPr>
          <w:p w14:paraId="7FAECB43" w14:textId="4D1F49CE" w:rsidR="00B8688B" w:rsidRPr="003C2ADB" w:rsidRDefault="00B8688B" w:rsidP="00B8688B">
            <w:pPr>
              <w:jc w:val="center"/>
              <w:rPr>
                <w:rFonts w:cs="Arial"/>
              </w:rPr>
            </w:pPr>
            <w:r w:rsidRPr="003C2ADB">
              <w:rPr>
                <w:rFonts w:cs="Arial"/>
              </w:rPr>
              <w:t>0</w:t>
            </w:r>
          </w:p>
        </w:tc>
      </w:tr>
      <w:tr w:rsidR="00B8688B" w:rsidRPr="00720F79" w14:paraId="230A2403" w14:textId="77777777" w:rsidTr="005C6E59">
        <w:trPr>
          <w:cantSplit/>
          <w:trHeight w:val="1170"/>
        </w:trPr>
        <w:tc>
          <w:tcPr>
            <w:tcW w:w="795" w:type="pct"/>
          </w:tcPr>
          <w:p w14:paraId="1BF3CF75" w14:textId="1374F70B" w:rsidR="00B8688B" w:rsidRPr="003C2ADB" w:rsidRDefault="00B8688B" w:rsidP="004427AF">
            <w:pPr>
              <w:pStyle w:val="ListParagraph"/>
              <w:numPr>
                <w:ilvl w:val="0"/>
                <w:numId w:val="17"/>
              </w:numPr>
              <w:ind w:left="187" w:hanging="187"/>
              <w:rPr>
                <w:rFonts w:cs="Arial"/>
              </w:rPr>
            </w:pPr>
            <w:r w:rsidRPr="003C2ADB">
              <w:rPr>
                <w:rFonts w:cs="Arial"/>
              </w:rPr>
              <w:t>Frail Elder Waiver (MA.0059)</w:t>
            </w:r>
          </w:p>
        </w:tc>
        <w:tc>
          <w:tcPr>
            <w:tcW w:w="679" w:type="pct"/>
          </w:tcPr>
          <w:p w14:paraId="736A7891" w14:textId="7A09FFA5" w:rsidR="00B8688B" w:rsidRPr="003C2ADB" w:rsidRDefault="00B8688B" w:rsidP="00B8688B">
            <w:pPr>
              <w:rPr>
                <w:rFonts w:cs="Arial"/>
              </w:rPr>
            </w:pPr>
            <w:r>
              <w:rPr>
                <w:rFonts w:cs="Arial"/>
              </w:rPr>
              <w:t>N/A - A</w:t>
            </w:r>
            <w:r w:rsidRPr="003C2ADB">
              <w:rPr>
                <w:rFonts w:cs="Arial"/>
              </w:rPr>
              <w:t xml:space="preserve"> variety of waiver services can be provided in </w:t>
            </w:r>
            <w:r>
              <w:rPr>
                <w:rFonts w:cs="Arial"/>
              </w:rPr>
              <w:t>Adult Foster Care settings</w:t>
            </w:r>
          </w:p>
        </w:tc>
        <w:tc>
          <w:tcPr>
            <w:tcW w:w="678" w:type="pct"/>
          </w:tcPr>
          <w:p w14:paraId="21045833" w14:textId="70666B8C" w:rsidR="00B8688B" w:rsidRPr="003C2ADB" w:rsidRDefault="00B8688B" w:rsidP="00B8688B">
            <w:pPr>
              <w:rPr>
                <w:rFonts w:cs="Arial"/>
              </w:rPr>
            </w:pPr>
            <w:r>
              <w:rPr>
                <w:rFonts w:cs="Arial"/>
              </w:rPr>
              <w:t>State Plan Adult Foster Care</w:t>
            </w:r>
          </w:p>
        </w:tc>
        <w:tc>
          <w:tcPr>
            <w:tcW w:w="552" w:type="pct"/>
          </w:tcPr>
          <w:p w14:paraId="3EB869A1" w14:textId="342688BB" w:rsidR="00B8688B" w:rsidRPr="003C2ADB" w:rsidRDefault="00B8688B" w:rsidP="00B8688B">
            <w:pPr>
              <w:spacing w:after="200" w:line="276" w:lineRule="auto"/>
              <w:jc w:val="center"/>
              <w:rPr>
                <w:rFonts w:eastAsia="MS Mincho" w:cs="Arial"/>
              </w:rPr>
            </w:pPr>
            <w:r>
              <w:rPr>
                <w:rFonts w:cs="Arial"/>
              </w:rPr>
              <w:t>225</w:t>
            </w:r>
          </w:p>
        </w:tc>
        <w:tc>
          <w:tcPr>
            <w:tcW w:w="424" w:type="pct"/>
          </w:tcPr>
          <w:p w14:paraId="43B91BCE" w14:textId="6479031D" w:rsidR="00B8688B" w:rsidRPr="003C2ADB" w:rsidRDefault="00B8688B" w:rsidP="00B8688B">
            <w:pPr>
              <w:spacing w:after="200" w:line="276" w:lineRule="auto"/>
              <w:jc w:val="center"/>
              <w:rPr>
                <w:rFonts w:cs="Arial"/>
              </w:rPr>
            </w:pPr>
            <w:r>
              <w:rPr>
                <w:rFonts w:cs="Arial"/>
              </w:rPr>
              <w:t>205</w:t>
            </w:r>
          </w:p>
        </w:tc>
        <w:tc>
          <w:tcPr>
            <w:tcW w:w="678" w:type="pct"/>
          </w:tcPr>
          <w:p w14:paraId="2F6C9144" w14:textId="4E4E0881" w:rsidR="00B8688B" w:rsidRPr="003C2ADB" w:rsidRDefault="00B8688B" w:rsidP="00B8688B">
            <w:pPr>
              <w:jc w:val="center"/>
              <w:rPr>
                <w:rFonts w:cs="Arial"/>
              </w:rPr>
            </w:pPr>
            <w:r>
              <w:rPr>
                <w:rFonts w:cs="Arial"/>
              </w:rPr>
              <w:t xml:space="preserve">0 </w:t>
            </w:r>
          </w:p>
        </w:tc>
        <w:tc>
          <w:tcPr>
            <w:tcW w:w="721" w:type="pct"/>
          </w:tcPr>
          <w:p w14:paraId="026C4151" w14:textId="400BE321" w:rsidR="00B8688B" w:rsidRDefault="00776C80" w:rsidP="00B8688B">
            <w:pPr>
              <w:jc w:val="center"/>
              <w:rPr>
                <w:rFonts w:cs="Arial"/>
              </w:rPr>
            </w:pPr>
            <w:r>
              <w:rPr>
                <w:rFonts w:cs="Arial"/>
              </w:rPr>
              <w:t>15</w:t>
            </w:r>
          </w:p>
          <w:p w14:paraId="7ADD7B9D" w14:textId="38471A26" w:rsidR="00794948" w:rsidRDefault="00794948" w:rsidP="00794948">
            <w:pPr>
              <w:jc w:val="center"/>
              <w:rPr>
                <w:rFonts w:cs="Arial"/>
              </w:rPr>
            </w:pPr>
            <w:r>
              <w:rPr>
                <w:rFonts w:cs="Arial"/>
              </w:rPr>
              <w:t xml:space="preserve">Remediation will be complete by March </w:t>
            </w:r>
            <w:r w:rsidR="00DA6DE2">
              <w:rPr>
                <w:rFonts w:cs="Arial"/>
              </w:rPr>
              <w:t xml:space="preserve">17, </w:t>
            </w:r>
            <w:r>
              <w:rPr>
                <w:rFonts w:cs="Arial"/>
              </w:rPr>
              <w:t>2023</w:t>
            </w:r>
          </w:p>
          <w:p w14:paraId="730DB8F7" w14:textId="1A3BC7CA" w:rsidR="00794948" w:rsidRPr="003C2ADB" w:rsidRDefault="00794948" w:rsidP="00B8688B">
            <w:pPr>
              <w:jc w:val="center"/>
              <w:rPr>
                <w:rFonts w:cs="Arial"/>
              </w:rPr>
            </w:pPr>
          </w:p>
        </w:tc>
        <w:tc>
          <w:tcPr>
            <w:tcW w:w="473" w:type="pct"/>
          </w:tcPr>
          <w:p w14:paraId="707DBEB5" w14:textId="7315F7AB" w:rsidR="00B8688B" w:rsidRPr="003C2ADB" w:rsidRDefault="00B8688B" w:rsidP="00B8688B">
            <w:pPr>
              <w:jc w:val="center"/>
              <w:rPr>
                <w:rFonts w:cs="Arial"/>
              </w:rPr>
            </w:pPr>
            <w:r>
              <w:rPr>
                <w:rFonts w:cs="Arial"/>
              </w:rPr>
              <w:t>0</w:t>
            </w:r>
          </w:p>
        </w:tc>
      </w:tr>
    </w:tbl>
    <w:p w14:paraId="2CF4AA3E" w14:textId="77777777" w:rsidR="00B8688B" w:rsidRDefault="00B8688B" w:rsidP="00B8688B"/>
    <w:p w14:paraId="4133E1B8" w14:textId="1277DAA7" w:rsidR="00B8688B" w:rsidRPr="00144BE9" w:rsidRDefault="00B8688B" w:rsidP="00144BE9">
      <w:pPr>
        <w:pStyle w:val="Heading3"/>
        <w:rPr>
          <w:sz w:val="26"/>
          <w:szCs w:val="26"/>
        </w:rPr>
      </w:pPr>
      <w:r w:rsidRPr="00144BE9">
        <w:rPr>
          <w:sz w:val="26"/>
          <w:szCs w:val="26"/>
        </w:rPr>
        <w:t>Executive Office of Elder Affairs – Non-Residential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B8688B" w:rsidRPr="00720F79" w14:paraId="6D6F2C99" w14:textId="77777777" w:rsidTr="00B8688B">
        <w:trPr>
          <w:cantSplit/>
          <w:trHeight w:val="620"/>
          <w:tblHeader/>
        </w:trPr>
        <w:tc>
          <w:tcPr>
            <w:tcW w:w="795" w:type="pct"/>
            <w:shd w:val="clear" w:color="auto" w:fill="B8CCE4" w:themeFill="accent1" w:themeFillTint="66"/>
            <w:vAlign w:val="center"/>
          </w:tcPr>
          <w:p w14:paraId="7E671779" w14:textId="77777777" w:rsidR="00B8688B" w:rsidRPr="003C2ADB" w:rsidRDefault="00B8688B" w:rsidP="005C6E59">
            <w:pPr>
              <w:pStyle w:val="ListParagraph"/>
              <w:ind w:left="238"/>
              <w:rPr>
                <w:rFonts w:cs="Arial"/>
              </w:rPr>
            </w:pPr>
            <w:r w:rsidRPr="003C2ADB">
              <w:rPr>
                <w:rFonts w:cs="Arial"/>
                <w:b/>
              </w:rPr>
              <w:t>Waiver(s)</w:t>
            </w:r>
          </w:p>
        </w:tc>
        <w:tc>
          <w:tcPr>
            <w:tcW w:w="679" w:type="pct"/>
            <w:shd w:val="clear" w:color="auto" w:fill="B8CCE4" w:themeFill="accent1" w:themeFillTint="66"/>
            <w:vAlign w:val="center"/>
          </w:tcPr>
          <w:p w14:paraId="53FC6FAC" w14:textId="77777777" w:rsidR="00B8688B" w:rsidRPr="003C2ADB" w:rsidRDefault="00B8688B" w:rsidP="005C6E59">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1654F6EC" w14:textId="77777777" w:rsidR="00B8688B" w:rsidRPr="003C2ADB" w:rsidRDefault="00B8688B" w:rsidP="005C6E59">
            <w:pPr>
              <w:jc w:val="center"/>
              <w:rPr>
                <w:rFonts w:cs="Arial"/>
              </w:rPr>
            </w:pPr>
            <w:r w:rsidRPr="003C2ADB">
              <w:rPr>
                <w:rFonts w:cs="Arial"/>
                <w:b/>
              </w:rPr>
              <w:t>Type of Setting</w:t>
            </w:r>
          </w:p>
        </w:tc>
        <w:tc>
          <w:tcPr>
            <w:tcW w:w="552" w:type="pct"/>
            <w:shd w:val="clear" w:color="auto" w:fill="B8CCE4" w:themeFill="accent1" w:themeFillTint="66"/>
            <w:vAlign w:val="center"/>
          </w:tcPr>
          <w:p w14:paraId="5491829E" w14:textId="77777777" w:rsidR="00B8688B" w:rsidRPr="003C2ADB" w:rsidRDefault="00B8688B" w:rsidP="005C6E59">
            <w:pPr>
              <w:jc w:val="center"/>
              <w:rPr>
                <w:rFonts w:cs="Arial"/>
              </w:rPr>
            </w:pPr>
            <w:r w:rsidRPr="003C2ADB">
              <w:rPr>
                <w:rFonts w:cs="Arial"/>
                <w:b/>
              </w:rPr>
              <w:t>Number of Settings</w:t>
            </w:r>
          </w:p>
        </w:tc>
        <w:tc>
          <w:tcPr>
            <w:tcW w:w="424" w:type="pct"/>
            <w:shd w:val="clear" w:color="auto" w:fill="B8CCE4" w:themeFill="accent1" w:themeFillTint="66"/>
            <w:vAlign w:val="center"/>
          </w:tcPr>
          <w:p w14:paraId="6D4CBACB" w14:textId="77777777" w:rsidR="00B8688B" w:rsidRDefault="00B8688B" w:rsidP="005C6E59">
            <w:pPr>
              <w:jc w:val="center"/>
              <w:rPr>
                <w:rFonts w:cs="Arial"/>
              </w:rPr>
            </w:pPr>
            <w:r w:rsidRPr="003C2ADB">
              <w:rPr>
                <w:rFonts w:cs="Arial"/>
                <w:b/>
              </w:rPr>
              <w:t>Meets HCBS</w:t>
            </w:r>
          </w:p>
        </w:tc>
        <w:tc>
          <w:tcPr>
            <w:tcW w:w="678" w:type="pct"/>
            <w:shd w:val="clear" w:color="auto" w:fill="B8CCE4" w:themeFill="accent1" w:themeFillTint="66"/>
            <w:vAlign w:val="center"/>
          </w:tcPr>
          <w:p w14:paraId="33A6DDF5" w14:textId="055CBC2C" w:rsidR="00B8688B" w:rsidRDefault="00B8688B" w:rsidP="005C6E59">
            <w:pPr>
              <w:jc w:val="center"/>
              <w:rPr>
                <w:rFonts w:cs="Arial"/>
              </w:rPr>
            </w:pPr>
            <w:r>
              <w:rPr>
                <w:rFonts w:cs="Arial"/>
                <w:b/>
              </w:rPr>
              <w:t xml:space="preserve">Meets HCBS; but subject to Heightened </w:t>
            </w:r>
            <w:r w:rsidRPr="2DBE62B9">
              <w:rPr>
                <w:rFonts w:cs="Arial"/>
                <w:b/>
                <w:bCs/>
              </w:rPr>
              <w:t>Sc</w:t>
            </w:r>
            <w:r w:rsidR="266420DD" w:rsidRPr="2DBE62B9">
              <w:rPr>
                <w:rFonts w:cs="Arial"/>
                <w:b/>
                <w:bCs/>
              </w:rPr>
              <w:t>r</w:t>
            </w:r>
            <w:r w:rsidRPr="2DBE62B9">
              <w:rPr>
                <w:rFonts w:cs="Arial"/>
                <w:b/>
                <w:bCs/>
              </w:rPr>
              <w:t>utiny</w:t>
            </w:r>
          </w:p>
        </w:tc>
        <w:tc>
          <w:tcPr>
            <w:tcW w:w="721" w:type="pct"/>
            <w:shd w:val="clear" w:color="auto" w:fill="B8CCE4" w:themeFill="accent1" w:themeFillTint="66"/>
            <w:vAlign w:val="center"/>
          </w:tcPr>
          <w:p w14:paraId="239DBC2C" w14:textId="77777777" w:rsidR="00B8688B" w:rsidRDefault="00B8688B" w:rsidP="005C6E59">
            <w:pPr>
              <w:jc w:val="center"/>
              <w:rPr>
                <w:rFonts w:cs="Arial"/>
                <w:b/>
              </w:rPr>
            </w:pPr>
            <w:r w:rsidRPr="003C2ADB">
              <w:rPr>
                <w:rFonts w:cs="Arial"/>
                <w:b/>
              </w:rPr>
              <w:t xml:space="preserve">Not </w:t>
            </w:r>
            <w:proofErr w:type="gramStart"/>
            <w:r w:rsidRPr="003C2ADB">
              <w:rPr>
                <w:rFonts w:cs="Arial"/>
                <w:b/>
              </w:rPr>
              <w:t>yet;</w:t>
            </w:r>
            <w:proofErr w:type="gramEnd"/>
          </w:p>
          <w:p w14:paraId="7548B85A" w14:textId="77777777" w:rsidR="00B8688B" w:rsidRPr="003C2ADB" w:rsidRDefault="00B8688B" w:rsidP="005C6E59">
            <w:pPr>
              <w:jc w:val="center"/>
              <w:rPr>
                <w:rFonts w:cs="Arial"/>
              </w:rPr>
            </w:pPr>
            <w:r>
              <w:rPr>
                <w:rFonts w:cs="Arial"/>
                <w:b/>
              </w:rPr>
              <w:t>individual site assessment in process</w:t>
            </w:r>
          </w:p>
        </w:tc>
        <w:tc>
          <w:tcPr>
            <w:tcW w:w="473" w:type="pct"/>
            <w:shd w:val="clear" w:color="auto" w:fill="B8CCE4" w:themeFill="accent1" w:themeFillTint="66"/>
            <w:vAlign w:val="center"/>
          </w:tcPr>
          <w:p w14:paraId="01D542C5" w14:textId="77777777" w:rsidR="00B8688B" w:rsidRPr="003C2ADB" w:rsidRDefault="00B8688B" w:rsidP="005C6E59">
            <w:pPr>
              <w:jc w:val="center"/>
              <w:rPr>
                <w:rFonts w:cs="Arial"/>
              </w:rPr>
            </w:pPr>
            <w:r w:rsidRPr="003C2ADB">
              <w:rPr>
                <w:rFonts w:cs="Arial"/>
                <w:b/>
              </w:rPr>
              <w:t>No; Cannot Meet</w:t>
            </w:r>
          </w:p>
        </w:tc>
      </w:tr>
      <w:tr w:rsidR="00B8688B" w:rsidRPr="003C2ADB" w14:paraId="4FBDEEBA" w14:textId="77777777" w:rsidTr="005C6E59">
        <w:trPr>
          <w:cantSplit/>
          <w:trHeight w:val="161"/>
        </w:trPr>
        <w:tc>
          <w:tcPr>
            <w:tcW w:w="795" w:type="pct"/>
          </w:tcPr>
          <w:p w14:paraId="571D398B" w14:textId="238A6A12" w:rsidR="00B8688B" w:rsidRPr="006C2BD0" w:rsidRDefault="00B8688B" w:rsidP="004427AF">
            <w:pPr>
              <w:pStyle w:val="ListParagraph"/>
              <w:numPr>
                <w:ilvl w:val="0"/>
                <w:numId w:val="16"/>
              </w:numPr>
              <w:ind w:left="187" w:hanging="187"/>
              <w:rPr>
                <w:rFonts w:cs="Arial"/>
              </w:rPr>
            </w:pPr>
            <w:r w:rsidRPr="003C2ADB">
              <w:rPr>
                <w:rFonts w:cs="Arial"/>
              </w:rPr>
              <w:t>Frail Elder Waiver (MA.0059)</w:t>
            </w:r>
          </w:p>
        </w:tc>
        <w:tc>
          <w:tcPr>
            <w:tcW w:w="679" w:type="pct"/>
          </w:tcPr>
          <w:p w14:paraId="17357446" w14:textId="6BE2F7A2" w:rsidR="00B8688B" w:rsidRPr="003C2ADB" w:rsidRDefault="00B8688B" w:rsidP="00B8688B">
            <w:pPr>
              <w:rPr>
                <w:rFonts w:cs="Arial"/>
              </w:rPr>
            </w:pPr>
            <w:r w:rsidRPr="003C2ADB">
              <w:rPr>
                <w:rFonts w:cs="Arial"/>
              </w:rPr>
              <w:t>Supportive Day</w:t>
            </w:r>
          </w:p>
        </w:tc>
        <w:tc>
          <w:tcPr>
            <w:tcW w:w="678" w:type="pct"/>
          </w:tcPr>
          <w:p w14:paraId="1E6984B1" w14:textId="7D42F1B7" w:rsidR="00B8688B" w:rsidRPr="003C2ADB" w:rsidRDefault="00B8688B" w:rsidP="00B8688B">
            <w:pPr>
              <w:rPr>
                <w:rFonts w:cs="Arial"/>
              </w:rPr>
            </w:pPr>
            <w:r w:rsidRPr="003C2ADB">
              <w:rPr>
                <w:rFonts w:cs="Arial"/>
              </w:rPr>
              <w:t>Supportive Day Programs</w:t>
            </w:r>
          </w:p>
        </w:tc>
        <w:tc>
          <w:tcPr>
            <w:tcW w:w="552" w:type="pct"/>
          </w:tcPr>
          <w:p w14:paraId="51142A2E" w14:textId="0E7433A7" w:rsidR="00B8688B" w:rsidRPr="003C2ADB" w:rsidRDefault="00B8688B" w:rsidP="00B8688B">
            <w:pPr>
              <w:spacing w:after="200" w:line="276" w:lineRule="auto"/>
              <w:jc w:val="center"/>
              <w:rPr>
                <w:rFonts w:cs="Arial"/>
              </w:rPr>
            </w:pPr>
            <w:r>
              <w:rPr>
                <w:rFonts w:cs="Arial"/>
              </w:rPr>
              <w:t>24</w:t>
            </w:r>
          </w:p>
        </w:tc>
        <w:tc>
          <w:tcPr>
            <w:tcW w:w="424" w:type="pct"/>
          </w:tcPr>
          <w:p w14:paraId="0DA3032D" w14:textId="3F37F1C8" w:rsidR="00B8688B" w:rsidRPr="003C2ADB" w:rsidRDefault="00B8688B" w:rsidP="00B8688B">
            <w:pPr>
              <w:spacing w:after="200" w:line="276" w:lineRule="auto"/>
              <w:jc w:val="center"/>
              <w:rPr>
                <w:rFonts w:cs="Arial"/>
              </w:rPr>
            </w:pPr>
            <w:r>
              <w:rPr>
                <w:rFonts w:cs="Arial"/>
              </w:rPr>
              <w:t>24</w:t>
            </w:r>
          </w:p>
        </w:tc>
        <w:tc>
          <w:tcPr>
            <w:tcW w:w="678" w:type="pct"/>
          </w:tcPr>
          <w:p w14:paraId="41BD8E5E" w14:textId="11AB1438" w:rsidR="00B8688B" w:rsidRPr="003C2ADB" w:rsidRDefault="00B8688B" w:rsidP="00B8688B">
            <w:pPr>
              <w:spacing w:after="200" w:line="276" w:lineRule="auto"/>
              <w:jc w:val="center"/>
              <w:rPr>
                <w:rFonts w:cs="Arial"/>
              </w:rPr>
            </w:pPr>
            <w:r w:rsidRPr="003C2ADB">
              <w:rPr>
                <w:rFonts w:cs="Arial"/>
              </w:rPr>
              <w:t>0</w:t>
            </w:r>
          </w:p>
        </w:tc>
        <w:tc>
          <w:tcPr>
            <w:tcW w:w="721" w:type="pct"/>
          </w:tcPr>
          <w:p w14:paraId="200B8EC2" w14:textId="2ED19C62" w:rsidR="00B8688B" w:rsidRPr="003C2ADB" w:rsidRDefault="00B8688B" w:rsidP="00B8688B">
            <w:pPr>
              <w:jc w:val="center"/>
              <w:rPr>
                <w:rFonts w:cs="Arial"/>
              </w:rPr>
            </w:pPr>
            <w:r w:rsidRPr="003C2ADB">
              <w:rPr>
                <w:rFonts w:cs="Arial"/>
              </w:rPr>
              <w:t>0</w:t>
            </w:r>
          </w:p>
        </w:tc>
        <w:tc>
          <w:tcPr>
            <w:tcW w:w="473" w:type="pct"/>
          </w:tcPr>
          <w:p w14:paraId="6CE43362" w14:textId="77777777" w:rsidR="00B8688B" w:rsidRPr="003C2ADB" w:rsidRDefault="00B8688B" w:rsidP="00B8688B">
            <w:pPr>
              <w:jc w:val="center"/>
              <w:rPr>
                <w:rFonts w:cs="Arial"/>
              </w:rPr>
            </w:pPr>
            <w:r>
              <w:rPr>
                <w:rFonts w:cs="Arial"/>
              </w:rPr>
              <w:t>0</w:t>
            </w:r>
          </w:p>
          <w:p w14:paraId="76705D73" w14:textId="3A6918AB" w:rsidR="00B8688B" w:rsidRPr="003C2ADB" w:rsidRDefault="00B8688B" w:rsidP="00B8688B">
            <w:pPr>
              <w:jc w:val="center"/>
              <w:rPr>
                <w:rFonts w:cs="Arial"/>
              </w:rPr>
            </w:pPr>
          </w:p>
        </w:tc>
      </w:tr>
    </w:tbl>
    <w:p w14:paraId="313B5E9E" w14:textId="77777777" w:rsidR="00B8688B" w:rsidRDefault="00B8688B"/>
    <w:p w14:paraId="0BF0E8D4" w14:textId="77777777" w:rsidR="00B67530" w:rsidRDefault="00B67530">
      <w:pPr>
        <w:rPr>
          <w:rFonts w:cs="Arial"/>
          <w:b/>
          <w:color w:val="1F497D"/>
          <w:sz w:val="36"/>
          <w:szCs w:val="36"/>
        </w:rPr>
      </w:pPr>
      <w:r>
        <w:rPr>
          <w:rFonts w:cs="Arial"/>
          <w:b/>
          <w:color w:val="1F497D"/>
          <w:sz w:val="36"/>
          <w:szCs w:val="36"/>
        </w:rPr>
        <w:br w:type="page"/>
      </w:r>
    </w:p>
    <w:p w14:paraId="4A638EF3" w14:textId="24839506" w:rsidR="003340F7" w:rsidRPr="003340F7" w:rsidRDefault="00D635A3" w:rsidP="00144BE9">
      <w:pPr>
        <w:pStyle w:val="Heading2"/>
      </w:pPr>
      <w:r w:rsidRPr="008469E7">
        <w:lastRenderedPageBreak/>
        <w:t>Table 3. Summary of Transition Plan Tasks and Timelines</w:t>
      </w:r>
    </w:p>
    <w:p w14:paraId="6B48F0C6" w14:textId="6930EC26" w:rsidR="008469E7" w:rsidRPr="00144BE9" w:rsidRDefault="003340F7" w:rsidP="00144BE9">
      <w:pPr>
        <w:pStyle w:val="Heading3"/>
        <w:spacing w:before="240"/>
        <w:rPr>
          <w:sz w:val="26"/>
          <w:szCs w:val="26"/>
        </w:rPr>
      </w:pPr>
      <w:r w:rsidRPr="00144BE9">
        <w:rPr>
          <w:sz w:val="26"/>
          <w:szCs w:val="26"/>
        </w:rPr>
        <w:t>Department of Developmental Services (DDS)</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662FA7" w:rsidRPr="00660BEA" w14:paraId="2C2A3261" w14:textId="77777777" w:rsidTr="00B8688B">
        <w:trPr>
          <w:trHeight w:val="432"/>
          <w:tblHeader/>
        </w:trPr>
        <w:tc>
          <w:tcPr>
            <w:tcW w:w="2484" w:type="dxa"/>
            <w:shd w:val="clear" w:color="auto" w:fill="D9D9D9" w:themeFill="background1" w:themeFillShade="D9"/>
            <w:vAlign w:val="center"/>
          </w:tcPr>
          <w:p w14:paraId="3BC5D4A4" w14:textId="77777777" w:rsidR="00494DD9" w:rsidRPr="00660BEA" w:rsidRDefault="00494DD9" w:rsidP="00494DD9">
            <w:pPr>
              <w:jc w:val="center"/>
              <w:rPr>
                <w:rFonts w:cs="Arial"/>
                <w:b/>
                <w:sz w:val="24"/>
                <w:szCs w:val="24"/>
              </w:rPr>
            </w:pPr>
            <w:bookmarkStart w:id="6" w:name="_Hlk121139848"/>
            <w:r w:rsidRPr="00660BEA">
              <w:rPr>
                <w:rFonts w:cs="Arial"/>
                <w:b/>
                <w:sz w:val="24"/>
                <w:szCs w:val="24"/>
              </w:rPr>
              <w:t>Transition Category</w:t>
            </w:r>
          </w:p>
        </w:tc>
        <w:tc>
          <w:tcPr>
            <w:tcW w:w="3757" w:type="dxa"/>
            <w:shd w:val="clear" w:color="auto" w:fill="D9D9D9" w:themeFill="background1" w:themeFillShade="D9"/>
            <w:vAlign w:val="center"/>
          </w:tcPr>
          <w:p w14:paraId="2F7B6E59" w14:textId="77777777" w:rsidR="00494DD9" w:rsidRPr="00660BEA" w:rsidRDefault="00494DD9" w:rsidP="00494DD9">
            <w:pPr>
              <w:jc w:val="center"/>
              <w:rPr>
                <w:rFonts w:cs="Arial"/>
                <w:b/>
                <w:sz w:val="24"/>
                <w:szCs w:val="24"/>
              </w:rPr>
            </w:pPr>
            <w:r w:rsidRPr="00660BEA">
              <w:rPr>
                <w:rFonts w:cs="Arial"/>
                <w:b/>
                <w:sz w:val="24"/>
                <w:szCs w:val="24"/>
              </w:rPr>
              <w:t>Specific Task</w:t>
            </w:r>
          </w:p>
        </w:tc>
        <w:tc>
          <w:tcPr>
            <w:tcW w:w="2227" w:type="dxa"/>
            <w:shd w:val="clear" w:color="auto" w:fill="D9D9D9" w:themeFill="background1" w:themeFillShade="D9"/>
            <w:vAlign w:val="center"/>
          </w:tcPr>
          <w:p w14:paraId="2D450CD9" w14:textId="77777777" w:rsidR="00494DD9" w:rsidRPr="00660BEA" w:rsidRDefault="00494DD9" w:rsidP="00494DD9">
            <w:pPr>
              <w:jc w:val="center"/>
              <w:rPr>
                <w:rFonts w:cs="Arial"/>
                <w:b/>
                <w:sz w:val="24"/>
                <w:szCs w:val="24"/>
              </w:rPr>
            </w:pPr>
            <w:r w:rsidRPr="00660BEA">
              <w:rPr>
                <w:rFonts w:cs="Arial"/>
                <w:b/>
                <w:sz w:val="24"/>
                <w:szCs w:val="24"/>
              </w:rPr>
              <w:t>Timeframe</w:t>
            </w:r>
          </w:p>
        </w:tc>
        <w:tc>
          <w:tcPr>
            <w:tcW w:w="2178" w:type="dxa"/>
            <w:shd w:val="clear" w:color="auto" w:fill="D9D9D9" w:themeFill="background1" w:themeFillShade="D9"/>
            <w:vAlign w:val="center"/>
          </w:tcPr>
          <w:p w14:paraId="4D0AA35E" w14:textId="77777777" w:rsidR="00494DD9" w:rsidRPr="00660BEA" w:rsidRDefault="00494DD9" w:rsidP="00494DD9">
            <w:pPr>
              <w:jc w:val="center"/>
              <w:rPr>
                <w:rFonts w:cs="Arial"/>
                <w:b/>
                <w:sz w:val="24"/>
                <w:szCs w:val="24"/>
              </w:rPr>
            </w:pPr>
            <w:r w:rsidRPr="00660BEA">
              <w:rPr>
                <w:rFonts w:cs="Arial"/>
                <w:b/>
                <w:sz w:val="24"/>
                <w:szCs w:val="24"/>
              </w:rPr>
              <w:t>Comments</w:t>
            </w:r>
          </w:p>
        </w:tc>
      </w:tr>
      <w:bookmarkEnd w:id="6"/>
      <w:tr w:rsidR="006D4242" w:rsidRPr="00660BEA" w14:paraId="1E04B32A" w14:textId="77777777" w:rsidTr="000730BD">
        <w:tc>
          <w:tcPr>
            <w:tcW w:w="2484" w:type="dxa"/>
          </w:tcPr>
          <w:p w14:paraId="22C428E3" w14:textId="2F4B2788" w:rsidR="006D4242" w:rsidRPr="00E12ECA" w:rsidRDefault="006D4242" w:rsidP="006C61B3">
            <w:pPr>
              <w:rPr>
                <w:rFonts w:cs="Arial"/>
                <w:b/>
              </w:rPr>
            </w:pPr>
            <w:r w:rsidRPr="006D4242">
              <w:rPr>
                <w:rFonts w:cs="Arial"/>
                <w:b/>
              </w:rPr>
              <w:t>Systemic Changes</w:t>
            </w:r>
          </w:p>
        </w:tc>
        <w:tc>
          <w:tcPr>
            <w:tcW w:w="3757" w:type="dxa"/>
          </w:tcPr>
          <w:p w14:paraId="5A61519F" w14:textId="103251F2" w:rsidR="006D4242" w:rsidRDefault="006D4242" w:rsidP="004B4324">
            <w:pPr>
              <w:spacing w:after="120"/>
              <w:rPr>
                <w:rFonts w:cs="Arial"/>
              </w:rPr>
            </w:pPr>
            <w:r w:rsidRPr="006D4242">
              <w:rPr>
                <w:rFonts w:cs="Arial"/>
              </w:rPr>
              <w:t>Create, conduct, and analyze survey of Community Based Day Supports (CBDS) providers to determine specific compliance challenges</w:t>
            </w:r>
          </w:p>
        </w:tc>
        <w:tc>
          <w:tcPr>
            <w:tcW w:w="2227" w:type="dxa"/>
          </w:tcPr>
          <w:p w14:paraId="628533B3" w14:textId="36D73411" w:rsidR="006D4242" w:rsidRDefault="006D4242" w:rsidP="006C61B3">
            <w:pPr>
              <w:jc w:val="center"/>
              <w:rPr>
                <w:rFonts w:cs="Arial"/>
              </w:rPr>
            </w:pPr>
            <w:r w:rsidRPr="006D4242">
              <w:rPr>
                <w:rFonts w:cs="Arial"/>
              </w:rPr>
              <w:t>November 2015</w:t>
            </w:r>
          </w:p>
        </w:tc>
        <w:tc>
          <w:tcPr>
            <w:tcW w:w="2178" w:type="dxa"/>
          </w:tcPr>
          <w:p w14:paraId="2B1D4C4B" w14:textId="2973EFEF" w:rsidR="006D4242" w:rsidRDefault="006D4242" w:rsidP="006C61B3">
            <w:pPr>
              <w:rPr>
                <w:rFonts w:cs="Arial"/>
              </w:rPr>
            </w:pPr>
            <w:r w:rsidRPr="006D4242">
              <w:rPr>
                <w:rFonts w:cs="Arial"/>
              </w:rPr>
              <w:t>Complete</w:t>
            </w:r>
          </w:p>
        </w:tc>
      </w:tr>
      <w:tr w:rsidR="006D4242" w:rsidRPr="00660BEA" w14:paraId="1EA3EEF9" w14:textId="77777777" w:rsidTr="000730BD">
        <w:tc>
          <w:tcPr>
            <w:tcW w:w="2484" w:type="dxa"/>
          </w:tcPr>
          <w:p w14:paraId="62029A6D" w14:textId="4F4542EE" w:rsidR="006D4242" w:rsidRPr="00E12ECA" w:rsidRDefault="006D4242" w:rsidP="006C61B3">
            <w:pPr>
              <w:rPr>
                <w:rFonts w:cs="Arial"/>
                <w:b/>
              </w:rPr>
            </w:pPr>
            <w:r w:rsidRPr="006D4242">
              <w:rPr>
                <w:rFonts w:cs="Arial"/>
                <w:b/>
              </w:rPr>
              <w:t>Systemic Changes</w:t>
            </w:r>
          </w:p>
        </w:tc>
        <w:tc>
          <w:tcPr>
            <w:tcW w:w="3757" w:type="dxa"/>
          </w:tcPr>
          <w:p w14:paraId="18EB2BDB" w14:textId="1183A380" w:rsidR="006D4242" w:rsidRDefault="006D4242" w:rsidP="004B4324">
            <w:pPr>
              <w:spacing w:after="120"/>
              <w:rPr>
                <w:rFonts w:cs="Arial"/>
              </w:rPr>
            </w:pPr>
            <w:r w:rsidRPr="006D4242">
              <w:rPr>
                <w:rFonts w:cs="Arial"/>
              </w:rPr>
              <w:t>Revise DDS regulations 115 CMR 5.00</w:t>
            </w:r>
          </w:p>
        </w:tc>
        <w:tc>
          <w:tcPr>
            <w:tcW w:w="2227" w:type="dxa"/>
          </w:tcPr>
          <w:p w14:paraId="10FE2563" w14:textId="2729D397" w:rsidR="006D4242" w:rsidRDefault="006D4242" w:rsidP="006C61B3">
            <w:pPr>
              <w:jc w:val="center"/>
              <w:rPr>
                <w:rFonts w:cs="Arial"/>
              </w:rPr>
            </w:pPr>
            <w:r>
              <w:rPr>
                <w:rFonts w:cs="Arial"/>
              </w:rPr>
              <w:t>December 2019</w:t>
            </w:r>
          </w:p>
        </w:tc>
        <w:tc>
          <w:tcPr>
            <w:tcW w:w="2178" w:type="dxa"/>
          </w:tcPr>
          <w:p w14:paraId="00ECFC9E" w14:textId="4DB2DD43" w:rsidR="006D4242" w:rsidRDefault="006D4242" w:rsidP="006C61B3">
            <w:pPr>
              <w:rPr>
                <w:rFonts w:cs="Arial"/>
              </w:rPr>
            </w:pPr>
            <w:r w:rsidRPr="2701DC4C">
              <w:rPr>
                <w:rFonts w:cs="Arial"/>
              </w:rPr>
              <w:t>Complete</w:t>
            </w:r>
          </w:p>
        </w:tc>
      </w:tr>
      <w:tr w:rsidR="006D4242" w:rsidRPr="00660BEA" w14:paraId="56377230" w14:textId="77777777" w:rsidTr="000730BD">
        <w:tc>
          <w:tcPr>
            <w:tcW w:w="2484" w:type="dxa"/>
          </w:tcPr>
          <w:p w14:paraId="58F2C1C8" w14:textId="3B7074EC" w:rsidR="006D4242" w:rsidRPr="00E12ECA" w:rsidRDefault="006D4242" w:rsidP="006C61B3">
            <w:pPr>
              <w:rPr>
                <w:rFonts w:cs="Arial"/>
                <w:b/>
              </w:rPr>
            </w:pPr>
            <w:r w:rsidRPr="006D4242">
              <w:rPr>
                <w:rFonts w:cs="Arial"/>
                <w:b/>
              </w:rPr>
              <w:t>Systemic Changes</w:t>
            </w:r>
          </w:p>
        </w:tc>
        <w:tc>
          <w:tcPr>
            <w:tcW w:w="3757" w:type="dxa"/>
          </w:tcPr>
          <w:p w14:paraId="74010D77" w14:textId="189D195A" w:rsidR="006D4242" w:rsidRDefault="006D4242" w:rsidP="004B4324">
            <w:pPr>
              <w:spacing w:after="120"/>
              <w:rPr>
                <w:rFonts w:cs="Arial"/>
              </w:rPr>
            </w:pPr>
            <w:r>
              <w:rPr>
                <w:rFonts w:cs="Arial"/>
              </w:rPr>
              <w:t>Revise DDS regulations 115 CMR 7.00</w:t>
            </w:r>
          </w:p>
        </w:tc>
        <w:tc>
          <w:tcPr>
            <w:tcW w:w="2227" w:type="dxa"/>
          </w:tcPr>
          <w:p w14:paraId="676E7913" w14:textId="61DF3C9D" w:rsidR="006D4242" w:rsidRDefault="00B7192F" w:rsidP="006C61B3">
            <w:pPr>
              <w:jc w:val="center"/>
              <w:rPr>
                <w:rFonts w:cs="Arial"/>
              </w:rPr>
            </w:pPr>
            <w:r>
              <w:rPr>
                <w:rFonts w:cs="Arial"/>
              </w:rPr>
              <w:t>July</w:t>
            </w:r>
            <w:r w:rsidR="006D4242">
              <w:rPr>
                <w:rFonts w:cs="Arial"/>
              </w:rPr>
              <w:t xml:space="preserve"> 2016</w:t>
            </w:r>
          </w:p>
        </w:tc>
        <w:tc>
          <w:tcPr>
            <w:tcW w:w="2178" w:type="dxa"/>
          </w:tcPr>
          <w:p w14:paraId="1427CEDB" w14:textId="4DC38C4D" w:rsidR="006D4242" w:rsidRDefault="006D4242" w:rsidP="006C61B3">
            <w:pPr>
              <w:rPr>
                <w:rFonts w:cs="Arial"/>
              </w:rPr>
            </w:pPr>
            <w:r>
              <w:rPr>
                <w:rFonts w:cs="Arial"/>
              </w:rPr>
              <w:t>Complete</w:t>
            </w:r>
          </w:p>
        </w:tc>
      </w:tr>
      <w:tr w:rsidR="007F6C86" w:rsidRPr="00660BEA" w14:paraId="5494D10B" w14:textId="77777777" w:rsidTr="000730BD">
        <w:tc>
          <w:tcPr>
            <w:tcW w:w="2484" w:type="dxa"/>
          </w:tcPr>
          <w:p w14:paraId="45B12A2C" w14:textId="475D2B00" w:rsidR="007F6C86" w:rsidRPr="00E12ECA" w:rsidRDefault="007F6C86" w:rsidP="007F6C86">
            <w:pPr>
              <w:rPr>
                <w:rFonts w:cs="Arial"/>
                <w:b/>
              </w:rPr>
            </w:pPr>
            <w:r w:rsidRPr="006D4242">
              <w:rPr>
                <w:rFonts w:cs="Arial"/>
                <w:b/>
              </w:rPr>
              <w:t>Systemic Changes</w:t>
            </w:r>
          </w:p>
        </w:tc>
        <w:tc>
          <w:tcPr>
            <w:tcW w:w="3757" w:type="dxa"/>
          </w:tcPr>
          <w:p w14:paraId="38ABB1BA" w14:textId="2A81AF3E" w:rsidR="007F6C86" w:rsidRDefault="007F6C86" w:rsidP="007F6C86">
            <w:pPr>
              <w:spacing w:after="120"/>
              <w:rPr>
                <w:rFonts w:cs="Arial"/>
              </w:rPr>
            </w:pPr>
            <w:r w:rsidRPr="006D4242">
              <w:rPr>
                <w:rFonts w:cs="Arial"/>
              </w:rPr>
              <w:t>Implement certification changes</w:t>
            </w:r>
          </w:p>
        </w:tc>
        <w:tc>
          <w:tcPr>
            <w:tcW w:w="2227" w:type="dxa"/>
          </w:tcPr>
          <w:p w14:paraId="2DCDFAF2" w14:textId="4C2C9CC3" w:rsidR="007F6C86" w:rsidRDefault="007F6C86" w:rsidP="007F6C86">
            <w:pPr>
              <w:jc w:val="center"/>
              <w:rPr>
                <w:rFonts w:cs="Arial"/>
              </w:rPr>
            </w:pPr>
            <w:r>
              <w:rPr>
                <w:rFonts w:cs="Arial"/>
              </w:rPr>
              <w:t>September 2017</w:t>
            </w:r>
          </w:p>
        </w:tc>
        <w:tc>
          <w:tcPr>
            <w:tcW w:w="2178" w:type="dxa"/>
          </w:tcPr>
          <w:p w14:paraId="5220EF9A" w14:textId="6686CA5E" w:rsidR="007F6C86" w:rsidRDefault="007F6C86" w:rsidP="007F6C86">
            <w:pPr>
              <w:rPr>
                <w:rFonts w:cs="Arial"/>
              </w:rPr>
            </w:pPr>
            <w:r>
              <w:rPr>
                <w:rFonts w:cs="Arial"/>
              </w:rPr>
              <w:t>Complete</w:t>
            </w:r>
          </w:p>
        </w:tc>
      </w:tr>
      <w:tr w:rsidR="007F6C86" w:rsidRPr="00660BEA" w14:paraId="27B92D5E" w14:textId="77777777" w:rsidTr="000730BD">
        <w:tc>
          <w:tcPr>
            <w:tcW w:w="2484" w:type="dxa"/>
          </w:tcPr>
          <w:p w14:paraId="0672D3FB" w14:textId="31CDD122" w:rsidR="007F6C86" w:rsidRPr="00E12ECA" w:rsidRDefault="007F6C86" w:rsidP="007F6C86">
            <w:pPr>
              <w:rPr>
                <w:rFonts w:cs="Arial"/>
                <w:b/>
              </w:rPr>
            </w:pPr>
            <w:r w:rsidRPr="006D4242">
              <w:rPr>
                <w:rFonts w:cs="Arial"/>
                <w:b/>
              </w:rPr>
              <w:t>Systemic Changes</w:t>
            </w:r>
          </w:p>
        </w:tc>
        <w:tc>
          <w:tcPr>
            <w:tcW w:w="3757" w:type="dxa"/>
          </w:tcPr>
          <w:p w14:paraId="7E3AFED9" w14:textId="68FA2537" w:rsidR="007F6C86" w:rsidRDefault="007F6C86" w:rsidP="007F6C86">
            <w:pPr>
              <w:spacing w:after="120"/>
              <w:rPr>
                <w:rFonts w:cs="Arial"/>
              </w:rPr>
            </w:pPr>
            <w:r w:rsidRPr="00370BEB">
              <w:rPr>
                <w:rFonts w:cs="Arial"/>
              </w:rPr>
              <w:t>Revise Licensure and Certification Manual</w:t>
            </w:r>
          </w:p>
        </w:tc>
        <w:tc>
          <w:tcPr>
            <w:tcW w:w="2227" w:type="dxa"/>
          </w:tcPr>
          <w:p w14:paraId="384FD3A7" w14:textId="6AE3A437" w:rsidR="007F6C86" w:rsidRDefault="007F6C86" w:rsidP="007F6C86">
            <w:pPr>
              <w:jc w:val="center"/>
              <w:rPr>
                <w:rFonts w:cs="Arial"/>
              </w:rPr>
            </w:pPr>
            <w:r>
              <w:rPr>
                <w:rFonts w:cs="Arial"/>
              </w:rPr>
              <w:t>September 2019</w:t>
            </w:r>
          </w:p>
        </w:tc>
        <w:tc>
          <w:tcPr>
            <w:tcW w:w="2178" w:type="dxa"/>
          </w:tcPr>
          <w:p w14:paraId="69777B11" w14:textId="4C2534BE" w:rsidR="007F6C86" w:rsidRDefault="007F6C86" w:rsidP="007F6C86">
            <w:pPr>
              <w:spacing w:after="200" w:line="276" w:lineRule="auto"/>
              <w:rPr>
                <w:rFonts w:eastAsia="MS Mincho" w:cs="Arial"/>
              </w:rPr>
            </w:pPr>
            <w:r w:rsidRPr="628C881F">
              <w:rPr>
                <w:rFonts w:cs="Arial"/>
              </w:rPr>
              <w:t>Complete</w:t>
            </w:r>
          </w:p>
        </w:tc>
      </w:tr>
      <w:tr w:rsidR="007F6C86" w:rsidRPr="00660BEA" w14:paraId="5D25F907" w14:textId="77777777" w:rsidTr="000730BD">
        <w:tc>
          <w:tcPr>
            <w:tcW w:w="2484" w:type="dxa"/>
          </w:tcPr>
          <w:p w14:paraId="7BAAEF1C" w14:textId="1BADE6A2" w:rsidR="007F6C86" w:rsidRPr="00E12ECA" w:rsidRDefault="007F6C86" w:rsidP="007F6C86">
            <w:pPr>
              <w:rPr>
                <w:rFonts w:cs="Arial"/>
                <w:b/>
              </w:rPr>
            </w:pPr>
            <w:r w:rsidRPr="006D4242">
              <w:rPr>
                <w:rFonts w:cs="Arial"/>
                <w:b/>
              </w:rPr>
              <w:t>Systemic Changes</w:t>
            </w:r>
          </w:p>
        </w:tc>
        <w:tc>
          <w:tcPr>
            <w:tcW w:w="3757" w:type="dxa"/>
          </w:tcPr>
          <w:p w14:paraId="67A3F6D6" w14:textId="7EB78641" w:rsidR="007F6C86" w:rsidRDefault="007F6C86" w:rsidP="007F6C86">
            <w:pPr>
              <w:spacing w:after="120"/>
              <w:rPr>
                <w:rFonts w:cs="Arial"/>
              </w:rPr>
            </w:pPr>
            <w:r w:rsidRPr="00370BEB">
              <w:rPr>
                <w:rFonts w:cs="Arial"/>
              </w:rPr>
              <w:t>Issue guidance on requirement for locks on bedroom doors</w:t>
            </w:r>
          </w:p>
        </w:tc>
        <w:tc>
          <w:tcPr>
            <w:tcW w:w="2227" w:type="dxa"/>
          </w:tcPr>
          <w:p w14:paraId="18415EB7" w14:textId="165FB2B6" w:rsidR="007F6C86" w:rsidRDefault="007F6C86" w:rsidP="007F6C86">
            <w:pPr>
              <w:jc w:val="center"/>
              <w:rPr>
                <w:rFonts w:cs="Arial"/>
              </w:rPr>
            </w:pPr>
            <w:r>
              <w:rPr>
                <w:rFonts w:cs="Arial"/>
              </w:rPr>
              <w:t>March 2016</w:t>
            </w:r>
          </w:p>
        </w:tc>
        <w:tc>
          <w:tcPr>
            <w:tcW w:w="2178" w:type="dxa"/>
          </w:tcPr>
          <w:p w14:paraId="1EDB4655" w14:textId="61A67987" w:rsidR="007F6C86" w:rsidRDefault="007F6C86" w:rsidP="007F6C86">
            <w:pPr>
              <w:rPr>
                <w:rFonts w:cs="Arial"/>
              </w:rPr>
            </w:pPr>
            <w:r>
              <w:rPr>
                <w:rFonts w:cs="Arial"/>
              </w:rPr>
              <w:t>Complete</w:t>
            </w:r>
          </w:p>
        </w:tc>
      </w:tr>
      <w:tr w:rsidR="004103B4" w:rsidRPr="00660BEA" w14:paraId="3A226520" w14:textId="77777777" w:rsidTr="000730BD">
        <w:tc>
          <w:tcPr>
            <w:tcW w:w="2484" w:type="dxa"/>
          </w:tcPr>
          <w:p w14:paraId="130A5E02" w14:textId="2770E4B1" w:rsidR="004103B4" w:rsidRPr="006D4242" w:rsidRDefault="004103B4" w:rsidP="004103B4">
            <w:pPr>
              <w:rPr>
                <w:rFonts w:cs="Arial"/>
                <w:b/>
              </w:rPr>
            </w:pPr>
            <w:r w:rsidRPr="006D4242">
              <w:rPr>
                <w:rFonts w:cs="Arial"/>
                <w:b/>
              </w:rPr>
              <w:t>Systemic Changes</w:t>
            </w:r>
          </w:p>
        </w:tc>
        <w:tc>
          <w:tcPr>
            <w:tcW w:w="3757" w:type="dxa"/>
          </w:tcPr>
          <w:p w14:paraId="0FC51E43" w14:textId="62B100DB" w:rsidR="004103B4" w:rsidRPr="00370BEB" w:rsidRDefault="004103B4" w:rsidP="004103B4">
            <w:pPr>
              <w:spacing w:after="120"/>
              <w:rPr>
                <w:rFonts w:cs="Arial"/>
              </w:rPr>
            </w:pPr>
            <w:r w:rsidRPr="00370BEB">
              <w:rPr>
                <w:rFonts w:cs="Arial"/>
              </w:rPr>
              <w:t xml:space="preserve">Issue </w:t>
            </w:r>
            <w:r>
              <w:rPr>
                <w:rFonts w:cs="Arial"/>
              </w:rPr>
              <w:t xml:space="preserve">updated </w:t>
            </w:r>
            <w:r w:rsidRPr="00370BEB">
              <w:rPr>
                <w:rFonts w:cs="Arial"/>
              </w:rPr>
              <w:t>guidance on requirement for locks on bedroom doors</w:t>
            </w:r>
          </w:p>
        </w:tc>
        <w:tc>
          <w:tcPr>
            <w:tcW w:w="2227" w:type="dxa"/>
          </w:tcPr>
          <w:p w14:paraId="1826B846" w14:textId="076CFB65" w:rsidR="004103B4" w:rsidRDefault="004103B4" w:rsidP="004103B4">
            <w:pPr>
              <w:jc w:val="center"/>
              <w:rPr>
                <w:rFonts w:cs="Arial"/>
              </w:rPr>
            </w:pPr>
            <w:r>
              <w:rPr>
                <w:rFonts w:cs="Arial"/>
              </w:rPr>
              <w:t>October 2022</w:t>
            </w:r>
          </w:p>
        </w:tc>
        <w:tc>
          <w:tcPr>
            <w:tcW w:w="2178" w:type="dxa"/>
          </w:tcPr>
          <w:p w14:paraId="2078174B" w14:textId="26190341" w:rsidR="004103B4" w:rsidRDefault="004103B4" w:rsidP="004103B4">
            <w:pPr>
              <w:rPr>
                <w:rFonts w:cs="Arial"/>
              </w:rPr>
            </w:pPr>
            <w:r>
              <w:rPr>
                <w:rFonts w:cs="Arial"/>
              </w:rPr>
              <w:t>Complete</w:t>
            </w:r>
          </w:p>
        </w:tc>
      </w:tr>
      <w:tr w:rsidR="008E5242" w:rsidRPr="00660BEA" w14:paraId="11D3381B" w14:textId="77777777" w:rsidTr="000730BD">
        <w:tc>
          <w:tcPr>
            <w:tcW w:w="2484" w:type="dxa"/>
          </w:tcPr>
          <w:p w14:paraId="52D8E5AD" w14:textId="63DE8975" w:rsidR="008E5242" w:rsidRPr="006D4242" w:rsidRDefault="008E5242" w:rsidP="008E5242">
            <w:pPr>
              <w:rPr>
                <w:rFonts w:cs="Arial"/>
                <w:b/>
              </w:rPr>
            </w:pPr>
            <w:r w:rsidRPr="006D4242">
              <w:rPr>
                <w:rFonts w:cs="Arial"/>
                <w:b/>
              </w:rPr>
              <w:t>Systemic Changes</w:t>
            </w:r>
          </w:p>
        </w:tc>
        <w:tc>
          <w:tcPr>
            <w:tcW w:w="3757" w:type="dxa"/>
          </w:tcPr>
          <w:p w14:paraId="65EFF403" w14:textId="7447EEC5" w:rsidR="008E5242" w:rsidRPr="00370BEB" w:rsidRDefault="008E5242" w:rsidP="008E5242">
            <w:pPr>
              <w:spacing w:after="120"/>
              <w:rPr>
                <w:rFonts w:cs="Arial"/>
              </w:rPr>
            </w:pPr>
            <w:r w:rsidRPr="00370BEB">
              <w:rPr>
                <w:rFonts w:cs="Arial"/>
              </w:rPr>
              <w:t xml:space="preserve">Issue guidance on </w:t>
            </w:r>
            <w:r>
              <w:rPr>
                <w:rFonts w:cs="Arial"/>
              </w:rPr>
              <w:t>visitation</w:t>
            </w:r>
          </w:p>
        </w:tc>
        <w:tc>
          <w:tcPr>
            <w:tcW w:w="2227" w:type="dxa"/>
          </w:tcPr>
          <w:p w14:paraId="417112F2" w14:textId="6781FF1E" w:rsidR="008E5242" w:rsidRDefault="008E5242" w:rsidP="008E5242">
            <w:pPr>
              <w:jc w:val="center"/>
              <w:rPr>
                <w:rFonts w:cs="Arial"/>
              </w:rPr>
            </w:pPr>
            <w:r>
              <w:rPr>
                <w:rFonts w:cs="Arial"/>
              </w:rPr>
              <w:t>October 2022</w:t>
            </w:r>
          </w:p>
        </w:tc>
        <w:tc>
          <w:tcPr>
            <w:tcW w:w="2178" w:type="dxa"/>
          </w:tcPr>
          <w:p w14:paraId="29F0B16C" w14:textId="012502A3" w:rsidR="008E5242" w:rsidRDefault="008E5242" w:rsidP="008E5242">
            <w:pPr>
              <w:rPr>
                <w:rFonts w:cs="Arial"/>
              </w:rPr>
            </w:pPr>
            <w:r>
              <w:rPr>
                <w:rFonts w:cs="Arial"/>
              </w:rPr>
              <w:t>Complete</w:t>
            </w:r>
          </w:p>
        </w:tc>
      </w:tr>
      <w:tr w:rsidR="008E5242" w:rsidRPr="00660BEA" w14:paraId="7E8822DD" w14:textId="77777777" w:rsidTr="000730BD">
        <w:tc>
          <w:tcPr>
            <w:tcW w:w="2484" w:type="dxa"/>
          </w:tcPr>
          <w:p w14:paraId="02ECE866" w14:textId="4CDFFD4C" w:rsidR="008E5242" w:rsidRPr="00E12ECA" w:rsidRDefault="008E5242" w:rsidP="008E5242">
            <w:pPr>
              <w:rPr>
                <w:rFonts w:cs="Arial"/>
                <w:b/>
              </w:rPr>
            </w:pPr>
            <w:r w:rsidRPr="006D4242">
              <w:rPr>
                <w:rFonts w:cs="Arial"/>
                <w:b/>
              </w:rPr>
              <w:t>Systemic Changes</w:t>
            </w:r>
          </w:p>
        </w:tc>
        <w:tc>
          <w:tcPr>
            <w:tcW w:w="3757" w:type="dxa"/>
          </w:tcPr>
          <w:p w14:paraId="559C479A" w14:textId="2F668F8F" w:rsidR="008E5242" w:rsidRDefault="008E5242" w:rsidP="008E5242">
            <w:pPr>
              <w:spacing w:after="120"/>
              <w:rPr>
                <w:rFonts w:cs="Arial"/>
              </w:rPr>
            </w:pPr>
            <w:r w:rsidRPr="00370BEB">
              <w:rPr>
                <w:rFonts w:cs="Arial"/>
              </w:rPr>
              <w:t>Incorporation of requirements for locks on bedroom doors into Licensure and Certification tool</w:t>
            </w:r>
          </w:p>
        </w:tc>
        <w:tc>
          <w:tcPr>
            <w:tcW w:w="2227" w:type="dxa"/>
          </w:tcPr>
          <w:p w14:paraId="6773C1C7" w14:textId="0C9E2B22" w:rsidR="008E5242" w:rsidRDefault="008E5242" w:rsidP="008E5242">
            <w:pPr>
              <w:jc w:val="center"/>
              <w:rPr>
                <w:rFonts w:cs="Arial"/>
              </w:rPr>
            </w:pPr>
            <w:r>
              <w:rPr>
                <w:rFonts w:cs="Arial"/>
              </w:rPr>
              <w:t>August 2016</w:t>
            </w:r>
          </w:p>
        </w:tc>
        <w:tc>
          <w:tcPr>
            <w:tcW w:w="2178" w:type="dxa"/>
          </w:tcPr>
          <w:p w14:paraId="5EDDD02C" w14:textId="2AE96416" w:rsidR="008E5242" w:rsidRDefault="008E5242" w:rsidP="008E5242">
            <w:pPr>
              <w:rPr>
                <w:rFonts w:cs="Arial"/>
              </w:rPr>
            </w:pPr>
            <w:r>
              <w:rPr>
                <w:rFonts w:cs="Arial"/>
              </w:rPr>
              <w:t>Complete</w:t>
            </w:r>
          </w:p>
        </w:tc>
      </w:tr>
      <w:tr w:rsidR="008E5242" w:rsidRPr="00660BEA" w14:paraId="23E6D52D" w14:textId="77777777" w:rsidTr="000730BD">
        <w:tc>
          <w:tcPr>
            <w:tcW w:w="2484" w:type="dxa"/>
          </w:tcPr>
          <w:p w14:paraId="6E7C2B49" w14:textId="2C4C49D8" w:rsidR="008E5242" w:rsidRPr="00E12ECA" w:rsidRDefault="008E5242" w:rsidP="008E5242">
            <w:pPr>
              <w:rPr>
                <w:rFonts w:cs="Arial"/>
                <w:b/>
              </w:rPr>
            </w:pPr>
            <w:r w:rsidRPr="006D4242">
              <w:rPr>
                <w:rFonts w:cs="Arial"/>
                <w:b/>
              </w:rPr>
              <w:t>Systemic Changes</w:t>
            </w:r>
          </w:p>
        </w:tc>
        <w:tc>
          <w:tcPr>
            <w:tcW w:w="3757" w:type="dxa"/>
          </w:tcPr>
          <w:p w14:paraId="2C958156" w14:textId="08151DD2" w:rsidR="008E5242" w:rsidRDefault="008E5242" w:rsidP="008E5242">
            <w:pPr>
              <w:spacing w:after="120"/>
              <w:rPr>
                <w:rFonts w:cs="Arial"/>
              </w:rPr>
            </w:pPr>
            <w:r w:rsidRPr="00370BEB">
              <w:rPr>
                <w:rFonts w:cs="Arial"/>
              </w:rPr>
              <w:t>Incorporation of requirements for residency agreements into Licensure and Certification tool</w:t>
            </w:r>
          </w:p>
        </w:tc>
        <w:tc>
          <w:tcPr>
            <w:tcW w:w="2227" w:type="dxa"/>
          </w:tcPr>
          <w:p w14:paraId="7E8F96C8" w14:textId="2D25C6D3" w:rsidR="008E5242" w:rsidRDefault="008E5242" w:rsidP="008E5242">
            <w:pPr>
              <w:jc w:val="center"/>
              <w:rPr>
                <w:rFonts w:cs="Arial"/>
              </w:rPr>
            </w:pPr>
            <w:r>
              <w:rPr>
                <w:rFonts w:cs="Arial"/>
              </w:rPr>
              <w:t>August 2016</w:t>
            </w:r>
          </w:p>
        </w:tc>
        <w:tc>
          <w:tcPr>
            <w:tcW w:w="2178" w:type="dxa"/>
          </w:tcPr>
          <w:p w14:paraId="65986EFD" w14:textId="1D4955B6" w:rsidR="008E5242" w:rsidRDefault="008E5242" w:rsidP="008E5242">
            <w:pPr>
              <w:rPr>
                <w:rFonts w:cs="Arial"/>
              </w:rPr>
            </w:pPr>
            <w:r>
              <w:rPr>
                <w:rFonts w:cs="Arial"/>
              </w:rPr>
              <w:t>Complete</w:t>
            </w:r>
          </w:p>
        </w:tc>
      </w:tr>
      <w:tr w:rsidR="008E5242" w:rsidRPr="00660BEA" w14:paraId="038F5D81" w14:textId="77777777" w:rsidTr="000730BD">
        <w:tc>
          <w:tcPr>
            <w:tcW w:w="2484" w:type="dxa"/>
          </w:tcPr>
          <w:p w14:paraId="0D129384" w14:textId="439A3057" w:rsidR="008E5242" w:rsidRPr="00E12ECA" w:rsidRDefault="008E5242" w:rsidP="008E5242">
            <w:pPr>
              <w:rPr>
                <w:rFonts w:cs="Arial"/>
                <w:b/>
              </w:rPr>
            </w:pPr>
            <w:r w:rsidRPr="006D4242">
              <w:rPr>
                <w:rFonts w:cs="Arial"/>
                <w:b/>
              </w:rPr>
              <w:t>Systemic Changes</w:t>
            </w:r>
          </w:p>
        </w:tc>
        <w:tc>
          <w:tcPr>
            <w:tcW w:w="3757" w:type="dxa"/>
          </w:tcPr>
          <w:p w14:paraId="1CB1E488" w14:textId="3AEC718E" w:rsidR="008E5242" w:rsidRDefault="008E5242" w:rsidP="008E5242">
            <w:pPr>
              <w:spacing w:after="120"/>
              <w:rPr>
                <w:rFonts w:cs="Arial"/>
              </w:rPr>
            </w:pPr>
            <w:r w:rsidRPr="00370BEB">
              <w:rPr>
                <w:rFonts w:cs="Arial"/>
              </w:rPr>
              <w:t>Full Implementation of Positive Behavior Supports, including continued training</w:t>
            </w:r>
          </w:p>
        </w:tc>
        <w:tc>
          <w:tcPr>
            <w:tcW w:w="2227" w:type="dxa"/>
          </w:tcPr>
          <w:p w14:paraId="6F98E402" w14:textId="1BCD3A57" w:rsidR="008E5242" w:rsidRDefault="008E5242" w:rsidP="008E5242">
            <w:pPr>
              <w:jc w:val="center"/>
              <w:rPr>
                <w:rFonts w:cs="Arial"/>
              </w:rPr>
            </w:pPr>
            <w:r w:rsidRPr="00370BEB">
              <w:rPr>
                <w:rFonts w:cs="Arial"/>
              </w:rPr>
              <w:t>All components for full compliance complete by March 202</w:t>
            </w:r>
            <w:r>
              <w:rPr>
                <w:rFonts w:cs="Arial"/>
              </w:rPr>
              <w:t>3</w:t>
            </w:r>
            <w:r w:rsidRPr="00370BEB">
              <w:rPr>
                <w:rFonts w:cs="Arial"/>
              </w:rPr>
              <w:t>; other efforts ongoing</w:t>
            </w:r>
          </w:p>
        </w:tc>
        <w:tc>
          <w:tcPr>
            <w:tcW w:w="2178" w:type="dxa"/>
          </w:tcPr>
          <w:p w14:paraId="5770202E" w14:textId="598B701B" w:rsidR="008E5242" w:rsidRDefault="008E5242" w:rsidP="008E5242">
            <w:pPr>
              <w:rPr>
                <w:rFonts w:cs="Arial"/>
              </w:rPr>
            </w:pPr>
            <w:r>
              <w:rPr>
                <w:rFonts w:cs="Arial"/>
              </w:rPr>
              <w:t>In process</w:t>
            </w:r>
          </w:p>
        </w:tc>
      </w:tr>
      <w:tr w:rsidR="008E5242" w:rsidRPr="00660BEA" w14:paraId="740D08DD" w14:textId="77777777" w:rsidTr="000730BD">
        <w:tc>
          <w:tcPr>
            <w:tcW w:w="2484" w:type="dxa"/>
          </w:tcPr>
          <w:p w14:paraId="0DC460DA" w14:textId="7B30B59B" w:rsidR="008E5242" w:rsidRPr="00E12ECA" w:rsidRDefault="008E5242" w:rsidP="008E5242">
            <w:pPr>
              <w:rPr>
                <w:rFonts w:cs="Arial"/>
                <w:b/>
              </w:rPr>
            </w:pPr>
            <w:r w:rsidRPr="006D4242">
              <w:rPr>
                <w:rFonts w:cs="Arial"/>
                <w:b/>
              </w:rPr>
              <w:t>Systemic Changes</w:t>
            </w:r>
          </w:p>
        </w:tc>
        <w:tc>
          <w:tcPr>
            <w:tcW w:w="3757" w:type="dxa"/>
          </w:tcPr>
          <w:p w14:paraId="41C451DA" w14:textId="3BEEC29C" w:rsidR="008E5242" w:rsidRDefault="008E5242" w:rsidP="008E5242">
            <w:pPr>
              <w:spacing w:after="120"/>
              <w:rPr>
                <w:rFonts w:cs="Arial"/>
              </w:rPr>
            </w:pPr>
            <w:r w:rsidRPr="00370BEB">
              <w:rPr>
                <w:rFonts w:cs="Arial"/>
              </w:rPr>
              <w:t>Closure of all sheltered workshops</w:t>
            </w:r>
            <w:r>
              <w:rPr>
                <w:rFonts w:cs="Arial"/>
              </w:rPr>
              <w:t xml:space="preserve"> </w:t>
            </w:r>
            <w:r w:rsidRPr="00370BEB">
              <w:rPr>
                <w:rFonts w:cs="Arial"/>
              </w:rPr>
              <w:t>(Blueprint for Success)</w:t>
            </w:r>
          </w:p>
        </w:tc>
        <w:tc>
          <w:tcPr>
            <w:tcW w:w="2227" w:type="dxa"/>
          </w:tcPr>
          <w:p w14:paraId="2384FD0D" w14:textId="51ACA6B9" w:rsidR="008E5242" w:rsidRDefault="008E5242" w:rsidP="008E5242">
            <w:pPr>
              <w:jc w:val="center"/>
              <w:rPr>
                <w:rFonts w:cs="Arial"/>
              </w:rPr>
            </w:pPr>
            <w:r>
              <w:rPr>
                <w:rFonts w:cs="Arial"/>
              </w:rPr>
              <w:t>June 2016</w:t>
            </w:r>
          </w:p>
        </w:tc>
        <w:tc>
          <w:tcPr>
            <w:tcW w:w="2178" w:type="dxa"/>
          </w:tcPr>
          <w:p w14:paraId="3FECA1EE" w14:textId="6784EF0E" w:rsidR="008E5242" w:rsidRDefault="008E5242" w:rsidP="008E5242">
            <w:pPr>
              <w:rPr>
                <w:rFonts w:cs="Arial"/>
              </w:rPr>
            </w:pPr>
            <w:r>
              <w:rPr>
                <w:rFonts w:cs="Arial"/>
              </w:rPr>
              <w:t>Complete</w:t>
            </w:r>
          </w:p>
        </w:tc>
      </w:tr>
      <w:tr w:rsidR="008E5242" w:rsidRPr="00660BEA" w14:paraId="2F140837" w14:textId="77777777" w:rsidTr="000730BD">
        <w:tc>
          <w:tcPr>
            <w:tcW w:w="2484" w:type="dxa"/>
          </w:tcPr>
          <w:p w14:paraId="5D556B0B" w14:textId="44396075" w:rsidR="008E5242" w:rsidRPr="00E12ECA" w:rsidRDefault="008E5242" w:rsidP="008E5242">
            <w:pPr>
              <w:rPr>
                <w:rFonts w:cs="Arial"/>
                <w:b/>
              </w:rPr>
            </w:pPr>
            <w:r w:rsidRPr="006D4242">
              <w:rPr>
                <w:rFonts w:cs="Arial"/>
                <w:b/>
              </w:rPr>
              <w:t>Systemic Changes</w:t>
            </w:r>
          </w:p>
        </w:tc>
        <w:tc>
          <w:tcPr>
            <w:tcW w:w="3757" w:type="dxa"/>
          </w:tcPr>
          <w:p w14:paraId="30F85FBC" w14:textId="496400E8" w:rsidR="008E5242" w:rsidRDefault="008E5242" w:rsidP="008E5242">
            <w:pPr>
              <w:spacing w:after="120"/>
              <w:rPr>
                <w:rFonts w:cs="Arial"/>
              </w:rPr>
            </w:pPr>
            <w:r w:rsidRPr="00370BEB">
              <w:rPr>
                <w:rFonts w:cs="Arial"/>
              </w:rPr>
              <w:t>Develop and distribute clear definitions, standards, and criteria of integration for group employment and CBDS (to be included in the coming re-procurement for FY 2020)</w:t>
            </w:r>
          </w:p>
        </w:tc>
        <w:tc>
          <w:tcPr>
            <w:tcW w:w="2227" w:type="dxa"/>
          </w:tcPr>
          <w:p w14:paraId="437D87DD" w14:textId="1C83A46B" w:rsidR="008E5242" w:rsidRDefault="008E5242" w:rsidP="008E5242">
            <w:pPr>
              <w:jc w:val="center"/>
              <w:rPr>
                <w:rFonts w:cs="Arial"/>
              </w:rPr>
            </w:pPr>
            <w:r>
              <w:rPr>
                <w:rFonts w:cs="Arial"/>
              </w:rPr>
              <w:t>March 2019</w:t>
            </w:r>
          </w:p>
        </w:tc>
        <w:tc>
          <w:tcPr>
            <w:tcW w:w="2178" w:type="dxa"/>
          </w:tcPr>
          <w:p w14:paraId="41D1F796" w14:textId="01475213" w:rsidR="008E5242" w:rsidRDefault="008E5242" w:rsidP="008E5242">
            <w:pPr>
              <w:rPr>
                <w:rFonts w:cs="Arial"/>
              </w:rPr>
            </w:pPr>
            <w:r>
              <w:rPr>
                <w:rFonts w:cs="Arial"/>
              </w:rPr>
              <w:t>Complete</w:t>
            </w:r>
          </w:p>
        </w:tc>
      </w:tr>
      <w:tr w:rsidR="008E5242" w:rsidRPr="00660BEA" w14:paraId="033D365F" w14:textId="77777777" w:rsidTr="000730BD">
        <w:tc>
          <w:tcPr>
            <w:tcW w:w="2484" w:type="dxa"/>
          </w:tcPr>
          <w:p w14:paraId="300E24FD" w14:textId="7368FE5D" w:rsidR="008E5242" w:rsidRPr="00E12ECA" w:rsidRDefault="008E5242" w:rsidP="008E5242">
            <w:pPr>
              <w:rPr>
                <w:rFonts w:cs="Arial"/>
                <w:b/>
              </w:rPr>
            </w:pPr>
            <w:r w:rsidRPr="006D4242">
              <w:rPr>
                <w:rFonts w:cs="Arial"/>
                <w:b/>
              </w:rPr>
              <w:t>Systemic Changes</w:t>
            </w:r>
          </w:p>
        </w:tc>
        <w:tc>
          <w:tcPr>
            <w:tcW w:w="3757" w:type="dxa"/>
          </w:tcPr>
          <w:p w14:paraId="29ADCD69" w14:textId="53B60AB5" w:rsidR="008E5242" w:rsidRDefault="008E5242" w:rsidP="008E5242">
            <w:pPr>
              <w:spacing w:after="120"/>
              <w:rPr>
                <w:rFonts w:cs="Arial"/>
              </w:rPr>
            </w:pPr>
            <w:r w:rsidRPr="00370BEB">
              <w:rPr>
                <w:rFonts w:cs="Arial"/>
              </w:rPr>
              <w:t>Develop and distribute guidelines for social enterprises</w:t>
            </w:r>
          </w:p>
        </w:tc>
        <w:tc>
          <w:tcPr>
            <w:tcW w:w="2227" w:type="dxa"/>
          </w:tcPr>
          <w:p w14:paraId="0BAE0446" w14:textId="09C5936E" w:rsidR="008E5242" w:rsidRDefault="008E5242" w:rsidP="008E5242">
            <w:pPr>
              <w:jc w:val="center"/>
              <w:rPr>
                <w:rFonts w:cs="Arial"/>
              </w:rPr>
            </w:pPr>
            <w:r>
              <w:rPr>
                <w:rFonts w:cs="Arial"/>
              </w:rPr>
              <w:t>January 2019</w:t>
            </w:r>
          </w:p>
        </w:tc>
        <w:tc>
          <w:tcPr>
            <w:tcW w:w="2178" w:type="dxa"/>
          </w:tcPr>
          <w:p w14:paraId="2DE69DB7" w14:textId="7BB595FC" w:rsidR="008E5242" w:rsidRDefault="008E5242" w:rsidP="008E5242">
            <w:pPr>
              <w:rPr>
                <w:rFonts w:cs="Arial"/>
              </w:rPr>
            </w:pPr>
            <w:r>
              <w:rPr>
                <w:rFonts w:cs="Arial"/>
              </w:rPr>
              <w:t>Complete</w:t>
            </w:r>
          </w:p>
        </w:tc>
      </w:tr>
      <w:tr w:rsidR="008E5242" w:rsidRPr="00660BEA" w14:paraId="472634D2" w14:textId="77777777" w:rsidTr="000730BD">
        <w:tc>
          <w:tcPr>
            <w:tcW w:w="2484" w:type="dxa"/>
          </w:tcPr>
          <w:p w14:paraId="30869082" w14:textId="130FB837" w:rsidR="008E5242" w:rsidRPr="00E12ECA" w:rsidRDefault="008E5242" w:rsidP="008E5242">
            <w:pPr>
              <w:rPr>
                <w:rFonts w:cs="Arial"/>
                <w:b/>
              </w:rPr>
            </w:pPr>
            <w:r w:rsidRPr="00370BEB">
              <w:rPr>
                <w:rFonts w:cs="Arial"/>
                <w:b/>
              </w:rPr>
              <w:lastRenderedPageBreak/>
              <w:t>Systemic Changes</w:t>
            </w:r>
          </w:p>
        </w:tc>
        <w:tc>
          <w:tcPr>
            <w:tcW w:w="3757" w:type="dxa"/>
          </w:tcPr>
          <w:p w14:paraId="3562A212" w14:textId="7B9A2DC8" w:rsidR="008E5242" w:rsidRDefault="008E5242" w:rsidP="008E5242">
            <w:pPr>
              <w:spacing w:after="120"/>
              <w:rPr>
                <w:rFonts w:cs="Arial"/>
              </w:rPr>
            </w:pPr>
            <w:r w:rsidRPr="00370BEB">
              <w:rPr>
                <w:rFonts w:cs="Arial"/>
              </w:rPr>
              <w:t>Develop and implement policy manual for MA.40701 and MA.1028</w:t>
            </w:r>
          </w:p>
        </w:tc>
        <w:tc>
          <w:tcPr>
            <w:tcW w:w="2227" w:type="dxa"/>
          </w:tcPr>
          <w:p w14:paraId="23F05406" w14:textId="64DB5C92" w:rsidR="008E5242" w:rsidRDefault="008E5242" w:rsidP="008E5242">
            <w:pPr>
              <w:jc w:val="center"/>
              <w:rPr>
                <w:rFonts w:cs="Arial"/>
              </w:rPr>
            </w:pPr>
            <w:r>
              <w:rPr>
                <w:rFonts w:cs="Arial"/>
              </w:rPr>
              <w:t>July 2017</w:t>
            </w:r>
          </w:p>
        </w:tc>
        <w:tc>
          <w:tcPr>
            <w:tcW w:w="2178" w:type="dxa"/>
          </w:tcPr>
          <w:p w14:paraId="55D42898" w14:textId="4E7B4419" w:rsidR="008E5242" w:rsidRDefault="008E5242" w:rsidP="008E5242">
            <w:pPr>
              <w:rPr>
                <w:rFonts w:cs="Arial"/>
              </w:rPr>
            </w:pPr>
            <w:r>
              <w:rPr>
                <w:rFonts w:cs="Arial"/>
              </w:rPr>
              <w:t>Complete</w:t>
            </w:r>
          </w:p>
        </w:tc>
      </w:tr>
      <w:tr w:rsidR="008E5242" w:rsidRPr="00660BEA" w14:paraId="1776AC8D" w14:textId="77777777" w:rsidTr="000730BD">
        <w:tc>
          <w:tcPr>
            <w:tcW w:w="2484" w:type="dxa"/>
          </w:tcPr>
          <w:p w14:paraId="3ED4D06C" w14:textId="2D9A69F3" w:rsidR="008E5242" w:rsidRPr="00E12ECA" w:rsidRDefault="008E5242" w:rsidP="008E5242">
            <w:pPr>
              <w:rPr>
                <w:rFonts w:cs="Arial"/>
                <w:b/>
              </w:rPr>
            </w:pPr>
            <w:r w:rsidRPr="00370BEB">
              <w:rPr>
                <w:rFonts w:cs="Arial"/>
                <w:b/>
              </w:rPr>
              <w:t>Systemic Changes</w:t>
            </w:r>
          </w:p>
        </w:tc>
        <w:tc>
          <w:tcPr>
            <w:tcW w:w="3757" w:type="dxa"/>
          </w:tcPr>
          <w:p w14:paraId="054CA344" w14:textId="619ED4AC" w:rsidR="008E5242" w:rsidRDefault="008E5242" w:rsidP="008E5242">
            <w:pPr>
              <w:spacing w:after="120"/>
              <w:rPr>
                <w:rFonts w:cs="Arial"/>
              </w:rPr>
            </w:pPr>
            <w:r w:rsidRPr="00370BEB">
              <w:rPr>
                <w:rFonts w:cs="Arial"/>
              </w:rPr>
              <w:t>Develop and distribute member handbook for MA.40701 and MA.1028</w:t>
            </w:r>
          </w:p>
        </w:tc>
        <w:tc>
          <w:tcPr>
            <w:tcW w:w="2227" w:type="dxa"/>
          </w:tcPr>
          <w:p w14:paraId="68202DFC" w14:textId="13865C6C" w:rsidR="008E5242" w:rsidRDefault="008E5242" w:rsidP="008E5242">
            <w:pPr>
              <w:jc w:val="center"/>
              <w:rPr>
                <w:rFonts w:cs="Arial"/>
              </w:rPr>
            </w:pPr>
            <w:r>
              <w:rPr>
                <w:rFonts w:cs="Arial"/>
              </w:rPr>
              <w:t>July 2017</w:t>
            </w:r>
          </w:p>
        </w:tc>
        <w:tc>
          <w:tcPr>
            <w:tcW w:w="2178" w:type="dxa"/>
          </w:tcPr>
          <w:p w14:paraId="359104EC" w14:textId="4D4CB9F2" w:rsidR="008E5242" w:rsidRDefault="008E5242" w:rsidP="008E5242">
            <w:pPr>
              <w:rPr>
                <w:rFonts w:cs="Arial"/>
              </w:rPr>
            </w:pPr>
            <w:r>
              <w:rPr>
                <w:rFonts w:cs="Arial"/>
              </w:rPr>
              <w:t>Complete</w:t>
            </w:r>
          </w:p>
        </w:tc>
      </w:tr>
      <w:tr w:rsidR="008E5242" w:rsidRPr="00660BEA" w14:paraId="5ADA6804" w14:textId="77777777" w:rsidTr="000730BD">
        <w:tc>
          <w:tcPr>
            <w:tcW w:w="2484" w:type="dxa"/>
          </w:tcPr>
          <w:p w14:paraId="5103BE95" w14:textId="1D089EA8" w:rsidR="008E5242" w:rsidRPr="00E12ECA" w:rsidRDefault="008E5242" w:rsidP="008E5242">
            <w:pPr>
              <w:rPr>
                <w:rFonts w:cs="Arial"/>
                <w:b/>
              </w:rPr>
            </w:pPr>
            <w:r w:rsidRPr="00370BEB">
              <w:rPr>
                <w:rFonts w:cs="Arial"/>
                <w:b/>
              </w:rPr>
              <w:t xml:space="preserve">Oversight of </w:t>
            </w:r>
            <w:r>
              <w:rPr>
                <w:rFonts w:cs="Arial"/>
                <w:b/>
              </w:rPr>
              <w:t>S</w:t>
            </w:r>
            <w:r w:rsidRPr="00370BEB">
              <w:rPr>
                <w:rFonts w:cs="Arial"/>
                <w:b/>
              </w:rPr>
              <w:t>ystemic Changes</w:t>
            </w:r>
          </w:p>
        </w:tc>
        <w:tc>
          <w:tcPr>
            <w:tcW w:w="3757" w:type="dxa"/>
          </w:tcPr>
          <w:p w14:paraId="17B348E0" w14:textId="3CC773D4" w:rsidR="008E5242" w:rsidRDefault="008E5242" w:rsidP="008E5242">
            <w:pPr>
              <w:spacing w:after="120"/>
              <w:rPr>
                <w:rFonts w:cs="Arial"/>
              </w:rPr>
            </w:pPr>
            <w:r w:rsidRPr="00370BEB">
              <w:rPr>
                <w:rFonts w:cs="Arial"/>
              </w:rPr>
              <w:t>Revise Licensure and Certification tool to facilitate stronger monitoring of systemic changes in residential, CBDS, and employment services</w:t>
            </w:r>
          </w:p>
        </w:tc>
        <w:tc>
          <w:tcPr>
            <w:tcW w:w="2227" w:type="dxa"/>
          </w:tcPr>
          <w:p w14:paraId="53FF7EAF" w14:textId="4AB36422" w:rsidR="008E5242" w:rsidRDefault="008E5242" w:rsidP="008E5242">
            <w:pPr>
              <w:jc w:val="center"/>
              <w:rPr>
                <w:rFonts w:cs="Arial"/>
              </w:rPr>
            </w:pPr>
            <w:r>
              <w:rPr>
                <w:rFonts w:cs="Arial"/>
              </w:rPr>
              <w:t>August 2016</w:t>
            </w:r>
          </w:p>
        </w:tc>
        <w:tc>
          <w:tcPr>
            <w:tcW w:w="2178" w:type="dxa"/>
          </w:tcPr>
          <w:p w14:paraId="0BABDA17" w14:textId="5F153734" w:rsidR="008E5242" w:rsidRDefault="008E5242" w:rsidP="008E5242">
            <w:pPr>
              <w:rPr>
                <w:rFonts w:cs="Arial"/>
              </w:rPr>
            </w:pPr>
            <w:r>
              <w:rPr>
                <w:rFonts w:cs="Arial"/>
              </w:rPr>
              <w:t>Complete</w:t>
            </w:r>
          </w:p>
        </w:tc>
      </w:tr>
      <w:tr w:rsidR="008E5242" w:rsidRPr="00660BEA" w14:paraId="21A45E3F" w14:textId="77777777" w:rsidTr="000730BD">
        <w:tc>
          <w:tcPr>
            <w:tcW w:w="2484" w:type="dxa"/>
          </w:tcPr>
          <w:p w14:paraId="5132049C" w14:textId="21F80EB5" w:rsidR="008E5242" w:rsidRPr="00E12ECA" w:rsidRDefault="008E5242" w:rsidP="008E5242">
            <w:pPr>
              <w:rPr>
                <w:rFonts w:cs="Arial"/>
                <w:b/>
              </w:rPr>
            </w:pPr>
            <w:r w:rsidRPr="00370BEB">
              <w:rPr>
                <w:rFonts w:cs="Arial"/>
                <w:b/>
              </w:rPr>
              <w:t>Oversight of Systemic Changes</w:t>
            </w:r>
          </w:p>
        </w:tc>
        <w:tc>
          <w:tcPr>
            <w:tcW w:w="3757" w:type="dxa"/>
          </w:tcPr>
          <w:p w14:paraId="06E7C106" w14:textId="6E506434" w:rsidR="008E5242" w:rsidRDefault="008E5242" w:rsidP="008E5242">
            <w:pPr>
              <w:spacing w:after="120"/>
              <w:rPr>
                <w:rFonts w:cs="Arial"/>
              </w:rPr>
            </w:pPr>
            <w:r w:rsidRPr="00370BEB">
              <w:rPr>
                <w:rFonts w:cs="Arial"/>
              </w:rPr>
              <w:t>Full implementation of Blueprint for Success (Employment Supports)</w:t>
            </w:r>
          </w:p>
        </w:tc>
        <w:tc>
          <w:tcPr>
            <w:tcW w:w="2227" w:type="dxa"/>
          </w:tcPr>
          <w:p w14:paraId="03E4A952" w14:textId="2B43E8B5" w:rsidR="008E5242" w:rsidRDefault="008E5242" w:rsidP="008E5242">
            <w:pPr>
              <w:jc w:val="center"/>
              <w:rPr>
                <w:rFonts w:cs="Arial"/>
              </w:rPr>
            </w:pPr>
            <w:r w:rsidRPr="00530475">
              <w:rPr>
                <w:rFonts w:cs="Arial"/>
              </w:rPr>
              <w:t>All components for full compliance complete by March 202</w:t>
            </w:r>
            <w:r>
              <w:rPr>
                <w:rFonts w:cs="Arial"/>
              </w:rPr>
              <w:t>3</w:t>
            </w:r>
            <w:r w:rsidRPr="00530475">
              <w:rPr>
                <w:rFonts w:cs="Arial"/>
              </w:rPr>
              <w:t>; other efforts ongoing</w:t>
            </w:r>
          </w:p>
        </w:tc>
        <w:tc>
          <w:tcPr>
            <w:tcW w:w="2178" w:type="dxa"/>
          </w:tcPr>
          <w:p w14:paraId="764073B8" w14:textId="2FB5C2CE" w:rsidR="008E5242" w:rsidRDefault="008E5242" w:rsidP="008E5242">
            <w:pPr>
              <w:rPr>
                <w:rFonts w:cs="Arial"/>
              </w:rPr>
            </w:pPr>
            <w:r>
              <w:rPr>
                <w:rFonts w:cs="Arial"/>
              </w:rPr>
              <w:t>In process</w:t>
            </w:r>
          </w:p>
        </w:tc>
      </w:tr>
      <w:tr w:rsidR="008E5242" w:rsidRPr="00660BEA" w14:paraId="34CB0CF5" w14:textId="77777777" w:rsidTr="000730BD">
        <w:tc>
          <w:tcPr>
            <w:tcW w:w="2484" w:type="dxa"/>
          </w:tcPr>
          <w:p w14:paraId="51CB9C3E" w14:textId="386261AA" w:rsidR="008E5242" w:rsidRPr="00E12ECA" w:rsidRDefault="008E5242" w:rsidP="008E5242">
            <w:pPr>
              <w:rPr>
                <w:rFonts w:cs="Arial"/>
                <w:b/>
              </w:rPr>
            </w:pPr>
            <w:r w:rsidRPr="00530475">
              <w:rPr>
                <w:rFonts w:cs="Arial"/>
                <w:b/>
              </w:rPr>
              <w:t>Oversight of Systemic Changes</w:t>
            </w:r>
          </w:p>
        </w:tc>
        <w:tc>
          <w:tcPr>
            <w:tcW w:w="3757" w:type="dxa"/>
          </w:tcPr>
          <w:p w14:paraId="0B35DEFA" w14:textId="24C73EB1" w:rsidR="008E5242" w:rsidRDefault="008E5242" w:rsidP="008E5242">
            <w:pPr>
              <w:spacing w:after="120"/>
              <w:rPr>
                <w:rFonts w:cs="Arial"/>
              </w:rPr>
            </w:pPr>
            <w:r w:rsidRPr="00530475">
              <w:rPr>
                <w:rFonts w:cs="Arial"/>
              </w:rPr>
              <w:t>Develop and distribute as part of the re-procurement standardized guidance to all potential CBDS providers</w:t>
            </w:r>
          </w:p>
        </w:tc>
        <w:tc>
          <w:tcPr>
            <w:tcW w:w="2227" w:type="dxa"/>
          </w:tcPr>
          <w:p w14:paraId="2CB7D83D" w14:textId="0ABCD5F5" w:rsidR="008E5242" w:rsidRDefault="008E5242" w:rsidP="008E5242">
            <w:pPr>
              <w:jc w:val="center"/>
              <w:rPr>
                <w:rFonts w:cs="Arial"/>
              </w:rPr>
            </w:pPr>
            <w:r>
              <w:rPr>
                <w:rFonts w:cs="Arial"/>
              </w:rPr>
              <w:t>March 2019</w:t>
            </w:r>
          </w:p>
        </w:tc>
        <w:tc>
          <w:tcPr>
            <w:tcW w:w="2178" w:type="dxa"/>
          </w:tcPr>
          <w:p w14:paraId="23EF7793" w14:textId="0968E0B0" w:rsidR="008E5242" w:rsidRDefault="008E5242" w:rsidP="008E5242">
            <w:pPr>
              <w:rPr>
                <w:rFonts w:cs="Arial"/>
              </w:rPr>
            </w:pPr>
            <w:r>
              <w:rPr>
                <w:rFonts w:cs="Arial"/>
              </w:rPr>
              <w:t>Complete</w:t>
            </w:r>
          </w:p>
        </w:tc>
      </w:tr>
      <w:tr w:rsidR="008E5242" w:rsidRPr="00660BEA" w14:paraId="542493A3" w14:textId="77777777" w:rsidTr="000730BD">
        <w:tc>
          <w:tcPr>
            <w:tcW w:w="2484" w:type="dxa"/>
          </w:tcPr>
          <w:p w14:paraId="3A060560" w14:textId="7FD74087" w:rsidR="008E5242" w:rsidRPr="00E12ECA" w:rsidRDefault="008E5242" w:rsidP="008E5242">
            <w:pPr>
              <w:rPr>
                <w:rFonts w:cs="Arial"/>
                <w:b/>
              </w:rPr>
            </w:pPr>
            <w:r w:rsidRPr="00530475">
              <w:rPr>
                <w:rFonts w:cs="Arial"/>
                <w:b/>
              </w:rPr>
              <w:t>Specific Setting Changes</w:t>
            </w:r>
          </w:p>
        </w:tc>
        <w:tc>
          <w:tcPr>
            <w:tcW w:w="3757" w:type="dxa"/>
          </w:tcPr>
          <w:p w14:paraId="1408F464" w14:textId="6B17AC61" w:rsidR="008E5242" w:rsidRDefault="008E5242" w:rsidP="008E5242">
            <w:pPr>
              <w:spacing w:after="120"/>
              <w:rPr>
                <w:rFonts w:cs="Arial"/>
              </w:rPr>
            </w:pPr>
            <w:r w:rsidRPr="00530475">
              <w:rPr>
                <w:rFonts w:cs="Arial"/>
              </w:rPr>
              <w:t>14 residential providers challenged to meet the Community Rule submit transition plans to DDS for review</w:t>
            </w:r>
          </w:p>
        </w:tc>
        <w:tc>
          <w:tcPr>
            <w:tcW w:w="2227" w:type="dxa"/>
          </w:tcPr>
          <w:p w14:paraId="369462DE" w14:textId="6CD8BF4D" w:rsidR="008E5242" w:rsidRDefault="008E5242" w:rsidP="008E5242">
            <w:pPr>
              <w:jc w:val="center"/>
              <w:rPr>
                <w:rFonts w:cs="Arial"/>
              </w:rPr>
            </w:pPr>
            <w:r>
              <w:rPr>
                <w:rFonts w:cs="Arial"/>
              </w:rPr>
              <w:t>December 2015</w:t>
            </w:r>
          </w:p>
        </w:tc>
        <w:tc>
          <w:tcPr>
            <w:tcW w:w="2178" w:type="dxa"/>
          </w:tcPr>
          <w:p w14:paraId="75A19D83" w14:textId="522FD113" w:rsidR="008E5242" w:rsidRDefault="008E5242" w:rsidP="008E5242">
            <w:pPr>
              <w:rPr>
                <w:rFonts w:cs="Arial"/>
              </w:rPr>
            </w:pPr>
            <w:r>
              <w:rPr>
                <w:rFonts w:cs="Arial"/>
              </w:rPr>
              <w:t>Complete</w:t>
            </w:r>
          </w:p>
        </w:tc>
      </w:tr>
      <w:tr w:rsidR="008E5242" w:rsidRPr="00660BEA" w14:paraId="5683EC39" w14:textId="77777777" w:rsidTr="000730BD">
        <w:tc>
          <w:tcPr>
            <w:tcW w:w="2484" w:type="dxa"/>
          </w:tcPr>
          <w:p w14:paraId="0D77A222" w14:textId="51D7A43F" w:rsidR="008E5242" w:rsidRPr="00E12ECA" w:rsidRDefault="008E5242" w:rsidP="008E5242">
            <w:pPr>
              <w:rPr>
                <w:rFonts w:cs="Arial"/>
                <w:b/>
              </w:rPr>
            </w:pPr>
            <w:r w:rsidRPr="00530475">
              <w:rPr>
                <w:rFonts w:cs="Arial"/>
                <w:b/>
              </w:rPr>
              <w:t>Specific Setting Changes</w:t>
            </w:r>
          </w:p>
        </w:tc>
        <w:tc>
          <w:tcPr>
            <w:tcW w:w="3757" w:type="dxa"/>
          </w:tcPr>
          <w:p w14:paraId="4193B2F1" w14:textId="69A4247A" w:rsidR="008E5242" w:rsidRDefault="008E5242" w:rsidP="008E5242">
            <w:pPr>
              <w:spacing w:after="120"/>
              <w:rPr>
                <w:rFonts w:cs="Arial"/>
              </w:rPr>
            </w:pPr>
            <w:r w:rsidRPr="00530475">
              <w:rPr>
                <w:rFonts w:cs="Arial"/>
              </w:rPr>
              <w:t>All potential CBDS providers submit responses to the RFR/procurement that address DDS expectations including Community Rule compliance</w:t>
            </w:r>
          </w:p>
        </w:tc>
        <w:tc>
          <w:tcPr>
            <w:tcW w:w="2227" w:type="dxa"/>
          </w:tcPr>
          <w:p w14:paraId="5A44910E" w14:textId="58C4DAE7" w:rsidR="008E5242" w:rsidRDefault="008E5242" w:rsidP="008E5242">
            <w:pPr>
              <w:jc w:val="center"/>
              <w:rPr>
                <w:rFonts w:cs="Arial"/>
              </w:rPr>
            </w:pPr>
            <w:r>
              <w:rPr>
                <w:rFonts w:cs="Arial"/>
              </w:rPr>
              <w:t>June 2019</w:t>
            </w:r>
          </w:p>
        </w:tc>
        <w:tc>
          <w:tcPr>
            <w:tcW w:w="2178" w:type="dxa"/>
          </w:tcPr>
          <w:p w14:paraId="137DA732" w14:textId="130EBDD7" w:rsidR="008E5242" w:rsidRDefault="008E5242" w:rsidP="008E5242">
            <w:pPr>
              <w:rPr>
                <w:rFonts w:cs="Arial"/>
              </w:rPr>
            </w:pPr>
            <w:r>
              <w:rPr>
                <w:rFonts w:cs="Arial"/>
              </w:rPr>
              <w:t>Complete</w:t>
            </w:r>
          </w:p>
        </w:tc>
      </w:tr>
      <w:tr w:rsidR="008E5242" w:rsidRPr="00660BEA" w14:paraId="3980CBDB" w14:textId="77777777" w:rsidTr="000730BD">
        <w:tc>
          <w:tcPr>
            <w:tcW w:w="2484" w:type="dxa"/>
          </w:tcPr>
          <w:p w14:paraId="6866245E" w14:textId="1EEC7586" w:rsidR="008E5242" w:rsidRPr="00E12ECA" w:rsidRDefault="008E5242" w:rsidP="008E5242">
            <w:pPr>
              <w:rPr>
                <w:rFonts w:cs="Arial"/>
                <w:b/>
              </w:rPr>
            </w:pPr>
            <w:r w:rsidRPr="00530475">
              <w:rPr>
                <w:rFonts w:cs="Arial"/>
                <w:b/>
              </w:rPr>
              <w:t>Oversight of Specific Setting Changes</w:t>
            </w:r>
          </w:p>
        </w:tc>
        <w:tc>
          <w:tcPr>
            <w:tcW w:w="3757" w:type="dxa"/>
          </w:tcPr>
          <w:p w14:paraId="318E1752" w14:textId="3963D9CA" w:rsidR="008E5242" w:rsidRDefault="008E5242" w:rsidP="008E5242">
            <w:pPr>
              <w:spacing w:after="120"/>
              <w:rPr>
                <w:rFonts w:cs="Arial"/>
              </w:rPr>
            </w:pPr>
            <w:r w:rsidRPr="00530475">
              <w:rPr>
                <w:rFonts w:cs="Arial"/>
              </w:rPr>
              <w:t>Develop specific mechanism to monitor progress toward system-wide milestones (Residential settings)</w:t>
            </w:r>
            <w:r>
              <w:rPr>
                <w:rFonts w:cs="Arial"/>
              </w:rPr>
              <w:t xml:space="preserve"> </w:t>
            </w:r>
          </w:p>
        </w:tc>
        <w:tc>
          <w:tcPr>
            <w:tcW w:w="2227" w:type="dxa"/>
          </w:tcPr>
          <w:p w14:paraId="33217138" w14:textId="46A6EFCD" w:rsidR="008E5242" w:rsidRDefault="008E5242" w:rsidP="008E5242">
            <w:pPr>
              <w:jc w:val="center"/>
              <w:rPr>
                <w:rFonts w:cs="Arial"/>
              </w:rPr>
            </w:pPr>
            <w:r>
              <w:rPr>
                <w:rFonts w:cs="Arial"/>
              </w:rPr>
              <w:t>December 2015</w:t>
            </w:r>
          </w:p>
        </w:tc>
        <w:tc>
          <w:tcPr>
            <w:tcW w:w="2178" w:type="dxa"/>
          </w:tcPr>
          <w:p w14:paraId="25012F50" w14:textId="0D4A6803" w:rsidR="008E5242" w:rsidRDefault="008E5242" w:rsidP="008E5242">
            <w:pPr>
              <w:rPr>
                <w:rFonts w:cs="Arial"/>
              </w:rPr>
            </w:pPr>
            <w:r>
              <w:rPr>
                <w:rFonts w:cs="Arial"/>
              </w:rPr>
              <w:t>Complete</w:t>
            </w:r>
          </w:p>
        </w:tc>
      </w:tr>
      <w:tr w:rsidR="008E5242" w:rsidRPr="00660BEA" w14:paraId="1680987B" w14:textId="77777777" w:rsidTr="000730BD">
        <w:tc>
          <w:tcPr>
            <w:tcW w:w="2484" w:type="dxa"/>
          </w:tcPr>
          <w:p w14:paraId="46A8BEAF" w14:textId="7495E738" w:rsidR="008E5242" w:rsidRPr="00E12ECA" w:rsidRDefault="008E5242" w:rsidP="008E5242">
            <w:pPr>
              <w:rPr>
                <w:rFonts w:cs="Arial"/>
                <w:b/>
              </w:rPr>
            </w:pPr>
            <w:r w:rsidRPr="00530475">
              <w:rPr>
                <w:rFonts w:cs="Arial"/>
                <w:b/>
              </w:rPr>
              <w:t>Oversight of Specific Setting Changes</w:t>
            </w:r>
          </w:p>
        </w:tc>
        <w:tc>
          <w:tcPr>
            <w:tcW w:w="3757" w:type="dxa"/>
          </w:tcPr>
          <w:p w14:paraId="52A8246D" w14:textId="197936BE" w:rsidR="008E5242" w:rsidRDefault="008E5242" w:rsidP="008E5242">
            <w:pPr>
              <w:spacing w:after="120"/>
              <w:rPr>
                <w:rFonts w:cs="Arial"/>
              </w:rPr>
            </w:pPr>
            <w:r>
              <w:rPr>
                <w:rFonts w:cs="Arial"/>
              </w:rPr>
              <w:t>Review Year 1 quarterly milestones within setting-specific transition plans (Residential settings)</w:t>
            </w:r>
          </w:p>
        </w:tc>
        <w:tc>
          <w:tcPr>
            <w:tcW w:w="2227" w:type="dxa"/>
          </w:tcPr>
          <w:p w14:paraId="178A562C" w14:textId="7A84FB13" w:rsidR="008E5242" w:rsidRDefault="008E5242" w:rsidP="008E5242">
            <w:pPr>
              <w:jc w:val="center"/>
              <w:rPr>
                <w:rFonts w:cs="Arial"/>
              </w:rPr>
            </w:pPr>
            <w:r>
              <w:rPr>
                <w:rFonts w:cs="Arial"/>
              </w:rPr>
              <w:t>December 2016</w:t>
            </w:r>
          </w:p>
        </w:tc>
        <w:tc>
          <w:tcPr>
            <w:tcW w:w="2178" w:type="dxa"/>
          </w:tcPr>
          <w:p w14:paraId="31189107" w14:textId="5AA10CC0" w:rsidR="008E5242" w:rsidRDefault="008E5242" w:rsidP="008E5242">
            <w:pPr>
              <w:rPr>
                <w:rFonts w:cs="Arial"/>
              </w:rPr>
            </w:pPr>
            <w:r>
              <w:rPr>
                <w:rFonts w:cs="Arial"/>
              </w:rPr>
              <w:t>Complete</w:t>
            </w:r>
          </w:p>
        </w:tc>
      </w:tr>
      <w:tr w:rsidR="008E5242" w:rsidRPr="00660BEA" w14:paraId="5511353D" w14:textId="77777777" w:rsidTr="000730BD">
        <w:tc>
          <w:tcPr>
            <w:tcW w:w="2484" w:type="dxa"/>
          </w:tcPr>
          <w:p w14:paraId="39B191C0" w14:textId="5680B762" w:rsidR="008E5242" w:rsidRPr="00E12ECA" w:rsidRDefault="008E5242" w:rsidP="008E5242">
            <w:pPr>
              <w:rPr>
                <w:rFonts w:cs="Arial"/>
                <w:b/>
              </w:rPr>
            </w:pPr>
            <w:r w:rsidRPr="00530475">
              <w:rPr>
                <w:rFonts w:cs="Arial"/>
                <w:b/>
              </w:rPr>
              <w:t>Oversight of Specific Setting Changes</w:t>
            </w:r>
          </w:p>
        </w:tc>
        <w:tc>
          <w:tcPr>
            <w:tcW w:w="3757" w:type="dxa"/>
          </w:tcPr>
          <w:p w14:paraId="6C3147B7" w14:textId="7C6D392B" w:rsidR="008E5242" w:rsidRDefault="008E5242" w:rsidP="008E5242">
            <w:pPr>
              <w:spacing w:after="120"/>
              <w:rPr>
                <w:rFonts w:cs="Arial"/>
              </w:rPr>
            </w:pPr>
            <w:r>
              <w:rPr>
                <w:rFonts w:cs="Arial"/>
              </w:rPr>
              <w:t>25% of milestones across statewide system are met</w:t>
            </w:r>
          </w:p>
        </w:tc>
        <w:tc>
          <w:tcPr>
            <w:tcW w:w="2227" w:type="dxa"/>
          </w:tcPr>
          <w:p w14:paraId="399936EF" w14:textId="6F72FD89" w:rsidR="008E5242" w:rsidRDefault="008E5242" w:rsidP="008E5242">
            <w:pPr>
              <w:jc w:val="center"/>
              <w:rPr>
                <w:rFonts w:cs="Arial"/>
              </w:rPr>
            </w:pPr>
            <w:r>
              <w:rPr>
                <w:rFonts w:cs="Arial"/>
              </w:rPr>
              <w:t>June 2017</w:t>
            </w:r>
          </w:p>
        </w:tc>
        <w:tc>
          <w:tcPr>
            <w:tcW w:w="2178" w:type="dxa"/>
          </w:tcPr>
          <w:p w14:paraId="45DD479D" w14:textId="29755E2B" w:rsidR="008E5242" w:rsidRDefault="008E5242" w:rsidP="008E5242">
            <w:pPr>
              <w:rPr>
                <w:rFonts w:cs="Arial"/>
              </w:rPr>
            </w:pPr>
            <w:r>
              <w:rPr>
                <w:rFonts w:cs="Arial"/>
              </w:rPr>
              <w:t>Complete</w:t>
            </w:r>
          </w:p>
        </w:tc>
      </w:tr>
      <w:tr w:rsidR="008E5242" w:rsidRPr="00660BEA" w14:paraId="0CB5B7AC" w14:textId="77777777" w:rsidTr="000730BD">
        <w:tc>
          <w:tcPr>
            <w:tcW w:w="2484" w:type="dxa"/>
          </w:tcPr>
          <w:p w14:paraId="7818A61B" w14:textId="529B350E" w:rsidR="008E5242" w:rsidRDefault="008E5242" w:rsidP="008E5242">
            <w:pPr>
              <w:rPr>
                <w:rFonts w:cs="Arial"/>
                <w:b/>
              </w:rPr>
            </w:pPr>
            <w:r w:rsidRPr="00530475">
              <w:rPr>
                <w:rFonts w:cs="Arial"/>
                <w:b/>
              </w:rPr>
              <w:t>Oversight of Specific Setting Changes</w:t>
            </w:r>
          </w:p>
        </w:tc>
        <w:tc>
          <w:tcPr>
            <w:tcW w:w="3757" w:type="dxa"/>
          </w:tcPr>
          <w:p w14:paraId="64A954D7" w14:textId="3E0B4C95" w:rsidR="008E5242" w:rsidRPr="00530475" w:rsidRDefault="008E5242" w:rsidP="008E5242">
            <w:pPr>
              <w:rPr>
                <w:rFonts w:cs="Arial"/>
              </w:rPr>
            </w:pPr>
            <w:r w:rsidRPr="00530475">
              <w:rPr>
                <w:rFonts w:cs="Arial"/>
              </w:rPr>
              <w:t>Review Year 2 quarterly milestones within setting-specific transition plans</w:t>
            </w:r>
          </w:p>
        </w:tc>
        <w:tc>
          <w:tcPr>
            <w:tcW w:w="2227" w:type="dxa"/>
          </w:tcPr>
          <w:p w14:paraId="4F289FAF" w14:textId="2DCE9FF2" w:rsidR="008E5242" w:rsidRDefault="008E5242" w:rsidP="008E5242">
            <w:pPr>
              <w:jc w:val="center"/>
              <w:rPr>
                <w:rFonts w:cs="Arial"/>
              </w:rPr>
            </w:pPr>
            <w:r>
              <w:rPr>
                <w:rFonts w:cs="Arial"/>
              </w:rPr>
              <w:t>December 2017</w:t>
            </w:r>
          </w:p>
        </w:tc>
        <w:tc>
          <w:tcPr>
            <w:tcW w:w="2178" w:type="dxa"/>
          </w:tcPr>
          <w:p w14:paraId="6482E5C6" w14:textId="237FB8AE" w:rsidR="008E5242" w:rsidRDefault="008E5242" w:rsidP="008E5242">
            <w:pPr>
              <w:rPr>
                <w:rFonts w:cs="Arial"/>
              </w:rPr>
            </w:pPr>
            <w:r>
              <w:rPr>
                <w:rFonts w:cs="Arial"/>
              </w:rPr>
              <w:t>Complete</w:t>
            </w:r>
          </w:p>
        </w:tc>
      </w:tr>
      <w:tr w:rsidR="008E5242" w:rsidRPr="00660BEA" w14:paraId="34C85D5E" w14:textId="77777777" w:rsidTr="000730BD">
        <w:tc>
          <w:tcPr>
            <w:tcW w:w="2484" w:type="dxa"/>
          </w:tcPr>
          <w:p w14:paraId="081AB766" w14:textId="23EF4B27" w:rsidR="008E5242" w:rsidRDefault="008E5242" w:rsidP="008E5242">
            <w:pPr>
              <w:rPr>
                <w:rFonts w:cs="Arial"/>
                <w:b/>
              </w:rPr>
            </w:pPr>
            <w:r w:rsidRPr="00BA14C2">
              <w:rPr>
                <w:rFonts w:cs="Arial"/>
                <w:b/>
              </w:rPr>
              <w:t>Oversight of Specific Setting Changes</w:t>
            </w:r>
          </w:p>
        </w:tc>
        <w:tc>
          <w:tcPr>
            <w:tcW w:w="3757" w:type="dxa"/>
          </w:tcPr>
          <w:p w14:paraId="03FA6A46" w14:textId="3F9326CE" w:rsidR="008E5242" w:rsidRPr="00530475" w:rsidRDefault="008E5242" w:rsidP="008E5242">
            <w:pPr>
              <w:rPr>
                <w:rFonts w:cs="Arial"/>
              </w:rPr>
            </w:pPr>
            <w:r w:rsidRPr="00BA14C2">
              <w:rPr>
                <w:rFonts w:cs="Arial"/>
              </w:rPr>
              <w:t>50% of milestones across statewide system are met</w:t>
            </w:r>
          </w:p>
        </w:tc>
        <w:tc>
          <w:tcPr>
            <w:tcW w:w="2227" w:type="dxa"/>
          </w:tcPr>
          <w:p w14:paraId="38CBA4F8" w14:textId="6ADAC720" w:rsidR="008E5242" w:rsidRDefault="008E5242" w:rsidP="008E5242">
            <w:pPr>
              <w:jc w:val="center"/>
              <w:rPr>
                <w:rFonts w:cs="Arial"/>
              </w:rPr>
            </w:pPr>
            <w:r>
              <w:rPr>
                <w:rFonts w:cs="Arial"/>
              </w:rPr>
              <w:t>June 2018</w:t>
            </w:r>
          </w:p>
        </w:tc>
        <w:tc>
          <w:tcPr>
            <w:tcW w:w="2178" w:type="dxa"/>
          </w:tcPr>
          <w:p w14:paraId="77849801" w14:textId="66160A03" w:rsidR="008E5242" w:rsidRDefault="008E5242" w:rsidP="008E5242">
            <w:pPr>
              <w:rPr>
                <w:rFonts w:cs="Arial"/>
              </w:rPr>
            </w:pPr>
            <w:r>
              <w:rPr>
                <w:rFonts w:cs="Arial"/>
              </w:rPr>
              <w:t>Complete</w:t>
            </w:r>
          </w:p>
        </w:tc>
      </w:tr>
      <w:tr w:rsidR="008E5242" w:rsidRPr="00660BEA" w14:paraId="37859DEE" w14:textId="77777777" w:rsidTr="000730BD">
        <w:tc>
          <w:tcPr>
            <w:tcW w:w="2484" w:type="dxa"/>
          </w:tcPr>
          <w:p w14:paraId="1AA62BD5" w14:textId="500C3D42" w:rsidR="008E5242" w:rsidRDefault="008E5242" w:rsidP="008E5242">
            <w:pPr>
              <w:rPr>
                <w:rFonts w:cs="Arial"/>
                <w:b/>
              </w:rPr>
            </w:pPr>
            <w:r w:rsidRPr="00BA14C2">
              <w:rPr>
                <w:rFonts w:cs="Arial"/>
                <w:b/>
              </w:rPr>
              <w:t>Oversight of Specific Setting Changes</w:t>
            </w:r>
          </w:p>
        </w:tc>
        <w:tc>
          <w:tcPr>
            <w:tcW w:w="3757" w:type="dxa"/>
          </w:tcPr>
          <w:p w14:paraId="73EC39CE" w14:textId="29CF4FC6" w:rsidR="008E5242" w:rsidRPr="00530475" w:rsidRDefault="008E5242" w:rsidP="008E5242">
            <w:pPr>
              <w:rPr>
                <w:rFonts w:cs="Arial"/>
              </w:rPr>
            </w:pPr>
            <w:r>
              <w:rPr>
                <w:rFonts w:cs="Arial"/>
              </w:rPr>
              <w:t xml:space="preserve">Review Year 3 </w:t>
            </w:r>
            <w:r w:rsidRPr="00BA14C2">
              <w:rPr>
                <w:rFonts w:cs="Arial"/>
              </w:rPr>
              <w:t>quarterly milestones within setting-specific transition plans</w:t>
            </w:r>
          </w:p>
        </w:tc>
        <w:tc>
          <w:tcPr>
            <w:tcW w:w="2227" w:type="dxa"/>
          </w:tcPr>
          <w:p w14:paraId="48729337" w14:textId="0096E672" w:rsidR="008E5242" w:rsidRDefault="008E5242" w:rsidP="008E5242">
            <w:pPr>
              <w:jc w:val="center"/>
              <w:rPr>
                <w:rFonts w:cs="Arial"/>
              </w:rPr>
            </w:pPr>
            <w:r>
              <w:rPr>
                <w:rFonts w:cs="Arial"/>
              </w:rPr>
              <w:t>December 2018</w:t>
            </w:r>
          </w:p>
        </w:tc>
        <w:tc>
          <w:tcPr>
            <w:tcW w:w="2178" w:type="dxa"/>
          </w:tcPr>
          <w:p w14:paraId="6E8676BA" w14:textId="3813523F" w:rsidR="008E5242" w:rsidRDefault="008E5242" w:rsidP="008E5242">
            <w:pPr>
              <w:rPr>
                <w:rFonts w:cs="Arial"/>
              </w:rPr>
            </w:pPr>
            <w:r>
              <w:rPr>
                <w:rFonts w:cs="Arial"/>
              </w:rPr>
              <w:t>Complete</w:t>
            </w:r>
          </w:p>
        </w:tc>
      </w:tr>
      <w:tr w:rsidR="008E5242" w:rsidRPr="00660BEA" w14:paraId="5391787C" w14:textId="77777777" w:rsidTr="000730BD">
        <w:tc>
          <w:tcPr>
            <w:tcW w:w="2484" w:type="dxa"/>
          </w:tcPr>
          <w:p w14:paraId="443FC1DC" w14:textId="27CFA2C3" w:rsidR="008E5242" w:rsidRDefault="008E5242" w:rsidP="008E5242">
            <w:pPr>
              <w:rPr>
                <w:rFonts w:cs="Arial"/>
                <w:b/>
              </w:rPr>
            </w:pPr>
            <w:r w:rsidRPr="00BA14C2">
              <w:rPr>
                <w:rFonts w:cs="Arial"/>
                <w:b/>
              </w:rPr>
              <w:t>Oversight of Specific Setting Changes</w:t>
            </w:r>
          </w:p>
        </w:tc>
        <w:tc>
          <w:tcPr>
            <w:tcW w:w="3757" w:type="dxa"/>
          </w:tcPr>
          <w:p w14:paraId="5CFCDB34" w14:textId="30311D13" w:rsidR="008E5242" w:rsidRPr="00530475" w:rsidRDefault="008E5242" w:rsidP="008E5242">
            <w:pPr>
              <w:rPr>
                <w:rFonts w:cs="Arial"/>
              </w:rPr>
            </w:pPr>
            <w:r w:rsidRPr="00BA14C2">
              <w:rPr>
                <w:rFonts w:cs="Arial"/>
              </w:rPr>
              <w:t xml:space="preserve">Review list of identified providers in accordance with new CMS </w:t>
            </w:r>
            <w:r w:rsidRPr="00BA14C2">
              <w:rPr>
                <w:rFonts w:cs="Arial"/>
              </w:rPr>
              <w:lastRenderedPageBreak/>
              <w:t>guidance and licensure and certification data and determine providers in compliance</w:t>
            </w:r>
          </w:p>
        </w:tc>
        <w:tc>
          <w:tcPr>
            <w:tcW w:w="2227" w:type="dxa"/>
          </w:tcPr>
          <w:p w14:paraId="6B724243" w14:textId="63A3CD5B" w:rsidR="008E5242" w:rsidRDefault="008E5242" w:rsidP="008E5242">
            <w:pPr>
              <w:jc w:val="center"/>
              <w:rPr>
                <w:rFonts w:cs="Arial"/>
              </w:rPr>
            </w:pPr>
            <w:r>
              <w:rPr>
                <w:rFonts w:cs="Arial"/>
              </w:rPr>
              <w:lastRenderedPageBreak/>
              <w:t>June 2019</w:t>
            </w:r>
          </w:p>
        </w:tc>
        <w:tc>
          <w:tcPr>
            <w:tcW w:w="2178" w:type="dxa"/>
          </w:tcPr>
          <w:p w14:paraId="19650585" w14:textId="1E0A16F2" w:rsidR="008E5242" w:rsidRDefault="008E5242" w:rsidP="008E5242">
            <w:pPr>
              <w:rPr>
                <w:rFonts w:cs="Arial"/>
              </w:rPr>
            </w:pPr>
            <w:r>
              <w:rPr>
                <w:rFonts w:cs="Arial"/>
              </w:rPr>
              <w:t>Complete</w:t>
            </w:r>
          </w:p>
        </w:tc>
      </w:tr>
      <w:tr w:rsidR="008E5242" w:rsidRPr="00660BEA" w14:paraId="6315F5C3" w14:textId="77777777" w:rsidTr="000730BD">
        <w:tc>
          <w:tcPr>
            <w:tcW w:w="2484" w:type="dxa"/>
          </w:tcPr>
          <w:p w14:paraId="5DE290E8" w14:textId="041EF133" w:rsidR="008E5242" w:rsidRDefault="008E5242" w:rsidP="008E5242">
            <w:pPr>
              <w:rPr>
                <w:rFonts w:cs="Arial"/>
                <w:b/>
              </w:rPr>
            </w:pPr>
            <w:r w:rsidRPr="00BA14C2">
              <w:rPr>
                <w:rFonts w:cs="Arial"/>
                <w:b/>
              </w:rPr>
              <w:t>Oversight of Specific Setting Changes</w:t>
            </w:r>
          </w:p>
        </w:tc>
        <w:tc>
          <w:tcPr>
            <w:tcW w:w="3757" w:type="dxa"/>
          </w:tcPr>
          <w:p w14:paraId="57DDF264" w14:textId="0C686483" w:rsidR="008E5242" w:rsidRPr="00530475" w:rsidRDefault="008E5242" w:rsidP="008E5242">
            <w:pPr>
              <w:rPr>
                <w:rFonts w:cs="Arial"/>
              </w:rPr>
            </w:pPr>
            <w:r w:rsidRPr="00BA14C2">
              <w:rPr>
                <w:rFonts w:cs="Arial"/>
              </w:rPr>
              <w:t xml:space="preserve">Work with any identified provider on compliance and then complete onsite verification/evidence package to be submitted to CMS for review.  </w:t>
            </w:r>
          </w:p>
        </w:tc>
        <w:tc>
          <w:tcPr>
            <w:tcW w:w="2227" w:type="dxa"/>
          </w:tcPr>
          <w:p w14:paraId="2B803EA9" w14:textId="77777777" w:rsidR="008E5242" w:rsidRPr="00BA14C2" w:rsidRDefault="008E5242" w:rsidP="008E5242">
            <w:pPr>
              <w:jc w:val="center"/>
              <w:rPr>
                <w:rFonts w:cs="Arial"/>
              </w:rPr>
            </w:pPr>
            <w:r w:rsidRPr="00BA14C2">
              <w:rPr>
                <w:rFonts w:cs="Arial"/>
              </w:rPr>
              <w:t xml:space="preserve">Beginning in </w:t>
            </w:r>
            <w:proofErr w:type="gramStart"/>
            <w:r w:rsidRPr="00BA14C2">
              <w:rPr>
                <w:rFonts w:cs="Arial"/>
              </w:rPr>
              <w:t>2019;</w:t>
            </w:r>
            <w:proofErr w:type="gramEnd"/>
          </w:p>
          <w:p w14:paraId="78A8C58F" w14:textId="08BADF55" w:rsidR="008E5242" w:rsidRDefault="008E5242" w:rsidP="008E5242">
            <w:pPr>
              <w:jc w:val="center"/>
              <w:rPr>
                <w:rFonts w:cs="Arial"/>
              </w:rPr>
            </w:pPr>
            <w:r w:rsidRPr="00BA14C2">
              <w:rPr>
                <w:rFonts w:cs="Arial"/>
              </w:rPr>
              <w:t xml:space="preserve">complete by </w:t>
            </w:r>
            <w:r w:rsidR="00A21BE9">
              <w:rPr>
                <w:rFonts w:cs="Arial"/>
              </w:rPr>
              <w:t>December 2022</w:t>
            </w:r>
          </w:p>
        </w:tc>
        <w:tc>
          <w:tcPr>
            <w:tcW w:w="2178" w:type="dxa"/>
          </w:tcPr>
          <w:p w14:paraId="7DAFF9FA" w14:textId="1B3DF8CF" w:rsidR="008E5242" w:rsidRDefault="008E5242" w:rsidP="008E5242">
            <w:pPr>
              <w:rPr>
                <w:rFonts w:cs="Arial"/>
              </w:rPr>
            </w:pPr>
            <w:r w:rsidRPr="628C881F">
              <w:rPr>
                <w:rFonts w:cs="Arial"/>
              </w:rPr>
              <w:t>As providers complete implementation of plans, DDS will verify</w:t>
            </w:r>
          </w:p>
        </w:tc>
      </w:tr>
      <w:tr w:rsidR="008E5242" w:rsidRPr="00660BEA" w14:paraId="60B2DF34" w14:textId="77777777" w:rsidTr="000730BD">
        <w:tc>
          <w:tcPr>
            <w:tcW w:w="2484" w:type="dxa"/>
          </w:tcPr>
          <w:p w14:paraId="6E9EAFC3" w14:textId="742C74FE" w:rsidR="008E5242" w:rsidRDefault="008E5242" w:rsidP="008E5242">
            <w:pPr>
              <w:rPr>
                <w:rFonts w:cs="Arial"/>
                <w:b/>
              </w:rPr>
            </w:pPr>
            <w:r w:rsidRPr="00BA14C2">
              <w:rPr>
                <w:rFonts w:cs="Arial"/>
                <w:b/>
              </w:rPr>
              <w:t>Oversight of Specific Setting Changes</w:t>
            </w:r>
          </w:p>
        </w:tc>
        <w:tc>
          <w:tcPr>
            <w:tcW w:w="3757" w:type="dxa"/>
          </w:tcPr>
          <w:p w14:paraId="58C9CBD1" w14:textId="226CE436" w:rsidR="008E5242" w:rsidRPr="00530475" w:rsidRDefault="008E5242" w:rsidP="008E5242">
            <w:pPr>
              <w:rPr>
                <w:rFonts w:cs="Arial"/>
              </w:rPr>
            </w:pPr>
            <w:r w:rsidRPr="00BA14C2">
              <w:rPr>
                <w:rFonts w:cs="Arial"/>
              </w:rPr>
              <w:t>Full implementation of compliance across all group employment settings</w:t>
            </w:r>
          </w:p>
        </w:tc>
        <w:tc>
          <w:tcPr>
            <w:tcW w:w="2227" w:type="dxa"/>
          </w:tcPr>
          <w:p w14:paraId="509CF40E" w14:textId="19B11BF9" w:rsidR="008E5242" w:rsidRDefault="008E5242" w:rsidP="008E5242">
            <w:pPr>
              <w:jc w:val="center"/>
              <w:rPr>
                <w:rFonts w:cs="Arial"/>
              </w:rPr>
            </w:pPr>
            <w:r>
              <w:rPr>
                <w:rFonts w:cs="Arial"/>
              </w:rPr>
              <w:t>February 2022</w:t>
            </w:r>
          </w:p>
        </w:tc>
        <w:tc>
          <w:tcPr>
            <w:tcW w:w="2178" w:type="dxa"/>
          </w:tcPr>
          <w:p w14:paraId="304BA2D7" w14:textId="509C8D0D" w:rsidR="008E5242" w:rsidRDefault="008E5242" w:rsidP="008E5242">
            <w:pPr>
              <w:rPr>
                <w:rFonts w:cs="Arial"/>
              </w:rPr>
            </w:pPr>
            <w:r w:rsidRPr="628C881F">
              <w:rPr>
                <w:rFonts w:cs="Arial"/>
              </w:rPr>
              <w:t>Compliance verified using enhanced licensure and certification tool</w:t>
            </w:r>
            <w:r>
              <w:rPr>
                <w:rFonts w:cs="Arial"/>
              </w:rPr>
              <w:t xml:space="preserve">. Full compliance has been confirmed and is ongoing. </w:t>
            </w:r>
          </w:p>
        </w:tc>
      </w:tr>
      <w:tr w:rsidR="008E5242" w:rsidRPr="00660BEA" w14:paraId="3A9A3B7E" w14:textId="77777777" w:rsidTr="000730BD">
        <w:tc>
          <w:tcPr>
            <w:tcW w:w="2484" w:type="dxa"/>
          </w:tcPr>
          <w:p w14:paraId="2A99DC32" w14:textId="48F62E6F" w:rsidR="008E5242" w:rsidRPr="009B6B24" w:rsidRDefault="008E5242" w:rsidP="008E5242">
            <w:pPr>
              <w:rPr>
                <w:rFonts w:cs="Arial"/>
                <w:b/>
              </w:rPr>
            </w:pPr>
            <w:r w:rsidRPr="002D5510">
              <w:rPr>
                <w:rFonts w:cs="Arial"/>
                <w:b/>
              </w:rPr>
              <w:t>Oversight of Specific Setting Changes</w:t>
            </w:r>
          </w:p>
        </w:tc>
        <w:tc>
          <w:tcPr>
            <w:tcW w:w="3757" w:type="dxa"/>
          </w:tcPr>
          <w:p w14:paraId="6BA133BE" w14:textId="179960B5" w:rsidR="008E5242" w:rsidRPr="00660BEA" w:rsidRDefault="008E5242" w:rsidP="008E5242">
            <w:pPr>
              <w:rPr>
                <w:rFonts w:cs="Arial"/>
              </w:rPr>
            </w:pPr>
            <w:r>
              <w:rPr>
                <w:rFonts w:cs="Arial"/>
              </w:rPr>
              <w:t xml:space="preserve">Full implementation of CBDS compliance </w:t>
            </w:r>
          </w:p>
        </w:tc>
        <w:tc>
          <w:tcPr>
            <w:tcW w:w="2227" w:type="dxa"/>
          </w:tcPr>
          <w:p w14:paraId="224AE81A" w14:textId="3A8AD45B" w:rsidR="008E5242" w:rsidRPr="00660BEA" w:rsidRDefault="008E5242" w:rsidP="008E5242">
            <w:pPr>
              <w:jc w:val="center"/>
              <w:rPr>
                <w:rFonts w:cs="Arial"/>
              </w:rPr>
            </w:pPr>
            <w:r>
              <w:rPr>
                <w:rFonts w:cs="Arial"/>
              </w:rPr>
              <w:t>February 2022</w:t>
            </w:r>
          </w:p>
        </w:tc>
        <w:tc>
          <w:tcPr>
            <w:tcW w:w="2178" w:type="dxa"/>
          </w:tcPr>
          <w:p w14:paraId="400B8733" w14:textId="77777777" w:rsidR="008E5242" w:rsidRDefault="008E5242" w:rsidP="008E5242">
            <w:pPr>
              <w:rPr>
                <w:rFonts w:cs="Arial"/>
              </w:rPr>
            </w:pPr>
            <w:r w:rsidRPr="628C881F">
              <w:rPr>
                <w:rFonts w:cs="Arial"/>
              </w:rPr>
              <w:t>Compliance verified using enhanced licensure and certification tool</w:t>
            </w:r>
            <w:r>
              <w:rPr>
                <w:rFonts w:cs="Arial"/>
              </w:rPr>
              <w:t xml:space="preserve">. Full compliance has been confirmed and is ongoing. </w:t>
            </w:r>
          </w:p>
          <w:p w14:paraId="2EB6EC76" w14:textId="6E1BEACC" w:rsidR="009C1875" w:rsidRPr="00660BEA" w:rsidRDefault="009C1875" w:rsidP="008E5242">
            <w:pPr>
              <w:rPr>
                <w:rFonts w:cs="Arial"/>
              </w:rPr>
            </w:pPr>
          </w:p>
        </w:tc>
      </w:tr>
    </w:tbl>
    <w:p w14:paraId="3F0C3DF9" w14:textId="77777777" w:rsidR="00CF4C97" w:rsidRDefault="00CF4C97" w:rsidP="00CF4C97">
      <w:pPr>
        <w:spacing w:after="0"/>
        <w:rPr>
          <w:rFonts w:cs="Arial"/>
          <w:b/>
          <w:spacing w:val="20"/>
          <w:sz w:val="28"/>
          <w:szCs w:val="28"/>
        </w:rPr>
      </w:pPr>
    </w:p>
    <w:p w14:paraId="0F2DE098" w14:textId="43AD4133" w:rsidR="00CF4C97" w:rsidRPr="00144BE9" w:rsidRDefault="00CF4C97" w:rsidP="00144BE9">
      <w:pPr>
        <w:pStyle w:val="Heading3"/>
        <w:rPr>
          <w:sz w:val="26"/>
          <w:szCs w:val="26"/>
        </w:rPr>
      </w:pPr>
      <w:r w:rsidRPr="00144BE9">
        <w:rPr>
          <w:sz w:val="26"/>
          <w:szCs w:val="26"/>
        </w:rPr>
        <w:t>Massachusetts Rehabilitation Commission (MRC)</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CF4C97" w:rsidRPr="00660BEA" w14:paraId="5D800A03" w14:textId="77777777" w:rsidTr="00477F29">
        <w:trPr>
          <w:trHeight w:val="432"/>
          <w:tblHeader/>
        </w:trPr>
        <w:tc>
          <w:tcPr>
            <w:tcW w:w="2484" w:type="dxa"/>
            <w:shd w:val="clear" w:color="auto" w:fill="D9D9D9" w:themeFill="background1" w:themeFillShade="D9"/>
            <w:vAlign w:val="center"/>
          </w:tcPr>
          <w:p w14:paraId="5362D254" w14:textId="77777777" w:rsidR="00CF4C97" w:rsidRPr="00660BEA" w:rsidRDefault="00CF4C97" w:rsidP="00477F29">
            <w:pPr>
              <w:jc w:val="center"/>
              <w:rPr>
                <w:rFonts w:cs="Arial"/>
                <w:b/>
                <w:sz w:val="24"/>
                <w:szCs w:val="24"/>
              </w:rPr>
            </w:pPr>
            <w:r w:rsidRPr="00660BEA">
              <w:rPr>
                <w:rFonts w:cs="Arial"/>
                <w:b/>
                <w:sz w:val="24"/>
                <w:szCs w:val="24"/>
              </w:rPr>
              <w:t>Transition Category</w:t>
            </w:r>
          </w:p>
        </w:tc>
        <w:tc>
          <w:tcPr>
            <w:tcW w:w="3757" w:type="dxa"/>
            <w:shd w:val="clear" w:color="auto" w:fill="D9D9D9" w:themeFill="background1" w:themeFillShade="D9"/>
            <w:vAlign w:val="center"/>
          </w:tcPr>
          <w:p w14:paraId="112BBB55" w14:textId="77777777" w:rsidR="00CF4C97" w:rsidRPr="00660BEA" w:rsidRDefault="00CF4C97" w:rsidP="00477F29">
            <w:pPr>
              <w:jc w:val="center"/>
              <w:rPr>
                <w:rFonts w:cs="Arial"/>
                <w:b/>
                <w:sz w:val="24"/>
                <w:szCs w:val="24"/>
              </w:rPr>
            </w:pPr>
            <w:r w:rsidRPr="00660BEA">
              <w:rPr>
                <w:rFonts w:cs="Arial"/>
                <w:b/>
                <w:sz w:val="24"/>
                <w:szCs w:val="24"/>
              </w:rPr>
              <w:t>Specific Task</w:t>
            </w:r>
          </w:p>
        </w:tc>
        <w:tc>
          <w:tcPr>
            <w:tcW w:w="2227" w:type="dxa"/>
            <w:shd w:val="clear" w:color="auto" w:fill="D9D9D9" w:themeFill="background1" w:themeFillShade="D9"/>
            <w:vAlign w:val="center"/>
          </w:tcPr>
          <w:p w14:paraId="55BE650C" w14:textId="77777777" w:rsidR="00CF4C97" w:rsidRPr="00660BEA" w:rsidRDefault="00CF4C97" w:rsidP="00477F29">
            <w:pPr>
              <w:jc w:val="center"/>
              <w:rPr>
                <w:rFonts w:cs="Arial"/>
                <w:b/>
                <w:sz w:val="24"/>
                <w:szCs w:val="24"/>
              </w:rPr>
            </w:pPr>
            <w:r w:rsidRPr="00660BEA">
              <w:rPr>
                <w:rFonts w:cs="Arial"/>
                <w:b/>
                <w:sz w:val="24"/>
                <w:szCs w:val="24"/>
              </w:rPr>
              <w:t>Timeframe</w:t>
            </w:r>
          </w:p>
        </w:tc>
        <w:tc>
          <w:tcPr>
            <w:tcW w:w="2178" w:type="dxa"/>
            <w:shd w:val="clear" w:color="auto" w:fill="D9D9D9" w:themeFill="background1" w:themeFillShade="D9"/>
            <w:vAlign w:val="center"/>
          </w:tcPr>
          <w:p w14:paraId="04376DE8" w14:textId="77777777" w:rsidR="00CF4C97" w:rsidRPr="00660BEA" w:rsidRDefault="00CF4C97" w:rsidP="00477F29">
            <w:pPr>
              <w:jc w:val="center"/>
              <w:rPr>
                <w:rFonts w:cs="Arial"/>
                <w:b/>
                <w:sz w:val="24"/>
                <w:szCs w:val="24"/>
              </w:rPr>
            </w:pPr>
            <w:r w:rsidRPr="00660BEA">
              <w:rPr>
                <w:rFonts w:cs="Arial"/>
                <w:b/>
                <w:sz w:val="24"/>
                <w:szCs w:val="24"/>
              </w:rPr>
              <w:t>Comments</w:t>
            </w:r>
          </w:p>
        </w:tc>
      </w:tr>
      <w:tr w:rsidR="008E5242" w:rsidRPr="00660BEA" w14:paraId="6599F4AF" w14:textId="77777777" w:rsidTr="000730BD">
        <w:tc>
          <w:tcPr>
            <w:tcW w:w="2484" w:type="dxa"/>
          </w:tcPr>
          <w:p w14:paraId="017C9845" w14:textId="413E3370" w:rsidR="008E5242" w:rsidRPr="00E12ECA" w:rsidRDefault="008E5242" w:rsidP="008E5242">
            <w:pPr>
              <w:rPr>
                <w:rFonts w:cs="Arial"/>
                <w:b/>
              </w:rPr>
            </w:pPr>
            <w:r w:rsidRPr="00BA14C2">
              <w:rPr>
                <w:rFonts w:cs="Arial"/>
                <w:b/>
              </w:rPr>
              <w:t>Systemic Changes</w:t>
            </w:r>
          </w:p>
        </w:tc>
        <w:tc>
          <w:tcPr>
            <w:tcW w:w="3757" w:type="dxa"/>
          </w:tcPr>
          <w:p w14:paraId="23EA33DC" w14:textId="47792474" w:rsidR="008E5242" w:rsidRDefault="008E5242" w:rsidP="008E5242">
            <w:pPr>
              <w:rPr>
                <w:rFonts w:cs="Arial"/>
              </w:rPr>
            </w:pPr>
            <w:r w:rsidRPr="00BA14C2">
              <w:rPr>
                <w:rFonts w:cs="Arial"/>
              </w:rPr>
              <w:t>Policy workgroup reviews Policies and Procedures and incorporates stakeholder feedback</w:t>
            </w:r>
          </w:p>
        </w:tc>
        <w:tc>
          <w:tcPr>
            <w:tcW w:w="2227" w:type="dxa"/>
          </w:tcPr>
          <w:p w14:paraId="6AD43984" w14:textId="0D785DB2" w:rsidR="008E5242" w:rsidRDefault="008E5242" w:rsidP="008E5242">
            <w:pPr>
              <w:jc w:val="center"/>
              <w:rPr>
                <w:rFonts w:cs="Arial"/>
              </w:rPr>
            </w:pPr>
            <w:r>
              <w:rPr>
                <w:rFonts w:cs="Arial"/>
              </w:rPr>
              <w:t>March 2015</w:t>
            </w:r>
          </w:p>
        </w:tc>
        <w:tc>
          <w:tcPr>
            <w:tcW w:w="2178" w:type="dxa"/>
          </w:tcPr>
          <w:p w14:paraId="6AAF63F1" w14:textId="5DAF2A30" w:rsidR="008E5242" w:rsidRDefault="008E5242" w:rsidP="008E5242">
            <w:pPr>
              <w:rPr>
                <w:rFonts w:cs="Arial"/>
              </w:rPr>
            </w:pPr>
            <w:r>
              <w:rPr>
                <w:rFonts w:cs="Arial"/>
              </w:rPr>
              <w:t>Complete</w:t>
            </w:r>
          </w:p>
        </w:tc>
      </w:tr>
      <w:tr w:rsidR="008E5242" w:rsidRPr="00660BEA" w14:paraId="75ECE56C" w14:textId="77777777" w:rsidTr="000730BD">
        <w:tc>
          <w:tcPr>
            <w:tcW w:w="2484" w:type="dxa"/>
          </w:tcPr>
          <w:p w14:paraId="71862A70" w14:textId="46D07351" w:rsidR="008E5242" w:rsidRPr="00E12ECA" w:rsidRDefault="008E5242" w:rsidP="008E5242">
            <w:pPr>
              <w:rPr>
                <w:rFonts w:cs="Arial"/>
                <w:b/>
              </w:rPr>
            </w:pPr>
            <w:r w:rsidRPr="00BA14C2">
              <w:rPr>
                <w:rFonts w:cs="Arial"/>
                <w:b/>
              </w:rPr>
              <w:t>Systemic Changes</w:t>
            </w:r>
          </w:p>
        </w:tc>
        <w:tc>
          <w:tcPr>
            <w:tcW w:w="3757" w:type="dxa"/>
          </w:tcPr>
          <w:p w14:paraId="4316F47D" w14:textId="0DE32924" w:rsidR="008E5242" w:rsidRDefault="008E5242" w:rsidP="008E5242">
            <w:pPr>
              <w:rPr>
                <w:rFonts w:cs="Arial"/>
              </w:rPr>
            </w:pPr>
            <w:r w:rsidRPr="00BA14C2">
              <w:rPr>
                <w:rFonts w:cs="Arial"/>
              </w:rPr>
              <w:t>MRC staff trained in 10 key revised policies</w:t>
            </w:r>
          </w:p>
        </w:tc>
        <w:tc>
          <w:tcPr>
            <w:tcW w:w="2227" w:type="dxa"/>
          </w:tcPr>
          <w:p w14:paraId="62AE252B" w14:textId="5EADFBC1" w:rsidR="008E5242" w:rsidRDefault="008E5242" w:rsidP="008E5242">
            <w:pPr>
              <w:jc w:val="center"/>
              <w:rPr>
                <w:rFonts w:cs="Arial"/>
              </w:rPr>
            </w:pPr>
            <w:r>
              <w:rPr>
                <w:rFonts w:cs="Arial"/>
              </w:rPr>
              <w:t>April 2015</w:t>
            </w:r>
          </w:p>
        </w:tc>
        <w:tc>
          <w:tcPr>
            <w:tcW w:w="2178" w:type="dxa"/>
          </w:tcPr>
          <w:p w14:paraId="4DD4C095" w14:textId="53A0055C" w:rsidR="008E5242" w:rsidRDefault="008E5242" w:rsidP="008E5242">
            <w:pPr>
              <w:rPr>
                <w:rFonts w:cs="Arial"/>
              </w:rPr>
            </w:pPr>
            <w:r>
              <w:rPr>
                <w:rFonts w:cs="Arial"/>
              </w:rPr>
              <w:t>Complete</w:t>
            </w:r>
          </w:p>
        </w:tc>
      </w:tr>
      <w:tr w:rsidR="008E5242" w:rsidRPr="00660BEA" w14:paraId="23CA2E0C" w14:textId="77777777" w:rsidTr="000730BD">
        <w:tc>
          <w:tcPr>
            <w:tcW w:w="2484" w:type="dxa"/>
          </w:tcPr>
          <w:p w14:paraId="06A3F9EA" w14:textId="2DBE03FC" w:rsidR="008E5242" w:rsidRPr="00E12ECA" w:rsidRDefault="008E5242" w:rsidP="008E5242">
            <w:pPr>
              <w:rPr>
                <w:rFonts w:cs="Arial"/>
                <w:b/>
              </w:rPr>
            </w:pPr>
            <w:r w:rsidRPr="00BA14C2">
              <w:rPr>
                <w:rFonts w:cs="Arial"/>
                <w:b/>
              </w:rPr>
              <w:t>Systemic Changes</w:t>
            </w:r>
          </w:p>
        </w:tc>
        <w:tc>
          <w:tcPr>
            <w:tcW w:w="3757" w:type="dxa"/>
          </w:tcPr>
          <w:p w14:paraId="5BB734B0" w14:textId="0CF7A5EA" w:rsidR="008E5242" w:rsidRDefault="008E5242" w:rsidP="008E5242">
            <w:pPr>
              <w:rPr>
                <w:rFonts w:cs="Arial"/>
              </w:rPr>
            </w:pPr>
            <w:r w:rsidRPr="00BA14C2">
              <w:rPr>
                <w:rFonts w:cs="Arial"/>
              </w:rPr>
              <w:t>Provider staff trained in 10 key revised policies</w:t>
            </w:r>
          </w:p>
        </w:tc>
        <w:tc>
          <w:tcPr>
            <w:tcW w:w="2227" w:type="dxa"/>
          </w:tcPr>
          <w:p w14:paraId="1E6D23FF" w14:textId="13A4ABAC" w:rsidR="008E5242" w:rsidRDefault="008E5242" w:rsidP="008E5242">
            <w:pPr>
              <w:jc w:val="center"/>
              <w:rPr>
                <w:rFonts w:cs="Arial"/>
              </w:rPr>
            </w:pPr>
            <w:r>
              <w:rPr>
                <w:rFonts w:cs="Arial"/>
              </w:rPr>
              <w:t>June 2015</w:t>
            </w:r>
          </w:p>
        </w:tc>
        <w:tc>
          <w:tcPr>
            <w:tcW w:w="2178" w:type="dxa"/>
          </w:tcPr>
          <w:p w14:paraId="5C0AC23B" w14:textId="2F5A98A9" w:rsidR="008E5242" w:rsidRDefault="008E5242" w:rsidP="008E5242">
            <w:pPr>
              <w:rPr>
                <w:rFonts w:cs="Arial"/>
              </w:rPr>
            </w:pPr>
            <w:r>
              <w:rPr>
                <w:rFonts w:cs="Arial"/>
              </w:rPr>
              <w:t>Complete</w:t>
            </w:r>
          </w:p>
        </w:tc>
      </w:tr>
      <w:tr w:rsidR="008E5242" w:rsidRPr="00660BEA" w14:paraId="0393FED7" w14:textId="77777777" w:rsidTr="000730BD">
        <w:tc>
          <w:tcPr>
            <w:tcW w:w="2484" w:type="dxa"/>
          </w:tcPr>
          <w:p w14:paraId="21AB0747" w14:textId="574025B6" w:rsidR="008E5242" w:rsidRPr="00E12ECA" w:rsidRDefault="008E5242" w:rsidP="008E5242">
            <w:pPr>
              <w:rPr>
                <w:rFonts w:cs="Arial"/>
                <w:b/>
              </w:rPr>
            </w:pPr>
            <w:r w:rsidRPr="00BA14C2">
              <w:rPr>
                <w:rFonts w:cs="Arial"/>
                <w:b/>
              </w:rPr>
              <w:t>Systemic Changes</w:t>
            </w:r>
          </w:p>
        </w:tc>
        <w:tc>
          <w:tcPr>
            <w:tcW w:w="3757" w:type="dxa"/>
          </w:tcPr>
          <w:p w14:paraId="3942FFCB" w14:textId="5A6EDE8D" w:rsidR="008E5242" w:rsidRDefault="008E5242" w:rsidP="008E5242">
            <w:pPr>
              <w:rPr>
                <w:rFonts w:cs="Arial"/>
              </w:rPr>
            </w:pPr>
            <w:r w:rsidRPr="00BA14C2">
              <w:rPr>
                <w:rFonts w:cs="Arial"/>
              </w:rPr>
              <w:t>Develop policy to require locks on bedroom doors</w:t>
            </w:r>
          </w:p>
        </w:tc>
        <w:tc>
          <w:tcPr>
            <w:tcW w:w="2227" w:type="dxa"/>
          </w:tcPr>
          <w:p w14:paraId="5A5BCFC8" w14:textId="1E466DA5" w:rsidR="008E5242" w:rsidRDefault="008E5242" w:rsidP="008E5242">
            <w:pPr>
              <w:jc w:val="center"/>
              <w:rPr>
                <w:rFonts w:cs="Arial"/>
              </w:rPr>
            </w:pPr>
            <w:r>
              <w:rPr>
                <w:rFonts w:cs="Arial"/>
              </w:rPr>
              <w:t>January 2016</w:t>
            </w:r>
          </w:p>
        </w:tc>
        <w:tc>
          <w:tcPr>
            <w:tcW w:w="2178" w:type="dxa"/>
          </w:tcPr>
          <w:p w14:paraId="0F3F1EF9" w14:textId="0EE90FDD" w:rsidR="008E5242" w:rsidRDefault="008E5242" w:rsidP="008E5242">
            <w:pPr>
              <w:rPr>
                <w:rFonts w:cs="Arial"/>
              </w:rPr>
            </w:pPr>
            <w:r>
              <w:rPr>
                <w:rFonts w:cs="Arial"/>
              </w:rPr>
              <w:t>Complete</w:t>
            </w:r>
          </w:p>
        </w:tc>
      </w:tr>
      <w:tr w:rsidR="008E5242" w:rsidRPr="00660BEA" w14:paraId="0C4E4F05" w14:textId="77777777" w:rsidTr="000730BD">
        <w:tc>
          <w:tcPr>
            <w:tcW w:w="2484" w:type="dxa"/>
          </w:tcPr>
          <w:p w14:paraId="63FBF629" w14:textId="56AB464C" w:rsidR="008E5242" w:rsidRPr="00E12ECA" w:rsidRDefault="008E5242" w:rsidP="008E5242">
            <w:pPr>
              <w:rPr>
                <w:rFonts w:cs="Arial"/>
                <w:b/>
              </w:rPr>
            </w:pPr>
            <w:r w:rsidRPr="0035705E">
              <w:rPr>
                <w:rFonts w:cs="Arial"/>
                <w:b/>
              </w:rPr>
              <w:t>Systemic Changes</w:t>
            </w:r>
          </w:p>
        </w:tc>
        <w:tc>
          <w:tcPr>
            <w:tcW w:w="3757" w:type="dxa"/>
          </w:tcPr>
          <w:p w14:paraId="541F7BAE" w14:textId="234F8080" w:rsidR="008E5242" w:rsidRDefault="008E5242" w:rsidP="008E5242">
            <w:pPr>
              <w:rPr>
                <w:rFonts w:cs="Arial"/>
              </w:rPr>
            </w:pPr>
            <w:r w:rsidRPr="0035705E">
              <w:rPr>
                <w:rFonts w:cs="Arial"/>
              </w:rPr>
              <w:t>Update MRC Provider Policy Manual</w:t>
            </w:r>
          </w:p>
        </w:tc>
        <w:tc>
          <w:tcPr>
            <w:tcW w:w="2227" w:type="dxa"/>
          </w:tcPr>
          <w:p w14:paraId="56D8948E" w14:textId="3C01747C" w:rsidR="008E5242" w:rsidRDefault="008E5242" w:rsidP="008E5242">
            <w:pPr>
              <w:jc w:val="center"/>
              <w:rPr>
                <w:rFonts w:cs="Arial"/>
              </w:rPr>
            </w:pPr>
            <w:r>
              <w:rPr>
                <w:rFonts w:cs="Arial"/>
              </w:rPr>
              <w:t>April 2016</w:t>
            </w:r>
          </w:p>
        </w:tc>
        <w:tc>
          <w:tcPr>
            <w:tcW w:w="2178" w:type="dxa"/>
          </w:tcPr>
          <w:p w14:paraId="4DC7FD54" w14:textId="1EDE858D" w:rsidR="008E5242" w:rsidRDefault="008E5242" w:rsidP="008E5242">
            <w:pPr>
              <w:rPr>
                <w:rFonts w:cs="Arial"/>
              </w:rPr>
            </w:pPr>
            <w:r>
              <w:rPr>
                <w:rFonts w:cs="Arial"/>
              </w:rPr>
              <w:t>Complete</w:t>
            </w:r>
          </w:p>
        </w:tc>
      </w:tr>
      <w:tr w:rsidR="008E5242" w:rsidRPr="00660BEA" w14:paraId="722D16CB" w14:textId="77777777" w:rsidTr="000730BD">
        <w:tc>
          <w:tcPr>
            <w:tcW w:w="2484" w:type="dxa"/>
          </w:tcPr>
          <w:p w14:paraId="746DD5D1" w14:textId="20379BDD" w:rsidR="008E5242" w:rsidRPr="00E12ECA" w:rsidRDefault="008E5242" w:rsidP="008E5242">
            <w:pPr>
              <w:rPr>
                <w:rFonts w:cs="Arial"/>
                <w:b/>
              </w:rPr>
            </w:pPr>
            <w:r w:rsidRPr="0035705E">
              <w:rPr>
                <w:rFonts w:cs="Arial"/>
                <w:b/>
              </w:rPr>
              <w:t>Systemic Changes</w:t>
            </w:r>
          </w:p>
        </w:tc>
        <w:tc>
          <w:tcPr>
            <w:tcW w:w="3757" w:type="dxa"/>
          </w:tcPr>
          <w:p w14:paraId="34B0AD5C" w14:textId="4968DBAD" w:rsidR="008E5242" w:rsidRDefault="008E5242" w:rsidP="008E5242">
            <w:pPr>
              <w:rPr>
                <w:rFonts w:cs="Arial"/>
              </w:rPr>
            </w:pPr>
            <w:r w:rsidRPr="0035705E">
              <w:rPr>
                <w:rFonts w:cs="Arial"/>
              </w:rPr>
              <w:t>Train MRC staff on new policies and procedures delineated in the final 2016 MRC Provider Policy Manual</w:t>
            </w:r>
          </w:p>
        </w:tc>
        <w:tc>
          <w:tcPr>
            <w:tcW w:w="2227" w:type="dxa"/>
          </w:tcPr>
          <w:p w14:paraId="78F78027" w14:textId="2CF84104" w:rsidR="008E5242" w:rsidRDefault="008E5242" w:rsidP="008E5242">
            <w:pPr>
              <w:jc w:val="center"/>
              <w:rPr>
                <w:rFonts w:cs="Arial"/>
              </w:rPr>
            </w:pPr>
            <w:r>
              <w:rPr>
                <w:rFonts w:cs="Arial"/>
              </w:rPr>
              <w:t>April 2016</w:t>
            </w:r>
          </w:p>
        </w:tc>
        <w:tc>
          <w:tcPr>
            <w:tcW w:w="2178" w:type="dxa"/>
          </w:tcPr>
          <w:p w14:paraId="49FC6149" w14:textId="4AE3001B" w:rsidR="008E5242" w:rsidRDefault="008E5242" w:rsidP="008E5242">
            <w:pPr>
              <w:rPr>
                <w:rFonts w:cs="Arial"/>
              </w:rPr>
            </w:pPr>
            <w:r>
              <w:rPr>
                <w:rFonts w:cs="Arial"/>
              </w:rPr>
              <w:t>Complete</w:t>
            </w:r>
          </w:p>
        </w:tc>
      </w:tr>
      <w:tr w:rsidR="008E5242" w:rsidRPr="00660BEA" w14:paraId="3818B729" w14:textId="77777777" w:rsidTr="000730BD">
        <w:tc>
          <w:tcPr>
            <w:tcW w:w="2484" w:type="dxa"/>
          </w:tcPr>
          <w:p w14:paraId="6730B8F7" w14:textId="2445DDFD" w:rsidR="008E5242" w:rsidRPr="00E12ECA" w:rsidRDefault="008E5242" w:rsidP="008E5242">
            <w:pPr>
              <w:rPr>
                <w:rFonts w:cs="Arial"/>
                <w:b/>
              </w:rPr>
            </w:pPr>
            <w:r w:rsidRPr="0035705E">
              <w:rPr>
                <w:rFonts w:cs="Arial"/>
                <w:b/>
              </w:rPr>
              <w:t>Systemic Changes</w:t>
            </w:r>
          </w:p>
        </w:tc>
        <w:tc>
          <w:tcPr>
            <w:tcW w:w="3757" w:type="dxa"/>
          </w:tcPr>
          <w:p w14:paraId="5334D8EF" w14:textId="6FD5CD48" w:rsidR="008E5242" w:rsidRDefault="008E5242" w:rsidP="008E5242">
            <w:pPr>
              <w:rPr>
                <w:rFonts w:cs="Arial"/>
              </w:rPr>
            </w:pPr>
            <w:r w:rsidRPr="0035705E">
              <w:rPr>
                <w:rFonts w:cs="Arial"/>
              </w:rPr>
              <w:t>Train providers on new policies and procedures delineated in the final 2016 MRC Provider Policy Manual</w:t>
            </w:r>
          </w:p>
        </w:tc>
        <w:tc>
          <w:tcPr>
            <w:tcW w:w="2227" w:type="dxa"/>
          </w:tcPr>
          <w:p w14:paraId="2D7336AC" w14:textId="7831465B" w:rsidR="008E5242" w:rsidRDefault="008E5242" w:rsidP="008E5242">
            <w:pPr>
              <w:jc w:val="center"/>
              <w:rPr>
                <w:rFonts w:cs="Arial"/>
              </w:rPr>
            </w:pPr>
            <w:r>
              <w:rPr>
                <w:rFonts w:cs="Arial"/>
              </w:rPr>
              <w:t>May 2016</w:t>
            </w:r>
          </w:p>
        </w:tc>
        <w:tc>
          <w:tcPr>
            <w:tcW w:w="2178" w:type="dxa"/>
          </w:tcPr>
          <w:p w14:paraId="380522E7" w14:textId="156503ED" w:rsidR="008E5242" w:rsidRDefault="008E5242" w:rsidP="008E5242">
            <w:pPr>
              <w:rPr>
                <w:rFonts w:cs="Arial"/>
              </w:rPr>
            </w:pPr>
            <w:r>
              <w:rPr>
                <w:rFonts w:cs="Arial"/>
              </w:rPr>
              <w:t>Complete</w:t>
            </w:r>
          </w:p>
        </w:tc>
      </w:tr>
      <w:tr w:rsidR="008E5242" w:rsidRPr="00660BEA" w14:paraId="0A3E33DE" w14:textId="77777777" w:rsidTr="000730BD">
        <w:tc>
          <w:tcPr>
            <w:tcW w:w="2484" w:type="dxa"/>
          </w:tcPr>
          <w:p w14:paraId="16774B3D" w14:textId="3356CCD5" w:rsidR="008E5242" w:rsidRPr="00E12ECA" w:rsidRDefault="008E5242" w:rsidP="008E5242">
            <w:pPr>
              <w:rPr>
                <w:rFonts w:cs="Arial"/>
                <w:b/>
              </w:rPr>
            </w:pPr>
            <w:r w:rsidRPr="0035705E">
              <w:rPr>
                <w:rFonts w:cs="Arial"/>
                <w:b/>
              </w:rPr>
              <w:t>Systemic Changes</w:t>
            </w:r>
          </w:p>
        </w:tc>
        <w:tc>
          <w:tcPr>
            <w:tcW w:w="3757" w:type="dxa"/>
          </w:tcPr>
          <w:p w14:paraId="798E33DB" w14:textId="07B32B77" w:rsidR="008E5242" w:rsidRDefault="008E5242" w:rsidP="008E5242">
            <w:pPr>
              <w:rPr>
                <w:rFonts w:cs="Arial"/>
              </w:rPr>
            </w:pPr>
            <w:r w:rsidRPr="0035705E">
              <w:rPr>
                <w:rFonts w:cs="Arial"/>
              </w:rPr>
              <w:t>Develop guidance for residency agreements</w:t>
            </w:r>
          </w:p>
        </w:tc>
        <w:tc>
          <w:tcPr>
            <w:tcW w:w="2227" w:type="dxa"/>
          </w:tcPr>
          <w:p w14:paraId="5F684A73" w14:textId="7F9723A8" w:rsidR="008E5242" w:rsidRDefault="008E5242" w:rsidP="008E5242">
            <w:pPr>
              <w:jc w:val="center"/>
              <w:rPr>
                <w:rFonts w:cs="Arial"/>
              </w:rPr>
            </w:pPr>
            <w:r>
              <w:rPr>
                <w:rFonts w:cs="Arial"/>
              </w:rPr>
              <w:t>June 2016</w:t>
            </w:r>
          </w:p>
        </w:tc>
        <w:tc>
          <w:tcPr>
            <w:tcW w:w="2178" w:type="dxa"/>
          </w:tcPr>
          <w:p w14:paraId="3EFCFB37" w14:textId="643FE368" w:rsidR="008E5242" w:rsidRDefault="008E5242" w:rsidP="008E5242">
            <w:pPr>
              <w:rPr>
                <w:rFonts w:cs="Arial"/>
              </w:rPr>
            </w:pPr>
            <w:r>
              <w:rPr>
                <w:rFonts w:cs="Arial"/>
              </w:rPr>
              <w:t>Complete</w:t>
            </w:r>
          </w:p>
        </w:tc>
      </w:tr>
      <w:tr w:rsidR="008E5242" w:rsidRPr="00660BEA" w14:paraId="32CC474B" w14:textId="77777777" w:rsidTr="000730BD">
        <w:tc>
          <w:tcPr>
            <w:tcW w:w="2484" w:type="dxa"/>
          </w:tcPr>
          <w:p w14:paraId="7AF276DB" w14:textId="6F3808E6" w:rsidR="008E5242" w:rsidRPr="00E12ECA" w:rsidRDefault="008E5242" w:rsidP="008E5242">
            <w:pPr>
              <w:rPr>
                <w:rFonts w:cs="Arial"/>
                <w:b/>
              </w:rPr>
            </w:pPr>
            <w:r w:rsidRPr="0035705E">
              <w:rPr>
                <w:rFonts w:cs="Arial"/>
                <w:b/>
              </w:rPr>
              <w:t>Systemic Changes</w:t>
            </w:r>
          </w:p>
        </w:tc>
        <w:tc>
          <w:tcPr>
            <w:tcW w:w="3757" w:type="dxa"/>
          </w:tcPr>
          <w:p w14:paraId="42C6B77B" w14:textId="69B67030" w:rsidR="008E5242" w:rsidRDefault="008E5242" w:rsidP="008E5242">
            <w:pPr>
              <w:rPr>
                <w:rFonts w:cs="Arial"/>
              </w:rPr>
            </w:pPr>
            <w:r w:rsidRPr="0035705E">
              <w:rPr>
                <w:rFonts w:cs="Arial"/>
              </w:rPr>
              <w:t>System-wide implementation of locks on bedroom doors</w:t>
            </w:r>
          </w:p>
        </w:tc>
        <w:tc>
          <w:tcPr>
            <w:tcW w:w="2227" w:type="dxa"/>
          </w:tcPr>
          <w:p w14:paraId="5C79B031" w14:textId="16FACC96" w:rsidR="008E5242" w:rsidRDefault="008E5242" w:rsidP="008E5242">
            <w:pPr>
              <w:jc w:val="center"/>
              <w:rPr>
                <w:rFonts w:cs="Arial"/>
              </w:rPr>
            </w:pPr>
            <w:r>
              <w:rPr>
                <w:rFonts w:cs="Arial"/>
              </w:rPr>
              <w:t>September 2016</w:t>
            </w:r>
          </w:p>
        </w:tc>
        <w:tc>
          <w:tcPr>
            <w:tcW w:w="2178" w:type="dxa"/>
          </w:tcPr>
          <w:p w14:paraId="43691EB8" w14:textId="2E876698" w:rsidR="008E5242" w:rsidRDefault="008E5242" w:rsidP="008E5242">
            <w:pPr>
              <w:rPr>
                <w:rFonts w:cs="Arial"/>
              </w:rPr>
            </w:pPr>
            <w:r>
              <w:rPr>
                <w:rFonts w:cs="Arial"/>
              </w:rPr>
              <w:t>Complete</w:t>
            </w:r>
          </w:p>
        </w:tc>
      </w:tr>
      <w:tr w:rsidR="008E5242" w:rsidRPr="00660BEA" w14:paraId="50040CB7" w14:textId="77777777" w:rsidTr="000730BD">
        <w:tc>
          <w:tcPr>
            <w:tcW w:w="2484" w:type="dxa"/>
          </w:tcPr>
          <w:p w14:paraId="75DC6846" w14:textId="2590382B" w:rsidR="008E5242" w:rsidRPr="00E12ECA" w:rsidRDefault="008E5242" w:rsidP="008E5242">
            <w:pPr>
              <w:rPr>
                <w:rFonts w:cs="Arial"/>
                <w:b/>
              </w:rPr>
            </w:pPr>
            <w:r w:rsidRPr="0035705E">
              <w:rPr>
                <w:rFonts w:cs="Arial"/>
                <w:b/>
              </w:rPr>
              <w:lastRenderedPageBreak/>
              <w:t>Systemic Changes</w:t>
            </w:r>
          </w:p>
        </w:tc>
        <w:tc>
          <w:tcPr>
            <w:tcW w:w="3757" w:type="dxa"/>
          </w:tcPr>
          <w:p w14:paraId="23992C29" w14:textId="2DF6040B" w:rsidR="008E5242" w:rsidRDefault="008E5242" w:rsidP="008E5242">
            <w:pPr>
              <w:rPr>
                <w:rFonts w:cs="Arial"/>
              </w:rPr>
            </w:pPr>
            <w:r w:rsidRPr="0035705E">
              <w:rPr>
                <w:rFonts w:cs="Arial"/>
              </w:rPr>
              <w:t>Implementation of requirement of residency agreements for all participants in provider-operated residences</w:t>
            </w:r>
          </w:p>
        </w:tc>
        <w:tc>
          <w:tcPr>
            <w:tcW w:w="2227" w:type="dxa"/>
          </w:tcPr>
          <w:p w14:paraId="463FD592" w14:textId="5205E7FF" w:rsidR="008E5242" w:rsidRDefault="008E5242" w:rsidP="008E5242">
            <w:pPr>
              <w:jc w:val="center"/>
              <w:rPr>
                <w:rFonts w:cs="Arial"/>
              </w:rPr>
            </w:pPr>
            <w:r>
              <w:rPr>
                <w:rFonts w:cs="Arial"/>
              </w:rPr>
              <w:t>June 2017</w:t>
            </w:r>
          </w:p>
        </w:tc>
        <w:tc>
          <w:tcPr>
            <w:tcW w:w="2178" w:type="dxa"/>
          </w:tcPr>
          <w:p w14:paraId="19F1101E" w14:textId="47A1FED9" w:rsidR="008E5242" w:rsidRDefault="008E5242" w:rsidP="008E5242">
            <w:pPr>
              <w:rPr>
                <w:rFonts w:cs="Arial"/>
              </w:rPr>
            </w:pPr>
            <w:r>
              <w:rPr>
                <w:rFonts w:cs="Arial"/>
              </w:rPr>
              <w:t>Complete</w:t>
            </w:r>
          </w:p>
        </w:tc>
      </w:tr>
      <w:tr w:rsidR="008E5242" w:rsidRPr="00660BEA" w14:paraId="225CA7BF" w14:textId="77777777" w:rsidTr="000730BD">
        <w:tc>
          <w:tcPr>
            <w:tcW w:w="2484" w:type="dxa"/>
          </w:tcPr>
          <w:p w14:paraId="121565F0" w14:textId="3C4E963C" w:rsidR="008E5242" w:rsidRPr="00E12ECA" w:rsidRDefault="008E5242" w:rsidP="008E5242">
            <w:pPr>
              <w:rPr>
                <w:rFonts w:cs="Arial"/>
                <w:b/>
              </w:rPr>
            </w:pPr>
            <w:r w:rsidRPr="0035705E">
              <w:rPr>
                <w:rFonts w:cs="Arial"/>
                <w:b/>
              </w:rPr>
              <w:t>Systemic Changes</w:t>
            </w:r>
          </w:p>
        </w:tc>
        <w:tc>
          <w:tcPr>
            <w:tcW w:w="3757" w:type="dxa"/>
          </w:tcPr>
          <w:p w14:paraId="59F45C56" w14:textId="6A3EE326" w:rsidR="008E5242" w:rsidRDefault="008E5242" w:rsidP="008E5242">
            <w:pPr>
              <w:rPr>
                <w:rFonts w:cs="Arial"/>
              </w:rPr>
            </w:pPr>
            <w:r w:rsidRPr="0035705E">
              <w:rPr>
                <w:rFonts w:cs="Arial"/>
              </w:rPr>
              <w:t>Create, conduct, and analyze survey of day service providers to determine specific compliance challenges</w:t>
            </w:r>
          </w:p>
        </w:tc>
        <w:tc>
          <w:tcPr>
            <w:tcW w:w="2227" w:type="dxa"/>
          </w:tcPr>
          <w:p w14:paraId="0E873945" w14:textId="099D2544" w:rsidR="008E5242" w:rsidRDefault="008E5242" w:rsidP="008E5242">
            <w:pPr>
              <w:jc w:val="center"/>
              <w:rPr>
                <w:rFonts w:cs="Arial"/>
              </w:rPr>
            </w:pPr>
            <w:r>
              <w:rPr>
                <w:rFonts w:cs="Arial"/>
              </w:rPr>
              <w:t>February 2016</w:t>
            </w:r>
          </w:p>
        </w:tc>
        <w:tc>
          <w:tcPr>
            <w:tcW w:w="2178" w:type="dxa"/>
          </w:tcPr>
          <w:p w14:paraId="74ACC05D" w14:textId="6CAB49DD" w:rsidR="008E5242" w:rsidRDefault="008E5242" w:rsidP="008E5242">
            <w:pPr>
              <w:rPr>
                <w:rFonts w:cs="Arial"/>
              </w:rPr>
            </w:pPr>
            <w:r>
              <w:rPr>
                <w:rFonts w:cs="Arial"/>
              </w:rPr>
              <w:t>Complete</w:t>
            </w:r>
          </w:p>
        </w:tc>
      </w:tr>
      <w:tr w:rsidR="008E5242" w:rsidRPr="00660BEA" w14:paraId="106884B8" w14:textId="77777777" w:rsidTr="000730BD">
        <w:tc>
          <w:tcPr>
            <w:tcW w:w="2484" w:type="dxa"/>
          </w:tcPr>
          <w:p w14:paraId="040EC5E4" w14:textId="0F5890C3" w:rsidR="008E5242" w:rsidRPr="00E12ECA" w:rsidRDefault="008E5242" w:rsidP="008E5242">
            <w:pPr>
              <w:rPr>
                <w:rFonts w:cs="Arial"/>
                <w:b/>
              </w:rPr>
            </w:pPr>
            <w:r w:rsidRPr="0035705E">
              <w:rPr>
                <w:rFonts w:cs="Arial"/>
                <w:b/>
              </w:rPr>
              <w:t>Systemic Changes</w:t>
            </w:r>
          </w:p>
        </w:tc>
        <w:tc>
          <w:tcPr>
            <w:tcW w:w="3757" w:type="dxa"/>
          </w:tcPr>
          <w:p w14:paraId="45CA79DE" w14:textId="68F0A84A" w:rsidR="008E5242" w:rsidRDefault="008E5242" w:rsidP="008E5242">
            <w:pPr>
              <w:rPr>
                <w:rFonts w:cs="Arial"/>
              </w:rPr>
            </w:pPr>
            <w:r w:rsidRPr="0035705E">
              <w:rPr>
                <w:rFonts w:cs="Arial"/>
              </w:rPr>
              <w:t>Develop and distribute member handbook for MA.40702 and MA.1027</w:t>
            </w:r>
          </w:p>
        </w:tc>
        <w:tc>
          <w:tcPr>
            <w:tcW w:w="2227" w:type="dxa"/>
          </w:tcPr>
          <w:p w14:paraId="03B222C7" w14:textId="67F6B421" w:rsidR="008E5242" w:rsidRDefault="008E5242" w:rsidP="008E5242">
            <w:pPr>
              <w:jc w:val="center"/>
              <w:rPr>
                <w:rFonts w:cs="Arial"/>
              </w:rPr>
            </w:pPr>
            <w:r>
              <w:rPr>
                <w:rFonts w:cs="Arial"/>
              </w:rPr>
              <w:t>July 2017</w:t>
            </w:r>
          </w:p>
        </w:tc>
        <w:tc>
          <w:tcPr>
            <w:tcW w:w="2178" w:type="dxa"/>
          </w:tcPr>
          <w:p w14:paraId="63ECD9B3" w14:textId="6EAC66DF" w:rsidR="008E5242" w:rsidRDefault="008E5242" w:rsidP="008E5242">
            <w:pPr>
              <w:rPr>
                <w:rFonts w:cs="Arial"/>
              </w:rPr>
            </w:pPr>
            <w:r>
              <w:rPr>
                <w:rFonts w:cs="Arial"/>
              </w:rPr>
              <w:t>Complete</w:t>
            </w:r>
          </w:p>
        </w:tc>
      </w:tr>
      <w:tr w:rsidR="008E5242" w:rsidRPr="00660BEA" w14:paraId="79EBE823" w14:textId="77777777" w:rsidTr="000730BD">
        <w:tc>
          <w:tcPr>
            <w:tcW w:w="2484" w:type="dxa"/>
          </w:tcPr>
          <w:p w14:paraId="2F8D25F9" w14:textId="1EE33A1A" w:rsidR="008E5242" w:rsidRPr="00E12ECA" w:rsidRDefault="008E5242" w:rsidP="008E5242">
            <w:pPr>
              <w:rPr>
                <w:rFonts w:cs="Arial"/>
                <w:b/>
              </w:rPr>
            </w:pPr>
            <w:r w:rsidRPr="0035705E">
              <w:rPr>
                <w:rFonts w:cs="Arial"/>
                <w:b/>
              </w:rPr>
              <w:t>Oversight of Systemic Changes</w:t>
            </w:r>
          </w:p>
        </w:tc>
        <w:tc>
          <w:tcPr>
            <w:tcW w:w="3757" w:type="dxa"/>
          </w:tcPr>
          <w:p w14:paraId="54F69CCB" w14:textId="261B76EB" w:rsidR="008E5242" w:rsidRDefault="008E5242" w:rsidP="008E5242">
            <w:pPr>
              <w:rPr>
                <w:rFonts w:cs="Arial"/>
              </w:rPr>
            </w:pPr>
            <w:r w:rsidRPr="0035705E">
              <w:rPr>
                <w:rFonts w:cs="Arial"/>
              </w:rPr>
              <w:t>Revise MRC monitoring tools for day services and employment settings to facilitate monitoring of ongoing compliance</w:t>
            </w:r>
          </w:p>
        </w:tc>
        <w:tc>
          <w:tcPr>
            <w:tcW w:w="2227" w:type="dxa"/>
          </w:tcPr>
          <w:p w14:paraId="13EA01B3" w14:textId="06ADE579" w:rsidR="008E5242" w:rsidRDefault="008E5242" w:rsidP="008E5242">
            <w:pPr>
              <w:jc w:val="center"/>
              <w:rPr>
                <w:rFonts w:cs="Arial"/>
              </w:rPr>
            </w:pPr>
            <w:r>
              <w:rPr>
                <w:rFonts w:cs="Arial"/>
              </w:rPr>
              <w:t>September 2015</w:t>
            </w:r>
          </w:p>
        </w:tc>
        <w:tc>
          <w:tcPr>
            <w:tcW w:w="2178" w:type="dxa"/>
          </w:tcPr>
          <w:p w14:paraId="134FDD5D" w14:textId="58490D1A" w:rsidR="008E5242" w:rsidRDefault="008E5242" w:rsidP="008E5242">
            <w:pPr>
              <w:rPr>
                <w:rFonts w:cs="Arial"/>
              </w:rPr>
            </w:pPr>
            <w:r>
              <w:rPr>
                <w:rFonts w:cs="Arial"/>
              </w:rPr>
              <w:t>Complete</w:t>
            </w:r>
          </w:p>
        </w:tc>
      </w:tr>
      <w:tr w:rsidR="008E5242" w:rsidRPr="00660BEA" w14:paraId="0D6C67E3" w14:textId="77777777" w:rsidTr="000730BD">
        <w:tc>
          <w:tcPr>
            <w:tcW w:w="2484" w:type="dxa"/>
          </w:tcPr>
          <w:p w14:paraId="3542C1DF" w14:textId="66EAEB48" w:rsidR="008E5242" w:rsidRPr="00E12ECA" w:rsidRDefault="008E5242" w:rsidP="008E5242">
            <w:pPr>
              <w:rPr>
                <w:rFonts w:cs="Arial"/>
                <w:b/>
              </w:rPr>
            </w:pPr>
            <w:r w:rsidRPr="0035705E">
              <w:rPr>
                <w:rFonts w:cs="Arial"/>
                <w:b/>
              </w:rPr>
              <w:t>Oversight of Systemic Changes</w:t>
            </w:r>
          </w:p>
        </w:tc>
        <w:tc>
          <w:tcPr>
            <w:tcW w:w="3757" w:type="dxa"/>
          </w:tcPr>
          <w:p w14:paraId="5D144560" w14:textId="10EA4C9A" w:rsidR="008E5242" w:rsidRDefault="008E5242" w:rsidP="008E5242">
            <w:pPr>
              <w:rPr>
                <w:rFonts w:cs="Arial"/>
              </w:rPr>
            </w:pPr>
            <w:r w:rsidRPr="00E40FC2">
              <w:rPr>
                <w:rFonts w:cs="Arial"/>
              </w:rPr>
              <w:t>Revise UMMS-PNA employment provider credentialing tool to reflect all Community Rule requirements</w:t>
            </w:r>
          </w:p>
        </w:tc>
        <w:tc>
          <w:tcPr>
            <w:tcW w:w="2227" w:type="dxa"/>
          </w:tcPr>
          <w:p w14:paraId="6DB66B02" w14:textId="07897329" w:rsidR="008E5242" w:rsidRDefault="008E5242" w:rsidP="008E5242">
            <w:pPr>
              <w:jc w:val="center"/>
              <w:rPr>
                <w:rFonts w:cs="Arial"/>
              </w:rPr>
            </w:pPr>
            <w:r>
              <w:rPr>
                <w:rFonts w:cs="Arial"/>
              </w:rPr>
              <w:t>May 2017</w:t>
            </w:r>
          </w:p>
        </w:tc>
        <w:tc>
          <w:tcPr>
            <w:tcW w:w="2178" w:type="dxa"/>
          </w:tcPr>
          <w:p w14:paraId="0A342497" w14:textId="3F139CC0" w:rsidR="008E5242" w:rsidRDefault="008E5242" w:rsidP="008E5242">
            <w:pPr>
              <w:rPr>
                <w:rFonts w:cs="Arial"/>
              </w:rPr>
            </w:pPr>
            <w:r>
              <w:rPr>
                <w:rFonts w:cs="Arial"/>
              </w:rPr>
              <w:t>Complete</w:t>
            </w:r>
          </w:p>
        </w:tc>
      </w:tr>
      <w:tr w:rsidR="008E5242" w:rsidRPr="00660BEA" w14:paraId="389F21E7" w14:textId="77777777" w:rsidTr="000730BD">
        <w:tc>
          <w:tcPr>
            <w:tcW w:w="2484" w:type="dxa"/>
          </w:tcPr>
          <w:p w14:paraId="379D8D28" w14:textId="77777777" w:rsidR="008E5242" w:rsidRPr="009B6B24" w:rsidRDefault="008E5242" w:rsidP="008E5242">
            <w:pPr>
              <w:rPr>
                <w:rFonts w:cs="Arial"/>
                <w:b/>
              </w:rPr>
            </w:pPr>
            <w:r>
              <w:rPr>
                <w:rFonts w:cs="Arial"/>
                <w:b/>
              </w:rPr>
              <w:t>Specific Setting Changes</w:t>
            </w:r>
          </w:p>
        </w:tc>
        <w:tc>
          <w:tcPr>
            <w:tcW w:w="3757" w:type="dxa"/>
          </w:tcPr>
          <w:p w14:paraId="323D0263" w14:textId="77777777" w:rsidR="008E5242" w:rsidRPr="00A55A53" w:rsidRDefault="008E5242" w:rsidP="008E5242">
            <w:pPr>
              <w:rPr>
                <w:rFonts w:cs="Arial"/>
              </w:rPr>
            </w:pPr>
            <w:r w:rsidRPr="00A55A53">
              <w:rPr>
                <w:rFonts w:cs="Arial"/>
              </w:rPr>
              <w:t>Develop and implement plan for each participant with any modifications documented in individual service plan</w:t>
            </w:r>
          </w:p>
        </w:tc>
        <w:tc>
          <w:tcPr>
            <w:tcW w:w="2227" w:type="dxa"/>
          </w:tcPr>
          <w:p w14:paraId="6991550C" w14:textId="77777777" w:rsidR="008E5242" w:rsidRPr="00A55A53" w:rsidRDefault="008E5242" w:rsidP="008E5242">
            <w:pPr>
              <w:jc w:val="center"/>
              <w:rPr>
                <w:rFonts w:cs="Arial"/>
              </w:rPr>
            </w:pPr>
            <w:r w:rsidRPr="00A55A53">
              <w:rPr>
                <w:rFonts w:cs="Arial"/>
              </w:rPr>
              <w:t>November 2015</w:t>
            </w:r>
          </w:p>
        </w:tc>
        <w:tc>
          <w:tcPr>
            <w:tcW w:w="2178" w:type="dxa"/>
          </w:tcPr>
          <w:p w14:paraId="07789956" w14:textId="77777777" w:rsidR="008E5242" w:rsidRPr="00660BEA" w:rsidRDefault="008E5242" w:rsidP="008E5242">
            <w:pPr>
              <w:rPr>
                <w:rFonts w:cs="Arial"/>
              </w:rPr>
            </w:pPr>
            <w:r>
              <w:rPr>
                <w:rFonts w:cs="Arial"/>
              </w:rPr>
              <w:t>Complete</w:t>
            </w:r>
          </w:p>
        </w:tc>
      </w:tr>
    </w:tbl>
    <w:p w14:paraId="546B8E94" w14:textId="77777777" w:rsidR="00CF4C97" w:rsidRDefault="00CF4C97" w:rsidP="00CF4C97">
      <w:pPr>
        <w:spacing w:after="0"/>
        <w:rPr>
          <w:rFonts w:cs="Arial"/>
          <w:b/>
          <w:spacing w:val="20"/>
          <w:sz w:val="28"/>
          <w:szCs w:val="28"/>
        </w:rPr>
      </w:pPr>
    </w:p>
    <w:p w14:paraId="53B25A7D" w14:textId="1C21B6B9" w:rsidR="00CF4C97" w:rsidRPr="00144BE9" w:rsidRDefault="00CF4C97" w:rsidP="00144BE9">
      <w:pPr>
        <w:pStyle w:val="Heading3"/>
        <w:rPr>
          <w:sz w:val="26"/>
          <w:szCs w:val="26"/>
        </w:rPr>
      </w:pPr>
      <w:r w:rsidRPr="00144BE9">
        <w:rPr>
          <w:sz w:val="26"/>
          <w:szCs w:val="26"/>
        </w:rPr>
        <w:t>Executive Office of Elder Affairs (EOEA)</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CF4C97" w:rsidRPr="00660BEA" w14:paraId="274F44DB" w14:textId="77777777" w:rsidTr="00477F29">
        <w:trPr>
          <w:trHeight w:val="346"/>
        </w:trPr>
        <w:tc>
          <w:tcPr>
            <w:tcW w:w="2484" w:type="dxa"/>
            <w:shd w:val="clear" w:color="auto" w:fill="D9D9D9" w:themeFill="background1" w:themeFillShade="D9"/>
            <w:vAlign w:val="center"/>
          </w:tcPr>
          <w:p w14:paraId="24480018" w14:textId="7148C3EF" w:rsidR="00CF4C97" w:rsidRPr="00E40FC2" w:rsidRDefault="00CF4C97" w:rsidP="00CF4C97">
            <w:pPr>
              <w:rPr>
                <w:rFonts w:cs="Arial"/>
                <w:b/>
              </w:rPr>
            </w:pPr>
            <w:r w:rsidRPr="00660BEA">
              <w:rPr>
                <w:rFonts w:cs="Arial"/>
                <w:b/>
                <w:sz w:val="24"/>
                <w:szCs w:val="24"/>
              </w:rPr>
              <w:t>Transition Category</w:t>
            </w:r>
          </w:p>
        </w:tc>
        <w:tc>
          <w:tcPr>
            <w:tcW w:w="3757" w:type="dxa"/>
            <w:shd w:val="clear" w:color="auto" w:fill="D9D9D9" w:themeFill="background1" w:themeFillShade="D9"/>
            <w:vAlign w:val="center"/>
          </w:tcPr>
          <w:p w14:paraId="79385C9A" w14:textId="5E169242" w:rsidR="00CF4C97" w:rsidRPr="00A55A53" w:rsidRDefault="00CF4C97" w:rsidP="00CF4C97">
            <w:pPr>
              <w:rPr>
                <w:rFonts w:cs="Arial"/>
              </w:rPr>
            </w:pPr>
            <w:r w:rsidRPr="00660BEA">
              <w:rPr>
                <w:rFonts w:cs="Arial"/>
                <w:b/>
                <w:sz w:val="24"/>
                <w:szCs w:val="24"/>
              </w:rPr>
              <w:t>Specific Task</w:t>
            </w:r>
          </w:p>
        </w:tc>
        <w:tc>
          <w:tcPr>
            <w:tcW w:w="2227" w:type="dxa"/>
            <w:shd w:val="clear" w:color="auto" w:fill="D9D9D9" w:themeFill="background1" w:themeFillShade="D9"/>
            <w:vAlign w:val="center"/>
          </w:tcPr>
          <w:p w14:paraId="02456F85" w14:textId="4DFBE0B0" w:rsidR="00CF4C97" w:rsidRPr="00A55A53" w:rsidRDefault="00CF4C97" w:rsidP="00CF4C97">
            <w:pPr>
              <w:jc w:val="center"/>
              <w:rPr>
                <w:rFonts w:cs="Arial"/>
              </w:rPr>
            </w:pPr>
            <w:r w:rsidRPr="00660BEA">
              <w:rPr>
                <w:rFonts w:cs="Arial"/>
                <w:b/>
                <w:sz w:val="24"/>
                <w:szCs w:val="24"/>
              </w:rPr>
              <w:t>Timeframe</w:t>
            </w:r>
          </w:p>
        </w:tc>
        <w:tc>
          <w:tcPr>
            <w:tcW w:w="2178" w:type="dxa"/>
            <w:shd w:val="clear" w:color="auto" w:fill="D9D9D9" w:themeFill="background1" w:themeFillShade="D9"/>
            <w:vAlign w:val="center"/>
          </w:tcPr>
          <w:p w14:paraId="3CD3E043" w14:textId="192BA2AB" w:rsidR="00CF4C97" w:rsidRDefault="00CF4C97" w:rsidP="00CF4C97">
            <w:pPr>
              <w:rPr>
                <w:rFonts w:cs="Arial"/>
              </w:rPr>
            </w:pPr>
            <w:r w:rsidRPr="00660BEA">
              <w:rPr>
                <w:rFonts w:cs="Arial"/>
                <w:b/>
                <w:sz w:val="24"/>
                <w:szCs w:val="24"/>
              </w:rPr>
              <w:t>Comments</w:t>
            </w:r>
          </w:p>
        </w:tc>
      </w:tr>
      <w:tr w:rsidR="00CF4C97" w:rsidRPr="00660BEA" w14:paraId="3A871DF0" w14:textId="77777777" w:rsidTr="000730BD">
        <w:trPr>
          <w:trHeight w:val="346"/>
        </w:trPr>
        <w:tc>
          <w:tcPr>
            <w:tcW w:w="2484" w:type="dxa"/>
          </w:tcPr>
          <w:p w14:paraId="25B8E1E8" w14:textId="37F15135" w:rsidR="00CF4C97" w:rsidRPr="00E40FC2" w:rsidRDefault="00CF4C97" w:rsidP="00CF4C97">
            <w:pPr>
              <w:rPr>
                <w:rFonts w:cs="Arial"/>
                <w:b/>
              </w:rPr>
            </w:pPr>
            <w:r w:rsidRPr="00E40FC2">
              <w:rPr>
                <w:rFonts w:cs="Arial"/>
                <w:b/>
              </w:rPr>
              <w:t>Systemic Changes</w:t>
            </w:r>
          </w:p>
        </w:tc>
        <w:tc>
          <w:tcPr>
            <w:tcW w:w="3757" w:type="dxa"/>
          </w:tcPr>
          <w:p w14:paraId="40BF38A7" w14:textId="34A5AD48" w:rsidR="00CF4C97" w:rsidRPr="00A55A53" w:rsidRDefault="00CF4C97" w:rsidP="00CF4C97">
            <w:pPr>
              <w:rPr>
                <w:rFonts w:cs="Arial"/>
              </w:rPr>
            </w:pPr>
            <w:r w:rsidRPr="00E40FC2">
              <w:rPr>
                <w:rFonts w:cs="Arial"/>
              </w:rPr>
              <w:t>Develop congregate housing setting policy guidance and review/monitoring tool</w:t>
            </w:r>
          </w:p>
        </w:tc>
        <w:tc>
          <w:tcPr>
            <w:tcW w:w="2227" w:type="dxa"/>
          </w:tcPr>
          <w:p w14:paraId="02ED416D" w14:textId="52F56EE8" w:rsidR="00CF4C97" w:rsidRPr="00A55A53" w:rsidRDefault="00CF4C97" w:rsidP="00CF4C97">
            <w:pPr>
              <w:jc w:val="center"/>
              <w:rPr>
                <w:rFonts w:cs="Arial"/>
              </w:rPr>
            </w:pPr>
            <w:r>
              <w:rPr>
                <w:rFonts w:cs="Arial"/>
              </w:rPr>
              <w:t>January 2016</w:t>
            </w:r>
          </w:p>
        </w:tc>
        <w:tc>
          <w:tcPr>
            <w:tcW w:w="2178" w:type="dxa"/>
          </w:tcPr>
          <w:p w14:paraId="62F3B582" w14:textId="2CACACA0" w:rsidR="00CF4C97" w:rsidRDefault="00CF4C97" w:rsidP="00CF4C97">
            <w:pPr>
              <w:rPr>
                <w:rFonts w:cs="Arial"/>
              </w:rPr>
            </w:pPr>
            <w:r>
              <w:rPr>
                <w:rFonts w:cs="Arial"/>
              </w:rPr>
              <w:t>Complete</w:t>
            </w:r>
          </w:p>
        </w:tc>
      </w:tr>
      <w:tr w:rsidR="00CF4C97" w:rsidRPr="00660BEA" w14:paraId="3A2F779E" w14:textId="77777777" w:rsidTr="000730BD">
        <w:trPr>
          <w:trHeight w:val="346"/>
        </w:trPr>
        <w:tc>
          <w:tcPr>
            <w:tcW w:w="2484" w:type="dxa"/>
          </w:tcPr>
          <w:p w14:paraId="32F93FFD" w14:textId="3B83DB46" w:rsidR="00CF4C97" w:rsidRPr="00E12ECA" w:rsidRDefault="00CF4C97" w:rsidP="00CF4C97">
            <w:pPr>
              <w:rPr>
                <w:rFonts w:cs="Arial"/>
                <w:b/>
              </w:rPr>
            </w:pPr>
            <w:r w:rsidRPr="00E40FC2">
              <w:rPr>
                <w:rFonts w:cs="Arial"/>
                <w:b/>
              </w:rPr>
              <w:t>Systemic Changes</w:t>
            </w:r>
          </w:p>
        </w:tc>
        <w:tc>
          <w:tcPr>
            <w:tcW w:w="3757" w:type="dxa"/>
          </w:tcPr>
          <w:p w14:paraId="1F1892E5" w14:textId="55C613FC" w:rsidR="00CF4C97" w:rsidRPr="00A55A53" w:rsidRDefault="00CF4C97" w:rsidP="00CF4C97">
            <w:pPr>
              <w:rPr>
                <w:rFonts w:cs="Arial"/>
              </w:rPr>
            </w:pPr>
            <w:r w:rsidRPr="00E40FC2">
              <w:rPr>
                <w:rFonts w:cs="Arial"/>
              </w:rPr>
              <w:t>Revise HCBS Program Guidelines</w:t>
            </w:r>
          </w:p>
        </w:tc>
        <w:tc>
          <w:tcPr>
            <w:tcW w:w="2227" w:type="dxa"/>
          </w:tcPr>
          <w:p w14:paraId="0CC827B2" w14:textId="7B018A09" w:rsidR="00CF4C97" w:rsidRPr="00A55A53" w:rsidRDefault="00CF4C97" w:rsidP="00CF4C97">
            <w:pPr>
              <w:jc w:val="center"/>
              <w:rPr>
                <w:rFonts w:cs="Arial"/>
              </w:rPr>
            </w:pPr>
            <w:r>
              <w:rPr>
                <w:rFonts w:cs="Arial"/>
              </w:rPr>
              <w:t>December 2022</w:t>
            </w:r>
          </w:p>
        </w:tc>
        <w:tc>
          <w:tcPr>
            <w:tcW w:w="2178" w:type="dxa"/>
          </w:tcPr>
          <w:p w14:paraId="75A79C98" w14:textId="61F0F3E4" w:rsidR="00CF4C97" w:rsidRDefault="00CF4C97" w:rsidP="00CF4C97">
            <w:pPr>
              <w:rPr>
                <w:rFonts w:cs="Arial"/>
              </w:rPr>
            </w:pPr>
            <w:r>
              <w:rPr>
                <w:rFonts w:cs="Arial"/>
              </w:rPr>
              <w:t>In process</w:t>
            </w:r>
          </w:p>
        </w:tc>
      </w:tr>
      <w:tr w:rsidR="00CF4C97" w:rsidRPr="00660BEA" w14:paraId="18B281A1" w14:textId="77777777" w:rsidTr="000730BD">
        <w:tc>
          <w:tcPr>
            <w:tcW w:w="2484" w:type="dxa"/>
          </w:tcPr>
          <w:p w14:paraId="35AE7034" w14:textId="77777777" w:rsidR="00CF4C97" w:rsidRPr="009B6B24" w:rsidRDefault="00CF4C97" w:rsidP="00CF4C97">
            <w:pPr>
              <w:rPr>
                <w:rFonts w:cs="Arial"/>
                <w:b/>
              </w:rPr>
            </w:pPr>
            <w:r>
              <w:rPr>
                <w:rFonts w:cs="Arial"/>
                <w:b/>
              </w:rPr>
              <w:t>Specific Setting Changes</w:t>
            </w:r>
          </w:p>
        </w:tc>
        <w:tc>
          <w:tcPr>
            <w:tcW w:w="3757" w:type="dxa"/>
          </w:tcPr>
          <w:p w14:paraId="001357F5" w14:textId="77777777" w:rsidR="00CF4C97" w:rsidRPr="00A55A53" w:rsidRDefault="00CF4C97" w:rsidP="00CF4C97">
            <w:pPr>
              <w:rPr>
                <w:rFonts w:cs="Arial"/>
              </w:rPr>
            </w:pPr>
            <w:r w:rsidRPr="00A55A53">
              <w:rPr>
                <w:rFonts w:cs="Arial"/>
              </w:rPr>
              <w:t>EOEA agents assess each congregate housing setting</w:t>
            </w:r>
          </w:p>
        </w:tc>
        <w:tc>
          <w:tcPr>
            <w:tcW w:w="2227" w:type="dxa"/>
          </w:tcPr>
          <w:p w14:paraId="0121F60C" w14:textId="77777777" w:rsidR="00CF4C97" w:rsidRPr="00A55A53" w:rsidRDefault="00CF4C97" w:rsidP="00CF4C97">
            <w:pPr>
              <w:jc w:val="center"/>
              <w:rPr>
                <w:rFonts w:cs="Arial"/>
              </w:rPr>
            </w:pPr>
            <w:r w:rsidRPr="00A55A53">
              <w:rPr>
                <w:rFonts w:cs="Arial"/>
              </w:rPr>
              <w:t>September 2014</w:t>
            </w:r>
          </w:p>
        </w:tc>
        <w:tc>
          <w:tcPr>
            <w:tcW w:w="2178" w:type="dxa"/>
          </w:tcPr>
          <w:p w14:paraId="0EE8EC00" w14:textId="77777777" w:rsidR="00CF4C97" w:rsidRDefault="00CF4C97" w:rsidP="00CF4C97">
            <w:pPr>
              <w:rPr>
                <w:rFonts w:cs="Arial"/>
              </w:rPr>
            </w:pPr>
            <w:r>
              <w:rPr>
                <w:rFonts w:cs="Arial"/>
              </w:rPr>
              <w:t>Complete</w:t>
            </w:r>
          </w:p>
        </w:tc>
      </w:tr>
      <w:tr w:rsidR="00CF4C97" w:rsidRPr="00660BEA" w14:paraId="27425AA2" w14:textId="77777777" w:rsidTr="000730BD">
        <w:tc>
          <w:tcPr>
            <w:tcW w:w="2484" w:type="dxa"/>
          </w:tcPr>
          <w:p w14:paraId="5C9C4EDD" w14:textId="2AEAA4D1" w:rsidR="00CF4C97" w:rsidRDefault="00CF4C97" w:rsidP="00CF4C97">
            <w:pPr>
              <w:rPr>
                <w:rFonts w:cs="Arial"/>
                <w:b/>
              </w:rPr>
            </w:pPr>
            <w:r w:rsidRPr="00BE605F">
              <w:rPr>
                <w:rFonts w:cs="Arial"/>
                <w:b/>
              </w:rPr>
              <w:t>Specific Setting Changes</w:t>
            </w:r>
          </w:p>
        </w:tc>
        <w:tc>
          <w:tcPr>
            <w:tcW w:w="3757" w:type="dxa"/>
          </w:tcPr>
          <w:p w14:paraId="738A6ECA" w14:textId="291863B8" w:rsidR="00CF4C97" w:rsidRPr="00A55A53" w:rsidRDefault="00CF4C97" w:rsidP="00CF4C97">
            <w:pPr>
              <w:rPr>
                <w:rFonts w:cs="Arial"/>
              </w:rPr>
            </w:pPr>
            <w:r w:rsidRPr="00BE605F">
              <w:rPr>
                <w:rFonts w:cs="Arial"/>
              </w:rPr>
              <w:t>EOEA conducts congregate housing site visits as needed</w:t>
            </w:r>
          </w:p>
        </w:tc>
        <w:tc>
          <w:tcPr>
            <w:tcW w:w="2227" w:type="dxa"/>
          </w:tcPr>
          <w:p w14:paraId="20C93AEA" w14:textId="27B64603" w:rsidR="00CF4C97" w:rsidRPr="00A55A53" w:rsidRDefault="00CF4C97" w:rsidP="00CF4C97">
            <w:pPr>
              <w:jc w:val="center"/>
              <w:rPr>
                <w:rFonts w:cs="Arial"/>
              </w:rPr>
            </w:pPr>
            <w:r>
              <w:rPr>
                <w:rFonts w:cs="Arial"/>
              </w:rPr>
              <w:t>June 2016</w:t>
            </w:r>
          </w:p>
        </w:tc>
        <w:tc>
          <w:tcPr>
            <w:tcW w:w="2178" w:type="dxa"/>
          </w:tcPr>
          <w:p w14:paraId="62E5DC53" w14:textId="16A8B576" w:rsidR="00CF4C97" w:rsidRDefault="00CF4C97" w:rsidP="00CF4C97">
            <w:pPr>
              <w:rPr>
                <w:rFonts w:cs="Arial"/>
              </w:rPr>
            </w:pPr>
            <w:r>
              <w:rPr>
                <w:rFonts w:cs="Arial"/>
              </w:rPr>
              <w:t>Complete</w:t>
            </w:r>
          </w:p>
        </w:tc>
      </w:tr>
      <w:tr w:rsidR="00CF4C97" w:rsidRPr="00660BEA" w14:paraId="44E6BCE0" w14:textId="77777777" w:rsidTr="000730BD">
        <w:tc>
          <w:tcPr>
            <w:tcW w:w="2484" w:type="dxa"/>
          </w:tcPr>
          <w:p w14:paraId="04E3E1AD" w14:textId="15D0FD08" w:rsidR="00CF4C97" w:rsidRDefault="00CF4C97" w:rsidP="00CF4C97">
            <w:pPr>
              <w:rPr>
                <w:rFonts w:cs="Arial"/>
                <w:b/>
              </w:rPr>
            </w:pPr>
            <w:r w:rsidRPr="00BE605F">
              <w:rPr>
                <w:rFonts w:cs="Arial"/>
                <w:b/>
              </w:rPr>
              <w:t>Specific Setting Changes</w:t>
            </w:r>
          </w:p>
        </w:tc>
        <w:tc>
          <w:tcPr>
            <w:tcW w:w="3757" w:type="dxa"/>
          </w:tcPr>
          <w:p w14:paraId="355553F5" w14:textId="6C8B9C2E" w:rsidR="00CF4C97" w:rsidRPr="00A55A53" w:rsidRDefault="00CF4C97" w:rsidP="00CF4C97">
            <w:pPr>
              <w:rPr>
                <w:rFonts w:cs="Arial"/>
              </w:rPr>
            </w:pPr>
            <w:r w:rsidRPr="00BE605F">
              <w:rPr>
                <w:rFonts w:cs="Arial"/>
              </w:rPr>
              <w:t>Congregate housing providers implement required modifications</w:t>
            </w:r>
          </w:p>
        </w:tc>
        <w:tc>
          <w:tcPr>
            <w:tcW w:w="2227" w:type="dxa"/>
          </w:tcPr>
          <w:p w14:paraId="2582BAFE" w14:textId="6B1D83B1" w:rsidR="00CF4C97" w:rsidRPr="00A55A53" w:rsidRDefault="00CF4C97" w:rsidP="00CF4C97">
            <w:pPr>
              <w:jc w:val="center"/>
              <w:rPr>
                <w:rFonts w:cs="Arial"/>
              </w:rPr>
            </w:pPr>
            <w:r>
              <w:rPr>
                <w:rFonts w:cs="Arial"/>
              </w:rPr>
              <w:t>February 2017</w:t>
            </w:r>
          </w:p>
        </w:tc>
        <w:tc>
          <w:tcPr>
            <w:tcW w:w="2178" w:type="dxa"/>
          </w:tcPr>
          <w:p w14:paraId="234C65B6" w14:textId="66521D6D" w:rsidR="00CF4C97" w:rsidRDefault="00CF4C97" w:rsidP="00CF4C97">
            <w:pPr>
              <w:rPr>
                <w:rFonts w:cs="Arial"/>
              </w:rPr>
            </w:pPr>
            <w:r>
              <w:rPr>
                <w:rFonts w:cs="Arial"/>
              </w:rPr>
              <w:t>Complete</w:t>
            </w:r>
          </w:p>
        </w:tc>
      </w:tr>
      <w:tr w:rsidR="00CF4C97" w:rsidRPr="00660BEA" w14:paraId="4F2B5915" w14:textId="77777777" w:rsidTr="000730BD">
        <w:tc>
          <w:tcPr>
            <w:tcW w:w="2484" w:type="dxa"/>
          </w:tcPr>
          <w:p w14:paraId="514B2646" w14:textId="437FEA59" w:rsidR="00CF4C97" w:rsidRDefault="00CF4C97" w:rsidP="00CF4C97">
            <w:pPr>
              <w:rPr>
                <w:rFonts w:cs="Arial"/>
                <w:b/>
              </w:rPr>
            </w:pPr>
            <w:r w:rsidRPr="00BE605F">
              <w:rPr>
                <w:rFonts w:cs="Arial"/>
                <w:b/>
              </w:rPr>
              <w:t>Specific Setting Changes</w:t>
            </w:r>
          </w:p>
        </w:tc>
        <w:tc>
          <w:tcPr>
            <w:tcW w:w="3757" w:type="dxa"/>
          </w:tcPr>
          <w:p w14:paraId="4B082378" w14:textId="552629E6" w:rsidR="00CF4C97" w:rsidRPr="00A55A53" w:rsidRDefault="00CF4C97" w:rsidP="00CF4C97">
            <w:pPr>
              <w:rPr>
                <w:rFonts w:cs="Arial"/>
              </w:rPr>
            </w:pPr>
            <w:r w:rsidRPr="00BE605F">
              <w:rPr>
                <w:rFonts w:cs="Arial"/>
              </w:rPr>
              <w:t>EOEA agents assess each Supportive Day Program setting</w:t>
            </w:r>
          </w:p>
        </w:tc>
        <w:tc>
          <w:tcPr>
            <w:tcW w:w="2227" w:type="dxa"/>
          </w:tcPr>
          <w:p w14:paraId="12459CD8" w14:textId="342236A8" w:rsidR="00CF4C97" w:rsidRPr="00A55A53" w:rsidRDefault="00CF4C97" w:rsidP="00CF4C97">
            <w:pPr>
              <w:jc w:val="center"/>
              <w:rPr>
                <w:rFonts w:cs="Arial"/>
              </w:rPr>
            </w:pPr>
            <w:r>
              <w:rPr>
                <w:rFonts w:cs="Arial"/>
              </w:rPr>
              <w:t>November 2015</w:t>
            </w:r>
          </w:p>
        </w:tc>
        <w:tc>
          <w:tcPr>
            <w:tcW w:w="2178" w:type="dxa"/>
          </w:tcPr>
          <w:p w14:paraId="139ED3AD" w14:textId="1F97A1F3" w:rsidR="00CF4C97" w:rsidRDefault="00CF4C97" w:rsidP="00CF4C97">
            <w:pPr>
              <w:rPr>
                <w:rFonts w:cs="Arial"/>
              </w:rPr>
            </w:pPr>
            <w:r>
              <w:rPr>
                <w:rFonts w:cs="Arial"/>
              </w:rPr>
              <w:t>Complete</w:t>
            </w:r>
          </w:p>
        </w:tc>
      </w:tr>
      <w:tr w:rsidR="00CF4C97" w:rsidRPr="00660BEA" w14:paraId="22C14269" w14:textId="77777777" w:rsidTr="000730BD">
        <w:tc>
          <w:tcPr>
            <w:tcW w:w="2484" w:type="dxa"/>
          </w:tcPr>
          <w:p w14:paraId="67A3DEAA" w14:textId="5C8F8F80" w:rsidR="00CF4C97" w:rsidRDefault="00CF4C97" w:rsidP="00CF4C97">
            <w:pPr>
              <w:rPr>
                <w:rFonts w:cs="Arial"/>
                <w:b/>
              </w:rPr>
            </w:pPr>
            <w:r w:rsidRPr="00BE605F">
              <w:rPr>
                <w:rFonts w:cs="Arial"/>
                <w:b/>
              </w:rPr>
              <w:t>Specific Setting Changes</w:t>
            </w:r>
          </w:p>
        </w:tc>
        <w:tc>
          <w:tcPr>
            <w:tcW w:w="3757" w:type="dxa"/>
          </w:tcPr>
          <w:p w14:paraId="14A204FD" w14:textId="3204FF7E" w:rsidR="00CF4C97" w:rsidRPr="00A55A53" w:rsidRDefault="00CF4C97" w:rsidP="00CF4C97">
            <w:pPr>
              <w:rPr>
                <w:rFonts w:cs="Arial"/>
              </w:rPr>
            </w:pPr>
            <w:r w:rsidRPr="00BE605F">
              <w:rPr>
                <w:rFonts w:cs="Arial"/>
              </w:rPr>
              <w:t>EOEA conducts Supportive Day Program site visits as needed</w:t>
            </w:r>
          </w:p>
        </w:tc>
        <w:tc>
          <w:tcPr>
            <w:tcW w:w="2227" w:type="dxa"/>
          </w:tcPr>
          <w:p w14:paraId="26A62099" w14:textId="04CA5207" w:rsidR="00CF4C97" w:rsidRPr="00A55A53" w:rsidRDefault="00CF4C97" w:rsidP="00CF4C97">
            <w:pPr>
              <w:jc w:val="center"/>
              <w:rPr>
                <w:rFonts w:cs="Arial"/>
              </w:rPr>
            </w:pPr>
            <w:r>
              <w:rPr>
                <w:rFonts w:cs="Arial"/>
              </w:rPr>
              <w:t>June 2016</w:t>
            </w:r>
          </w:p>
        </w:tc>
        <w:tc>
          <w:tcPr>
            <w:tcW w:w="2178" w:type="dxa"/>
          </w:tcPr>
          <w:p w14:paraId="4E3D5A62" w14:textId="60B9946F" w:rsidR="00CF4C97" w:rsidRDefault="00CF4C97" w:rsidP="00CF4C97">
            <w:pPr>
              <w:rPr>
                <w:rFonts w:cs="Arial"/>
              </w:rPr>
            </w:pPr>
            <w:r>
              <w:rPr>
                <w:rFonts w:cs="Arial"/>
              </w:rPr>
              <w:t>Complete</w:t>
            </w:r>
          </w:p>
        </w:tc>
      </w:tr>
      <w:tr w:rsidR="00CF4C97" w:rsidRPr="00660BEA" w14:paraId="6D3EBA11" w14:textId="77777777" w:rsidTr="000730BD">
        <w:tc>
          <w:tcPr>
            <w:tcW w:w="2484" w:type="dxa"/>
          </w:tcPr>
          <w:p w14:paraId="4A8D6D74" w14:textId="08DBD38B" w:rsidR="00CF4C97" w:rsidRDefault="00CF4C97" w:rsidP="00CF4C97">
            <w:pPr>
              <w:rPr>
                <w:rFonts w:cs="Arial"/>
                <w:b/>
              </w:rPr>
            </w:pPr>
            <w:r w:rsidRPr="00BE605F">
              <w:rPr>
                <w:rFonts w:cs="Arial"/>
                <w:b/>
              </w:rPr>
              <w:t>Oversight of Specific Setting Changes</w:t>
            </w:r>
          </w:p>
        </w:tc>
        <w:tc>
          <w:tcPr>
            <w:tcW w:w="3757" w:type="dxa"/>
          </w:tcPr>
          <w:p w14:paraId="2EACD415" w14:textId="1604C176" w:rsidR="00CF4C97" w:rsidRPr="00A55A53" w:rsidRDefault="00CF4C97" w:rsidP="00CF4C97">
            <w:pPr>
              <w:rPr>
                <w:rFonts w:cs="Arial"/>
              </w:rPr>
            </w:pPr>
            <w:r w:rsidRPr="00BE605F">
              <w:rPr>
                <w:rFonts w:cs="Arial"/>
              </w:rPr>
              <w:t>EOEA reviews congregate housing site-specific assessment results</w:t>
            </w:r>
          </w:p>
        </w:tc>
        <w:tc>
          <w:tcPr>
            <w:tcW w:w="2227" w:type="dxa"/>
          </w:tcPr>
          <w:p w14:paraId="3750F468" w14:textId="1837A895" w:rsidR="00CF4C97" w:rsidRPr="00A55A53" w:rsidRDefault="00CF4C97" w:rsidP="00CF4C97">
            <w:pPr>
              <w:jc w:val="center"/>
              <w:rPr>
                <w:rFonts w:cs="Arial"/>
              </w:rPr>
            </w:pPr>
            <w:r>
              <w:rPr>
                <w:rFonts w:cs="Arial"/>
              </w:rPr>
              <w:t>November 2014</w:t>
            </w:r>
          </w:p>
        </w:tc>
        <w:tc>
          <w:tcPr>
            <w:tcW w:w="2178" w:type="dxa"/>
          </w:tcPr>
          <w:p w14:paraId="37BD1E43" w14:textId="2A4B2A5B" w:rsidR="00CF4C97" w:rsidRDefault="00CF4C97" w:rsidP="00CF4C97">
            <w:pPr>
              <w:rPr>
                <w:rFonts w:cs="Arial"/>
              </w:rPr>
            </w:pPr>
            <w:r>
              <w:rPr>
                <w:rFonts w:cs="Arial"/>
              </w:rPr>
              <w:t>Complete</w:t>
            </w:r>
          </w:p>
        </w:tc>
      </w:tr>
      <w:tr w:rsidR="00CF4C97" w:rsidRPr="00660BEA" w14:paraId="7E3A25AE" w14:textId="77777777" w:rsidTr="000730BD">
        <w:tc>
          <w:tcPr>
            <w:tcW w:w="2484" w:type="dxa"/>
          </w:tcPr>
          <w:p w14:paraId="68B7552C" w14:textId="693779BD" w:rsidR="00CF4C97" w:rsidRDefault="00CF4C97" w:rsidP="00CF4C97">
            <w:pPr>
              <w:rPr>
                <w:rFonts w:cs="Arial"/>
                <w:b/>
              </w:rPr>
            </w:pPr>
            <w:r w:rsidRPr="00BE605F">
              <w:rPr>
                <w:rFonts w:cs="Arial"/>
                <w:b/>
              </w:rPr>
              <w:t>Oversight of Specific Setting Changes</w:t>
            </w:r>
          </w:p>
        </w:tc>
        <w:tc>
          <w:tcPr>
            <w:tcW w:w="3757" w:type="dxa"/>
          </w:tcPr>
          <w:p w14:paraId="5C4B77C3" w14:textId="109AA84F" w:rsidR="00CF4C97" w:rsidRPr="00A55A53" w:rsidRDefault="00CF4C97" w:rsidP="00CF4C97">
            <w:pPr>
              <w:rPr>
                <w:rFonts w:cs="Arial"/>
              </w:rPr>
            </w:pPr>
            <w:r w:rsidRPr="00BE605F">
              <w:rPr>
                <w:rFonts w:cs="Arial"/>
              </w:rPr>
              <w:t>EOEA reviews Supportive Day Program site-specific assessment results</w:t>
            </w:r>
          </w:p>
        </w:tc>
        <w:tc>
          <w:tcPr>
            <w:tcW w:w="2227" w:type="dxa"/>
          </w:tcPr>
          <w:p w14:paraId="563E5A91" w14:textId="20A4B0D0" w:rsidR="00CF4C97" w:rsidRPr="00A55A53" w:rsidRDefault="00CF4C97" w:rsidP="00CF4C97">
            <w:pPr>
              <w:jc w:val="center"/>
              <w:rPr>
                <w:rFonts w:cs="Arial"/>
              </w:rPr>
            </w:pPr>
            <w:r>
              <w:rPr>
                <w:rFonts w:cs="Arial"/>
              </w:rPr>
              <w:t>November 2015</w:t>
            </w:r>
          </w:p>
        </w:tc>
        <w:tc>
          <w:tcPr>
            <w:tcW w:w="2178" w:type="dxa"/>
          </w:tcPr>
          <w:p w14:paraId="312547A4" w14:textId="691FE78A" w:rsidR="00CF4C97" w:rsidRDefault="00CF4C97" w:rsidP="00CF4C97">
            <w:pPr>
              <w:rPr>
                <w:rFonts w:cs="Arial"/>
              </w:rPr>
            </w:pPr>
            <w:r>
              <w:rPr>
                <w:rFonts w:cs="Arial"/>
              </w:rPr>
              <w:t>Complete</w:t>
            </w:r>
          </w:p>
        </w:tc>
      </w:tr>
      <w:tr w:rsidR="00CF4C97" w:rsidRPr="00660BEA" w14:paraId="7B39120D" w14:textId="77777777" w:rsidTr="000730BD">
        <w:tc>
          <w:tcPr>
            <w:tcW w:w="2484" w:type="dxa"/>
          </w:tcPr>
          <w:p w14:paraId="50AE3CAF" w14:textId="4010CE89" w:rsidR="00CF4C97" w:rsidRPr="00BE605F" w:rsidRDefault="00CF4C97" w:rsidP="00CF4C97">
            <w:pPr>
              <w:rPr>
                <w:rFonts w:cs="Arial"/>
                <w:b/>
              </w:rPr>
            </w:pPr>
            <w:bookmarkStart w:id="7" w:name="_Hlk115873954"/>
            <w:r w:rsidRPr="00BE605F">
              <w:rPr>
                <w:rFonts w:cs="Arial"/>
                <w:b/>
              </w:rPr>
              <w:t>Oversight of Specific Setting Changes</w:t>
            </w:r>
          </w:p>
        </w:tc>
        <w:tc>
          <w:tcPr>
            <w:tcW w:w="3757" w:type="dxa"/>
          </w:tcPr>
          <w:p w14:paraId="475AF49E" w14:textId="77777777" w:rsidR="00CF4C97" w:rsidRDefault="00CF4C97" w:rsidP="00CF4C97">
            <w:pPr>
              <w:rPr>
                <w:rFonts w:cs="Arial"/>
              </w:rPr>
            </w:pPr>
            <w:r>
              <w:rPr>
                <w:rFonts w:cs="Arial"/>
              </w:rPr>
              <w:t>EOEA agents verify full compliance of all congregate housing settings</w:t>
            </w:r>
          </w:p>
        </w:tc>
        <w:tc>
          <w:tcPr>
            <w:tcW w:w="2227" w:type="dxa"/>
          </w:tcPr>
          <w:p w14:paraId="07673296" w14:textId="77777777" w:rsidR="00CF4C97" w:rsidRDefault="00CF4C97" w:rsidP="00CF4C97">
            <w:pPr>
              <w:jc w:val="center"/>
              <w:rPr>
                <w:rFonts w:cs="Arial"/>
              </w:rPr>
            </w:pPr>
            <w:r>
              <w:rPr>
                <w:rFonts w:cs="Arial"/>
              </w:rPr>
              <w:t>March 2017</w:t>
            </w:r>
          </w:p>
        </w:tc>
        <w:tc>
          <w:tcPr>
            <w:tcW w:w="2178" w:type="dxa"/>
          </w:tcPr>
          <w:p w14:paraId="1D0C4829" w14:textId="77777777" w:rsidR="00CF4C97" w:rsidRDefault="00CF4C97" w:rsidP="00CF4C97">
            <w:pPr>
              <w:rPr>
                <w:rFonts w:cs="Arial"/>
              </w:rPr>
            </w:pPr>
            <w:r>
              <w:rPr>
                <w:rFonts w:cs="Arial"/>
              </w:rPr>
              <w:t>Complete</w:t>
            </w:r>
          </w:p>
        </w:tc>
      </w:tr>
    </w:tbl>
    <w:p w14:paraId="1706AC5E" w14:textId="24669134" w:rsidR="00CF4C97" w:rsidRPr="00144BE9" w:rsidRDefault="00CF4C97" w:rsidP="00144BE9">
      <w:pPr>
        <w:pStyle w:val="Heading3"/>
        <w:rPr>
          <w:sz w:val="26"/>
          <w:szCs w:val="26"/>
        </w:rPr>
      </w:pPr>
      <w:r w:rsidRPr="00144BE9">
        <w:rPr>
          <w:sz w:val="26"/>
          <w:szCs w:val="26"/>
        </w:rPr>
        <w:lastRenderedPageBreak/>
        <w:t>MassHealth</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CF4C97" w14:paraId="1BD1075C" w14:textId="77777777" w:rsidTr="00477F29">
        <w:trPr>
          <w:cantSplit/>
        </w:trPr>
        <w:tc>
          <w:tcPr>
            <w:tcW w:w="2484" w:type="dxa"/>
            <w:shd w:val="clear" w:color="auto" w:fill="D9D9D9" w:themeFill="background1" w:themeFillShade="D9"/>
            <w:vAlign w:val="center"/>
          </w:tcPr>
          <w:bookmarkEnd w:id="7"/>
          <w:p w14:paraId="42409682" w14:textId="3E33B12F" w:rsidR="00CF4C97" w:rsidRPr="00BE605F" w:rsidRDefault="00CF4C97" w:rsidP="00CF4C97">
            <w:pPr>
              <w:rPr>
                <w:rFonts w:cs="Arial"/>
                <w:b/>
              </w:rPr>
            </w:pPr>
            <w:r w:rsidRPr="00660BEA">
              <w:rPr>
                <w:rFonts w:cs="Arial"/>
                <w:b/>
                <w:sz w:val="24"/>
                <w:szCs w:val="24"/>
              </w:rPr>
              <w:t>Transition Category</w:t>
            </w:r>
          </w:p>
        </w:tc>
        <w:tc>
          <w:tcPr>
            <w:tcW w:w="3757" w:type="dxa"/>
            <w:shd w:val="clear" w:color="auto" w:fill="D9D9D9" w:themeFill="background1" w:themeFillShade="D9"/>
            <w:vAlign w:val="center"/>
          </w:tcPr>
          <w:p w14:paraId="42DAC8E0" w14:textId="60213BA7" w:rsidR="00CF4C97" w:rsidRDefault="00CF4C97" w:rsidP="00CF4C97">
            <w:pPr>
              <w:rPr>
                <w:rFonts w:cs="Arial"/>
              </w:rPr>
            </w:pPr>
            <w:r w:rsidRPr="00660BEA">
              <w:rPr>
                <w:rFonts w:cs="Arial"/>
                <w:b/>
                <w:sz w:val="24"/>
                <w:szCs w:val="24"/>
              </w:rPr>
              <w:t>Specific Task</w:t>
            </w:r>
          </w:p>
        </w:tc>
        <w:tc>
          <w:tcPr>
            <w:tcW w:w="2227" w:type="dxa"/>
            <w:shd w:val="clear" w:color="auto" w:fill="D9D9D9" w:themeFill="background1" w:themeFillShade="D9"/>
            <w:vAlign w:val="center"/>
          </w:tcPr>
          <w:p w14:paraId="5E59166F" w14:textId="21164564" w:rsidR="00CF4C97" w:rsidRDefault="00CF4C97" w:rsidP="00CF4C97">
            <w:pPr>
              <w:jc w:val="center"/>
              <w:rPr>
                <w:rFonts w:cs="Arial"/>
              </w:rPr>
            </w:pPr>
            <w:r w:rsidRPr="00660BEA">
              <w:rPr>
                <w:rFonts w:cs="Arial"/>
                <w:b/>
                <w:sz w:val="24"/>
                <w:szCs w:val="24"/>
              </w:rPr>
              <w:t>Timeframe</w:t>
            </w:r>
          </w:p>
        </w:tc>
        <w:tc>
          <w:tcPr>
            <w:tcW w:w="2178" w:type="dxa"/>
            <w:shd w:val="clear" w:color="auto" w:fill="D9D9D9" w:themeFill="background1" w:themeFillShade="D9"/>
            <w:vAlign w:val="center"/>
          </w:tcPr>
          <w:p w14:paraId="1ABE9118" w14:textId="76737293" w:rsidR="00CF4C97" w:rsidRDefault="00CF4C97" w:rsidP="00CF4C97">
            <w:pPr>
              <w:rPr>
                <w:rFonts w:cs="Arial"/>
              </w:rPr>
            </w:pPr>
            <w:r w:rsidRPr="00660BEA">
              <w:rPr>
                <w:rFonts w:cs="Arial"/>
                <w:b/>
                <w:sz w:val="24"/>
                <w:szCs w:val="24"/>
              </w:rPr>
              <w:t>Comments</w:t>
            </w:r>
          </w:p>
        </w:tc>
      </w:tr>
      <w:tr w:rsidR="00CF4C97" w14:paraId="424239D3" w14:textId="77777777" w:rsidTr="00837E3C">
        <w:tc>
          <w:tcPr>
            <w:tcW w:w="2484" w:type="dxa"/>
          </w:tcPr>
          <w:p w14:paraId="4B607D23" w14:textId="73C7979A" w:rsidR="00CF4C97" w:rsidRPr="00BE605F" w:rsidRDefault="00CF4C97" w:rsidP="00CF4C97">
            <w:pPr>
              <w:rPr>
                <w:rFonts w:cs="Arial"/>
                <w:b/>
              </w:rPr>
            </w:pPr>
            <w:r>
              <w:rPr>
                <w:rFonts w:cs="Arial"/>
                <w:b/>
              </w:rPr>
              <w:t>Oversight of Specific Setting Changes</w:t>
            </w:r>
          </w:p>
        </w:tc>
        <w:tc>
          <w:tcPr>
            <w:tcW w:w="3757" w:type="dxa"/>
          </w:tcPr>
          <w:p w14:paraId="4FAD781D" w14:textId="604E55F7" w:rsidR="00CF4C97" w:rsidRDefault="00CF4C97" w:rsidP="00CF4C97">
            <w:pPr>
              <w:rPr>
                <w:rFonts w:cs="Arial"/>
              </w:rPr>
            </w:pPr>
            <w:r>
              <w:rPr>
                <w:rFonts w:cs="Arial"/>
              </w:rPr>
              <w:t>Develop</w:t>
            </w:r>
            <w:r w:rsidR="00DA19F1">
              <w:rPr>
                <w:rFonts w:cs="Arial"/>
              </w:rPr>
              <w:t>ed</w:t>
            </w:r>
            <w:r>
              <w:rPr>
                <w:rFonts w:cs="Arial"/>
              </w:rPr>
              <w:t xml:space="preserve"> processes for ongoing oversight and monitoring of compliance of AFC settings with waiver participants not living in their own home with an unrelated AFC caregiver.</w:t>
            </w:r>
          </w:p>
        </w:tc>
        <w:tc>
          <w:tcPr>
            <w:tcW w:w="2227" w:type="dxa"/>
          </w:tcPr>
          <w:p w14:paraId="4CE5C68D" w14:textId="7F63850E" w:rsidR="00CF4C97" w:rsidRDefault="00CF4C97" w:rsidP="00CF4C97">
            <w:pPr>
              <w:jc w:val="center"/>
              <w:rPr>
                <w:rFonts w:cs="Arial"/>
              </w:rPr>
            </w:pPr>
            <w:r>
              <w:rPr>
                <w:rFonts w:cs="Arial"/>
              </w:rPr>
              <w:t xml:space="preserve">March </w:t>
            </w:r>
            <w:r w:rsidR="00CC4882">
              <w:rPr>
                <w:rFonts w:cs="Arial"/>
              </w:rPr>
              <w:t xml:space="preserve">17, </w:t>
            </w:r>
            <w:r>
              <w:rPr>
                <w:rFonts w:cs="Arial"/>
              </w:rPr>
              <w:t>2023</w:t>
            </w:r>
          </w:p>
        </w:tc>
        <w:tc>
          <w:tcPr>
            <w:tcW w:w="2178" w:type="dxa"/>
          </w:tcPr>
          <w:p w14:paraId="25FEFD25" w14:textId="393D3D84" w:rsidR="00CF4C97" w:rsidRDefault="00604F48" w:rsidP="00CF4C97">
            <w:pPr>
              <w:rPr>
                <w:rFonts w:cs="Arial"/>
              </w:rPr>
            </w:pPr>
            <w:r>
              <w:rPr>
                <w:rFonts w:cs="Arial"/>
              </w:rPr>
              <w:t>Complete</w:t>
            </w:r>
          </w:p>
        </w:tc>
      </w:tr>
    </w:tbl>
    <w:p w14:paraId="57766FA9" w14:textId="77777777" w:rsidR="005B29EF" w:rsidRDefault="005B29EF" w:rsidP="00DB3B96">
      <w:pPr>
        <w:spacing w:after="0" w:line="240" w:lineRule="auto"/>
        <w:jc w:val="center"/>
        <w:rPr>
          <w:rFonts w:cs="Arial"/>
          <w:b/>
          <w:color w:val="1F497D"/>
          <w:sz w:val="36"/>
          <w:szCs w:val="36"/>
        </w:rPr>
      </w:pPr>
      <w:r>
        <w:rPr>
          <w:rFonts w:cs="Arial"/>
          <w:b/>
          <w:color w:val="1F497D"/>
          <w:sz w:val="36"/>
          <w:szCs w:val="36"/>
        </w:rPr>
        <w:br w:type="page"/>
      </w:r>
    </w:p>
    <w:p w14:paraId="75A698CF" w14:textId="77777777" w:rsidR="00720F79" w:rsidRPr="008469E7" w:rsidRDefault="00720F79" w:rsidP="00144BE9">
      <w:pPr>
        <w:pStyle w:val="Heading2"/>
      </w:pPr>
      <w:r w:rsidRPr="008469E7">
        <w:lastRenderedPageBreak/>
        <w:t>Table 4. Links to Related Documents</w:t>
      </w:r>
    </w:p>
    <w:p w14:paraId="1341250E" w14:textId="77777777" w:rsidR="00720F79" w:rsidRDefault="00720F79" w:rsidP="0036426B">
      <w:pPr>
        <w:spacing w:after="60"/>
        <w:rPr>
          <w:rFonts w:cs="Arial"/>
        </w:rPr>
      </w:pPr>
    </w:p>
    <w:tbl>
      <w:tblPr>
        <w:tblStyle w:val="TableGrid"/>
        <w:tblW w:w="5000" w:type="pct"/>
        <w:tblCellMar>
          <w:top w:w="43" w:type="dxa"/>
          <w:left w:w="115" w:type="dxa"/>
          <w:bottom w:w="43" w:type="dxa"/>
          <w:right w:w="115" w:type="dxa"/>
        </w:tblCellMar>
        <w:tblLook w:val="04A0" w:firstRow="1" w:lastRow="0" w:firstColumn="1" w:lastColumn="0" w:noHBand="0" w:noVBand="1"/>
        <w:tblCaption w:val="Table 4 Links to Related Documents"/>
        <w:tblDescription w:val="This table lists the titles and URLs of nine documents referenced elsewhere in the Statewide Transition Plan"/>
      </w:tblPr>
      <w:tblGrid>
        <w:gridCol w:w="4669"/>
        <w:gridCol w:w="5977"/>
      </w:tblGrid>
      <w:tr w:rsidR="00533EBE" w14:paraId="4AFBE87E" w14:textId="77777777" w:rsidTr="2E4F0E32">
        <w:trPr>
          <w:cantSplit/>
          <w:trHeight w:val="432"/>
          <w:tblHeader/>
        </w:trPr>
        <w:tc>
          <w:tcPr>
            <w:tcW w:w="2193" w:type="pct"/>
            <w:shd w:val="clear" w:color="auto" w:fill="D9D9D9" w:themeFill="background1" w:themeFillShade="D9"/>
            <w:vAlign w:val="center"/>
          </w:tcPr>
          <w:p w14:paraId="45373445" w14:textId="77777777" w:rsidR="00720F79" w:rsidRPr="00761559" w:rsidRDefault="00720F79" w:rsidP="00720F79">
            <w:pPr>
              <w:jc w:val="center"/>
              <w:rPr>
                <w:rFonts w:cs="Arial"/>
                <w:b/>
                <w:sz w:val="28"/>
                <w:szCs w:val="28"/>
              </w:rPr>
            </w:pPr>
            <w:r w:rsidRPr="00761559">
              <w:rPr>
                <w:rFonts w:cs="Arial"/>
                <w:b/>
                <w:sz w:val="28"/>
                <w:szCs w:val="28"/>
              </w:rPr>
              <w:t>Document</w:t>
            </w:r>
          </w:p>
        </w:tc>
        <w:tc>
          <w:tcPr>
            <w:tcW w:w="2807" w:type="pct"/>
            <w:shd w:val="clear" w:color="auto" w:fill="D9D9D9" w:themeFill="background1" w:themeFillShade="D9"/>
            <w:vAlign w:val="center"/>
          </w:tcPr>
          <w:p w14:paraId="71DD1F05" w14:textId="77777777" w:rsidR="00720F79" w:rsidRPr="00761559" w:rsidRDefault="008162CB" w:rsidP="00720F79">
            <w:pPr>
              <w:jc w:val="center"/>
              <w:rPr>
                <w:rFonts w:cs="Arial"/>
                <w:b/>
                <w:sz w:val="28"/>
                <w:szCs w:val="28"/>
              </w:rPr>
            </w:pPr>
            <w:r>
              <w:rPr>
                <w:rFonts w:cs="Arial"/>
                <w:b/>
                <w:sz w:val="28"/>
                <w:szCs w:val="28"/>
              </w:rPr>
              <w:t>URL</w:t>
            </w:r>
          </w:p>
        </w:tc>
      </w:tr>
      <w:tr w:rsidR="00533EBE" w14:paraId="4753B4CF" w14:textId="77777777" w:rsidTr="2E4F0E32">
        <w:trPr>
          <w:trHeight w:val="576"/>
        </w:trPr>
        <w:tc>
          <w:tcPr>
            <w:tcW w:w="2193" w:type="pct"/>
          </w:tcPr>
          <w:p w14:paraId="3D131658" w14:textId="77777777" w:rsidR="0036426B" w:rsidRDefault="0036426B" w:rsidP="0036426B">
            <w:pPr>
              <w:rPr>
                <w:rFonts w:cs="Arial"/>
              </w:rPr>
            </w:pPr>
            <w:r w:rsidRPr="0036426B">
              <w:rPr>
                <w:rFonts w:cs="Arial"/>
                <w:szCs w:val="20"/>
              </w:rPr>
              <w:t>CMS Frequently Asked Questions (FAQs) Guidance on Heightened Scrutiny (HS) (March 22, 2019)</w:t>
            </w:r>
          </w:p>
        </w:tc>
        <w:tc>
          <w:tcPr>
            <w:tcW w:w="2807" w:type="pct"/>
          </w:tcPr>
          <w:p w14:paraId="204D0F61" w14:textId="232D8599" w:rsidR="0036426B" w:rsidRPr="0036426B" w:rsidRDefault="00B0344A">
            <w:pPr>
              <w:rPr>
                <w:rFonts w:cs="Arial"/>
              </w:rPr>
            </w:pPr>
            <w:hyperlink r:id="rId139" w:tooltip="A link to the federal policy guidance document." w:history="1">
              <w:r w:rsidR="0036426B" w:rsidRPr="0036426B">
                <w:rPr>
                  <w:rStyle w:val="Hyperlink"/>
                  <w:rFonts w:cs="Arial"/>
                </w:rPr>
                <w:t>https://www.medicaid.gov/federal-policy-guidance/downloads/smd19001.pdf</w:t>
              </w:r>
            </w:hyperlink>
            <w:r w:rsidR="0036426B" w:rsidRPr="0036426B">
              <w:rPr>
                <w:rFonts w:cs="Arial"/>
              </w:rPr>
              <w:t xml:space="preserve"> </w:t>
            </w:r>
          </w:p>
        </w:tc>
      </w:tr>
      <w:tr w:rsidR="00533EBE" w14:paraId="6430F009" w14:textId="77777777" w:rsidTr="2E4F0E32">
        <w:trPr>
          <w:trHeight w:val="576"/>
        </w:trPr>
        <w:tc>
          <w:tcPr>
            <w:tcW w:w="2193" w:type="pct"/>
          </w:tcPr>
          <w:p w14:paraId="714C485B" w14:textId="77777777" w:rsidR="00720F79" w:rsidRDefault="00FF35BF" w:rsidP="00FF35BF">
            <w:pPr>
              <w:rPr>
                <w:rFonts w:cs="Arial"/>
              </w:rPr>
            </w:pPr>
            <w:r>
              <w:rPr>
                <w:rFonts w:cs="Arial"/>
              </w:rPr>
              <w:t xml:space="preserve">DDS Blueprint for Success (Employment Supports) </w:t>
            </w:r>
          </w:p>
        </w:tc>
        <w:tc>
          <w:tcPr>
            <w:tcW w:w="2807" w:type="pct"/>
          </w:tcPr>
          <w:p w14:paraId="0EA9D739" w14:textId="2013A0B7" w:rsidR="00720F79" w:rsidRDefault="15618D5C">
            <w:r>
              <w:t xml:space="preserve">2023: </w:t>
            </w:r>
            <w:hyperlink r:id="rId140" w:history="1">
              <w:r w:rsidR="007E0FBA" w:rsidRPr="00C24396">
                <w:rPr>
                  <w:rStyle w:val="Hyperlink"/>
                </w:rPr>
                <w:t>https://www.mass.gov/doc/dds-blueprint-for-success-moving-forward-together</w:t>
              </w:r>
            </w:hyperlink>
          </w:p>
          <w:p w14:paraId="788259FC" w14:textId="77777777" w:rsidR="007E0FBA" w:rsidRDefault="007E0FBA"/>
          <w:p w14:paraId="1680BF20" w14:textId="3CBAF6D0" w:rsidR="00720F79" w:rsidRDefault="15618D5C" w:rsidP="0BF318FE">
            <w:pPr>
              <w:rPr>
                <w:rFonts w:cs="Arial"/>
              </w:rPr>
            </w:pPr>
            <w:r>
              <w:t xml:space="preserve">2013: </w:t>
            </w:r>
            <w:hyperlink r:id="rId141">
              <w:r w:rsidR="00C26176" w:rsidRPr="0BF318FE">
                <w:rPr>
                  <w:rStyle w:val="Hyperlink"/>
                </w:rPr>
                <w:t>https://www.mass.gov/doc/blueprint-for-success/download</w:t>
              </w:r>
            </w:hyperlink>
            <w:r w:rsidR="00C26176">
              <w:t xml:space="preserve"> </w:t>
            </w:r>
          </w:p>
        </w:tc>
      </w:tr>
      <w:tr w:rsidR="00533EBE" w14:paraId="691339AA" w14:textId="77777777" w:rsidTr="2E4F0E32">
        <w:trPr>
          <w:trHeight w:val="576"/>
        </w:trPr>
        <w:tc>
          <w:tcPr>
            <w:tcW w:w="2193" w:type="pct"/>
          </w:tcPr>
          <w:p w14:paraId="63C1DE15" w14:textId="60FD5C8D" w:rsidR="00A72233" w:rsidRDefault="00A72233" w:rsidP="00FF35BF">
            <w:pPr>
              <w:rPr>
                <w:rFonts w:cs="Arial"/>
              </w:rPr>
            </w:pPr>
            <w:r>
              <w:rPr>
                <w:rFonts w:cs="Arial"/>
              </w:rPr>
              <w:t>DDS Guidance on Locks</w:t>
            </w:r>
          </w:p>
        </w:tc>
        <w:tc>
          <w:tcPr>
            <w:tcW w:w="2807" w:type="pct"/>
          </w:tcPr>
          <w:p w14:paraId="748BD371" w14:textId="333B8B04" w:rsidR="00AB4B67" w:rsidRDefault="00AB4B67">
            <w:r>
              <w:t xml:space="preserve">2022: </w:t>
            </w:r>
            <w:hyperlink r:id="rId142" w:history="1">
              <w:r>
                <w:rPr>
                  <w:rStyle w:val="Hyperlink"/>
                </w:rPr>
                <w:t>https://www.mass.gov/doc/dds-guidance-on-locks-october-2022/download</w:t>
              </w:r>
            </w:hyperlink>
          </w:p>
          <w:p w14:paraId="1F71BAAD" w14:textId="5A5758EA" w:rsidR="00CC0EDA" w:rsidRDefault="00251A6D">
            <w:r>
              <w:t xml:space="preserve">2016: </w:t>
            </w:r>
            <w:hyperlink r:id="rId143" w:history="1">
              <w:r w:rsidRPr="00251A6D">
                <w:rPr>
                  <w:rStyle w:val="Hyperlink"/>
                </w:rPr>
                <w:t>https://www.mass.gov/doc/guidance-on-locks-1/download</w:t>
              </w:r>
            </w:hyperlink>
            <w:r w:rsidR="00C26176">
              <w:t xml:space="preserve"> </w:t>
            </w:r>
          </w:p>
        </w:tc>
      </w:tr>
      <w:tr w:rsidR="006111D1" w14:paraId="1CD7A0BB" w14:textId="77777777" w:rsidTr="2E4F0E32">
        <w:trPr>
          <w:trHeight w:val="576"/>
        </w:trPr>
        <w:tc>
          <w:tcPr>
            <w:tcW w:w="2193" w:type="pct"/>
          </w:tcPr>
          <w:p w14:paraId="5E55CE07" w14:textId="7986ADA7" w:rsidR="006111D1" w:rsidRDefault="006111D1" w:rsidP="00FF35BF">
            <w:pPr>
              <w:rPr>
                <w:rFonts w:cs="Arial"/>
              </w:rPr>
            </w:pPr>
            <w:r w:rsidRPr="18FCD320">
              <w:rPr>
                <w:rFonts w:cs="Arial"/>
              </w:rPr>
              <w:t>DDS Guidance on Residential Agreements</w:t>
            </w:r>
          </w:p>
        </w:tc>
        <w:tc>
          <w:tcPr>
            <w:tcW w:w="2807" w:type="pct"/>
          </w:tcPr>
          <w:p w14:paraId="1CCDC3A7" w14:textId="3DFC6C91" w:rsidR="006111D1" w:rsidRDefault="00B0344A" w:rsidP="006111D1">
            <w:hyperlink r:id="rId144" w:history="1">
              <w:r w:rsidR="006111D1" w:rsidRPr="00023315">
                <w:rPr>
                  <w:rStyle w:val="Hyperlink"/>
                </w:rPr>
                <w:t>https://www.mass.gov/doc/guidance-on-residential-agreements-2023/download</w:t>
              </w:r>
            </w:hyperlink>
          </w:p>
        </w:tc>
      </w:tr>
      <w:tr w:rsidR="00873555" w14:paraId="494AEFA7" w14:textId="77777777" w:rsidTr="2E4F0E32">
        <w:trPr>
          <w:trHeight w:val="576"/>
        </w:trPr>
        <w:tc>
          <w:tcPr>
            <w:tcW w:w="2193" w:type="pct"/>
          </w:tcPr>
          <w:p w14:paraId="2217D9D0" w14:textId="4FE28884" w:rsidR="00873555" w:rsidRDefault="00873555" w:rsidP="00FF35BF">
            <w:pPr>
              <w:rPr>
                <w:rFonts w:cs="Arial"/>
              </w:rPr>
            </w:pPr>
            <w:r>
              <w:rPr>
                <w:rFonts w:cs="Arial"/>
              </w:rPr>
              <w:t>DDS Guidance on Visitation</w:t>
            </w:r>
          </w:p>
        </w:tc>
        <w:tc>
          <w:tcPr>
            <w:tcW w:w="2807" w:type="pct"/>
          </w:tcPr>
          <w:p w14:paraId="080BD730" w14:textId="19DF01DD" w:rsidR="00873555" w:rsidRDefault="00B0344A">
            <w:hyperlink r:id="rId145" w:history="1">
              <w:r w:rsidR="003759D1">
                <w:rPr>
                  <w:rStyle w:val="Hyperlink"/>
                </w:rPr>
                <w:t>https://www.mass.gov/doc/dds-guidance-on-visitation-october-2022/download</w:t>
              </w:r>
            </w:hyperlink>
            <w:r w:rsidR="003759D1">
              <w:t xml:space="preserve"> </w:t>
            </w:r>
          </w:p>
        </w:tc>
      </w:tr>
      <w:tr w:rsidR="00B8688B" w14:paraId="146256A2" w14:textId="77777777" w:rsidTr="2E4F0E32">
        <w:trPr>
          <w:trHeight w:val="576"/>
        </w:trPr>
        <w:tc>
          <w:tcPr>
            <w:tcW w:w="2193" w:type="pct"/>
          </w:tcPr>
          <w:p w14:paraId="4961F19C" w14:textId="469D6701" w:rsidR="00C40508" w:rsidRDefault="00C40508" w:rsidP="00FF35BF">
            <w:pPr>
              <w:rPr>
                <w:rFonts w:cs="Arial"/>
              </w:rPr>
            </w:pPr>
            <w:r>
              <w:rPr>
                <w:rFonts w:cs="Arial"/>
              </w:rPr>
              <w:t>DDS Individual Support Plan Manual</w:t>
            </w:r>
          </w:p>
        </w:tc>
        <w:tc>
          <w:tcPr>
            <w:tcW w:w="2807" w:type="pct"/>
          </w:tcPr>
          <w:p w14:paraId="4D7ECBEE" w14:textId="7D198380" w:rsidR="00B8688B" w:rsidRDefault="00B0344A">
            <w:hyperlink r:id="rId146" w:history="1">
              <w:r w:rsidR="00B8688B" w:rsidRPr="00A26BAA">
                <w:rPr>
                  <w:rStyle w:val="Hyperlink"/>
                </w:rPr>
                <w:t>https://www.ddslearning.com/isp</w:t>
              </w:r>
            </w:hyperlink>
            <w:r w:rsidR="00B8688B">
              <w:t xml:space="preserve"> </w:t>
            </w:r>
          </w:p>
        </w:tc>
      </w:tr>
      <w:tr w:rsidR="00533EBE" w14:paraId="74A63BD2" w14:textId="77777777" w:rsidTr="2E4F0E32">
        <w:trPr>
          <w:trHeight w:val="576"/>
        </w:trPr>
        <w:tc>
          <w:tcPr>
            <w:tcW w:w="2193" w:type="pct"/>
          </w:tcPr>
          <w:p w14:paraId="44757910" w14:textId="77777777" w:rsidR="00720F79" w:rsidRDefault="00FF35BF">
            <w:pPr>
              <w:rPr>
                <w:rFonts w:cs="Arial"/>
              </w:rPr>
            </w:pPr>
            <w:r>
              <w:rPr>
                <w:rFonts w:cs="Arial"/>
              </w:rPr>
              <w:t xml:space="preserve">DDS Employment Progress Report </w:t>
            </w:r>
          </w:p>
        </w:tc>
        <w:tc>
          <w:tcPr>
            <w:tcW w:w="2807" w:type="pct"/>
          </w:tcPr>
          <w:p w14:paraId="69B234F3" w14:textId="4302AA59" w:rsidR="00720F79" w:rsidRDefault="00B0344A">
            <w:pPr>
              <w:rPr>
                <w:rFonts w:cs="Arial"/>
              </w:rPr>
            </w:pPr>
            <w:hyperlink r:id="rId147" w:history="1">
              <w:r w:rsidR="00011A5A" w:rsidRPr="00CF331B">
                <w:rPr>
                  <w:rStyle w:val="Hyperlink"/>
                </w:rPr>
                <w:t>https://www.mass.gov/doc/fy21-progress-report/download</w:t>
              </w:r>
            </w:hyperlink>
          </w:p>
        </w:tc>
      </w:tr>
      <w:tr w:rsidR="00533EBE" w14:paraId="48E6B962" w14:textId="77777777" w:rsidTr="2E4F0E32">
        <w:trPr>
          <w:trHeight w:val="720"/>
        </w:trPr>
        <w:tc>
          <w:tcPr>
            <w:tcW w:w="2193" w:type="pct"/>
          </w:tcPr>
          <w:p w14:paraId="2851D68F" w14:textId="77777777" w:rsidR="00720F79" w:rsidRDefault="00FD4707" w:rsidP="0056433A">
            <w:pPr>
              <w:rPr>
                <w:rFonts w:cs="Arial"/>
              </w:rPr>
            </w:pPr>
            <w:r>
              <w:rPr>
                <w:rFonts w:cs="Arial"/>
              </w:rPr>
              <w:t xml:space="preserve">DDS </w:t>
            </w:r>
            <w:r w:rsidR="0056433A">
              <w:rPr>
                <w:rFonts w:cs="Arial"/>
              </w:rPr>
              <w:t xml:space="preserve">Revised Guidance </w:t>
            </w:r>
            <w:r>
              <w:rPr>
                <w:rFonts w:cs="Arial"/>
              </w:rPr>
              <w:t>Criteria</w:t>
            </w:r>
            <w:r w:rsidR="0056433A">
              <w:rPr>
                <w:rFonts w:cs="Arial"/>
              </w:rPr>
              <w:t xml:space="preserve"> to Assist Providers in Compliance with HCB Settings Requirements</w:t>
            </w:r>
            <w:r>
              <w:rPr>
                <w:rFonts w:cs="Arial"/>
              </w:rPr>
              <w:t xml:space="preserve"> </w:t>
            </w:r>
          </w:p>
        </w:tc>
        <w:tc>
          <w:tcPr>
            <w:tcW w:w="2807" w:type="pct"/>
          </w:tcPr>
          <w:p w14:paraId="66A0FBBF" w14:textId="652019FA" w:rsidR="00720F79" w:rsidRDefault="00B0344A">
            <w:pPr>
              <w:rPr>
                <w:rFonts w:cs="Arial"/>
              </w:rPr>
            </w:pPr>
            <w:hyperlink r:id="rId148" w:history="1">
              <w:r w:rsidR="00011A5A" w:rsidRPr="00881B3A">
                <w:rPr>
                  <w:rStyle w:val="Hyperlink"/>
                </w:rPr>
                <w:t>https://www.mass.gov/doc/dds-appendix-d-dds-criteria-for-review-of-provider-transition-plans-2</w:t>
              </w:r>
            </w:hyperlink>
            <w:r w:rsidR="00011A5A">
              <w:t xml:space="preserve"> </w:t>
            </w:r>
          </w:p>
        </w:tc>
      </w:tr>
      <w:tr w:rsidR="00533EBE" w14:paraId="492D932B" w14:textId="77777777" w:rsidTr="2E4F0E32">
        <w:trPr>
          <w:trHeight w:val="576"/>
        </w:trPr>
        <w:tc>
          <w:tcPr>
            <w:tcW w:w="2193" w:type="pct"/>
          </w:tcPr>
          <w:p w14:paraId="5662CD20" w14:textId="77777777" w:rsidR="00720F79" w:rsidRDefault="00FD4707">
            <w:pPr>
              <w:rPr>
                <w:rFonts w:cs="Arial"/>
              </w:rPr>
            </w:pPr>
            <w:r>
              <w:rPr>
                <w:rFonts w:cs="Arial"/>
              </w:rPr>
              <w:t>DDS Survey of Community Based Day Services</w:t>
            </w:r>
          </w:p>
        </w:tc>
        <w:tc>
          <w:tcPr>
            <w:tcW w:w="2807" w:type="pct"/>
          </w:tcPr>
          <w:p w14:paraId="27642D60" w14:textId="0F23B095" w:rsidR="00720F79" w:rsidRDefault="00B0344A">
            <w:pPr>
              <w:rPr>
                <w:rFonts w:cs="Arial"/>
              </w:rPr>
            </w:pPr>
            <w:hyperlink r:id="rId149" w:history="1">
              <w:r w:rsidR="00011A5A" w:rsidRPr="00881B3A">
                <w:rPr>
                  <w:rStyle w:val="Hyperlink"/>
                </w:rPr>
                <w:t>https://www.mass.gov/doc/dds-appendix-f-survey-of-community-based-day-services/</w:t>
              </w:r>
            </w:hyperlink>
            <w:r w:rsidR="00011A5A">
              <w:t xml:space="preserve"> </w:t>
            </w:r>
            <w:r w:rsidR="00011A5A">
              <w:rPr>
                <w:rFonts w:cs="Arial"/>
              </w:rPr>
              <w:t xml:space="preserve"> </w:t>
            </w:r>
          </w:p>
        </w:tc>
      </w:tr>
      <w:tr w:rsidR="00533EBE" w14:paraId="21892212" w14:textId="77777777" w:rsidTr="2E4F0E32">
        <w:trPr>
          <w:trHeight w:val="576"/>
        </w:trPr>
        <w:tc>
          <w:tcPr>
            <w:tcW w:w="2193" w:type="pct"/>
          </w:tcPr>
          <w:p w14:paraId="0ECE6F6E" w14:textId="43B2C6D1" w:rsidR="00826BFF" w:rsidRDefault="00826BFF" w:rsidP="00640DA8">
            <w:pPr>
              <w:rPr>
                <w:rFonts w:cs="Arial"/>
              </w:rPr>
            </w:pPr>
            <w:proofErr w:type="gramStart"/>
            <w:r>
              <w:rPr>
                <w:rFonts w:cs="Arial"/>
              </w:rPr>
              <w:t>MA.0059.</w:t>
            </w:r>
            <w:r w:rsidR="00640DA8">
              <w:rPr>
                <w:rFonts w:cs="Arial"/>
              </w:rPr>
              <w:t>R</w:t>
            </w:r>
            <w:proofErr w:type="gramEnd"/>
            <w:r w:rsidR="00640DA8">
              <w:rPr>
                <w:rFonts w:cs="Arial"/>
              </w:rPr>
              <w:t>07</w:t>
            </w:r>
            <w:r>
              <w:rPr>
                <w:rFonts w:cs="Arial"/>
              </w:rPr>
              <w:t>.00 Frail Elder Waiver application</w:t>
            </w:r>
          </w:p>
        </w:tc>
        <w:tc>
          <w:tcPr>
            <w:tcW w:w="2807" w:type="pct"/>
          </w:tcPr>
          <w:p w14:paraId="20957A7F" w14:textId="05E65B6C" w:rsidR="00826BFF" w:rsidRPr="00E77AA1" w:rsidRDefault="00B0344A" w:rsidP="007422DD">
            <w:pPr>
              <w:rPr>
                <w:rFonts w:cs="Arial"/>
              </w:rPr>
            </w:pPr>
            <w:hyperlink r:id="rId150" w:history="1">
              <w:r w:rsidR="00C26176" w:rsidRPr="00FD7D31">
                <w:rPr>
                  <w:rStyle w:val="Hyperlink"/>
                </w:rPr>
                <w:t>https://www.medicaid.gov/medicaid/section-1115-demo/demonstration-and-waiver-list/82036</w:t>
              </w:r>
            </w:hyperlink>
            <w:r w:rsidR="00C26176">
              <w:t xml:space="preserve"> </w:t>
            </w:r>
          </w:p>
        </w:tc>
      </w:tr>
      <w:tr w:rsidR="00533EBE" w14:paraId="2945AF06" w14:textId="77777777" w:rsidTr="2E4F0E32">
        <w:trPr>
          <w:trHeight w:val="720"/>
        </w:trPr>
        <w:tc>
          <w:tcPr>
            <w:tcW w:w="2193" w:type="pct"/>
          </w:tcPr>
          <w:p w14:paraId="24ECCE67" w14:textId="77777777" w:rsidR="00826BFF" w:rsidRDefault="00F133D3" w:rsidP="007422DD">
            <w:pPr>
              <w:rPr>
                <w:rFonts w:cs="Arial"/>
              </w:rPr>
            </w:pPr>
            <w:r>
              <w:rPr>
                <w:rFonts w:cs="Arial"/>
              </w:rPr>
              <w:t xml:space="preserve">Attachment D - </w:t>
            </w:r>
            <w:r w:rsidR="00826BFF">
              <w:rPr>
                <w:rFonts w:cs="Arial"/>
              </w:rPr>
              <w:t xml:space="preserve">Responses to Comments Received on the Massachusetts Transition Plan </w:t>
            </w:r>
            <w:r w:rsidR="00826BFF">
              <w:rPr>
                <w:rFonts w:cs="Arial"/>
              </w:rPr>
              <w:br/>
              <w:t>(October 15 – November 15, 2014)</w:t>
            </w:r>
          </w:p>
        </w:tc>
        <w:tc>
          <w:tcPr>
            <w:tcW w:w="2807" w:type="pct"/>
          </w:tcPr>
          <w:p w14:paraId="2BB7124C" w14:textId="6F9260BF" w:rsidR="00826BFF" w:rsidRDefault="00B0344A" w:rsidP="007422DD">
            <w:pPr>
              <w:rPr>
                <w:rFonts w:cs="Arial"/>
              </w:rPr>
            </w:pPr>
            <w:hyperlink r:id="rId151" w:history="1">
              <w:r w:rsidR="00011A5A" w:rsidRPr="00CF331B">
                <w:rPr>
                  <w:rStyle w:val="Hyperlink"/>
                </w:rPr>
                <w:t>https://www.mass.gov/doc/responses-to-comments-received-on-the-massachusetts-transition-plan/download</w:t>
              </w:r>
            </w:hyperlink>
          </w:p>
        </w:tc>
      </w:tr>
      <w:tr w:rsidR="00533EBE" w14:paraId="3CF6D6D2" w14:textId="77777777" w:rsidTr="2E4F0E32">
        <w:trPr>
          <w:trHeight w:val="720"/>
        </w:trPr>
        <w:tc>
          <w:tcPr>
            <w:tcW w:w="2193" w:type="pct"/>
          </w:tcPr>
          <w:p w14:paraId="7158429B" w14:textId="77777777" w:rsidR="00826BFF" w:rsidRDefault="00F133D3" w:rsidP="007422DD">
            <w:pPr>
              <w:rPr>
                <w:rFonts w:cs="Arial"/>
              </w:rPr>
            </w:pPr>
            <w:r>
              <w:rPr>
                <w:rFonts w:cs="Arial"/>
              </w:rPr>
              <w:t xml:space="preserve">Attachment D - </w:t>
            </w:r>
            <w:r w:rsidR="00826BFF">
              <w:rPr>
                <w:rFonts w:cs="Arial"/>
              </w:rPr>
              <w:t>Responses to Comments Received on the Addendum for Non-residential Services</w:t>
            </w:r>
            <w:r w:rsidR="00826BFF">
              <w:rPr>
                <w:rFonts w:cs="Arial"/>
              </w:rPr>
              <w:br/>
              <w:t>(May 18 – June 18, 2015)</w:t>
            </w:r>
          </w:p>
        </w:tc>
        <w:tc>
          <w:tcPr>
            <w:tcW w:w="2807" w:type="pct"/>
          </w:tcPr>
          <w:p w14:paraId="620034CF" w14:textId="7040CD59" w:rsidR="00826BFF" w:rsidRDefault="00B0344A" w:rsidP="007422DD">
            <w:pPr>
              <w:rPr>
                <w:rFonts w:cs="Arial"/>
              </w:rPr>
            </w:pPr>
            <w:hyperlink r:id="rId152" w:history="1">
              <w:r w:rsidR="00011A5A" w:rsidRPr="00CF331B">
                <w:rPr>
                  <w:rStyle w:val="Hyperlink"/>
                </w:rPr>
                <w:t>https://www.mass.gov/doc/attachment-d-responses-to-comments-received-on-the-addendum-for-non-residential-services/download</w:t>
              </w:r>
            </w:hyperlink>
            <w:r w:rsidR="00011A5A">
              <w:rPr>
                <w:rStyle w:val="Hyperlink"/>
              </w:rPr>
              <w:t xml:space="preserve"> </w:t>
            </w:r>
            <w:r w:rsidR="00011A5A">
              <w:rPr>
                <w:rFonts w:cs="Arial"/>
              </w:rPr>
              <w:t xml:space="preserve"> </w:t>
            </w:r>
          </w:p>
        </w:tc>
      </w:tr>
      <w:tr w:rsidR="00533EBE" w14:paraId="5A60A947" w14:textId="77777777" w:rsidTr="2E4F0E32">
        <w:trPr>
          <w:trHeight w:val="720"/>
        </w:trPr>
        <w:tc>
          <w:tcPr>
            <w:tcW w:w="2193" w:type="pct"/>
          </w:tcPr>
          <w:p w14:paraId="649C0629" w14:textId="77777777" w:rsidR="00826BFF" w:rsidRDefault="00826BFF" w:rsidP="007422DD">
            <w:pPr>
              <w:rPr>
                <w:rFonts w:cs="Arial"/>
              </w:rPr>
            </w:pPr>
            <w:r>
              <w:rPr>
                <w:rFonts w:cs="Arial"/>
              </w:rPr>
              <w:t xml:space="preserve">Responses to Comments Received on the Revised Massachusetts STP </w:t>
            </w:r>
          </w:p>
          <w:p w14:paraId="50A544DC" w14:textId="77777777" w:rsidR="00826BFF" w:rsidRDefault="00826BFF" w:rsidP="007422DD">
            <w:pPr>
              <w:rPr>
                <w:rFonts w:cs="Arial"/>
              </w:rPr>
            </w:pPr>
            <w:r>
              <w:rPr>
                <w:rFonts w:cs="Arial"/>
              </w:rPr>
              <w:t>(July 8 – August 10, 2016)</w:t>
            </w:r>
          </w:p>
        </w:tc>
        <w:tc>
          <w:tcPr>
            <w:tcW w:w="2807" w:type="pct"/>
          </w:tcPr>
          <w:p w14:paraId="6F4F9053" w14:textId="634BD830" w:rsidR="00826BFF" w:rsidRPr="00E77AA1" w:rsidRDefault="00B0344A" w:rsidP="007422DD">
            <w:pPr>
              <w:rPr>
                <w:rFonts w:cs="Arial"/>
              </w:rPr>
            </w:pPr>
            <w:hyperlink r:id="rId153" w:history="1">
              <w:r w:rsidR="00C26176" w:rsidRPr="00FD7D31">
                <w:rPr>
                  <w:rStyle w:val="Hyperlink"/>
                </w:rPr>
                <w:t>https://www.mass.gov/doc/summary-of-public-input-0/download</w:t>
              </w:r>
            </w:hyperlink>
            <w:r w:rsidR="00C26176">
              <w:t xml:space="preserve"> </w:t>
            </w:r>
          </w:p>
        </w:tc>
      </w:tr>
      <w:tr w:rsidR="00945A85" w14:paraId="59F7A511" w14:textId="77777777" w:rsidTr="2E4F0E32">
        <w:trPr>
          <w:trHeight w:val="720"/>
        </w:trPr>
        <w:tc>
          <w:tcPr>
            <w:tcW w:w="2193" w:type="pct"/>
          </w:tcPr>
          <w:p w14:paraId="38DCA4CE" w14:textId="680994D6" w:rsidR="00945A85" w:rsidRDefault="00945A85" w:rsidP="00945A85">
            <w:pPr>
              <w:rPr>
                <w:rFonts w:cs="Arial"/>
              </w:rPr>
            </w:pPr>
            <w:r w:rsidRPr="6B707AD4">
              <w:rPr>
                <w:rFonts w:cs="Arial"/>
              </w:rPr>
              <w:lastRenderedPageBreak/>
              <w:t>DDS Residential and Day/Employment Provider Licensing Reports</w:t>
            </w:r>
          </w:p>
        </w:tc>
        <w:tc>
          <w:tcPr>
            <w:tcW w:w="2807" w:type="pct"/>
          </w:tcPr>
          <w:p w14:paraId="24DF0805" w14:textId="28C521E8" w:rsidR="00945A85" w:rsidRDefault="00B0344A" w:rsidP="00945A85">
            <w:hyperlink r:id="rId154" w:history="1">
              <w:r w:rsidR="00074063" w:rsidRPr="00E73CBA">
                <w:rPr>
                  <w:rStyle w:val="Hyperlink"/>
                </w:rPr>
                <w:t>https://www.mass.gov/lists/dds-provider-licensing-reports</w:t>
              </w:r>
            </w:hyperlink>
          </w:p>
          <w:p w14:paraId="03AB3407" w14:textId="16BB274A" w:rsidR="00074063" w:rsidRDefault="00074063" w:rsidP="00945A85"/>
        </w:tc>
      </w:tr>
      <w:tr w:rsidR="00523C2B" w14:paraId="1E9A05CA" w14:textId="77777777" w:rsidTr="2E4F0E32">
        <w:trPr>
          <w:trHeight w:val="720"/>
        </w:trPr>
        <w:tc>
          <w:tcPr>
            <w:tcW w:w="2193" w:type="pct"/>
          </w:tcPr>
          <w:p w14:paraId="2F67BF15" w14:textId="2B7B9A9F" w:rsidR="00523C2B" w:rsidRPr="6B707AD4" w:rsidRDefault="00EB1624" w:rsidP="6B707AD4">
            <w:pPr>
              <w:rPr>
                <w:rFonts w:cs="Arial"/>
              </w:rPr>
            </w:pPr>
            <w:r w:rsidRPr="00EB1624">
              <w:rPr>
                <w:rFonts w:cs="Arial"/>
              </w:rPr>
              <w:t>DDS Provider licensure reports for the small set of DDS residential providers that required more substantive changes to achieve full compliance</w:t>
            </w:r>
          </w:p>
        </w:tc>
        <w:tc>
          <w:tcPr>
            <w:tcW w:w="2807" w:type="pct"/>
          </w:tcPr>
          <w:p w14:paraId="757AD468" w14:textId="77777777" w:rsidR="00523C2B" w:rsidRDefault="00523C2B" w:rsidP="00523C2B">
            <w:pPr>
              <w:rPr>
                <w:rFonts w:ascii="Calibri" w:hAnsi="Calibri"/>
              </w:rPr>
            </w:pPr>
            <w:r>
              <w:t>1.    Archway</w:t>
            </w:r>
          </w:p>
          <w:p w14:paraId="043393EB" w14:textId="77777777" w:rsidR="00523C2B" w:rsidRDefault="00B0344A" w:rsidP="00523C2B">
            <w:hyperlink r:id="rId155" w:history="1">
              <w:r w:rsidR="00523C2B">
                <w:rPr>
                  <w:rStyle w:val="Hyperlink"/>
                </w:rPr>
                <w:t>https://www.mass.gov/doc/archway-provider-report-2020/download</w:t>
              </w:r>
            </w:hyperlink>
          </w:p>
          <w:p w14:paraId="49BE54D8" w14:textId="77777777" w:rsidR="00523C2B" w:rsidRDefault="00523C2B" w:rsidP="00523C2B">
            <w:r>
              <w:t xml:space="preserve">2.    Berkshire Hills </w:t>
            </w:r>
          </w:p>
          <w:p w14:paraId="25C9BE55" w14:textId="77777777" w:rsidR="00523C2B" w:rsidRDefault="00B0344A" w:rsidP="00523C2B">
            <w:hyperlink r:id="rId156" w:history="1">
              <w:r w:rsidR="00523C2B">
                <w:rPr>
                  <w:rStyle w:val="Hyperlink"/>
                </w:rPr>
                <w:t>https://www.mass.gov/doc/berkshire-hills-music-academy-provider-report-2023/download</w:t>
              </w:r>
            </w:hyperlink>
          </w:p>
          <w:p w14:paraId="479790E1" w14:textId="77777777" w:rsidR="00523C2B" w:rsidRDefault="00523C2B" w:rsidP="00523C2B">
            <w:r>
              <w:t>3.    Justice Resource Institute (Berkshire Meadows)</w:t>
            </w:r>
          </w:p>
          <w:p w14:paraId="1C9DE4F4" w14:textId="77777777" w:rsidR="00523C2B" w:rsidRDefault="00B0344A" w:rsidP="00523C2B">
            <w:hyperlink r:id="rId157" w:history="1">
              <w:r w:rsidR="00523C2B">
                <w:rPr>
                  <w:rStyle w:val="Hyperlink"/>
                </w:rPr>
                <w:t>https://www.mass.gov/doc/justice-resource-institute-2020/download</w:t>
              </w:r>
            </w:hyperlink>
          </w:p>
          <w:p w14:paraId="7065169D" w14:textId="77777777" w:rsidR="00523C2B" w:rsidRDefault="00523C2B" w:rsidP="00523C2B">
            <w:r>
              <w:t>4.    Cardinal Cushing</w:t>
            </w:r>
          </w:p>
          <w:p w14:paraId="71218B27" w14:textId="77777777" w:rsidR="00523C2B" w:rsidRDefault="00B0344A" w:rsidP="00523C2B">
            <w:hyperlink r:id="rId158" w:history="1">
              <w:r w:rsidR="00523C2B">
                <w:rPr>
                  <w:rStyle w:val="Hyperlink"/>
                </w:rPr>
                <w:t>https://www.mass.gov/doc/cardinal-cushing-centers-2021/download</w:t>
              </w:r>
            </w:hyperlink>
          </w:p>
          <w:p w14:paraId="2EE45CC4" w14:textId="77777777" w:rsidR="00523C2B" w:rsidRDefault="00523C2B" w:rsidP="00523C2B">
            <w:r>
              <w:t>5.    Central Residential Services</w:t>
            </w:r>
          </w:p>
          <w:p w14:paraId="09C79FF3" w14:textId="77777777" w:rsidR="00523C2B" w:rsidRDefault="00B0344A" w:rsidP="00523C2B">
            <w:hyperlink r:id="rId159" w:history="1">
              <w:r w:rsidR="00523C2B">
                <w:rPr>
                  <w:rStyle w:val="Hyperlink"/>
                </w:rPr>
                <w:t>https://www.mass.gov/doc/dds-central-state-ops-provider-report-2022/download</w:t>
              </w:r>
            </w:hyperlink>
          </w:p>
          <w:p w14:paraId="4A4FF176" w14:textId="77777777" w:rsidR="00523C2B" w:rsidRDefault="00523C2B" w:rsidP="00523C2B">
            <w:r>
              <w:t>6.    Charles River</w:t>
            </w:r>
          </w:p>
          <w:p w14:paraId="77EF20F1" w14:textId="77777777" w:rsidR="00523C2B" w:rsidRDefault="00B0344A" w:rsidP="00523C2B">
            <w:hyperlink r:id="rId160" w:history="1">
              <w:r w:rsidR="00523C2B">
                <w:rPr>
                  <w:rStyle w:val="Hyperlink"/>
                </w:rPr>
                <w:t>https://www.mass.gov/doc/charles-river-center-follow-up-2022/download</w:t>
              </w:r>
            </w:hyperlink>
          </w:p>
          <w:p w14:paraId="2BCFBF07" w14:textId="77777777" w:rsidR="00523C2B" w:rsidRDefault="00523C2B" w:rsidP="00523C2B">
            <w:r>
              <w:t>7.    Commonwealth Community</w:t>
            </w:r>
          </w:p>
          <w:p w14:paraId="5BE04496" w14:textId="77777777" w:rsidR="00523C2B" w:rsidRDefault="00B0344A" w:rsidP="00523C2B">
            <w:hyperlink r:id="rId161" w:history="1">
              <w:r w:rsidR="00523C2B">
                <w:rPr>
                  <w:rStyle w:val="Hyperlink"/>
                </w:rPr>
                <w:t>https://www.mass.gov/doc/dds-western-region-1-provider-report-2022/download</w:t>
              </w:r>
            </w:hyperlink>
          </w:p>
          <w:p w14:paraId="45B40E8D" w14:textId="77777777" w:rsidR="00523C2B" w:rsidRDefault="00523C2B" w:rsidP="00523C2B">
            <w:r>
              <w:t>8.    Crystal Springs</w:t>
            </w:r>
          </w:p>
          <w:p w14:paraId="279F0BD2" w14:textId="77777777" w:rsidR="00523C2B" w:rsidRDefault="00B0344A" w:rsidP="00523C2B">
            <w:hyperlink r:id="rId162" w:history="1">
              <w:r w:rsidR="00523C2B">
                <w:rPr>
                  <w:rStyle w:val="Hyperlink"/>
                </w:rPr>
                <w:t>https://www.mass.gov/doc/crystal-springs-2021/download</w:t>
              </w:r>
            </w:hyperlink>
          </w:p>
          <w:p w14:paraId="1B952D8A" w14:textId="77777777" w:rsidR="00523C2B" w:rsidRDefault="00523C2B" w:rsidP="00523C2B">
            <w:r>
              <w:t>9.    Dr. Franklin Perkins School/ RFK Community Alliance</w:t>
            </w:r>
          </w:p>
          <w:p w14:paraId="4500CE17" w14:textId="77777777" w:rsidR="00523C2B" w:rsidRDefault="00B0344A" w:rsidP="00523C2B">
            <w:hyperlink r:id="rId163" w:history="1">
              <w:r w:rsidR="00523C2B">
                <w:rPr>
                  <w:rStyle w:val="Hyperlink"/>
                </w:rPr>
                <w:t>https://www.mass.gov/doc/dr-franklin-perkins-school-2019/download</w:t>
              </w:r>
            </w:hyperlink>
            <w:r w:rsidR="00523C2B">
              <w:t xml:space="preserve"> </w:t>
            </w:r>
          </w:p>
          <w:p w14:paraId="4AEF22B8" w14:textId="77777777" w:rsidR="00523C2B" w:rsidRDefault="00523C2B" w:rsidP="00523C2B">
            <w:r>
              <w:t>10. New England Village</w:t>
            </w:r>
          </w:p>
          <w:p w14:paraId="5313C8EE" w14:textId="77777777" w:rsidR="00523C2B" w:rsidRDefault="00B0344A" w:rsidP="00523C2B">
            <w:hyperlink r:id="rId164" w:history="1">
              <w:r w:rsidR="00523C2B">
                <w:rPr>
                  <w:rStyle w:val="Hyperlink"/>
                </w:rPr>
                <w:t>https://www.mass.gov/doc/new-england-village-2022/download</w:t>
              </w:r>
            </w:hyperlink>
          </w:p>
          <w:p w14:paraId="3910355E" w14:textId="77777777" w:rsidR="00523C2B" w:rsidRDefault="00523C2B" w:rsidP="00523C2B">
            <w:r>
              <w:t xml:space="preserve">11. </w:t>
            </w:r>
            <w:proofErr w:type="spellStart"/>
            <w:r>
              <w:t>Riverbrook</w:t>
            </w:r>
            <w:proofErr w:type="spellEnd"/>
          </w:p>
          <w:p w14:paraId="3DDC27FF" w14:textId="77777777" w:rsidR="00523C2B" w:rsidRDefault="00B0344A" w:rsidP="00523C2B">
            <w:hyperlink r:id="rId165" w:history="1">
              <w:r w:rsidR="00523C2B">
                <w:rPr>
                  <w:rStyle w:val="Hyperlink"/>
                </w:rPr>
                <w:t>https://www.mass.gov/doc/riverbrook-residence-provider-report-2022/download</w:t>
              </w:r>
            </w:hyperlink>
          </w:p>
          <w:p w14:paraId="41F73B1A" w14:textId="77777777" w:rsidR="00523C2B" w:rsidRDefault="00523C2B" w:rsidP="00523C2B">
            <w:r>
              <w:t>12. Southeastern Residential Services</w:t>
            </w:r>
          </w:p>
          <w:p w14:paraId="44A329A4" w14:textId="77777777" w:rsidR="00523C2B" w:rsidRDefault="00B0344A" w:rsidP="00523C2B">
            <w:hyperlink r:id="rId166" w:history="1">
              <w:r w:rsidR="00523C2B">
                <w:rPr>
                  <w:rStyle w:val="Hyperlink"/>
                </w:rPr>
                <w:t>https://www.mass.gov/doc/dds-southeast-state-op-2022/download</w:t>
              </w:r>
            </w:hyperlink>
          </w:p>
          <w:p w14:paraId="42814036" w14:textId="77777777" w:rsidR="00523C2B" w:rsidRDefault="00523C2B" w:rsidP="00523C2B">
            <w:r>
              <w:t>13. Templeton</w:t>
            </w:r>
          </w:p>
          <w:p w14:paraId="738923F7" w14:textId="77777777" w:rsidR="00523C2B" w:rsidRDefault="00B0344A" w:rsidP="00523C2B">
            <w:hyperlink r:id="rId167" w:history="1">
              <w:r w:rsidR="00523C2B">
                <w:rPr>
                  <w:rStyle w:val="Hyperlink"/>
                </w:rPr>
                <w:t>https://www.mass.gov/doc/templeton-community-services-provider-report-2022/download</w:t>
              </w:r>
            </w:hyperlink>
          </w:p>
          <w:p w14:paraId="6F35BE74" w14:textId="77777777" w:rsidR="00523C2B" w:rsidRDefault="00523C2B" w:rsidP="00523C2B">
            <w:r>
              <w:t>14. The Ledges</w:t>
            </w:r>
          </w:p>
          <w:p w14:paraId="3A1A50C9" w14:textId="7BD84E90" w:rsidR="00523C2B" w:rsidRDefault="00B0344A" w:rsidP="00523C2B">
            <w:hyperlink r:id="rId168" w:history="1">
              <w:r w:rsidR="00523C2B">
                <w:rPr>
                  <w:rStyle w:val="Hyperlink"/>
                </w:rPr>
                <w:t>https://www.mass.gov/doc/the-ledges-provider-report-2022/download</w:t>
              </w:r>
            </w:hyperlink>
          </w:p>
        </w:tc>
      </w:tr>
      <w:tr w:rsidR="00C83001" w14:paraId="49E9AB9E" w14:textId="77777777" w:rsidTr="2E4F0E32">
        <w:trPr>
          <w:trHeight w:val="2107"/>
        </w:trPr>
        <w:tc>
          <w:tcPr>
            <w:tcW w:w="2193" w:type="pct"/>
          </w:tcPr>
          <w:p w14:paraId="0B56C0BE" w14:textId="3AFE5C19" w:rsidR="00740ABA" w:rsidRPr="007E0FBA" w:rsidRDefault="00495D61" w:rsidP="009A1A9B">
            <w:pPr>
              <w:rPr>
                <w:rFonts w:cs="Arial"/>
              </w:rPr>
            </w:pPr>
            <w:r w:rsidRPr="007E0FBA">
              <w:rPr>
                <w:rFonts w:cs="Arial"/>
              </w:rPr>
              <w:lastRenderedPageBreak/>
              <w:t xml:space="preserve">AFC </w:t>
            </w:r>
            <w:r w:rsidR="009A1A9B" w:rsidRPr="007E0FBA">
              <w:rPr>
                <w:rFonts w:cs="Arial"/>
                <w:color w:val="353434"/>
              </w:rPr>
              <w:t xml:space="preserve">Attestation Community Rule Form, </w:t>
            </w:r>
            <w:r w:rsidRPr="007E0FBA">
              <w:rPr>
                <w:rFonts w:cs="Arial"/>
              </w:rPr>
              <w:t>Lease Guidance</w:t>
            </w:r>
            <w:r w:rsidR="009A1A9B" w:rsidRPr="007E0FBA">
              <w:rPr>
                <w:rFonts w:cs="Arial"/>
              </w:rPr>
              <w:t>,</w:t>
            </w:r>
            <w:r w:rsidRPr="007E0FBA">
              <w:rPr>
                <w:rFonts w:cs="Arial"/>
              </w:rPr>
              <w:t xml:space="preserve"> </w:t>
            </w:r>
            <w:r w:rsidR="00727415" w:rsidRPr="007E0FBA">
              <w:rPr>
                <w:rFonts w:cs="Arial"/>
              </w:rPr>
              <w:t>and Templates</w:t>
            </w:r>
          </w:p>
        </w:tc>
        <w:tc>
          <w:tcPr>
            <w:tcW w:w="2807" w:type="pct"/>
          </w:tcPr>
          <w:p w14:paraId="34B42119" w14:textId="25B34C2C" w:rsidR="005D475B" w:rsidRPr="007E0FBA" w:rsidRDefault="00943FDC" w:rsidP="00471E0F">
            <w:pPr>
              <w:pStyle w:val="NormalWeb"/>
              <w:shd w:val="clear" w:color="auto" w:fill="FFFFFF"/>
              <w:spacing w:before="0" w:beforeAutospacing="0"/>
              <w:rPr>
                <w:rStyle w:val="Hyperlink"/>
                <w:rFonts w:ascii="Arial" w:hAnsi="Arial" w:cs="Arial"/>
                <w:color w:val="auto"/>
                <w:sz w:val="22"/>
                <w:szCs w:val="22"/>
                <w:u w:val="none"/>
              </w:rPr>
            </w:pPr>
            <w:r w:rsidRPr="007E0FBA">
              <w:rPr>
                <w:rFonts w:ascii="Arial" w:hAnsi="Arial" w:cs="Arial"/>
                <w:sz w:val="22"/>
                <w:szCs w:val="22"/>
              </w:rPr>
              <w:t xml:space="preserve">Link: </w:t>
            </w:r>
            <w:hyperlink r:id="rId169" w:tgtFrame="_blank" w:history="1">
              <w:r w:rsidR="009A1A9B" w:rsidRPr="007E0FBA">
                <w:rPr>
                  <w:rStyle w:val="Hyperlink"/>
                  <w:rFonts w:ascii="Arial" w:hAnsi="Arial" w:cs="Arial"/>
                  <w:color w:val="0000CC"/>
                  <w:sz w:val="22"/>
                  <w:szCs w:val="22"/>
                </w:rPr>
                <w:t>AFC Attestation Community Rule Form</w:t>
              </w:r>
            </w:hyperlink>
          </w:p>
          <w:p w14:paraId="000B4DC9" w14:textId="02880487" w:rsidR="00471E0F" w:rsidRPr="007E0FBA" w:rsidRDefault="00943FDC" w:rsidP="00471E0F">
            <w:pPr>
              <w:pStyle w:val="NormalWeb"/>
              <w:shd w:val="clear" w:color="auto" w:fill="FFFFFF"/>
              <w:spacing w:before="0" w:beforeAutospacing="0"/>
              <w:rPr>
                <w:rFonts w:ascii="Arial" w:hAnsi="Arial" w:cs="Arial"/>
                <w:color w:val="353434"/>
                <w:sz w:val="22"/>
                <w:szCs w:val="22"/>
              </w:rPr>
            </w:pPr>
            <w:r w:rsidRPr="007E0FBA">
              <w:rPr>
                <w:rFonts w:ascii="Arial" w:hAnsi="Arial" w:cs="Arial"/>
                <w:sz w:val="22"/>
                <w:szCs w:val="22"/>
              </w:rPr>
              <w:t xml:space="preserve">Link: </w:t>
            </w:r>
            <w:hyperlink r:id="rId170" w:tgtFrame="_blank" w:history="1">
              <w:r w:rsidR="009A1A9B" w:rsidRPr="007E0FBA">
                <w:rPr>
                  <w:rStyle w:val="Hyperlink"/>
                  <w:rFonts w:ascii="Arial" w:hAnsi="Arial" w:cs="Arial"/>
                  <w:color w:val="0000CC"/>
                  <w:sz w:val="22"/>
                  <w:szCs w:val="22"/>
                </w:rPr>
                <w:t>AFC Lease Residency Agreement Guidance</w:t>
              </w:r>
            </w:hyperlink>
          </w:p>
          <w:p w14:paraId="4CB3BD09" w14:textId="70647B27" w:rsidR="00471E0F" w:rsidRPr="007E0FBA" w:rsidRDefault="00943FDC" w:rsidP="00471E0F">
            <w:pPr>
              <w:pStyle w:val="NormalWeb"/>
              <w:shd w:val="clear" w:color="auto" w:fill="FFFFFF"/>
              <w:spacing w:before="0" w:beforeAutospacing="0"/>
              <w:rPr>
                <w:rFonts w:ascii="Arial" w:hAnsi="Arial" w:cs="Arial"/>
                <w:color w:val="353434"/>
                <w:sz w:val="22"/>
                <w:szCs w:val="22"/>
                <w:u w:val="single"/>
              </w:rPr>
            </w:pPr>
            <w:r w:rsidRPr="007E0FBA">
              <w:rPr>
                <w:rFonts w:ascii="Arial" w:hAnsi="Arial" w:cs="Arial"/>
                <w:sz w:val="22"/>
                <w:szCs w:val="22"/>
              </w:rPr>
              <w:t xml:space="preserve">Link: </w:t>
            </w:r>
            <w:hyperlink r:id="rId171" w:tgtFrame="_blank" w:history="1">
              <w:r w:rsidR="009A1A9B" w:rsidRPr="007E0FBA">
                <w:rPr>
                  <w:rStyle w:val="Hyperlink"/>
                  <w:rFonts w:ascii="Arial" w:hAnsi="Arial" w:cs="Arial"/>
                  <w:color w:val="0000CC"/>
                  <w:sz w:val="22"/>
                  <w:szCs w:val="22"/>
                </w:rPr>
                <w:t>AFC Residency Agreement Template</w:t>
              </w:r>
            </w:hyperlink>
          </w:p>
          <w:p w14:paraId="1A2CF618" w14:textId="4B200213" w:rsidR="00C3373C" w:rsidRPr="007E0FBA" w:rsidRDefault="00943FDC" w:rsidP="00523C2B">
            <w:pPr>
              <w:rPr>
                <w:rFonts w:cs="Arial"/>
              </w:rPr>
            </w:pPr>
            <w:r w:rsidRPr="007E0FBA">
              <w:rPr>
                <w:rFonts w:cs="Arial"/>
              </w:rPr>
              <w:t xml:space="preserve">Link: </w:t>
            </w:r>
            <w:hyperlink r:id="rId172">
              <w:r w:rsidR="005D475B" w:rsidRPr="007E0FBA">
                <w:rPr>
                  <w:rStyle w:val="Hyperlink"/>
                  <w:rFonts w:cs="Arial"/>
                  <w:color w:val="0000CC"/>
                </w:rPr>
                <w:t>MA Residential Lease Agreement Form</w:t>
              </w:r>
            </w:hyperlink>
          </w:p>
        </w:tc>
      </w:tr>
    </w:tbl>
    <w:p w14:paraId="494ADCA3" w14:textId="2E75EFB6" w:rsidR="00720F79" w:rsidRPr="00327DC1" w:rsidRDefault="00720F79" w:rsidP="00432D7C">
      <w:pPr>
        <w:rPr>
          <w:rFonts w:cs="Arial"/>
        </w:rPr>
      </w:pPr>
    </w:p>
    <w:sectPr w:rsidR="00720F79" w:rsidRPr="00327DC1" w:rsidSect="007C01D5">
      <w:headerReference w:type="default" r:id="rId173"/>
      <w:headerReference w:type="first" r:id="rId174"/>
      <w:footerReference w:type="first" r:id="rId175"/>
      <w:pgSz w:w="12240" w:h="15840"/>
      <w:pgMar w:top="1296" w:right="720" w:bottom="1296" w:left="864"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36FC" w14:textId="77777777" w:rsidR="00DD0BF5" w:rsidRDefault="00DD0BF5" w:rsidP="00327DC1">
      <w:pPr>
        <w:spacing w:after="0" w:line="240" w:lineRule="auto"/>
      </w:pPr>
      <w:r>
        <w:separator/>
      </w:r>
    </w:p>
    <w:p w14:paraId="0E704461" w14:textId="77777777" w:rsidR="00DD0BF5" w:rsidRDefault="00DD0BF5"/>
  </w:endnote>
  <w:endnote w:type="continuationSeparator" w:id="0">
    <w:p w14:paraId="76A9E77B" w14:textId="77777777" w:rsidR="00DD0BF5" w:rsidRDefault="00DD0BF5" w:rsidP="00327DC1">
      <w:pPr>
        <w:spacing w:after="0" w:line="240" w:lineRule="auto"/>
      </w:pPr>
      <w:r>
        <w:continuationSeparator/>
      </w:r>
    </w:p>
    <w:p w14:paraId="6F2254DD" w14:textId="77777777" w:rsidR="00DD0BF5" w:rsidRDefault="00DD0BF5"/>
  </w:endnote>
  <w:endnote w:type="continuationNotice" w:id="1">
    <w:p w14:paraId="17190082" w14:textId="77777777" w:rsidR="00DD0BF5" w:rsidRDefault="00DD0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333724"/>
      <w:docPartObj>
        <w:docPartGallery w:val="Page Numbers (Bottom of Page)"/>
        <w:docPartUnique/>
      </w:docPartObj>
    </w:sdtPr>
    <w:sdtEndPr>
      <w:rPr>
        <w:noProof/>
      </w:rPr>
    </w:sdtEndPr>
    <w:sdtContent>
      <w:p w14:paraId="52A52F61" w14:textId="77777777" w:rsidR="0023733E" w:rsidRDefault="0023733E">
        <w:pPr>
          <w:pStyle w:val="Footer"/>
          <w:jc w:val="right"/>
        </w:pPr>
        <w:r>
          <w:fldChar w:fldCharType="begin"/>
        </w:r>
        <w:r>
          <w:instrText xml:space="preserve"> PAGE   \* MERGEFORMAT </w:instrText>
        </w:r>
        <w:r>
          <w:fldChar w:fldCharType="separate"/>
        </w:r>
        <w:r>
          <w:rPr>
            <w:noProof/>
          </w:rPr>
          <w:t>xvi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3B75DFFA" w14:textId="77777777" w:rsidTr="596DF74A">
      <w:tc>
        <w:tcPr>
          <w:tcW w:w="3120" w:type="dxa"/>
        </w:tcPr>
        <w:p w14:paraId="17481B08" w14:textId="1F5B4E67" w:rsidR="596DF74A" w:rsidRDefault="596DF74A" w:rsidP="596DF74A">
          <w:pPr>
            <w:pStyle w:val="Header"/>
            <w:ind w:left="-115"/>
          </w:pPr>
        </w:p>
      </w:tc>
      <w:tc>
        <w:tcPr>
          <w:tcW w:w="3120" w:type="dxa"/>
        </w:tcPr>
        <w:p w14:paraId="1BA5FE97" w14:textId="1B71229E" w:rsidR="596DF74A" w:rsidRDefault="596DF74A" w:rsidP="596DF74A">
          <w:pPr>
            <w:pStyle w:val="Header"/>
            <w:jc w:val="center"/>
          </w:pPr>
        </w:p>
      </w:tc>
      <w:tc>
        <w:tcPr>
          <w:tcW w:w="3120" w:type="dxa"/>
        </w:tcPr>
        <w:p w14:paraId="1F67D296" w14:textId="24EA7FEB" w:rsidR="596DF74A" w:rsidRDefault="596DF74A" w:rsidP="596DF74A">
          <w:pPr>
            <w:pStyle w:val="Header"/>
            <w:ind w:right="-115"/>
            <w:jc w:val="right"/>
          </w:pPr>
        </w:p>
      </w:tc>
    </w:tr>
  </w:tbl>
  <w:p w14:paraId="62B69DE8" w14:textId="05C57FAB" w:rsidR="00EF38B4" w:rsidRDefault="00EF3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5EC5EABE" w14:textId="77777777" w:rsidTr="596DF74A">
      <w:tc>
        <w:tcPr>
          <w:tcW w:w="3120" w:type="dxa"/>
        </w:tcPr>
        <w:p w14:paraId="3D407A7B" w14:textId="0E8E5AAC" w:rsidR="596DF74A" w:rsidRDefault="596DF74A" w:rsidP="596DF74A">
          <w:pPr>
            <w:pStyle w:val="Header"/>
            <w:ind w:left="-115"/>
          </w:pPr>
        </w:p>
      </w:tc>
      <w:tc>
        <w:tcPr>
          <w:tcW w:w="3120" w:type="dxa"/>
        </w:tcPr>
        <w:p w14:paraId="68C364E2" w14:textId="4DD18767" w:rsidR="596DF74A" w:rsidRDefault="596DF74A" w:rsidP="596DF74A">
          <w:pPr>
            <w:pStyle w:val="Header"/>
            <w:jc w:val="center"/>
          </w:pPr>
        </w:p>
      </w:tc>
      <w:tc>
        <w:tcPr>
          <w:tcW w:w="3120" w:type="dxa"/>
        </w:tcPr>
        <w:p w14:paraId="5541F952" w14:textId="7E8D0834" w:rsidR="596DF74A" w:rsidRDefault="596DF74A" w:rsidP="596DF74A">
          <w:pPr>
            <w:pStyle w:val="Header"/>
            <w:ind w:right="-115"/>
            <w:jc w:val="right"/>
          </w:pPr>
        </w:p>
      </w:tc>
    </w:tr>
  </w:tbl>
  <w:p w14:paraId="01EA7AE9" w14:textId="69BFE5C6" w:rsidR="00EF38B4" w:rsidRDefault="00EF38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7BBEC403" w14:textId="77777777" w:rsidTr="596DF74A">
      <w:tc>
        <w:tcPr>
          <w:tcW w:w="3120" w:type="dxa"/>
        </w:tcPr>
        <w:p w14:paraId="53984CCB" w14:textId="50DEBAF2" w:rsidR="596DF74A" w:rsidRDefault="596DF74A" w:rsidP="596DF74A">
          <w:pPr>
            <w:pStyle w:val="Header"/>
            <w:ind w:left="-115"/>
          </w:pPr>
        </w:p>
      </w:tc>
      <w:tc>
        <w:tcPr>
          <w:tcW w:w="3120" w:type="dxa"/>
        </w:tcPr>
        <w:p w14:paraId="622D08D7" w14:textId="26B0273C" w:rsidR="596DF74A" w:rsidRDefault="596DF74A" w:rsidP="596DF74A">
          <w:pPr>
            <w:pStyle w:val="Header"/>
            <w:jc w:val="center"/>
          </w:pPr>
        </w:p>
      </w:tc>
      <w:tc>
        <w:tcPr>
          <w:tcW w:w="3120" w:type="dxa"/>
        </w:tcPr>
        <w:p w14:paraId="7DFB3033" w14:textId="35A50516" w:rsidR="596DF74A" w:rsidRDefault="596DF74A" w:rsidP="596DF74A">
          <w:pPr>
            <w:pStyle w:val="Header"/>
            <w:ind w:right="-115"/>
            <w:jc w:val="right"/>
          </w:pPr>
        </w:p>
      </w:tc>
    </w:tr>
  </w:tbl>
  <w:p w14:paraId="067C63C8" w14:textId="5F5C6312" w:rsidR="00EF38B4" w:rsidRDefault="00EF3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0"/>
      <w:gridCol w:w="3550"/>
      <w:gridCol w:w="3550"/>
    </w:tblGrid>
    <w:tr w:rsidR="596DF74A" w14:paraId="6E96C018" w14:textId="77777777" w:rsidTr="596DF74A">
      <w:tc>
        <w:tcPr>
          <w:tcW w:w="3550" w:type="dxa"/>
        </w:tcPr>
        <w:p w14:paraId="1A25DBD0" w14:textId="3AAE039C" w:rsidR="596DF74A" w:rsidRDefault="596DF74A" w:rsidP="596DF74A">
          <w:pPr>
            <w:pStyle w:val="Header"/>
            <w:ind w:left="-115"/>
          </w:pPr>
        </w:p>
      </w:tc>
      <w:tc>
        <w:tcPr>
          <w:tcW w:w="3550" w:type="dxa"/>
        </w:tcPr>
        <w:p w14:paraId="41385396" w14:textId="4DCC747B" w:rsidR="596DF74A" w:rsidRDefault="596DF74A" w:rsidP="596DF74A">
          <w:pPr>
            <w:pStyle w:val="Header"/>
            <w:jc w:val="center"/>
          </w:pPr>
        </w:p>
      </w:tc>
      <w:tc>
        <w:tcPr>
          <w:tcW w:w="3550" w:type="dxa"/>
        </w:tcPr>
        <w:p w14:paraId="0458655C" w14:textId="1193FFE4" w:rsidR="596DF74A" w:rsidRDefault="596DF74A" w:rsidP="596DF74A">
          <w:pPr>
            <w:pStyle w:val="Header"/>
            <w:ind w:right="-115"/>
            <w:jc w:val="right"/>
          </w:pPr>
        </w:p>
      </w:tc>
    </w:tr>
  </w:tbl>
  <w:p w14:paraId="713A2141" w14:textId="163FD14F" w:rsidR="00EF38B4" w:rsidRDefault="00EF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FB3A" w14:textId="77777777" w:rsidR="00DD0BF5" w:rsidRDefault="00DD0BF5" w:rsidP="00327DC1">
      <w:pPr>
        <w:spacing w:after="0" w:line="240" w:lineRule="auto"/>
      </w:pPr>
      <w:r>
        <w:separator/>
      </w:r>
    </w:p>
    <w:p w14:paraId="0515C71A" w14:textId="77777777" w:rsidR="00DD0BF5" w:rsidRDefault="00DD0BF5"/>
  </w:footnote>
  <w:footnote w:type="continuationSeparator" w:id="0">
    <w:p w14:paraId="70645692" w14:textId="77777777" w:rsidR="00DD0BF5" w:rsidRDefault="00DD0BF5" w:rsidP="00327DC1">
      <w:pPr>
        <w:spacing w:after="0" w:line="240" w:lineRule="auto"/>
      </w:pPr>
      <w:r>
        <w:continuationSeparator/>
      </w:r>
    </w:p>
    <w:p w14:paraId="545A08D6" w14:textId="77777777" w:rsidR="00DD0BF5" w:rsidRDefault="00DD0BF5"/>
  </w:footnote>
  <w:footnote w:type="continuationNotice" w:id="1">
    <w:p w14:paraId="52AC2D3F" w14:textId="77777777" w:rsidR="00DD0BF5" w:rsidRDefault="00DD0BF5">
      <w:pPr>
        <w:spacing w:after="0" w:line="240" w:lineRule="auto"/>
      </w:pPr>
    </w:p>
  </w:footnote>
  <w:footnote w:id="2">
    <w:p w14:paraId="2E68DA4E" w14:textId="77777777" w:rsidR="0023733E" w:rsidRDefault="0023733E" w:rsidP="00122579">
      <w:pPr>
        <w:pStyle w:val="FootnoteText"/>
        <w:ind w:left="0"/>
      </w:pPr>
      <w:r>
        <w:rPr>
          <w:rStyle w:val="FootnoteReference"/>
        </w:rPr>
        <w:footnoteRef/>
      </w:r>
      <w:r>
        <w:t xml:space="preserve"> </w:t>
      </w:r>
      <w:r>
        <w:rPr>
          <w:rFonts w:ascii="Arial" w:hAnsi="Arial" w:cs="Arial"/>
        </w:rPr>
        <w:t>B</w:t>
      </w:r>
      <w:r w:rsidRPr="002714E2">
        <w:rPr>
          <w:rFonts w:ascii="Arial" w:hAnsi="Arial" w:cs="Arial"/>
        </w:rPr>
        <w:t xml:space="preserve">ased on </w:t>
      </w:r>
      <w:r w:rsidRPr="007A43DE">
        <w:rPr>
          <w:rFonts w:ascii="Arial" w:hAnsi="Arial" w:cs="Arial"/>
        </w:rPr>
        <w:t>the Frequently Asked Questions (FAQs) Guidance on Heightened Scrutiny (HS) issued on March 22, 2019</w:t>
      </w:r>
      <w:r w:rsidRPr="002714E2">
        <w:rPr>
          <w:rFonts w:ascii="Arial" w:hAnsi="Arial" w:cs="Arial"/>
        </w:rPr>
        <w:t xml:space="preserve">, </w:t>
      </w:r>
      <w:r>
        <w:rPr>
          <w:rFonts w:ascii="Arial" w:hAnsi="Arial" w:cs="Arial"/>
        </w:rPr>
        <w:t>some of this set</w:t>
      </w:r>
      <w:r w:rsidRPr="002714E2">
        <w:rPr>
          <w:rFonts w:ascii="Arial" w:hAnsi="Arial" w:cs="Arial"/>
        </w:rPr>
        <w:t xml:space="preserve"> would not have been identified</w:t>
      </w:r>
      <w:r>
        <w:rPr>
          <w:rFonts w:ascii="Arial" w:hAnsi="Arial" w:cs="Arial"/>
        </w:rPr>
        <w:t xml:space="preserve"> as potentially having the qualities of an institution;</w:t>
      </w:r>
      <w:r w:rsidRPr="002714E2">
        <w:rPr>
          <w:rFonts w:ascii="Arial" w:hAnsi="Arial" w:cs="Arial"/>
        </w:rPr>
        <w:t xml:space="preserve"> however, an in-depth analysis </w:t>
      </w:r>
      <w:r>
        <w:rPr>
          <w:rFonts w:ascii="Arial" w:hAnsi="Arial" w:cs="Arial"/>
        </w:rPr>
        <w:t>had</w:t>
      </w:r>
      <w:r w:rsidRPr="002714E2">
        <w:rPr>
          <w:rFonts w:ascii="Arial" w:hAnsi="Arial" w:cs="Arial"/>
        </w:rPr>
        <w:t xml:space="preserve"> already taken place</w:t>
      </w:r>
      <w:r>
        <w:rPr>
          <w:rFonts w:ascii="Arial" w:hAnsi="Arial" w:cs="Arial"/>
        </w:rPr>
        <w:t xml:space="preserve"> before CMS issued the FAQs.</w:t>
      </w:r>
    </w:p>
  </w:footnote>
  <w:footnote w:id="3">
    <w:p w14:paraId="41F221E4" w14:textId="77777777" w:rsidR="008832EB" w:rsidRDefault="008832EB" w:rsidP="00C44317">
      <w:pPr>
        <w:pStyle w:val="FootnoteText"/>
        <w:ind w:left="0"/>
      </w:pPr>
      <w:r>
        <w:rPr>
          <w:rStyle w:val="FootnoteReference"/>
        </w:rPr>
        <w:footnoteRef/>
      </w:r>
      <w:r>
        <w:t xml:space="preserve"> Even though congregate housing is not an HCB service and is not a provider-controlled setting, we have chosen to treat it consistent with standards for such settings, and applied the Rule in that spirit, because some Frail Elder Waiver participants have chosen to reside, and in some cases receive waiver services, in congregate housing settings. </w:t>
      </w:r>
    </w:p>
  </w:footnote>
  <w:footnote w:id="4">
    <w:p w14:paraId="3EB43063" w14:textId="5A2E835B" w:rsidR="00A1521A" w:rsidRDefault="00A1521A">
      <w:pPr>
        <w:pStyle w:val="FootnoteText"/>
      </w:pPr>
      <w:r>
        <w:rPr>
          <w:rStyle w:val="FootnoteReference"/>
        </w:rPr>
        <w:footnoteRef/>
      </w:r>
      <w:r>
        <w:t xml:space="preserve"> </w:t>
      </w:r>
      <w:r w:rsidRPr="00A1521A">
        <w:rPr>
          <w:rFonts w:cs="Arial"/>
        </w:rPr>
        <w:t>These settings will not be the site of waiver services with the shift of service delivery from Day Habilitation Supplement as a waiver service to Individualized Staffing Supports in the State Plan (December 31,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2968BBE4" w14:textId="77777777" w:rsidTr="596DF74A">
      <w:tc>
        <w:tcPr>
          <w:tcW w:w="3120" w:type="dxa"/>
        </w:tcPr>
        <w:p w14:paraId="2D2F4303" w14:textId="3B7E2C7E" w:rsidR="596DF74A" w:rsidRDefault="596DF74A" w:rsidP="596DF74A">
          <w:pPr>
            <w:pStyle w:val="Header"/>
            <w:ind w:left="-115"/>
          </w:pPr>
        </w:p>
      </w:tc>
      <w:tc>
        <w:tcPr>
          <w:tcW w:w="3120" w:type="dxa"/>
        </w:tcPr>
        <w:p w14:paraId="3997174C" w14:textId="326B663D" w:rsidR="596DF74A" w:rsidRDefault="596DF74A" w:rsidP="596DF74A">
          <w:pPr>
            <w:pStyle w:val="Header"/>
            <w:jc w:val="center"/>
          </w:pPr>
        </w:p>
      </w:tc>
      <w:tc>
        <w:tcPr>
          <w:tcW w:w="3120" w:type="dxa"/>
        </w:tcPr>
        <w:p w14:paraId="482EF69B" w14:textId="116B9CDE" w:rsidR="596DF74A" w:rsidRDefault="596DF74A" w:rsidP="596DF74A">
          <w:pPr>
            <w:pStyle w:val="Header"/>
            <w:ind w:right="-115"/>
            <w:jc w:val="right"/>
          </w:pPr>
        </w:p>
      </w:tc>
    </w:tr>
  </w:tbl>
  <w:p w14:paraId="643340C2" w14:textId="6064A024" w:rsidR="00EF38B4" w:rsidRDefault="00EF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6AC224FB" w14:textId="77777777" w:rsidTr="596DF74A">
      <w:tc>
        <w:tcPr>
          <w:tcW w:w="3120" w:type="dxa"/>
        </w:tcPr>
        <w:p w14:paraId="2891DF6B" w14:textId="272657CB" w:rsidR="596DF74A" w:rsidRDefault="596DF74A" w:rsidP="596DF74A">
          <w:pPr>
            <w:pStyle w:val="Header"/>
            <w:ind w:left="-115"/>
          </w:pPr>
        </w:p>
      </w:tc>
      <w:tc>
        <w:tcPr>
          <w:tcW w:w="3120" w:type="dxa"/>
        </w:tcPr>
        <w:p w14:paraId="4DE64225" w14:textId="23EEA42D" w:rsidR="596DF74A" w:rsidRDefault="596DF74A" w:rsidP="596DF74A">
          <w:pPr>
            <w:pStyle w:val="Header"/>
            <w:jc w:val="center"/>
          </w:pPr>
        </w:p>
      </w:tc>
      <w:tc>
        <w:tcPr>
          <w:tcW w:w="3120" w:type="dxa"/>
        </w:tcPr>
        <w:p w14:paraId="3FCAE8AF" w14:textId="3221F38D" w:rsidR="596DF74A" w:rsidRDefault="596DF74A" w:rsidP="596DF74A">
          <w:pPr>
            <w:pStyle w:val="Header"/>
            <w:ind w:right="-115"/>
            <w:jc w:val="right"/>
          </w:pPr>
        </w:p>
      </w:tc>
    </w:tr>
  </w:tbl>
  <w:p w14:paraId="2B84D18B" w14:textId="6FA9D431" w:rsidR="00EF38B4" w:rsidRDefault="00EF3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5D9B3BBA" w14:textId="77777777" w:rsidTr="596DF74A">
      <w:tc>
        <w:tcPr>
          <w:tcW w:w="3120" w:type="dxa"/>
        </w:tcPr>
        <w:p w14:paraId="6F35076F" w14:textId="512317C7" w:rsidR="596DF74A" w:rsidRDefault="596DF74A" w:rsidP="596DF74A">
          <w:pPr>
            <w:pStyle w:val="Header"/>
            <w:ind w:left="-115"/>
          </w:pPr>
        </w:p>
      </w:tc>
      <w:tc>
        <w:tcPr>
          <w:tcW w:w="3120" w:type="dxa"/>
        </w:tcPr>
        <w:p w14:paraId="509D52E7" w14:textId="55AC7FEE" w:rsidR="596DF74A" w:rsidRDefault="596DF74A" w:rsidP="596DF74A">
          <w:pPr>
            <w:pStyle w:val="Header"/>
            <w:jc w:val="center"/>
          </w:pPr>
        </w:p>
      </w:tc>
      <w:tc>
        <w:tcPr>
          <w:tcW w:w="3120" w:type="dxa"/>
        </w:tcPr>
        <w:p w14:paraId="5E94C9A3" w14:textId="68B303D9" w:rsidR="596DF74A" w:rsidRDefault="596DF74A" w:rsidP="596DF74A">
          <w:pPr>
            <w:pStyle w:val="Header"/>
            <w:ind w:right="-115"/>
            <w:jc w:val="right"/>
          </w:pPr>
        </w:p>
      </w:tc>
    </w:tr>
  </w:tbl>
  <w:p w14:paraId="1E9EC4DC" w14:textId="4EFCB091" w:rsidR="00EF38B4" w:rsidRDefault="00EF38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60D0ED5E" w14:textId="77777777" w:rsidTr="596DF74A">
      <w:tc>
        <w:tcPr>
          <w:tcW w:w="3120" w:type="dxa"/>
        </w:tcPr>
        <w:p w14:paraId="126465E5" w14:textId="1C3E26DD" w:rsidR="596DF74A" w:rsidRDefault="596DF74A" w:rsidP="596DF74A">
          <w:pPr>
            <w:pStyle w:val="Header"/>
            <w:ind w:left="-115"/>
          </w:pPr>
        </w:p>
      </w:tc>
      <w:tc>
        <w:tcPr>
          <w:tcW w:w="3120" w:type="dxa"/>
        </w:tcPr>
        <w:p w14:paraId="0960E539" w14:textId="3731E06F" w:rsidR="596DF74A" w:rsidRDefault="596DF74A" w:rsidP="596DF74A">
          <w:pPr>
            <w:pStyle w:val="Header"/>
            <w:jc w:val="center"/>
          </w:pPr>
        </w:p>
      </w:tc>
      <w:tc>
        <w:tcPr>
          <w:tcW w:w="3120" w:type="dxa"/>
        </w:tcPr>
        <w:p w14:paraId="46E89A2B" w14:textId="0641AB49" w:rsidR="596DF74A" w:rsidRDefault="596DF74A" w:rsidP="596DF74A">
          <w:pPr>
            <w:pStyle w:val="Header"/>
            <w:ind w:right="-115"/>
            <w:jc w:val="right"/>
          </w:pPr>
        </w:p>
      </w:tc>
    </w:tr>
  </w:tbl>
  <w:p w14:paraId="6169DA2D" w14:textId="5F40439F" w:rsidR="00EF38B4" w:rsidRDefault="00EF38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5BD9D1E6" w14:textId="77777777" w:rsidTr="596DF74A">
      <w:tc>
        <w:tcPr>
          <w:tcW w:w="3120" w:type="dxa"/>
        </w:tcPr>
        <w:p w14:paraId="70B792D4" w14:textId="7B85ECA1" w:rsidR="596DF74A" w:rsidRDefault="596DF74A" w:rsidP="596DF74A">
          <w:pPr>
            <w:pStyle w:val="Header"/>
            <w:ind w:left="-115"/>
          </w:pPr>
        </w:p>
      </w:tc>
      <w:tc>
        <w:tcPr>
          <w:tcW w:w="3120" w:type="dxa"/>
        </w:tcPr>
        <w:p w14:paraId="2366CC57" w14:textId="7DFDFA5A" w:rsidR="596DF74A" w:rsidRDefault="596DF74A" w:rsidP="596DF74A">
          <w:pPr>
            <w:pStyle w:val="Header"/>
            <w:jc w:val="center"/>
          </w:pPr>
        </w:p>
      </w:tc>
      <w:tc>
        <w:tcPr>
          <w:tcW w:w="3120" w:type="dxa"/>
        </w:tcPr>
        <w:p w14:paraId="6ADC9A98" w14:textId="0D4B467A" w:rsidR="596DF74A" w:rsidRDefault="596DF74A" w:rsidP="596DF74A">
          <w:pPr>
            <w:pStyle w:val="Header"/>
            <w:ind w:right="-115"/>
            <w:jc w:val="right"/>
          </w:pPr>
        </w:p>
      </w:tc>
    </w:tr>
  </w:tbl>
  <w:p w14:paraId="7943D90C" w14:textId="0EFAF90C" w:rsidR="00EF38B4" w:rsidRDefault="00EF38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1A580360" w14:textId="77777777" w:rsidTr="596DF74A">
      <w:tc>
        <w:tcPr>
          <w:tcW w:w="3120" w:type="dxa"/>
        </w:tcPr>
        <w:p w14:paraId="33026E24" w14:textId="5CF25FEB" w:rsidR="596DF74A" w:rsidRDefault="596DF74A" w:rsidP="596DF74A">
          <w:pPr>
            <w:pStyle w:val="Header"/>
            <w:ind w:left="-115"/>
          </w:pPr>
        </w:p>
      </w:tc>
      <w:tc>
        <w:tcPr>
          <w:tcW w:w="3120" w:type="dxa"/>
        </w:tcPr>
        <w:p w14:paraId="478E907B" w14:textId="0A9B5DD8" w:rsidR="596DF74A" w:rsidRDefault="596DF74A" w:rsidP="596DF74A">
          <w:pPr>
            <w:pStyle w:val="Header"/>
            <w:jc w:val="center"/>
          </w:pPr>
        </w:p>
      </w:tc>
      <w:tc>
        <w:tcPr>
          <w:tcW w:w="3120" w:type="dxa"/>
        </w:tcPr>
        <w:p w14:paraId="3E58A3D7" w14:textId="6141A300" w:rsidR="596DF74A" w:rsidRDefault="596DF74A" w:rsidP="596DF74A">
          <w:pPr>
            <w:pStyle w:val="Header"/>
            <w:ind w:right="-115"/>
            <w:jc w:val="right"/>
          </w:pPr>
        </w:p>
      </w:tc>
    </w:tr>
  </w:tbl>
  <w:p w14:paraId="0C4F0436" w14:textId="37C43698" w:rsidR="00EF38B4" w:rsidRDefault="00EF38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0"/>
      <w:gridCol w:w="3550"/>
      <w:gridCol w:w="3550"/>
    </w:tblGrid>
    <w:tr w:rsidR="596DF74A" w14:paraId="53675BE9" w14:textId="77777777" w:rsidTr="596DF74A">
      <w:tc>
        <w:tcPr>
          <w:tcW w:w="3550" w:type="dxa"/>
        </w:tcPr>
        <w:p w14:paraId="668F009B" w14:textId="78BDE39A" w:rsidR="596DF74A" w:rsidRDefault="596DF74A" w:rsidP="596DF74A">
          <w:pPr>
            <w:pStyle w:val="Header"/>
            <w:ind w:left="-115"/>
          </w:pPr>
        </w:p>
      </w:tc>
      <w:tc>
        <w:tcPr>
          <w:tcW w:w="3550" w:type="dxa"/>
        </w:tcPr>
        <w:p w14:paraId="793F5150" w14:textId="67B5066E" w:rsidR="596DF74A" w:rsidRDefault="596DF74A" w:rsidP="596DF74A">
          <w:pPr>
            <w:pStyle w:val="Header"/>
            <w:jc w:val="center"/>
          </w:pPr>
        </w:p>
      </w:tc>
      <w:tc>
        <w:tcPr>
          <w:tcW w:w="3550" w:type="dxa"/>
        </w:tcPr>
        <w:p w14:paraId="128642EE" w14:textId="1C9CB91C" w:rsidR="596DF74A" w:rsidRDefault="596DF74A" w:rsidP="596DF74A">
          <w:pPr>
            <w:pStyle w:val="Header"/>
            <w:ind w:right="-115"/>
            <w:jc w:val="right"/>
          </w:pPr>
        </w:p>
      </w:tc>
    </w:tr>
  </w:tbl>
  <w:p w14:paraId="6DF083CB" w14:textId="48128462" w:rsidR="00EF38B4" w:rsidRDefault="00EF38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0"/>
      <w:gridCol w:w="3550"/>
      <w:gridCol w:w="3550"/>
    </w:tblGrid>
    <w:tr w:rsidR="596DF74A" w14:paraId="09D9EE5C" w14:textId="77777777" w:rsidTr="596DF74A">
      <w:tc>
        <w:tcPr>
          <w:tcW w:w="3550" w:type="dxa"/>
        </w:tcPr>
        <w:p w14:paraId="3E325351" w14:textId="0921BE77" w:rsidR="596DF74A" w:rsidRDefault="596DF74A" w:rsidP="596DF74A">
          <w:pPr>
            <w:pStyle w:val="Header"/>
            <w:ind w:left="-115"/>
          </w:pPr>
        </w:p>
      </w:tc>
      <w:tc>
        <w:tcPr>
          <w:tcW w:w="3550" w:type="dxa"/>
        </w:tcPr>
        <w:p w14:paraId="483AA036" w14:textId="319BBB47" w:rsidR="596DF74A" w:rsidRDefault="596DF74A" w:rsidP="596DF74A">
          <w:pPr>
            <w:pStyle w:val="Header"/>
            <w:jc w:val="center"/>
          </w:pPr>
        </w:p>
      </w:tc>
      <w:tc>
        <w:tcPr>
          <w:tcW w:w="3550" w:type="dxa"/>
        </w:tcPr>
        <w:p w14:paraId="5812B53D" w14:textId="31CB8E3E" w:rsidR="596DF74A" w:rsidRDefault="596DF74A" w:rsidP="596DF74A">
          <w:pPr>
            <w:pStyle w:val="Header"/>
            <w:ind w:right="-115"/>
            <w:jc w:val="right"/>
          </w:pPr>
        </w:p>
      </w:tc>
    </w:tr>
  </w:tbl>
  <w:p w14:paraId="4AF652A3" w14:textId="76446F2D" w:rsidR="00EF38B4" w:rsidRDefault="00EF3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708"/>
    <w:multiLevelType w:val="hybridMultilevel"/>
    <w:tmpl w:val="452C0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693821"/>
    <w:multiLevelType w:val="hybridMultilevel"/>
    <w:tmpl w:val="10F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596B"/>
    <w:multiLevelType w:val="hybridMultilevel"/>
    <w:tmpl w:val="8D50A3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BD3D63"/>
    <w:multiLevelType w:val="hybridMultilevel"/>
    <w:tmpl w:val="6FFA688E"/>
    <w:lvl w:ilvl="0" w:tplc="A1106008">
      <w:start w:val="1"/>
      <w:numFmt w:val="bullet"/>
      <w:lvlText w:val=""/>
      <w:lvlJc w:val="left"/>
      <w:pPr>
        <w:ind w:left="720" w:hanging="360"/>
      </w:pPr>
      <w:rPr>
        <w:rFonts w:ascii="Symbol" w:hAnsi="Symbol" w:hint="default"/>
      </w:rPr>
    </w:lvl>
    <w:lvl w:ilvl="1" w:tplc="7108DDBA">
      <w:start w:val="1"/>
      <w:numFmt w:val="bullet"/>
      <w:lvlText w:val="o"/>
      <w:lvlJc w:val="left"/>
      <w:pPr>
        <w:ind w:left="1440" w:hanging="360"/>
      </w:pPr>
      <w:rPr>
        <w:rFonts w:ascii="Courier New" w:hAnsi="Courier New" w:hint="default"/>
      </w:rPr>
    </w:lvl>
    <w:lvl w:ilvl="2" w:tplc="D22C576E">
      <w:start w:val="1"/>
      <w:numFmt w:val="bullet"/>
      <w:lvlText w:val=""/>
      <w:lvlJc w:val="left"/>
      <w:pPr>
        <w:ind w:left="2160" w:hanging="360"/>
      </w:pPr>
      <w:rPr>
        <w:rFonts w:ascii="Wingdings" w:hAnsi="Wingdings" w:hint="default"/>
      </w:rPr>
    </w:lvl>
    <w:lvl w:ilvl="3" w:tplc="B29690FA">
      <w:start w:val="1"/>
      <w:numFmt w:val="bullet"/>
      <w:lvlText w:val=""/>
      <w:lvlJc w:val="left"/>
      <w:pPr>
        <w:ind w:left="2880" w:hanging="360"/>
      </w:pPr>
      <w:rPr>
        <w:rFonts w:ascii="Symbol" w:hAnsi="Symbol" w:hint="default"/>
      </w:rPr>
    </w:lvl>
    <w:lvl w:ilvl="4" w:tplc="6C904F24">
      <w:start w:val="1"/>
      <w:numFmt w:val="bullet"/>
      <w:lvlText w:val="o"/>
      <w:lvlJc w:val="left"/>
      <w:pPr>
        <w:ind w:left="3600" w:hanging="360"/>
      </w:pPr>
      <w:rPr>
        <w:rFonts w:ascii="Courier New" w:hAnsi="Courier New" w:hint="default"/>
      </w:rPr>
    </w:lvl>
    <w:lvl w:ilvl="5" w:tplc="7E680400">
      <w:start w:val="1"/>
      <w:numFmt w:val="bullet"/>
      <w:lvlText w:val=""/>
      <w:lvlJc w:val="left"/>
      <w:pPr>
        <w:ind w:left="4320" w:hanging="360"/>
      </w:pPr>
      <w:rPr>
        <w:rFonts w:ascii="Wingdings" w:hAnsi="Wingdings" w:hint="default"/>
      </w:rPr>
    </w:lvl>
    <w:lvl w:ilvl="6" w:tplc="C512E476">
      <w:start w:val="1"/>
      <w:numFmt w:val="bullet"/>
      <w:lvlText w:val=""/>
      <w:lvlJc w:val="left"/>
      <w:pPr>
        <w:ind w:left="5040" w:hanging="360"/>
      </w:pPr>
      <w:rPr>
        <w:rFonts w:ascii="Symbol" w:hAnsi="Symbol" w:hint="default"/>
      </w:rPr>
    </w:lvl>
    <w:lvl w:ilvl="7" w:tplc="3B4EA122">
      <w:start w:val="1"/>
      <w:numFmt w:val="bullet"/>
      <w:lvlText w:val="o"/>
      <w:lvlJc w:val="left"/>
      <w:pPr>
        <w:ind w:left="5760" w:hanging="360"/>
      </w:pPr>
      <w:rPr>
        <w:rFonts w:ascii="Courier New" w:hAnsi="Courier New" w:hint="default"/>
      </w:rPr>
    </w:lvl>
    <w:lvl w:ilvl="8" w:tplc="222C744C">
      <w:start w:val="1"/>
      <w:numFmt w:val="bullet"/>
      <w:lvlText w:val=""/>
      <w:lvlJc w:val="left"/>
      <w:pPr>
        <w:ind w:left="6480" w:hanging="360"/>
      </w:pPr>
      <w:rPr>
        <w:rFonts w:ascii="Wingdings" w:hAnsi="Wingdings" w:hint="default"/>
      </w:rPr>
    </w:lvl>
  </w:abstractNum>
  <w:abstractNum w:abstractNumId="4" w15:restartNumberingAfterBreak="0">
    <w:nsid w:val="080C6F96"/>
    <w:multiLevelType w:val="hybridMultilevel"/>
    <w:tmpl w:val="2982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77118"/>
    <w:multiLevelType w:val="hybridMultilevel"/>
    <w:tmpl w:val="E15AF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AC0AC0"/>
    <w:multiLevelType w:val="hybridMultilevel"/>
    <w:tmpl w:val="1E44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984BE8"/>
    <w:multiLevelType w:val="hybridMultilevel"/>
    <w:tmpl w:val="8DF6AA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BC60DA"/>
    <w:multiLevelType w:val="hybridMultilevel"/>
    <w:tmpl w:val="897E12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1B05A2"/>
    <w:multiLevelType w:val="hybridMultilevel"/>
    <w:tmpl w:val="750E37D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358DD"/>
    <w:multiLevelType w:val="hybridMultilevel"/>
    <w:tmpl w:val="E010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A38C0"/>
    <w:multiLevelType w:val="hybridMultilevel"/>
    <w:tmpl w:val="B87A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3D76"/>
    <w:multiLevelType w:val="hybridMultilevel"/>
    <w:tmpl w:val="1F6E37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B601E8"/>
    <w:multiLevelType w:val="hybridMultilevel"/>
    <w:tmpl w:val="D436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7306C"/>
    <w:multiLevelType w:val="hybridMultilevel"/>
    <w:tmpl w:val="934AF9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EBD71D0"/>
    <w:multiLevelType w:val="hybridMultilevel"/>
    <w:tmpl w:val="16F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C792A"/>
    <w:multiLevelType w:val="hybridMultilevel"/>
    <w:tmpl w:val="35AA3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73239C"/>
    <w:multiLevelType w:val="hybridMultilevel"/>
    <w:tmpl w:val="8C505EB2"/>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8" w15:restartNumberingAfterBreak="0">
    <w:nsid w:val="56DA418A"/>
    <w:multiLevelType w:val="hybridMultilevel"/>
    <w:tmpl w:val="0BC0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C7309"/>
    <w:multiLevelType w:val="hybridMultilevel"/>
    <w:tmpl w:val="E8328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9D1A9E"/>
    <w:multiLevelType w:val="hybridMultilevel"/>
    <w:tmpl w:val="A0E85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866CCD"/>
    <w:multiLevelType w:val="hybridMultilevel"/>
    <w:tmpl w:val="A14087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BF763F"/>
    <w:multiLevelType w:val="hybridMultilevel"/>
    <w:tmpl w:val="4D62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938A8"/>
    <w:multiLevelType w:val="hybridMultilevel"/>
    <w:tmpl w:val="FEA6A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22688C"/>
    <w:multiLevelType w:val="hybridMultilevel"/>
    <w:tmpl w:val="AEC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B1585"/>
    <w:multiLevelType w:val="hybridMultilevel"/>
    <w:tmpl w:val="7B9225CE"/>
    <w:lvl w:ilvl="0" w:tplc="9AE4A5B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F91265"/>
    <w:multiLevelType w:val="hybridMultilevel"/>
    <w:tmpl w:val="F884A43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4B2A22"/>
    <w:multiLevelType w:val="hybridMultilevel"/>
    <w:tmpl w:val="695A3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2D04E2"/>
    <w:multiLevelType w:val="hybridMultilevel"/>
    <w:tmpl w:val="C02AB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732347B"/>
    <w:multiLevelType w:val="hybridMultilevel"/>
    <w:tmpl w:val="713C8936"/>
    <w:lvl w:ilvl="0" w:tplc="FFFFFFFF">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9324DA"/>
    <w:multiLevelType w:val="hybridMultilevel"/>
    <w:tmpl w:val="425C4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BA5FF3"/>
    <w:multiLevelType w:val="hybridMultilevel"/>
    <w:tmpl w:val="26C8479E"/>
    <w:lvl w:ilvl="0" w:tplc="04090001">
      <w:start w:val="1"/>
      <w:numFmt w:val="bullet"/>
      <w:lvlText w:val=""/>
      <w:lvlJc w:val="left"/>
      <w:pPr>
        <w:ind w:left="1440" w:hanging="360"/>
      </w:pPr>
      <w:rPr>
        <w:rFonts w:ascii="Symbol" w:hAnsi="Symbol" w:hint="default"/>
      </w:rPr>
    </w:lvl>
    <w:lvl w:ilvl="1" w:tplc="CBF4092A">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687325"/>
    <w:multiLevelType w:val="hybridMultilevel"/>
    <w:tmpl w:val="0E4CD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72D3F"/>
    <w:multiLevelType w:val="hybridMultilevel"/>
    <w:tmpl w:val="14E61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08A3CCC"/>
    <w:multiLevelType w:val="hybridMultilevel"/>
    <w:tmpl w:val="108414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0EC6BBC"/>
    <w:multiLevelType w:val="hybridMultilevel"/>
    <w:tmpl w:val="CFDA6C60"/>
    <w:lvl w:ilvl="0" w:tplc="05E0C2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38B7E05"/>
    <w:multiLevelType w:val="hybridMultilevel"/>
    <w:tmpl w:val="1632F81A"/>
    <w:lvl w:ilvl="0" w:tplc="BA04A7C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CD6357"/>
    <w:multiLevelType w:val="hybridMultilevel"/>
    <w:tmpl w:val="F98AE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8D58C4"/>
    <w:multiLevelType w:val="hybridMultilevel"/>
    <w:tmpl w:val="4B2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C6E42"/>
    <w:multiLevelType w:val="hybridMultilevel"/>
    <w:tmpl w:val="528AD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97248F"/>
    <w:multiLevelType w:val="hybridMultilevel"/>
    <w:tmpl w:val="6BE47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9158246">
    <w:abstractNumId w:val="18"/>
  </w:num>
  <w:num w:numId="2" w16cid:durableId="388304264">
    <w:abstractNumId w:val="33"/>
  </w:num>
  <w:num w:numId="3" w16cid:durableId="88842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668665">
    <w:abstractNumId w:val="8"/>
  </w:num>
  <w:num w:numId="5" w16cid:durableId="650056980">
    <w:abstractNumId w:val="7"/>
  </w:num>
  <w:num w:numId="6" w16cid:durableId="714546848">
    <w:abstractNumId w:val="14"/>
  </w:num>
  <w:num w:numId="7" w16cid:durableId="1472601384">
    <w:abstractNumId w:val="24"/>
  </w:num>
  <w:num w:numId="8" w16cid:durableId="1228030544">
    <w:abstractNumId w:val="20"/>
  </w:num>
  <w:num w:numId="9" w16cid:durableId="697507517">
    <w:abstractNumId w:val="13"/>
  </w:num>
  <w:num w:numId="10" w16cid:durableId="2020278867">
    <w:abstractNumId w:val="11"/>
  </w:num>
  <w:num w:numId="11" w16cid:durableId="1255094051">
    <w:abstractNumId w:val="15"/>
  </w:num>
  <w:num w:numId="12" w16cid:durableId="1389498909">
    <w:abstractNumId w:val="40"/>
  </w:num>
  <w:num w:numId="13" w16cid:durableId="1554464973">
    <w:abstractNumId w:val="31"/>
  </w:num>
  <w:num w:numId="14" w16cid:durableId="1420175355">
    <w:abstractNumId w:val="1"/>
  </w:num>
  <w:num w:numId="15" w16cid:durableId="1907451586">
    <w:abstractNumId w:val="17"/>
  </w:num>
  <w:num w:numId="16" w16cid:durableId="292757358">
    <w:abstractNumId w:val="37"/>
  </w:num>
  <w:num w:numId="17" w16cid:durableId="848563134">
    <w:abstractNumId w:val="2"/>
  </w:num>
  <w:num w:numId="18" w16cid:durableId="450443759">
    <w:abstractNumId w:val="16"/>
  </w:num>
  <w:num w:numId="19" w16cid:durableId="1378316340">
    <w:abstractNumId w:val="29"/>
  </w:num>
  <w:num w:numId="20" w16cid:durableId="999191831">
    <w:abstractNumId w:val="19"/>
  </w:num>
  <w:num w:numId="21" w16cid:durableId="621226191">
    <w:abstractNumId w:val="0"/>
  </w:num>
  <w:num w:numId="22" w16cid:durableId="2101288916">
    <w:abstractNumId w:val="21"/>
  </w:num>
  <w:num w:numId="23" w16cid:durableId="1829710337">
    <w:abstractNumId w:val="39"/>
  </w:num>
  <w:num w:numId="24" w16cid:durableId="1637417896">
    <w:abstractNumId w:val="9"/>
  </w:num>
  <w:num w:numId="25" w16cid:durableId="615186532">
    <w:abstractNumId w:val="12"/>
  </w:num>
  <w:num w:numId="26" w16cid:durableId="1477802326">
    <w:abstractNumId w:val="28"/>
  </w:num>
  <w:num w:numId="27" w16cid:durableId="913660214">
    <w:abstractNumId w:val="10"/>
  </w:num>
  <w:num w:numId="28" w16cid:durableId="1318612624">
    <w:abstractNumId w:val="38"/>
  </w:num>
  <w:num w:numId="29" w16cid:durableId="286552750">
    <w:abstractNumId w:val="22"/>
  </w:num>
  <w:num w:numId="30" w16cid:durableId="1568539325">
    <w:abstractNumId w:val="32"/>
  </w:num>
  <w:num w:numId="31" w16cid:durableId="425686824">
    <w:abstractNumId w:val="27"/>
  </w:num>
  <w:num w:numId="32" w16cid:durableId="2106878688">
    <w:abstractNumId w:val="23"/>
  </w:num>
  <w:num w:numId="33" w16cid:durableId="517236832">
    <w:abstractNumId w:val="30"/>
  </w:num>
  <w:num w:numId="34" w16cid:durableId="1416900501">
    <w:abstractNumId w:val="36"/>
  </w:num>
  <w:num w:numId="35" w16cid:durableId="939993277">
    <w:abstractNumId w:val="25"/>
  </w:num>
  <w:num w:numId="36" w16cid:durableId="43217903">
    <w:abstractNumId w:val="26"/>
  </w:num>
  <w:num w:numId="37" w16cid:durableId="1985045731">
    <w:abstractNumId w:val="5"/>
  </w:num>
  <w:num w:numId="38" w16cid:durableId="211313654">
    <w:abstractNumId w:val="3"/>
  </w:num>
  <w:num w:numId="39" w16cid:durableId="119686756">
    <w:abstractNumId w:val="4"/>
  </w:num>
  <w:num w:numId="40" w16cid:durableId="469057359">
    <w:abstractNumId w:val="6"/>
  </w:num>
  <w:num w:numId="41" w16cid:durableId="1645694439">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ytDQ3szSzBLJMLZR0lIJTi4sz8/NACowNawG2jXsJLQAAAA=="/>
  </w:docVars>
  <w:rsids>
    <w:rsidRoot w:val="00327DC1"/>
    <w:rsid w:val="000000BC"/>
    <w:rsid w:val="000003B9"/>
    <w:rsid w:val="00000F6B"/>
    <w:rsid w:val="0000122D"/>
    <w:rsid w:val="000021D6"/>
    <w:rsid w:val="00002538"/>
    <w:rsid w:val="000030DD"/>
    <w:rsid w:val="000033A2"/>
    <w:rsid w:val="00004CEE"/>
    <w:rsid w:val="0000511F"/>
    <w:rsid w:val="000051C3"/>
    <w:rsid w:val="00005897"/>
    <w:rsid w:val="000063BE"/>
    <w:rsid w:val="000064FA"/>
    <w:rsid w:val="00006780"/>
    <w:rsid w:val="00006EB5"/>
    <w:rsid w:val="00006EE3"/>
    <w:rsid w:val="00006F53"/>
    <w:rsid w:val="000071BD"/>
    <w:rsid w:val="00007A0B"/>
    <w:rsid w:val="00007E6C"/>
    <w:rsid w:val="00010556"/>
    <w:rsid w:val="00010E37"/>
    <w:rsid w:val="000116D2"/>
    <w:rsid w:val="00011731"/>
    <w:rsid w:val="00011A5A"/>
    <w:rsid w:val="00012871"/>
    <w:rsid w:val="000132F3"/>
    <w:rsid w:val="00013306"/>
    <w:rsid w:val="00014594"/>
    <w:rsid w:val="0001467B"/>
    <w:rsid w:val="00014843"/>
    <w:rsid w:val="00015174"/>
    <w:rsid w:val="00015349"/>
    <w:rsid w:val="00015B34"/>
    <w:rsid w:val="00016FBD"/>
    <w:rsid w:val="000170EF"/>
    <w:rsid w:val="00017249"/>
    <w:rsid w:val="00020007"/>
    <w:rsid w:val="00020299"/>
    <w:rsid w:val="0002096D"/>
    <w:rsid w:val="00021325"/>
    <w:rsid w:val="00021369"/>
    <w:rsid w:val="000215C9"/>
    <w:rsid w:val="00022E5A"/>
    <w:rsid w:val="000232E9"/>
    <w:rsid w:val="0002353A"/>
    <w:rsid w:val="000241B7"/>
    <w:rsid w:val="0002462E"/>
    <w:rsid w:val="0002557C"/>
    <w:rsid w:val="00025795"/>
    <w:rsid w:val="00027262"/>
    <w:rsid w:val="00027B75"/>
    <w:rsid w:val="00027E2B"/>
    <w:rsid w:val="00030BCC"/>
    <w:rsid w:val="00031259"/>
    <w:rsid w:val="00032B0A"/>
    <w:rsid w:val="00032C58"/>
    <w:rsid w:val="00033544"/>
    <w:rsid w:val="000348B5"/>
    <w:rsid w:val="00034A33"/>
    <w:rsid w:val="0003505C"/>
    <w:rsid w:val="0003643C"/>
    <w:rsid w:val="00036588"/>
    <w:rsid w:val="00036BE7"/>
    <w:rsid w:val="00037493"/>
    <w:rsid w:val="000400AD"/>
    <w:rsid w:val="0004096C"/>
    <w:rsid w:val="000416A8"/>
    <w:rsid w:val="00041A90"/>
    <w:rsid w:val="00041C83"/>
    <w:rsid w:val="000422FA"/>
    <w:rsid w:val="000428BB"/>
    <w:rsid w:val="00042BF2"/>
    <w:rsid w:val="0004376A"/>
    <w:rsid w:val="00043A4E"/>
    <w:rsid w:val="0004406A"/>
    <w:rsid w:val="00045882"/>
    <w:rsid w:val="00046D39"/>
    <w:rsid w:val="00046E6F"/>
    <w:rsid w:val="000471F8"/>
    <w:rsid w:val="00047DCD"/>
    <w:rsid w:val="00051182"/>
    <w:rsid w:val="0005136B"/>
    <w:rsid w:val="000539A8"/>
    <w:rsid w:val="000548A5"/>
    <w:rsid w:val="00055A5C"/>
    <w:rsid w:val="00055FC3"/>
    <w:rsid w:val="00056024"/>
    <w:rsid w:val="00057660"/>
    <w:rsid w:val="00057C9B"/>
    <w:rsid w:val="000604B5"/>
    <w:rsid w:val="000605A3"/>
    <w:rsid w:val="0006161F"/>
    <w:rsid w:val="000617AE"/>
    <w:rsid w:val="0006188A"/>
    <w:rsid w:val="00061FE3"/>
    <w:rsid w:val="0006324F"/>
    <w:rsid w:val="00063EE9"/>
    <w:rsid w:val="00065ECE"/>
    <w:rsid w:val="00066265"/>
    <w:rsid w:val="0006657A"/>
    <w:rsid w:val="00067AA7"/>
    <w:rsid w:val="00067D04"/>
    <w:rsid w:val="00070EEC"/>
    <w:rsid w:val="000730BD"/>
    <w:rsid w:val="00073121"/>
    <w:rsid w:val="00073835"/>
    <w:rsid w:val="00074063"/>
    <w:rsid w:val="0007416F"/>
    <w:rsid w:val="000748CF"/>
    <w:rsid w:val="00074F43"/>
    <w:rsid w:val="00075628"/>
    <w:rsid w:val="00075688"/>
    <w:rsid w:val="00075A02"/>
    <w:rsid w:val="00075A83"/>
    <w:rsid w:val="00075E4A"/>
    <w:rsid w:val="00075EE0"/>
    <w:rsid w:val="000765CB"/>
    <w:rsid w:val="00076759"/>
    <w:rsid w:val="00076A29"/>
    <w:rsid w:val="00076FD0"/>
    <w:rsid w:val="0007749E"/>
    <w:rsid w:val="00077B4F"/>
    <w:rsid w:val="0008118F"/>
    <w:rsid w:val="00081991"/>
    <w:rsid w:val="00082513"/>
    <w:rsid w:val="000827B8"/>
    <w:rsid w:val="00082B9E"/>
    <w:rsid w:val="00082CC5"/>
    <w:rsid w:val="000832D3"/>
    <w:rsid w:val="00083B6A"/>
    <w:rsid w:val="00084927"/>
    <w:rsid w:val="00085342"/>
    <w:rsid w:val="000859FA"/>
    <w:rsid w:val="00085BD2"/>
    <w:rsid w:val="00085BFC"/>
    <w:rsid w:val="00085DF6"/>
    <w:rsid w:val="00085E98"/>
    <w:rsid w:val="00086555"/>
    <w:rsid w:val="000865C1"/>
    <w:rsid w:val="000868D0"/>
    <w:rsid w:val="00086B17"/>
    <w:rsid w:val="00086BAE"/>
    <w:rsid w:val="00087443"/>
    <w:rsid w:val="000902A6"/>
    <w:rsid w:val="00090CAF"/>
    <w:rsid w:val="0009164C"/>
    <w:rsid w:val="000917B5"/>
    <w:rsid w:val="0009187E"/>
    <w:rsid w:val="0009187F"/>
    <w:rsid w:val="0009201B"/>
    <w:rsid w:val="0009201C"/>
    <w:rsid w:val="000920DC"/>
    <w:rsid w:val="00092878"/>
    <w:rsid w:val="00093009"/>
    <w:rsid w:val="00093D84"/>
    <w:rsid w:val="00094B9F"/>
    <w:rsid w:val="00095D92"/>
    <w:rsid w:val="0009639F"/>
    <w:rsid w:val="0009681A"/>
    <w:rsid w:val="00097A3F"/>
    <w:rsid w:val="000A00BE"/>
    <w:rsid w:val="000A0182"/>
    <w:rsid w:val="000A083F"/>
    <w:rsid w:val="000A08F9"/>
    <w:rsid w:val="000A0BF7"/>
    <w:rsid w:val="000A1D10"/>
    <w:rsid w:val="000A1EC3"/>
    <w:rsid w:val="000A2DBB"/>
    <w:rsid w:val="000A3D57"/>
    <w:rsid w:val="000A43D4"/>
    <w:rsid w:val="000A52FE"/>
    <w:rsid w:val="000A5461"/>
    <w:rsid w:val="000A55FB"/>
    <w:rsid w:val="000A5E73"/>
    <w:rsid w:val="000A659C"/>
    <w:rsid w:val="000A683B"/>
    <w:rsid w:val="000A7062"/>
    <w:rsid w:val="000A7991"/>
    <w:rsid w:val="000B0851"/>
    <w:rsid w:val="000B1EDB"/>
    <w:rsid w:val="000B2D9E"/>
    <w:rsid w:val="000B2FF2"/>
    <w:rsid w:val="000B2FFB"/>
    <w:rsid w:val="000B3CFB"/>
    <w:rsid w:val="000B40F5"/>
    <w:rsid w:val="000B4C0C"/>
    <w:rsid w:val="000B5E66"/>
    <w:rsid w:val="000B6FEA"/>
    <w:rsid w:val="000B7572"/>
    <w:rsid w:val="000B7DCB"/>
    <w:rsid w:val="000C086C"/>
    <w:rsid w:val="000C0C3C"/>
    <w:rsid w:val="000C19B0"/>
    <w:rsid w:val="000C2450"/>
    <w:rsid w:val="000C2B45"/>
    <w:rsid w:val="000C36FB"/>
    <w:rsid w:val="000C393E"/>
    <w:rsid w:val="000C3B59"/>
    <w:rsid w:val="000C484C"/>
    <w:rsid w:val="000C525D"/>
    <w:rsid w:val="000C5392"/>
    <w:rsid w:val="000C5BCF"/>
    <w:rsid w:val="000C64F6"/>
    <w:rsid w:val="000C668D"/>
    <w:rsid w:val="000C7B4B"/>
    <w:rsid w:val="000D009A"/>
    <w:rsid w:val="000D048F"/>
    <w:rsid w:val="000D07BC"/>
    <w:rsid w:val="000D07F0"/>
    <w:rsid w:val="000D0C43"/>
    <w:rsid w:val="000D2774"/>
    <w:rsid w:val="000D4D79"/>
    <w:rsid w:val="000D5223"/>
    <w:rsid w:val="000D5A03"/>
    <w:rsid w:val="000D6688"/>
    <w:rsid w:val="000D6795"/>
    <w:rsid w:val="000D6938"/>
    <w:rsid w:val="000D7AF7"/>
    <w:rsid w:val="000E0F83"/>
    <w:rsid w:val="000E1464"/>
    <w:rsid w:val="000E18A5"/>
    <w:rsid w:val="000E2274"/>
    <w:rsid w:val="000E2490"/>
    <w:rsid w:val="000E352F"/>
    <w:rsid w:val="000E3852"/>
    <w:rsid w:val="000E38C1"/>
    <w:rsid w:val="000E3ACC"/>
    <w:rsid w:val="000E3ED9"/>
    <w:rsid w:val="000E4245"/>
    <w:rsid w:val="000E5717"/>
    <w:rsid w:val="000E593D"/>
    <w:rsid w:val="000E5C10"/>
    <w:rsid w:val="000E67F5"/>
    <w:rsid w:val="000E710F"/>
    <w:rsid w:val="000E71B5"/>
    <w:rsid w:val="000E766C"/>
    <w:rsid w:val="000E7ACD"/>
    <w:rsid w:val="000E7C08"/>
    <w:rsid w:val="000F0A20"/>
    <w:rsid w:val="000F341C"/>
    <w:rsid w:val="000F36D9"/>
    <w:rsid w:val="000F3AE6"/>
    <w:rsid w:val="000F43B3"/>
    <w:rsid w:val="000F4828"/>
    <w:rsid w:val="000F4A4D"/>
    <w:rsid w:val="000F4B06"/>
    <w:rsid w:val="000F4F52"/>
    <w:rsid w:val="000F53D9"/>
    <w:rsid w:val="000F627E"/>
    <w:rsid w:val="000F6D0A"/>
    <w:rsid w:val="000F747B"/>
    <w:rsid w:val="000F78D3"/>
    <w:rsid w:val="000F7D67"/>
    <w:rsid w:val="0010042F"/>
    <w:rsid w:val="001007FD"/>
    <w:rsid w:val="00100FA5"/>
    <w:rsid w:val="001012DE"/>
    <w:rsid w:val="00101354"/>
    <w:rsid w:val="00101C0B"/>
    <w:rsid w:val="00101DCA"/>
    <w:rsid w:val="001020E0"/>
    <w:rsid w:val="0010299E"/>
    <w:rsid w:val="00102A88"/>
    <w:rsid w:val="00102C93"/>
    <w:rsid w:val="00103509"/>
    <w:rsid w:val="00103832"/>
    <w:rsid w:val="00105058"/>
    <w:rsid w:val="00105444"/>
    <w:rsid w:val="001055A4"/>
    <w:rsid w:val="001058BA"/>
    <w:rsid w:val="0010678F"/>
    <w:rsid w:val="00107F49"/>
    <w:rsid w:val="0011020C"/>
    <w:rsid w:val="00110649"/>
    <w:rsid w:val="00110771"/>
    <w:rsid w:val="001107F8"/>
    <w:rsid w:val="001117E8"/>
    <w:rsid w:val="00111BC1"/>
    <w:rsid w:val="00112349"/>
    <w:rsid w:val="00112532"/>
    <w:rsid w:val="0011288E"/>
    <w:rsid w:val="00113866"/>
    <w:rsid w:val="001138DC"/>
    <w:rsid w:val="00113D46"/>
    <w:rsid w:val="00114450"/>
    <w:rsid w:val="0011526F"/>
    <w:rsid w:val="00115D22"/>
    <w:rsid w:val="001164FA"/>
    <w:rsid w:val="00116866"/>
    <w:rsid w:val="00116C51"/>
    <w:rsid w:val="0011701A"/>
    <w:rsid w:val="00117238"/>
    <w:rsid w:val="00117AA0"/>
    <w:rsid w:val="00117F8F"/>
    <w:rsid w:val="0011BC51"/>
    <w:rsid w:val="001206E4"/>
    <w:rsid w:val="0012112F"/>
    <w:rsid w:val="00121963"/>
    <w:rsid w:val="00121D98"/>
    <w:rsid w:val="00122078"/>
    <w:rsid w:val="0012244C"/>
    <w:rsid w:val="00122579"/>
    <w:rsid w:val="00122D1E"/>
    <w:rsid w:val="00123AC2"/>
    <w:rsid w:val="00124734"/>
    <w:rsid w:val="00125388"/>
    <w:rsid w:val="001256D2"/>
    <w:rsid w:val="00126036"/>
    <w:rsid w:val="001262A4"/>
    <w:rsid w:val="00126651"/>
    <w:rsid w:val="00126FFA"/>
    <w:rsid w:val="001279D1"/>
    <w:rsid w:val="00127F32"/>
    <w:rsid w:val="00127F9C"/>
    <w:rsid w:val="00130A15"/>
    <w:rsid w:val="00131D8C"/>
    <w:rsid w:val="0013281F"/>
    <w:rsid w:val="00132D11"/>
    <w:rsid w:val="00133248"/>
    <w:rsid w:val="00134815"/>
    <w:rsid w:val="001348BF"/>
    <w:rsid w:val="00135C72"/>
    <w:rsid w:val="0013649E"/>
    <w:rsid w:val="00136CC5"/>
    <w:rsid w:val="00136F95"/>
    <w:rsid w:val="00140002"/>
    <w:rsid w:val="001410A0"/>
    <w:rsid w:val="001410F1"/>
    <w:rsid w:val="00141341"/>
    <w:rsid w:val="00141F76"/>
    <w:rsid w:val="001424FD"/>
    <w:rsid w:val="001432A4"/>
    <w:rsid w:val="00143711"/>
    <w:rsid w:val="001444FA"/>
    <w:rsid w:val="0014453E"/>
    <w:rsid w:val="00144BE9"/>
    <w:rsid w:val="0014575C"/>
    <w:rsid w:val="00145AE6"/>
    <w:rsid w:val="00145E01"/>
    <w:rsid w:val="00146536"/>
    <w:rsid w:val="0015005F"/>
    <w:rsid w:val="00150109"/>
    <w:rsid w:val="00150962"/>
    <w:rsid w:val="00150EF8"/>
    <w:rsid w:val="00152045"/>
    <w:rsid w:val="00152CD3"/>
    <w:rsid w:val="00152D7A"/>
    <w:rsid w:val="00153689"/>
    <w:rsid w:val="0015397C"/>
    <w:rsid w:val="00153B86"/>
    <w:rsid w:val="00154C6D"/>
    <w:rsid w:val="001552C1"/>
    <w:rsid w:val="001553B3"/>
    <w:rsid w:val="00156301"/>
    <w:rsid w:val="00156390"/>
    <w:rsid w:val="0015687D"/>
    <w:rsid w:val="00157048"/>
    <w:rsid w:val="001601CB"/>
    <w:rsid w:val="0016041C"/>
    <w:rsid w:val="00160574"/>
    <w:rsid w:val="00160E87"/>
    <w:rsid w:val="00160EC4"/>
    <w:rsid w:val="0016120D"/>
    <w:rsid w:val="001645DC"/>
    <w:rsid w:val="00164F41"/>
    <w:rsid w:val="00165147"/>
    <w:rsid w:val="00165154"/>
    <w:rsid w:val="00165489"/>
    <w:rsid w:val="0016570D"/>
    <w:rsid w:val="00167C15"/>
    <w:rsid w:val="00170655"/>
    <w:rsid w:val="001706E7"/>
    <w:rsid w:val="00171436"/>
    <w:rsid w:val="00171834"/>
    <w:rsid w:val="00171F57"/>
    <w:rsid w:val="00171FD6"/>
    <w:rsid w:val="00172650"/>
    <w:rsid w:val="0017427C"/>
    <w:rsid w:val="001745B7"/>
    <w:rsid w:val="00174735"/>
    <w:rsid w:val="0017482E"/>
    <w:rsid w:val="001768CD"/>
    <w:rsid w:val="00180D31"/>
    <w:rsid w:val="001813C6"/>
    <w:rsid w:val="001813EF"/>
    <w:rsid w:val="001821CD"/>
    <w:rsid w:val="001831E2"/>
    <w:rsid w:val="00183E62"/>
    <w:rsid w:val="001849CB"/>
    <w:rsid w:val="00185556"/>
    <w:rsid w:val="00186104"/>
    <w:rsid w:val="00186775"/>
    <w:rsid w:val="0018691F"/>
    <w:rsid w:val="00186ADA"/>
    <w:rsid w:val="00186C9A"/>
    <w:rsid w:val="0018735D"/>
    <w:rsid w:val="001875FB"/>
    <w:rsid w:val="00187686"/>
    <w:rsid w:val="00187943"/>
    <w:rsid w:val="00187E70"/>
    <w:rsid w:val="001917F8"/>
    <w:rsid w:val="00191CE8"/>
    <w:rsid w:val="00191FCC"/>
    <w:rsid w:val="00192F69"/>
    <w:rsid w:val="00193439"/>
    <w:rsid w:val="00193B53"/>
    <w:rsid w:val="00194B68"/>
    <w:rsid w:val="00194B79"/>
    <w:rsid w:val="001962DF"/>
    <w:rsid w:val="00197134"/>
    <w:rsid w:val="00197293"/>
    <w:rsid w:val="001976EE"/>
    <w:rsid w:val="00197768"/>
    <w:rsid w:val="00197DD0"/>
    <w:rsid w:val="001A15FC"/>
    <w:rsid w:val="001A176D"/>
    <w:rsid w:val="001A1780"/>
    <w:rsid w:val="001A196D"/>
    <w:rsid w:val="001A1EDE"/>
    <w:rsid w:val="001A1FC8"/>
    <w:rsid w:val="001A22E6"/>
    <w:rsid w:val="001A2F84"/>
    <w:rsid w:val="001A311F"/>
    <w:rsid w:val="001A348D"/>
    <w:rsid w:val="001A54C6"/>
    <w:rsid w:val="001A56BA"/>
    <w:rsid w:val="001A5CE4"/>
    <w:rsid w:val="001A5D92"/>
    <w:rsid w:val="001A5F6A"/>
    <w:rsid w:val="001A630C"/>
    <w:rsid w:val="001A67F2"/>
    <w:rsid w:val="001A7921"/>
    <w:rsid w:val="001B0CA1"/>
    <w:rsid w:val="001B0F30"/>
    <w:rsid w:val="001B0FBD"/>
    <w:rsid w:val="001B24D1"/>
    <w:rsid w:val="001B2F71"/>
    <w:rsid w:val="001B316C"/>
    <w:rsid w:val="001B3383"/>
    <w:rsid w:val="001B424F"/>
    <w:rsid w:val="001B44FB"/>
    <w:rsid w:val="001B4E4E"/>
    <w:rsid w:val="001B540E"/>
    <w:rsid w:val="001B70BF"/>
    <w:rsid w:val="001B743A"/>
    <w:rsid w:val="001B75F6"/>
    <w:rsid w:val="001C00AE"/>
    <w:rsid w:val="001C0806"/>
    <w:rsid w:val="001C0A31"/>
    <w:rsid w:val="001C0AC9"/>
    <w:rsid w:val="001C1C0B"/>
    <w:rsid w:val="001C24B6"/>
    <w:rsid w:val="001C26D3"/>
    <w:rsid w:val="001C2A46"/>
    <w:rsid w:val="001C3635"/>
    <w:rsid w:val="001C36B6"/>
    <w:rsid w:val="001C380C"/>
    <w:rsid w:val="001C380F"/>
    <w:rsid w:val="001C3DD1"/>
    <w:rsid w:val="001C4FE6"/>
    <w:rsid w:val="001C5A78"/>
    <w:rsid w:val="001C623E"/>
    <w:rsid w:val="001C64E2"/>
    <w:rsid w:val="001C6CDA"/>
    <w:rsid w:val="001C6E5B"/>
    <w:rsid w:val="001C71A4"/>
    <w:rsid w:val="001C72F5"/>
    <w:rsid w:val="001C7B83"/>
    <w:rsid w:val="001C7EA0"/>
    <w:rsid w:val="001C7EA6"/>
    <w:rsid w:val="001D0572"/>
    <w:rsid w:val="001D068E"/>
    <w:rsid w:val="001D1541"/>
    <w:rsid w:val="001D3257"/>
    <w:rsid w:val="001D3590"/>
    <w:rsid w:val="001D3982"/>
    <w:rsid w:val="001D3DBE"/>
    <w:rsid w:val="001D400A"/>
    <w:rsid w:val="001D464F"/>
    <w:rsid w:val="001D5466"/>
    <w:rsid w:val="001D6A73"/>
    <w:rsid w:val="001E018F"/>
    <w:rsid w:val="001E040B"/>
    <w:rsid w:val="001E06DD"/>
    <w:rsid w:val="001E0C95"/>
    <w:rsid w:val="001E0E55"/>
    <w:rsid w:val="001E0FCC"/>
    <w:rsid w:val="001E1B1D"/>
    <w:rsid w:val="001E1B65"/>
    <w:rsid w:val="001E2469"/>
    <w:rsid w:val="001E25B5"/>
    <w:rsid w:val="001E2B76"/>
    <w:rsid w:val="001E2F2A"/>
    <w:rsid w:val="001E5DEF"/>
    <w:rsid w:val="001E687F"/>
    <w:rsid w:val="001E6880"/>
    <w:rsid w:val="001E7FD9"/>
    <w:rsid w:val="001F0600"/>
    <w:rsid w:val="001F14D0"/>
    <w:rsid w:val="001F1724"/>
    <w:rsid w:val="001F1841"/>
    <w:rsid w:val="001F1D0C"/>
    <w:rsid w:val="001F22AF"/>
    <w:rsid w:val="001F2301"/>
    <w:rsid w:val="001F282A"/>
    <w:rsid w:val="001F2986"/>
    <w:rsid w:val="001F2AB5"/>
    <w:rsid w:val="001F2B80"/>
    <w:rsid w:val="001F3816"/>
    <w:rsid w:val="001F3ED2"/>
    <w:rsid w:val="001F40BA"/>
    <w:rsid w:val="001F4A1F"/>
    <w:rsid w:val="001F5127"/>
    <w:rsid w:val="001F54CB"/>
    <w:rsid w:val="001F561E"/>
    <w:rsid w:val="001F595E"/>
    <w:rsid w:val="001F656B"/>
    <w:rsid w:val="001F6F74"/>
    <w:rsid w:val="001F7291"/>
    <w:rsid w:val="001F7476"/>
    <w:rsid w:val="001F7713"/>
    <w:rsid w:val="001F7974"/>
    <w:rsid w:val="0020276C"/>
    <w:rsid w:val="00202A60"/>
    <w:rsid w:val="0020405B"/>
    <w:rsid w:val="00204BBA"/>
    <w:rsid w:val="00204F48"/>
    <w:rsid w:val="0020527A"/>
    <w:rsid w:val="00206619"/>
    <w:rsid w:val="00206F0F"/>
    <w:rsid w:val="00207B14"/>
    <w:rsid w:val="002108E9"/>
    <w:rsid w:val="00211458"/>
    <w:rsid w:val="002118BE"/>
    <w:rsid w:val="002122DA"/>
    <w:rsid w:val="0021246C"/>
    <w:rsid w:val="00213107"/>
    <w:rsid w:val="0021354B"/>
    <w:rsid w:val="00214343"/>
    <w:rsid w:val="002144CB"/>
    <w:rsid w:val="002156D1"/>
    <w:rsid w:val="00215755"/>
    <w:rsid w:val="00215822"/>
    <w:rsid w:val="00217E34"/>
    <w:rsid w:val="00217FF3"/>
    <w:rsid w:val="00220CB9"/>
    <w:rsid w:val="00221BCB"/>
    <w:rsid w:val="00222544"/>
    <w:rsid w:val="00223A7C"/>
    <w:rsid w:val="00223F31"/>
    <w:rsid w:val="00225338"/>
    <w:rsid w:val="00226400"/>
    <w:rsid w:val="00226777"/>
    <w:rsid w:val="00227E71"/>
    <w:rsid w:val="00230B45"/>
    <w:rsid w:val="002319BE"/>
    <w:rsid w:val="00231CAF"/>
    <w:rsid w:val="00232DA2"/>
    <w:rsid w:val="00233EF9"/>
    <w:rsid w:val="00234083"/>
    <w:rsid w:val="0023437F"/>
    <w:rsid w:val="00234BD5"/>
    <w:rsid w:val="00234F66"/>
    <w:rsid w:val="00235075"/>
    <w:rsid w:val="00235274"/>
    <w:rsid w:val="002359AD"/>
    <w:rsid w:val="00235F12"/>
    <w:rsid w:val="00236835"/>
    <w:rsid w:val="00236E1C"/>
    <w:rsid w:val="0023733E"/>
    <w:rsid w:val="00237D82"/>
    <w:rsid w:val="002403A8"/>
    <w:rsid w:val="00240BD6"/>
    <w:rsid w:val="00241E9C"/>
    <w:rsid w:val="00242209"/>
    <w:rsid w:val="00242872"/>
    <w:rsid w:val="00243425"/>
    <w:rsid w:val="0024419B"/>
    <w:rsid w:val="00244646"/>
    <w:rsid w:val="002446C3"/>
    <w:rsid w:val="00244C28"/>
    <w:rsid w:val="002462DD"/>
    <w:rsid w:val="0024691D"/>
    <w:rsid w:val="00246DB3"/>
    <w:rsid w:val="00250BDF"/>
    <w:rsid w:val="002511EF"/>
    <w:rsid w:val="00251A6D"/>
    <w:rsid w:val="00252162"/>
    <w:rsid w:val="002523A3"/>
    <w:rsid w:val="00252D08"/>
    <w:rsid w:val="002550CB"/>
    <w:rsid w:val="002557E5"/>
    <w:rsid w:val="00255C83"/>
    <w:rsid w:val="002568B9"/>
    <w:rsid w:val="00257979"/>
    <w:rsid w:val="00257B75"/>
    <w:rsid w:val="00257FDA"/>
    <w:rsid w:val="002609E3"/>
    <w:rsid w:val="0026127C"/>
    <w:rsid w:val="00261B69"/>
    <w:rsid w:val="002641A8"/>
    <w:rsid w:val="00264232"/>
    <w:rsid w:val="00264861"/>
    <w:rsid w:val="0026563F"/>
    <w:rsid w:val="00265EB4"/>
    <w:rsid w:val="00266251"/>
    <w:rsid w:val="00266757"/>
    <w:rsid w:val="00266907"/>
    <w:rsid w:val="00266E4D"/>
    <w:rsid w:val="00267286"/>
    <w:rsid w:val="00267DAE"/>
    <w:rsid w:val="00267E43"/>
    <w:rsid w:val="0027087F"/>
    <w:rsid w:val="002710CB"/>
    <w:rsid w:val="0027128E"/>
    <w:rsid w:val="002714E2"/>
    <w:rsid w:val="00271E2E"/>
    <w:rsid w:val="002722BC"/>
    <w:rsid w:val="002729D5"/>
    <w:rsid w:val="00272C32"/>
    <w:rsid w:val="00273BC0"/>
    <w:rsid w:val="0027406F"/>
    <w:rsid w:val="002744E5"/>
    <w:rsid w:val="0027459B"/>
    <w:rsid w:val="002745E7"/>
    <w:rsid w:val="00274850"/>
    <w:rsid w:val="00274BA8"/>
    <w:rsid w:val="00274C0C"/>
    <w:rsid w:val="0027699F"/>
    <w:rsid w:val="00277E51"/>
    <w:rsid w:val="00280B1B"/>
    <w:rsid w:val="0028281F"/>
    <w:rsid w:val="002845C0"/>
    <w:rsid w:val="00284644"/>
    <w:rsid w:val="00285342"/>
    <w:rsid w:val="002856ED"/>
    <w:rsid w:val="00285934"/>
    <w:rsid w:val="00285CBA"/>
    <w:rsid w:val="0028621B"/>
    <w:rsid w:val="0028751C"/>
    <w:rsid w:val="002875DD"/>
    <w:rsid w:val="002908F5"/>
    <w:rsid w:val="00293236"/>
    <w:rsid w:val="0029329F"/>
    <w:rsid w:val="002938F9"/>
    <w:rsid w:val="00293CFD"/>
    <w:rsid w:val="002941CA"/>
    <w:rsid w:val="00294999"/>
    <w:rsid w:val="00294F05"/>
    <w:rsid w:val="00295997"/>
    <w:rsid w:val="002973D7"/>
    <w:rsid w:val="0029742B"/>
    <w:rsid w:val="00297CF6"/>
    <w:rsid w:val="002A0CF9"/>
    <w:rsid w:val="002A1B36"/>
    <w:rsid w:val="002A2D38"/>
    <w:rsid w:val="002A3108"/>
    <w:rsid w:val="002A389E"/>
    <w:rsid w:val="002A3BC4"/>
    <w:rsid w:val="002A4C07"/>
    <w:rsid w:val="002A56C6"/>
    <w:rsid w:val="002A73F2"/>
    <w:rsid w:val="002A7B93"/>
    <w:rsid w:val="002B0363"/>
    <w:rsid w:val="002B03C6"/>
    <w:rsid w:val="002B0459"/>
    <w:rsid w:val="002B1FB6"/>
    <w:rsid w:val="002B3E4D"/>
    <w:rsid w:val="002B429B"/>
    <w:rsid w:val="002B4B6E"/>
    <w:rsid w:val="002B4FD4"/>
    <w:rsid w:val="002B51D6"/>
    <w:rsid w:val="002B572C"/>
    <w:rsid w:val="002B57A7"/>
    <w:rsid w:val="002B6667"/>
    <w:rsid w:val="002C0610"/>
    <w:rsid w:val="002C0B3C"/>
    <w:rsid w:val="002C0FC1"/>
    <w:rsid w:val="002C1D50"/>
    <w:rsid w:val="002C2074"/>
    <w:rsid w:val="002C20CB"/>
    <w:rsid w:val="002C2E41"/>
    <w:rsid w:val="002C34C1"/>
    <w:rsid w:val="002C39D5"/>
    <w:rsid w:val="002C4C58"/>
    <w:rsid w:val="002C594C"/>
    <w:rsid w:val="002C5B1D"/>
    <w:rsid w:val="002C5B98"/>
    <w:rsid w:val="002C5CC5"/>
    <w:rsid w:val="002C6330"/>
    <w:rsid w:val="002C6F58"/>
    <w:rsid w:val="002C734C"/>
    <w:rsid w:val="002D00A7"/>
    <w:rsid w:val="002D070E"/>
    <w:rsid w:val="002D35B9"/>
    <w:rsid w:val="002D38F2"/>
    <w:rsid w:val="002D3BDE"/>
    <w:rsid w:val="002D4900"/>
    <w:rsid w:val="002D49E1"/>
    <w:rsid w:val="002D5423"/>
    <w:rsid w:val="002D5441"/>
    <w:rsid w:val="002D5510"/>
    <w:rsid w:val="002D58F2"/>
    <w:rsid w:val="002D6E9B"/>
    <w:rsid w:val="002D6F63"/>
    <w:rsid w:val="002D7B40"/>
    <w:rsid w:val="002E00FD"/>
    <w:rsid w:val="002E0EF9"/>
    <w:rsid w:val="002E11CC"/>
    <w:rsid w:val="002E1A07"/>
    <w:rsid w:val="002E236D"/>
    <w:rsid w:val="002E2E09"/>
    <w:rsid w:val="002E3535"/>
    <w:rsid w:val="002E39E0"/>
    <w:rsid w:val="002E3F5C"/>
    <w:rsid w:val="002E4394"/>
    <w:rsid w:val="002E4FC6"/>
    <w:rsid w:val="002E53F7"/>
    <w:rsid w:val="002E603F"/>
    <w:rsid w:val="002E6451"/>
    <w:rsid w:val="002E6BA4"/>
    <w:rsid w:val="002E72BD"/>
    <w:rsid w:val="002F0D9B"/>
    <w:rsid w:val="002F0DB3"/>
    <w:rsid w:val="002F0E63"/>
    <w:rsid w:val="002F1144"/>
    <w:rsid w:val="002F2809"/>
    <w:rsid w:val="002F2B9C"/>
    <w:rsid w:val="002F2E97"/>
    <w:rsid w:val="002F4AE8"/>
    <w:rsid w:val="002F6096"/>
    <w:rsid w:val="002F6790"/>
    <w:rsid w:val="002F6FE8"/>
    <w:rsid w:val="002F727D"/>
    <w:rsid w:val="002F7B7D"/>
    <w:rsid w:val="00300971"/>
    <w:rsid w:val="00300D0F"/>
    <w:rsid w:val="00300D68"/>
    <w:rsid w:val="0030160E"/>
    <w:rsid w:val="003019BD"/>
    <w:rsid w:val="00301B98"/>
    <w:rsid w:val="00302741"/>
    <w:rsid w:val="00302BCB"/>
    <w:rsid w:val="00303190"/>
    <w:rsid w:val="0030337C"/>
    <w:rsid w:val="003033BA"/>
    <w:rsid w:val="00304150"/>
    <w:rsid w:val="00304C2F"/>
    <w:rsid w:val="003066E7"/>
    <w:rsid w:val="00306986"/>
    <w:rsid w:val="00306BD9"/>
    <w:rsid w:val="00306D05"/>
    <w:rsid w:val="003075C8"/>
    <w:rsid w:val="00307F1D"/>
    <w:rsid w:val="003105C6"/>
    <w:rsid w:val="00310874"/>
    <w:rsid w:val="00310F48"/>
    <w:rsid w:val="003114EA"/>
    <w:rsid w:val="003115CB"/>
    <w:rsid w:val="0031306C"/>
    <w:rsid w:val="003138C5"/>
    <w:rsid w:val="00314D16"/>
    <w:rsid w:val="00314FEF"/>
    <w:rsid w:val="00315C1D"/>
    <w:rsid w:val="00317079"/>
    <w:rsid w:val="003178A3"/>
    <w:rsid w:val="003179E3"/>
    <w:rsid w:val="00320162"/>
    <w:rsid w:val="00320939"/>
    <w:rsid w:val="00320B46"/>
    <w:rsid w:val="003228A0"/>
    <w:rsid w:val="00322902"/>
    <w:rsid w:val="0032435B"/>
    <w:rsid w:val="00324B19"/>
    <w:rsid w:val="00324FE2"/>
    <w:rsid w:val="00325623"/>
    <w:rsid w:val="003259D0"/>
    <w:rsid w:val="00325B9B"/>
    <w:rsid w:val="0032634C"/>
    <w:rsid w:val="00326690"/>
    <w:rsid w:val="003268C9"/>
    <w:rsid w:val="00326985"/>
    <w:rsid w:val="003274B5"/>
    <w:rsid w:val="00327DC1"/>
    <w:rsid w:val="00330665"/>
    <w:rsid w:val="00331776"/>
    <w:rsid w:val="00332637"/>
    <w:rsid w:val="00333012"/>
    <w:rsid w:val="0033363C"/>
    <w:rsid w:val="003340F7"/>
    <w:rsid w:val="003344F2"/>
    <w:rsid w:val="00334B42"/>
    <w:rsid w:val="00334B58"/>
    <w:rsid w:val="00334BAC"/>
    <w:rsid w:val="00334ECD"/>
    <w:rsid w:val="00336BA1"/>
    <w:rsid w:val="00337075"/>
    <w:rsid w:val="0033710E"/>
    <w:rsid w:val="00337A23"/>
    <w:rsid w:val="00337A66"/>
    <w:rsid w:val="003407C0"/>
    <w:rsid w:val="003411E7"/>
    <w:rsid w:val="00341EFA"/>
    <w:rsid w:val="00342017"/>
    <w:rsid w:val="0034290A"/>
    <w:rsid w:val="00343ABD"/>
    <w:rsid w:val="00343FB9"/>
    <w:rsid w:val="003441EC"/>
    <w:rsid w:val="00344DC8"/>
    <w:rsid w:val="00345A0C"/>
    <w:rsid w:val="00345CEC"/>
    <w:rsid w:val="00346BBE"/>
    <w:rsid w:val="00346DDA"/>
    <w:rsid w:val="00347FFA"/>
    <w:rsid w:val="00350552"/>
    <w:rsid w:val="0035065F"/>
    <w:rsid w:val="00351013"/>
    <w:rsid w:val="0035122A"/>
    <w:rsid w:val="00351313"/>
    <w:rsid w:val="00352301"/>
    <w:rsid w:val="00352FEE"/>
    <w:rsid w:val="003531AE"/>
    <w:rsid w:val="0035351C"/>
    <w:rsid w:val="00354028"/>
    <w:rsid w:val="00354D02"/>
    <w:rsid w:val="00354DC0"/>
    <w:rsid w:val="00355000"/>
    <w:rsid w:val="00355159"/>
    <w:rsid w:val="00355204"/>
    <w:rsid w:val="0035586A"/>
    <w:rsid w:val="00355EEA"/>
    <w:rsid w:val="0035705E"/>
    <w:rsid w:val="003579F0"/>
    <w:rsid w:val="00357BDD"/>
    <w:rsid w:val="00357CC5"/>
    <w:rsid w:val="003603A8"/>
    <w:rsid w:val="00361AC6"/>
    <w:rsid w:val="00361B99"/>
    <w:rsid w:val="00361CED"/>
    <w:rsid w:val="00363F51"/>
    <w:rsid w:val="003640C9"/>
    <w:rsid w:val="0036426B"/>
    <w:rsid w:val="003642C0"/>
    <w:rsid w:val="003648AB"/>
    <w:rsid w:val="00365572"/>
    <w:rsid w:val="00366393"/>
    <w:rsid w:val="003667A1"/>
    <w:rsid w:val="00367615"/>
    <w:rsid w:val="00370B6C"/>
    <w:rsid w:val="00370BEB"/>
    <w:rsid w:val="0037155C"/>
    <w:rsid w:val="00371863"/>
    <w:rsid w:val="00371C61"/>
    <w:rsid w:val="00372986"/>
    <w:rsid w:val="00372BDB"/>
    <w:rsid w:val="00373290"/>
    <w:rsid w:val="003735A8"/>
    <w:rsid w:val="003737B4"/>
    <w:rsid w:val="00373A77"/>
    <w:rsid w:val="00373C21"/>
    <w:rsid w:val="00373C6D"/>
    <w:rsid w:val="00374C3D"/>
    <w:rsid w:val="00374E6A"/>
    <w:rsid w:val="00374F59"/>
    <w:rsid w:val="003759D1"/>
    <w:rsid w:val="0037616A"/>
    <w:rsid w:val="00380148"/>
    <w:rsid w:val="003804B6"/>
    <w:rsid w:val="0038119B"/>
    <w:rsid w:val="0038130C"/>
    <w:rsid w:val="00381BE3"/>
    <w:rsid w:val="00382AC2"/>
    <w:rsid w:val="003838E5"/>
    <w:rsid w:val="00383CDC"/>
    <w:rsid w:val="003840E9"/>
    <w:rsid w:val="003844EB"/>
    <w:rsid w:val="00384AA8"/>
    <w:rsid w:val="0038509C"/>
    <w:rsid w:val="00385116"/>
    <w:rsid w:val="00385555"/>
    <w:rsid w:val="00385729"/>
    <w:rsid w:val="003858BF"/>
    <w:rsid w:val="00385960"/>
    <w:rsid w:val="00386452"/>
    <w:rsid w:val="00387212"/>
    <w:rsid w:val="00387B07"/>
    <w:rsid w:val="00387CA3"/>
    <w:rsid w:val="0039098A"/>
    <w:rsid w:val="00391302"/>
    <w:rsid w:val="003914F4"/>
    <w:rsid w:val="00391C92"/>
    <w:rsid w:val="00391DA8"/>
    <w:rsid w:val="003922B0"/>
    <w:rsid w:val="00392CB6"/>
    <w:rsid w:val="00392D81"/>
    <w:rsid w:val="00393612"/>
    <w:rsid w:val="00394FB4"/>
    <w:rsid w:val="00395634"/>
    <w:rsid w:val="00396EF7"/>
    <w:rsid w:val="003971E8"/>
    <w:rsid w:val="00397EAE"/>
    <w:rsid w:val="003A00FB"/>
    <w:rsid w:val="003A04F7"/>
    <w:rsid w:val="003A0662"/>
    <w:rsid w:val="003A0A6C"/>
    <w:rsid w:val="003A0D35"/>
    <w:rsid w:val="003A1172"/>
    <w:rsid w:val="003A24E8"/>
    <w:rsid w:val="003A3206"/>
    <w:rsid w:val="003A3E47"/>
    <w:rsid w:val="003A3F1F"/>
    <w:rsid w:val="003A43BC"/>
    <w:rsid w:val="003A55D8"/>
    <w:rsid w:val="003A6588"/>
    <w:rsid w:val="003A6658"/>
    <w:rsid w:val="003A69F9"/>
    <w:rsid w:val="003A6A89"/>
    <w:rsid w:val="003A70F4"/>
    <w:rsid w:val="003A71E4"/>
    <w:rsid w:val="003B04F5"/>
    <w:rsid w:val="003B0BB6"/>
    <w:rsid w:val="003B1526"/>
    <w:rsid w:val="003B1AF2"/>
    <w:rsid w:val="003B1D34"/>
    <w:rsid w:val="003B27B4"/>
    <w:rsid w:val="003B29B8"/>
    <w:rsid w:val="003B2CEC"/>
    <w:rsid w:val="003B35EC"/>
    <w:rsid w:val="003B395F"/>
    <w:rsid w:val="003B4019"/>
    <w:rsid w:val="003B4358"/>
    <w:rsid w:val="003B4A8B"/>
    <w:rsid w:val="003B4EF3"/>
    <w:rsid w:val="003B5F1D"/>
    <w:rsid w:val="003B6BF6"/>
    <w:rsid w:val="003B6F7A"/>
    <w:rsid w:val="003B76AC"/>
    <w:rsid w:val="003C0629"/>
    <w:rsid w:val="003C07C0"/>
    <w:rsid w:val="003C0B92"/>
    <w:rsid w:val="003C1305"/>
    <w:rsid w:val="003C1BCB"/>
    <w:rsid w:val="003C1C7B"/>
    <w:rsid w:val="003C2682"/>
    <w:rsid w:val="003C2ADB"/>
    <w:rsid w:val="003C3AE5"/>
    <w:rsid w:val="003C3AE6"/>
    <w:rsid w:val="003C443D"/>
    <w:rsid w:val="003C5779"/>
    <w:rsid w:val="003C62FD"/>
    <w:rsid w:val="003C6A6B"/>
    <w:rsid w:val="003C7411"/>
    <w:rsid w:val="003C7462"/>
    <w:rsid w:val="003C7E93"/>
    <w:rsid w:val="003C7F26"/>
    <w:rsid w:val="003D06B9"/>
    <w:rsid w:val="003D0868"/>
    <w:rsid w:val="003D0B45"/>
    <w:rsid w:val="003D14EB"/>
    <w:rsid w:val="003D20FE"/>
    <w:rsid w:val="003D2FE8"/>
    <w:rsid w:val="003D48D0"/>
    <w:rsid w:val="003D4EEC"/>
    <w:rsid w:val="003D5107"/>
    <w:rsid w:val="003D586B"/>
    <w:rsid w:val="003D58C3"/>
    <w:rsid w:val="003D66E3"/>
    <w:rsid w:val="003D6CFA"/>
    <w:rsid w:val="003E14FA"/>
    <w:rsid w:val="003E209E"/>
    <w:rsid w:val="003E297A"/>
    <w:rsid w:val="003E2E72"/>
    <w:rsid w:val="003E3198"/>
    <w:rsid w:val="003E3BC5"/>
    <w:rsid w:val="003E4F4C"/>
    <w:rsid w:val="003F018E"/>
    <w:rsid w:val="003F296D"/>
    <w:rsid w:val="003F3CFD"/>
    <w:rsid w:val="003F4012"/>
    <w:rsid w:val="003F423B"/>
    <w:rsid w:val="003F4D26"/>
    <w:rsid w:val="003F52AF"/>
    <w:rsid w:val="003F5377"/>
    <w:rsid w:val="003F56DF"/>
    <w:rsid w:val="003F56FD"/>
    <w:rsid w:val="003F599B"/>
    <w:rsid w:val="003F5AB9"/>
    <w:rsid w:val="003F5CBD"/>
    <w:rsid w:val="003F5EA3"/>
    <w:rsid w:val="003F6E44"/>
    <w:rsid w:val="003F7922"/>
    <w:rsid w:val="00400E42"/>
    <w:rsid w:val="004012F2"/>
    <w:rsid w:val="00401B24"/>
    <w:rsid w:val="00402AB1"/>
    <w:rsid w:val="004030C8"/>
    <w:rsid w:val="004034B4"/>
    <w:rsid w:val="00404125"/>
    <w:rsid w:val="00404786"/>
    <w:rsid w:val="00404C2A"/>
    <w:rsid w:val="0040516D"/>
    <w:rsid w:val="00405186"/>
    <w:rsid w:val="004051C8"/>
    <w:rsid w:val="00405286"/>
    <w:rsid w:val="004055D9"/>
    <w:rsid w:val="004058DF"/>
    <w:rsid w:val="0040592F"/>
    <w:rsid w:val="00410095"/>
    <w:rsid w:val="004103B4"/>
    <w:rsid w:val="0041045A"/>
    <w:rsid w:val="004108B4"/>
    <w:rsid w:val="004108C6"/>
    <w:rsid w:val="00410E11"/>
    <w:rsid w:val="00410FEF"/>
    <w:rsid w:val="00411156"/>
    <w:rsid w:val="00411423"/>
    <w:rsid w:val="004116AD"/>
    <w:rsid w:val="004122FF"/>
    <w:rsid w:val="00412C25"/>
    <w:rsid w:val="004135C4"/>
    <w:rsid w:val="0041378B"/>
    <w:rsid w:val="00413B01"/>
    <w:rsid w:val="00414440"/>
    <w:rsid w:val="00414682"/>
    <w:rsid w:val="0041481D"/>
    <w:rsid w:val="00414A66"/>
    <w:rsid w:val="00414A88"/>
    <w:rsid w:val="00414E67"/>
    <w:rsid w:val="00414F54"/>
    <w:rsid w:val="00415438"/>
    <w:rsid w:val="004158EA"/>
    <w:rsid w:val="00415A7C"/>
    <w:rsid w:val="00415CF9"/>
    <w:rsid w:val="00415D29"/>
    <w:rsid w:val="00415E4F"/>
    <w:rsid w:val="0041605C"/>
    <w:rsid w:val="00416601"/>
    <w:rsid w:val="004173D8"/>
    <w:rsid w:val="00417CE6"/>
    <w:rsid w:val="00417E1F"/>
    <w:rsid w:val="0042022C"/>
    <w:rsid w:val="00420F0B"/>
    <w:rsid w:val="00422B4E"/>
    <w:rsid w:val="00423E66"/>
    <w:rsid w:val="00424109"/>
    <w:rsid w:val="00424A6E"/>
    <w:rsid w:val="00425113"/>
    <w:rsid w:val="00425175"/>
    <w:rsid w:val="00425266"/>
    <w:rsid w:val="00425348"/>
    <w:rsid w:val="0042579F"/>
    <w:rsid w:val="00425A4E"/>
    <w:rsid w:val="00426150"/>
    <w:rsid w:val="004312E8"/>
    <w:rsid w:val="00431726"/>
    <w:rsid w:val="004319F8"/>
    <w:rsid w:val="00432D7C"/>
    <w:rsid w:val="0043365B"/>
    <w:rsid w:val="0043397C"/>
    <w:rsid w:val="00433A13"/>
    <w:rsid w:val="00434322"/>
    <w:rsid w:val="00434586"/>
    <w:rsid w:val="0043466C"/>
    <w:rsid w:val="004346A8"/>
    <w:rsid w:val="00434C8C"/>
    <w:rsid w:val="00435CDD"/>
    <w:rsid w:val="004366D5"/>
    <w:rsid w:val="0044010E"/>
    <w:rsid w:val="004406DE"/>
    <w:rsid w:val="00441096"/>
    <w:rsid w:val="00441DE9"/>
    <w:rsid w:val="004427AF"/>
    <w:rsid w:val="00442C66"/>
    <w:rsid w:val="0044323C"/>
    <w:rsid w:val="00443719"/>
    <w:rsid w:val="00444159"/>
    <w:rsid w:val="0044459D"/>
    <w:rsid w:val="00444CB0"/>
    <w:rsid w:val="0044554A"/>
    <w:rsid w:val="00445B5C"/>
    <w:rsid w:val="00445DD1"/>
    <w:rsid w:val="00446DF0"/>
    <w:rsid w:val="004470C4"/>
    <w:rsid w:val="004477D0"/>
    <w:rsid w:val="0045113E"/>
    <w:rsid w:val="004515CD"/>
    <w:rsid w:val="00452577"/>
    <w:rsid w:val="00452FDB"/>
    <w:rsid w:val="00453399"/>
    <w:rsid w:val="00453CEE"/>
    <w:rsid w:val="004542BF"/>
    <w:rsid w:val="0045479F"/>
    <w:rsid w:val="00454B53"/>
    <w:rsid w:val="00455223"/>
    <w:rsid w:val="00455A7E"/>
    <w:rsid w:val="00455C52"/>
    <w:rsid w:val="00455E86"/>
    <w:rsid w:val="00456936"/>
    <w:rsid w:val="00457084"/>
    <w:rsid w:val="004578B4"/>
    <w:rsid w:val="00457D1A"/>
    <w:rsid w:val="00460C6C"/>
    <w:rsid w:val="00460F8B"/>
    <w:rsid w:val="00462050"/>
    <w:rsid w:val="00462709"/>
    <w:rsid w:val="0046467B"/>
    <w:rsid w:val="00465467"/>
    <w:rsid w:val="0046697E"/>
    <w:rsid w:val="00470963"/>
    <w:rsid w:val="00471E0F"/>
    <w:rsid w:val="004724D6"/>
    <w:rsid w:val="004726D4"/>
    <w:rsid w:val="00472878"/>
    <w:rsid w:val="00472DDD"/>
    <w:rsid w:val="00472E2A"/>
    <w:rsid w:val="004734E5"/>
    <w:rsid w:val="00473B34"/>
    <w:rsid w:val="00475972"/>
    <w:rsid w:val="00475C95"/>
    <w:rsid w:val="00477A2A"/>
    <w:rsid w:val="00477B8B"/>
    <w:rsid w:val="00477F29"/>
    <w:rsid w:val="00477F33"/>
    <w:rsid w:val="004814A5"/>
    <w:rsid w:val="00481B09"/>
    <w:rsid w:val="00481BD8"/>
    <w:rsid w:val="00482248"/>
    <w:rsid w:val="00482969"/>
    <w:rsid w:val="00482DFF"/>
    <w:rsid w:val="00483151"/>
    <w:rsid w:val="004831ED"/>
    <w:rsid w:val="00486DB9"/>
    <w:rsid w:val="00487BF6"/>
    <w:rsid w:val="00487D3D"/>
    <w:rsid w:val="0049107A"/>
    <w:rsid w:val="00491254"/>
    <w:rsid w:val="00492B90"/>
    <w:rsid w:val="004931C7"/>
    <w:rsid w:val="00494C33"/>
    <w:rsid w:val="00494DD9"/>
    <w:rsid w:val="00495D61"/>
    <w:rsid w:val="00496555"/>
    <w:rsid w:val="00496940"/>
    <w:rsid w:val="00496B18"/>
    <w:rsid w:val="00497157"/>
    <w:rsid w:val="00497F99"/>
    <w:rsid w:val="004A032E"/>
    <w:rsid w:val="004A0477"/>
    <w:rsid w:val="004A07F0"/>
    <w:rsid w:val="004A16ED"/>
    <w:rsid w:val="004A2395"/>
    <w:rsid w:val="004A24AA"/>
    <w:rsid w:val="004A30A1"/>
    <w:rsid w:val="004A382B"/>
    <w:rsid w:val="004A3C18"/>
    <w:rsid w:val="004A4156"/>
    <w:rsid w:val="004A4292"/>
    <w:rsid w:val="004A4302"/>
    <w:rsid w:val="004A4F1E"/>
    <w:rsid w:val="004A519B"/>
    <w:rsid w:val="004A5823"/>
    <w:rsid w:val="004A6519"/>
    <w:rsid w:val="004A6571"/>
    <w:rsid w:val="004A6DA7"/>
    <w:rsid w:val="004A71F4"/>
    <w:rsid w:val="004A7294"/>
    <w:rsid w:val="004A7666"/>
    <w:rsid w:val="004A7CBB"/>
    <w:rsid w:val="004B0505"/>
    <w:rsid w:val="004B1B96"/>
    <w:rsid w:val="004B1E47"/>
    <w:rsid w:val="004B4324"/>
    <w:rsid w:val="004B4D7D"/>
    <w:rsid w:val="004B5016"/>
    <w:rsid w:val="004B5302"/>
    <w:rsid w:val="004B577B"/>
    <w:rsid w:val="004B5CEA"/>
    <w:rsid w:val="004B69B8"/>
    <w:rsid w:val="004C021F"/>
    <w:rsid w:val="004C0379"/>
    <w:rsid w:val="004C1378"/>
    <w:rsid w:val="004C162E"/>
    <w:rsid w:val="004C1904"/>
    <w:rsid w:val="004C1AFE"/>
    <w:rsid w:val="004C1E40"/>
    <w:rsid w:val="004C200F"/>
    <w:rsid w:val="004C23A5"/>
    <w:rsid w:val="004C2E50"/>
    <w:rsid w:val="004C30E2"/>
    <w:rsid w:val="004C3BF2"/>
    <w:rsid w:val="004C4849"/>
    <w:rsid w:val="004C51F4"/>
    <w:rsid w:val="004C53F5"/>
    <w:rsid w:val="004C60DB"/>
    <w:rsid w:val="004C62E9"/>
    <w:rsid w:val="004C6570"/>
    <w:rsid w:val="004C68BB"/>
    <w:rsid w:val="004C6A70"/>
    <w:rsid w:val="004C6B54"/>
    <w:rsid w:val="004C6CB1"/>
    <w:rsid w:val="004C7F3D"/>
    <w:rsid w:val="004D010F"/>
    <w:rsid w:val="004D0B3A"/>
    <w:rsid w:val="004D11A5"/>
    <w:rsid w:val="004D1252"/>
    <w:rsid w:val="004D169D"/>
    <w:rsid w:val="004D1AAB"/>
    <w:rsid w:val="004D2BF7"/>
    <w:rsid w:val="004D322D"/>
    <w:rsid w:val="004D3644"/>
    <w:rsid w:val="004D36E6"/>
    <w:rsid w:val="004D3A51"/>
    <w:rsid w:val="004D3DFF"/>
    <w:rsid w:val="004D4216"/>
    <w:rsid w:val="004D55B3"/>
    <w:rsid w:val="004D5FBC"/>
    <w:rsid w:val="004D64CB"/>
    <w:rsid w:val="004D6B08"/>
    <w:rsid w:val="004D793A"/>
    <w:rsid w:val="004D7B4F"/>
    <w:rsid w:val="004D7D4B"/>
    <w:rsid w:val="004E0AF5"/>
    <w:rsid w:val="004E0E5B"/>
    <w:rsid w:val="004E282B"/>
    <w:rsid w:val="004E29A7"/>
    <w:rsid w:val="004E49BF"/>
    <w:rsid w:val="004E5A05"/>
    <w:rsid w:val="004E5E67"/>
    <w:rsid w:val="004E6000"/>
    <w:rsid w:val="004E65A4"/>
    <w:rsid w:val="004E6C8C"/>
    <w:rsid w:val="004E6FD4"/>
    <w:rsid w:val="004E7D8E"/>
    <w:rsid w:val="004E7DCE"/>
    <w:rsid w:val="004F076F"/>
    <w:rsid w:val="004F08C3"/>
    <w:rsid w:val="004F0CEE"/>
    <w:rsid w:val="004F173F"/>
    <w:rsid w:val="004F1888"/>
    <w:rsid w:val="004F25A0"/>
    <w:rsid w:val="004F2BF1"/>
    <w:rsid w:val="004F364F"/>
    <w:rsid w:val="004F378D"/>
    <w:rsid w:val="004F3963"/>
    <w:rsid w:val="004F4A71"/>
    <w:rsid w:val="004F506F"/>
    <w:rsid w:val="004F560A"/>
    <w:rsid w:val="004F61A2"/>
    <w:rsid w:val="004F651F"/>
    <w:rsid w:val="004F661B"/>
    <w:rsid w:val="004F6958"/>
    <w:rsid w:val="004F6F8E"/>
    <w:rsid w:val="004F7161"/>
    <w:rsid w:val="004F73B0"/>
    <w:rsid w:val="004F74A8"/>
    <w:rsid w:val="004F7670"/>
    <w:rsid w:val="004F7691"/>
    <w:rsid w:val="004F782A"/>
    <w:rsid w:val="004F792E"/>
    <w:rsid w:val="005008F5"/>
    <w:rsid w:val="00500D27"/>
    <w:rsid w:val="00500DF0"/>
    <w:rsid w:val="00501500"/>
    <w:rsid w:val="0050156B"/>
    <w:rsid w:val="00502E0B"/>
    <w:rsid w:val="00502FEB"/>
    <w:rsid w:val="00503F98"/>
    <w:rsid w:val="005043FD"/>
    <w:rsid w:val="0050496D"/>
    <w:rsid w:val="00504C39"/>
    <w:rsid w:val="00504CD5"/>
    <w:rsid w:val="005053E7"/>
    <w:rsid w:val="0050577B"/>
    <w:rsid w:val="00506D21"/>
    <w:rsid w:val="00506EDA"/>
    <w:rsid w:val="00507A42"/>
    <w:rsid w:val="00510329"/>
    <w:rsid w:val="00510AC0"/>
    <w:rsid w:val="0051139C"/>
    <w:rsid w:val="005113BD"/>
    <w:rsid w:val="005114C8"/>
    <w:rsid w:val="00512D5F"/>
    <w:rsid w:val="0051376E"/>
    <w:rsid w:val="005139AE"/>
    <w:rsid w:val="00513F95"/>
    <w:rsid w:val="005140DF"/>
    <w:rsid w:val="005145B5"/>
    <w:rsid w:val="00514BD4"/>
    <w:rsid w:val="005150FF"/>
    <w:rsid w:val="005154CE"/>
    <w:rsid w:val="00515ECF"/>
    <w:rsid w:val="00516C68"/>
    <w:rsid w:val="00516E10"/>
    <w:rsid w:val="00517B79"/>
    <w:rsid w:val="00520B17"/>
    <w:rsid w:val="00520B68"/>
    <w:rsid w:val="00520C37"/>
    <w:rsid w:val="00520F75"/>
    <w:rsid w:val="005217D1"/>
    <w:rsid w:val="00521F35"/>
    <w:rsid w:val="0052243E"/>
    <w:rsid w:val="0052329F"/>
    <w:rsid w:val="0052340D"/>
    <w:rsid w:val="00523701"/>
    <w:rsid w:val="00523828"/>
    <w:rsid w:val="00523B49"/>
    <w:rsid w:val="00523C2B"/>
    <w:rsid w:val="00523FA4"/>
    <w:rsid w:val="00524EA7"/>
    <w:rsid w:val="005250A9"/>
    <w:rsid w:val="00525202"/>
    <w:rsid w:val="00525865"/>
    <w:rsid w:val="00525AA9"/>
    <w:rsid w:val="00530475"/>
    <w:rsid w:val="005310D9"/>
    <w:rsid w:val="00532514"/>
    <w:rsid w:val="005328C3"/>
    <w:rsid w:val="00533454"/>
    <w:rsid w:val="00533C6C"/>
    <w:rsid w:val="00533E24"/>
    <w:rsid w:val="00533EBE"/>
    <w:rsid w:val="00534511"/>
    <w:rsid w:val="00534B96"/>
    <w:rsid w:val="00535CB9"/>
    <w:rsid w:val="00536C36"/>
    <w:rsid w:val="00537890"/>
    <w:rsid w:val="00537C3C"/>
    <w:rsid w:val="005400AD"/>
    <w:rsid w:val="00540E66"/>
    <w:rsid w:val="00541DBA"/>
    <w:rsid w:val="00542293"/>
    <w:rsid w:val="00542611"/>
    <w:rsid w:val="005426A0"/>
    <w:rsid w:val="00542846"/>
    <w:rsid w:val="00543CB5"/>
    <w:rsid w:val="00543DD8"/>
    <w:rsid w:val="0054427E"/>
    <w:rsid w:val="005443CE"/>
    <w:rsid w:val="005444D7"/>
    <w:rsid w:val="00545829"/>
    <w:rsid w:val="00545BC9"/>
    <w:rsid w:val="005466F8"/>
    <w:rsid w:val="00547D7B"/>
    <w:rsid w:val="00551472"/>
    <w:rsid w:val="00551D89"/>
    <w:rsid w:val="00551ED7"/>
    <w:rsid w:val="00553538"/>
    <w:rsid w:val="00553860"/>
    <w:rsid w:val="00554595"/>
    <w:rsid w:val="005557BC"/>
    <w:rsid w:val="005558B1"/>
    <w:rsid w:val="00555D2D"/>
    <w:rsid w:val="00556185"/>
    <w:rsid w:val="005561F2"/>
    <w:rsid w:val="005566FF"/>
    <w:rsid w:val="0055765C"/>
    <w:rsid w:val="00557681"/>
    <w:rsid w:val="00557D13"/>
    <w:rsid w:val="005614C1"/>
    <w:rsid w:val="00563D8A"/>
    <w:rsid w:val="00564214"/>
    <w:rsid w:val="0056433A"/>
    <w:rsid w:val="005644FA"/>
    <w:rsid w:val="00564CAC"/>
    <w:rsid w:val="00564FB8"/>
    <w:rsid w:val="0056501A"/>
    <w:rsid w:val="005657EF"/>
    <w:rsid w:val="00565A96"/>
    <w:rsid w:val="00565AB8"/>
    <w:rsid w:val="00566A1F"/>
    <w:rsid w:val="00566BC3"/>
    <w:rsid w:val="00566C9C"/>
    <w:rsid w:val="00566FA7"/>
    <w:rsid w:val="00567B81"/>
    <w:rsid w:val="0057035F"/>
    <w:rsid w:val="0057097A"/>
    <w:rsid w:val="005711EA"/>
    <w:rsid w:val="005746FC"/>
    <w:rsid w:val="00575A90"/>
    <w:rsid w:val="00575B61"/>
    <w:rsid w:val="005764A2"/>
    <w:rsid w:val="005766EC"/>
    <w:rsid w:val="00576E6C"/>
    <w:rsid w:val="005770EC"/>
    <w:rsid w:val="00577F7A"/>
    <w:rsid w:val="005804D1"/>
    <w:rsid w:val="00580B11"/>
    <w:rsid w:val="00582096"/>
    <w:rsid w:val="0058264F"/>
    <w:rsid w:val="0058304F"/>
    <w:rsid w:val="005842ED"/>
    <w:rsid w:val="005860CC"/>
    <w:rsid w:val="0058646A"/>
    <w:rsid w:val="00586758"/>
    <w:rsid w:val="0058706B"/>
    <w:rsid w:val="005875C9"/>
    <w:rsid w:val="005876A9"/>
    <w:rsid w:val="0058770F"/>
    <w:rsid w:val="0058781A"/>
    <w:rsid w:val="00587B48"/>
    <w:rsid w:val="005905A5"/>
    <w:rsid w:val="005907C9"/>
    <w:rsid w:val="005911C9"/>
    <w:rsid w:val="005912EB"/>
    <w:rsid w:val="0059321A"/>
    <w:rsid w:val="005947DF"/>
    <w:rsid w:val="005957F4"/>
    <w:rsid w:val="005959B1"/>
    <w:rsid w:val="005964AD"/>
    <w:rsid w:val="00596B2D"/>
    <w:rsid w:val="005970B3"/>
    <w:rsid w:val="005A02F3"/>
    <w:rsid w:val="005A0EDF"/>
    <w:rsid w:val="005A241B"/>
    <w:rsid w:val="005A2973"/>
    <w:rsid w:val="005A3B48"/>
    <w:rsid w:val="005A46B5"/>
    <w:rsid w:val="005A4CD6"/>
    <w:rsid w:val="005A59CA"/>
    <w:rsid w:val="005A659E"/>
    <w:rsid w:val="005A669A"/>
    <w:rsid w:val="005A68D8"/>
    <w:rsid w:val="005A6CA8"/>
    <w:rsid w:val="005A6F76"/>
    <w:rsid w:val="005A7223"/>
    <w:rsid w:val="005A752D"/>
    <w:rsid w:val="005A7860"/>
    <w:rsid w:val="005A7DFD"/>
    <w:rsid w:val="005B103C"/>
    <w:rsid w:val="005B168C"/>
    <w:rsid w:val="005B17B0"/>
    <w:rsid w:val="005B1D29"/>
    <w:rsid w:val="005B25F5"/>
    <w:rsid w:val="005B264A"/>
    <w:rsid w:val="005B29EF"/>
    <w:rsid w:val="005B2A75"/>
    <w:rsid w:val="005B2F8B"/>
    <w:rsid w:val="005B3B17"/>
    <w:rsid w:val="005B414B"/>
    <w:rsid w:val="005B484E"/>
    <w:rsid w:val="005B48EA"/>
    <w:rsid w:val="005B5657"/>
    <w:rsid w:val="005B5B7F"/>
    <w:rsid w:val="005B5EBD"/>
    <w:rsid w:val="005B66B5"/>
    <w:rsid w:val="005B6EFB"/>
    <w:rsid w:val="005B7165"/>
    <w:rsid w:val="005B71D3"/>
    <w:rsid w:val="005C04AA"/>
    <w:rsid w:val="005C0FA5"/>
    <w:rsid w:val="005C1ECB"/>
    <w:rsid w:val="005C1F5A"/>
    <w:rsid w:val="005C2683"/>
    <w:rsid w:val="005C28CA"/>
    <w:rsid w:val="005C2C75"/>
    <w:rsid w:val="005C3E2E"/>
    <w:rsid w:val="005C421C"/>
    <w:rsid w:val="005C47DA"/>
    <w:rsid w:val="005C566A"/>
    <w:rsid w:val="005C5900"/>
    <w:rsid w:val="005C5E23"/>
    <w:rsid w:val="005C6953"/>
    <w:rsid w:val="005C6979"/>
    <w:rsid w:val="005C6B45"/>
    <w:rsid w:val="005C6C8B"/>
    <w:rsid w:val="005C6E59"/>
    <w:rsid w:val="005C7E59"/>
    <w:rsid w:val="005D186E"/>
    <w:rsid w:val="005D246A"/>
    <w:rsid w:val="005D2871"/>
    <w:rsid w:val="005D2DBE"/>
    <w:rsid w:val="005D334A"/>
    <w:rsid w:val="005D3676"/>
    <w:rsid w:val="005D3A68"/>
    <w:rsid w:val="005D3BC6"/>
    <w:rsid w:val="005D3E61"/>
    <w:rsid w:val="005D3E9B"/>
    <w:rsid w:val="005D4446"/>
    <w:rsid w:val="005D471F"/>
    <w:rsid w:val="005D475B"/>
    <w:rsid w:val="005D47B5"/>
    <w:rsid w:val="005D5441"/>
    <w:rsid w:val="005D5955"/>
    <w:rsid w:val="005D5B83"/>
    <w:rsid w:val="005D6D3B"/>
    <w:rsid w:val="005D7A69"/>
    <w:rsid w:val="005E0219"/>
    <w:rsid w:val="005E025B"/>
    <w:rsid w:val="005E15F5"/>
    <w:rsid w:val="005E1F31"/>
    <w:rsid w:val="005E227E"/>
    <w:rsid w:val="005E47F4"/>
    <w:rsid w:val="005E55A6"/>
    <w:rsid w:val="005E6F54"/>
    <w:rsid w:val="005E7140"/>
    <w:rsid w:val="005E7306"/>
    <w:rsid w:val="005E7567"/>
    <w:rsid w:val="005F020F"/>
    <w:rsid w:val="005F138D"/>
    <w:rsid w:val="005F1E86"/>
    <w:rsid w:val="005F1EF9"/>
    <w:rsid w:val="005F291A"/>
    <w:rsid w:val="005F2CDC"/>
    <w:rsid w:val="005F2CF6"/>
    <w:rsid w:val="005F31E9"/>
    <w:rsid w:val="005F31F3"/>
    <w:rsid w:val="005F3544"/>
    <w:rsid w:val="005F3B7B"/>
    <w:rsid w:val="005F468E"/>
    <w:rsid w:val="005F5460"/>
    <w:rsid w:val="005F56A2"/>
    <w:rsid w:val="005F647D"/>
    <w:rsid w:val="005F64E0"/>
    <w:rsid w:val="005F656C"/>
    <w:rsid w:val="005F6C0D"/>
    <w:rsid w:val="005F7801"/>
    <w:rsid w:val="0060000E"/>
    <w:rsid w:val="0060075B"/>
    <w:rsid w:val="00600BCC"/>
    <w:rsid w:val="006011C5"/>
    <w:rsid w:val="006013DF"/>
    <w:rsid w:val="006017BD"/>
    <w:rsid w:val="006022A0"/>
    <w:rsid w:val="00602677"/>
    <w:rsid w:val="00603E76"/>
    <w:rsid w:val="006046F4"/>
    <w:rsid w:val="00604F48"/>
    <w:rsid w:val="00605E97"/>
    <w:rsid w:val="00606401"/>
    <w:rsid w:val="00606659"/>
    <w:rsid w:val="00606C88"/>
    <w:rsid w:val="00606DE0"/>
    <w:rsid w:val="00606DEB"/>
    <w:rsid w:val="006111D1"/>
    <w:rsid w:val="006115D3"/>
    <w:rsid w:val="00611D63"/>
    <w:rsid w:val="00612324"/>
    <w:rsid w:val="00612D7A"/>
    <w:rsid w:val="00613093"/>
    <w:rsid w:val="00613D4C"/>
    <w:rsid w:val="0061442E"/>
    <w:rsid w:val="006163C5"/>
    <w:rsid w:val="006164DC"/>
    <w:rsid w:val="00616855"/>
    <w:rsid w:val="00616917"/>
    <w:rsid w:val="00616920"/>
    <w:rsid w:val="00616E12"/>
    <w:rsid w:val="0061796B"/>
    <w:rsid w:val="00620E93"/>
    <w:rsid w:val="00620F9B"/>
    <w:rsid w:val="0062106A"/>
    <w:rsid w:val="006211AD"/>
    <w:rsid w:val="006220E1"/>
    <w:rsid w:val="00622162"/>
    <w:rsid w:val="006224C3"/>
    <w:rsid w:val="00622A9C"/>
    <w:rsid w:val="00622CF6"/>
    <w:rsid w:val="00623133"/>
    <w:rsid w:val="00623CF4"/>
    <w:rsid w:val="00623FDC"/>
    <w:rsid w:val="00625EFB"/>
    <w:rsid w:val="00626399"/>
    <w:rsid w:val="00626C4A"/>
    <w:rsid w:val="006274DD"/>
    <w:rsid w:val="006300BB"/>
    <w:rsid w:val="0063016C"/>
    <w:rsid w:val="0063026F"/>
    <w:rsid w:val="00630328"/>
    <w:rsid w:val="006316F7"/>
    <w:rsid w:val="006317C3"/>
    <w:rsid w:val="00631C23"/>
    <w:rsid w:val="00632360"/>
    <w:rsid w:val="00632599"/>
    <w:rsid w:val="00632FD2"/>
    <w:rsid w:val="00633A2D"/>
    <w:rsid w:val="00633E88"/>
    <w:rsid w:val="00633FB7"/>
    <w:rsid w:val="0063429F"/>
    <w:rsid w:val="00634D1A"/>
    <w:rsid w:val="00634E38"/>
    <w:rsid w:val="00635E76"/>
    <w:rsid w:val="00636481"/>
    <w:rsid w:val="00636B13"/>
    <w:rsid w:val="0063786E"/>
    <w:rsid w:val="00640385"/>
    <w:rsid w:val="00640DA0"/>
    <w:rsid w:val="00640DA8"/>
    <w:rsid w:val="006410C6"/>
    <w:rsid w:val="006412CF"/>
    <w:rsid w:val="00642844"/>
    <w:rsid w:val="006429A3"/>
    <w:rsid w:val="00642B6E"/>
    <w:rsid w:val="00642E55"/>
    <w:rsid w:val="00644995"/>
    <w:rsid w:val="00645955"/>
    <w:rsid w:val="00645C96"/>
    <w:rsid w:val="006467A5"/>
    <w:rsid w:val="006469C2"/>
    <w:rsid w:val="00646A8A"/>
    <w:rsid w:val="00647781"/>
    <w:rsid w:val="00647AB9"/>
    <w:rsid w:val="00647BCF"/>
    <w:rsid w:val="0065012C"/>
    <w:rsid w:val="00651B27"/>
    <w:rsid w:val="00651BA7"/>
    <w:rsid w:val="00651F8A"/>
    <w:rsid w:val="006521A1"/>
    <w:rsid w:val="006524A0"/>
    <w:rsid w:val="00652881"/>
    <w:rsid w:val="00652A92"/>
    <w:rsid w:val="0065345E"/>
    <w:rsid w:val="00653835"/>
    <w:rsid w:val="006549E5"/>
    <w:rsid w:val="00654CD2"/>
    <w:rsid w:val="00655064"/>
    <w:rsid w:val="006555CB"/>
    <w:rsid w:val="006568AB"/>
    <w:rsid w:val="00656C6E"/>
    <w:rsid w:val="00657532"/>
    <w:rsid w:val="006578C4"/>
    <w:rsid w:val="00657AF8"/>
    <w:rsid w:val="00657F43"/>
    <w:rsid w:val="006603A7"/>
    <w:rsid w:val="006607C8"/>
    <w:rsid w:val="00660FD4"/>
    <w:rsid w:val="006612CB"/>
    <w:rsid w:val="00662FA7"/>
    <w:rsid w:val="0066354B"/>
    <w:rsid w:val="00663632"/>
    <w:rsid w:val="00663BB2"/>
    <w:rsid w:val="00663D44"/>
    <w:rsid w:val="00663DB6"/>
    <w:rsid w:val="00664A10"/>
    <w:rsid w:val="006657C5"/>
    <w:rsid w:val="00665EB6"/>
    <w:rsid w:val="00666A6D"/>
    <w:rsid w:val="0066794E"/>
    <w:rsid w:val="0067043D"/>
    <w:rsid w:val="0067086C"/>
    <w:rsid w:val="00670D4C"/>
    <w:rsid w:val="00671450"/>
    <w:rsid w:val="006718BD"/>
    <w:rsid w:val="006718F1"/>
    <w:rsid w:val="00671B15"/>
    <w:rsid w:val="00671CB6"/>
    <w:rsid w:val="006727F1"/>
    <w:rsid w:val="0067310C"/>
    <w:rsid w:val="0067340A"/>
    <w:rsid w:val="00673BC8"/>
    <w:rsid w:val="00674A52"/>
    <w:rsid w:val="00674F87"/>
    <w:rsid w:val="00675424"/>
    <w:rsid w:val="00675450"/>
    <w:rsid w:val="0067565D"/>
    <w:rsid w:val="00675D9B"/>
    <w:rsid w:val="006765B5"/>
    <w:rsid w:val="00676B1D"/>
    <w:rsid w:val="00676ECB"/>
    <w:rsid w:val="00677040"/>
    <w:rsid w:val="00677A37"/>
    <w:rsid w:val="00677C42"/>
    <w:rsid w:val="00677E06"/>
    <w:rsid w:val="00677F35"/>
    <w:rsid w:val="00680152"/>
    <w:rsid w:val="006803D2"/>
    <w:rsid w:val="0068146F"/>
    <w:rsid w:val="0068179A"/>
    <w:rsid w:val="00681898"/>
    <w:rsid w:val="00681AFE"/>
    <w:rsid w:val="00681C16"/>
    <w:rsid w:val="0068238B"/>
    <w:rsid w:val="00682427"/>
    <w:rsid w:val="006824E2"/>
    <w:rsid w:val="00682A61"/>
    <w:rsid w:val="00684019"/>
    <w:rsid w:val="0068488E"/>
    <w:rsid w:val="006854ED"/>
    <w:rsid w:val="00686250"/>
    <w:rsid w:val="00686E6B"/>
    <w:rsid w:val="00687686"/>
    <w:rsid w:val="00687AE2"/>
    <w:rsid w:val="00690658"/>
    <w:rsid w:val="006909C0"/>
    <w:rsid w:val="00690B99"/>
    <w:rsid w:val="00691C79"/>
    <w:rsid w:val="00692C8B"/>
    <w:rsid w:val="0069359C"/>
    <w:rsid w:val="00693C74"/>
    <w:rsid w:val="00693DBF"/>
    <w:rsid w:val="006949C1"/>
    <w:rsid w:val="00695143"/>
    <w:rsid w:val="00695B29"/>
    <w:rsid w:val="00695B38"/>
    <w:rsid w:val="00695F11"/>
    <w:rsid w:val="00696025"/>
    <w:rsid w:val="006961C6"/>
    <w:rsid w:val="00696A4B"/>
    <w:rsid w:val="00696E1F"/>
    <w:rsid w:val="00697037"/>
    <w:rsid w:val="00697F99"/>
    <w:rsid w:val="006A0093"/>
    <w:rsid w:val="006A10C4"/>
    <w:rsid w:val="006A2A69"/>
    <w:rsid w:val="006A37EC"/>
    <w:rsid w:val="006A5FD0"/>
    <w:rsid w:val="006A669D"/>
    <w:rsid w:val="006A69F5"/>
    <w:rsid w:val="006A6BDF"/>
    <w:rsid w:val="006A7337"/>
    <w:rsid w:val="006A7B7F"/>
    <w:rsid w:val="006B0A8A"/>
    <w:rsid w:val="006B0FE7"/>
    <w:rsid w:val="006B1CB2"/>
    <w:rsid w:val="006B2718"/>
    <w:rsid w:val="006B3873"/>
    <w:rsid w:val="006B483B"/>
    <w:rsid w:val="006B48E4"/>
    <w:rsid w:val="006B4BC1"/>
    <w:rsid w:val="006B531F"/>
    <w:rsid w:val="006B60DA"/>
    <w:rsid w:val="006B61DC"/>
    <w:rsid w:val="006B6A50"/>
    <w:rsid w:val="006B6EB0"/>
    <w:rsid w:val="006B760D"/>
    <w:rsid w:val="006B772A"/>
    <w:rsid w:val="006B7D66"/>
    <w:rsid w:val="006C0A54"/>
    <w:rsid w:val="006C0C46"/>
    <w:rsid w:val="006C0C85"/>
    <w:rsid w:val="006C0F13"/>
    <w:rsid w:val="006C134E"/>
    <w:rsid w:val="006C29C7"/>
    <w:rsid w:val="006C2BD0"/>
    <w:rsid w:val="006C36AD"/>
    <w:rsid w:val="006C424E"/>
    <w:rsid w:val="006C4790"/>
    <w:rsid w:val="006C4E5C"/>
    <w:rsid w:val="006C5D9C"/>
    <w:rsid w:val="006C61B3"/>
    <w:rsid w:val="006C6687"/>
    <w:rsid w:val="006C7245"/>
    <w:rsid w:val="006C7297"/>
    <w:rsid w:val="006D00D3"/>
    <w:rsid w:val="006D00E2"/>
    <w:rsid w:val="006D1ACF"/>
    <w:rsid w:val="006D218E"/>
    <w:rsid w:val="006D22E8"/>
    <w:rsid w:val="006D34BE"/>
    <w:rsid w:val="006D3D2E"/>
    <w:rsid w:val="006D4242"/>
    <w:rsid w:val="006D4E7C"/>
    <w:rsid w:val="006D5042"/>
    <w:rsid w:val="006D58B2"/>
    <w:rsid w:val="006D5943"/>
    <w:rsid w:val="006D5EC6"/>
    <w:rsid w:val="006D5EC8"/>
    <w:rsid w:val="006D7004"/>
    <w:rsid w:val="006D77B4"/>
    <w:rsid w:val="006D7AA7"/>
    <w:rsid w:val="006D7F29"/>
    <w:rsid w:val="006D7FE6"/>
    <w:rsid w:val="006E09A7"/>
    <w:rsid w:val="006E0E26"/>
    <w:rsid w:val="006E1445"/>
    <w:rsid w:val="006E1B3F"/>
    <w:rsid w:val="006E1D0B"/>
    <w:rsid w:val="006E20DB"/>
    <w:rsid w:val="006E2451"/>
    <w:rsid w:val="006E305B"/>
    <w:rsid w:val="006E37D8"/>
    <w:rsid w:val="006E3BAB"/>
    <w:rsid w:val="006E461D"/>
    <w:rsid w:val="006E4C75"/>
    <w:rsid w:val="006E4E8C"/>
    <w:rsid w:val="006E4F70"/>
    <w:rsid w:val="006E6C6F"/>
    <w:rsid w:val="006F0601"/>
    <w:rsid w:val="006F134A"/>
    <w:rsid w:val="006F1715"/>
    <w:rsid w:val="006F2322"/>
    <w:rsid w:val="006F2AA3"/>
    <w:rsid w:val="006F3E42"/>
    <w:rsid w:val="006F4409"/>
    <w:rsid w:val="006F4C47"/>
    <w:rsid w:val="006F50F3"/>
    <w:rsid w:val="006F5653"/>
    <w:rsid w:val="006F5682"/>
    <w:rsid w:val="006F577F"/>
    <w:rsid w:val="006F5BEC"/>
    <w:rsid w:val="006F605F"/>
    <w:rsid w:val="006F6213"/>
    <w:rsid w:val="006F63AF"/>
    <w:rsid w:val="006F6F0A"/>
    <w:rsid w:val="006F7CB8"/>
    <w:rsid w:val="00700680"/>
    <w:rsid w:val="007012BF"/>
    <w:rsid w:val="00701831"/>
    <w:rsid w:val="00701E61"/>
    <w:rsid w:val="00703D08"/>
    <w:rsid w:val="00703F71"/>
    <w:rsid w:val="007042DB"/>
    <w:rsid w:val="00704431"/>
    <w:rsid w:val="00705399"/>
    <w:rsid w:val="0070577E"/>
    <w:rsid w:val="00705C33"/>
    <w:rsid w:val="00705D93"/>
    <w:rsid w:val="00707451"/>
    <w:rsid w:val="00707897"/>
    <w:rsid w:val="00711697"/>
    <w:rsid w:val="00711A3C"/>
    <w:rsid w:val="007136E1"/>
    <w:rsid w:val="007146C2"/>
    <w:rsid w:val="00715D29"/>
    <w:rsid w:val="00716B98"/>
    <w:rsid w:val="00717078"/>
    <w:rsid w:val="007171F9"/>
    <w:rsid w:val="00717C1B"/>
    <w:rsid w:val="00717C4C"/>
    <w:rsid w:val="00717FAF"/>
    <w:rsid w:val="00720F79"/>
    <w:rsid w:val="00721B86"/>
    <w:rsid w:val="00721BB6"/>
    <w:rsid w:val="00721CEA"/>
    <w:rsid w:val="00722D6B"/>
    <w:rsid w:val="00723B35"/>
    <w:rsid w:val="00724B58"/>
    <w:rsid w:val="00724ED6"/>
    <w:rsid w:val="0072616D"/>
    <w:rsid w:val="00727415"/>
    <w:rsid w:val="00727BE8"/>
    <w:rsid w:val="007308CF"/>
    <w:rsid w:val="00731053"/>
    <w:rsid w:val="00732704"/>
    <w:rsid w:val="00732DD5"/>
    <w:rsid w:val="00733141"/>
    <w:rsid w:val="00733954"/>
    <w:rsid w:val="00733AC0"/>
    <w:rsid w:val="00734998"/>
    <w:rsid w:val="00734E3D"/>
    <w:rsid w:val="00735F66"/>
    <w:rsid w:val="00736B1F"/>
    <w:rsid w:val="00736EF9"/>
    <w:rsid w:val="00740ABA"/>
    <w:rsid w:val="007415D3"/>
    <w:rsid w:val="00741902"/>
    <w:rsid w:val="00741ABF"/>
    <w:rsid w:val="00741BAB"/>
    <w:rsid w:val="00741CCA"/>
    <w:rsid w:val="00741DC0"/>
    <w:rsid w:val="007422DD"/>
    <w:rsid w:val="00742667"/>
    <w:rsid w:val="007428A1"/>
    <w:rsid w:val="00742935"/>
    <w:rsid w:val="00742BB0"/>
    <w:rsid w:val="00742D79"/>
    <w:rsid w:val="00744427"/>
    <w:rsid w:val="00744466"/>
    <w:rsid w:val="007448F1"/>
    <w:rsid w:val="00744F41"/>
    <w:rsid w:val="007458E2"/>
    <w:rsid w:val="00746050"/>
    <w:rsid w:val="007462F7"/>
    <w:rsid w:val="00746BC1"/>
    <w:rsid w:val="00746D4A"/>
    <w:rsid w:val="00747530"/>
    <w:rsid w:val="00747DC5"/>
    <w:rsid w:val="0075090F"/>
    <w:rsid w:val="00750B99"/>
    <w:rsid w:val="00751644"/>
    <w:rsid w:val="0075277E"/>
    <w:rsid w:val="0075346E"/>
    <w:rsid w:val="007544C7"/>
    <w:rsid w:val="00755F80"/>
    <w:rsid w:val="00756FEC"/>
    <w:rsid w:val="0075778E"/>
    <w:rsid w:val="007578EF"/>
    <w:rsid w:val="00757AED"/>
    <w:rsid w:val="00757F8A"/>
    <w:rsid w:val="00760225"/>
    <w:rsid w:val="00760494"/>
    <w:rsid w:val="007614A3"/>
    <w:rsid w:val="00761559"/>
    <w:rsid w:val="007619EF"/>
    <w:rsid w:val="00762B50"/>
    <w:rsid w:val="007639FB"/>
    <w:rsid w:val="0076403A"/>
    <w:rsid w:val="0076410E"/>
    <w:rsid w:val="00764199"/>
    <w:rsid w:val="00765919"/>
    <w:rsid w:val="007675AA"/>
    <w:rsid w:val="00767654"/>
    <w:rsid w:val="0077015D"/>
    <w:rsid w:val="007702B2"/>
    <w:rsid w:val="007715E1"/>
    <w:rsid w:val="00771BBE"/>
    <w:rsid w:val="007723D4"/>
    <w:rsid w:val="0077342E"/>
    <w:rsid w:val="0077369B"/>
    <w:rsid w:val="00773D5D"/>
    <w:rsid w:val="00773E53"/>
    <w:rsid w:val="00774208"/>
    <w:rsid w:val="00774CF0"/>
    <w:rsid w:val="00775618"/>
    <w:rsid w:val="007758F4"/>
    <w:rsid w:val="00775D98"/>
    <w:rsid w:val="00775E5A"/>
    <w:rsid w:val="0077616B"/>
    <w:rsid w:val="00776C80"/>
    <w:rsid w:val="00777BF6"/>
    <w:rsid w:val="0077BF20"/>
    <w:rsid w:val="00780DCF"/>
    <w:rsid w:val="007815FD"/>
    <w:rsid w:val="00781A18"/>
    <w:rsid w:val="00782023"/>
    <w:rsid w:val="007827BC"/>
    <w:rsid w:val="00782B91"/>
    <w:rsid w:val="00782BC3"/>
    <w:rsid w:val="007847F0"/>
    <w:rsid w:val="00784AC8"/>
    <w:rsid w:val="0078549F"/>
    <w:rsid w:val="0078558D"/>
    <w:rsid w:val="007858CC"/>
    <w:rsid w:val="00786728"/>
    <w:rsid w:val="00786AD9"/>
    <w:rsid w:val="00786B4F"/>
    <w:rsid w:val="00786CE5"/>
    <w:rsid w:val="00787105"/>
    <w:rsid w:val="00787990"/>
    <w:rsid w:val="0079030E"/>
    <w:rsid w:val="007904F1"/>
    <w:rsid w:val="00790BFE"/>
    <w:rsid w:val="0079228A"/>
    <w:rsid w:val="007922AA"/>
    <w:rsid w:val="00792375"/>
    <w:rsid w:val="00792396"/>
    <w:rsid w:val="00792696"/>
    <w:rsid w:val="0079359C"/>
    <w:rsid w:val="00793DF8"/>
    <w:rsid w:val="00794948"/>
    <w:rsid w:val="00794D6D"/>
    <w:rsid w:val="00795966"/>
    <w:rsid w:val="007964E8"/>
    <w:rsid w:val="00796DF6"/>
    <w:rsid w:val="00797B29"/>
    <w:rsid w:val="007A0AA1"/>
    <w:rsid w:val="007A1023"/>
    <w:rsid w:val="007A2261"/>
    <w:rsid w:val="007A250D"/>
    <w:rsid w:val="007A2549"/>
    <w:rsid w:val="007A2BAA"/>
    <w:rsid w:val="007A33C0"/>
    <w:rsid w:val="007A36D1"/>
    <w:rsid w:val="007A4045"/>
    <w:rsid w:val="007A4113"/>
    <w:rsid w:val="007A4186"/>
    <w:rsid w:val="007A43DE"/>
    <w:rsid w:val="007A45B4"/>
    <w:rsid w:val="007A4ACB"/>
    <w:rsid w:val="007A5AA9"/>
    <w:rsid w:val="007A62DF"/>
    <w:rsid w:val="007A6717"/>
    <w:rsid w:val="007A6987"/>
    <w:rsid w:val="007A6ABF"/>
    <w:rsid w:val="007A72C7"/>
    <w:rsid w:val="007A7AF8"/>
    <w:rsid w:val="007A7C64"/>
    <w:rsid w:val="007B0457"/>
    <w:rsid w:val="007B1969"/>
    <w:rsid w:val="007B1F7E"/>
    <w:rsid w:val="007B2E37"/>
    <w:rsid w:val="007B31B0"/>
    <w:rsid w:val="007B339C"/>
    <w:rsid w:val="007B474B"/>
    <w:rsid w:val="007B5183"/>
    <w:rsid w:val="007B768A"/>
    <w:rsid w:val="007B78D9"/>
    <w:rsid w:val="007C0124"/>
    <w:rsid w:val="007C01D5"/>
    <w:rsid w:val="007C059A"/>
    <w:rsid w:val="007C0AE5"/>
    <w:rsid w:val="007C0BA8"/>
    <w:rsid w:val="007C0C60"/>
    <w:rsid w:val="007C10CE"/>
    <w:rsid w:val="007C1174"/>
    <w:rsid w:val="007C11D4"/>
    <w:rsid w:val="007C1E62"/>
    <w:rsid w:val="007C227C"/>
    <w:rsid w:val="007C2F70"/>
    <w:rsid w:val="007C4814"/>
    <w:rsid w:val="007C594B"/>
    <w:rsid w:val="007C5D42"/>
    <w:rsid w:val="007C6DE0"/>
    <w:rsid w:val="007C7488"/>
    <w:rsid w:val="007D00D7"/>
    <w:rsid w:val="007D123C"/>
    <w:rsid w:val="007D16F7"/>
    <w:rsid w:val="007D2330"/>
    <w:rsid w:val="007D3E8E"/>
    <w:rsid w:val="007D5F8B"/>
    <w:rsid w:val="007D62E4"/>
    <w:rsid w:val="007D749B"/>
    <w:rsid w:val="007E041B"/>
    <w:rsid w:val="007E0DE8"/>
    <w:rsid w:val="007E0FBA"/>
    <w:rsid w:val="007E1A80"/>
    <w:rsid w:val="007E1EDC"/>
    <w:rsid w:val="007E2323"/>
    <w:rsid w:val="007E25A4"/>
    <w:rsid w:val="007E2F7B"/>
    <w:rsid w:val="007E3024"/>
    <w:rsid w:val="007E3175"/>
    <w:rsid w:val="007E367E"/>
    <w:rsid w:val="007E437F"/>
    <w:rsid w:val="007E5BBB"/>
    <w:rsid w:val="007E5D39"/>
    <w:rsid w:val="007E7173"/>
    <w:rsid w:val="007E7A70"/>
    <w:rsid w:val="007F1DC3"/>
    <w:rsid w:val="007F25F2"/>
    <w:rsid w:val="007F2649"/>
    <w:rsid w:val="007F3395"/>
    <w:rsid w:val="007F3522"/>
    <w:rsid w:val="007F3919"/>
    <w:rsid w:val="007F48A0"/>
    <w:rsid w:val="007F4F4D"/>
    <w:rsid w:val="007F50B1"/>
    <w:rsid w:val="007F5A46"/>
    <w:rsid w:val="007F6135"/>
    <w:rsid w:val="007F653C"/>
    <w:rsid w:val="007F68A7"/>
    <w:rsid w:val="007F6C86"/>
    <w:rsid w:val="007F71FC"/>
    <w:rsid w:val="007F78CD"/>
    <w:rsid w:val="007F7F94"/>
    <w:rsid w:val="008009A9"/>
    <w:rsid w:val="00800C8C"/>
    <w:rsid w:val="00801B19"/>
    <w:rsid w:val="00801F1E"/>
    <w:rsid w:val="00802E10"/>
    <w:rsid w:val="00802EE0"/>
    <w:rsid w:val="00803045"/>
    <w:rsid w:val="008037DF"/>
    <w:rsid w:val="008047A0"/>
    <w:rsid w:val="00805060"/>
    <w:rsid w:val="0080508F"/>
    <w:rsid w:val="0080526D"/>
    <w:rsid w:val="00805C67"/>
    <w:rsid w:val="008070D4"/>
    <w:rsid w:val="00807EB2"/>
    <w:rsid w:val="008106A0"/>
    <w:rsid w:val="00811270"/>
    <w:rsid w:val="00811C6D"/>
    <w:rsid w:val="008120A2"/>
    <w:rsid w:val="00813012"/>
    <w:rsid w:val="008131C0"/>
    <w:rsid w:val="008145AF"/>
    <w:rsid w:val="00814A52"/>
    <w:rsid w:val="00815C05"/>
    <w:rsid w:val="008162CB"/>
    <w:rsid w:val="008167B6"/>
    <w:rsid w:val="00817BC2"/>
    <w:rsid w:val="00817E42"/>
    <w:rsid w:val="00817EAC"/>
    <w:rsid w:val="008202CE"/>
    <w:rsid w:val="008205BA"/>
    <w:rsid w:val="00821B4B"/>
    <w:rsid w:val="00822F8F"/>
    <w:rsid w:val="008233CE"/>
    <w:rsid w:val="00825075"/>
    <w:rsid w:val="008254AD"/>
    <w:rsid w:val="00826764"/>
    <w:rsid w:val="00826BFF"/>
    <w:rsid w:val="00826D02"/>
    <w:rsid w:val="00826F52"/>
    <w:rsid w:val="0082762B"/>
    <w:rsid w:val="00827E28"/>
    <w:rsid w:val="00830531"/>
    <w:rsid w:val="008307F7"/>
    <w:rsid w:val="00830B3E"/>
    <w:rsid w:val="00831A5E"/>
    <w:rsid w:val="008329B2"/>
    <w:rsid w:val="0083344D"/>
    <w:rsid w:val="008336CF"/>
    <w:rsid w:val="00833896"/>
    <w:rsid w:val="00833BE1"/>
    <w:rsid w:val="00835440"/>
    <w:rsid w:val="00835612"/>
    <w:rsid w:val="00835E3D"/>
    <w:rsid w:val="00836A7B"/>
    <w:rsid w:val="008371BC"/>
    <w:rsid w:val="00837797"/>
    <w:rsid w:val="00837CB5"/>
    <w:rsid w:val="00837E3C"/>
    <w:rsid w:val="008408E8"/>
    <w:rsid w:val="00840936"/>
    <w:rsid w:val="00840B84"/>
    <w:rsid w:val="0084153D"/>
    <w:rsid w:val="008415F8"/>
    <w:rsid w:val="00841A13"/>
    <w:rsid w:val="00841A9E"/>
    <w:rsid w:val="00841E51"/>
    <w:rsid w:val="00841FE6"/>
    <w:rsid w:val="0084239B"/>
    <w:rsid w:val="00842C6A"/>
    <w:rsid w:val="00842F70"/>
    <w:rsid w:val="008431AB"/>
    <w:rsid w:val="00843CF0"/>
    <w:rsid w:val="008444F8"/>
    <w:rsid w:val="008445DA"/>
    <w:rsid w:val="00845329"/>
    <w:rsid w:val="0084566F"/>
    <w:rsid w:val="00845694"/>
    <w:rsid w:val="00845921"/>
    <w:rsid w:val="00845DD9"/>
    <w:rsid w:val="00845F8F"/>
    <w:rsid w:val="00846606"/>
    <w:rsid w:val="0084682F"/>
    <w:rsid w:val="008469E7"/>
    <w:rsid w:val="00846B15"/>
    <w:rsid w:val="008475B3"/>
    <w:rsid w:val="00847ECE"/>
    <w:rsid w:val="0085037F"/>
    <w:rsid w:val="00851392"/>
    <w:rsid w:val="00851424"/>
    <w:rsid w:val="0085170A"/>
    <w:rsid w:val="00851FAF"/>
    <w:rsid w:val="00852D7B"/>
    <w:rsid w:val="00853A10"/>
    <w:rsid w:val="00853C81"/>
    <w:rsid w:val="00853D34"/>
    <w:rsid w:val="00853FCD"/>
    <w:rsid w:val="00854A53"/>
    <w:rsid w:val="0085687D"/>
    <w:rsid w:val="00856A11"/>
    <w:rsid w:val="00857A20"/>
    <w:rsid w:val="00857B0A"/>
    <w:rsid w:val="00857E0B"/>
    <w:rsid w:val="0086001E"/>
    <w:rsid w:val="008603AA"/>
    <w:rsid w:val="008615F1"/>
    <w:rsid w:val="008616BC"/>
    <w:rsid w:val="00861FF9"/>
    <w:rsid w:val="008623F0"/>
    <w:rsid w:val="0086241E"/>
    <w:rsid w:val="00862944"/>
    <w:rsid w:val="00863416"/>
    <w:rsid w:val="00863F28"/>
    <w:rsid w:val="00864654"/>
    <w:rsid w:val="008649CD"/>
    <w:rsid w:val="00865811"/>
    <w:rsid w:val="00866104"/>
    <w:rsid w:val="00866453"/>
    <w:rsid w:val="00866A9B"/>
    <w:rsid w:val="00867026"/>
    <w:rsid w:val="00867247"/>
    <w:rsid w:val="0086764C"/>
    <w:rsid w:val="0087087B"/>
    <w:rsid w:val="00870970"/>
    <w:rsid w:val="00870BDC"/>
    <w:rsid w:val="00870E2D"/>
    <w:rsid w:val="00870FB0"/>
    <w:rsid w:val="0087100B"/>
    <w:rsid w:val="00871455"/>
    <w:rsid w:val="008714DB"/>
    <w:rsid w:val="00872BBF"/>
    <w:rsid w:val="008732D6"/>
    <w:rsid w:val="00873393"/>
    <w:rsid w:val="00873555"/>
    <w:rsid w:val="0087577B"/>
    <w:rsid w:val="00875A45"/>
    <w:rsid w:val="00876109"/>
    <w:rsid w:val="0087651D"/>
    <w:rsid w:val="00876664"/>
    <w:rsid w:val="008769A9"/>
    <w:rsid w:val="00877FA8"/>
    <w:rsid w:val="00880769"/>
    <w:rsid w:val="00880A85"/>
    <w:rsid w:val="00880ADA"/>
    <w:rsid w:val="00880CD5"/>
    <w:rsid w:val="00881991"/>
    <w:rsid w:val="00882101"/>
    <w:rsid w:val="00882E66"/>
    <w:rsid w:val="00882EFF"/>
    <w:rsid w:val="008830AC"/>
    <w:rsid w:val="008832DA"/>
    <w:rsid w:val="008832EB"/>
    <w:rsid w:val="00883571"/>
    <w:rsid w:val="00883883"/>
    <w:rsid w:val="0088416F"/>
    <w:rsid w:val="0088419A"/>
    <w:rsid w:val="0088419D"/>
    <w:rsid w:val="0088463B"/>
    <w:rsid w:val="00884F3D"/>
    <w:rsid w:val="00885D77"/>
    <w:rsid w:val="008861ED"/>
    <w:rsid w:val="00886A99"/>
    <w:rsid w:val="00886BEA"/>
    <w:rsid w:val="00886D91"/>
    <w:rsid w:val="00887999"/>
    <w:rsid w:val="0089017D"/>
    <w:rsid w:val="00890DE4"/>
    <w:rsid w:val="00891C6B"/>
    <w:rsid w:val="0089251F"/>
    <w:rsid w:val="00892708"/>
    <w:rsid w:val="00893255"/>
    <w:rsid w:val="00893932"/>
    <w:rsid w:val="00893C96"/>
    <w:rsid w:val="00895E71"/>
    <w:rsid w:val="00895F05"/>
    <w:rsid w:val="00896359"/>
    <w:rsid w:val="008963F6"/>
    <w:rsid w:val="00896512"/>
    <w:rsid w:val="00896CFF"/>
    <w:rsid w:val="00896EF4"/>
    <w:rsid w:val="008973A0"/>
    <w:rsid w:val="00897E0B"/>
    <w:rsid w:val="008A023E"/>
    <w:rsid w:val="008A02F8"/>
    <w:rsid w:val="008A15DE"/>
    <w:rsid w:val="008A1B6F"/>
    <w:rsid w:val="008A29D2"/>
    <w:rsid w:val="008A2A70"/>
    <w:rsid w:val="008A3041"/>
    <w:rsid w:val="008A4AC0"/>
    <w:rsid w:val="008A533D"/>
    <w:rsid w:val="008A5569"/>
    <w:rsid w:val="008A5D8A"/>
    <w:rsid w:val="008A639D"/>
    <w:rsid w:val="008A6442"/>
    <w:rsid w:val="008A75D9"/>
    <w:rsid w:val="008A7DD9"/>
    <w:rsid w:val="008A7FA5"/>
    <w:rsid w:val="008B0026"/>
    <w:rsid w:val="008B08B0"/>
    <w:rsid w:val="008B1580"/>
    <w:rsid w:val="008B1B41"/>
    <w:rsid w:val="008B1D44"/>
    <w:rsid w:val="008B21F6"/>
    <w:rsid w:val="008B2427"/>
    <w:rsid w:val="008B2657"/>
    <w:rsid w:val="008B2E0C"/>
    <w:rsid w:val="008B313B"/>
    <w:rsid w:val="008B3687"/>
    <w:rsid w:val="008B4956"/>
    <w:rsid w:val="008B6747"/>
    <w:rsid w:val="008B6753"/>
    <w:rsid w:val="008B6A34"/>
    <w:rsid w:val="008B6DE0"/>
    <w:rsid w:val="008B6F0A"/>
    <w:rsid w:val="008B6F24"/>
    <w:rsid w:val="008B781B"/>
    <w:rsid w:val="008B78BF"/>
    <w:rsid w:val="008C03F6"/>
    <w:rsid w:val="008C0894"/>
    <w:rsid w:val="008C0C4B"/>
    <w:rsid w:val="008C14EA"/>
    <w:rsid w:val="008C1F92"/>
    <w:rsid w:val="008C24F4"/>
    <w:rsid w:val="008C25BC"/>
    <w:rsid w:val="008C295F"/>
    <w:rsid w:val="008C2A5D"/>
    <w:rsid w:val="008C5EB1"/>
    <w:rsid w:val="008C605B"/>
    <w:rsid w:val="008C61D9"/>
    <w:rsid w:val="008C6D21"/>
    <w:rsid w:val="008D025D"/>
    <w:rsid w:val="008D02B3"/>
    <w:rsid w:val="008D0C9D"/>
    <w:rsid w:val="008D0E40"/>
    <w:rsid w:val="008D11AC"/>
    <w:rsid w:val="008D159C"/>
    <w:rsid w:val="008D17CC"/>
    <w:rsid w:val="008D1D2E"/>
    <w:rsid w:val="008D2193"/>
    <w:rsid w:val="008D2753"/>
    <w:rsid w:val="008D2A9D"/>
    <w:rsid w:val="008D2B9C"/>
    <w:rsid w:val="008D2CAC"/>
    <w:rsid w:val="008D2EAA"/>
    <w:rsid w:val="008D3131"/>
    <w:rsid w:val="008D354F"/>
    <w:rsid w:val="008D3F21"/>
    <w:rsid w:val="008D3F7D"/>
    <w:rsid w:val="008D4108"/>
    <w:rsid w:val="008D4E92"/>
    <w:rsid w:val="008D5DE6"/>
    <w:rsid w:val="008D610D"/>
    <w:rsid w:val="008D679A"/>
    <w:rsid w:val="008D6B40"/>
    <w:rsid w:val="008D6EB6"/>
    <w:rsid w:val="008D7A23"/>
    <w:rsid w:val="008DBF54"/>
    <w:rsid w:val="008E02D7"/>
    <w:rsid w:val="008E0443"/>
    <w:rsid w:val="008E16ED"/>
    <w:rsid w:val="008E21AC"/>
    <w:rsid w:val="008E2AA5"/>
    <w:rsid w:val="008E2D76"/>
    <w:rsid w:val="008E3172"/>
    <w:rsid w:val="008E364E"/>
    <w:rsid w:val="008E3E8A"/>
    <w:rsid w:val="008E445C"/>
    <w:rsid w:val="008E4897"/>
    <w:rsid w:val="008E4E0C"/>
    <w:rsid w:val="008E5242"/>
    <w:rsid w:val="008E5804"/>
    <w:rsid w:val="008E603E"/>
    <w:rsid w:val="008E62E4"/>
    <w:rsid w:val="008E6EFE"/>
    <w:rsid w:val="008E6F7E"/>
    <w:rsid w:val="008E72F2"/>
    <w:rsid w:val="008E7527"/>
    <w:rsid w:val="008E7973"/>
    <w:rsid w:val="008F07EC"/>
    <w:rsid w:val="008F0A0D"/>
    <w:rsid w:val="008F1843"/>
    <w:rsid w:val="008F1A3A"/>
    <w:rsid w:val="008F3933"/>
    <w:rsid w:val="008F41B5"/>
    <w:rsid w:val="008F423A"/>
    <w:rsid w:val="008F487E"/>
    <w:rsid w:val="008F4B31"/>
    <w:rsid w:val="008F4C80"/>
    <w:rsid w:val="008F4CD6"/>
    <w:rsid w:val="008F5358"/>
    <w:rsid w:val="008F574E"/>
    <w:rsid w:val="008F5AE1"/>
    <w:rsid w:val="008F5D2E"/>
    <w:rsid w:val="008F692A"/>
    <w:rsid w:val="008F779F"/>
    <w:rsid w:val="008F78F8"/>
    <w:rsid w:val="00900A3D"/>
    <w:rsid w:val="0090104F"/>
    <w:rsid w:val="00902235"/>
    <w:rsid w:val="00903BDF"/>
    <w:rsid w:val="00904ECE"/>
    <w:rsid w:val="00904F82"/>
    <w:rsid w:val="009050C2"/>
    <w:rsid w:val="009069AE"/>
    <w:rsid w:val="00907684"/>
    <w:rsid w:val="0090785D"/>
    <w:rsid w:val="00907AFD"/>
    <w:rsid w:val="00907CC4"/>
    <w:rsid w:val="00910C9E"/>
    <w:rsid w:val="00911FE2"/>
    <w:rsid w:val="0091240B"/>
    <w:rsid w:val="00912492"/>
    <w:rsid w:val="00912540"/>
    <w:rsid w:val="00912BD9"/>
    <w:rsid w:val="00912DA0"/>
    <w:rsid w:val="00914612"/>
    <w:rsid w:val="009152BF"/>
    <w:rsid w:val="00915716"/>
    <w:rsid w:val="00916B9D"/>
    <w:rsid w:val="0091706E"/>
    <w:rsid w:val="009174F1"/>
    <w:rsid w:val="009177D6"/>
    <w:rsid w:val="009179F7"/>
    <w:rsid w:val="00917D86"/>
    <w:rsid w:val="00917E4F"/>
    <w:rsid w:val="00920480"/>
    <w:rsid w:val="0092093E"/>
    <w:rsid w:val="00920BA1"/>
    <w:rsid w:val="00920FDF"/>
    <w:rsid w:val="009218CC"/>
    <w:rsid w:val="009220FD"/>
    <w:rsid w:val="0092284F"/>
    <w:rsid w:val="00922B44"/>
    <w:rsid w:val="0092307A"/>
    <w:rsid w:val="00923A39"/>
    <w:rsid w:val="00924110"/>
    <w:rsid w:val="0092429D"/>
    <w:rsid w:val="00924CEB"/>
    <w:rsid w:val="00924D0D"/>
    <w:rsid w:val="009252C3"/>
    <w:rsid w:val="009254EC"/>
    <w:rsid w:val="00925CFB"/>
    <w:rsid w:val="00926EB3"/>
    <w:rsid w:val="00927201"/>
    <w:rsid w:val="00927A16"/>
    <w:rsid w:val="0093065B"/>
    <w:rsid w:val="00931876"/>
    <w:rsid w:val="009328CD"/>
    <w:rsid w:val="00932EE2"/>
    <w:rsid w:val="00932F7B"/>
    <w:rsid w:val="00932FE3"/>
    <w:rsid w:val="00933C8D"/>
    <w:rsid w:val="00933F1F"/>
    <w:rsid w:val="0093474A"/>
    <w:rsid w:val="00934A92"/>
    <w:rsid w:val="00934EBE"/>
    <w:rsid w:val="00935036"/>
    <w:rsid w:val="009353C5"/>
    <w:rsid w:val="00936611"/>
    <w:rsid w:val="00936A6B"/>
    <w:rsid w:val="00936A8D"/>
    <w:rsid w:val="0093758E"/>
    <w:rsid w:val="00937CCB"/>
    <w:rsid w:val="009403BB"/>
    <w:rsid w:val="00940674"/>
    <w:rsid w:val="00940986"/>
    <w:rsid w:val="00940B56"/>
    <w:rsid w:val="00941700"/>
    <w:rsid w:val="00942222"/>
    <w:rsid w:val="009428EC"/>
    <w:rsid w:val="00942FC7"/>
    <w:rsid w:val="00943486"/>
    <w:rsid w:val="009437EB"/>
    <w:rsid w:val="00943895"/>
    <w:rsid w:val="00943EDF"/>
    <w:rsid w:val="00943FDC"/>
    <w:rsid w:val="0094463F"/>
    <w:rsid w:val="0094529B"/>
    <w:rsid w:val="009454D9"/>
    <w:rsid w:val="009457F0"/>
    <w:rsid w:val="00945A85"/>
    <w:rsid w:val="009465BE"/>
    <w:rsid w:val="00946E52"/>
    <w:rsid w:val="009470FA"/>
    <w:rsid w:val="00947EE2"/>
    <w:rsid w:val="00950DF7"/>
    <w:rsid w:val="00950FCA"/>
    <w:rsid w:val="009515D0"/>
    <w:rsid w:val="009539E8"/>
    <w:rsid w:val="00953DBB"/>
    <w:rsid w:val="0095404A"/>
    <w:rsid w:val="009540A3"/>
    <w:rsid w:val="00954658"/>
    <w:rsid w:val="00954A39"/>
    <w:rsid w:val="00956050"/>
    <w:rsid w:val="009567C5"/>
    <w:rsid w:val="00956A51"/>
    <w:rsid w:val="00956B55"/>
    <w:rsid w:val="00956FED"/>
    <w:rsid w:val="00957099"/>
    <w:rsid w:val="00957247"/>
    <w:rsid w:val="0095745A"/>
    <w:rsid w:val="00960475"/>
    <w:rsid w:val="00960E9F"/>
    <w:rsid w:val="00961164"/>
    <w:rsid w:val="00961CA7"/>
    <w:rsid w:val="00962311"/>
    <w:rsid w:val="00962BC0"/>
    <w:rsid w:val="00963072"/>
    <w:rsid w:val="00963136"/>
    <w:rsid w:val="00963332"/>
    <w:rsid w:val="00964BC4"/>
    <w:rsid w:val="00964BCC"/>
    <w:rsid w:val="00965B26"/>
    <w:rsid w:val="00965CFB"/>
    <w:rsid w:val="00965D3C"/>
    <w:rsid w:val="00965EFE"/>
    <w:rsid w:val="00966337"/>
    <w:rsid w:val="009666C1"/>
    <w:rsid w:val="00967289"/>
    <w:rsid w:val="009673D7"/>
    <w:rsid w:val="00967C45"/>
    <w:rsid w:val="009700BC"/>
    <w:rsid w:val="00970589"/>
    <w:rsid w:val="00970719"/>
    <w:rsid w:val="00970855"/>
    <w:rsid w:val="00970CAF"/>
    <w:rsid w:val="00971823"/>
    <w:rsid w:val="00971933"/>
    <w:rsid w:val="009719AB"/>
    <w:rsid w:val="00971F56"/>
    <w:rsid w:val="00972494"/>
    <w:rsid w:val="00972577"/>
    <w:rsid w:val="0097266D"/>
    <w:rsid w:val="00972C72"/>
    <w:rsid w:val="00973819"/>
    <w:rsid w:val="00973A75"/>
    <w:rsid w:val="0097422D"/>
    <w:rsid w:val="00974D8C"/>
    <w:rsid w:val="00974FF1"/>
    <w:rsid w:val="00975421"/>
    <w:rsid w:val="009754DB"/>
    <w:rsid w:val="00975B12"/>
    <w:rsid w:val="00976646"/>
    <w:rsid w:val="009769CC"/>
    <w:rsid w:val="00976A28"/>
    <w:rsid w:val="009774FC"/>
    <w:rsid w:val="00977F7B"/>
    <w:rsid w:val="00977F85"/>
    <w:rsid w:val="009805A1"/>
    <w:rsid w:val="00981EA7"/>
    <w:rsid w:val="00982451"/>
    <w:rsid w:val="00982FB6"/>
    <w:rsid w:val="00983333"/>
    <w:rsid w:val="00983364"/>
    <w:rsid w:val="00984280"/>
    <w:rsid w:val="00984894"/>
    <w:rsid w:val="009857E6"/>
    <w:rsid w:val="009858FD"/>
    <w:rsid w:val="00986DA6"/>
    <w:rsid w:val="009874ED"/>
    <w:rsid w:val="009875C8"/>
    <w:rsid w:val="00990DC5"/>
    <w:rsid w:val="00990F92"/>
    <w:rsid w:val="00990FC6"/>
    <w:rsid w:val="0099113A"/>
    <w:rsid w:val="009913A5"/>
    <w:rsid w:val="0099166D"/>
    <w:rsid w:val="00991736"/>
    <w:rsid w:val="00991C72"/>
    <w:rsid w:val="00992007"/>
    <w:rsid w:val="00993334"/>
    <w:rsid w:val="009937B6"/>
    <w:rsid w:val="00994515"/>
    <w:rsid w:val="00995130"/>
    <w:rsid w:val="009953D3"/>
    <w:rsid w:val="00995C51"/>
    <w:rsid w:val="00996217"/>
    <w:rsid w:val="0099631B"/>
    <w:rsid w:val="009977B9"/>
    <w:rsid w:val="009A01C3"/>
    <w:rsid w:val="009A0851"/>
    <w:rsid w:val="009A0DC3"/>
    <w:rsid w:val="009A1316"/>
    <w:rsid w:val="009A17B3"/>
    <w:rsid w:val="009A1A9B"/>
    <w:rsid w:val="009A1EB4"/>
    <w:rsid w:val="009A1FEC"/>
    <w:rsid w:val="009A21FE"/>
    <w:rsid w:val="009A2C0A"/>
    <w:rsid w:val="009A3672"/>
    <w:rsid w:val="009A47EF"/>
    <w:rsid w:val="009A4830"/>
    <w:rsid w:val="009A4EAB"/>
    <w:rsid w:val="009A52C4"/>
    <w:rsid w:val="009A539E"/>
    <w:rsid w:val="009A5615"/>
    <w:rsid w:val="009A5925"/>
    <w:rsid w:val="009A670E"/>
    <w:rsid w:val="009B0A45"/>
    <w:rsid w:val="009B1540"/>
    <w:rsid w:val="009B1C01"/>
    <w:rsid w:val="009B210D"/>
    <w:rsid w:val="009B32D4"/>
    <w:rsid w:val="009B3569"/>
    <w:rsid w:val="009B3DDE"/>
    <w:rsid w:val="009B424D"/>
    <w:rsid w:val="009B4A80"/>
    <w:rsid w:val="009B54EB"/>
    <w:rsid w:val="009B5F5A"/>
    <w:rsid w:val="009B69C7"/>
    <w:rsid w:val="009B6E6A"/>
    <w:rsid w:val="009B6F91"/>
    <w:rsid w:val="009C0388"/>
    <w:rsid w:val="009C0DC8"/>
    <w:rsid w:val="009C0E38"/>
    <w:rsid w:val="009C1875"/>
    <w:rsid w:val="009C18F1"/>
    <w:rsid w:val="009C1B11"/>
    <w:rsid w:val="009C1E6B"/>
    <w:rsid w:val="009C2275"/>
    <w:rsid w:val="009C288A"/>
    <w:rsid w:val="009C2B1B"/>
    <w:rsid w:val="009C2CAC"/>
    <w:rsid w:val="009C2D83"/>
    <w:rsid w:val="009C3603"/>
    <w:rsid w:val="009C5257"/>
    <w:rsid w:val="009C5E92"/>
    <w:rsid w:val="009C5F18"/>
    <w:rsid w:val="009C6160"/>
    <w:rsid w:val="009C63D2"/>
    <w:rsid w:val="009C63EA"/>
    <w:rsid w:val="009C673A"/>
    <w:rsid w:val="009C6B59"/>
    <w:rsid w:val="009C73D2"/>
    <w:rsid w:val="009D030D"/>
    <w:rsid w:val="009D0499"/>
    <w:rsid w:val="009D0702"/>
    <w:rsid w:val="009D17F6"/>
    <w:rsid w:val="009D1A21"/>
    <w:rsid w:val="009D1AD6"/>
    <w:rsid w:val="009D1DBF"/>
    <w:rsid w:val="009D25FF"/>
    <w:rsid w:val="009D2F23"/>
    <w:rsid w:val="009D33BE"/>
    <w:rsid w:val="009D394D"/>
    <w:rsid w:val="009D3ACA"/>
    <w:rsid w:val="009D41A0"/>
    <w:rsid w:val="009D498D"/>
    <w:rsid w:val="009D4ABF"/>
    <w:rsid w:val="009D5053"/>
    <w:rsid w:val="009D638C"/>
    <w:rsid w:val="009D6702"/>
    <w:rsid w:val="009D6A76"/>
    <w:rsid w:val="009D6ABF"/>
    <w:rsid w:val="009D6E43"/>
    <w:rsid w:val="009D7B9C"/>
    <w:rsid w:val="009E0D81"/>
    <w:rsid w:val="009E110C"/>
    <w:rsid w:val="009E260F"/>
    <w:rsid w:val="009E2CED"/>
    <w:rsid w:val="009E2DB8"/>
    <w:rsid w:val="009E3234"/>
    <w:rsid w:val="009E3623"/>
    <w:rsid w:val="009E37B5"/>
    <w:rsid w:val="009E44E7"/>
    <w:rsid w:val="009E5088"/>
    <w:rsid w:val="009E55DB"/>
    <w:rsid w:val="009E5C8F"/>
    <w:rsid w:val="009E639B"/>
    <w:rsid w:val="009E6AF2"/>
    <w:rsid w:val="009E790E"/>
    <w:rsid w:val="009E7AAE"/>
    <w:rsid w:val="009F01FF"/>
    <w:rsid w:val="009F0610"/>
    <w:rsid w:val="009F094F"/>
    <w:rsid w:val="009F0986"/>
    <w:rsid w:val="009F09DF"/>
    <w:rsid w:val="009F141F"/>
    <w:rsid w:val="009F1E74"/>
    <w:rsid w:val="009F23F8"/>
    <w:rsid w:val="009F3111"/>
    <w:rsid w:val="009F3615"/>
    <w:rsid w:val="009F37EC"/>
    <w:rsid w:val="009F491A"/>
    <w:rsid w:val="009F5522"/>
    <w:rsid w:val="009F5540"/>
    <w:rsid w:val="009F55B8"/>
    <w:rsid w:val="009F649A"/>
    <w:rsid w:val="009F7A17"/>
    <w:rsid w:val="00A0049D"/>
    <w:rsid w:val="00A012ED"/>
    <w:rsid w:val="00A01C1D"/>
    <w:rsid w:val="00A01CDB"/>
    <w:rsid w:val="00A02AC5"/>
    <w:rsid w:val="00A03221"/>
    <w:rsid w:val="00A0364C"/>
    <w:rsid w:val="00A037DB"/>
    <w:rsid w:val="00A03B41"/>
    <w:rsid w:val="00A03FC2"/>
    <w:rsid w:val="00A04024"/>
    <w:rsid w:val="00A04286"/>
    <w:rsid w:val="00A048EE"/>
    <w:rsid w:val="00A04DB1"/>
    <w:rsid w:val="00A04ECC"/>
    <w:rsid w:val="00A0515A"/>
    <w:rsid w:val="00A05EC5"/>
    <w:rsid w:val="00A063EF"/>
    <w:rsid w:val="00A067C2"/>
    <w:rsid w:val="00A06CC2"/>
    <w:rsid w:val="00A07806"/>
    <w:rsid w:val="00A07C54"/>
    <w:rsid w:val="00A10CC1"/>
    <w:rsid w:val="00A111DD"/>
    <w:rsid w:val="00A14F0F"/>
    <w:rsid w:val="00A151C0"/>
    <w:rsid w:val="00A1521A"/>
    <w:rsid w:val="00A17235"/>
    <w:rsid w:val="00A17351"/>
    <w:rsid w:val="00A17A1F"/>
    <w:rsid w:val="00A202C1"/>
    <w:rsid w:val="00A2137A"/>
    <w:rsid w:val="00A214FD"/>
    <w:rsid w:val="00A21B97"/>
    <w:rsid w:val="00A21BE9"/>
    <w:rsid w:val="00A222A3"/>
    <w:rsid w:val="00A22B32"/>
    <w:rsid w:val="00A23044"/>
    <w:rsid w:val="00A237B1"/>
    <w:rsid w:val="00A242FD"/>
    <w:rsid w:val="00A24359"/>
    <w:rsid w:val="00A24418"/>
    <w:rsid w:val="00A24E87"/>
    <w:rsid w:val="00A2526A"/>
    <w:rsid w:val="00A2546B"/>
    <w:rsid w:val="00A2615C"/>
    <w:rsid w:val="00A26215"/>
    <w:rsid w:val="00A26893"/>
    <w:rsid w:val="00A26ED0"/>
    <w:rsid w:val="00A279A3"/>
    <w:rsid w:val="00A30468"/>
    <w:rsid w:val="00A30503"/>
    <w:rsid w:val="00A30F4C"/>
    <w:rsid w:val="00A3127D"/>
    <w:rsid w:val="00A314A2"/>
    <w:rsid w:val="00A314BA"/>
    <w:rsid w:val="00A320D8"/>
    <w:rsid w:val="00A32D59"/>
    <w:rsid w:val="00A32F2F"/>
    <w:rsid w:val="00A32F74"/>
    <w:rsid w:val="00A32FE8"/>
    <w:rsid w:val="00A333D9"/>
    <w:rsid w:val="00A341C0"/>
    <w:rsid w:val="00A34C23"/>
    <w:rsid w:val="00A36C5D"/>
    <w:rsid w:val="00A37881"/>
    <w:rsid w:val="00A37BF7"/>
    <w:rsid w:val="00A41575"/>
    <w:rsid w:val="00A4161E"/>
    <w:rsid w:val="00A419F6"/>
    <w:rsid w:val="00A41FF5"/>
    <w:rsid w:val="00A4213A"/>
    <w:rsid w:val="00A424EC"/>
    <w:rsid w:val="00A4313E"/>
    <w:rsid w:val="00A44EB6"/>
    <w:rsid w:val="00A44F42"/>
    <w:rsid w:val="00A4595A"/>
    <w:rsid w:val="00A466B2"/>
    <w:rsid w:val="00A473EA"/>
    <w:rsid w:val="00A51441"/>
    <w:rsid w:val="00A51DE9"/>
    <w:rsid w:val="00A52200"/>
    <w:rsid w:val="00A52A98"/>
    <w:rsid w:val="00A53524"/>
    <w:rsid w:val="00A53B5F"/>
    <w:rsid w:val="00A53CFC"/>
    <w:rsid w:val="00A5453D"/>
    <w:rsid w:val="00A5503A"/>
    <w:rsid w:val="00A553A6"/>
    <w:rsid w:val="00A5547E"/>
    <w:rsid w:val="00A555C2"/>
    <w:rsid w:val="00A55A53"/>
    <w:rsid w:val="00A56E5C"/>
    <w:rsid w:val="00A57109"/>
    <w:rsid w:val="00A5750B"/>
    <w:rsid w:val="00A600C7"/>
    <w:rsid w:val="00A607F8"/>
    <w:rsid w:val="00A60A2A"/>
    <w:rsid w:val="00A61348"/>
    <w:rsid w:val="00A615DD"/>
    <w:rsid w:val="00A631C1"/>
    <w:rsid w:val="00A63A86"/>
    <w:rsid w:val="00A64095"/>
    <w:rsid w:val="00A648EC"/>
    <w:rsid w:val="00A64D27"/>
    <w:rsid w:val="00A6538A"/>
    <w:rsid w:val="00A6655D"/>
    <w:rsid w:val="00A666B7"/>
    <w:rsid w:val="00A667A4"/>
    <w:rsid w:val="00A673EF"/>
    <w:rsid w:val="00A67508"/>
    <w:rsid w:val="00A679A3"/>
    <w:rsid w:val="00A679BA"/>
    <w:rsid w:val="00A67E3D"/>
    <w:rsid w:val="00A71050"/>
    <w:rsid w:val="00A7106C"/>
    <w:rsid w:val="00A712EB"/>
    <w:rsid w:val="00A71643"/>
    <w:rsid w:val="00A71863"/>
    <w:rsid w:val="00A71B0A"/>
    <w:rsid w:val="00A71CB7"/>
    <w:rsid w:val="00A71FB8"/>
    <w:rsid w:val="00A72087"/>
    <w:rsid w:val="00A72233"/>
    <w:rsid w:val="00A72C86"/>
    <w:rsid w:val="00A73841"/>
    <w:rsid w:val="00A74818"/>
    <w:rsid w:val="00A74E4E"/>
    <w:rsid w:val="00A75749"/>
    <w:rsid w:val="00A758A5"/>
    <w:rsid w:val="00A75938"/>
    <w:rsid w:val="00A76DE5"/>
    <w:rsid w:val="00A774AC"/>
    <w:rsid w:val="00A77869"/>
    <w:rsid w:val="00A815D1"/>
    <w:rsid w:val="00A81C51"/>
    <w:rsid w:val="00A82B4A"/>
    <w:rsid w:val="00A83965"/>
    <w:rsid w:val="00A839CF"/>
    <w:rsid w:val="00A84FCA"/>
    <w:rsid w:val="00A858A2"/>
    <w:rsid w:val="00A85EF0"/>
    <w:rsid w:val="00A8707B"/>
    <w:rsid w:val="00A8730D"/>
    <w:rsid w:val="00A87509"/>
    <w:rsid w:val="00A87B2A"/>
    <w:rsid w:val="00A908B2"/>
    <w:rsid w:val="00A90D6D"/>
    <w:rsid w:val="00A91589"/>
    <w:rsid w:val="00A919CC"/>
    <w:rsid w:val="00A91D0E"/>
    <w:rsid w:val="00A923E6"/>
    <w:rsid w:val="00A93215"/>
    <w:rsid w:val="00A93B1C"/>
    <w:rsid w:val="00A94E2F"/>
    <w:rsid w:val="00A94EBE"/>
    <w:rsid w:val="00A9564F"/>
    <w:rsid w:val="00A95EBF"/>
    <w:rsid w:val="00A96133"/>
    <w:rsid w:val="00A96168"/>
    <w:rsid w:val="00A9626A"/>
    <w:rsid w:val="00A969FA"/>
    <w:rsid w:val="00A97859"/>
    <w:rsid w:val="00A97E0F"/>
    <w:rsid w:val="00AA079E"/>
    <w:rsid w:val="00AA1001"/>
    <w:rsid w:val="00AA16FA"/>
    <w:rsid w:val="00AA294B"/>
    <w:rsid w:val="00AA2B77"/>
    <w:rsid w:val="00AA2D80"/>
    <w:rsid w:val="00AA390F"/>
    <w:rsid w:val="00AA43B4"/>
    <w:rsid w:val="00AA440E"/>
    <w:rsid w:val="00AA679A"/>
    <w:rsid w:val="00AA6F3D"/>
    <w:rsid w:val="00AA73D0"/>
    <w:rsid w:val="00AA76ED"/>
    <w:rsid w:val="00AA77A5"/>
    <w:rsid w:val="00AB04C3"/>
    <w:rsid w:val="00AB1599"/>
    <w:rsid w:val="00AB15DA"/>
    <w:rsid w:val="00AB17F5"/>
    <w:rsid w:val="00AB2052"/>
    <w:rsid w:val="00AB250B"/>
    <w:rsid w:val="00AB35A6"/>
    <w:rsid w:val="00AB39A8"/>
    <w:rsid w:val="00AB46E8"/>
    <w:rsid w:val="00AB47FA"/>
    <w:rsid w:val="00AB4B67"/>
    <w:rsid w:val="00AB5192"/>
    <w:rsid w:val="00AB55F5"/>
    <w:rsid w:val="00AB57C8"/>
    <w:rsid w:val="00AB5B52"/>
    <w:rsid w:val="00AB5CF0"/>
    <w:rsid w:val="00AB6493"/>
    <w:rsid w:val="00AB6B26"/>
    <w:rsid w:val="00AB6BA2"/>
    <w:rsid w:val="00AB71A7"/>
    <w:rsid w:val="00AC00A6"/>
    <w:rsid w:val="00AC07E8"/>
    <w:rsid w:val="00AC0C5A"/>
    <w:rsid w:val="00AC1048"/>
    <w:rsid w:val="00AC1A18"/>
    <w:rsid w:val="00AC1F70"/>
    <w:rsid w:val="00AC2551"/>
    <w:rsid w:val="00AC2800"/>
    <w:rsid w:val="00AC311F"/>
    <w:rsid w:val="00AC3669"/>
    <w:rsid w:val="00AC3DF2"/>
    <w:rsid w:val="00AC3EF5"/>
    <w:rsid w:val="00AC4767"/>
    <w:rsid w:val="00AC4FC9"/>
    <w:rsid w:val="00AC5542"/>
    <w:rsid w:val="00AC5F6E"/>
    <w:rsid w:val="00AC62F9"/>
    <w:rsid w:val="00AC73AE"/>
    <w:rsid w:val="00AC7E66"/>
    <w:rsid w:val="00AD1389"/>
    <w:rsid w:val="00AD26DF"/>
    <w:rsid w:val="00AD2827"/>
    <w:rsid w:val="00AD296E"/>
    <w:rsid w:val="00AD2AD4"/>
    <w:rsid w:val="00AD2F4E"/>
    <w:rsid w:val="00AD306B"/>
    <w:rsid w:val="00AD3261"/>
    <w:rsid w:val="00AD339E"/>
    <w:rsid w:val="00AD3F5B"/>
    <w:rsid w:val="00AD6F13"/>
    <w:rsid w:val="00AE064A"/>
    <w:rsid w:val="00AE21F6"/>
    <w:rsid w:val="00AE25D0"/>
    <w:rsid w:val="00AE2B88"/>
    <w:rsid w:val="00AE304D"/>
    <w:rsid w:val="00AE3B61"/>
    <w:rsid w:val="00AE4A22"/>
    <w:rsid w:val="00AE54E1"/>
    <w:rsid w:val="00AE58CE"/>
    <w:rsid w:val="00AE59BF"/>
    <w:rsid w:val="00AE74DB"/>
    <w:rsid w:val="00AE7D15"/>
    <w:rsid w:val="00AE7DEB"/>
    <w:rsid w:val="00AF005E"/>
    <w:rsid w:val="00AF0548"/>
    <w:rsid w:val="00AF0B29"/>
    <w:rsid w:val="00AF0B88"/>
    <w:rsid w:val="00AF14DD"/>
    <w:rsid w:val="00AF1F50"/>
    <w:rsid w:val="00AF20E7"/>
    <w:rsid w:val="00AF21DD"/>
    <w:rsid w:val="00AF2991"/>
    <w:rsid w:val="00AF2BEC"/>
    <w:rsid w:val="00AF30C5"/>
    <w:rsid w:val="00AF3824"/>
    <w:rsid w:val="00AF38B8"/>
    <w:rsid w:val="00AF45AF"/>
    <w:rsid w:val="00AF4A7C"/>
    <w:rsid w:val="00AF58C0"/>
    <w:rsid w:val="00AF59C6"/>
    <w:rsid w:val="00AF6406"/>
    <w:rsid w:val="00AF6A57"/>
    <w:rsid w:val="00AF6F74"/>
    <w:rsid w:val="00AF6FA9"/>
    <w:rsid w:val="00AF7764"/>
    <w:rsid w:val="00AF77BA"/>
    <w:rsid w:val="00AF786B"/>
    <w:rsid w:val="00B007EB"/>
    <w:rsid w:val="00B0119E"/>
    <w:rsid w:val="00B01FFE"/>
    <w:rsid w:val="00B02375"/>
    <w:rsid w:val="00B0344A"/>
    <w:rsid w:val="00B04045"/>
    <w:rsid w:val="00B049BA"/>
    <w:rsid w:val="00B04F5D"/>
    <w:rsid w:val="00B05340"/>
    <w:rsid w:val="00B05A33"/>
    <w:rsid w:val="00B0611C"/>
    <w:rsid w:val="00B0680F"/>
    <w:rsid w:val="00B076CE"/>
    <w:rsid w:val="00B078F4"/>
    <w:rsid w:val="00B07BEA"/>
    <w:rsid w:val="00B07DE0"/>
    <w:rsid w:val="00B108D8"/>
    <w:rsid w:val="00B10AFA"/>
    <w:rsid w:val="00B1120F"/>
    <w:rsid w:val="00B113C1"/>
    <w:rsid w:val="00B12ADD"/>
    <w:rsid w:val="00B138F6"/>
    <w:rsid w:val="00B13F34"/>
    <w:rsid w:val="00B14411"/>
    <w:rsid w:val="00B14E7C"/>
    <w:rsid w:val="00B15749"/>
    <w:rsid w:val="00B161FB"/>
    <w:rsid w:val="00B16946"/>
    <w:rsid w:val="00B16B81"/>
    <w:rsid w:val="00B20122"/>
    <w:rsid w:val="00B22730"/>
    <w:rsid w:val="00B22737"/>
    <w:rsid w:val="00B23275"/>
    <w:rsid w:val="00B24034"/>
    <w:rsid w:val="00B24DE8"/>
    <w:rsid w:val="00B25012"/>
    <w:rsid w:val="00B2572F"/>
    <w:rsid w:val="00B26068"/>
    <w:rsid w:val="00B27287"/>
    <w:rsid w:val="00B2731B"/>
    <w:rsid w:val="00B277EE"/>
    <w:rsid w:val="00B27E3A"/>
    <w:rsid w:val="00B30387"/>
    <w:rsid w:val="00B303D0"/>
    <w:rsid w:val="00B315F5"/>
    <w:rsid w:val="00B31BE3"/>
    <w:rsid w:val="00B31C48"/>
    <w:rsid w:val="00B31D19"/>
    <w:rsid w:val="00B325FD"/>
    <w:rsid w:val="00B34739"/>
    <w:rsid w:val="00B34CB3"/>
    <w:rsid w:val="00B35F41"/>
    <w:rsid w:val="00B3644D"/>
    <w:rsid w:val="00B36552"/>
    <w:rsid w:val="00B36EC3"/>
    <w:rsid w:val="00B41435"/>
    <w:rsid w:val="00B41A02"/>
    <w:rsid w:val="00B426BC"/>
    <w:rsid w:val="00B42984"/>
    <w:rsid w:val="00B42D09"/>
    <w:rsid w:val="00B45137"/>
    <w:rsid w:val="00B45279"/>
    <w:rsid w:val="00B45390"/>
    <w:rsid w:val="00B45A5D"/>
    <w:rsid w:val="00B45B35"/>
    <w:rsid w:val="00B4619B"/>
    <w:rsid w:val="00B472EC"/>
    <w:rsid w:val="00B47796"/>
    <w:rsid w:val="00B479AF"/>
    <w:rsid w:val="00B50FAD"/>
    <w:rsid w:val="00B51B67"/>
    <w:rsid w:val="00B520C2"/>
    <w:rsid w:val="00B5239A"/>
    <w:rsid w:val="00B53639"/>
    <w:rsid w:val="00B537E6"/>
    <w:rsid w:val="00B54C30"/>
    <w:rsid w:val="00B54EDE"/>
    <w:rsid w:val="00B55856"/>
    <w:rsid w:val="00B55A1B"/>
    <w:rsid w:val="00B560AE"/>
    <w:rsid w:val="00B5624F"/>
    <w:rsid w:val="00B56E8C"/>
    <w:rsid w:val="00B570F9"/>
    <w:rsid w:val="00B57F13"/>
    <w:rsid w:val="00B6042C"/>
    <w:rsid w:val="00B60D0D"/>
    <w:rsid w:val="00B60D1D"/>
    <w:rsid w:val="00B60FD8"/>
    <w:rsid w:val="00B61471"/>
    <w:rsid w:val="00B618A6"/>
    <w:rsid w:val="00B61BC2"/>
    <w:rsid w:val="00B61FCA"/>
    <w:rsid w:val="00B62201"/>
    <w:rsid w:val="00B62DAB"/>
    <w:rsid w:val="00B63F43"/>
    <w:rsid w:val="00B63FE2"/>
    <w:rsid w:val="00B65D2C"/>
    <w:rsid w:val="00B66394"/>
    <w:rsid w:val="00B66C05"/>
    <w:rsid w:val="00B67281"/>
    <w:rsid w:val="00B6752F"/>
    <w:rsid w:val="00B67530"/>
    <w:rsid w:val="00B67D4A"/>
    <w:rsid w:val="00B67FB0"/>
    <w:rsid w:val="00B67FB1"/>
    <w:rsid w:val="00B7005A"/>
    <w:rsid w:val="00B71335"/>
    <w:rsid w:val="00B714F6"/>
    <w:rsid w:val="00B715BA"/>
    <w:rsid w:val="00B7192F"/>
    <w:rsid w:val="00B71977"/>
    <w:rsid w:val="00B71A2C"/>
    <w:rsid w:val="00B71DF2"/>
    <w:rsid w:val="00B71FB2"/>
    <w:rsid w:val="00B729B6"/>
    <w:rsid w:val="00B729FE"/>
    <w:rsid w:val="00B7361B"/>
    <w:rsid w:val="00B737C4"/>
    <w:rsid w:val="00B7458B"/>
    <w:rsid w:val="00B76086"/>
    <w:rsid w:val="00B761A8"/>
    <w:rsid w:val="00B76394"/>
    <w:rsid w:val="00B76C44"/>
    <w:rsid w:val="00B80FDB"/>
    <w:rsid w:val="00B812E7"/>
    <w:rsid w:val="00B82D32"/>
    <w:rsid w:val="00B82D7B"/>
    <w:rsid w:val="00B83DD1"/>
    <w:rsid w:val="00B83FFA"/>
    <w:rsid w:val="00B847A2"/>
    <w:rsid w:val="00B848AD"/>
    <w:rsid w:val="00B84A0B"/>
    <w:rsid w:val="00B85286"/>
    <w:rsid w:val="00B85322"/>
    <w:rsid w:val="00B85368"/>
    <w:rsid w:val="00B8688B"/>
    <w:rsid w:val="00B86C33"/>
    <w:rsid w:val="00B86DDF"/>
    <w:rsid w:val="00B870A4"/>
    <w:rsid w:val="00B871A5"/>
    <w:rsid w:val="00B900DB"/>
    <w:rsid w:val="00B90831"/>
    <w:rsid w:val="00B9084B"/>
    <w:rsid w:val="00B90932"/>
    <w:rsid w:val="00B91A4A"/>
    <w:rsid w:val="00B91B58"/>
    <w:rsid w:val="00B91CB2"/>
    <w:rsid w:val="00B922F5"/>
    <w:rsid w:val="00B941C6"/>
    <w:rsid w:val="00B94958"/>
    <w:rsid w:val="00B95295"/>
    <w:rsid w:val="00B95D41"/>
    <w:rsid w:val="00B97C62"/>
    <w:rsid w:val="00B97FD2"/>
    <w:rsid w:val="00BA00AA"/>
    <w:rsid w:val="00BA1182"/>
    <w:rsid w:val="00BA14C2"/>
    <w:rsid w:val="00BA1924"/>
    <w:rsid w:val="00BA1A25"/>
    <w:rsid w:val="00BA29DA"/>
    <w:rsid w:val="00BA3973"/>
    <w:rsid w:val="00BA3BD5"/>
    <w:rsid w:val="00BA40F6"/>
    <w:rsid w:val="00BA4170"/>
    <w:rsid w:val="00BA46C3"/>
    <w:rsid w:val="00BA4A1C"/>
    <w:rsid w:val="00BA51E9"/>
    <w:rsid w:val="00BA6488"/>
    <w:rsid w:val="00BA66C4"/>
    <w:rsid w:val="00BA7240"/>
    <w:rsid w:val="00BA77D5"/>
    <w:rsid w:val="00BB0443"/>
    <w:rsid w:val="00BB09B9"/>
    <w:rsid w:val="00BB0D2F"/>
    <w:rsid w:val="00BB280A"/>
    <w:rsid w:val="00BB321A"/>
    <w:rsid w:val="00BB38D8"/>
    <w:rsid w:val="00BB3B5C"/>
    <w:rsid w:val="00BB43CC"/>
    <w:rsid w:val="00BB4492"/>
    <w:rsid w:val="00BB5506"/>
    <w:rsid w:val="00BB618E"/>
    <w:rsid w:val="00BB7DE2"/>
    <w:rsid w:val="00BB7F60"/>
    <w:rsid w:val="00BC0908"/>
    <w:rsid w:val="00BC0AD5"/>
    <w:rsid w:val="00BC146C"/>
    <w:rsid w:val="00BC407F"/>
    <w:rsid w:val="00BC6DD8"/>
    <w:rsid w:val="00BC730C"/>
    <w:rsid w:val="00BC79A3"/>
    <w:rsid w:val="00BC7BFA"/>
    <w:rsid w:val="00BC7F9E"/>
    <w:rsid w:val="00BD00CD"/>
    <w:rsid w:val="00BD0393"/>
    <w:rsid w:val="00BD0BCF"/>
    <w:rsid w:val="00BD1892"/>
    <w:rsid w:val="00BD4921"/>
    <w:rsid w:val="00BD4B06"/>
    <w:rsid w:val="00BD4D71"/>
    <w:rsid w:val="00BD4EAF"/>
    <w:rsid w:val="00BD5BC6"/>
    <w:rsid w:val="00BD66DB"/>
    <w:rsid w:val="00BD6B93"/>
    <w:rsid w:val="00BD75C2"/>
    <w:rsid w:val="00BD794E"/>
    <w:rsid w:val="00BE08DA"/>
    <w:rsid w:val="00BE18B7"/>
    <w:rsid w:val="00BE22ED"/>
    <w:rsid w:val="00BE2FBF"/>
    <w:rsid w:val="00BE3845"/>
    <w:rsid w:val="00BE4087"/>
    <w:rsid w:val="00BE605F"/>
    <w:rsid w:val="00BE610C"/>
    <w:rsid w:val="00BE78FA"/>
    <w:rsid w:val="00BE7A0C"/>
    <w:rsid w:val="00BE7E9D"/>
    <w:rsid w:val="00BF0166"/>
    <w:rsid w:val="00BF0419"/>
    <w:rsid w:val="00BF2D4E"/>
    <w:rsid w:val="00BF311A"/>
    <w:rsid w:val="00BF3558"/>
    <w:rsid w:val="00BF373F"/>
    <w:rsid w:val="00BF3F1A"/>
    <w:rsid w:val="00BF41A4"/>
    <w:rsid w:val="00BF4AD5"/>
    <w:rsid w:val="00BF5139"/>
    <w:rsid w:val="00BF51AC"/>
    <w:rsid w:val="00BF5462"/>
    <w:rsid w:val="00BF561E"/>
    <w:rsid w:val="00BF5AD3"/>
    <w:rsid w:val="00BF6913"/>
    <w:rsid w:val="00BF6B00"/>
    <w:rsid w:val="00BF7948"/>
    <w:rsid w:val="00BF796E"/>
    <w:rsid w:val="00BF7EB8"/>
    <w:rsid w:val="00C009A8"/>
    <w:rsid w:val="00C01178"/>
    <w:rsid w:val="00C011BF"/>
    <w:rsid w:val="00C0165B"/>
    <w:rsid w:val="00C01A20"/>
    <w:rsid w:val="00C01B91"/>
    <w:rsid w:val="00C01DD2"/>
    <w:rsid w:val="00C025E6"/>
    <w:rsid w:val="00C03160"/>
    <w:rsid w:val="00C0383C"/>
    <w:rsid w:val="00C043F6"/>
    <w:rsid w:val="00C04B6E"/>
    <w:rsid w:val="00C04BD4"/>
    <w:rsid w:val="00C04BE3"/>
    <w:rsid w:val="00C06A0A"/>
    <w:rsid w:val="00C0711B"/>
    <w:rsid w:val="00C073A1"/>
    <w:rsid w:val="00C079C4"/>
    <w:rsid w:val="00C07B00"/>
    <w:rsid w:val="00C1022C"/>
    <w:rsid w:val="00C10BEE"/>
    <w:rsid w:val="00C10D16"/>
    <w:rsid w:val="00C112BE"/>
    <w:rsid w:val="00C119C0"/>
    <w:rsid w:val="00C123C4"/>
    <w:rsid w:val="00C124B4"/>
    <w:rsid w:val="00C127EB"/>
    <w:rsid w:val="00C12A4D"/>
    <w:rsid w:val="00C1370A"/>
    <w:rsid w:val="00C13C4E"/>
    <w:rsid w:val="00C14AEA"/>
    <w:rsid w:val="00C154C8"/>
    <w:rsid w:val="00C157CF"/>
    <w:rsid w:val="00C164D1"/>
    <w:rsid w:val="00C16DF0"/>
    <w:rsid w:val="00C16F3C"/>
    <w:rsid w:val="00C1729F"/>
    <w:rsid w:val="00C1756D"/>
    <w:rsid w:val="00C1775F"/>
    <w:rsid w:val="00C17E9B"/>
    <w:rsid w:val="00C17FC6"/>
    <w:rsid w:val="00C201BF"/>
    <w:rsid w:val="00C20A58"/>
    <w:rsid w:val="00C20F3D"/>
    <w:rsid w:val="00C21A1B"/>
    <w:rsid w:val="00C22DB2"/>
    <w:rsid w:val="00C24933"/>
    <w:rsid w:val="00C2497D"/>
    <w:rsid w:val="00C25307"/>
    <w:rsid w:val="00C25738"/>
    <w:rsid w:val="00C26176"/>
    <w:rsid w:val="00C2629A"/>
    <w:rsid w:val="00C26441"/>
    <w:rsid w:val="00C26719"/>
    <w:rsid w:val="00C270F8"/>
    <w:rsid w:val="00C271F8"/>
    <w:rsid w:val="00C27DE4"/>
    <w:rsid w:val="00C3195E"/>
    <w:rsid w:val="00C327BB"/>
    <w:rsid w:val="00C33068"/>
    <w:rsid w:val="00C3373C"/>
    <w:rsid w:val="00C3395C"/>
    <w:rsid w:val="00C343ED"/>
    <w:rsid w:val="00C35032"/>
    <w:rsid w:val="00C35610"/>
    <w:rsid w:val="00C35B18"/>
    <w:rsid w:val="00C35B50"/>
    <w:rsid w:val="00C35D52"/>
    <w:rsid w:val="00C36397"/>
    <w:rsid w:val="00C368F4"/>
    <w:rsid w:val="00C36EE8"/>
    <w:rsid w:val="00C375DC"/>
    <w:rsid w:val="00C37DF9"/>
    <w:rsid w:val="00C37FE3"/>
    <w:rsid w:val="00C37FEA"/>
    <w:rsid w:val="00C40508"/>
    <w:rsid w:val="00C41353"/>
    <w:rsid w:val="00C41CD6"/>
    <w:rsid w:val="00C41EA2"/>
    <w:rsid w:val="00C42B02"/>
    <w:rsid w:val="00C44317"/>
    <w:rsid w:val="00C4492B"/>
    <w:rsid w:val="00C4546A"/>
    <w:rsid w:val="00C45E1D"/>
    <w:rsid w:val="00C465CA"/>
    <w:rsid w:val="00C46D38"/>
    <w:rsid w:val="00C4780E"/>
    <w:rsid w:val="00C479A0"/>
    <w:rsid w:val="00C47B32"/>
    <w:rsid w:val="00C50082"/>
    <w:rsid w:val="00C50375"/>
    <w:rsid w:val="00C511A4"/>
    <w:rsid w:val="00C518CC"/>
    <w:rsid w:val="00C51B1B"/>
    <w:rsid w:val="00C520B3"/>
    <w:rsid w:val="00C525B7"/>
    <w:rsid w:val="00C530FD"/>
    <w:rsid w:val="00C53254"/>
    <w:rsid w:val="00C53302"/>
    <w:rsid w:val="00C53C5D"/>
    <w:rsid w:val="00C544E0"/>
    <w:rsid w:val="00C551A0"/>
    <w:rsid w:val="00C5549A"/>
    <w:rsid w:val="00C5570D"/>
    <w:rsid w:val="00C55CD5"/>
    <w:rsid w:val="00C56376"/>
    <w:rsid w:val="00C56471"/>
    <w:rsid w:val="00C56DE2"/>
    <w:rsid w:val="00C56FC3"/>
    <w:rsid w:val="00C57AB0"/>
    <w:rsid w:val="00C60FA9"/>
    <w:rsid w:val="00C61765"/>
    <w:rsid w:val="00C63025"/>
    <w:rsid w:val="00C634E6"/>
    <w:rsid w:val="00C63EA7"/>
    <w:rsid w:val="00C63F73"/>
    <w:rsid w:val="00C64023"/>
    <w:rsid w:val="00C6654F"/>
    <w:rsid w:val="00C66C2D"/>
    <w:rsid w:val="00C677D2"/>
    <w:rsid w:val="00C679B1"/>
    <w:rsid w:val="00C705BA"/>
    <w:rsid w:val="00C708EF"/>
    <w:rsid w:val="00C70B02"/>
    <w:rsid w:val="00C70DCF"/>
    <w:rsid w:val="00C71057"/>
    <w:rsid w:val="00C72128"/>
    <w:rsid w:val="00C721D6"/>
    <w:rsid w:val="00C723C0"/>
    <w:rsid w:val="00C72434"/>
    <w:rsid w:val="00C7274D"/>
    <w:rsid w:val="00C72EB7"/>
    <w:rsid w:val="00C73124"/>
    <w:rsid w:val="00C74522"/>
    <w:rsid w:val="00C74B08"/>
    <w:rsid w:val="00C75FF4"/>
    <w:rsid w:val="00C7654F"/>
    <w:rsid w:val="00C76B62"/>
    <w:rsid w:val="00C76D75"/>
    <w:rsid w:val="00C76D92"/>
    <w:rsid w:val="00C770A0"/>
    <w:rsid w:val="00C776B7"/>
    <w:rsid w:val="00C80B4F"/>
    <w:rsid w:val="00C810FE"/>
    <w:rsid w:val="00C81877"/>
    <w:rsid w:val="00C81956"/>
    <w:rsid w:val="00C82040"/>
    <w:rsid w:val="00C82909"/>
    <w:rsid w:val="00C83001"/>
    <w:rsid w:val="00C836A6"/>
    <w:rsid w:val="00C83706"/>
    <w:rsid w:val="00C839EE"/>
    <w:rsid w:val="00C83C11"/>
    <w:rsid w:val="00C83EE9"/>
    <w:rsid w:val="00C847A5"/>
    <w:rsid w:val="00C84FAA"/>
    <w:rsid w:val="00C856D8"/>
    <w:rsid w:val="00C8618B"/>
    <w:rsid w:val="00C87020"/>
    <w:rsid w:val="00C877ED"/>
    <w:rsid w:val="00C9124C"/>
    <w:rsid w:val="00C91CBA"/>
    <w:rsid w:val="00C91CFB"/>
    <w:rsid w:val="00C92A8B"/>
    <w:rsid w:val="00C92FCC"/>
    <w:rsid w:val="00C949BD"/>
    <w:rsid w:val="00C94E56"/>
    <w:rsid w:val="00C9531D"/>
    <w:rsid w:val="00C954D1"/>
    <w:rsid w:val="00C95BDA"/>
    <w:rsid w:val="00C961B3"/>
    <w:rsid w:val="00C9640D"/>
    <w:rsid w:val="00C9654B"/>
    <w:rsid w:val="00C967CC"/>
    <w:rsid w:val="00C9692C"/>
    <w:rsid w:val="00C96DC2"/>
    <w:rsid w:val="00C9721A"/>
    <w:rsid w:val="00C977CC"/>
    <w:rsid w:val="00CA01B6"/>
    <w:rsid w:val="00CA03D5"/>
    <w:rsid w:val="00CA0434"/>
    <w:rsid w:val="00CA0C7C"/>
    <w:rsid w:val="00CA183C"/>
    <w:rsid w:val="00CA1872"/>
    <w:rsid w:val="00CA235D"/>
    <w:rsid w:val="00CA26B5"/>
    <w:rsid w:val="00CA2ECC"/>
    <w:rsid w:val="00CA3831"/>
    <w:rsid w:val="00CA409B"/>
    <w:rsid w:val="00CA51AB"/>
    <w:rsid w:val="00CA5492"/>
    <w:rsid w:val="00CA5A4F"/>
    <w:rsid w:val="00CA5AF1"/>
    <w:rsid w:val="00CA70E9"/>
    <w:rsid w:val="00CA79DB"/>
    <w:rsid w:val="00CB0257"/>
    <w:rsid w:val="00CB0A25"/>
    <w:rsid w:val="00CB0A36"/>
    <w:rsid w:val="00CB1001"/>
    <w:rsid w:val="00CB1418"/>
    <w:rsid w:val="00CB1500"/>
    <w:rsid w:val="00CB1570"/>
    <w:rsid w:val="00CB16F7"/>
    <w:rsid w:val="00CB1902"/>
    <w:rsid w:val="00CB2606"/>
    <w:rsid w:val="00CB4A3D"/>
    <w:rsid w:val="00CB51FB"/>
    <w:rsid w:val="00CB5600"/>
    <w:rsid w:val="00CB568F"/>
    <w:rsid w:val="00CB6A54"/>
    <w:rsid w:val="00CB6E5C"/>
    <w:rsid w:val="00CB7383"/>
    <w:rsid w:val="00CB7EF1"/>
    <w:rsid w:val="00CC0EDA"/>
    <w:rsid w:val="00CC19F0"/>
    <w:rsid w:val="00CC1BF5"/>
    <w:rsid w:val="00CC2662"/>
    <w:rsid w:val="00CC267B"/>
    <w:rsid w:val="00CC329B"/>
    <w:rsid w:val="00CC398D"/>
    <w:rsid w:val="00CC4608"/>
    <w:rsid w:val="00CC4882"/>
    <w:rsid w:val="00CC49B3"/>
    <w:rsid w:val="00CC54FF"/>
    <w:rsid w:val="00CC5910"/>
    <w:rsid w:val="00CC5DEA"/>
    <w:rsid w:val="00CC6770"/>
    <w:rsid w:val="00CC68E2"/>
    <w:rsid w:val="00CC6DBC"/>
    <w:rsid w:val="00CC6F1E"/>
    <w:rsid w:val="00CC7858"/>
    <w:rsid w:val="00CC7899"/>
    <w:rsid w:val="00CD0A68"/>
    <w:rsid w:val="00CD15AB"/>
    <w:rsid w:val="00CD1C66"/>
    <w:rsid w:val="00CD2191"/>
    <w:rsid w:val="00CD2F57"/>
    <w:rsid w:val="00CD3142"/>
    <w:rsid w:val="00CD35DA"/>
    <w:rsid w:val="00CD4057"/>
    <w:rsid w:val="00CD467B"/>
    <w:rsid w:val="00CD5248"/>
    <w:rsid w:val="00CD5996"/>
    <w:rsid w:val="00CD5B87"/>
    <w:rsid w:val="00CD607E"/>
    <w:rsid w:val="00CD62F9"/>
    <w:rsid w:val="00CD6752"/>
    <w:rsid w:val="00CD74BA"/>
    <w:rsid w:val="00CD781E"/>
    <w:rsid w:val="00CD7CFA"/>
    <w:rsid w:val="00CE00D7"/>
    <w:rsid w:val="00CE0B4B"/>
    <w:rsid w:val="00CE11A7"/>
    <w:rsid w:val="00CE1BA2"/>
    <w:rsid w:val="00CE3F61"/>
    <w:rsid w:val="00CE4634"/>
    <w:rsid w:val="00CE5DEE"/>
    <w:rsid w:val="00CE6AAF"/>
    <w:rsid w:val="00CE6F3C"/>
    <w:rsid w:val="00CE7220"/>
    <w:rsid w:val="00CE7458"/>
    <w:rsid w:val="00CF004B"/>
    <w:rsid w:val="00CF10A4"/>
    <w:rsid w:val="00CF163D"/>
    <w:rsid w:val="00CF35A4"/>
    <w:rsid w:val="00CF4C97"/>
    <w:rsid w:val="00CF558B"/>
    <w:rsid w:val="00CF5777"/>
    <w:rsid w:val="00CF5839"/>
    <w:rsid w:val="00CF5FC8"/>
    <w:rsid w:val="00CF6C07"/>
    <w:rsid w:val="00CF6D50"/>
    <w:rsid w:val="00CF7DEC"/>
    <w:rsid w:val="00D001C4"/>
    <w:rsid w:val="00D01421"/>
    <w:rsid w:val="00D023DD"/>
    <w:rsid w:val="00D02773"/>
    <w:rsid w:val="00D029F5"/>
    <w:rsid w:val="00D02BE5"/>
    <w:rsid w:val="00D0363E"/>
    <w:rsid w:val="00D04D8E"/>
    <w:rsid w:val="00D05C66"/>
    <w:rsid w:val="00D05EF8"/>
    <w:rsid w:val="00D10834"/>
    <w:rsid w:val="00D115E8"/>
    <w:rsid w:val="00D11710"/>
    <w:rsid w:val="00D11864"/>
    <w:rsid w:val="00D11DF4"/>
    <w:rsid w:val="00D125A1"/>
    <w:rsid w:val="00D12CE9"/>
    <w:rsid w:val="00D12F38"/>
    <w:rsid w:val="00D13163"/>
    <w:rsid w:val="00D13DDE"/>
    <w:rsid w:val="00D15B99"/>
    <w:rsid w:val="00D15E68"/>
    <w:rsid w:val="00D2018B"/>
    <w:rsid w:val="00D20F76"/>
    <w:rsid w:val="00D210DC"/>
    <w:rsid w:val="00D212CC"/>
    <w:rsid w:val="00D21B6D"/>
    <w:rsid w:val="00D21BE5"/>
    <w:rsid w:val="00D23464"/>
    <w:rsid w:val="00D23493"/>
    <w:rsid w:val="00D24438"/>
    <w:rsid w:val="00D24675"/>
    <w:rsid w:val="00D24D28"/>
    <w:rsid w:val="00D27378"/>
    <w:rsid w:val="00D27B83"/>
    <w:rsid w:val="00D311D5"/>
    <w:rsid w:val="00D3125D"/>
    <w:rsid w:val="00D312AD"/>
    <w:rsid w:val="00D3140C"/>
    <w:rsid w:val="00D33EFF"/>
    <w:rsid w:val="00D34006"/>
    <w:rsid w:val="00D347BF"/>
    <w:rsid w:val="00D34B43"/>
    <w:rsid w:val="00D35464"/>
    <w:rsid w:val="00D35FC9"/>
    <w:rsid w:val="00D36171"/>
    <w:rsid w:val="00D36C56"/>
    <w:rsid w:val="00D36DBD"/>
    <w:rsid w:val="00D36FEC"/>
    <w:rsid w:val="00D37174"/>
    <w:rsid w:val="00D37578"/>
    <w:rsid w:val="00D37975"/>
    <w:rsid w:val="00D4001C"/>
    <w:rsid w:val="00D4031A"/>
    <w:rsid w:val="00D414AF"/>
    <w:rsid w:val="00D417BA"/>
    <w:rsid w:val="00D41C0D"/>
    <w:rsid w:val="00D42150"/>
    <w:rsid w:val="00D42D64"/>
    <w:rsid w:val="00D42EE7"/>
    <w:rsid w:val="00D446EF"/>
    <w:rsid w:val="00D455AE"/>
    <w:rsid w:val="00D45845"/>
    <w:rsid w:val="00D468E0"/>
    <w:rsid w:val="00D46BD4"/>
    <w:rsid w:val="00D479A8"/>
    <w:rsid w:val="00D50504"/>
    <w:rsid w:val="00D50B16"/>
    <w:rsid w:val="00D5172F"/>
    <w:rsid w:val="00D51E67"/>
    <w:rsid w:val="00D52324"/>
    <w:rsid w:val="00D52A96"/>
    <w:rsid w:val="00D54363"/>
    <w:rsid w:val="00D5451D"/>
    <w:rsid w:val="00D5580A"/>
    <w:rsid w:val="00D55F10"/>
    <w:rsid w:val="00D55F7A"/>
    <w:rsid w:val="00D55F90"/>
    <w:rsid w:val="00D56562"/>
    <w:rsid w:val="00D565C5"/>
    <w:rsid w:val="00D566E6"/>
    <w:rsid w:val="00D56FC6"/>
    <w:rsid w:val="00D577F5"/>
    <w:rsid w:val="00D579F0"/>
    <w:rsid w:val="00D60652"/>
    <w:rsid w:val="00D608AF"/>
    <w:rsid w:val="00D61148"/>
    <w:rsid w:val="00D61183"/>
    <w:rsid w:val="00D62E44"/>
    <w:rsid w:val="00D62EC0"/>
    <w:rsid w:val="00D635A3"/>
    <w:rsid w:val="00D635E6"/>
    <w:rsid w:val="00D63DD8"/>
    <w:rsid w:val="00D649C6"/>
    <w:rsid w:val="00D64EA7"/>
    <w:rsid w:val="00D6548D"/>
    <w:rsid w:val="00D65B87"/>
    <w:rsid w:val="00D66443"/>
    <w:rsid w:val="00D66A14"/>
    <w:rsid w:val="00D70023"/>
    <w:rsid w:val="00D709F2"/>
    <w:rsid w:val="00D70A16"/>
    <w:rsid w:val="00D72181"/>
    <w:rsid w:val="00D724A1"/>
    <w:rsid w:val="00D72E29"/>
    <w:rsid w:val="00D73215"/>
    <w:rsid w:val="00D7330C"/>
    <w:rsid w:val="00D756F7"/>
    <w:rsid w:val="00D75729"/>
    <w:rsid w:val="00D75F56"/>
    <w:rsid w:val="00D76C9D"/>
    <w:rsid w:val="00D76CA8"/>
    <w:rsid w:val="00D80719"/>
    <w:rsid w:val="00D8072F"/>
    <w:rsid w:val="00D81C5F"/>
    <w:rsid w:val="00D81F59"/>
    <w:rsid w:val="00D8220F"/>
    <w:rsid w:val="00D82D5B"/>
    <w:rsid w:val="00D832ED"/>
    <w:rsid w:val="00D834CE"/>
    <w:rsid w:val="00D83577"/>
    <w:rsid w:val="00D838B9"/>
    <w:rsid w:val="00D83B5F"/>
    <w:rsid w:val="00D84A87"/>
    <w:rsid w:val="00D85784"/>
    <w:rsid w:val="00D85BDF"/>
    <w:rsid w:val="00D86D59"/>
    <w:rsid w:val="00D87824"/>
    <w:rsid w:val="00D879A9"/>
    <w:rsid w:val="00D9010E"/>
    <w:rsid w:val="00D9112B"/>
    <w:rsid w:val="00D91FD1"/>
    <w:rsid w:val="00D920FA"/>
    <w:rsid w:val="00D92486"/>
    <w:rsid w:val="00D92B07"/>
    <w:rsid w:val="00D92D19"/>
    <w:rsid w:val="00D93085"/>
    <w:rsid w:val="00D935CD"/>
    <w:rsid w:val="00D94215"/>
    <w:rsid w:val="00D9479F"/>
    <w:rsid w:val="00D94A51"/>
    <w:rsid w:val="00D94F68"/>
    <w:rsid w:val="00D958D7"/>
    <w:rsid w:val="00D964F0"/>
    <w:rsid w:val="00D96B7F"/>
    <w:rsid w:val="00DA02F0"/>
    <w:rsid w:val="00DA13E5"/>
    <w:rsid w:val="00DA15B3"/>
    <w:rsid w:val="00DA19F1"/>
    <w:rsid w:val="00DA2923"/>
    <w:rsid w:val="00DA2F88"/>
    <w:rsid w:val="00DA438C"/>
    <w:rsid w:val="00DA45B1"/>
    <w:rsid w:val="00DA45B9"/>
    <w:rsid w:val="00DA4840"/>
    <w:rsid w:val="00DA484A"/>
    <w:rsid w:val="00DA4CAD"/>
    <w:rsid w:val="00DA65CB"/>
    <w:rsid w:val="00DA6DE2"/>
    <w:rsid w:val="00DA716B"/>
    <w:rsid w:val="00DA75DA"/>
    <w:rsid w:val="00DA7845"/>
    <w:rsid w:val="00DB001E"/>
    <w:rsid w:val="00DB07E8"/>
    <w:rsid w:val="00DB0AF5"/>
    <w:rsid w:val="00DB0DA6"/>
    <w:rsid w:val="00DB13F9"/>
    <w:rsid w:val="00DB1E4F"/>
    <w:rsid w:val="00DB21D4"/>
    <w:rsid w:val="00DB306F"/>
    <w:rsid w:val="00DB3198"/>
    <w:rsid w:val="00DB3B96"/>
    <w:rsid w:val="00DB52E3"/>
    <w:rsid w:val="00DB573C"/>
    <w:rsid w:val="00DB668A"/>
    <w:rsid w:val="00DB67E7"/>
    <w:rsid w:val="00DB698E"/>
    <w:rsid w:val="00DB69CA"/>
    <w:rsid w:val="00DB6C15"/>
    <w:rsid w:val="00DB70A8"/>
    <w:rsid w:val="00DB738E"/>
    <w:rsid w:val="00DB7B04"/>
    <w:rsid w:val="00DB7F89"/>
    <w:rsid w:val="00DC01B8"/>
    <w:rsid w:val="00DC07C0"/>
    <w:rsid w:val="00DC0B70"/>
    <w:rsid w:val="00DC0DB6"/>
    <w:rsid w:val="00DC1720"/>
    <w:rsid w:val="00DC18DC"/>
    <w:rsid w:val="00DC2838"/>
    <w:rsid w:val="00DC3174"/>
    <w:rsid w:val="00DC4891"/>
    <w:rsid w:val="00DC4EF5"/>
    <w:rsid w:val="00DC53DA"/>
    <w:rsid w:val="00DC58BA"/>
    <w:rsid w:val="00DC5938"/>
    <w:rsid w:val="00DC5AA7"/>
    <w:rsid w:val="00DC715F"/>
    <w:rsid w:val="00DC761D"/>
    <w:rsid w:val="00DD0BF5"/>
    <w:rsid w:val="00DD0D5F"/>
    <w:rsid w:val="00DD109F"/>
    <w:rsid w:val="00DD12DF"/>
    <w:rsid w:val="00DD1973"/>
    <w:rsid w:val="00DD2C9F"/>
    <w:rsid w:val="00DD2F90"/>
    <w:rsid w:val="00DD30C0"/>
    <w:rsid w:val="00DD4060"/>
    <w:rsid w:val="00DD48B9"/>
    <w:rsid w:val="00DD4A79"/>
    <w:rsid w:val="00DD53F8"/>
    <w:rsid w:val="00DD550D"/>
    <w:rsid w:val="00DD57E6"/>
    <w:rsid w:val="00DD5CC8"/>
    <w:rsid w:val="00DD5D7F"/>
    <w:rsid w:val="00DD6C9D"/>
    <w:rsid w:val="00DD7AA3"/>
    <w:rsid w:val="00DE080B"/>
    <w:rsid w:val="00DE1E52"/>
    <w:rsid w:val="00DE375B"/>
    <w:rsid w:val="00DE39F2"/>
    <w:rsid w:val="00DE443F"/>
    <w:rsid w:val="00DE4699"/>
    <w:rsid w:val="00DE5881"/>
    <w:rsid w:val="00DE5B58"/>
    <w:rsid w:val="00DE652A"/>
    <w:rsid w:val="00DE7927"/>
    <w:rsid w:val="00DF0181"/>
    <w:rsid w:val="00DF0DB1"/>
    <w:rsid w:val="00DF13A8"/>
    <w:rsid w:val="00DF152F"/>
    <w:rsid w:val="00DF19DD"/>
    <w:rsid w:val="00DF25FC"/>
    <w:rsid w:val="00DF28DE"/>
    <w:rsid w:val="00DF3BD1"/>
    <w:rsid w:val="00DF3F51"/>
    <w:rsid w:val="00DF42D6"/>
    <w:rsid w:val="00DF4EB3"/>
    <w:rsid w:val="00DF5D25"/>
    <w:rsid w:val="00DF704F"/>
    <w:rsid w:val="00DF71B0"/>
    <w:rsid w:val="00DF77B1"/>
    <w:rsid w:val="00E00686"/>
    <w:rsid w:val="00E010E4"/>
    <w:rsid w:val="00E01ED0"/>
    <w:rsid w:val="00E0205B"/>
    <w:rsid w:val="00E032DA"/>
    <w:rsid w:val="00E04E2D"/>
    <w:rsid w:val="00E05D80"/>
    <w:rsid w:val="00E06CC8"/>
    <w:rsid w:val="00E06F71"/>
    <w:rsid w:val="00E07857"/>
    <w:rsid w:val="00E07AD9"/>
    <w:rsid w:val="00E07E03"/>
    <w:rsid w:val="00E10344"/>
    <w:rsid w:val="00E117E4"/>
    <w:rsid w:val="00E13D62"/>
    <w:rsid w:val="00E13FC0"/>
    <w:rsid w:val="00E15249"/>
    <w:rsid w:val="00E15280"/>
    <w:rsid w:val="00E15ACF"/>
    <w:rsid w:val="00E162C3"/>
    <w:rsid w:val="00E16515"/>
    <w:rsid w:val="00E16AD0"/>
    <w:rsid w:val="00E16C23"/>
    <w:rsid w:val="00E16C98"/>
    <w:rsid w:val="00E16CCB"/>
    <w:rsid w:val="00E2018E"/>
    <w:rsid w:val="00E21BA2"/>
    <w:rsid w:val="00E22386"/>
    <w:rsid w:val="00E224C8"/>
    <w:rsid w:val="00E23358"/>
    <w:rsid w:val="00E2343D"/>
    <w:rsid w:val="00E23A98"/>
    <w:rsid w:val="00E2460C"/>
    <w:rsid w:val="00E26E36"/>
    <w:rsid w:val="00E26EA3"/>
    <w:rsid w:val="00E27186"/>
    <w:rsid w:val="00E27381"/>
    <w:rsid w:val="00E27677"/>
    <w:rsid w:val="00E278DE"/>
    <w:rsid w:val="00E27AD0"/>
    <w:rsid w:val="00E307A8"/>
    <w:rsid w:val="00E30A4B"/>
    <w:rsid w:val="00E31451"/>
    <w:rsid w:val="00E3200A"/>
    <w:rsid w:val="00E32368"/>
    <w:rsid w:val="00E3291D"/>
    <w:rsid w:val="00E32A52"/>
    <w:rsid w:val="00E32DC9"/>
    <w:rsid w:val="00E32EBB"/>
    <w:rsid w:val="00E33096"/>
    <w:rsid w:val="00E3398D"/>
    <w:rsid w:val="00E33E61"/>
    <w:rsid w:val="00E33E82"/>
    <w:rsid w:val="00E33F7E"/>
    <w:rsid w:val="00E35588"/>
    <w:rsid w:val="00E359E1"/>
    <w:rsid w:val="00E36444"/>
    <w:rsid w:val="00E36CD2"/>
    <w:rsid w:val="00E37969"/>
    <w:rsid w:val="00E37C49"/>
    <w:rsid w:val="00E37CFE"/>
    <w:rsid w:val="00E40324"/>
    <w:rsid w:val="00E40EA4"/>
    <w:rsid w:val="00E40FC2"/>
    <w:rsid w:val="00E40FF2"/>
    <w:rsid w:val="00E41980"/>
    <w:rsid w:val="00E41ED9"/>
    <w:rsid w:val="00E42883"/>
    <w:rsid w:val="00E42DA4"/>
    <w:rsid w:val="00E42E5F"/>
    <w:rsid w:val="00E4359B"/>
    <w:rsid w:val="00E44C88"/>
    <w:rsid w:val="00E44D23"/>
    <w:rsid w:val="00E45FB9"/>
    <w:rsid w:val="00E500CE"/>
    <w:rsid w:val="00E504DE"/>
    <w:rsid w:val="00E50916"/>
    <w:rsid w:val="00E51031"/>
    <w:rsid w:val="00E51292"/>
    <w:rsid w:val="00E51CB1"/>
    <w:rsid w:val="00E51FB9"/>
    <w:rsid w:val="00E529A5"/>
    <w:rsid w:val="00E53683"/>
    <w:rsid w:val="00E53CB5"/>
    <w:rsid w:val="00E54930"/>
    <w:rsid w:val="00E55FC4"/>
    <w:rsid w:val="00E567CF"/>
    <w:rsid w:val="00E57D66"/>
    <w:rsid w:val="00E57D7F"/>
    <w:rsid w:val="00E62B4B"/>
    <w:rsid w:val="00E62CC9"/>
    <w:rsid w:val="00E63328"/>
    <w:rsid w:val="00E6374D"/>
    <w:rsid w:val="00E63996"/>
    <w:rsid w:val="00E63A2B"/>
    <w:rsid w:val="00E63AF4"/>
    <w:rsid w:val="00E64F0F"/>
    <w:rsid w:val="00E65221"/>
    <w:rsid w:val="00E65CE7"/>
    <w:rsid w:val="00E66F07"/>
    <w:rsid w:val="00E67048"/>
    <w:rsid w:val="00E67978"/>
    <w:rsid w:val="00E67BA9"/>
    <w:rsid w:val="00E67C12"/>
    <w:rsid w:val="00E72302"/>
    <w:rsid w:val="00E72A01"/>
    <w:rsid w:val="00E72C2F"/>
    <w:rsid w:val="00E72E9A"/>
    <w:rsid w:val="00E73BCB"/>
    <w:rsid w:val="00E73BCF"/>
    <w:rsid w:val="00E752D1"/>
    <w:rsid w:val="00E75516"/>
    <w:rsid w:val="00E772DE"/>
    <w:rsid w:val="00E77AA1"/>
    <w:rsid w:val="00E80155"/>
    <w:rsid w:val="00E8120E"/>
    <w:rsid w:val="00E81CD7"/>
    <w:rsid w:val="00E81E1E"/>
    <w:rsid w:val="00E82209"/>
    <w:rsid w:val="00E83262"/>
    <w:rsid w:val="00E84735"/>
    <w:rsid w:val="00E84867"/>
    <w:rsid w:val="00E84D79"/>
    <w:rsid w:val="00E850F6"/>
    <w:rsid w:val="00E8545C"/>
    <w:rsid w:val="00E8562A"/>
    <w:rsid w:val="00E86282"/>
    <w:rsid w:val="00E86749"/>
    <w:rsid w:val="00E86E39"/>
    <w:rsid w:val="00E87DD1"/>
    <w:rsid w:val="00E90256"/>
    <w:rsid w:val="00E90790"/>
    <w:rsid w:val="00E91655"/>
    <w:rsid w:val="00E91F0E"/>
    <w:rsid w:val="00E9245B"/>
    <w:rsid w:val="00E92FEE"/>
    <w:rsid w:val="00E94A89"/>
    <w:rsid w:val="00E94E07"/>
    <w:rsid w:val="00E94EDB"/>
    <w:rsid w:val="00E9587D"/>
    <w:rsid w:val="00E95951"/>
    <w:rsid w:val="00E95FB7"/>
    <w:rsid w:val="00E972E4"/>
    <w:rsid w:val="00E974A3"/>
    <w:rsid w:val="00E97943"/>
    <w:rsid w:val="00E97972"/>
    <w:rsid w:val="00EA037D"/>
    <w:rsid w:val="00EA0A28"/>
    <w:rsid w:val="00EA1300"/>
    <w:rsid w:val="00EA13D8"/>
    <w:rsid w:val="00EA1417"/>
    <w:rsid w:val="00EA3413"/>
    <w:rsid w:val="00EA3BFB"/>
    <w:rsid w:val="00EA3CFB"/>
    <w:rsid w:val="00EA4AC2"/>
    <w:rsid w:val="00EA4B67"/>
    <w:rsid w:val="00EA4BB1"/>
    <w:rsid w:val="00EA4C62"/>
    <w:rsid w:val="00EA5EB2"/>
    <w:rsid w:val="00EA601D"/>
    <w:rsid w:val="00EA63EA"/>
    <w:rsid w:val="00EA6B51"/>
    <w:rsid w:val="00EA6C4E"/>
    <w:rsid w:val="00EA6D6D"/>
    <w:rsid w:val="00EA7A1C"/>
    <w:rsid w:val="00EA7BD8"/>
    <w:rsid w:val="00EA7EA2"/>
    <w:rsid w:val="00EB01EF"/>
    <w:rsid w:val="00EB032F"/>
    <w:rsid w:val="00EB09A3"/>
    <w:rsid w:val="00EB0ABA"/>
    <w:rsid w:val="00EB0D4D"/>
    <w:rsid w:val="00EB131A"/>
    <w:rsid w:val="00EB1624"/>
    <w:rsid w:val="00EB1740"/>
    <w:rsid w:val="00EB1A35"/>
    <w:rsid w:val="00EB1ABF"/>
    <w:rsid w:val="00EB1D65"/>
    <w:rsid w:val="00EB1EAA"/>
    <w:rsid w:val="00EB23DF"/>
    <w:rsid w:val="00EB25CD"/>
    <w:rsid w:val="00EB264E"/>
    <w:rsid w:val="00EB2ABB"/>
    <w:rsid w:val="00EB3F62"/>
    <w:rsid w:val="00EB4366"/>
    <w:rsid w:val="00EB4417"/>
    <w:rsid w:val="00EB47C8"/>
    <w:rsid w:val="00EB51F9"/>
    <w:rsid w:val="00EB52BA"/>
    <w:rsid w:val="00EB610D"/>
    <w:rsid w:val="00EB64E7"/>
    <w:rsid w:val="00EB67EC"/>
    <w:rsid w:val="00EB687C"/>
    <w:rsid w:val="00EB69D4"/>
    <w:rsid w:val="00EB7A2E"/>
    <w:rsid w:val="00EB9F5F"/>
    <w:rsid w:val="00EC0007"/>
    <w:rsid w:val="00EC06EC"/>
    <w:rsid w:val="00EC0A1F"/>
    <w:rsid w:val="00EC14E9"/>
    <w:rsid w:val="00EC2335"/>
    <w:rsid w:val="00EC26B9"/>
    <w:rsid w:val="00EC2B47"/>
    <w:rsid w:val="00EC2C97"/>
    <w:rsid w:val="00EC2F9E"/>
    <w:rsid w:val="00EC3529"/>
    <w:rsid w:val="00EC48B3"/>
    <w:rsid w:val="00EC56CD"/>
    <w:rsid w:val="00EC5CD1"/>
    <w:rsid w:val="00EC613E"/>
    <w:rsid w:val="00EC684A"/>
    <w:rsid w:val="00EC6D73"/>
    <w:rsid w:val="00EC789D"/>
    <w:rsid w:val="00EC7BFD"/>
    <w:rsid w:val="00ED2F5C"/>
    <w:rsid w:val="00ED4060"/>
    <w:rsid w:val="00ED43B9"/>
    <w:rsid w:val="00ED460B"/>
    <w:rsid w:val="00ED46F1"/>
    <w:rsid w:val="00ED56BD"/>
    <w:rsid w:val="00ED6960"/>
    <w:rsid w:val="00ED69C1"/>
    <w:rsid w:val="00ED6B8C"/>
    <w:rsid w:val="00ED7DF0"/>
    <w:rsid w:val="00EE000F"/>
    <w:rsid w:val="00EE0299"/>
    <w:rsid w:val="00EE06B3"/>
    <w:rsid w:val="00EE0A67"/>
    <w:rsid w:val="00EE0BCA"/>
    <w:rsid w:val="00EE0E0D"/>
    <w:rsid w:val="00EE13E0"/>
    <w:rsid w:val="00EE140F"/>
    <w:rsid w:val="00EE3AF6"/>
    <w:rsid w:val="00EE4000"/>
    <w:rsid w:val="00EE4427"/>
    <w:rsid w:val="00EE5246"/>
    <w:rsid w:val="00EE5A56"/>
    <w:rsid w:val="00EE71DF"/>
    <w:rsid w:val="00EF0490"/>
    <w:rsid w:val="00EF05A5"/>
    <w:rsid w:val="00EF0BD5"/>
    <w:rsid w:val="00EF0F95"/>
    <w:rsid w:val="00EF1031"/>
    <w:rsid w:val="00EF18FD"/>
    <w:rsid w:val="00EF1CD2"/>
    <w:rsid w:val="00EF2006"/>
    <w:rsid w:val="00EF2D79"/>
    <w:rsid w:val="00EF2F43"/>
    <w:rsid w:val="00EF2FE3"/>
    <w:rsid w:val="00EF37A8"/>
    <w:rsid w:val="00EF38B4"/>
    <w:rsid w:val="00EF3F6A"/>
    <w:rsid w:val="00EF4824"/>
    <w:rsid w:val="00EF5B2D"/>
    <w:rsid w:val="00EF5EAA"/>
    <w:rsid w:val="00EF6320"/>
    <w:rsid w:val="00EF6B1A"/>
    <w:rsid w:val="00EF6FEE"/>
    <w:rsid w:val="00EF7656"/>
    <w:rsid w:val="00EF794A"/>
    <w:rsid w:val="00EF7A73"/>
    <w:rsid w:val="00EF7F68"/>
    <w:rsid w:val="00F00156"/>
    <w:rsid w:val="00F00510"/>
    <w:rsid w:val="00F00D6E"/>
    <w:rsid w:val="00F02368"/>
    <w:rsid w:val="00F024D2"/>
    <w:rsid w:val="00F03E63"/>
    <w:rsid w:val="00F04897"/>
    <w:rsid w:val="00F04BAF"/>
    <w:rsid w:val="00F0523B"/>
    <w:rsid w:val="00F0649D"/>
    <w:rsid w:val="00F0726F"/>
    <w:rsid w:val="00F10369"/>
    <w:rsid w:val="00F10631"/>
    <w:rsid w:val="00F10762"/>
    <w:rsid w:val="00F11CE0"/>
    <w:rsid w:val="00F11D3C"/>
    <w:rsid w:val="00F11FAD"/>
    <w:rsid w:val="00F12995"/>
    <w:rsid w:val="00F133D3"/>
    <w:rsid w:val="00F141C8"/>
    <w:rsid w:val="00F14D1D"/>
    <w:rsid w:val="00F1540E"/>
    <w:rsid w:val="00F15FEC"/>
    <w:rsid w:val="00F16C6F"/>
    <w:rsid w:val="00F173E9"/>
    <w:rsid w:val="00F1740F"/>
    <w:rsid w:val="00F2029F"/>
    <w:rsid w:val="00F215E8"/>
    <w:rsid w:val="00F21B23"/>
    <w:rsid w:val="00F22B5E"/>
    <w:rsid w:val="00F23099"/>
    <w:rsid w:val="00F232EB"/>
    <w:rsid w:val="00F23AD4"/>
    <w:rsid w:val="00F23BB7"/>
    <w:rsid w:val="00F23BDB"/>
    <w:rsid w:val="00F23C50"/>
    <w:rsid w:val="00F24A12"/>
    <w:rsid w:val="00F24CA0"/>
    <w:rsid w:val="00F25A68"/>
    <w:rsid w:val="00F269F8"/>
    <w:rsid w:val="00F2716B"/>
    <w:rsid w:val="00F27294"/>
    <w:rsid w:val="00F27631"/>
    <w:rsid w:val="00F2767C"/>
    <w:rsid w:val="00F27B0D"/>
    <w:rsid w:val="00F27B23"/>
    <w:rsid w:val="00F30078"/>
    <w:rsid w:val="00F30C93"/>
    <w:rsid w:val="00F31398"/>
    <w:rsid w:val="00F322F8"/>
    <w:rsid w:val="00F32828"/>
    <w:rsid w:val="00F330FF"/>
    <w:rsid w:val="00F3423B"/>
    <w:rsid w:val="00F35BEA"/>
    <w:rsid w:val="00F364EC"/>
    <w:rsid w:val="00F36573"/>
    <w:rsid w:val="00F37425"/>
    <w:rsid w:val="00F40A40"/>
    <w:rsid w:val="00F40B14"/>
    <w:rsid w:val="00F40C2D"/>
    <w:rsid w:val="00F411B6"/>
    <w:rsid w:val="00F41AB0"/>
    <w:rsid w:val="00F41C23"/>
    <w:rsid w:val="00F41FA7"/>
    <w:rsid w:val="00F4250B"/>
    <w:rsid w:val="00F4276B"/>
    <w:rsid w:val="00F42BFB"/>
    <w:rsid w:val="00F42F4F"/>
    <w:rsid w:val="00F4344F"/>
    <w:rsid w:val="00F43CB0"/>
    <w:rsid w:val="00F440AA"/>
    <w:rsid w:val="00F44501"/>
    <w:rsid w:val="00F44700"/>
    <w:rsid w:val="00F451D8"/>
    <w:rsid w:val="00F45580"/>
    <w:rsid w:val="00F4601F"/>
    <w:rsid w:val="00F4659A"/>
    <w:rsid w:val="00F46681"/>
    <w:rsid w:val="00F467B3"/>
    <w:rsid w:val="00F47729"/>
    <w:rsid w:val="00F47BE8"/>
    <w:rsid w:val="00F50E16"/>
    <w:rsid w:val="00F511A6"/>
    <w:rsid w:val="00F512D3"/>
    <w:rsid w:val="00F51D76"/>
    <w:rsid w:val="00F51F2C"/>
    <w:rsid w:val="00F52633"/>
    <w:rsid w:val="00F527E5"/>
    <w:rsid w:val="00F52FE4"/>
    <w:rsid w:val="00F53129"/>
    <w:rsid w:val="00F535AA"/>
    <w:rsid w:val="00F536AF"/>
    <w:rsid w:val="00F537D3"/>
    <w:rsid w:val="00F5387C"/>
    <w:rsid w:val="00F538CD"/>
    <w:rsid w:val="00F5475C"/>
    <w:rsid w:val="00F549FA"/>
    <w:rsid w:val="00F5545D"/>
    <w:rsid w:val="00F57159"/>
    <w:rsid w:val="00F57516"/>
    <w:rsid w:val="00F57CFD"/>
    <w:rsid w:val="00F59BC8"/>
    <w:rsid w:val="00F612DF"/>
    <w:rsid w:val="00F61D88"/>
    <w:rsid w:val="00F620C5"/>
    <w:rsid w:val="00F620ED"/>
    <w:rsid w:val="00F62113"/>
    <w:rsid w:val="00F621E1"/>
    <w:rsid w:val="00F62E53"/>
    <w:rsid w:val="00F62EB0"/>
    <w:rsid w:val="00F634F5"/>
    <w:rsid w:val="00F63521"/>
    <w:rsid w:val="00F6361D"/>
    <w:rsid w:val="00F63BDE"/>
    <w:rsid w:val="00F641D3"/>
    <w:rsid w:val="00F64741"/>
    <w:rsid w:val="00F64A5C"/>
    <w:rsid w:val="00F66D69"/>
    <w:rsid w:val="00F70F8B"/>
    <w:rsid w:val="00F71D33"/>
    <w:rsid w:val="00F71ECC"/>
    <w:rsid w:val="00F72234"/>
    <w:rsid w:val="00F724A7"/>
    <w:rsid w:val="00F72C75"/>
    <w:rsid w:val="00F72E27"/>
    <w:rsid w:val="00F73C66"/>
    <w:rsid w:val="00F75C85"/>
    <w:rsid w:val="00F766AE"/>
    <w:rsid w:val="00F76E56"/>
    <w:rsid w:val="00F7787F"/>
    <w:rsid w:val="00F77EAA"/>
    <w:rsid w:val="00F77FCE"/>
    <w:rsid w:val="00F814CC"/>
    <w:rsid w:val="00F82E1F"/>
    <w:rsid w:val="00F82F8D"/>
    <w:rsid w:val="00F832D1"/>
    <w:rsid w:val="00F83719"/>
    <w:rsid w:val="00F84493"/>
    <w:rsid w:val="00F850B9"/>
    <w:rsid w:val="00F8529A"/>
    <w:rsid w:val="00F8611F"/>
    <w:rsid w:val="00F862CA"/>
    <w:rsid w:val="00F8728B"/>
    <w:rsid w:val="00F87407"/>
    <w:rsid w:val="00F875F6"/>
    <w:rsid w:val="00F87627"/>
    <w:rsid w:val="00F876D8"/>
    <w:rsid w:val="00F904E5"/>
    <w:rsid w:val="00F90C80"/>
    <w:rsid w:val="00F914A4"/>
    <w:rsid w:val="00F915E4"/>
    <w:rsid w:val="00F91BDB"/>
    <w:rsid w:val="00F91FEF"/>
    <w:rsid w:val="00F924DC"/>
    <w:rsid w:val="00F93255"/>
    <w:rsid w:val="00F939A1"/>
    <w:rsid w:val="00F94351"/>
    <w:rsid w:val="00F94658"/>
    <w:rsid w:val="00F94E05"/>
    <w:rsid w:val="00F9546E"/>
    <w:rsid w:val="00F95F4E"/>
    <w:rsid w:val="00F97861"/>
    <w:rsid w:val="00F979BD"/>
    <w:rsid w:val="00F97FB1"/>
    <w:rsid w:val="00FA00CA"/>
    <w:rsid w:val="00FA0296"/>
    <w:rsid w:val="00FA0956"/>
    <w:rsid w:val="00FA122F"/>
    <w:rsid w:val="00FA1F69"/>
    <w:rsid w:val="00FA287D"/>
    <w:rsid w:val="00FA2E58"/>
    <w:rsid w:val="00FA3393"/>
    <w:rsid w:val="00FA3436"/>
    <w:rsid w:val="00FA4400"/>
    <w:rsid w:val="00FA4CD5"/>
    <w:rsid w:val="00FA544A"/>
    <w:rsid w:val="00FA54FE"/>
    <w:rsid w:val="00FA5BB2"/>
    <w:rsid w:val="00FA5D11"/>
    <w:rsid w:val="00FA68B3"/>
    <w:rsid w:val="00FA6A98"/>
    <w:rsid w:val="00FA7B74"/>
    <w:rsid w:val="00FA7D25"/>
    <w:rsid w:val="00FB367D"/>
    <w:rsid w:val="00FB4260"/>
    <w:rsid w:val="00FB457B"/>
    <w:rsid w:val="00FB5233"/>
    <w:rsid w:val="00FB52A3"/>
    <w:rsid w:val="00FB581B"/>
    <w:rsid w:val="00FB5C29"/>
    <w:rsid w:val="00FB5F1D"/>
    <w:rsid w:val="00FB6899"/>
    <w:rsid w:val="00FB725C"/>
    <w:rsid w:val="00FB7CD9"/>
    <w:rsid w:val="00FB7E18"/>
    <w:rsid w:val="00FC080B"/>
    <w:rsid w:val="00FC0A21"/>
    <w:rsid w:val="00FC0C24"/>
    <w:rsid w:val="00FC113B"/>
    <w:rsid w:val="00FC2DFE"/>
    <w:rsid w:val="00FC2EC5"/>
    <w:rsid w:val="00FC3785"/>
    <w:rsid w:val="00FC38BC"/>
    <w:rsid w:val="00FC3D2A"/>
    <w:rsid w:val="00FC3E6D"/>
    <w:rsid w:val="00FC3FFD"/>
    <w:rsid w:val="00FC4617"/>
    <w:rsid w:val="00FC4A3E"/>
    <w:rsid w:val="00FC508A"/>
    <w:rsid w:val="00FC5A0D"/>
    <w:rsid w:val="00FC5E09"/>
    <w:rsid w:val="00FC60E9"/>
    <w:rsid w:val="00FC6217"/>
    <w:rsid w:val="00FC67E5"/>
    <w:rsid w:val="00FC7A8F"/>
    <w:rsid w:val="00FC7C17"/>
    <w:rsid w:val="00FC7DB3"/>
    <w:rsid w:val="00FD025D"/>
    <w:rsid w:val="00FD0722"/>
    <w:rsid w:val="00FD0BC5"/>
    <w:rsid w:val="00FD1EFB"/>
    <w:rsid w:val="00FD235D"/>
    <w:rsid w:val="00FD27D8"/>
    <w:rsid w:val="00FD2836"/>
    <w:rsid w:val="00FD2904"/>
    <w:rsid w:val="00FD2B6F"/>
    <w:rsid w:val="00FD2BFB"/>
    <w:rsid w:val="00FD2D6A"/>
    <w:rsid w:val="00FD2EE8"/>
    <w:rsid w:val="00FD35FF"/>
    <w:rsid w:val="00FD369B"/>
    <w:rsid w:val="00FD4707"/>
    <w:rsid w:val="00FD49C2"/>
    <w:rsid w:val="00FD4C12"/>
    <w:rsid w:val="00FD4EE6"/>
    <w:rsid w:val="00FD56B6"/>
    <w:rsid w:val="00FD5B97"/>
    <w:rsid w:val="00FD69EB"/>
    <w:rsid w:val="00FD740A"/>
    <w:rsid w:val="00FD7B64"/>
    <w:rsid w:val="00FE023F"/>
    <w:rsid w:val="00FE0251"/>
    <w:rsid w:val="00FE07EB"/>
    <w:rsid w:val="00FE08B8"/>
    <w:rsid w:val="00FE08FC"/>
    <w:rsid w:val="00FE0A95"/>
    <w:rsid w:val="00FE0CF2"/>
    <w:rsid w:val="00FE1EAD"/>
    <w:rsid w:val="00FE24A6"/>
    <w:rsid w:val="00FE400B"/>
    <w:rsid w:val="00FE4195"/>
    <w:rsid w:val="00FE591E"/>
    <w:rsid w:val="00FE77BB"/>
    <w:rsid w:val="00FE7AED"/>
    <w:rsid w:val="00FE7F5C"/>
    <w:rsid w:val="00FF0095"/>
    <w:rsid w:val="00FF032A"/>
    <w:rsid w:val="00FF09A1"/>
    <w:rsid w:val="00FF19E0"/>
    <w:rsid w:val="00FF1B4A"/>
    <w:rsid w:val="00FF2615"/>
    <w:rsid w:val="00FF272D"/>
    <w:rsid w:val="00FF2932"/>
    <w:rsid w:val="00FF2DEE"/>
    <w:rsid w:val="00FF35BF"/>
    <w:rsid w:val="00FF4C79"/>
    <w:rsid w:val="00FF4F5C"/>
    <w:rsid w:val="00FF5051"/>
    <w:rsid w:val="00FF5B84"/>
    <w:rsid w:val="00FF5CBD"/>
    <w:rsid w:val="00FF5E90"/>
    <w:rsid w:val="00FF6293"/>
    <w:rsid w:val="00FF6330"/>
    <w:rsid w:val="0109996D"/>
    <w:rsid w:val="0114E9B5"/>
    <w:rsid w:val="011DA089"/>
    <w:rsid w:val="013175AE"/>
    <w:rsid w:val="0139BBC2"/>
    <w:rsid w:val="01606246"/>
    <w:rsid w:val="01623F52"/>
    <w:rsid w:val="01DA169D"/>
    <w:rsid w:val="01FA67C9"/>
    <w:rsid w:val="0203DAD6"/>
    <w:rsid w:val="0251FA8F"/>
    <w:rsid w:val="02D66848"/>
    <w:rsid w:val="02F38121"/>
    <w:rsid w:val="02F71F47"/>
    <w:rsid w:val="02FA99C6"/>
    <w:rsid w:val="030391DD"/>
    <w:rsid w:val="0304C464"/>
    <w:rsid w:val="031F104D"/>
    <w:rsid w:val="0337D888"/>
    <w:rsid w:val="036D5E2F"/>
    <w:rsid w:val="0377B49D"/>
    <w:rsid w:val="03855446"/>
    <w:rsid w:val="038E7BDA"/>
    <w:rsid w:val="0397BA4C"/>
    <w:rsid w:val="03A1E395"/>
    <w:rsid w:val="03C9BFD6"/>
    <w:rsid w:val="03E87304"/>
    <w:rsid w:val="03F32CAE"/>
    <w:rsid w:val="03FAE27A"/>
    <w:rsid w:val="04343413"/>
    <w:rsid w:val="0444D0B8"/>
    <w:rsid w:val="04493425"/>
    <w:rsid w:val="045779D6"/>
    <w:rsid w:val="047D15A3"/>
    <w:rsid w:val="049CFB9B"/>
    <w:rsid w:val="04ED698A"/>
    <w:rsid w:val="050E8B65"/>
    <w:rsid w:val="05347626"/>
    <w:rsid w:val="05419E56"/>
    <w:rsid w:val="05450C8F"/>
    <w:rsid w:val="05501639"/>
    <w:rsid w:val="0552C576"/>
    <w:rsid w:val="05BEEB00"/>
    <w:rsid w:val="05F5A438"/>
    <w:rsid w:val="0600119A"/>
    <w:rsid w:val="06093EC4"/>
    <w:rsid w:val="0625CABD"/>
    <w:rsid w:val="06735251"/>
    <w:rsid w:val="06C73BB2"/>
    <w:rsid w:val="06FBD1E8"/>
    <w:rsid w:val="07498C31"/>
    <w:rsid w:val="07A0E629"/>
    <w:rsid w:val="07C37461"/>
    <w:rsid w:val="07D6C055"/>
    <w:rsid w:val="07E411C7"/>
    <w:rsid w:val="07EEB9C2"/>
    <w:rsid w:val="0887FB09"/>
    <w:rsid w:val="08893D13"/>
    <w:rsid w:val="0893755F"/>
    <w:rsid w:val="08A4A9ED"/>
    <w:rsid w:val="08C8C19C"/>
    <w:rsid w:val="08CDBB83"/>
    <w:rsid w:val="08F5F44A"/>
    <w:rsid w:val="09009BD8"/>
    <w:rsid w:val="090A1D62"/>
    <w:rsid w:val="0936E813"/>
    <w:rsid w:val="09B14670"/>
    <w:rsid w:val="09B862BE"/>
    <w:rsid w:val="0A0F31C4"/>
    <w:rsid w:val="0A8049B4"/>
    <w:rsid w:val="0A9742A2"/>
    <w:rsid w:val="0AA0499D"/>
    <w:rsid w:val="0B2F27F0"/>
    <w:rsid w:val="0B4E3F24"/>
    <w:rsid w:val="0B540CD4"/>
    <w:rsid w:val="0B7FF59D"/>
    <w:rsid w:val="0B877CB5"/>
    <w:rsid w:val="0BAA330F"/>
    <w:rsid w:val="0BB8B7E5"/>
    <w:rsid w:val="0BCC3CE3"/>
    <w:rsid w:val="0BD0B152"/>
    <w:rsid w:val="0BF318FE"/>
    <w:rsid w:val="0C0E468C"/>
    <w:rsid w:val="0C10719B"/>
    <w:rsid w:val="0C157570"/>
    <w:rsid w:val="0C2C2C4D"/>
    <w:rsid w:val="0C37E460"/>
    <w:rsid w:val="0C5147F8"/>
    <w:rsid w:val="0C585ED3"/>
    <w:rsid w:val="0C702E37"/>
    <w:rsid w:val="0C73826B"/>
    <w:rsid w:val="0CD39CED"/>
    <w:rsid w:val="0CF81D3A"/>
    <w:rsid w:val="0D0B24FA"/>
    <w:rsid w:val="0D1B2B32"/>
    <w:rsid w:val="0D37B72B"/>
    <w:rsid w:val="0D3C47B4"/>
    <w:rsid w:val="0D7A628B"/>
    <w:rsid w:val="0D7EB1EB"/>
    <w:rsid w:val="0D953EFF"/>
    <w:rsid w:val="0DA57141"/>
    <w:rsid w:val="0DD7D988"/>
    <w:rsid w:val="0DE1565B"/>
    <w:rsid w:val="0DFF78BB"/>
    <w:rsid w:val="0E2CE18E"/>
    <w:rsid w:val="0E9479E5"/>
    <w:rsid w:val="0EA75A02"/>
    <w:rsid w:val="0EE13C59"/>
    <w:rsid w:val="0F15C1BF"/>
    <w:rsid w:val="0F72727B"/>
    <w:rsid w:val="0F782FF6"/>
    <w:rsid w:val="0F7E341D"/>
    <w:rsid w:val="0F9FE398"/>
    <w:rsid w:val="0FCAA706"/>
    <w:rsid w:val="0FD8F96A"/>
    <w:rsid w:val="0FDA285A"/>
    <w:rsid w:val="0FDFA893"/>
    <w:rsid w:val="0FE732FF"/>
    <w:rsid w:val="101C6974"/>
    <w:rsid w:val="103E5DEF"/>
    <w:rsid w:val="10481542"/>
    <w:rsid w:val="10A6E11D"/>
    <w:rsid w:val="10AD6CE2"/>
    <w:rsid w:val="10CDAC63"/>
    <w:rsid w:val="10D59C44"/>
    <w:rsid w:val="10E4D7C6"/>
    <w:rsid w:val="113B7FE2"/>
    <w:rsid w:val="119DBCF6"/>
    <w:rsid w:val="11E05473"/>
    <w:rsid w:val="1215109A"/>
    <w:rsid w:val="122D3CD8"/>
    <w:rsid w:val="122EADE1"/>
    <w:rsid w:val="1266E958"/>
    <w:rsid w:val="1271FD06"/>
    <w:rsid w:val="1297EB67"/>
    <w:rsid w:val="12AC1929"/>
    <w:rsid w:val="12C9041A"/>
    <w:rsid w:val="12CC3AB5"/>
    <w:rsid w:val="12CE998B"/>
    <w:rsid w:val="12D916AB"/>
    <w:rsid w:val="13155BAF"/>
    <w:rsid w:val="132FDFF8"/>
    <w:rsid w:val="133189BF"/>
    <w:rsid w:val="133FA2AD"/>
    <w:rsid w:val="134B0B1C"/>
    <w:rsid w:val="13819D9C"/>
    <w:rsid w:val="138EF8A8"/>
    <w:rsid w:val="13DFD920"/>
    <w:rsid w:val="142A5B8D"/>
    <w:rsid w:val="14416688"/>
    <w:rsid w:val="14516751"/>
    <w:rsid w:val="1488C986"/>
    <w:rsid w:val="14909808"/>
    <w:rsid w:val="1496F5B8"/>
    <w:rsid w:val="14ED05A4"/>
    <w:rsid w:val="14F94A2D"/>
    <w:rsid w:val="14FD7978"/>
    <w:rsid w:val="151B8665"/>
    <w:rsid w:val="1530FC70"/>
    <w:rsid w:val="15618D5C"/>
    <w:rsid w:val="158B6E02"/>
    <w:rsid w:val="158C2664"/>
    <w:rsid w:val="15996FE0"/>
    <w:rsid w:val="1623F440"/>
    <w:rsid w:val="164071C7"/>
    <w:rsid w:val="166898D1"/>
    <w:rsid w:val="16D5F07A"/>
    <w:rsid w:val="16D8FE27"/>
    <w:rsid w:val="16F0D3EA"/>
    <w:rsid w:val="1727391E"/>
    <w:rsid w:val="172969A7"/>
    <w:rsid w:val="173378E3"/>
    <w:rsid w:val="173B3398"/>
    <w:rsid w:val="1775D91B"/>
    <w:rsid w:val="17B86C44"/>
    <w:rsid w:val="17BCF957"/>
    <w:rsid w:val="17DCD6A8"/>
    <w:rsid w:val="17E8FFA3"/>
    <w:rsid w:val="17EF7CDD"/>
    <w:rsid w:val="17F49ED4"/>
    <w:rsid w:val="18737966"/>
    <w:rsid w:val="18C84DBA"/>
    <w:rsid w:val="18EA6BD0"/>
    <w:rsid w:val="18F7D636"/>
    <w:rsid w:val="18FCD320"/>
    <w:rsid w:val="19192F9E"/>
    <w:rsid w:val="191EBD6F"/>
    <w:rsid w:val="19AEABBB"/>
    <w:rsid w:val="1A04A064"/>
    <w:rsid w:val="1A21F0F7"/>
    <w:rsid w:val="1A479E36"/>
    <w:rsid w:val="1A583581"/>
    <w:rsid w:val="1AB3D10F"/>
    <w:rsid w:val="1AEEA2A5"/>
    <w:rsid w:val="1B13C426"/>
    <w:rsid w:val="1B1B22DE"/>
    <w:rsid w:val="1B1B7566"/>
    <w:rsid w:val="1B1E5EBE"/>
    <w:rsid w:val="1B2FAB44"/>
    <w:rsid w:val="1B34AF19"/>
    <w:rsid w:val="1B42E04A"/>
    <w:rsid w:val="1B5DA9CE"/>
    <w:rsid w:val="1B919F75"/>
    <w:rsid w:val="1BE3FC02"/>
    <w:rsid w:val="1C227B12"/>
    <w:rsid w:val="1C9534C0"/>
    <w:rsid w:val="1CC98444"/>
    <w:rsid w:val="1CDB55B6"/>
    <w:rsid w:val="1CDDBD33"/>
    <w:rsid w:val="1CEC62A5"/>
    <w:rsid w:val="1CF50D79"/>
    <w:rsid w:val="1D06F177"/>
    <w:rsid w:val="1D4787B0"/>
    <w:rsid w:val="1DE8D45C"/>
    <w:rsid w:val="1E107119"/>
    <w:rsid w:val="1E13127E"/>
    <w:rsid w:val="1E25BAD2"/>
    <w:rsid w:val="1E26891D"/>
    <w:rsid w:val="1E59FA94"/>
    <w:rsid w:val="1E9F66FF"/>
    <w:rsid w:val="1EBD21E8"/>
    <w:rsid w:val="1F0DF204"/>
    <w:rsid w:val="1F422514"/>
    <w:rsid w:val="1F42E2D7"/>
    <w:rsid w:val="1FBA9CEC"/>
    <w:rsid w:val="200A6BCB"/>
    <w:rsid w:val="203A9C0E"/>
    <w:rsid w:val="20CB7A58"/>
    <w:rsid w:val="21156569"/>
    <w:rsid w:val="2126CE12"/>
    <w:rsid w:val="215076CE"/>
    <w:rsid w:val="21AA4991"/>
    <w:rsid w:val="21AE9408"/>
    <w:rsid w:val="21B9284C"/>
    <w:rsid w:val="21BE1584"/>
    <w:rsid w:val="21CE7A00"/>
    <w:rsid w:val="2278B2C8"/>
    <w:rsid w:val="22DC5A58"/>
    <w:rsid w:val="22E10D0D"/>
    <w:rsid w:val="230957DA"/>
    <w:rsid w:val="236E4DB4"/>
    <w:rsid w:val="23814131"/>
    <w:rsid w:val="2388C515"/>
    <w:rsid w:val="238CFD78"/>
    <w:rsid w:val="23A0C0C9"/>
    <w:rsid w:val="2401E741"/>
    <w:rsid w:val="24F6E1CE"/>
    <w:rsid w:val="250FF96F"/>
    <w:rsid w:val="2593FE05"/>
    <w:rsid w:val="259FF8F0"/>
    <w:rsid w:val="25B38AE9"/>
    <w:rsid w:val="25EB55B8"/>
    <w:rsid w:val="26386463"/>
    <w:rsid w:val="2655A7E4"/>
    <w:rsid w:val="26573F12"/>
    <w:rsid w:val="266420DD"/>
    <w:rsid w:val="267E13B4"/>
    <w:rsid w:val="26AB105C"/>
    <w:rsid w:val="26FE26FA"/>
    <w:rsid w:val="26FEA197"/>
    <w:rsid w:val="2701DC4C"/>
    <w:rsid w:val="2736134E"/>
    <w:rsid w:val="27A98FDD"/>
    <w:rsid w:val="27AD08F4"/>
    <w:rsid w:val="27BB1E05"/>
    <w:rsid w:val="28020BCA"/>
    <w:rsid w:val="280537F4"/>
    <w:rsid w:val="2836C401"/>
    <w:rsid w:val="284702B9"/>
    <w:rsid w:val="28650DC9"/>
    <w:rsid w:val="28955E8C"/>
    <w:rsid w:val="28D6B213"/>
    <w:rsid w:val="28D87D37"/>
    <w:rsid w:val="29712154"/>
    <w:rsid w:val="29744A57"/>
    <w:rsid w:val="29C420C5"/>
    <w:rsid w:val="2A109AE5"/>
    <w:rsid w:val="2A13943E"/>
    <w:rsid w:val="2A240B7C"/>
    <w:rsid w:val="2A68A4DE"/>
    <w:rsid w:val="2A7B4FE0"/>
    <w:rsid w:val="2A9A55F2"/>
    <w:rsid w:val="2AB91EC5"/>
    <w:rsid w:val="2AFB43AC"/>
    <w:rsid w:val="2B09F14C"/>
    <w:rsid w:val="2B271CEF"/>
    <w:rsid w:val="2B7F5849"/>
    <w:rsid w:val="2BB2C43A"/>
    <w:rsid w:val="2BB435D5"/>
    <w:rsid w:val="2BC20AC3"/>
    <w:rsid w:val="2BC62E80"/>
    <w:rsid w:val="2BF39EF3"/>
    <w:rsid w:val="2C665CB2"/>
    <w:rsid w:val="2C7104AD"/>
    <w:rsid w:val="2CB9B2DF"/>
    <w:rsid w:val="2CC3033B"/>
    <w:rsid w:val="2D3308CE"/>
    <w:rsid w:val="2D44EDA8"/>
    <w:rsid w:val="2D52863A"/>
    <w:rsid w:val="2D5F9D9C"/>
    <w:rsid w:val="2D689FB0"/>
    <w:rsid w:val="2D78C760"/>
    <w:rsid w:val="2DBE62B9"/>
    <w:rsid w:val="2DD89253"/>
    <w:rsid w:val="2DE14777"/>
    <w:rsid w:val="2DEB02D8"/>
    <w:rsid w:val="2DFC38C6"/>
    <w:rsid w:val="2E1E10E0"/>
    <w:rsid w:val="2E23A447"/>
    <w:rsid w:val="2E4F0E32"/>
    <w:rsid w:val="2E569E55"/>
    <w:rsid w:val="2E57F483"/>
    <w:rsid w:val="2E62E5CE"/>
    <w:rsid w:val="2E65A934"/>
    <w:rsid w:val="2E69448A"/>
    <w:rsid w:val="2E7941DB"/>
    <w:rsid w:val="2E79FCA6"/>
    <w:rsid w:val="2EEC6FDB"/>
    <w:rsid w:val="2EF2A1AE"/>
    <w:rsid w:val="2EFF1444"/>
    <w:rsid w:val="2F0E159A"/>
    <w:rsid w:val="2F251897"/>
    <w:rsid w:val="2F452696"/>
    <w:rsid w:val="2F4E45C4"/>
    <w:rsid w:val="2F8E1857"/>
    <w:rsid w:val="2FD410C2"/>
    <w:rsid w:val="307431A5"/>
    <w:rsid w:val="309F7B10"/>
    <w:rsid w:val="30B07514"/>
    <w:rsid w:val="30B38EB7"/>
    <w:rsid w:val="30CC7892"/>
    <w:rsid w:val="30D45976"/>
    <w:rsid w:val="311BCE2C"/>
    <w:rsid w:val="31281CA8"/>
    <w:rsid w:val="313CEDEC"/>
    <w:rsid w:val="316AE888"/>
    <w:rsid w:val="319B838E"/>
    <w:rsid w:val="31D45F12"/>
    <w:rsid w:val="31F77A70"/>
    <w:rsid w:val="32374160"/>
    <w:rsid w:val="3251AA89"/>
    <w:rsid w:val="325C21E1"/>
    <w:rsid w:val="329014B8"/>
    <w:rsid w:val="32C56FFA"/>
    <w:rsid w:val="32C79350"/>
    <w:rsid w:val="32F58917"/>
    <w:rsid w:val="33004A7A"/>
    <w:rsid w:val="3300E2A5"/>
    <w:rsid w:val="330C1CD5"/>
    <w:rsid w:val="3310AF61"/>
    <w:rsid w:val="3316C4D0"/>
    <w:rsid w:val="332C3E61"/>
    <w:rsid w:val="332D152B"/>
    <w:rsid w:val="3398984E"/>
    <w:rsid w:val="33B236EE"/>
    <w:rsid w:val="33BA564A"/>
    <w:rsid w:val="33EDECE0"/>
    <w:rsid w:val="33F8F34A"/>
    <w:rsid w:val="341548A0"/>
    <w:rsid w:val="3436F9CD"/>
    <w:rsid w:val="34F240FA"/>
    <w:rsid w:val="3506EC0F"/>
    <w:rsid w:val="35518C20"/>
    <w:rsid w:val="3594F193"/>
    <w:rsid w:val="35D5FBF4"/>
    <w:rsid w:val="35D78230"/>
    <w:rsid w:val="367FFF74"/>
    <w:rsid w:val="3680F7C1"/>
    <w:rsid w:val="36DF54AC"/>
    <w:rsid w:val="36E8A3D7"/>
    <w:rsid w:val="3702FF12"/>
    <w:rsid w:val="370F93F2"/>
    <w:rsid w:val="3729E1C5"/>
    <w:rsid w:val="37477EBD"/>
    <w:rsid w:val="37A1E66D"/>
    <w:rsid w:val="37CAB4A2"/>
    <w:rsid w:val="37D8737E"/>
    <w:rsid w:val="37DFB8B7"/>
    <w:rsid w:val="3831F9F2"/>
    <w:rsid w:val="384FE828"/>
    <w:rsid w:val="38502591"/>
    <w:rsid w:val="3890282C"/>
    <w:rsid w:val="38AEE02F"/>
    <w:rsid w:val="38D5D98A"/>
    <w:rsid w:val="38FAE986"/>
    <w:rsid w:val="3906D388"/>
    <w:rsid w:val="390E4FA0"/>
    <w:rsid w:val="3912C1ED"/>
    <w:rsid w:val="396AB450"/>
    <w:rsid w:val="3971A4BC"/>
    <w:rsid w:val="398C95D1"/>
    <w:rsid w:val="39B0F664"/>
    <w:rsid w:val="39B20ECE"/>
    <w:rsid w:val="3A405D62"/>
    <w:rsid w:val="3A689231"/>
    <w:rsid w:val="3A6C0BFE"/>
    <w:rsid w:val="3A6DB2D8"/>
    <w:rsid w:val="3AAEF5FF"/>
    <w:rsid w:val="3AC5828D"/>
    <w:rsid w:val="3ADBF381"/>
    <w:rsid w:val="3AEA39FB"/>
    <w:rsid w:val="3B787C76"/>
    <w:rsid w:val="3B898223"/>
    <w:rsid w:val="3BC63557"/>
    <w:rsid w:val="3BC7EBE5"/>
    <w:rsid w:val="3C0E5549"/>
    <w:rsid w:val="3C0E8D03"/>
    <w:rsid w:val="3C3C4587"/>
    <w:rsid w:val="3C94B1A3"/>
    <w:rsid w:val="3CAB3EB7"/>
    <w:rsid w:val="3D1C0ED0"/>
    <w:rsid w:val="3D551125"/>
    <w:rsid w:val="3D62D001"/>
    <w:rsid w:val="3D9B872B"/>
    <w:rsid w:val="3DA4315D"/>
    <w:rsid w:val="3DAF43B6"/>
    <w:rsid w:val="3DB5799F"/>
    <w:rsid w:val="3DD8EE7D"/>
    <w:rsid w:val="3E15B3D8"/>
    <w:rsid w:val="3E23F5F2"/>
    <w:rsid w:val="3E790A04"/>
    <w:rsid w:val="3E9D4432"/>
    <w:rsid w:val="3EC0FAAC"/>
    <w:rsid w:val="3EFA0ECC"/>
    <w:rsid w:val="3F0AEDD8"/>
    <w:rsid w:val="3F3A6C0A"/>
    <w:rsid w:val="3F663AFB"/>
    <w:rsid w:val="3F88B03C"/>
    <w:rsid w:val="3FBD6C63"/>
    <w:rsid w:val="3FD561E0"/>
    <w:rsid w:val="3FFB1A29"/>
    <w:rsid w:val="403F1ABC"/>
    <w:rsid w:val="40472380"/>
    <w:rsid w:val="40579509"/>
    <w:rsid w:val="4064E325"/>
    <w:rsid w:val="4082C709"/>
    <w:rsid w:val="412B4F0D"/>
    <w:rsid w:val="41307949"/>
    <w:rsid w:val="41584C8F"/>
    <w:rsid w:val="416E1CDC"/>
    <w:rsid w:val="417045FC"/>
    <w:rsid w:val="418CD1F5"/>
    <w:rsid w:val="418F84A2"/>
    <w:rsid w:val="41A4481F"/>
    <w:rsid w:val="41C0BC09"/>
    <w:rsid w:val="41C4E051"/>
    <w:rsid w:val="41D47B91"/>
    <w:rsid w:val="4210CC11"/>
    <w:rsid w:val="422C49F6"/>
    <w:rsid w:val="423FEEB2"/>
    <w:rsid w:val="42B0EC69"/>
    <w:rsid w:val="42F93E31"/>
    <w:rsid w:val="431DEDBF"/>
    <w:rsid w:val="4329F7FE"/>
    <w:rsid w:val="43512F48"/>
    <w:rsid w:val="437E2CCA"/>
    <w:rsid w:val="43AE4A92"/>
    <w:rsid w:val="43AE8176"/>
    <w:rsid w:val="43EF2684"/>
    <w:rsid w:val="43FC1D8E"/>
    <w:rsid w:val="449C64BC"/>
    <w:rsid w:val="44EB0133"/>
    <w:rsid w:val="44EF7B92"/>
    <w:rsid w:val="45104EF4"/>
    <w:rsid w:val="45145905"/>
    <w:rsid w:val="451BC84F"/>
    <w:rsid w:val="4583C008"/>
    <w:rsid w:val="458E2E5A"/>
    <w:rsid w:val="458E6614"/>
    <w:rsid w:val="45B5F489"/>
    <w:rsid w:val="45F7384C"/>
    <w:rsid w:val="46128C92"/>
    <w:rsid w:val="461D7738"/>
    <w:rsid w:val="4620A03B"/>
    <w:rsid w:val="464A69DC"/>
    <w:rsid w:val="46A46BE4"/>
    <w:rsid w:val="46D5935D"/>
    <w:rsid w:val="46DF137F"/>
    <w:rsid w:val="470AA348"/>
    <w:rsid w:val="470F73C3"/>
    <w:rsid w:val="4787DDE7"/>
    <w:rsid w:val="47F3E5AB"/>
    <w:rsid w:val="48069E31"/>
    <w:rsid w:val="481C9B70"/>
    <w:rsid w:val="48560AA3"/>
    <w:rsid w:val="4882E0BD"/>
    <w:rsid w:val="489E3E09"/>
    <w:rsid w:val="48B0F089"/>
    <w:rsid w:val="48BC4E1B"/>
    <w:rsid w:val="48C3925E"/>
    <w:rsid w:val="48D1513A"/>
    <w:rsid w:val="48F88222"/>
    <w:rsid w:val="4915DABF"/>
    <w:rsid w:val="4936ED8C"/>
    <w:rsid w:val="495BF26C"/>
    <w:rsid w:val="498DFA3C"/>
    <w:rsid w:val="49A5F3A9"/>
    <w:rsid w:val="49A7BDEB"/>
    <w:rsid w:val="49ACAFE1"/>
    <w:rsid w:val="49BB7240"/>
    <w:rsid w:val="49BE54D8"/>
    <w:rsid w:val="49D44E03"/>
    <w:rsid w:val="49DEF5FE"/>
    <w:rsid w:val="49FA8740"/>
    <w:rsid w:val="4A110502"/>
    <w:rsid w:val="4A3BE65A"/>
    <w:rsid w:val="4A740DA4"/>
    <w:rsid w:val="4A8A39EE"/>
    <w:rsid w:val="4A9D156B"/>
    <w:rsid w:val="4ABC9C84"/>
    <w:rsid w:val="4AD1670A"/>
    <w:rsid w:val="4ADD79B2"/>
    <w:rsid w:val="4AFBA5E4"/>
    <w:rsid w:val="4B10A9F9"/>
    <w:rsid w:val="4B29CA9D"/>
    <w:rsid w:val="4B421E5D"/>
    <w:rsid w:val="4B5B40F1"/>
    <w:rsid w:val="4B60493C"/>
    <w:rsid w:val="4B695FCE"/>
    <w:rsid w:val="4B75DFE0"/>
    <w:rsid w:val="4B9DB5E2"/>
    <w:rsid w:val="4BA51DC1"/>
    <w:rsid w:val="4BBA1928"/>
    <w:rsid w:val="4BBE6049"/>
    <w:rsid w:val="4BFA9BA8"/>
    <w:rsid w:val="4C3A4C5A"/>
    <w:rsid w:val="4C60446A"/>
    <w:rsid w:val="4CB05C08"/>
    <w:rsid w:val="4CB54A0E"/>
    <w:rsid w:val="4CD10859"/>
    <w:rsid w:val="4CEA80DD"/>
    <w:rsid w:val="4D08BE85"/>
    <w:rsid w:val="4D159E91"/>
    <w:rsid w:val="4D3C22F6"/>
    <w:rsid w:val="4D42A8F3"/>
    <w:rsid w:val="4D69B132"/>
    <w:rsid w:val="4D6A2748"/>
    <w:rsid w:val="4D6EFEF1"/>
    <w:rsid w:val="4D7499D3"/>
    <w:rsid w:val="4DC3758B"/>
    <w:rsid w:val="4DEDB83F"/>
    <w:rsid w:val="4E2FE021"/>
    <w:rsid w:val="4E451237"/>
    <w:rsid w:val="4EABFC62"/>
    <w:rsid w:val="4EC07B2A"/>
    <w:rsid w:val="4ECB3B8B"/>
    <w:rsid w:val="4ED788E8"/>
    <w:rsid w:val="4EEE9E4D"/>
    <w:rsid w:val="4EEECA13"/>
    <w:rsid w:val="4F3864F0"/>
    <w:rsid w:val="4F77115D"/>
    <w:rsid w:val="4F82F134"/>
    <w:rsid w:val="4F871226"/>
    <w:rsid w:val="4FC31AB4"/>
    <w:rsid w:val="50156315"/>
    <w:rsid w:val="501E0079"/>
    <w:rsid w:val="503E1B65"/>
    <w:rsid w:val="503F2110"/>
    <w:rsid w:val="505BC38D"/>
    <w:rsid w:val="507EA0B2"/>
    <w:rsid w:val="50830D0F"/>
    <w:rsid w:val="50EB0322"/>
    <w:rsid w:val="512DD15D"/>
    <w:rsid w:val="51507781"/>
    <w:rsid w:val="515C6276"/>
    <w:rsid w:val="51C99B43"/>
    <w:rsid w:val="51D9EBC6"/>
    <w:rsid w:val="51E154DC"/>
    <w:rsid w:val="51E77F44"/>
    <w:rsid w:val="51E7FA2A"/>
    <w:rsid w:val="51EC11D0"/>
    <w:rsid w:val="51FDB732"/>
    <w:rsid w:val="521304DE"/>
    <w:rsid w:val="5244B7B5"/>
    <w:rsid w:val="525CB122"/>
    <w:rsid w:val="5295DCFF"/>
    <w:rsid w:val="52A9175B"/>
    <w:rsid w:val="52CD267C"/>
    <w:rsid w:val="52D531F1"/>
    <w:rsid w:val="52EC7AF3"/>
    <w:rsid w:val="531A0AF1"/>
    <w:rsid w:val="536395D4"/>
    <w:rsid w:val="53751F6A"/>
    <w:rsid w:val="53C5E8B4"/>
    <w:rsid w:val="53F9A4CC"/>
    <w:rsid w:val="541DFE7E"/>
    <w:rsid w:val="547B7EF5"/>
    <w:rsid w:val="54952C79"/>
    <w:rsid w:val="54DE56FC"/>
    <w:rsid w:val="550E89D8"/>
    <w:rsid w:val="55247CDB"/>
    <w:rsid w:val="55F989A3"/>
    <w:rsid w:val="560FB527"/>
    <w:rsid w:val="563555F0"/>
    <w:rsid w:val="567F2B32"/>
    <w:rsid w:val="5699E447"/>
    <w:rsid w:val="57450DC0"/>
    <w:rsid w:val="5754F4C4"/>
    <w:rsid w:val="5771D871"/>
    <w:rsid w:val="5776F918"/>
    <w:rsid w:val="57BFF6F4"/>
    <w:rsid w:val="57EA4544"/>
    <w:rsid w:val="582B4102"/>
    <w:rsid w:val="582FA069"/>
    <w:rsid w:val="583BA760"/>
    <w:rsid w:val="58EC9C29"/>
    <w:rsid w:val="59162914"/>
    <w:rsid w:val="59192822"/>
    <w:rsid w:val="59689D9C"/>
    <w:rsid w:val="596DF74A"/>
    <w:rsid w:val="59BF10A5"/>
    <w:rsid w:val="59D60ECD"/>
    <w:rsid w:val="59D96DB5"/>
    <w:rsid w:val="5A7650D2"/>
    <w:rsid w:val="5A8A0021"/>
    <w:rsid w:val="5A948211"/>
    <w:rsid w:val="5A98A659"/>
    <w:rsid w:val="5AE59296"/>
    <w:rsid w:val="5B017F0C"/>
    <w:rsid w:val="5B05687E"/>
    <w:rsid w:val="5B1AA6B1"/>
    <w:rsid w:val="5B26F3F2"/>
    <w:rsid w:val="5B903624"/>
    <w:rsid w:val="5B98CCEA"/>
    <w:rsid w:val="5BD0F4EA"/>
    <w:rsid w:val="5BFCC155"/>
    <w:rsid w:val="5C382E49"/>
    <w:rsid w:val="5C5C78E7"/>
    <w:rsid w:val="5CC49810"/>
    <w:rsid w:val="5D0B72D1"/>
    <w:rsid w:val="5D38EFE1"/>
    <w:rsid w:val="5D472774"/>
    <w:rsid w:val="5D5A4EE5"/>
    <w:rsid w:val="5D7C127C"/>
    <w:rsid w:val="5E0EDD04"/>
    <w:rsid w:val="5E22E662"/>
    <w:rsid w:val="5E309B13"/>
    <w:rsid w:val="5E3C5002"/>
    <w:rsid w:val="5E814CDA"/>
    <w:rsid w:val="5E83C6CD"/>
    <w:rsid w:val="5ECFBDE9"/>
    <w:rsid w:val="5EF700C6"/>
    <w:rsid w:val="5EFC57D3"/>
    <w:rsid w:val="5F12F05E"/>
    <w:rsid w:val="5FC17C9E"/>
    <w:rsid w:val="5FCDCD35"/>
    <w:rsid w:val="5FE882A9"/>
    <w:rsid w:val="6004452A"/>
    <w:rsid w:val="6017BB57"/>
    <w:rsid w:val="60562B6A"/>
    <w:rsid w:val="605A7588"/>
    <w:rsid w:val="60D9BB6B"/>
    <w:rsid w:val="610563CE"/>
    <w:rsid w:val="61371931"/>
    <w:rsid w:val="615337C0"/>
    <w:rsid w:val="616507F4"/>
    <w:rsid w:val="617F3E0C"/>
    <w:rsid w:val="618B2F12"/>
    <w:rsid w:val="61D75C10"/>
    <w:rsid w:val="61DAF3E5"/>
    <w:rsid w:val="622240ED"/>
    <w:rsid w:val="628C881F"/>
    <w:rsid w:val="62B728BC"/>
    <w:rsid w:val="62DD25B5"/>
    <w:rsid w:val="6318ABA4"/>
    <w:rsid w:val="636C6ED6"/>
    <w:rsid w:val="637546C2"/>
    <w:rsid w:val="637E824F"/>
    <w:rsid w:val="63C042A2"/>
    <w:rsid w:val="63D6BA41"/>
    <w:rsid w:val="63E859BF"/>
    <w:rsid w:val="63EA9F5C"/>
    <w:rsid w:val="64454A1B"/>
    <w:rsid w:val="646D7C91"/>
    <w:rsid w:val="649CA3BA"/>
    <w:rsid w:val="64E243D0"/>
    <w:rsid w:val="6527AB61"/>
    <w:rsid w:val="65371324"/>
    <w:rsid w:val="656CFAFC"/>
    <w:rsid w:val="659D5022"/>
    <w:rsid w:val="65B53B85"/>
    <w:rsid w:val="65E7A641"/>
    <w:rsid w:val="661F20FF"/>
    <w:rsid w:val="663CE4EB"/>
    <w:rsid w:val="6657D7FD"/>
    <w:rsid w:val="665E8131"/>
    <w:rsid w:val="66812EAC"/>
    <w:rsid w:val="668B4BE2"/>
    <w:rsid w:val="66CF815A"/>
    <w:rsid w:val="66D8FE61"/>
    <w:rsid w:val="66DC4BDA"/>
    <w:rsid w:val="66F60D80"/>
    <w:rsid w:val="6728B2F2"/>
    <w:rsid w:val="678D4585"/>
    <w:rsid w:val="679618ED"/>
    <w:rsid w:val="67996A23"/>
    <w:rsid w:val="67A6AF82"/>
    <w:rsid w:val="67A7BD6C"/>
    <w:rsid w:val="67C9747A"/>
    <w:rsid w:val="67E5FF5C"/>
    <w:rsid w:val="680DEFAE"/>
    <w:rsid w:val="6821D0F0"/>
    <w:rsid w:val="684A3C13"/>
    <w:rsid w:val="6855E02D"/>
    <w:rsid w:val="689F86AB"/>
    <w:rsid w:val="68A3343F"/>
    <w:rsid w:val="68C35F68"/>
    <w:rsid w:val="68CC3C6B"/>
    <w:rsid w:val="68CDD8C5"/>
    <w:rsid w:val="68F1F134"/>
    <w:rsid w:val="6901D87E"/>
    <w:rsid w:val="6916BA59"/>
    <w:rsid w:val="6918BB3E"/>
    <w:rsid w:val="6922451E"/>
    <w:rsid w:val="693D3F68"/>
    <w:rsid w:val="69594F1C"/>
    <w:rsid w:val="695F4AAD"/>
    <w:rsid w:val="696293E5"/>
    <w:rsid w:val="696A1A5A"/>
    <w:rsid w:val="69808666"/>
    <w:rsid w:val="6985F40B"/>
    <w:rsid w:val="6996D6C1"/>
    <w:rsid w:val="69AE2D0F"/>
    <w:rsid w:val="69FCD97C"/>
    <w:rsid w:val="6A284C83"/>
    <w:rsid w:val="6A325876"/>
    <w:rsid w:val="6A373EF5"/>
    <w:rsid w:val="6A4CB886"/>
    <w:rsid w:val="6A7AAE4D"/>
    <w:rsid w:val="6A9158FD"/>
    <w:rsid w:val="6AC8F858"/>
    <w:rsid w:val="6AE1E174"/>
    <w:rsid w:val="6B5447DB"/>
    <w:rsid w:val="6B707AD4"/>
    <w:rsid w:val="6BB9EEBA"/>
    <w:rsid w:val="6BCBFDE4"/>
    <w:rsid w:val="6BDCE14D"/>
    <w:rsid w:val="6C0A9519"/>
    <w:rsid w:val="6C7298C1"/>
    <w:rsid w:val="6CA8C36D"/>
    <w:rsid w:val="6CED5A9E"/>
    <w:rsid w:val="6D0579E9"/>
    <w:rsid w:val="6D26640A"/>
    <w:rsid w:val="6D63A044"/>
    <w:rsid w:val="6DCDBC0B"/>
    <w:rsid w:val="6DD324C2"/>
    <w:rsid w:val="6DE30627"/>
    <w:rsid w:val="6E4AC693"/>
    <w:rsid w:val="6E7022CB"/>
    <w:rsid w:val="6E8A5506"/>
    <w:rsid w:val="6EB9E727"/>
    <w:rsid w:val="6F0023C0"/>
    <w:rsid w:val="6F0D18FD"/>
    <w:rsid w:val="6F37E06B"/>
    <w:rsid w:val="6F410D95"/>
    <w:rsid w:val="6F434EC0"/>
    <w:rsid w:val="6F4F92F0"/>
    <w:rsid w:val="6F64AB1C"/>
    <w:rsid w:val="6F9F2D50"/>
    <w:rsid w:val="6FA5EF65"/>
    <w:rsid w:val="6FAE65D8"/>
    <w:rsid w:val="6FBD3FBE"/>
    <w:rsid w:val="6FCBF792"/>
    <w:rsid w:val="700B24F3"/>
    <w:rsid w:val="703E8FEB"/>
    <w:rsid w:val="707DB5D8"/>
    <w:rsid w:val="70818DD3"/>
    <w:rsid w:val="70BD9D31"/>
    <w:rsid w:val="70BDF41D"/>
    <w:rsid w:val="70BE7E46"/>
    <w:rsid w:val="70C505AB"/>
    <w:rsid w:val="7118B795"/>
    <w:rsid w:val="711B1B38"/>
    <w:rsid w:val="7134476F"/>
    <w:rsid w:val="713D41F7"/>
    <w:rsid w:val="71450D26"/>
    <w:rsid w:val="714FAEF1"/>
    <w:rsid w:val="71D957BD"/>
    <w:rsid w:val="71F712A6"/>
    <w:rsid w:val="71FFF5A1"/>
    <w:rsid w:val="72039531"/>
    <w:rsid w:val="726C2BEA"/>
    <w:rsid w:val="72BCB4CE"/>
    <w:rsid w:val="72E9B250"/>
    <w:rsid w:val="73023C77"/>
    <w:rsid w:val="731530BB"/>
    <w:rsid w:val="73455666"/>
    <w:rsid w:val="7367791C"/>
    <w:rsid w:val="739EBDE2"/>
    <w:rsid w:val="73D52316"/>
    <w:rsid w:val="73EBD03D"/>
    <w:rsid w:val="73EFA092"/>
    <w:rsid w:val="7430945B"/>
    <w:rsid w:val="7431E0A1"/>
    <w:rsid w:val="743A2C10"/>
    <w:rsid w:val="7441AF0B"/>
    <w:rsid w:val="74471787"/>
    <w:rsid w:val="74651F68"/>
    <w:rsid w:val="74C903D6"/>
    <w:rsid w:val="74D70E32"/>
    <w:rsid w:val="74E4A6DC"/>
    <w:rsid w:val="74EE6C45"/>
    <w:rsid w:val="750E2945"/>
    <w:rsid w:val="7514F393"/>
    <w:rsid w:val="75310D26"/>
    <w:rsid w:val="75BBAAE2"/>
    <w:rsid w:val="75CCA767"/>
    <w:rsid w:val="760455D0"/>
    <w:rsid w:val="761F3782"/>
    <w:rsid w:val="761F3C83"/>
    <w:rsid w:val="7650AE74"/>
    <w:rsid w:val="768B82E9"/>
    <w:rsid w:val="7695599C"/>
    <w:rsid w:val="769C34C3"/>
    <w:rsid w:val="76E3E6BF"/>
    <w:rsid w:val="7719942A"/>
    <w:rsid w:val="774DB311"/>
    <w:rsid w:val="7760F6A2"/>
    <w:rsid w:val="77885C8D"/>
    <w:rsid w:val="77BE7892"/>
    <w:rsid w:val="77E119FA"/>
    <w:rsid w:val="78027362"/>
    <w:rsid w:val="780A97A7"/>
    <w:rsid w:val="7818E8D2"/>
    <w:rsid w:val="7832E268"/>
    <w:rsid w:val="78719F9D"/>
    <w:rsid w:val="78AB81D8"/>
    <w:rsid w:val="78B905C2"/>
    <w:rsid w:val="78BACD43"/>
    <w:rsid w:val="78C3AE98"/>
    <w:rsid w:val="78D3B9FD"/>
    <w:rsid w:val="78EBAC66"/>
    <w:rsid w:val="78F20775"/>
    <w:rsid w:val="78F46DB4"/>
    <w:rsid w:val="79489CC2"/>
    <w:rsid w:val="795DAAED"/>
    <w:rsid w:val="796BA572"/>
    <w:rsid w:val="79737A13"/>
    <w:rsid w:val="79876BF7"/>
    <w:rsid w:val="798FD05C"/>
    <w:rsid w:val="79B70423"/>
    <w:rsid w:val="79BAF0DE"/>
    <w:rsid w:val="7A2355AF"/>
    <w:rsid w:val="7A9585E2"/>
    <w:rsid w:val="7B17014F"/>
    <w:rsid w:val="7B458B24"/>
    <w:rsid w:val="7B68A53D"/>
    <w:rsid w:val="7B7EAB55"/>
    <w:rsid w:val="7B8EB253"/>
    <w:rsid w:val="7C5A738C"/>
    <w:rsid w:val="7C803888"/>
    <w:rsid w:val="7C9E9C98"/>
    <w:rsid w:val="7CAE4F7F"/>
    <w:rsid w:val="7CC71007"/>
    <w:rsid w:val="7CF6E86D"/>
    <w:rsid w:val="7D3D2FEA"/>
    <w:rsid w:val="7D56B609"/>
    <w:rsid w:val="7D9C393C"/>
    <w:rsid w:val="7DCFB72F"/>
    <w:rsid w:val="7DEBB624"/>
    <w:rsid w:val="7E1AA728"/>
    <w:rsid w:val="7E4215FF"/>
    <w:rsid w:val="7E53D4B7"/>
    <w:rsid w:val="7E882663"/>
    <w:rsid w:val="7EAA9553"/>
    <w:rsid w:val="7ED52A5D"/>
    <w:rsid w:val="7ED5FA55"/>
    <w:rsid w:val="7EFED2B5"/>
    <w:rsid w:val="7F2D53F4"/>
    <w:rsid w:val="7F50D86B"/>
    <w:rsid w:val="7F530C3D"/>
    <w:rsid w:val="7F64F1EE"/>
    <w:rsid w:val="7FFDE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85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32"/>
    <w:rPr>
      <w:rFonts w:ascii="Arial" w:hAnsi="Arial"/>
    </w:rPr>
  </w:style>
  <w:style w:type="paragraph" w:styleId="Heading1">
    <w:name w:val="heading 1"/>
    <w:basedOn w:val="Normal"/>
    <w:next w:val="Normal"/>
    <w:link w:val="Heading1Char"/>
    <w:uiPriority w:val="9"/>
    <w:qFormat/>
    <w:rsid w:val="002B57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B02375"/>
    <w:pPr>
      <w:spacing w:after="120"/>
      <w:outlineLvl w:val="1"/>
    </w:pPr>
    <w:rPr>
      <w:rFonts w:ascii="Arial" w:hAnsi="Arial" w:cs="Arial"/>
    </w:rPr>
  </w:style>
  <w:style w:type="paragraph" w:styleId="Heading3">
    <w:name w:val="heading 3"/>
    <w:basedOn w:val="Normal"/>
    <w:next w:val="Normal"/>
    <w:link w:val="Heading3Char"/>
    <w:uiPriority w:val="9"/>
    <w:unhideWhenUsed/>
    <w:qFormat/>
    <w:rsid w:val="008C295F"/>
    <w:pPr>
      <w:spacing w:before="120"/>
      <w:outlineLvl w:val="2"/>
    </w:pPr>
    <w:rPr>
      <w:b/>
    </w:rPr>
  </w:style>
  <w:style w:type="paragraph" w:styleId="Heading4">
    <w:name w:val="heading 4"/>
    <w:basedOn w:val="Normal"/>
    <w:next w:val="Normal"/>
    <w:link w:val="Heading4Char"/>
    <w:uiPriority w:val="9"/>
    <w:unhideWhenUsed/>
    <w:qFormat/>
    <w:rsid w:val="002B57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B57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B57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B57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B57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B57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572C"/>
    <w:pPr>
      <w:ind w:left="720"/>
      <w:contextualSpacing/>
    </w:pPr>
  </w:style>
  <w:style w:type="character" w:styleId="CommentReference">
    <w:name w:val="annotation reference"/>
    <w:basedOn w:val="DefaultParagraphFont"/>
    <w:uiPriority w:val="99"/>
    <w:semiHidden/>
    <w:unhideWhenUsed/>
    <w:rsid w:val="00327DC1"/>
    <w:rPr>
      <w:sz w:val="16"/>
      <w:szCs w:val="16"/>
    </w:rPr>
  </w:style>
  <w:style w:type="paragraph" w:styleId="CommentText">
    <w:name w:val="annotation text"/>
    <w:basedOn w:val="Normal"/>
    <w:link w:val="CommentTextChar"/>
    <w:uiPriority w:val="99"/>
    <w:unhideWhenUsed/>
    <w:rsid w:val="00327DC1"/>
    <w:pPr>
      <w:spacing w:line="240" w:lineRule="auto"/>
    </w:pPr>
    <w:rPr>
      <w:sz w:val="20"/>
      <w:szCs w:val="20"/>
    </w:rPr>
  </w:style>
  <w:style w:type="character" w:customStyle="1" w:styleId="CommentTextChar">
    <w:name w:val="Comment Text Char"/>
    <w:basedOn w:val="DefaultParagraphFont"/>
    <w:link w:val="CommentText"/>
    <w:uiPriority w:val="99"/>
    <w:rsid w:val="00327DC1"/>
    <w:rPr>
      <w:sz w:val="20"/>
      <w:szCs w:val="20"/>
    </w:rPr>
  </w:style>
  <w:style w:type="paragraph" w:styleId="CommentSubject">
    <w:name w:val="annotation subject"/>
    <w:basedOn w:val="CommentText"/>
    <w:next w:val="CommentText"/>
    <w:link w:val="CommentSubjectChar"/>
    <w:uiPriority w:val="99"/>
    <w:semiHidden/>
    <w:unhideWhenUsed/>
    <w:rsid w:val="00327DC1"/>
    <w:rPr>
      <w:b/>
      <w:bCs/>
    </w:rPr>
  </w:style>
  <w:style w:type="character" w:customStyle="1" w:styleId="CommentSubjectChar">
    <w:name w:val="Comment Subject Char"/>
    <w:basedOn w:val="CommentTextChar"/>
    <w:link w:val="CommentSubject"/>
    <w:uiPriority w:val="99"/>
    <w:semiHidden/>
    <w:rsid w:val="00327DC1"/>
    <w:rPr>
      <w:b/>
      <w:bCs/>
      <w:sz w:val="20"/>
      <w:szCs w:val="20"/>
    </w:rPr>
  </w:style>
  <w:style w:type="paragraph" w:styleId="BalloonText">
    <w:name w:val="Balloon Text"/>
    <w:basedOn w:val="Normal"/>
    <w:link w:val="BalloonTextChar"/>
    <w:uiPriority w:val="99"/>
    <w:semiHidden/>
    <w:unhideWhenUsed/>
    <w:rsid w:val="0032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C1"/>
    <w:rPr>
      <w:rFonts w:ascii="Tahoma" w:hAnsi="Tahoma" w:cs="Tahoma"/>
      <w:sz w:val="16"/>
      <w:szCs w:val="16"/>
    </w:rPr>
  </w:style>
  <w:style w:type="paragraph" w:customStyle="1" w:styleId="Default">
    <w:name w:val="Default"/>
    <w:rsid w:val="00327DC1"/>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327DC1"/>
    <w:rPr>
      <w:color w:val="0000FF"/>
      <w:u w:val="single"/>
    </w:rPr>
  </w:style>
  <w:style w:type="table" w:styleId="TableGrid">
    <w:name w:val="Table Grid"/>
    <w:basedOn w:val="TableNormal"/>
    <w:uiPriority w:val="59"/>
    <w:rsid w:val="0032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327DC1"/>
    <w:pPr>
      <w:widowControl w:val="0"/>
      <w:spacing w:after="0" w:line="240" w:lineRule="auto"/>
    </w:pPr>
  </w:style>
  <w:style w:type="paragraph" w:styleId="Header">
    <w:name w:val="header"/>
    <w:basedOn w:val="Normal"/>
    <w:link w:val="HeaderChar"/>
    <w:uiPriority w:val="99"/>
    <w:unhideWhenUsed/>
    <w:rsid w:val="0032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DC1"/>
  </w:style>
  <w:style w:type="paragraph" w:styleId="Footer">
    <w:name w:val="footer"/>
    <w:basedOn w:val="Normal"/>
    <w:link w:val="FooterChar"/>
    <w:uiPriority w:val="99"/>
    <w:unhideWhenUsed/>
    <w:rsid w:val="0032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C1"/>
  </w:style>
  <w:style w:type="table" w:customStyle="1" w:styleId="TableGrid1">
    <w:name w:val="Table Grid1"/>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7DC1"/>
    <w:pPr>
      <w:spacing w:after="0" w:line="240" w:lineRule="auto"/>
      <w:ind w:left="7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7DC1"/>
    <w:rPr>
      <w:rFonts w:ascii="Calibri" w:eastAsia="Calibri" w:hAnsi="Calibri" w:cs="Times New Roman"/>
      <w:sz w:val="20"/>
      <w:szCs w:val="20"/>
    </w:rPr>
  </w:style>
  <w:style w:type="paragraph" w:styleId="NoSpacing">
    <w:name w:val="No Spacing"/>
    <w:basedOn w:val="Normal"/>
    <w:link w:val="NoSpacingChar"/>
    <w:uiPriority w:val="1"/>
    <w:qFormat/>
    <w:rsid w:val="002B572C"/>
    <w:pPr>
      <w:spacing w:after="0" w:line="240" w:lineRule="auto"/>
    </w:pPr>
  </w:style>
  <w:style w:type="character" w:customStyle="1" w:styleId="NoSpacingChar">
    <w:name w:val="No Spacing Char"/>
    <w:basedOn w:val="DefaultParagraphFont"/>
    <w:link w:val="NoSpacing"/>
    <w:uiPriority w:val="1"/>
    <w:rsid w:val="00A22B32"/>
  </w:style>
  <w:style w:type="paragraph" w:styleId="Revision">
    <w:name w:val="Revision"/>
    <w:hidden/>
    <w:uiPriority w:val="99"/>
    <w:semiHidden/>
    <w:rsid w:val="00705C33"/>
    <w:pPr>
      <w:spacing w:after="0" w:line="240" w:lineRule="auto"/>
    </w:pPr>
  </w:style>
  <w:style w:type="table" w:customStyle="1" w:styleId="TableGrid3">
    <w:name w:val="Table Grid3"/>
    <w:basedOn w:val="TableNormal"/>
    <w:next w:val="TableGrid"/>
    <w:uiPriority w:val="59"/>
    <w:rsid w:val="0030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02741"/>
    <w:rPr>
      <w:vertAlign w:val="superscript"/>
    </w:rPr>
  </w:style>
  <w:style w:type="paragraph" w:customStyle="1" w:styleId="CharCharCharCharCharCharChar1CharCharCharCharChar1Char">
    <w:name w:val="Char Char Char Char Char Char Char1 Char Char Char Char Char1 Char"/>
    <w:basedOn w:val="Normal"/>
    <w:rsid w:val="00326985"/>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805C67"/>
    <w:rPr>
      <w:color w:val="800080" w:themeColor="followedHyperlink"/>
      <w:u w:val="single"/>
    </w:rPr>
  </w:style>
  <w:style w:type="character" w:styleId="Emphasis">
    <w:name w:val="Emphasis"/>
    <w:uiPriority w:val="20"/>
    <w:qFormat/>
    <w:rsid w:val="002B572C"/>
    <w:rPr>
      <w:b/>
      <w:bCs/>
      <w:i/>
      <w:iCs/>
      <w:spacing w:val="10"/>
      <w:bdr w:val="none" w:sz="0" w:space="0" w:color="auto"/>
      <w:shd w:val="clear" w:color="auto" w:fill="auto"/>
    </w:rPr>
  </w:style>
  <w:style w:type="paragraph" w:styleId="Title">
    <w:name w:val="Title"/>
    <w:basedOn w:val="Normal"/>
    <w:next w:val="Normal"/>
    <w:link w:val="TitleChar"/>
    <w:uiPriority w:val="10"/>
    <w:qFormat/>
    <w:rsid w:val="002B57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B572C"/>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2B57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02375"/>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8C295F"/>
    <w:rPr>
      <w:rFonts w:ascii="Arial" w:hAnsi="Arial"/>
      <w:b/>
    </w:rPr>
  </w:style>
  <w:style w:type="character" w:customStyle="1" w:styleId="Heading4Char">
    <w:name w:val="Heading 4 Char"/>
    <w:basedOn w:val="DefaultParagraphFont"/>
    <w:link w:val="Heading4"/>
    <w:uiPriority w:val="9"/>
    <w:rsid w:val="002B57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B57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B57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B57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B57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B572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2B57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B572C"/>
    <w:rPr>
      <w:rFonts w:asciiTheme="majorHAnsi" w:eastAsiaTheme="majorEastAsia" w:hAnsiTheme="majorHAnsi" w:cstheme="majorBidi"/>
      <w:i/>
      <w:iCs/>
      <w:spacing w:val="13"/>
      <w:sz w:val="24"/>
      <w:szCs w:val="24"/>
    </w:rPr>
  </w:style>
  <w:style w:type="character" w:styleId="Strong">
    <w:name w:val="Strong"/>
    <w:uiPriority w:val="22"/>
    <w:qFormat/>
    <w:rsid w:val="002B572C"/>
    <w:rPr>
      <w:b/>
      <w:bCs/>
    </w:rPr>
  </w:style>
  <w:style w:type="paragraph" w:styleId="Quote">
    <w:name w:val="Quote"/>
    <w:basedOn w:val="Normal"/>
    <w:next w:val="Normal"/>
    <w:link w:val="QuoteChar"/>
    <w:uiPriority w:val="29"/>
    <w:qFormat/>
    <w:rsid w:val="002B572C"/>
    <w:pPr>
      <w:spacing w:before="200" w:after="0"/>
      <w:ind w:left="360" w:right="360"/>
    </w:pPr>
    <w:rPr>
      <w:i/>
      <w:iCs/>
    </w:rPr>
  </w:style>
  <w:style w:type="character" w:customStyle="1" w:styleId="QuoteChar">
    <w:name w:val="Quote Char"/>
    <w:basedOn w:val="DefaultParagraphFont"/>
    <w:link w:val="Quote"/>
    <w:uiPriority w:val="29"/>
    <w:rsid w:val="002B572C"/>
    <w:rPr>
      <w:i/>
      <w:iCs/>
    </w:rPr>
  </w:style>
  <w:style w:type="paragraph" w:styleId="IntenseQuote">
    <w:name w:val="Intense Quote"/>
    <w:basedOn w:val="Normal"/>
    <w:next w:val="Normal"/>
    <w:link w:val="IntenseQuoteChar"/>
    <w:uiPriority w:val="30"/>
    <w:qFormat/>
    <w:rsid w:val="002B57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B572C"/>
    <w:rPr>
      <w:b/>
      <w:bCs/>
      <w:i/>
      <w:iCs/>
    </w:rPr>
  </w:style>
  <w:style w:type="character" w:styleId="SubtleEmphasis">
    <w:name w:val="Subtle Emphasis"/>
    <w:uiPriority w:val="19"/>
    <w:qFormat/>
    <w:rsid w:val="002B572C"/>
    <w:rPr>
      <w:i/>
      <w:iCs/>
    </w:rPr>
  </w:style>
  <w:style w:type="character" w:styleId="IntenseEmphasis">
    <w:name w:val="Intense Emphasis"/>
    <w:uiPriority w:val="21"/>
    <w:qFormat/>
    <w:rsid w:val="002B572C"/>
    <w:rPr>
      <w:b/>
      <w:bCs/>
    </w:rPr>
  </w:style>
  <w:style w:type="character" w:styleId="SubtleReference">
    <w:name w:val="Subtle Reference"/>
    <w:uiPriority w:val="31"/>
    <w:qFormat/>
    <w:rsid w:val="002B572C"/>
    <w:rPr>
      <w:smallCaps/>
    </w:rPr>
  </w:style>
  <w:style w:type="character" w:styleId="IntenseReference">
    <w:name w:val="Intense Reference"/>
    <w:uiPriority w:val="32"/>
    <w:qFormat/>
    <w:rsid w:val="002B572C"/>
    <w:rPr>
      <w:smallCaps/>
      <w:spacing w:val="5"/>
      <w:u w:val="single"/>
    </w:rPr>
  </w:style>
  <w:style w:type="character" w:styleId="BookTitle">
    <w:name w:val="Book Title"/>
    <w:uiPriority w:val="33"/>
    <w:qFormat/>
    <w:rsid w:val="002B572C"/>
    <w:rPr>
      <w:i/>
      <w:iCs/>
      <w:smallCaps/>
      <w:spacing w:val="5"/>
    </w:rPr>
  </w:style>
  <w:style w:type="paragraph" w:styleId="TOCHeading">
    <w:name w:val="TOC Heading"/>
    <w:basedOn w:val="Heading1"/>
    <w:next w:val="Normal"/>
    <w:uiPriority w:val="39"/>
    <w:semiHidden/>
    <w:unhideWhenUsed/>
    <w:qFormat/>
    <w:rsid w:val="002B572C"/>
    <w:pPr>
      <w:outlineLvl w:val="9"/>
    </w:pPr>
    <w:rPr>
      <w:lang w:bidi="en-US"/>
    </w:rPr>
  </w:style>
  <w:style w:type="character" w:styleId="UnresolvedMention">
    <w:name w:val="Unresolved Mention"/>
    <w:basedOn w:val="DefaultParagraphFont"/>
    <w:uiPriority w:val="99"/>
    <w:unhideWhenUsed/>
    <w:rsid w:val="00EA1300"/>
    <w:rPr>
      <w:color w:val="605E5C"/>
      <w:shd w:val="clear" w:color="auto" w:fill="E1DFDD"/>
    </w:rPr>
  </w:style>
  <w:style w:type="character" w:styleId="Mention">
    <w:name w:val="Mention"/>
    <w:basedOn w:val="DefaultParagraphFont"/>
    <w:uiPriority w:val="99"/>
    <w:unhideWhenUsed/>
    <w:rsid w:val="005A7223"/>
    <w:rPr>
      <w:color w:val="2B579A"/>
      <w:shd w:val="clear" w:color="auto" w:fill="E1DFDD"/>
    </w:rPr>
  </w:style>
  <w:style w:type="character" w:customStyle="1" w:styleId="ui-provider">
    <w:name w:val="ui-provider"/>
    <w:basedOn w:val="DefaultParagraphFont"/>
    <w:rsid w:val="00363F51"/>
  </w:style>
  <w:style w:type="paragraph" w:styleId="NormalWeb">
    <w:name w:val="Normal (Web)"/>
    <w:basedOn w:val="Normal"/>
    <w:uiPriority w:val="99"/>
    <w:unhideWhenUsed/>
    <w:rsid w:val="00740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AC1F70"/>
    <w:rPr>
      <w:rFonts w:ascii="Arial" w:hAnsi="Arial"/>
    </w:rPr>
  </w:style>
  <w:style w:type="paragraph" w:customStyle="1" w:styleId="paragraph">
    <w:name w:val="paragraph"/>
    <w:basedOn w:val="Normal"/>
    <w:uiPriority w:val="99"/>
    <w:rsid w:val="00990FC6"/>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5372">
      <w:bodyDiv w:val="1"/>
      <w:marLeft w:val="0"/>
      <w:marRight w:val="0"/>
      <w:marTop w:val="0"/>
      <w:marBottom w:val="0"/>
      <w:divBdr>
        <w:top w:val="none" w:sz="0" w:space="0" w:color="auto"/>
        <w:left w:val="none" w:sz="0" w:space="0" w:color="auto"/>
        <w:bottom w:val="none" w:sz="0" w:space="0" w:color="auto"/>
        <w:right w:val="none" w:sz="0" w:space="0" w:color="auto"/>
      </w:divBdr>
    </w:div>
    <w:div w:id="50229627">
      <w:bodyDiv w:val="1"/>
      <w:marLeft w:val="0"/>
      <w:marRight w:val="0"/>
      <w:marTop w:val="0"/>
      <w:marBottom w:val="0"/>
      <w:divBdr>
        <w:top w:val="none" w:sz="0" w:space="0" w:color="auto"/>
        <w:left w:val="none" w:sz="0" w:space="0" w:color="auto"/>
        <w:bottom w:val="none" w:sz="0" w:space="0" w:color="auto"/>
        <w:right w:val="none" w:sz="0" w:space="0" w:color="auto"/>
      </w:divBdr>
    </w:div>
    <w:div w:id="261232133">
      <w:bodyDiv w:val="1"/>
      <w:marLeft w:val="0"/>
      <w:marRight w:val="0"/>
      <w:marTop w:val="0"/>
      <w:marBottom w:val="0"/>
      <w:divBdr>
        <w:top w:val="none" w:sz="0" w:space="0" w:color="auto"/>
        <w:left w:val="none" w:sz="0" w:space="0" w:color="auto"/>
        <w:bottom w:val="none" w:sz="0" w:space="0" w:color="auto"/>
        <w:right w:val="none" w:sz="0" w:space="0" w:color="auto"/>
      </w:divBdr>
    </w:div>
    <w:div w:id="465857927">
      <w:bodyDiv w:val="1"/>
      <w:marLeft w:val="0"/>
      <w:marRight w:val="0"/>
      <w:marTop w:val="0"/>
      <w:marBottom w:val="0"/>
      <w:divBdr>
        <w:top w:val="none" w:sz="0" w:space="0" w:color="auto"/>
        <w:left w:val="none" w:sz="0" w:space="0" w:color="auto"/>
        <w:bottom w:val="none" w:sz="0" w:space="0" w:color="auto"/>
        <w:right w:val="none" w:sz="0" w:space="0" w:color="auto"/>
      </w:divBdr>
    </w:div>
    <w:div w:id="492916181">
      <w:bodyDiv w:val="1"/>
      <w:marLeft w:val="0"/>
      <w:marRight w:val="0"/>
      <w:marTop w:val="0"/>
      <w:marBottom w:val="0"/>
      <w:divBdr>
        <w:top w:val="none" w:sz="0" w:space="0" w:color="auto"/>
        <w:left w:val="none" w:sz="0" w:space="0" w:color="auto"/>
        <w:bottom w:val="none" w:sz="0" w:space="0" w:color="auto"/>
        <w:right w:val="none" w:sz="0" w:space="0" w:color="auto"/>
      </w:divBdr>
    </w:div>
    <w:div w:id="569076178">
      <w:bodyDiv w:val="1"/>
      <w:marLeft w:val="0"/>
      <w:marRight w:val="0"/>
      <w:marTop w:val="0"/>
      <w:marBottom w:val="0"/>
      <w:divBdr>
        <w:top w:val="none" w:sz="0" w:space="0" w:color="auto"/>
        <w:left w:val="none" w:sz="0" w:space="0" w:color="auto"/>
        <w:bottom w:val="none" w:sz="0" w:space="0" w:color="auto"/>
        <w:right w:val="none" w:sz="0" w:space="0" w:color="auto"/>
      </w:divBdr>
    </w:div>
    <w:div w:id="747121082">
      <w:bodyDiv w:val="1"/>
      <w:marLeft w:val="0"/>
      <w:marRight w:val="0"/>
      <w:marTop w:val="0"/>
      <w:marBottom w:val="0"/>
      <w:divBdr>
        <w:top w:val="none" w:sz="0" w:space="0" w:color="auto"/>
        <w:left w:val="none" w:sz="0" w:space="0" w:color="auto"/>
        <w:bottom w:val="none" w:sz="0" w:space="0" w:color="auto"/>
        <w:right w:val="none" w:sz="0" w:space="0" w:color="auto"/>
      </w:divBdr>
    </w:div>
    <w:div w:id="805003499">
      <w:bodyDiv w:val="1"/>
      <w:marLeft w:val="0"/>
      <w:marRight w:val="0"/>
      <w:marTop w:val="0"/>
      <w:marBottom w:val="0"/>
      <w:divBdr>
        <w:top w:val="none" w:sz="0" w:space="0" w:color="auto"/>
        <w:left w:val="none" w:sz="0" w:space="0" w:color="auto"/>
        <w:bottom w:val="none" w:sz="0" w:space="0" w:color="auto"/>
        <w:right w:val="none" w:sz="0" w:space="0" w:color="auto"/>
      </w:divBdr>
    </w:div>
    <w:div w:id="1058432902">
      <w:bodyDiv w:val="1"/>
      <w:marLeft w:val="0"/>
      <w:marRight w:val="0"/>
      <w:marTop w:val="0"/>
      <w:marBottom w:val="0"/>
      <w:divBdr>
        <w:top w:val="none" w:sz="0" w:space="0" w:color="auto"/>
        <w:left w:val="none" w:sz="0" w:space="0" w:color="auto"/>
        <w:bottom w:val="none" w:sz="0" w:space="0" w:color="auto"/>
        <w:right w:val="none" w:sz="0" w:space="0" w:color="auto"/>
      </w:divBdr>
    </w:div>
    <w:div w:id="1060783431">
      <w:bodyDiv w:val="1"/>
      <w:marLeft w:val="0"/>
      <w:marRight w:val="0"/>
      <w:marTop w:val="0"/>
      <w:marBottom w:val="0"/>
      <w:divBdr>
        <w:top w:val="none" w:sz="0" w:space="0" w:color="auto"/>
        <w:left w:val="none" w:sz="0" w:space="0" w:color="auto"/>
        <w:bottom w:val="none" w:sz="0" w:space="0" w:color="auto"/>
        <w:right w:val="none" w:sz="0" w:space="0" w:color="auto"/>
      </w:divBdr>
    </w:div>
    <w:div w:id="1064832578">
      <w:bodyDiv w:val="1"/>
      <w:marLeft w:val="0"/>
      <w:marRight w:val="0"/>
      <w:marTop w:val="0"/>
      <w:marBottom w:val="0"/>
      <w:divBdr>
        <w:top w:val="none" w:sz="0" w:space="0" w:color="auto"/>
        <w:left w:val="none" w:sz="0" w:space="0" w:color="auto"/>
        <w:bottom w:val="none" w:sz="0" w:space="0" w:color="auto"/>
        <w:right w:val="none" w:sz="0" w:space="0" w:color="auto"/>
      </w:divBdr>
    </w:div>
    <w:div w:id="1096293615">
      <w:bodyDiv w:val="1"/>
      <w:marLeft w:val="0"/>
      <w:marRight w:val="0"/>
      <w:marTop w:val="0"/>
      <w:marBottom w:val="0"/>
      <w:divBdr>
        <w:top w:val="none" w:sz="0" w:space="0" w:color="auto"/>
        <w:left w:val="none" w:sz="0" w:space="0" w:color="auto"/>
        <w:bottom w:val="none" w:sz="0" w:space="0" w:color="auto"/>
        <w:right w:val="none" w:sz="0" w:space="0" w:color="auto"/>
      </w:divBdr>
    </w:div>
    <w:div w:id="1104231510">
      <w:bodyDiv w:val="1"/>
      <w:marLeft w:val="0"/>
      <w:marRight w:val="0"/>
      <w:marTop w:val="0"/>
      <w:marBottom w:val="0"/>
      <w:divBdr>
        <w:top w:val="none" w:sz="0" w:space="0" w:color="auto"/>
        <w:left w:val="none" w:sz="0" w:space="0" w:color="auto"/>
        <w:bottom w:val="none" w:sz="0" w:space="0" w:color="auto"/>
        <w:right w:val="none" w:sz="0" w:space="0" w:color="auto"/>
      </w:divBdr>
    </w:div>
    <w:div w:id="1144159822">
      <w:bodyDiv w:val="1"/>
      <w:marLeft w:val="0"/>
      <w:marRight w:val="0"/>
      <w:marTop w:val="0"/>
      <w:marBottom w:val="0"/>
      <w:divBdr>
        <w:top w:val="none" w:sz="0" w:space="0" w:color="auto"/>
        <w:left w:val="none" w:sz="0" w:space="0" w:color="auto"/>
        <w:bottom w:val="none" w:sz="0" w:space="0" w:color="auto"/>
        <w:right w:val="none" w:sz="0" w:space="0" w:color="auto"/>
      </w:divBdr>
    </w:div>
    <w:div w:id="1233194723">
      <w:bodyDiv w:val="1"/>
      <w:marLeft w:val="0"/>
      <w:marRight w:val="0"/>
      <w:marTop w:val="0"/>
      <w:marBottom w:val="0"/>
      <w:divBdr>
        <w:top w:val="none" w:sz="0" w:space="0" w:color="auto"/>
        <w:left w:val="none" w:sz="0" w:space="0" w:color="auto"/>
        <w:bottom w:val="none" w:sz="0" w:space="0" w:color="auto"/>
        <w:right w:val="none" w:sz="0" w:space="0" w:color="auto"/>
      </w:divBdr>
    </w:div>
    <w:div w:id="1260796964">
      <w:bodyDiv w:val="1"/>
      <w:marLeft w:val="0"/>
      <w:marRight w:val="0"/>
      <w:marTop w:val="0"/>
      <w:marBottom w:val="0"/>
      <w:divBdr>
        <w:top w:val="none" w:sz="0" w:space="0" w:color="auto"/>
        <w:left w:val="none" w:sz="0" w:space="0" w:color="auto"/>
        <w:bottom w:val="none" w:sz="0" w:space="0" w:color="auto"/>
        <w:right w:val="none" w:sz="0" w:space="0" w:color="auto"/>
      </w:divBdr>
    </w:div>
    <w:div w:id="1546989412">
      <w:bodyDiv w:val="1"/>
      <w:marLeft w:val="0"/>
      <w:marRight w:val="0"/>
      <w:marTop w:val="0"/>
      <w:marBottom w:val="0"/>
      <w:divBdr>
        <w:top w:val="none" w:sz="0" w:space="0" w:color="auto"/>
        <w:left w:val="none" w:sz="0" w:space="0" w:color="auto"/>
        <w:bottom w:val="none" w:sz="0" w:space="0" w:color="auto"/>
        <w:right w:val="none" w:sz="0" w:space="0" w:color="auto"/>
      </w:divBdr>
    </w:div>
    <w:div w:id="1586911652">
      <w:bodyDiv w:val="1"/>
      <w:marLeft w:val="0"/>
      <w:marRight w:val="0"/>
      <w:marTop w:val="0"/>
      <w:marBottom w:val="0"/>
      <w:divBdr>
        <w:top w:val="none" w:sz="0" w:space="0" w:color="auto"/>
        <w:left w:val="none" w:sz="0" w:space="0" w:color="auto"/>
        <w:bottom w:val="none" w:sz="0" w:space="0" w:color="auto"/>
        <w:right w:val="none" w:sz="0" w:space="0" w:color="auto"/>
      </w:divBdr>
    </w:div>
    <w:div w:id="1886872514">
      <w:bodyDiv w:val="1"/>
      <w:marLeft w:val="0"/>
      <w:marRight w:val="0"/>
      <w:marTop w:val="0"/>
      <w:marBottom w:val="0"/>
      <w:divBdr>
        <w:top w:val="none" w:sz="0" w:space="0" w:color="auto"/>
        <w:left w:val="none" w:sz="0" w:space="0" w:color="auto"/>
        <w:bottom w:val="none" w:sz="0" w:space="0" w:color="auto"/>
        <w:right w:val="none" w:sz="0" w:space="0" w:color="auto"/>
      </w:divBdr>
    </w:div>
    <w:div w:id="19851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ss.gov/elders/docs/reg-651cmr003.pdf" TargetMode="External"/><Relationship Id="rId21" Type="http://schemas.openxmlformats.org/officeDocument/2006/relationships/hyperlink" Target="https://www.medicaid.gov/federal-policy-guidance/downloads/smd19001.pdf" TargetMode="External"/><Relationship Id="rId42" Type="http://schemas.openxmlformats.org/officeDocument/2006/relationships/hyperlink" Target="https://www.mass.gov/doc/115-cmr-500-standards-to-promote-dignity/download" TargetMode="External"/><Relationship Id="rId63" Type="http://schemas.openxmlformats.org/officeDocument/2006/relationships/hyperlink" Target="https://www.mass.gov/doc/policy-for-abi-rh-and-mfp-rs-waivers-0/download" TargetMode="External"/><Relationship Id="rId84" Type="http://schemas.openxmlformats.org/officeDocument/2006/relationships/hyperlink" Target="https://www.mass.gov/doc/130-cmr-630-home-and-community-based-services-waiver-services/download" TargetMode="External"/><Relationship Id="rId138" Type="http://schemas.openxmlformats.org/officeDocument/2006/relationships/hyperlink" Target="https://www.mass.gov/doc/adult-foster-care-bulletin-28-additional-guidance-for-adult-foster-care-providers-regarding-certain-home-and-community-based-services-0/download" TargetMode="External"/><Relationship Id="rId159" Type="http://schemas.openxmlformats.org/officeDocument/2006/relationships/hyperlink" Target="https://www.mass.gov/doc/dds-central-state-ops-provider-report-2022/download" TargetMode="External"/><Relationship Id="rId170" Type="http://schemas.openxmlformats.org/officeDocument/2006/relationships/hyperlink" Target="https://maltss.my.salesforce.com/sfc/p/41000002kDSL/a/8Y000000lzbO/FnQm6NQcwKhDxK3YRJ0ZXdeYPQ3jYZmYO4a5cAfFRC8" TargetMode="External"/><Relationship Id="rId107" Type="http://schemas.openxmlformats.org/officeDocument/2006/relationships/hyperlink" Target="https://www.mass.gov/doc/130-cmr-630-home-and-community-based-services-waiver-services/download" TargetMode="External"/><Relationship Id="rId11" Type="http://schemas.openxmlformats.org/officeDocument/2006/relationships/header" Target="header1.xml"/><Relationship Id="rId32" Type="http://schemas.openxmlformats.org/officeDocument/2006/relationships/hyperlink" Target="https://www.mass.gov/doc/115-cmr-500-standards-to-promote-dignity/download" TargetMode="External"/><Relationship Id="rId53" Type="http://schemas.openxmlformats.org/officeDocument/2006/relationships/hyperlink" Target="https://urldefense.com/v3/__https:/www.mass.gov/doc/dds-guidance-on-locks-october-2022/download__;!!NwMct28-Ww!PA78r2Xfd2TbUGrzpjXjgydquqa-FLAjDZRFw_C6Htqb2n85H_gRWY6JCfpkPvMGDsO4k5-j8nEDYyjzQKXT1usMW9ZgDT_X$" TargetMode="External"/><Relationship Id="rId74" Type="http://schemas.openxmlformats.org/officeDocument/2006/relationships/hyperlink" Target="https://www.mass.gov/doc/115-cmr-5-standards-to-promote-dignity/download" TargetMode="External"/><Relationship Id="rId128" Type="http://schemas.openxmlformats.org/officeDocument/2006/relationships/hyperlink" Target="https://documentlibrary.800ageinfo.com/2023/01/1915-c-home-and-community-based-services-waiver-for-frail-elders-program-guidelines.html" TargetMode="External"/><Relationship Id="rId149" Type="http://schemas.openxmlformats.org/officeDocument/2006/relationships/hyperlink" Target="https://www.mass.gov/doc/dds-appendix-f-survey-of-community-based-day-services/" TargetMode="External"/><Relationship Id="rId5" Type="http://schemas.openxmlformats.org/officeDocument/2006/relationships/numbering" Target="numbering.xml"/><Relationship Id="rId95" Type="http://schemas.openxmlformats.org/officeDocument/2006/relationships/hyperlink" Target="https://www.mass.gov/doc/adult-foster-care-bulletin-28-additional-guidance-for-adult-foster-care-providers-regarding-certain-home-and-community-based-services-0/download" TargetMode="External"/><Relationship Id="rId160" Type="http://schemas.openxmlformats.org/officeDocument/2006/relationships/hyperlink" Target="https://www.mass.gov/doc/charles-river-center-follow-up-2022/download" TargetMode="External"/><Relationship Id="rId22" Type="http://schemas.openxmlformats.org/officeDocument/2006/relationships/header" Target="header5.xml"/><Relationship Id="rId43" Type="http://schemas.openxmlformats.org/officeDocument/2006/relationships/hyperlink" Target="https://www.mass.gov/doc/policy-for-abi-rh-and-mfp-rs-waivers-0/download" TargetMode="External"/><Relationship Id="rId64" Type="http://schemas.openxmlformats.org/officeDocument/2006/relationships/hyperlink" Target="https://www.mass.gov/doc/abi-mfp-participant-handbook-0/download" TargetMode="External"/><Relationship Id="rId118" Type="http://schemas.openxmlformats.org/officeDocument/2006/relationships/hyperlink" Target="https://www.mass.gov/files/documents/2016/07/ug/program-instruction-09-13.pdf" TargetMode="External"/><Relationship Id="rId139" Type="http://schemas.openxmlformats.org/officeDocument/2006/relationships/hyperlink" Target="https://www.medicaid.gov/federal-policy-guidance/downloads/smd19001.pdf" TargetMode="External"/><Relationship Id="rId85" Type="http://schemas.openxmlformats.org/officeDocument/2006/relationships/hyperlink" Target="https://www.mass.gov/doc/mrc-practices-policies-and-procedures-0/download" TargetMode="External"/><Relationship Id="rId150" Type="http://schemas.openxmlformats.org/officeDocument/2006/relationships/hyperlink" Target="https://www.medicaid.gov/medicaid/section-1115-demo/demonstration-and-waiver-list/82036" TargetMode="External"/><Relationship Id="rId171" Type="http://schemas.openxmlformats.org/officeDocument/2006/relationships/hyperlink" Target="https://maltss.my.salesforce.com/sfc/p/41000002kDSL/a/8Y000000lzbT/vEx0tefupumX.ebHb497Qjl_5qeHZRFAh2rArUoyNSM" TargetMode="External"/><Relationship Id="rId12" Type="http://schemas.openxmlformats.org/officeDocument/2006/relationships/footer" Target="footer1.xml"/><Relationship Id="rId33" Type="http://schemas.openxmlformats.org/officeDocument/2006/relationships/hyperlink" Target="https://www.mass.gov/doc/115-cmr-500-standards-to-promote-dignity/download" TargetMode="External"/><Relationship Id="rId108" Type="http://schemas.openxmlformats.org/officeDocument/2006/relationships/hyperlink" Target="https://www.mass.gov/doc/mrc-practices-policies-and-procedures-0/download" TargetMode="External"/><Relationship Id="rId129" Type="http://schemas.openxmlformats.org/officeDocument/2006/relationships/hyperlink" Target="https://www.mass.gov/doc/adult-foster-care-bulletin-28-additional-guidance-for-adult-foster-care-providers-regarding-certain-home-and-community-based-services-0/download" TargetMode="External"/><Relationship Id="rId54" Type="http://schemas.openxmlformats.org/officeDocument/2006/relationships/hyperlink" Target="https://www.mass.gov/doc/policy-for-abi-rh-and-mfp-rs-waivers-0/download" TargetMode="External"/><Relationship Id="rId75" Type="http://schemas.openxmlformats.org/officeDocument/2006/relationships/hyperlink" Target="https://www.mass.gov/doc/115-cmr-6-eligibility-individual-support-planning-and-appeals/download" TargetMode="External"/><Relationship Id="rId96" Type="http://schemas.openxmlformats.org/officeDocument/2006/relationships/hyperlink" Target="https://www.mass.gov/doc/mrc-practices-policies-and-procedures-0/download" TargetMode="External"/><Relationship Id="rId140" Type="http://schemas.openxmlformats.org/officeDocument/2006/relationships/hyperlink" Target="https://www.mass.gov/doc/dds-blueprint-for-success-moving-forward-together" TargetMode="External"/><Relationship Id="rId161" Type="http://schemas.openxmlformats.org/officeDocument/2006/relationships/hyperlink" Target="https://www.mass.gov/doc/dds-western-region-1-provider-report-2022/download" TargetMode="External"/><Relationship Id="rId6" Type="http://schemas.openxmlformats.org/officeDocument/2006/relationships/styles" Target="styles.xml"/><Relationship Id="rId23" Type="http://schemas.openxmlformats.org/officeDocument/2006/relationships/header" Target="header6.xml"/><Relationship Id="rId28" Type="http://schemas.openxmlformats.org/officeDocument/2006/relationships/hyperlink" Target="https://www.mass.gov/doc/115-cmr-6-eligibility-individual-support-planning-and-appeals/download" TargetMode="External"/><Relationship Id="rId49" Type="http://schemas.openxmlformats.org/officeDocument/2006/relationships/hyperlink" Target="https://www.mass.gov/doc/chart-4-licensure-tool-2022/download" TargetMode="External"/><Relationship Id="rId114" Type="http://schemas.openxmlformats.org/officeDocument/2006/relationships/hyperlink" Target="http://www.medicaid.gov/Medicaid-CHIP-Program-Information/By-Topics/Waivers/Downloads/MA0059.zip" TargetMode="External"/><Relationship Id="rId119" Type="http://schemas.openxmlformats.org/officeDocument/2006/relationships/hyperlink" Target="https://www.mass.gov/doc/program-instruction-97-31-medicaid-waiver-manual-clarification-0/download" TargetMode="External"/><Relationship Id="rId44" Type="http://schemas.openxmlformats.org/officeDocument/2006/relationships/hyperlink" Target="https://www.mass.gov/doc/abi-mfp-participant-handbook-0/download" TargetMode="External"/><Relationship Id="rId60" Type="http://schemas.openxmlformats.org/officeDocument/2006/relationships/hyperlink" Target="https://www.mass.gov/doc/abi-mfp-participant-handbook-0/download" TargetMode="External"/><Relationship Id="rId65" Type="http://schemas.openxmlformats.org/officeDocument/2006/relationships/hyperlink" Target="https://urldefense.com/v3/__https:/www.mass.gov/doc/dds-guidance-on-visitation-october-2022/download__;!!NwMct28-Ww!PA78r2Xfd2TbUGrzpjXjgydquqa-FLAjDZRFw_C6Htqb2n85H_gRWY6JCfpkPvMGDsO4k5-j8nEDYyjzQKXT1usMW6Yu1zGw$" TargetMode="External"/><Relationship Id="rId81" Type="http://schemas.openxmlformats.org/officeDocument/2006/relationships/hyperlink" Target="https://www.mass.gov/doc/adult-foster-care-bulletin-28-additional-guidance-for-adult-foster-care-providers-regarding-certain-home-and-community-based-services-0/download" TargetMode="External"/><Relationship Id="rId86" Type="http://schemas.openxmlformats.org/officeDocument/2006/relationships/hyperlink" Target="https://www.mass.gov/doc/130-cmr-630-home-and-community-based-services-waiver-services/download" TargetMode="External"/><Relationship Id="rId130" Type="http://schemas.openxmlformats.org/officeDocument/2006/relationships/hyperlink" Target="https://www.mass.gov/doc/651-cmr-3-home-care-program/download" TargetMode="External"/><Relationship Id="rId135" Type="http://schemas.openxmlformats.org/officeDocument/2006/relationships/hyperlink" Target="https://www.mass.gov/doc/adult-foster-care-bulletin-28-additional-guidance-for-adult-foster-care-providers-regarding-certain-home-and-community-based-services-0/download" TargetMode="External"/><Relationship Id="rId151" Type="http://schemas.openxmlformats.org/officeDocument/2006/relationships/hyperlink" Target="https://www.mass.gov/doc/responses-to-comments-received-on-the-massachusetts-transition-plan/download" TargetMode="External"/><Relationship Id="rId156" Type="http://schemas.openxmlformats.org/officeDocument/2006/relationships/hyperlink" Target="https://www.mass.gov/doc/berkshire-hills-music-academy-provider-report-2023/download" TargetMode="External"/><Relationship Id="rId177" Type="http://schemas.openxmlformats.org/officeDocument/2006/relationships/theme" Target="theme/theme1.xml"/><Relationship Id="rId172" Type="http://schemas.openxmlformats.org/officeDocument/2006/relationships/hyperlink" Target="https://maltss.my.salesforce.com/sfc/p/41000002kDSL/a/8Y000000lzbJ/r0QAJI2Zt.gsV4j3bK8eyqKNngA.NxPh33gWeeOV2Ts" TargetMode="External"/><Relationship Id="rId13" Type="http://schemas.openxmlformats.org/officeDocument/2006/relationships/header" Target="header2.xml"/><Relationship Id="rId18" Type="http://schemas.openxmlformats.org/officeDocument/2006/relationships/hyperlink" Target="https://www.mass.gov/service-details/statewide-transition-plan-for-compliance-with-the-home-and-community-based-services" TargetMode="External"/><Relationship Id="rId39" Type="http://schemas.openxmlformats.org/officeDocument/2006/relationships/hyperlink" Target="https://www.mass.gov/doc/115-cmr-7-standards-for-all-services-and-supports/download" TargetMode="External"/><Relationship Id="rId109" Type="http://schemas.openxmlformats.org/officeDocument/2006/relationships/hyperlink" Target="https://www.mass.gov/doc/adult-foster-care-bulletin-28-additional-guidance-for-adult-foster-care-providers-regarding-certain-home-and-community-based-services-0/download" TargetMode="External"/><Relationship Id="rId34" Type="http://schemas.openxmlformats.org/officeDocument/2006/relationships/hyperlink" Target="https://www.mass.gov/doc/115-cmr-500-standards-to-promote-dignity/download" TargetMode="External"/><Relationship Id="rId50" Type="http://schemas.openxmlformats.org/officeDocument/2006/relationships/hyperlink" Target="https://www.mass.gov/doc/adult-foster-care-bulletin-28-additional-guidance-for-adult-foster-care-providers-regarding-certain-home-and-community-based-services-0/download" TargetMode="External"/><Relationship Id="rId55" Type="http://schemas.openxmlformats.org/officeDocument/2006/relationships/hyperlink" Target="https://www.mass.gov/doc/abi-mfp-participant-handbook-0/download" TargetMode="External"/><Relationship Id="rId76" Type="http://schemas.openxmlformats.org/officeDocument/2006/relationships/hyperlink" Target="https://www.mass.gov/doc/policy-for-abi-rh-and-mfp-rs-waivers-0/download" TargetMode="External"/><Relationship Id="rId97" Type="http://schemas.openxmlformats.org/officeDocument/2006/relationships/hyperlink" Target="https://www.mass.gov/doc/adult-foster-care-bulletin-28-additional-guidance-for-adult-foster-care-providers-regarding-certain-home-and-community-based-services-0/download" TargetMode="External"/><Relationship Id="rId104" Type="http://schemas.openxmlformats.org/officeDocument/2006/relationships/hyperlink" Target="https://www.mass.gov/doc/mrc-practices-policies-and-procedures-0/download" TargetMode="External"/><Relationship Id="rId120" Type="http://schemas.openxmlformats.org/officeDocument/2006/relationships/hyperlink" Target="https://www.mass.gov/files/documents/2016/07/ug/program-instruction-09-13.pdf" TargetMode="External"/><Relationship Id="rId125" Type="http://schemas.openxmlformats.org/officeDocument/2006/relationships/hyperlink" Target="https://documentlibrary.800ageinfo.com/2023/01/1915-c-home-and-community-based-services-waiver-for-frail-elders-program-guidelines.html" TargetMode="External"/><Relationship Id="rId141" Type="http://schemas.openxmlformats.org/officeDocument/2006/relationships/hyperlink" Target="https://www.mass.gov/doc/blueprint-for-success/download" TargetMode="External"/><Relationship Id="rId146" Type="http://schemas.openxmlformats.org/officeDocument/2006/relationships/hyperlink" Target="https://www.ddslearning.com/isp" TargetMode="External"/><Relationship Id="rId167" Type="http://schemas.openxmlformats.org/officeDocument/2006/relationships/hyperlink" Target="https://www.mass.gov/doc/templeton-community-services-provider-report-2022/download" TargetMode="External"/><Relationship Id="rId7" Type="http://schemas.openxmlformats.org/officeDocument/2006/relationships/settings" Target="settings.xml"/><Relationship Id="rId71" Type="http://schemas.openxmlformats.org/officeDocument/2006/relationships/hyperlink" Target="https://www.mass.gov/doc/115-cmr-5-standards-to-promote-dignity/download" TargetMode="External"/><Relationship Id="rId92" Type="http://schemas.openxmlformats.org/officeDocument/2006/relationships/hyperlink" Target="https://www.mass.gov/doc/mrc-practices-policies-and-procedures-0/download" TargetMode="External"/><Relationship Id="rId162" Type="http://schemas.openxmlformats.org/officeDocument/2006/relationships/hyperlink" Target="https://www.mass.gov/doc/crystal-springs-2021/download" TargetMode="External"/><Relationship Id="rId2" Type="http://schemas.openxmlformats.org/officeDocument/2006/relationships/customXml" Target="../customXml/item2.xml"/><Relationship Id="rId29" Type="http://schemas.openxmlformats.org/officeDocument/2006/relationships/hyperlink" Target="https://www.mass.gov/doc/policy-for-abi-rh-and-mfp-rs-waivers-0/download" TargetMode="External"/><Relationship Id="rId24" Type="http://schemas.openxmlformats.org/officeDocument/2006/relationships/footer" Target="footer4.xml"/><Relationship Id="rId40" Type="http://schemas.openxmlformats.org/officeDocument/2006/relationships/hyperlink" Target="https://www.mass.gov/doc/115-cmr-500-standards-to-promote-dignity/download" TargetMode="External"/><Relationship Id="rId45" Type="http://schemas.openxmlformats.org/officeDocument/2006/relationships/hyperlink" Target="https://www.mass.gov/doc/115-cmr-6-eligibility-individual-support-planning-and-appeals/download" TargetMode="External"/><Relationship Id="rId66" Type="http://schemas.openxmlformats.org/officeDocument/2006/relationships/hyperlink" Target="https://www.mass.gov/doc/adult-foster-care-bulletin-28-additional-guidance-for-adult-foster-care-providers-regarding-certain-home-and-community-based-services-0/download" TargetMode="External"/><Relationship Id="rId87" Type="http://schemas.openxmlformats.org/officeDocument/2006/relationships/hyperlink" Target="https://www.mass.gov/doc/mrc-practices-policies-and-procedures-0/download" TargetMode="External"/><Relationship Id="rId110" Type="http://schemas.openxmlformats.org/officeDocument/2006/relationships/hyperlink" Target="https://www.mass.gov/doc/651-cmr-3-home-care-program/download" TargetMode="External"/><Relationship Id="rId115" Type="http://schemas.openxmlformats.org/officeDocument/2006/relationships/hyperlink" Target="https://www.mass.gov/files/documents/2016/07/ug/program-instruction-09-13.pdf" TargetMode="External"/><Relationship Id="rId131" Type="http://schemas.openxmlformats.org/officeDocument/2006/relationships/hyperlink" Target="https://documentlibrary.800ageinfo.com/2023/01/1915-c-home-and-community-based-services-waiver-for-frail-elders-program-guidelines.html" TargetMode="External"/><Relationship Id="rId136" Type="http://schemas.openxmlformats.org/officeDocument/2006/relationships/hyperlink" Target="https://www.mass.gov/doc/651-cmr-3-home-care-program/download" TargetMode="External"/><Relationship Id="rId157" Type="http://schemas.openxmlformats.org/officeDocument/2006/relationships/hyperlink" Target="https://www.mass.gov/doc/justice-resource-institute-2020/download" TargetMode="External"/><Relationship Id="rId61" Type="http://schemas.openxmlformats.org/officeDocument/2006/relationships/hyperlink" Target="https://www.mass.gov/doc/adult-foster-care-bulletin-28-additional-guidance-for-adult-foster-care-providers-regarding-certain-home-and-community-based-services-0/download" TargetMode="External"/><Relationship Id="rId82" Type="http://schemas.openxmlformats.org/officeDocument/2006/relationships/hyperlink" Target="https://www.mass.gov/doc/130-cmr-630-home-and-community-based-services-waiver-services/download" TargetMode="External"/><Relationship Id="rId152" Type="http://schemas.openxmlformats.org/officeDocument/2006/relationships/hyperlink" Target="https://www.mass.gov/doc/attachment-d-responses-to-comments-received-on-the-addendum-for-non-residential-services/download" TargetMode="External"/><Relationship Id="rId173" Type="http://schemas.openxmlformats.org/officeDocument/2006/relationships/header" Target="header7.xml"/><Relationship Id="rId19" Type="http://schemas.openxmlformats.org/officeDocument/2006/relationships/hyperlink" Target="http://www.mass.gov/lists/ddshcbs-community-rule" TargetMode="External"/><Relationship Id="rId14" Type="http://schemas.openxmlformats.org/officeDocument/2006/relationships/footer" Target="footer2.xml"/><Relationship Id="rId30" Type="http://schemas.openxmlformats.org/officeDocument/2006/relationships/hyperlink" Target="https://www.mass.gov/doc/abi-mfp-participant-handbook-0/download" TargetMode="External"/><Relationship Id="rId35" Type="http://schemas.openxmlformats.org/officeDocument/2006/relationships/hyperlink" Target="https://www.mass.gov/doc/115-cmr-500-standards-to-promote-dignity/download" TargetMode="External"/><Relationship Id="rId56" Type="http://schemas.openxmlformats.org/officeDocument/2006/relationships/hyperlink" Target="https://www.mass.gov/doc/adult-foster-care-bulletin-28-additional-guidance-for-adult-foster-care-providers-regarding-certain-home-and-community-based-services-0/download" TargetMode="External"/><Relationship Id="rId77" Type="http://schemas.openxmlformats.org/officeDocument/2006/relationships/hyperlink" Target="https://www.mass.gov/doc/abi-mfp-participant-handbook-0/download" TargetMode="External"/><Relationship Id="rId100" Type="http://schemas.openxmlformats.org/officeDocument/2006/relationships/hyperlink" Target="https://www.mass.gov/doc/adult-foster-care-bulletin-28-additional-guidance-for-adult-foster-care-providers-regarding-certain-home-and-community-based-services-0/download" TargetMode="External"/><Relationship Id="rId105" Type="http://schemas.openxmlformats.org/officeDocument/2006/relationships/hyperlink" Target="https://www.mass.gov/doc/130-cmr-630-home-and-community-based-services-waiver-services/download" TargetMode="External"/><Relationship Id="rId126" Type="http://schemas.openxmlformats.org/officeDocument/2006/relationships/hyperlink" Target="https://www.mass.gov/doc/adult-foster-care-bulletin-28-additional-guidance-for-adult-foster-care-providers-regarding-certain-home-and-community-based-services-0/download" TargetMode="External"/><Relationship Id="rId147" Type="http://schemas.openxmlformats.org/officeDocument/2006/relationships/hyperlink" Target="https://www.mass.gov/doc/fy21-progress-report/download" TargetMode="External"/><Relationship Id="rId168" Type="http://schemas.openxmlformats.org/officeDocument/2006/relationships/hyperlink" Target="https://www.mass.gov/doc/the-ledges-provider-report-2022/download" TargetMode="External"/><Relationship Id="rId8" Type="http://schemas.openxmlformats.org/officeDocument/2006/relationships/webSettings" Target="webSettings.xml"/><Relationship Id="rId51" Type="http://schemas.openxmlformats.org/officeDocument/2006/relationships/hyperlink" Target="https://www.mass.gov/doc/115-cmr-7-standards-for-all-services-and-supports/download" TargetMode="External"/><Relationship Id="rId72" Type="http://schemas.openxmlformats.org/officeDocument/2006/relationships/hyperlink" Target="https://www.mass.gov/doc/115-cmr-7-standards-for-all-services-and-supports/download" TargetMode="External"/><Relationship Id="rId93" Type="http://schemas.openxmlformats.org/officeDocument/2006/relationships/hyperlink" Target="https://www.mass.gov/doc/abi-mfp-participant-handbook-0/download" TargetMode="External"/><Relationship Id="rId98" Type="http://schemas.openxmlformats.org/officeDocument/2006/relationships/hyperlink" Target="https://www.mass.gov/doc/130-cmr-630-home-and-community-based-services-waiver-services/download" TargetMode="External"/><Relationship Id="rId121" Type="http://schemas.openxmlformats.org/officeDocument/2006/relationships/hyperlink" Target="https://www.mass.gov/doc/651-cmr-3-home-care-program/download" TargetMode="External"/><Relationship Id="rId142" Type="http://schemas.openxmlformats.org/officeDocument/2006/relationships/hyperlink" Target="https://urldefense.com/v3/__https:/www.mass.gov/doc/dds-guidance-on-locks-october-2022/download__;!!NwMct28-Ww!PA78r2Xfd2TbUGrzpjXjgydquqa-FLAjDZRFw_C6Htqb2n85H_gRWY6JCfpkPvMGDsO4k5-j8nEDYyjzQKXT1usMW9ZgDT_X$" TargetMode="External"/><Relationship Id="rId163" Type="http://schemas.openxmlformats.org/officeDocument/2006/relationships/hyperlink" Target="https://www.mass.gov/doc/dr-franklin-perkins-school-2019/download" TargetMode="External"/><Relationship Id="rId3" Type="http://schemas.openxmlformats.org/officeDocument/2006/relationships/customXml" Target="../customXml/item3.xml"/><Relationship Id="rId25" Type="http://schemas.openxmlformats.org/officeDocument/2006/relationships/hyperlink" Target="https://www.mass.gov/doc/115-cmr-7-standards-for-all-services-and-supports/download" TargetMode="External"/><Relationship Id="rId46" Type="http://schemas.openxmlformats.org/officeDocument/2006/relationships/hyperlink" Target="https://www.mass.gov/doc/115-cmr-500-standards-to-promote-dignity/download" TargetMode="External"/><Relationship Id="rId67" Type="http://schemas.openxmlformats.org/officeDocument/2006/relationships/hyperlink" Target="https://www.mass.gov/doc/115-cmr-7-standards-for-all-services-and-supports/download" TargetMode="External"/><Relationship Id="rId116" Type="http://schemas.openxmlformats.org/officeDocument/2006/relationships/hyperlink" Target="https://documentlibrary.800ageinfo.com/2023/01/1915-c-home-and-community-based-services-waiver-for-frail-elders-program-guidelines.html" TargetMode="External"/><Relationship Id="rId137" Type="http://schemas.openxmlformats.org/officeDocument/2006/relationships/hyperlink" Target="https://documentlibrary.800ageinfo.com/2023/01/1915-c-home-and-community-based-services-waiver-for-frail-elders-program-guidelines.html" TargetMode="External"/><Relationship Id="rId158" Type="http://schemas.openxmlformats.org/officeDocument/2006/relationships/hyperlink" Target="https://www.mass.gov/doc/cardinal-cushing-centers-2021/download" TargetMode="External"/><Relationship Id="rId20" Type="http://schemas.openxmlformats.org/officeDocument/2006/relationships/hyperlink" Target="https://employmentfirstma.org/" TargetMode="External"/><Relationship Id="rId41" Type="http://schemas.openxmlformats.org/officeDocument/2006/relationships/hyperlink" Target="https://www.mass.gov/doc/115-cmr-500-standards-to-promote-dignity/download" TargetMode="External"/><Relationship Id="rId62" Type="http://schemas.openxmlformats.org/officeDocument/2006/relationships/hyperlink" Target="https://www.mass.gov/doc/115-cmr-500-standards-to-promote-dignity/download" TargetMode="External"/><Relationship Id="rId83" Type="http://schemas.openxmlformats.org/officeDocument/2006/relationships/hyperlink" Target="https://www.mass.gov/doc/mrc-practices-policies-and-procedures-0/download" TargetMode="External"/><Relationship Id="rId88" Type="http://schemas.openxmlformats.org/officeDocument/2006/relationships/hyperlink" Target="https://www.mass.gov/doc/130-cmr-630-home-and-community-based-services-waiver-services/download" TargetMode="External"/><Relationship Id="rId111" Type="http://schemas.openxmlformats.org/officeDocument/2006/relationships/hyperlink" Target="https://documentlibrary.800ageinfo.com/2023/01/1915-c-home-and-community-based-services-waiver-for-frail-elders-program-guidelines.html" TargetMode="External"/><Relationship Id="rId132" Type="http://schemas.openxmlformats.org/officeDocument/2006/relationships/hyperlink" Target="https://www.mass.gov/doc/adult-foster-care-bulletin-28-additional-guidance-for-adult-foster-care-providers-regarding-certain-home-and-community-based-services-0/download" TargetMode="External"/><Relationship Id="rId153" Type="http://schemas.openxmlformats.org/officeDocument/2006/relationships/hyperlink" Target="https://www.mass.gov/doc/summary-of-public-input-0/download" TargetMode="External"/><Relationship Id="rId174" Type="http://schemas.openxmlformats.org/officeDocument/2006/relationships/header" Target="header8.xml"/><Relationship Id="rId15" Type="http://schemas.openxmlformats.org/officeDocument/2006/relationships/header" Target="header3.xml"/><Relationship Id="rId36" Type="http://schemas.openxmlformats.org/officeDocument/2006/relationships/hyperlink" Target="https://www.mass.gov/doc/115-cmr-500-standards-to-promote-dignity/download" TargetMode="External"/><Relationship Id="rId57" Type="http://schemas.openxmlformats.org/officeDocument/2006/relationships/hyperlink" Target="https://www.mass.gov/doc/115-cmr-7-standards-for-all-services-and-supports/download" TargetMode="External"/><Relationship Id="rId106" Type="http://schemas.openxmlformats.org/officeDocument/2006/relationships/hyperlink" Target="https://www.mass.gov/doc/adult-foster-care-bulletin-28-additional-guidance-for-adult-foster-care-providers-regarding-certain-home-and-community-based-services-0/download" TargetMode="External"/><Relationship Id="rId127" Type="http://schemas.openxmlformats.org/officeDocument/2006/relationships/hyperlink" Target="https://www.mass.gov/doc/651-cmr-3-home-care-program/download" TargetMode="External"/><Relationship Id="rId10" Type="http://schemas.openxmlformats.org/officeDocument/2006/relationships/endnotes" Target="endnotes.xml"/><Relationship Id="rId31" Type="http://schemas.openxmlformats.org/officeDocument/2006/relationships/hyperlink" Target="https://www.mass.gov/doc/115-cmr-7-standards-for-all-services-and-supports/download" TargetMode="External"/><Relationship Id="rId52" Type="http://schemas.openxmlformats.org/officeDocument/2006/relationships/hyperlink" Target="https://www.mass.gov/doc/guidance-on-locks-1/download" TargetMode="External"/><Relationship Id="rId73" Type="http://schemas.openxmlformats.org/officeDocument/2006/relationships/hyperlink" Target="https://www.mass.gov/doc/115-cmr-5-standards-to-promote-dignity/download" TargetMode="External"/><Relationship Id="rId78" Type="http://schemas.openxmlformats.org/officeDocument/2006/relationships/hyperlink" Target="https://www.mass.gov/doc/guidance-on-locks-1/download" TargetMode="External"/><Relationship Id="rId94" Type="http://schemas.openxmlformats.org/officeDocument/2006/relationships/hyperlink" Target="https://www.mass.gov/doc/mrc-practices-policies-and-procedures-0/download" TargetMode="External"/><Relationship Id="rId99" Type="http://schemas.openxmlformats.org/officeDocument/2006/relationships/hyperlink" Target="https://www.mass.gov/doc/mrc-practices-policies-and-procedures-0/download" TargetMode="External"/><Relationship Id="rId101" Type="http://schemas.openxmlformats.org/officeDocument/2006/relationships/hyperlink" Target="https://www.mass.gov/doc/mrc-practices-policies-and-procedures-0/download" TargetMode="External"/><Relationship Id="rId122" Type="http://schemas.openxmlformats.org/officeDocument/2006/relationships/hyperlink" Target="https://documentlibrary.800ageinfo.com/2023/01/1915-c-home-and-community-based-services-waiver-for-frail-elders-program-guidelines.html" TargetMode="External"/><Relationship Id="rId143" Type="http://schemas.openxmlformats.org/officeDocument/2006/relationships/hyperlink" Target="https://www.mass.gov/doc/guidance-on-locks-1/download" TargetMode="External"/><Relationship Id="rId148" Type="http://schemas.openxmlformats.org/officeDocument/2006/relationships/hyperlink" Target="https://www.mass.gov/doc/dds-appendix-d-dds-criteria-for-review-of-provider-transition-plans-2" TargetMode="External"/><Relationship Id="rId164" Type="http://schemas.openxmlformats.org/officeDocument/2006/relationships/hyperlink" Target="https://www.mass.gov/doc/new-england-village-2022/download" TargetMode="External"/><Relationship Id="rId169" Type="http://schemas.openxmlformats.org/officeDocument/2006/relationships/hyperlink" Target="https://maltss.my.salesforce.com/sfc/p/41000002kDSL/a/8Y000000lzbE/Xp2lsgAlj2nkaqdwWgD96bKXRiohyAsnzFuluibmoKQ"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lists/dds-policies" TargetMode="External"/><Relationship Id="rId47" Type="http://schemas.openxmlformats.org/officeDocument/2006/relationships/hyperlink" Target="https://www.mass.gov/doc/policy-for-abi-rh-and-mfp-rs-waivers-0/download" TargetMode="External"/><Relationship Id="rId68" Type="http://schemas.openxmlformats.org/officeDocument/2006/relationships/hyperlink" Target="https://www.mass.gov/doc/adult-foster-care-bulletin-28-additional-guidance-for-adult-foster-care-providers-regarding-certain-home-and-community-based-services-0/download" TargetMode="External"/><Relationship Id="rId89" Type="http://schemas.openxmlformats.org/officeDocument/2006/relationships/hyperlink" Target="https://www.mass.gov/doc/mrc-practices-policies-and-procedures-0/download" TargetMode="External"/><Relationship Id="rId112" Type="http://schemas.openxmlformats.org/officeDocument/2006/relationships/hyperlink" Target="https://www.mass.gov/doc/program-instruction-09-20-service-plans-0/download?_ga=2.46133859.697212941.1647525260-1827296922.1639424660" TargetMode="External"/><Relationship Id="rId133" Type="http://schemas.openxmlformats.org/officeDocument/2006/relationships/hyperlink" Target="https://www.mass.gov/doc/651-cmr-3-home-care-program/download" TargetMode="External"/><Relationship Id="rId154" Type="http://schemas.openxmlformats.org/officeDocument/2006/relationships/hyperlink" Target="https://www.mass.gov/lists/dds-provider-licensing-reports" TargetMode="External"/><Relationship Id="rId175" Type="http://schemas.openxmlformats.org/officeDocument/2006/relationships/footer" Target="footer5.xml"/><Relationship Id="rId16" Type="http://schemas.openxmlformats.org/officeDocument/2006/relationships/header" Target="header4.xml"/><Relationship Id="rId37" Type="http://schemas.openxmlformats.org/officeDocument/2006/relationships/hyperlink" Target="https://www.mass.gov/doc/policy-for-abi-rh-and-mfp-rs-waivers-0/download" TargetMode="External"/><Relationship Id="rId58" Type="http://schemas.openxmlformats.org/officeDocument/2006/relationships/hyperlink" Target="https://www.mass.gov/doc/115-cmr-500-standards-to-promote-dignity/download" TargetMode="External"/><Relationship Id="rId79" Type="http://schemas.openxmlformats.org/officeDocument/2006/relationships/hyperlink" Target="https://urldefense.com/v3/__https:/www.mass.gov/doc/dds-guidance-on-locks-october-2022/download__;!!NwMct28-Ww!PA78r2Xfd2TbUGrzpjXjgydquqa-FLAjDZRFw_C6Htqb2n85H_gRWY6JCfpkPvMGDsO4k5-j8nEDYyjzQKXT1usMW9ZgDT_X$" TargetMode="External"/><Relationship Id="rId102" Type="http://schemas.openxmlformats.org/officeDocument/2006/relationships/hyperlink" Target="https://www.mass.gov/doc/adult-foster-care-bulletin-28-additional-guidance-for-adult-foster-care-providers-regarding-certain-home-and-community-based-services-0/download" TargetMode="External"/><Relationship Id="rId123" Type="http://schemas.openxmlformats.org/officeDocument/2006/relationships/hyperlink" Target="https://www.mass.gov/doc/adult-foster-care-bulletin-28-additional-guidance-for-adult-foster-care-providers-regarding-certain-home-and-community-based-services-0/download" TargetMode="External"/><Relationship Id="rId144" Type="http://schemas.openxmlformats.org/officeDocument/2006/relationships/hyperlink" Target="https://www.mass.gov/doc/guidance-on-residential-agreements-2023/download" TargetMode="External"/><Relationship Id="rId90" Type="http://schemas.openxmlformats.org/officeDocument/2006/relationships/hyperlink" Target="https://www.mass.gov/doc/abi-mfp-participant-handbook-0/download" TargetMode="External"/><Relationship Id="rId165" Type="http://schemas.openxmlformats.org/officeDocument/2006/relationships/hyperlink" Target="https://www.mass.gov/doc/riverbrook-residence-provider-report-2022/download" TargetMode="External"/><Relationship Id="rId27" Type="http://schemas.openxmlformats.org/officeDocument/2006/relationships/hyperlink" Target="https://www.mass.gov/doc/115-cmr-7-standards-for-all-services-and-supports/download" TargetMode="External"/><Relationship Id="rId48" Type="http://schemas.openxmlformats.org/officeDocument/2006/relationships/hyperlink" Target="https://www.mass.gov/doc/abi-mfp-participant-handbook-0/download" TargetMode="External"/><Relationship Id="rId69" Type="http://schemas.openxmlformats.org/officeDocument/2006/relationships/hyperlink" Target="https://www.mass.gov/doc/115-cmr-500-standards-to-promote-dignity/download" TargetMode="External"/><Relationship Id="rId113" Type="http://schemas.openxmlformats.org/officeDocument/2006/relationships/hyperlink" Target="https://www.mass.gov/doc/651-cmr-3-home-care-program/download" TargetMode="External"/><Relationship Id="rId134" Type="http://schemas.openxmlformats.org/officeDocument/2006/relationships/hyperlink" Target="https://documentlibrary.800ageinfo.com/2023/01/1915-c-home-and-community-based-services-waiver-for-frail-elders-program-guidelines.html" TargetMode="External"/><Relationship Id="rId80" Type="http://schemas.openxmlformats.org/officeDocument/2006/relationships/hyperlink" Target="https://urldefense.com/v3/__https:/www.mass.gov/doc/dds-guidance-on-visitation-october-2022/download__;!!NwMct28-Ww!PA78r2Xfd2TbUGrzpjXjgydquqa-FLAjDZRFw_C6Htqb2n85H_gRWY6JCfpkPvMGDsO4k5-j8nEDYyjzQKXT1usMW6Yu1zGw$" TargetMode="External"/><Relationship Id="rId155" Type="http://schemas.openxmlformats.org/officeDocument/2006/relationships/hyperlink" Target="https://www.mass.gov/doc/archway-provider-report-2020/download" TargetMode="External"/><Relationship Id="rId176" Type="http://schemas.openxmlformats.org/officeDocument/2006/relationships/fontTable" Target="fontTable.xml"/><Relationship Id="rId17" Type="http://schemas.openxmlformats.org/officeDocument/2006/relationships/footer" Target="footer3.xml"/><Relationship Id="rId38" Type="http://schemas.openxmlformats.org/officeDocument/2006/relationships/hyperlink" Target="https://www.mass.gov/doc/abi-mfp-participant-handbook-0/download" TargetMode="External"/><Relationship Id="rId59" Type="http://schemas.openxmlformats.org/officeDocument/2006/relationships/hyperlink" Target="https://www.mass.gov/doc/policy-for-abi-rh-and-mfp-rs-waivers-0/download" TargetMode="External"/><Relationship Id="rId103" Type="http://schemas.openxmlformats.org/officeDocument/2006/relationships/hyperlink" Target="https://www.mass.gov/doc/130-cmr-630-home-and-community-based-services-waiver-services/download" TargetMode="External"/><Relationship Id="rId124" Type="http://schemas.openxmlformats.org/officeDocument/2006/relationships/hyperlink" Target="https://www.mass.gov/doc/651-cmr-3-home-care-program/download" TargetMode="External"/><Relationship Id="rId70" Type="http://schemas.openxmlformats.org/officeDocument/2006/relationships/hyperlink" Target="https://www.mass.gov/doc/115-cmr-5-standards-to-promote-dignity/download" TargetMode="External"/><Relationship Id="rId91" Type="http://schemas.openxmlformats.org/officeDocument/2006/relationships/hyperlink" Target="https://www.mass.gov/doc/130-cmr-630-home-and-community-based-services-waiver-services/download" TargetMode="External"/><Relationship Id="rId145" Type="http://schemas.openxmlformats.org/officeDocument/2006/relationships/hyperlink" Target="https://urldefense.com/v3/__https:/www.mass.gov/doc/dds-guidance-on-visitation-october-2022/download__;!!NwMct28-Ww!PA78r2Xfd2TbUGrzpjXjgydquqa-FLAjDZRFw_C6Htqb2n85H_gRWY6JCfpkPvMGDsO4k5-j8nEDYyjzQKXT1usMW6Yu1zGw$" TargetMode="External"/><Relationship Id="rId166" Type="http://schemas.openxmlformats.org/officeDocument/2006/relationships/hyperlink" Target="https://www.mass.gov/doc/dds-southeast-state-op-2022/download"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ba8dab06d0ab0fd22c676291191caa7d">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2c11464c1cb026edf95688b718eb72c8"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04126-EB5A-4AB5-987C-EDD409EDBEA3}">
  <ds:schemaRefs>
    <ds:schemaRef ds:uri="http://schemas.openxmlformats.org/officeDocument/2006/bibliography"/>
  </ds:schemaRefs>
</ds:datastoreItem>
</file>

<file path=customXml/itemProps2.xml><?xml version="1.0" encoding="utf-8"?>
<ds:datastoreItem xmlns:ds="http://schemas.openxmlformats.org/officeDocument/2006/customXml" ds:itemID="{E8B789A4-41F4-4636-B66C-020331FE912A}">
  <ds:schemaRefs>
    <ds:schemaRef ds:uri="http://schemas.microsoft.com/sharepoint/v3/contenttype/forms"/>
  </ds:schemaRefs>
</ds:datastoreItem>
</file>

<file path=customXml/itemProps3.xml><?xml version="1.0" encoding="utf-8"?>
<ds:datastoreItem xmlns:ds="http://schemas.openxmlformats.org/officeDocument/2006/customXml" ds:itemID="{A724AEA7-8381-4666-8688-A03E8A36C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2AF41-5B3A-4BB7-980C-7FF028C6A9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41078</Words>
  <Characters>234148</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274677</CharactersWithSpaces>
  <SharedDoc>false</SharedDoc>
  <HLinks>
    <vt:vector size="1032" baseType="variant">
      <vt:variant>
        <vt:i4>7864381</vt:i4>
      </vt:variant>
      <vt:variant>
        <vt:i4>543</vt:i4>
      </vt:variant>
      <vt:variant>
        <vt:i4>0</vt:i4>
      </vt:variant>
      <vt:variant>
        <vt:i4>5</vt:i4>
      </vt:variant>
      <vt:variant>
        <vt:lpwstr>https://maltss.my.salesforce.com/sfc/p/41000002kDSL/a/8Y000000lzbJ/r0QAJI2Zt.gsV4j3bK8eyqKNngA.NxPh33gWeeOV2Ts</vt:lpwstr>
      </vt:variant>
      <vt:variant>
        <vt:lpwstr/>
      </vt:variant>
      <vt:variant>
        <vt:i4>3604507</vt:i4>
      </vt:variant>
      <vt:variant>
        <vt:i4>540</vt:i4>
      </vt:variant>
      <vt:variant>
        <vt:i4>0</vt:i4>
      </vt:variant>
      <vt:variant>
        <vt:i4>5</vt:i4>
      </vt:variant>
      <vt:variant>
        <vt:lpwstr>https://maltss.my.salesforce.com/sfc/p/41000002kDSL/a/8Y000000lzbT/vEx0tefupumX.ebHb497Qjl_5qeHZRFAh2rArUoyNSM</vt:lpwstr>
      </vt:variant>
      <vt:variant>
        <vt:lpwstr/>
      </vt:variant>
      <vt:variant>
        <vt:i4>2228269</vt:i4>
      </vt:variant>
      <vt:variant>
        <vt:i4>537</vt:i4>
      </vt:variant>
      <vt:variant>
        <vt:i4>0</vt:i4>
      </vt:variant>
      <vt:variant>
        <vt:i4>5</vt:i4>
      </vt:variant>
      <vt:variant>
        <vt:lpwstr>https://maltss.my.salesforce.com/sfc/p/41000002kDSL/a/8Y000000lzbO/FnQm6NQcwKhDxK3YRJ0ZXdeYPQ3jYZmYO4a5cAfFRC8</vt:lpwstr>
      </vt:variant>
      <vt:variant>
        <vt:lpwstr/>
      </vt:variant>
      <vt:variant>
        <vt:i4>6488105</vt:i4>
      </vt:variant>
      <vt:variant>
        <vt:i4>534</vt:i4>
      </vt:variant>
      <vt:variant>
        <vt:i4>0</vt:i4>
      </vt:variant>
      <vt:variant>
        <vt:i4>5</vt:i4>
      </vt:variant>
      <vt:variant>
        <vt:lpwstr>https://maltss.my.salesforce.com/sfc/p/41000002kDSL/a/8Y000000lzbE/Xp2lsgAlj2nkaqdwWgD96bKXRiohyAsnzFuluibmoKQ</vt:lpwstr>
      </vt:variant>
      <vt:variant>
        <vt:lpwstr/>
      </vt:variant>
      <vt:variant>
        <vt:i4>5111877</vt:i4>
      </vt:variant>
      <vt:variant>
        <vt:i4>531</vt:i4>
      </vt:variant>
      <vt:variant>
        <vt:i4>0</vt:i4>
      </vt:variant>
      <vt:variant>
        <vt:i4>5</vt:i4>
      </vt:variant>
      <vt:variant>
        <vt:lpwstr>https://www.mass.gov/doc/the-ledges-provider-report-2022/download</vt:lpwstr>
      </vt:variant>
      <vt:variant>
        <vt:lpwstr/>
      </vt:variant>
      <vt:variant>
        <vt:i4>3866741</vt:i4>
      </vt:variant>
      <vt:variant>
        <vt:i4>528</vt:i4>
      </vt:variant>
      <vt:variant>
        <vt:i4>0</vt:i4>
      </vt:variant>
      <vt:variant>
        <vt:i4>5</vt:i4>
      </vt:variant>
      <vt:variant>
        <vt:lpwstr>https://www.mass.gov/doc/templeton-community-services-provider-report-2022/download</vt:lpwstr>
      </vt:variant>
      <vt:variant>
        <vt:lpwstr/>
      </vt:variant>
      <vt:variant>
        <vt:i4>589829</vt:i4>
      </vt:variant>
      <vt:variant>
        <vt:i4>525</vt:i4>
      </vt:variant>
      <vt:variant>
        <vt:i4>0</vt:i4>
      </vt:variant>
      <vt:variant>
        <vt:i4>5</vt:i4>
      </vt:variant>
      <vt:variant>
        <vt:lpwstr>https://www.mass.gov/doc/dds-southeast-state-op-2022/download</vt:lpwstr>
      </vt:variant>
      <vt:variant>
        <vt:lpwstr/>
      </vt:variant>
      <vt:variant>
        <vt:i4>8257653</vt:i4>
      </vt:variant>
      <vt:variant>
        <vt:i4>522</vt:i4>
      </vt:variant>
      <vt:variant>
        <vt:i4>0</vt:i4>
      </vt:variant>
      <vt:variant>
        <vt:i4>5</vt:i4>
      </vt:variant>
      <vt:variant>
        <vt:lpwstr>https://www.mass.gov/doc/riverbrook-residence-provider-report-2022/download</vt:lpwstr>
      </vt:variant>
      <vt:variant>
        <vt:lpwstr/>
      </vt:variant>
      <vt:variant>
        <vt:i4>6881322</vt:i4>
      </vt:variant>
      <vt:variant>
        <vt:i4>519</vt:i4>
      </vt:variant>
      <vt:variant>
        <vt:i4>0</vt:i4>
      </vt:variant>
      <vt:variant>
        <vt:i4>5</vt:i4>
      </vt:variant>
      <vt:variant>
        <vt:lpwstr>https://www.mass.gov/doc/new-england-village-2022/download</vt:lpwstr>
      </vt:variant>
      <vt:variant>
        <vt:lpwstr/>
      </vt:variant>
      <vt:variant>
        <vt:i4>5046341</vt:i4>
      </vt:variant>
      <vt:variant>
        <vt:i4>516</vt:i4>
      </vt:variant>
      <vt:variant>
        <vt:i4>0</vt:i4>
      </vt:variant>
      <vt:variant>
        <vt:i4>5</vt:i4>
      </vt:variant>
      <vt:variant>
        <vt:lpwstr>https://www.mass.gov/doc/dr-franklin-perkins-school-2019/download</vt:lpwstr>
      </vt:variant>
      <vt:variant>
        <vt:lpwstr/>
      </vt:variant>
      <vt:variant>
        <vt:i4>7798897</vt:i4>
      </vt:variant>
      <vt:variant>
        <vt:i4>513</vt:i4>
      </vt:variant>
      <vt:variant>
        <vt:i4>0</vt:i4>
      </vt:variant>
      <vt:variant>
        <vt:i4>5</vt:i4>
      </vt:variant>
      <vt:variant>
        <vt:lpwstr>https://www.mass.gov/doc/crystal-springs-2021/download</vt:lpwstr>
      </vt:variant>
      <vt:variant>
        <vt:lpwstr/>
      </vt:variant>
      <vt:variant>
        <vt:i4>8192037</vt:i4>
      </vt:variant>
      <vt:variant>
        <vt:i4>510</vt:i4>
      </vt:variant>
      <vt:variant>
        <vt:i4>0</vt:i4>
      </vt:variant>
      <vt:variant>
        <vt:i4>5</vt:i4>
      </vt:variant>
      <vt:variant>
        <vt:lpwstr>https://www.mass.gov/doc/dds-western-region-1-provider-report-2022/download</vt:lpwstr>
      </vt:variant>
      <vt:variant>
        <vt:lpwstr/>
      </vt:variant>
      <vt:variant>
        <vt:i4>5373977</vt:i4>
      </vt:variant>
      <vt:variant>
        <vt:i4>507</vt:i4>
      </vt:variant>
      <vt:variant>
        <vt:i4>0</vt:i4>
      </vt:variant>
      <vt:variant>
        <vt:i4>5</vt:i4>
      </vt:variant>
      <vt:variant>
        <vt:lpwstr>https://www.mass.gov/doc/charles-river-center-follow-up-2022/download</vt:lpwstr>
      </vt:variant>
      <vt:variant>
        <vt:lpwstr/>
      </vt:variant>
      <vt:variant>
        <vt:i4>4587591</vt:i4>
      </vt:variant>
      <vt:variant>
        <vt:i4>504</vt:i4>
      </vt:variant>
      <vt:variant>
        <vt:i4>0</vt:i4>
      </vt:variant>
      <vt:variant>
        <vt:i4>5</vt:i4>
      </vt:variant>
      <vt:variant>
        <vt:lpwstr>https://www.mass.gov/doc/dds-central-state-ops-provider-report-2022/download</vt:lpwstr>
      </vt:variant>
      <vt:variant>
        <vt:lpwstr/>
      </vt:variant>
      <vt:variant>
        <vt:i4>7798835</vt:i4>
      </vt:variant>
      <vt:variant>
        <vt:i4>501</vt:i4>
      </vt:variant>
      <vt:variant>
        <vt:i4>0</vt:i4>
      </vt:variant>
      <vt:variant>
        <vt:i4>5</vt:i4>
      </vt:variant>
      <vt:variant>
        <vt:lpwstr>https://www.mass.gov/doc/cardinal-cushing-centers-2021/download</vt:lpwstr>
      </vt:variant>
      <vt:variant>
        <vt:lpwstr/>
      </vt:variant>
      <vt:variant>
        <vt:i4>4849664</vt:i4>
      </vt:variant>
      <vt:variant>
        <vt:i4>498</vt:i4>
      </vt:variant>
      <vt:variant>
        <vt:i4>0</vt:i4>
      </vt:variant>
      <vt:variant>
        <vt:i4>5</vt:i4>
      </vt:variant>
      <vt:variant>
        <vt:lpwstr>https://www.mass.gov/doc/justice-resource-institute-2020/download</vt:lpwstr>
      </vt:variant>
      <vt:variant>
        <vt:lpwstr/>
      </vt:variant>
      <vt:variant>
        <vt:i4>5242949</vt:i4>
      </vt:variant>
      <vt:variant>
        <vt:i4>495</vt:i4>
      </vt:variant>
      <vt:variant>
        <vt:i4>0</vt:i4>
      </vt:variant>
      <vt:variant>
        <vt:i4>5</vt:i4>
      </vt:variant>
      <vt:variant>
        <vt:lpwstr>https://www.mass.gov/doc/berkshire-hills-music-academy-provider-report-2023/download</vt:lpwstr>
      </vt:variant>
      <vt:variant>
        <vt:lpwstr/>
      </vt:variant>
      <vt:variant>
        <vt:i4>2424951</vt:i4>
      </vt:variant>
      <vt:variant>
        <vt:i4>492</vt:i4>
      </vt:variant>
      <vt:variant>
        <vt:i4>0</vt:i4>
      </vt:variant>
      <vt:variant>
        <vt:i4>5</vt:i4>
      </vt:variant>
      <vt:variant>
        <vt:lpwstr>https://www.mass.gov/doc/archway-provider-report-2020/download</vt:lpwstr>
      </vt:variant>
      <vt:variant>
        <vt:lpwstr/>
      </vt:variant>
      <vt:variant>
        <vt:i4>4980806</vt:i4>
      </vt:variant>
      <vt:variant>
        <vt:i4>489</vt:i4>
      </vt:variant>
      <vt:variant>
        <vt:i4>0</vt:i4>
      </vt:variant>
      <vt:variant>
        <vt:i4>5</vt:i4>
      </vt:variant>
      <vt:variant>
        <vt:lpwstr>https://www.mass.gov/lists/dds-provider-licensing-reports</vt:lpwstr>
      </vt:variant>
      <vt:variant>
        <vt:lpwstr/>
      </vt:variant>
      <vt:variant>
        <vt:i4>3211376</vt:i4>
      </vt:variant>
      <vt:variant>
        <vt:i4>486</vt:i4>
      </vt:variant>
      <vt:variant>
        <vt:i4>0</vt:i4>
      </vt:variant>
      <vt:variant>
        <vt:i4>5</vt:i4>
      </vt:variant>
      <vt:variant>
        <vt:lpwstr>https://www.mass.gov/doc/summary-of-public-input-0/download</vt:lpwstr>
      </vt:variant>
      <vt:variant>
        <vt:lpwstr/>
      </vt:variant>
      <vt:variant>
        <vt:i4>7864416</vt:i4>
      </vt:variant>
      <vt:variant>
        <vt:i4>483</vt:i4>
      </vt:variant>
      <vt:variant>
        <vt:i4>0</vt:i4>
      </vt:variant>
      <vt:variant>
        <vt:i4>5</vt:i4>
      </vt:variant>
      <vt:variant>
        <vt:lpwstr>https://www.mass.gov/doc/attachment-d-responses-to-comments-received-on-the-addendum-for-non-residential-services/download</vt:lpwstr>
      </vt:variant>
      <vt:variant>
        <vt:lpwstr/>
      </vt:variant>
      <vt:variant>
        <vt:i4>262161</vt:i4>
      </vt:variant>
      <vt:variant>
        <vt:i4>480</vt:i4>
      </vt:variant>
      <vt:variant>
        <vt:i4>0</vt:i4>
      </vt:variant>
      <vt:variant>
        <vt:i4>5</vt:i4>
      </vt:variant>
      <vt:variant>
        <vt:lpwstr>https://www.mass.gov/doc/responses-to-comments-received-on-the-massachusetts-transition-plan/download</vt:lpwstr>
      </vt:variant>
      <vt:variant>
        <vt:lpwstr/>
      </vt:variant>
      <vt:variant>
        <vt:i4>2555943</vt:i4>
      </vt:variant>
      <vt:variant>
        <vt:i4>477</vt:i4>
      </vt:variant>
      <vt:variant>
        <vt:i4>0</vt:i4>
      </vt:variant>
      <vt:variant>
        <vt:i4>5</vt:i4>
      </vt:variant>
      <vt:variant>
        <vt:lpwstr>https://www.medicaid.gov/medicaid/section-1115-demo/demonstration-and-waiver-list/82036</vt:lpwstr>
      </vt:variant>
      <vt:variant>
        <vt:lpwstr/>
      </vt:variant>
      <vt:variant>
        <vt:i4>2490487</vt:i4>
      </vt:variant>
      <vt:variant>
        <vt:i4>474</vt:i4>
      </vt:variant>
      <vt:variant>
        <vt:i4>0</vt:i4>
      </vt:variant>
      <vt:variant>
        <vt:i4>5</vt:i4>
      </vt:variant>
      <vt:variant>
        <vt:lpwstr>https://www.mass.gov/doc/dds-appendix-f-survey-of-community-based-day-services/</vt:lpwstr>
      </vt:variant>
      <vt:variant>
        <vt:lpwstr/>
      </vt:variant>
      <vt:variant>
        <vt:i4>3342462</vt:i4>
      </vt:variant>
      <vt:variant>
        <vt:i4>471</vt:i4>
      </vt:variant>
      <vt:variant>
        <vt:i4>0</vt:i4>
      </vt:variant>
      <vt:variant>
        <vt:i4>5</vt:i4>
      </vt:variant>
      <vt:variant>
        <vt:lpwstr>https://www.mass.gov/doc/dds-appendix-d-dds-criteria-for-review-of-provider-transition-plans-2</vt:lpwstr>
      </vt:variant>
      <vt:variant>
        <vt:lpwstr/>
      </vt:variant>
      <vt:variant>
        <vt:i4>6488171</vt:i4>
      </vt:variant>
      <vt:variant>
        <vt:i4>468</vt:i4>
      </vt:variant>
      <vt:variant>
        <vt:i4>0</vt:i4>
      </vt:variant>
      <vt:variant>
        <vt:i4>5</vt:i4>
      </vt:variant>
      <vt:variant>
        <vt:lpwstr>https://www.mass.gov/doc/fy21-progress-report/download</vt:lpwstr>
      </vt:variant>
      <vt:variant>
        <vt:lpwstr/>
      </vt:variant>
      <vt:variant>
        <vt:i4>3932201</vt:i4>
      </vt:variant>
      <vt:variant>
        <vt:i4>465</vt:i4>
      </vt:variant>
      <vt:variant>
        <vt:i4>0</vt:i4>
      </vt:variant>
      <vt:variant>
        <vt:i4>5</vt:i4>
      </vt:variant>
      <vt:variant>
        <vt:lpwstr>https://www.ddslearning.com/isp</vt:lpwstr>
      </vt:variant>
      <vt:variant>
        <vt:lpwstr/>
      </vt:variant>
      <vt:variant>
        <vt:i4>131144</vt:i4>
      </vt:variant>
      <vt:variant>
        <vt:i4>462</vt:i4>
      </vt:variant>
      <vt:variant>
        <vt:i4>0</vt:i4>
      </vt:variant>
      <vt:variant>
        <vt:i4>5</vt:i4>
      </vt:variant>
      <vt:variant>
        <vt:lpwstr>https://urldefense.com/v3/__https:/www.mass.gov/doc/dds-guidance-on-visitation-october-2022/download__;!!NwMct28-Ww!PA78r2Xfd2TbUGrzpjXjgydquqa-FLAjDZRFw_C6Htqb2n85H_gRWY6JCfpkPvMGDsO4k5-j8nEDYyjzQKXT1usMW6Yu1zGw$</vt:lpwstr>
      </vt:variant>
      <vt:variant>
        <vt:lpwstr/>
      </vt:variant>
      <vt:variant>
        <vt:i4>5898314</vt:i4>
      </vt:variant>
      <vt:variant>
        <vt:i4>459</vt:i4>
      </vt:variant>
      <vt:variant>
        <vt:i4>0</vt:i4>
      </vt:variant>
      <vt:variant>
        <vt:i4>5</vt:i4>
      </vt:variant>
      <vt:variant>
        <vt:lpwstr>https://www.mass.gov/doc/guidance-on-residential-agreements-2023/download</vt:lpwstr>
      </vt:variant>
      <vt:variant>
        <vt:lpwstr/>
      </vt:variant>
      <vt:variant>
        <vt:i4>5242944</vt:i4>
      </vt:variant>
      <vt:variant>
        <vt:i4>456</vt:i4>
      </vt:variant>
      <vt:variant>
        <vt:i4>0</vt:i4>
      </vt:variant>
      <vt:variant>
        <vt:i4>5</vt:i4>
      </vt:variant>
      <vt:variant>
        <vt:lpwstr>https://www.mass.gov/doc/guidance-on-locks-1/download</vt:lpwstr>
      </vt:variant>
      <vt:variant>
        <vt:lpwstr/>
      </vt:variant>
      <vt:variant>
        <vt:i4>8126484</vt:i4>
      </vt:variant>
      <vt:variant>
        <vt:i4>453</vt:i4>
      </vt:variant>
      <vt:variant>
        <vt:i4>0</vt:i4>
      </vt:variant>
      <vt:variant>
        <vt:i4>5</vt:i4>
      </vt:variant>
      <vt:variant>
        <vt:lpwstr>https://urldefense.com/v3/__https:/www.mass.gov/doc/dds-guidance-on-locks-october-2022/download__;!!NwMct28-Ww!PA78r2Xfd2TbUGrzpjXjgydquqa-FLAjDZRFw_C6Htqb2n85H_gRWY6JCfpkPvMGDsO4k5-j8nEDYyjzQKXT1usMW9ZgDT_X$</vt:lpwstr>
      </vt:variant>
      <vt:variant>
        <vt:lpwstr/>
      </vt:variant>
      <vt:variant>
        <vt:i4>3801134</vt:i4>
      </vt:variant>
      <vt:variant>
        <vt:i4>450</vt:i4>
      </vt:variant>
      <vt:variant>
        <vt:i4>0</vt:i4>
      </vt:variant>
      <vt:variant>
        <vt:i4>5</vt:i4>
      </vt:variant>
      <vt:variant>
        <vt:lpwstr>https://www.mass.gov/doc/blueprint-for-success/download</vt:lpwstr>
      </vt:variant>
      <vt:variant>
        <vt:lpwstr/>
      </vt:variant>
      <vt:variant>
        <vt:i4>3932281</vt:i4>
      </vt:variant>
      <vt:variant>
        <vt:i4>447</vt:i4>
      </vt:variant>
      <vt:variant>
        <vt:i4>0</vt:i4>
      </vt:variant>
      <vt:variant>
        <vt:i4>5</vt:i4>
      </vt:variant>
      <vt:variant>
        <vt:lpwstr>https://www.mass.gov/doc/dds-blueprint-for-success-moving-forward-together</vt:lpwstr>
      </vt:variant>
      <vt:variant>
        <vt:lpwstr/>
      </vt:variant>
      <vt:variant>
        <vt:i4>3997749</vt:i4>
      </vt:variant>
      <vt:variant>
        <vt:i4>444</vt:i4>
      </vt:variant>
      <vt:variant>
        <vt:i4>0</vt:i4>
      </vt:variant>
      <vt:variant>
        <vt:i4>5</vt:i4>
      </vt:variant>
      <vt:variant>
        <vt:lpwstr>https://www.medicaid.gov/federal-policy-guidance/downloads/smd19001.pdf</vt:lpwstr>
      </vt:variant>
      <vt:variant>
        <vt:lpwstr/>
      </vt:variant>
      <vt:variant>
        <vt:i4>4849744</vt:i4>
      </vt:variant>
      <vt:variant>
        <vt:i4>441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438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435</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432</vt:i4>
      </vt:variant>
      <vt:variant>
        <vt:i4>0</vt:i4>
      </vt:variant>
      <vt:variant>
        <vt:i4>5</vt:i4>
      </vt:variant>
      <vt:variant>
        <vt:lpwstr>https://www.mass.gov/doc/651-cmr-3-home-care-program/download</vt:lpwstr>
      </vt:variant>
      <vt:variant>
        <vt:lpwstr/>
      </vt:variant>
      <vt:variant>
        <vt:i4>4849744</vt:i4>
      </vt:variant>
      <vt:variant>
        <vt:i4>429</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426</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423</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420</vt:i4>
      </vt:variant>
      <vt:variant>
        <vt:i4>0</vt:i4>
      </vt:variant>
      <vt:variant>
        <vt:i4>5</vt:i4>
      </vt:variant>
      <vt:variant>
        <vt:lpwstr>https://www.mass.gov/doc/651-cmr-3-home-care-program/download</vt:lpwstr>
      </vt:variant>
      <vt:variant>
        <vt:lpwstr/>
      </vt:variant>
      <vt:variant>
        <vt:i4>4849744</vt:i4>
      </vt:variant>
      <vt:variant>
        <vt:i4>417</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414</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411</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408</vt:i4>
      </vt:variant>
      <vt:variant>
        <vt:i4>0</vt:i4>
      </vt:variant>
      <vt:variant>
        <vt:i4>5</vt:i4>
      </vt:variant>
      <vt:variant>
        <vt:lpwstr>https://www.mass.gov/doc/651-cmr-3-home-care-program/download</vt:lpwstr>
      </vt:variant>
      <vt:variant>
        <vt:lpwstr/>
      </vt:variant>
      <vt:variant>
        <vt:i4>4849744</vt:i4>
      </vt:variant>
      <vt:variant>
        <vt:i4>405</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402</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399</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396</vt:i4>
      </vt:variant>
      <vt:variant>
        <vt:i4>0</vt:i4>
      </vt:variant>
      <vt:variant>
        <vt:i4>5</vt:i4>
      </vt:variant>
      <vt:variant>
        <vt:lpwstr>https://www.mass.gov/doc/651-cmr-3-home-care-program/download</vt:lpwstr>
      </vt:variant>
      <vt:variant>
        <vt:lpwstr/>
      </vt:variant>
      <vt:variant>
        <vt:i4>4849744</vt:i4>
      </vt:variant>
      <vt:variant>
        <vt:i4>393</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390</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387</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384</vt:i4>
      </vt:variant>
      <vt:variant>
        <vt:i4>0</vt:i4>
      </vt:variant>
      <vt:variant>
        <vt:i4>5</vt:i4>
      </vt:variant>
      <vt:variant>
        <vt:lpwstr>https://www.mass.gov/doc/651-cmr-3-home-care-program/download</vt:lpwstr>
      </vt:variant>
      <vt:variant>
        <vt:lpwstr/>
      </vt:variant>
      <vt:variant>
        <vt:i4>4849744</vt:i4>
      </vt:variant>
      <vt:variant>
        <vt:i4>381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378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375</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372</vt:i4>
      </vt:variant>
      <vt:variant>
        <vt:i4>0</vt:i4>
      </vt:variant>
      <vt:variant>
        <vt:i4>5</vt:i4>
      </vt:variant>
      <vt:variant>
        <vt:lpwstr>https://www.mass.gov/doc/651-cmr-3-home-care-program/download</vt:lpwstr>
      </vt:variant>
      <vt:variant>
        <vt:lpwstr/>
      </vt:variant>
      <vt:variant>
        <vt:i4>4587547</vt:i4>
      </vt:variant>
      <vt:variant>
        <vt:i4>369</vt:i4>
      </vt:variant>
      <vt:variant>
        <vt:i4>0</vt:i4>
      </vt:variant>
      <vt:variant>
        <vt:i4>5</vt:i4>
      </vt:variant>
      <vt:variant>
        <vt:lpwstr>https://www.mass.gov/files/documents/2016/07/ug/program-instruction-09-13.pdf</vt:lpwstr>
      </vt:variant>
      <vt:variant>
        <vt:lpwstr/>
      </vt:variant>
      <vt:variant>
        <vt:i4>6881332</vt:i4>
      </vt:variant>
      <vt:variant>
        <vt:i4>366</vt:i4>
      </vt:variant>
      <vt:variant>
        <vt:i4>0</vt:i4>
      </vt:variant>
      <vt:variant>
        <vt:i4>5</vt:i4>
      </vt:variant>
      <vt:variant>
        <vt:lpwstr>https://www.mass.gov/doc/program-instruction-97-31-medicaid-waiver-manual-clarification-0/download</vt:lpwstr>
      </vt:variant>
      <vt:variant>
        <vt:lpwstr/>
      </vt:variant>
      <vt:variant>
        <vt:i4>4587547</vt:i4>
      </vt:variant>
      <vt:variant>
        <vt:i4>363</vt:i4>
      </vt:variant>
      <vt:variant>
        <vt:i4>0</vt:i4>
      </vt:variant>
      <vt:variant>
        <vt:i4>5</vt:i4>
      </vt:variant>
      <vt:variant>
        <vt:lpwstr>https://www.mass.gov/files/documents/2016/07/ug/program-instruction-09-13.pdf</vt:lpwstr>
      </vt:variant>
      <vt:variant>
        <vt:lpwstr/>
      </vt:variant>
      <vt:variant>
        <vt:i4>2031647</vt:i4>
      </vt:variant>
      <vt:variant>
        <vt:i4>360</vt:i4>
      </vt:variant>
      <vt:variant>
        <vt:i4>0</vt:i4>
      </vt:variant>
      <vt:variant>
        <vt:i4>5</vt:i4>
      </vt:variant>
      <vt:variant>
        <vt:lpwstr>http://www.mass.gov/elders/docs/reg-651cmr003.pdf</vt:lpwstr>
      </vt:variant>
      <vt:variant>
        <vt:lpwstr/>
      </vt:variant>
      <vt:variant>
        <vt:i4>3211326</vt:i4>
      </vt:variant>
      <vt:variant>
        <vt:i4>357</vt:i4>
      </vt:variant>
      <vt:variant>
        <vt:i4>0</vt:i4>
      </vt:variant>
      <vt:variant>
        <vt:i4>5</vt:i4>
      </vt:variant>
      <vt:variant>
        <vt:lpwstr>https://documentlibrary.800ageinfo.com/2023/01/1915-c-home-and-community-based-services-waiver-for-frail-elders-program-guidelines.html</vt:lpwstr>
      </vt:variant>
      <vt:variant>
        <vt:lpwstr/>
      </vt:variant>
      <vt:variant>
        <vt:i4>4587547</vt:i4>
      </vt:variant>
      <vt:variant>
        <vt:i4>354</vt:i4>
      </vt:variant>
      <vt:variant>
        <vt:i4>0</vt:i4>
      </vt:variant>
      <vt:variant>
        <vt:i4>5</vt:i4>
      </vt:variant>
      <vt:variant>
        <vt:lpwstr>https://www.mass.gov/files/documents/2016/07/ug/program-instruction-09-13.pdf</vt:lpwstr>
      </vt:variant>
      <vt:variant>
        <vt:lpwstr/>
      </vt:variant>
      <vt:variant>
        <vt:i4>5570581</vt:i4>
      </vt:variant>
      <vt:variant>
        <vt:i4>351</vt:i4>
      </vt:variant>
      <vt:variant>
        <vt:i4>0</vt:i4>
      </vt:variant>
      <vt:variant>
        <vt:i4>5</vt:i4>
      </vt:variant>
      <vt:variant>
        <vt:lpwstr>http://www.medicaid.gov/Medicaid-CHIP-Program-Information/By-Topics/Waivers/Downloads/MA0059.zip</vt:lpwstr>
      </vt:variant>
      <vt:variant>
        <vt:lpwstr/>
      </vt:variant>
      <vt:variant>
        <vt:i4>5963782</vt:i4>
      </vt:variant>
      <vt:variant>
        <vt:i4>348</vt:i4>
      </vt:variant>
      <vt:variant>
        <vt:i4>0</vt:i4>
      </vt:variant>
      <vt:variant>
        <vt:i4>5</vt:i4>
      </vt:variant>
      <vt:variant>
        <vt:lpwstr>https://www.mass.gov/doc/651-cmr-3-home-care-program/download</vt:lpwstr>
      </vt:variant>
      <vt:variant>
        <vt:lpwstr/>
      </vt:variant>
      <vt:variant>
        <vt:i4>4980770</vt:i4>
      </vt:variant>
      <vt:variant>
        <vt:i4>345</vt:i4>
      </vt:variant>
      <vt:variant>
        <vt:i4>0</vt:i4>
      </vt:variant>
      <vt:variant>
        <vt:i4>5</vt:i4>
      </vt:variant>
      <vt:variant>
        <vt:lpwstr>https://www.mass.gov/doc/program-instruction-09-20-service-plans-0/download?_ga=2.46133859.697212941.1647525260-1827296922.1639424660</vt:lpwstr>
      </vt:variant>
      <vt:variant>
        <vt:lpwstr/>
      </vt:variant>
      <vt:variant>
        <vt:i4>3211326</vt:i4>
      </vt:variant>
      <vt:variant>
        <vt:i4>342</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339</vt:i4>
      </vt:variant>
      <vt:variant>
        <vt:i4>0</vt:i4>
      </vt:variant>
      <vt:variant>
        <vt:i4>5</vt:i4>
      </vt:variant>
      <vt:variant>
        <vt:lpwstr>https://www.mass.gov/doc/651-cmr-3-home-care-program/download</vt:lpwstr>
      </vt:variant>
      <vt:variant>
        <vt:lpwstr/>
      </vt:variant>
      <vt:variant>
        <vt:i4>4849744</vt:i4>
      </vt:variant>
      <vt:variant>
        <vt:i4>336</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333</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327</vt:i4>
      </vt:variant>
      <vt:variant>
        <vt:i4>0</vt:i4>
      </vt:variant>
      <vt:variant>
        <vt:i4>5</vt:i4>
      </vt:variant>
      <vt:variant>
        <vt:lpwstr>https://www.mass.gov/doc/mrc-practices-policies-and-procedures-0/download</vt:lpwstr>
      </vt:variant>
      <vt:variant>
        <vt:lpwstr/>
      </vt:variant>
      <vt:variant>
        <vt:i4>6619176</vt:i4>
      </vt:variant>
      <vt:variant>
        <vt:i4>324</vt:i4>
      </vt:variant>
      <vt:variant>
        <vt:i4>0</vt:i4>
      </vt:variant>
      <vt:variant>
        <vt:i4>5</vt:i4>
      </vt:variant>
      <vt:variant>
        <vt:lpwstr>https://www.mass.gov/doc/130-cmr-630-home-and-community-based-services-waiver-services/download</vt:lpwstr>
      </vt:variant>
      <vt:variant>
        <vt:lpwstr/>
      </vt:variant>
      <vt:variant>
        <vt:i4>4849744</vt:i4>
      </vt:variant>
      <vt:variant>
        <vt:i4>321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318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6619176</vt:i4>
      </vt:variant>
      <vt:variant>
        <vt:i4>315</vt:i4>
      </vt:variant>
      <vt:variant>
        <vt:i4>0</vt:i4>
      </vt:variant>
      <vt:variant>
        <vt:i4>5</vt:i4>
      </vt:variant>
      <vt:variant>
        <vt:lpwstr>https://www.mass.gov/doc/130-cmr-630-home-and-community-based-services-waiver-services/download</vt:lpwstr>
      </vt:variant>
      <vt:variant>
        <vt:lpwstr/>
      </vt:variant>
      <vt:variant>
        <vt:i4>1638400</vt:i4>
      </vt:variant>
      <vt:variant>
        <vt:i4>309</vt:i4>
      </vt:variant>
      <vt:variant>
        <vt:i4>0</vt:i4>
      </vt:variant>
      <vt:variant>
        <vt:i4>5</vt:i4>
      </vt:variant>
      <vt:variant>
        <vt:lpwstr>https://www.mass.gov/doc/mrc-practices-policies-and-procedures-0/download</vt:lpwstr>
      </vt:variant>
      <vt:variant>
        <vt:lpwstr/>
      </vt:variant>
      <vt:variant>
        <vt:i4>6619176</vt:i4>
      </vt:variant>
      <vt:variant>
        <vt:i4>306</vt:i4>
      </vt:variant>
      <vt:variant>
        <vt:i4>0</vt:i4>
      </vt:variant>
      <vt:variant>
        <vt:i4>5</vt:i4>
      </vt:variant>
      <vt:variant>
        <vt:lpwstr>https://www.mass.gov/doc/130-cmr-630-home-and-community-based-services-waiver-services/download</vt:lpwstr>
      </vt:variant>
      <vt:variant>
        <vt:lpwstr/>
      </vt:variant>
      <vt:variant>
        <vt:i4>4849744</vt:i4>
      </vt:variant>
      <vt:variant>
        <vt:i4>303</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300</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294</vt:i4>
      </vt:variant>
      <vt:variant>
        <vt:i4>0</vt:i4>
      </vt:variant>
      <vt:variant>
        <vt:i4>5</vt:i4>
      </vt:variant>
      <vt:variant>
        <vt:lpwstr>https://www.mass.gov/doc/mrc-practices-policies-and-procedures-0/download</vt:lpwstr>
      </vt:variant>
      <vt:variant>
        <vt:lpwstr/>
      </vt:variant>
      <vt:variant>
        <vt:i4>4849744</vt:i4>
      </vt:variant>
      <vt:variant>
        <vt:i4>291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288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282</vt:i4>
      </vt:variant>
      <vt:variant>
        <vt:i4>0</vt:i4>
      </vt:variant>
      <vt:variant>
        <vt:i4>5</vt:i4>
      </vt:variant>
      <vt:variant>
        <vt:lpwstr>https://www.mass.gov/doc/mrc-practices-policies-and-procedures-0/download</vt:lpwstr>
      </vt:variant>
      <vt:variant>
        <vt:lpwstr/>
      </vt:variant>
      <vt:variant>
        <vt:i4>6619176</vt:i4>
      </vt:variant>
      <vt:variant>
        <vt:i4>279</vt:i4>
      </vt:variant>
      <vt:variant>
        <vt:i4>0</vt:i4>
      </vt:variant>
      <vt:variant>
        <vt:i4>5</vt:i4>
      </vt:variant>
      <vt:variant>
        <vt:lpwstr>https://www.mass.gov/doc/130-cmr-630-home-and-community-based-services-waiver-services/download</vt:lpwstr>
      </vt:variant>
      <vt:variant>
        <vt:lpwstr/>
      </vt:variant>
      <vt:variant>
        <vt:i4>4849744</vt:i4>
      </vt:variant>
      <vt:variant>
        <vt:i4>276</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273</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267</vt:i4>
      </vt:variant>
      <vt:variant>
        <vt:i4>0</vt:i4>
      </vt:variant>
      <vt:variant>
        <vt:i4>5</vt:i4>
      </vt:variant>
      <vt:variant>
        <vt:lpwstr>https://www.mass.gov/doc/mrc-practices-policies-and-procedures-0/download</vt:lpwstr>
      </vt:variant>
      <vt:variant>
        <vt:lpwstr/>
      </vt:variant>
      <vt:variant>
        <vt:i4>4849744</vt:i4>
      </vt:variant>
      <vt:variant>
        <vt:i4>264</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261</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255</vt:i4>
      </vt:variant>
      <vt:variant>
        <vt:i4>0</vt:i4>
      </vt:variant>
      <vt:variant>
        <vt:i4>5</vt:i4>
      </vt:variant>
      <vt:variant>
        <vt:lpwstr>https://www.mass.gov/doc/mrc-practices-policies-and-procedures-0/download</vt:lpwstr>
      </vt:variant>
      <vt:variant>
        <vt:lpwstr/>
      </vt:variant>
      <vt:variant>
        <vt:i4>5046302</vt:i4>
      </vt:variant>
      <vt:variant>
        <vt:i4>252</vt:i4>
      </vt:variant>
      <vt:variant>
        <vt:i4>0</vt:i4>
      </vt:variant>
      <vt:variant>
        <vt:i4>5</vt:i4>
      </vt:variant>
      <vt:variant>
        <vt:lpwstr>https://www.mass.gov/doc/abi-mfp-participant-handbook-0/download</vt:lpwstr>
      </vt:variant>
      <vt:variant>
        <vt:lpwstr/>
      </vt:variant>
      <vt:variant>
        <vt:i4>1638400</vt:i4>
      </vt:variant>
      <vt:variant>
        <vt:i4>246</vt:i4>
      </vt:variant>
      <vt:variant>
        <vt:i4>0</vt:i4>
      </vt:variant>
      <vt:variant>
        <vt:i4>5</vt:i4>
      </vt:variant>
      <vt:variant>
        <vt:lpwstr>https://www.mass.gov/doc/mrc-practices-policies-and-procedures-0/download</vt:lpwstr>
      </vt:variant>
      <vt:variant>
        <vt:lpwstr/>
      </vt:variant>
      <vt:variant>
        <vt:i4>6619176</vt:i4>
      </vt:variant>
      <vt:variant>
        <vt:i4>243</vt:i4>
      </vt:variant>
      <vt:variant>
        <vt:i4>0</vt:i4>
      </vt:variant>
      <vt:variant>
        <vt:i4>5</vt:i4>
      </vt:variant>
      <vt:variant>
        <vt:lpwstr>https://www.mass.gov/doc/130-cmr-630-home-and-community-based-services-waiver-services/download</vt:lpwstr>
      </vt:variant>
      <vt:variant>
        <vt:lpwstr/>
      </vt:variant>
      <vt:variant>
        <vt:i4>5046302</vt:i4>
      </vt:variant>
      <vt:variant>
        <vt:i4>240</vt:i4>
      </vt:variant>
      <vt:variant>
        <vt:i4>0</vt:i4>
      </vt:variant>
      <vt:variant>
        <vt:i4>5</vt:i4>
      </vt:variant>
      <vt:variant>
        <vt:lpwstr>https://www.mass.gov/doc/abi-mfp-participant-handbook-0/download</vt:lpwstr>
      </vt:variant>
      <vt:variant>
        <vt:lpwstr/>
      </vt:variant>
      <vt:variant>
        <vt:i4>1638400</vt:i4>
      </vt:variant>
      <vt:variant>
        <vt:i4>234</vt:i4>
      </vt:variant>
      <vt:variant>
        <vt:i4>0</vt:i4>
      </vt:variant>
      <vt:variant>
        <vt:i4>5</vt:i4>
      </vt:variant>
      <vt:variant>
        <vt:lpwstr>https://www.mass.gov/doc/mrc-practices-policies-and-procedures-0/download</vt:lpwstr>
      </vt:variant>
      <vt:variant>
        <vt:lpwstr/>
      </vt:variant>
      <vt:variant>
        <vt:i4>6619176</vt:i4>
      </vt:variant>
      <vt:variant>
        <vt:i4>231</vt:i4>
      </vt:variant>
      <vt:variant>
        <vt:i4>0</vt:i4>
      </vt:variant>
      <vt:variant>
        <vt:i4>5</vt:i4>
      </vt:variant>
      <vt:variant>
        <vt:lpwstr>https://www.mass.gov/doc/130-cmr-630-home-and-community-based-services-waiver-services/download</vt:lpwstr>
      </vt:variant>
      <vt:variant>
        <vt:lpwstr/>
      </vt:variant>
      <vt:variant>
        <vt:i4>1638400</vt:i4>
      </vt:variant>
      <vt:variant>
        <vt:i4>225</vt:i4>
      </vt:variant>
      <vt:variant>
        <vt:i4>0</vt:i4>
      </vt:variant>
      <vt:variant>
        <vt:i4>5</vt:i4>
      </vt:variant>
      <vt:variant>
        <vt:lpwstr>https://www.mass.gov/doc/mrc-practices-policies-and-procedures-0/download</vt:lpwstr>
      </vt:variant>
      <vt:variant>
        <vt:lpwstr/>
      </vt:variant>
      <vt:variant>
        <vt:i4>6619176</vt:i4>
      </vt:variant>
      <vt:variant>
        <vt:i4>222</vt:i4>
      </vt:variant>
      <vt:variant>
        <vt:i4>0</vt:i4>
      </vt:variant>
      <vt:variant>
        <vt:i4>5</vt:i4>
      </vt:variant>
      <vt:variant>
        <vt:lpwstr>https://www.mass.gov/doc/130-cmr-630-home-and-community-based-services-waiver-services/download</vt:lpwstr>
      </vt:variant>
      <vt:variant>
        <vt:lpwstr/>
      </vt:variant>
      <vt:variant>
        <vt:i4>1638400</vt:i4>
      </vt:variant>
      <vt:variant>
        <vt:i4>216</vt:i4>
      </vt:variant>
      <vt:variant>
        <vt:i4>0</vt:i4>
      </vt:variant>
      <vt:variant>
        <vt:i4>5</vt:i4>
      </vt:variant>
      <vt:variant>
        <vt:lpwstr>https://www.mass.gov/doc/mrc-practices-policies-and-procedures-0/download</vt:lpwstr>
      </vt:variant>
      <vt:variant>
        <vt:lpwstr/>
      </vt:variant>
      <vt:variant>
        <vt:i4>6619176</vt:i4>
      </vt:variant>
      <vt:variant>
        <vt:i4>213</vt:i4>
      </vt:variant>
      <vt:variant>
        <vt:i4>0</vt:i4>
      </vt:variant>
      <vt:variant>
        <vt:i4>5</vt:i4>
      </vt:variant>
      <vt:variant>
        <vt:lpwstr>https://www.mass.gov/doc/130-cmr-630-home-and-community-based-services-waiver-services/download</vt:lpwstr>
      </vt:variant>
      <vt:variant>
        <vt:lpwstr/>
      </vt:variant>
      <vt:variant>
        <vt:i4>1638400</vt:i4>
      </vt:variant>
      <vt:variant>
        <vt:i4>210</vt:i4>
      </vt:variant>
      <vt:variant>
        <vt:i4>0</vt:i4>
      </vt:variant>
      <vt:variant>
        <vt:i4>5</vt:i4>
      </vt:variant>
      <vt:variant>
        <vt:lpwstr>https://www.mass.gov/doc/mrc-practices-policies-and-procedures-0/download</vt:lpwstr>
      </vt:variant>
      <vt:variant>
        <vt:lpwstr/>
      </vt:variant>
      <vt:variant>
        <vt:i4>6619176</vt:i4>
      </vt:variant>
      <vt:variant>
        <vt:i4>207</vt:i4>
      </vt:variant>
      <vt:variant>
        <vt:i4>0</vt:i4>
      </vt:variant>
      <vt:variant>
        <vt:i4>5</vt:i4>
      </vt:variant>
      <vt:variant>
        <vt:lpwstr>https://www.mass.gov/doc/130-cmr-630-home-and-community-based-services-waiver-services/download</vt:lpwstr>
      </vt:variant>
      <vt:variant>
        <vt:lpwstr/>
      </vt:variant>
      <vt:variant>
        <vt:i4>4849744</vt:i4>
      </vt:variant>
      <vt:variant>
        <vt:i4>204</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201</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131144</vt:i4>
      </vt:variant>
      <vt:variant>
        <vt:i4>198</vt:i4>
      </vt:variant>
      <vt:variant>
        <vt:i4>0</vt:i4>
      </vt:variant>
      <vt:variant>
        <vt:i4>5</vt:i4>
      </vt:variant>
      <vt:variant>
        <vt:lpwstr>https://urldefense.com/v3/__https:/www.mass.gov/doc/dds-guidance-on-visitation-october-2022/download__;!!NwMct28-Ww!PA78r2Xfd2TbUGrzpjXjgydquqa-FLAjDZRFw_C6Htqb2n85H_gRWY6JCfpkPvMGDsO4k5-j8nEDYyjzQKXT1usMW6Yu1zGw$</vt:lpwstr>
      </vt:variant>
      <vt:variant>
        <vt:lpwstr/>
      </vt:variant>
      <vt:variant>
        <vt:i4>8126484</vt:i4>
      </vt:variant>
      <vt:variant>
        <vt:i4>195</vt:i4>
      </vt:variant>
      <vt:variant>
        <vt:i4>0</vt:i4>
      </vt:variant>
      <vt:variant>
        <vt:i4>5</vt:i4>
      </vt:variant>
      <vt:variant>
        <vt:lpwstr>https://urldefense.com/v3/__https:/www.mass.gov/doc/dds-guidance-on-locks-october-2022/download__;!!NwMct28-Ww!PA78r2Xfd2TbUGrzpjXjgydquqa-FLAjDZRFw_C6Htqb2n85H_gRWY6JCfpkPvMGDsO4k5-j8nEDYyjzQKXT1usMW9ZgDT_X$</vt:lpwstr>
      </vt:variant>
      <vt:variant>
        <vt:lpwstr/>
      </vt:variant>
      <vt:variant>
        <vt:i4>5242944</vt:i4>
      </vt:variant>
      <vt:variant>
        <vt:i4>192</vt:i4>
      </vt:variant>
      <vt:variant>
        <vt:i4>0</vt:i4>
      </vt:variant>
      <vt:variant>
        <vt:i4>5</vt:i4>
      </vt:variant>
      <vt:variant>
        <vt:lpwstr>https://www.mass.gov/doc/guidance-on-locks-1/download</vt:lpwstr>
      </vt:variant>
      <vt:variant>
        <vt:lpwstr/>
      </vt:variant>
      <vt:variant>
        <vt:i4>5046302</vt:i4>
      </vt:variant>
      <vt:variant>
        <vt:i4>189</vt:i4>
      </vt:variant>
      <vt:variant>
        <vt:i4>0</vt:i4>
      </vt:variant>
      <vt:variant>
        <vt:i4>5</vt:i4>
      </vt:variant>
      <vt:variant>
        <vt:lpwstr>https://www.mass.gov/doc/abi-mfp-participant-handbook-0/download</vt:lpwstr>
      </vt:variant>
      <vt:variant>
        <vt:lpwstr/>
      </vt:variant>
      <vt:variant>
        <vt:i4>5308433</vt:i4>
      </vt:variant>
      <vt:variant>
        <vt:i4>186</vt:i4>
      </vt:variant>
      <vt:variant>
        <vt:i4>0</vt:i4>
      </vt:variant>
      <vt:variant>
        <vt:i4>5</vt:i4>
      </vt:variant>
      <vt:variant>
        <vt:lpwstr>https://www.mass.gov/doc/policy-for-abi-rh-and-mfp-rs-waivers-0/download</vt:lpwstr>
      </vt:variant>
      <vt:variant>
        <vt:lpwstr/>
      </vt:variant>
      <vt:variant>
        <vt:i4>7209077</vt:i4>
      </vt:variant>
      <vt:variant>
        <vt:i4>183</vt:i4>
      </vt:variant>
      <vt:variant>
        <vt:i4>0</vt:i4>
      </vt:variant>
      <vt:variant>
        <vt:i4>5</vt:i4>
      </vt:variant>
      <vt:variant>
        <vt:lpwstr>https://www.mass.gov/doc/115-cmr-6-eligibility-individual-support-planning-and-appeals/download</vt:lpwstr>
      </vt:variant>
      <vt:variant>
        <vt:lpwstr/>
      </vt:variant>
      <vt:variant>
        <vt:i4>5374020</vt:i4>
      </vt:variant>
      <vt:variant>
        <vt:i4>180</vt:i4>
      </vt:variant>
      <vt:variant>
        <vt:i4>0</vt:i4>
      </vt:variant>
      <vt:variant>
        <vt:i4>5</vt:i4>
      </vt:variant>
      <vt:variant>
        <vt:lpwstr>https://www.mass.gov/doc/115-cmr-5-standards-to-promote-dignity/download</vt:lpwstr>
      </vt:variant>
      <vt:variant>
        <vt:lpwstr/>
      </vt:variant>
      <vt:variant>
        <vt:i4>5374020</vt:i4>
      </vt:variant>
      <vt:variant>
        <vt:i4>177</vt:i4>
      </vt:variant>
      <vt:variant>
        <vt:i4>0</vt:i4>
      </vt:variant>
      <vt:variant>
        <vt:i4>5</vt:i4>
      </vt:variant>
      <vt:variant>
        <vt:lpwstr>https://www.mass.gov/doc/115-cmr-5-standards-to-promote-dignity/download</vt:lpwstr>
      </vt:variant>
      <vt:variant>
        <vt:lpwstr/>
      </vt:variant>
      <vt:variant>
        <vt:i4>7929967</vt:i4>
      </vt:variant>
      <vt:variant>
        <vt:i4>174</vt:i4>
      </vt:variant>
      <vt:variant>
        <vt:i4>0</vt:i4>
      </vt:variant>
      <vt:variant>
        <vt:i4>5</vt:i4>
      </vt:variant>
      <vt:variant>
        <vt:lpwstr>https://www.mass.gov/doc/115-cmr-7-standards-for-all-services-and-supports/download</vt:lpwstr>
      </vt:variant>
      <vt:variant>
        <vt:lpwstr/>
      </vt:variant>
      <vt:variant>
        <vt:i4>5374020</vt:i4>
      </vt:variant>
      <vt:variant>
        <vt:i4>171</vt:i4>
      </vt:variant>
      <vt:variant>
        <vt:i4>0</vt:i4>
      </vt:variant>
      <vt:variant>
        <vt:i4>5</vt:i4>
      </vt:variant>
      <vt:variant>
        <vt:lpwstr>https://www.mass.gov/doc/115-cmr-5-standards-to-promote-dignity/download</vt:lpwstr>
      </vt:variant>
      <vt:variant>
        <vt:lpwstr/>
      </vt:variant>
      <vt:variant>
        <vt:i4>5374020</vt:i4>
      </vt:variant>
      <vt:variant>
        <vt:i4>168</vt:i4>
      </vt:variant>
      <vt:variant>
        <vt:i4>0</vt:i4>
      </vt:variant>
      <vt:variant>
        <vt:i4>5</vt:i4>
      </vt:variant>
      <vt:variant>
        <vt:lpwstr>https://www.mass.gov/doc/115-cmr-5-standards-to-promote-dignity/download</vt:lpwstr>
      </vt:variant>
      <vt:variant>
        <vt:lpwstr/>
      </vt:variant>
      <vt:variant>
        <vt:i4>6422644</vt:i4>
      </vt:variant>
      <vt:variant>
        <vt:i4>165</vt:i4>
      </vt:variant>
      <vt:variant>
        <vt:i4>0</vt:i4>
      </vt:variant>
      <vt:variant>
        <vt:i4>5</vt:i4>
      </vt:variant>
      <vt:variant>
        <vt:lpwstr>https://www.mass.gov/doc/115-cmr-500-standards-to-promote-dignity/download</vt:lpwstr>
      </vt:variant>
      <vt:variant>
        <vt:lpwstr/>
      </vt:variant>
      <vt:variant>
        <vt:i4>4849744</vt:i4>
      </vt:variant>
      <vt:variant>
        <vt:i4>162</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159</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7929967</vt:i4>
      </vt:variant>
      <vt:variant>
        <vt:i4>156</vt:i4>
      </vt:variant>
      <vt:variant>
        <vt:i4>0</vt:i4>
      </vt:variant>
      <vt:variant>
        <vt:i4>5</vt:i4>
      </vt:variant>
      <vt:variant>
        <vt:lpwstr>https://www.mass.gov/doc/115-cmr-7-standards-for-all-services-and-supports/download</vt:lpwstr>
      </vt:variant>
      <vt:variant>
        <vt:lpwstr/>
      </vt:variant>
      <vt:variant>
        <vt:i4>4849744</vt:i4>
      </vt:variant>
      <vt:variant>
        <vt:i4>153</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150</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131144</vt:i4>
      </vt:variant>
      <vt:variant>
        <vt:i4>147</vt:i4>
      </vt:variant>
      <vt:variant>
        <vt:i4>0</vt:i4>
      </vt:variant>
      <vt:variant>
        <vt:i4>5</vt:i4>
      </vt:variant>
      <vt:variant>
        <vt:lpwstr>https://urldefense.com/v3/__https:/www.mass.gov/doc/dds-guidance-on-visitation-october-2022/download__;!!NwMct28-Ww!PA78r2Xfd2TbUGrzpjXjgydquqa-FLAjDZRFw_C6Htqb2n85H_gRWY6JCfpkPvMGDsO4k5-j8nEDYyjzQKXT1usMW6Yu1zGw$</vt:lpwstr>
      </vt:variant>
      <vt:variant>
        <vt:lpwstr/>
      </vt:variant>
      <vt:variant>
        <vt:i4>5046302</vt:i4>
      </vt:variant>
      <vt:variant>
        <vt:i4>144</vt:i4>
      </vt:variant>
      <vt:variant>
        <vt:i4>0</vt:i4>
      </vt:variant>
      <vt:variant>
        <vt:i4>5</vt:i4>
      </vt:variant>
      <vt:variant>
        <vt:lpwstr>https://www.mass.gov/doc/abi-mfp-participant-handbook-0/download</vt:lpwstr>
      </vt:variant>
      <vt:variant>
        <vt:lpwstr/>
      </vt:variant>
      <vt:variant>
        <vt:i4>5308433</vt:i4>
      </vt:variant>
      <vt:variant>
        <vt:i4>141</vt:i4>
      </vt:variant>
      <vt:variant>
        <vt:i4>0</vt:i4>
      </vt:variant>
      <vt:variant>
        <vt:i4>5</vt:i4>
      </vt:variant>
      <vt:variant>
        <vt:lpwstr>https://www.mass.gov/doc/policy-for-abi-rh-and-mfp-rs-waivers-0/download</vt:lpwstr>
      </vt:variant>
      <vt:variant>
        <vt:lpwstr/>
      </vt:variant>
      <vt:variant>
        <vt:i4>6422644</vt:i4>
      </vt:variant>
      <vt:variant>
        <vt:i4>138</vt:i4>
      </vt:variant>
      <vt:variant>
        <vt:i4>0</vt:i4>
      </vt:variant>
      <vt:variant>
        <vt:i4>5</vt:i4>
      </vt:variant>
      <vt:variant>
        <vt:lpwstr>https://www.mass.gov/doc/115-cmr-500-standards-to-promote-dignity/download</vt:lpwstr>
      </vt:variant>
      <vt:variant>
        <vt:lpwstr/>
      </vt:variant>
      <vt:variant>
        <vt:i4>4849744</vt:i4>
      </vt:variant>
      <vt:variant>
        <vt:i4>135</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132</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5046302</vt:i4>
      </vt:variant>
      <vt:variant>
        <vt:i4>129</vt:i4>
      </vt:variant>
      <vt:variant>
        <vt:i4>0</vt:i4>
      </vt:variant>
      <vt:variant>
        <vt:i4>5</vt:i4>
      </vt:variant>
      <vt:variant>
        <vt:lpwstr>https://www.mass.gov/doc/abi-mfp-participant-handbook-0/download</vt:lpwstr>
      </vt:variant>
      <vt:variant>
        <vt:lpwstr/>
      </vt:variant>
      <vt:variant>
        <vt:i4>5308433</vt:i4>
      </vt:variant>
      <vt:variant>
        <vt:i4>126</vt:i4>
      </vt:variant>
      <vt:variant>
        <vt:i4>0</vt:i4>
      </vt:variant>
      <vt:variant>
        <vt:i4>5</vt:i4>
      </vt:variant>
      <vt:variant>
        <vt:lpwstr>https://www.mass.gov/doc/policy-for-abi-rh-and-mfp-rs-waivers-0/download</vt:lpwstr>
      </vt:variant>
      <vt:variant>
        <vt:lpwstr/>
      </vt:variant>
      <vt:variant>
        <vt:i4>6422644</vt:i4>
      </vt:variant>
      <vt:variant>
        <vt:i4>123</vt:i4>
      </vt:variant>
      <vt:variant>
        <vt:i4>0</vt:i4>
      </vt:variant>
      <vt:variant>
        <vt:i4>5</vt:i4>
      </vt:variant>
      <vt:variant>
        <vt:lpwstr>https://www.mass.gov/doc/115-cmr-500-standards-to-promote-dignity/download</vt:lpwstr>
      </vt:variant>
      <vt:variant>
        <vt:lpwstr/>
      </vt:variant>
      <vt:variant>
        <vt:i4>7929967</vt:i4>
      </vt:variant>
      <vt:variant>
        <vt:i4>120</vt:i4>
      </vt:variant>
      <vt:variant>
        <vt:i4>0</vt:i4>
      </vt:variant>
      <vt:variant>
        <vt:i4>5</vt:i4>
      </vt:variant>
      <vt:variant>
        <vt:lpwstr>https://www.mass.gov/doc/115-cmr-7-standards-for-all-services-and-supports/download</vt:lpwstr>
      </vt:variant>
      <vt:variant>
        <vt:lpwstr/>
      </vt:variant>
      <vt:variant>
        <vt:i4>4849744</vt:i4>
      </vt:variant>
      <vt:variant>
        <vt:i4>117</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114</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5046302</vt:i4>
      </vt:variant>
      <vt:variant>
        <vt:i4>111</vt:i4>
      </vt:variant>
      <vt:variant>
        <vt:i4>0</vt:i4>
      </vt:variant>
      <vt:variant>
        <vt:i4>5</vt:i4>
      </vt:variant>
      <vt:variant>
        <vt:lpwstr>https://www.mass.gov/doc/abi-mfp-participant-handbook-0/download</vt:lpwstr>
      </vt:variant>
      <vt:variant>
        <vt:lpwstr/>
      </vt:variant>
      <vt:variant>
        <vt:i4>5308433</vt:i4>
      </vt:variant>
      <vt:variant>
        <vt:i4>108</vt:i4>
      </vt:variant>
      <vt:variant>
        <vt:i4>0</vt:i4>
      </vt:variant>
      <vt:variant>
        <vt:i4>5</vt:i4>
      </vt:variant>
      <vt:variant>
        <vt:lpwstr>https://www.mass.gov/doc/policy-for-abi-rh-and-mfp-rs-waivers-0/download</vt:lpwstr>
      </vt:variant>
      <vt:variant>
        <vt:lpwstr/>
      </vt:variant>
      <vt:variant>
        <vt:i4>8126484</vt:i4>
      </vt:variant>
      <vt:variant>
        <vt:i4>105</vt:i4>
      </vt:variant>
      <vt:variant>
        <vt:i4>0</vt:i4>
      </vt:variant>
      <vt:variant>
        <vt:i4>5</vt:i4>
      </vt:variant>
      <vt:variant>
        <vt:lpwstr>https://urldefense.com/v3/__https:/www.mass.gov/doc/dds-guidance-on-locks-october-2022/download__;!!NwMct28-Ww!PA78r2Xfd2TbUGrzpjXjgydquqa-FLAjDZRFw_C6Htqb2n85H_gRWY6JCfpkPvMGDsO4k5-j8nEDYyjzQKXT1usMW9ZgDT_X$</vt:lpwstr>
      </vt:variant>
      <vt:variant>
        <vt:lpwstr/>
      </vt:variant>
      <vt:variant>
        <vt:i4>5242944</vt:i4>
      </vt:variant>
      <vt:variant>
        <vt:i4>102</vt:i4>
      </vt:variant>
      <vt:variant>
        <vt:i4>0</vt:i4>
      </vt:variant>
      <vt:variant>
        <vt:i4>5</vt:i4>
      </vt:variant>
      <vt:variant>
        <vt:lpwstr>https://www.mass.gov/doc/guidance-on-locks-1/download</vt:lpwstr>
      </vt:variant>
      <vt:variant>
        <vt:lpwstr/>
      </vt:variant>
      <vt:variant>
        <vt:i4>7929967</vt:i4>
      </vt:variant>
      <vt:variant>
        <vt:i4>99</vt:i4>
      </vt:variant>
      <vt:variant>
        <vt:i4>0</vt:i4>
      </vt:variant>
      <vt:variant>
        <vt:i4>5</vt:i4>
      </vt:variant>
      <vt:variant>
        <vt:lpwstr>https://www.mass.gov/doc/115-cmr-7-standards-for-all-services-and-supports/download</vt:lpwstr>
      </vt:variant>
      <vt:variant>
        <vt:lpwstr/>
      </vt:variant>
      <vt:variant>
        <vt:i4>4849744</vt:i4>
      </vt:variant>
      <vt:variant>
        <vt:i4>96</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93</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5570568</vt:i4>
      </vt:variant>
      <vt:variant>
        <vt:i4>90</vt:i4>
      </vt:variant>
      <vt:variant>
        <vt:i4>0</vt:i4>
      </vt:variant>
      <vt:variant>
        <vt:i4>5</vt:i4>
      </vt:variant>
      <vt:variant>
        <vt:lpwstr>https://www.mass.gov/doc/chart-4-licensure-tool-2022/download</vt:lpwstr>
      </vt:variant>
      <vt:variant>
        <vt:lpwstr/>
      </vt:variant>
      <vt:variant>
        <vt:i4>5046302</vt:i4>
      </vt:variant>
      <vt:variant>
        <vt:i4>87</vt:i4>
      </vt:variant>
      <vt:variant>
        <vt:i4>0</vt:i4>
      </vt:variant>
      <vt:variant>
        <vt:i4>5</vt:i4>
      </vt:variant>
      <vt:variant>
        <vt:lpwstr>https://www.mass.gov/doc/abi-mfp-participant-handbook-0/download</vt:lpwstr>
      </vt:variant>
      <vt:variant>
        <vt:lpwstr/>
      </vt:variant>
      <vt:variant>
        <vt:i4>5308433</vt:i4>
      </vt:variant>
      <vt:variant>
        <vt:i4>84</vt:i4>
      </vt:variant>
      <vt:variant>
        <vt:i4>0</vt:i4>
      </vt:variant>
      <vt:variant>
        <vt:i4>5</vt:i4>
      </vt:variant>
      <vt:variant>
        <vt:lpwstr>https://www.mass.gov/doc/policy-for-abi-rh-and-mfp-rs-waivers-0/download</vt:lpwstr>
      </vt:variant>
      <vt:variant>
        <vt:lpwstr/>
      </vt:variant>
      <vt:variant>
        <vt:i4>6422644</vt:i4>
      </vt:variant>
      <vt:variant>
        <vt:i4>81</vt:i4>
      </vt:variant>
      <vt:variant>
        <vt:i4>0</vt:i4>
      </vt:variant>
      <vt:variant>
        <vt:i4>5</vt:i4>
      </vt:variant>
      <vt:variant>
        <vt:lpwstr>https://www.mass.gov/doc/115-cmr-500-standards-to-promote-dignity/download</vt:lpwstr>
      </vt:variant>
      <vt:variant>
        <vt:lpwstr/>
      </vt:variant>
      <vt:variant>
        <vt:i4>7209077</vt:i4>
      </vt:variant>
      <vt:variant>
        <vt:i4>78</vt:i4>
      </vt:variant>
      <vt:variant>
        <vt:i4>0</vt:i4>
      </vt:variant>
      <vt:variant>
        <vt:i4>5</vt:i4>
      </vt:variant>
      <vt:variant>
        <vt:lpwstr>https://www.mass.gov/doc/115-cmr-6-eligibility-individual-support-planning-and-appeals/download</vt:lpwstr>
      </vt:variant>
      <vt:variant>
        <vt:lpwstr/>
      </vt:variant>
      <vt:variant>
        <vt:i4>5046302</vt:i4>
      </vt:variant>
      <vt:variant>
        <vt:i4>75</vt:i4>
      </vt:variant>
      <vt:variant>
        <vt:i4>0</vt:i4>
      </vt:variant>
      <vt:variant>
        <vt:i4>5</vt:i4>
      </vt:variant>
      <vt:variant>
        <vt:lpwstr>https://www.mass.gov/doc/abi-mfp-participant-handbook-0/download</vt:lpwstr>
      </vt:variant>
      <vt:variant>
        <vt:lpwstr/>
      </vt:variant>
      <vt:variant>
        <vt:i4>5308433</vt:i4>
      </vt:variant>
      <vt:variant>
        <vt:i4>72</vt:i4>
      </vt:variant>
      <vt:variant>
        <vt:i4>0</vt:i4>
      </vt:variant>
      <vt:variant>
        <vt:i4>5</vt:i4>
      </vt:variant>
      <vt:variant>
        <vt:lpwstr>https://www.mass.gov/doc/policy-for-abi-rh-and-mfp-rs-waivers-0/download</vt:lpwstr>
      </vt:variant>
      <vt:variant>
        <vt:lpwstr/>
      </vt:variant>
      <vt:variant>
        <vt:i4>6422644</vt:i4>
      </vt:variant>
      <vt:variant>
        <vt:i4>69</vt:i4>
      </vt:variant>
      <vt:variant>
        <vt:i4>0</vt:i4>
      </vt:variant>
      <vt:variant>
        <vt:i4>5</vt:i4>
      </vt:variant>
      <vt:variant>
        <vt:lpwstr>https://www.mass.gov/doc/115-cmr-500-standards-to-promote-dignity/download</vt:lpwstr>
      </vt:variant>
      <vt:variant>
        <vt:lpwstr/>
      </vt:variant>
      <vt:variant>
        <vt:i4>6422644</vt:i4>
      </vt:variant>
      <vt:variant>
        <vt:i4>66</vt:i4>
      </vt:variant>
      <vt:variant>
        <vt:i4>0</vt:i4>
      </vt:variant>
      <vt:variant>
        <vt:i4>5</vt:i4>
      </vt:variant>
      <vt:variant>
        <vt:lpwstr>https://www.mass.gov/doc/115-cmr-500-standards-to-promote-dignity/download</vt:lpwstr>
      </vt:variant>
      <vt:variant>
        <vt:lpwstr/>
      </vt:variant>
      <vt:variant>
        <vt:i4>6422644</vt:i4>
      </vt:variant>
      <vt:variant>
        <vt:i4>63</vt:i4>
      </vt:variant>
      <vt:variant>
        <vt:i4>0</vt:i4>
      </vt:variant>
      <vt:variant>
        <vt:i4>5</vt:i4>
      </vt:variant>
      <vt:variant>
        <vt:lpwstr>https://www.mass.gov/doc/115-cmr-500-standards-to-promote-dignity/download</vt:lpwstr>
      </vt:variant>
      <vt:variant>
        <vt:lpwstr/>
      </vt:variant>
      <vt:variant>
        <vt:i4>7929967</vt:i4>
      </vt:variant>
      <vt:variant>
        <vt:i4>60</vt:i4>
      </vt:variant>
      <vt:variant>
        <vt:i4>0</vt:i4>
      </vt:variant>
      <vt:variant>
        <vt:i4>5</vt:i4>
      </vt:variant>
      <vt:variant>
        <vt:lpwstr>https://www.mass.gov/doc/115-cmr-7-standards-for-all-services-and-supports/download</vt:lpwstr>
      </vt:variant>
      <vt:variant>
        <vt:lpwstr/>
      </vt:variant>
      <vt:variant>
        <vt:i4>5046302</vt:i4>
      </vt:variant>
      <vt:variant>
        <vt:i4>57</vt:i4>
      </vt:variant>
      <vt:variant>
        <vt:i4>0</vt:i4>
      </vt:variant>
      <vt:variant>
        <vt:i4>5</vt:i4>
      </vt:variant>
      <vt:variant>
        <vt:lpwstr>https://www.mass.gov/doc/abi-mfp-participant-handbook-0/download</vt:lpwstr>
      </vt:variant>
      <vt:variant>
        <vt:lpwstr/>
      </vt:variant>
      <vt:variant>
        <vt:i4>5308433</vt:i4>
      </vt:variant>
      <vt:variant>
        <vt:i4>54</vt:i4>
      </vt:variant>
      <vt:variant>
        <vt:i4>0</vt:i4>
      </vt:variant>
      <vt:variant>
        <vt:i4>5</vt:i4>
      </vt:variant>
      <vt:variant>
        <vt:lpwstr>https://www.mass.gov/doc/policy-for-abi-rh-and-mfp-rs-waivers-0/download</vt:lpwstr>
      </vt:variant>
      <vt:variant>
        <vt:lpwstr/>
      </vt:variant>
      <vt:variant>
        <vt:i4>6422644</vt:i4>
      </vt:variant>
      <vt:variant>
        <vt:i4>51</vt:i4>
      </vt:variant>
      <vt:variant>
        <vt:i4>0</vt:i4>
      </vt:variant>
      <vt:variant>
        <vt:i4>5</vt:i4>
      </vt:variant>
      <vt:variant>
        <vt:lpwstr>https://www.mass.gov/doc/115-cmr-500-standards-to-promote-dignity/download</vt:lpwstr>
      </vt:variant>
      <vt:variant>
        <vt:lpwstr/>
      </vt:variant>
      <vt:variant>
        <vt:i4>6422644</vt:i4>
      </vt:variant>
      <vt:variant>
        <vt:i4>48</vt:i4>
      </vt:variant>
      <vt:variant>
        <vt:i4>0</vt:i4>
      </vt:variant>
      <vt:variant>
        <vt:i4>5</vt:i4>
      </vt:variant>
      <vt:variant>
        <vt:lpwstr>https://www.mass.gov/doc/115-cmr-500-standards-to-promote-dignity/download</vt:lpwstr>
      </vt:variant>
      <vt:variant>
        <vt:lpwstr/>
      </vt:variant>
      <vt:variant>
        <vt:i4>6422644</vt:i4>
      </vt:variant>
      <vt:variant>
        <vt:i4>45</vt:i4>
      </vt:variant>
      <vt:variant>
        <vt:i4>0</vt:i4>
      </vt:variant>
      <vt:variant>
        <vt:i4>5</vt:i4>
      </vt:variant>
      <vt:variant>
        <vt:lpwstr>https://www.mass.gov/doc/115-cmr-500-standards-to-promote-dignity/download</vt:lpwstr>
      </vt:variant>
      <vt:variant>
        <vt:lpwstr/>
      </vt:variant>
      <vt:variant>
        <vt:i4>6422644</vt:i4>
      </vt:variant>
      <vt:variant>
        <vt:i4>42</vt:i4>
      </vt:variant>
      <vt:variant>
        <vt:i4>0</vt:i4>
      </vt:variant>
      <vt:variant>
        <vt:i4>5</vt:i4>
      </vt:variant>
      <vt:variant>
        <vt:lpwstr>https://www.mass.gov/doc/115-cmr-500-standards-to-promote-dignity/download</vt:lpwstr>
      </vt:variant>
      <vt:variant>
        <vt:lpwstr/>
      </vt:variant>
      <vt:variant>
        <vt:i4>6422644</vt:i4>
      </vt:variant>
      <vt:variant>
        <vt:i4>39</vt:i4>
      </vt:variant>
      <vt:variant>
        <vt:i4>0</vt:i4>
      </vt:variant>
      <vt:variant>
        <vt:i4>5</vt:i4>
      </vt:variant>
      <vt:variant>
        <vt:lpwstr>https://www.mass.gov/doc/115-cmr-500-standards-to-promote-dignity/download</vt:lpwstr>
      </vt:variant>
      <vt:variant>
        <vt:lpwstr/>
      </vt:variant>
      <vt:variant>
        <vt:i4>7929967</vt:i4>
      </vt:variant>
      <vt:variant>
        <vt:i4>36</vt:i4>
      </vt:variant>
      <vt:variant>
        <vt:i4>0</vt:i4>
      </vt:variant>
      <vt:variant>
        <vt:i4>5</vt:i4>
      </vt:variant>
      <vt:variant>
        <vt:lpwstr>https://www.mass.gov/doc/115-cmr-7-standards-for-all-services-and-supports/download</vt:lpwstr>
      </vt:variant>
      <vt:variant>
        <vt:lpwstr/>
      </vt:variant>
      <vt:variant>
        <vt:i4>5046302</vt:i4>
      </vt:variant>
      <vt:variant>
        <vt:i4>33</vt:i4>
      </vt:variant>
      <vt:variant>
        <vt:i4>0</vt:i4>
      </vt:variant>
      <vt:variant>
        <vt:i4>5</vt:i4>
      </vt:variant>
      <vt:variant>
        <vt:lpwstr>https://www.mass.gov/doc/abi-mfp-participant-handbook-0/download</vt:lpwstr>
      </vt:variant>
      <vt:variant>
        <vt:lpwstr/>
      </vt:variant>
      <vt:variant>
        <vt:i4>5308433</vt:i4>
      </vt:variant>
      <vt:variant>
        <vt:i4>30</vt:i4>
      </vt:variant>
      <vt:variant>
        <vt:i4>0</vt:i4>
      </vt:variant>
      <vt:variant>
        <vt:i4>5</vt:i4>
      </vt:variant>
      <vt:variant>
        <vt:lpwstr>https://www.mass.gov/doc/policy-for-abi-rh-and-mfp-rs-waivers-0/download</vt:lpwstr>
      </vt:variant>
      <vt:variant>
        <vt:lpwstr/>
      </vt:variant>
      <vt:variant>
        <vt:i4>7209077</vt:i4>
      </vt:variant>
      <vt:variant>
        <vt:i4>27</vt:i4>
      </vt:variant>
      <vt:variant>
        <vt:i4>0</vt:i4>
      </vt:variant>
      <vt:variant>
        <vt:i4>5</vt:i4>
      </vt:variant>
      <vt:variant>
        <vt:lpwstr>https://www.mass.gov/doc/115-cmr-6-eligibility-individual-support-planning-and-appeals/download</vt:lpwstr>
      </vt:variant>
      <vt:variant>
        <vt:lpwstr/>
      </vt:variant>
      <vt:variant>
        <vt:i4>7929967</vt:i4>
      </vt:variant>
      <vt:variant>
        <vt:i4>24</vt:i4>
      </vt:variant>
      <vt:variant>
        <vt:i4>0</vt:i4>
      </vt:variant>
      <vt:variant>
        <vt:i4>5</vt:i4>
      </vt:variant>
      <vt:variant>
        <vt:lpwstr>https://www.mass.gov/doc/115-cmr-7-standards-for-all-services-and-supports/download</vt:lpwstr>
      </vt:variant>
      <vt:variant>
        <vt:lpwstr/>
      </vt:variant>
      <vt:variant>
        <vt:i4>2752548</vt:i4>
      </vt:variant>
      <vt:variant>
        <vt:i4>21</vt:i4>
      </vt:variant>
      <vt:variant>
        <vt:i4>0</vt:i4>
      </vt:variant>
      <vt:variant>
        <vt:i4>5</vt:i4>
      </vt:variant>
      <vt:variant>
        <vt:lpwstr>https://www.mass.gov/lists/dds-policies</vt:lpwstr>
      </vt:variant>
      <vt:variant>
        <vt:lpwstr/>
      </vt:variant>
      <vt:variant>
        <vt:i4>7929967</vt:i4>
      </vt:variant>
      <vt:variant>
        <vt:i4>18</vt:i4>
      </vt:variant>
      <vt:variant>
        <vt:i4>0</vt:i4>
      </vt:variant>
      <vt:variant>
        <vt:i4>5</vt:i4>
      </vt:variant>
      <vt:variant>
        <vt:lpwstr>https://www.mass.gov/doc/115-cmr-7-standards-for-all-services-and-supports/download</vt:lpwstr>
      </vt:variant>
      <vt:variant>
        <vt:lpwstr/>
      </vt:variant>
      <vt:variant>
        <vt:i4>3997749</vt:i4>
      </vt:variant>
      <vt:variant>
        <vt:i4>15</vt:i4>
      </vt:variant>
      <vt:variant>
        <vt:i4>0</vt:i4>
      </vt:variant>
      <vt:variant>
        <vt:i4>5</vt:i4>
      </vt:variant>
      <vt:variant>
        <vt:lpwstr>https://www.medicaid.gov/federal-policy-guidance/downloads/smd19001.pdf</vt:lpwstr>
      </vt:variant>
      <vt:variant>
        <vt:lpwstr/>
      </vt:variant>
      <vt:variant>
        <vt:i4>8126512</vt:i4>
      </vt:variant>
      <vt:variant>
        <vt:i4>12</vt:i4>
      </vt:variant>
      <vt:variant>
        <vt:i4>0</vt:i4>
      </vt:variant>
      <vt:variant>
        <vt:i4>5</vt:i4>
      </vt:variant>
      <vt:variant>
        <vt:lpwstr>https://employmentfirstma.org/</vt:lpwstr>
      </vt:variant>
      <vt:variant>
        <vt:lpwstr/>
      </vt:variant>
      <vt:variant>
        <vt:i4>983117</vt:i4>
      </vt:variant>
      <vt:variant>
        <vt:i4>9</vt:i4>
      </vt:variant>
      <vt:variant>
        <vt:i4>0</vt:i4>
      </vt:variant>
      <vt:variant>
        <vt:i4>5</vt:i4>
      </vt:variant>
      <vt:variant>
        <vt:lpwstr>http://www.mass.gov/lists/ddshcbs-community-rule</vt:lpwstr>
      </vt:variant>
      <vt:variant>
        <vt:lpwstr/>
      </vt:variant>
      <vt:variant>
        <vt:i4>5898330</vt:i4>
      </vt:variant>
      <vt:variant>
        <vt:i4>6</vt:i4>
      </vt:variant>
      <vt:variant>
        <vt:i4>0</vt:i4>
      </vt:variant>
      <vt:variant>
        <vt:i4>5</vt:i4>
      </vt:variant>
      <vt:variant>
        <vt:lpwstr>https://www.mass.gov/service-details/statewide-transition-plan-for-compliance-with-the-home-and-community-based-services-hcbs-community-rule</vt:lpwstr>
      </vt:variant>
      <vt:variant>
        <vt:lpwstr/>
      </vt:variant>
      <vt:variant>
        <vt:i4>917577</vt:i4>
      </vt:variant>
      <vt:variant>
        <vt:i4>3</vt:i4>
      </vt:variant>
      <vt:variant>
        <vt:i4>0</vt:i4>
      </vt:variant>
      <vt:variant>
        <vt:i4>5</vt:i4>
      </vt:variant>
      <vt:variant>
        <vt:lpwstr>http://www.mass.gov/eohhs/gov/departments/masshealth/</vt:lpwstr>
      </vt:variant>
      <vt:variant>
        <vt:lpwstr/>
      </vt:variant>
      <vt:variant>
        <vt:i4>5767186</vt:i4>
      </vt:variant>
      <vt:variant>
        <vt:i4>0</vt:i4>
      </vt:variant>
      <vt:variant>
        <vt:i4>0</vt:i4>
      </vt:variant>
      <vt:variant>
        <vt:i4>5</vt:i4>
      </vt:variant>
      <vt:variant>
        <vt:lpwstr>https://www.mass.gov/service-details/statewide-transition-plan-for-compliance-with-the-home-and-community-based-services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2023-04-19T15:23:00Z</dcterms:created>
  <dcterms:modified xsi:type="dcterms:W3CDTF">2023-04-19T15:23:00Z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