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FF0FC8" w14:textId="77777777" w:rsidR="000537DA" w:rsidRDefault="000537DA" w:rsidP="000F315B">
      <w:pPr>
        <w:framePr w:w="6926" w:hSpace="187" w:wrap="notBeside" w:vAnchor="page" w:hAnchor="page" w:x="2884" w:y="711"/>
        <w:jc w:val="center"/>
        <w:rPr>
          <w:rFonts w:ascii="Arial" w:hAnsi="Arial"/>
          <w:sz w:val="36"/>
        </w:rPr>
      </w:pPr>
      <w:r>
        <w:rPr>
          <w:rFonts w:ascii="Arial" w:hAnsi="Arial"/>
          <w:sz w:val="36"/>
        </w:rPr>
        <w:t>The Commonwealth of Massachusetts</w:t>
      </w:r>
    </w:p>
    <w:p w14:paraId="310D27C0" w14:textId="77777777" w:rsidR="000537DA" w:rsidRDefault="000537DA" w:rsidP="000F315B">
      <w:pPr>
        <w:pStyle w:val="ExecOffice"/>
        <w:framePr w:w="6926" w:wrap="notBeside" w:vAnchor="page" w:x="2884" w:y="711"/>
      </w:pPr>
      <w:r>
        <w:t>Executive Office of Health and Human Services</w:t>
      </w:r>
    </w:p>
    <w:p w14:paraId="60BABE27" w14:textId="77777777" w:rsidR="000537DA" w:rsidRDefault="000537DA" w:rsidP="000F315B">
      <w:pPr>
        <w:pStyle w:val="ExecOffice"/>
        <w:framePr w:w="6926" w:wrap="notBeside" w:vAnchor="page" w:x="2884" w:y="711"/>
      </w:pPr>
      <w:r>
        <w:t>Department of Public Health</w:t>
      </w:r>
    </w:p>
    <w:p w14:paraId="771DC0FF" w14:textId="77777777" w:rsidR="006D06D9" w:rsidRDefault="000537DA" w:rsidP="000F315B">
      <w:pPr>
        <w:pStyle w:val="ExecOffice"/>
        <w:framePr w:w="6926" w:wrap="notBeside" w:vAnchor="page" w:x="2884" w:y="711"/>
      </w:pPr>
      <w:r>
        <w:t>250 Washington Street, Boston, MA 02108-4619</w:t>
      </w:r>
    </w:p>
    <w:p w14:paraId="4B81E6E1" w14:textId="77777777" w:rsidR="00BA4055" w:rsidRDefault="00C46D29" w:rsidP="00BA4055">
      <w:pPr>
        <w:framePr w:w="1927" w:hSpace="180" w:wrap="auto" w:vAnchor="text" w:hAnchor="page" w:x="940" w:y="-951"/>
        <w:rPr>
          <w:rFonts w:ascii="LinePrinter" w:hAnsi="LinePrinter"/>
        </w:rPr>
      </w:pPr>
      <w:r>
        <w:rPr>
          <w:rFonts w:ascii="LinePrinter" w:hAnsi="LinePrinter"/>
          <w:noProof/>
        </w:rPr>
        <w:drawing>
          <wp:inline distT="0" distB="0" distL="0" distR="0" wp14:anchorId="1406FE77" wp14:editId="0F8708FE">
            <wp:extent cx="962025" cy="1152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51832379" w14:textId="77777777" w:rsidR="009908FF" w:rsidRDefault="000B7D96" w:rsidP="0072610D">
      <w:r>
        <w:rPr>
          <w:noProof/>
        </w:rPr>
        <mc:AlternateContent>
          <mc:Choice Requires="wps">
            <w:drawing>
              <wp:anchor distT="0" distB="0" distL="114300" distR="114300" simplePos="0" relativeHeight="251658241" behindDoc="0" locked="0" layoutInCell="1" allowOverlap="1" wp14:anchorId="593B8E20" wp14:editId="1E05D84F">
                <wp:simplePos x="0" y="0"/>
                <wp:positionH relativeFrom="column">
                  <wp:posOffset>4947920</wp:posOffset>
                </wp:positionH>
                <wp:positionV relativeFrom="paragraph">
                  <wp:posOffset>539750</wp:posOffset>
                </wp:positionV>
                <wp:extent cx="1814195" cy="1136015"/>
                <wp:effectExtent l="0" t="0" r="0" b="698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4161B6" w14:textId="77777777" w:rsidR="00FC6B42" w:rsidRDefault="00FC6B42" w:rsidP="00FC6B42">
                            <w:pPr>
                              <w:pStyle w:val="Governor"/>
                              <w:spacing w:after="0"/>
                              <w:rPr>
                                <w:sz w:val="16"/>
                              </w:rPr>
                            </w:pPr>
                          </w:p>
                          <w:p w14:paraId="5E4E7828" w14:textId="6566D9BE" w:rsidR="00FC6B42" w:rsidRPr="00530145" w:rsidRDefault="00D50D6A" w:rsidP="009D48CD">
                            <w:pPr>
                              <w:pStyle w:val="Governor"/>
                              <w:spacing w:after="0"/>
                              <w:rPr>
                                <w:sz w:val="16"/>
                                <w:szCs w:val="16"/>
                              </w:rPr>
                            </w:pPr>
                            <w:r>
                              <w:rPr>
                                <w:sz w:val="16"/>
                                <w:szCs w:val="16"/>
                              </w:rPr>
                              <w:t>KIAME MAHNIAH, MD, MBA</w:t>
                            </w:r>
                          </w:p>
                          <w:p w14:paraId="03647133" w14:textId="77777777" w:rsidR="002D1C21" w:rsidRDefault="009D48CD" w:rsidP="0000218B">
                            <w:pPr>
                              <w:pStyle w:val="Governor"/>
                            </w:pPr>
                            <w:r>
                              <w:t xml:space="preserve">Secretary </w:t>
                            </w:r>
                          </w:p>
                          <w:p w14:paraId="3F575CC3" w14:textId="77777777"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158E7744" w14:textId="77777777" w:rsidR="004813AC" w:rsidRDefault="004813AC" w:rsidP="00FC6B42">
                            <w:pPr>
                              <w:jc w:val="center"/>
                              <w:rPr>
                                <w:rFonts w:ascii="Arial Rounded MT Bold" w:hAnsi="Arial Rounded MT Bold"/>
                                <w:sz w:val="14"/>
                                <w:szCs w:val="14"/>
                              </w:rPr>
                            </w:pPr>
                          </w:p>
                          <w:p w14:paraId="158217B0"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3AD38651"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5FD4A0EC" w14:textId="77777777" w:rsidR="004813AC" w:rsidRPr="00FC6B42" w:rsidRDefault="004813AC" w:rsidP="00FC6B42">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93B8E20" id="_x0000_t202" coordsize="21600,21600" o:spt="202" path="m,l,21600r21600,l21600,xe">
                <v:stroke joinstyle="miter"/>
                <v:path gradientshapeok="t" o:connecttype="rect"/>
              </v:shapetype>
              <v:shape id="Text Box 2" o:spid="_x0000_s1026" type="#_x0000_t202" style="position:absolute;margin-left:389.6pt;margin-top:42.5pt;width:142.85pt;height:89.45pt;z-index:251658241;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" stroked="f">
                <v:textbox style="mso-fit-shape-to-text:t">
                  <w:txbxContent>
                    <w:p w14:paraId="634161B6" w14:textId="77777777" w:rsidR="00FC6B42" w:rsidRDefault="00FC6B42" w:rsidP="00FC6B42">
                      <w:pPr>
                        <w:pStyle w:val="Governor"/>
                        <w:spacing w:after="0"/>
                        <w:rPr>
                          <w:sz w:val="16"/>
                        </w:rPr>
                      </w:pPr>
                    </w:p>
                    <w:p w14:paraId="5E4E7828" w14:textId="6566D9BE" w:rsidR="00FC6B42" w:rsidRPr="00530145" w:rsidRDefault="00D50D6A" w:rsidP="009D48CD">
                      <w:pPr>
                        <w:pStyle w:val="Governor"/>
                        <w:spacing w:after="0"/>
                        <w:rPr>
                          <w:sz w:val="16"/>
                          <w:szCs w:val="16"/>
                        </w:rPr>
                      </w:pPr>
                      <w:r>
                        <w:rPr>
                          <w:sz w:val="16"/>
                          <w:szCs w:val="16"/>
                        </w:rPr>
                        <w:t>KIAME MAHNIAH, MD, MBA</w:t>
                      </w:r>
                    </w:p>
                    <w:p w14:paraId="03647133" w14:textId="77777777" w:rsidR="002D1C21" w:rsidRDefault="009D48CD" w:rsidP="0000218B">
                      <w:pPr>
                        <w:pStyle w:val="Governor"/>
                      </w:pPr>
                      <w:r>
                        <w:t xml:space="preserve">Secretary </w:t>
                      </w:r>
                    </w:p>
                    <w:p w14:paraId="3F575CC3" w14:textId="77777777"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158E7744" w14:textId="77777777" w:rsidR="004813AC" w:rsidRDefault="004813AC" w:rsidP="00FC6B42">
                      <w:pPr>
                        <w:jc w:val="center"/>
                        <w:rPr>
                          <w:rFonts w:ascii="Arial Rounded MT Bold" w:hAnsi="Arial Rounded MT Bold"/>
                          <w:sz w:val="14"/>
                          <w:szCs w:val="14"/>
                        </w:rPr>
                      </w:pPr>
                    </w:p>
                    <w:p w14:paraId="158217B0"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3AD38651"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5FD4A0EC" w14:textId="77777777" w:rsidR="004813AC" w:rsidRPr="00FC6B42" w:rsidRDefault="004813AC" w:rsidP="00FC6B42">
                      <w:pPr>
                        <w:jc w:val="center"/>
                        <w:rPr>
                          <w:rFonts w:ascii="Arial Rounded MT Bold" w:hAnsi="Arial Rounded MT Bold"/>
                          <w:sz w:val="14"/>
                          <w:szCs w:val="14"/>
                        </w:rPr>
                      </w:pP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5CC856F6" wp14:editId="00735048">
                <wp:simplePos x="0" y="0"/>
                <wp:positionH relativeFrom="column">
                  <wp:posOffset>-652145</wp:posOffset>
                </wp:positionH>
                <wp:positionV relativeFrom="paragraph">
                  <wp:posOffset>539750</wp:posOffset>
                </wp:positionV>
                <wp:extent cx="1572895" cy="802005"/>
                <wp:effectExtent l="0" t="0" r="825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0A7805" w14:textId="77777777" w:rsidR="00FC6B42" w:rsidRDefault="00FC6B42" w:rsidP="00FC6B42">
                            <w:pPr>
                              <w:pStyle w:val="Governor"/>
                              <w:spacing w:after="0"/>
                              <w:rPr>
                                <w:sz w:val="16"/>
                              </w:rPr>
                            </w:pPr>
                          </w:p>
                          <w:p w14:paraId="45AB442A" w14:textId="77777777" w:rsidR="00FC6B42" w:rsidRDefault="002D1C21" w:rsidP="00FC6B42">
                            <w:pPr>
                              <w:pStyle w:val="Governor"/>
                              <w:spacing w:after="0"/>
                              <w:rPr>
                                <w:sz w:val="16"/>
                              </w:rPr>
                            </w:pPr>
                            <w:r>
                              <w:rPr>
                                <w:sz w:val="16"/>
                              </w:rPr>
                              <w:t>MAURA T. HEALEY</w:t>
                            </w:r>
                          </w:p>
                          <w:p w14:paraId="5662CBE9" w14:textId="77777777" w:rsidR="00FC6B42" w:rsidRDefault="00FC6B42" w:rsidP="00FC6B42">
                            <w:pPr>
                              <w:pStyle w:val="Governor"/>
                            </w:pPr>
                            <w:r>
                              <w:t>Governor</w:t>
                            </w:r>
                          </w:p>
                          <w:p w14:paraId="27357C84" w14:textId="77777777" w:rsidR="00FC6B42" w:rsidRDefault="002D1C21" w:rsidP="00FC6B42">
                            <w:pPr>
                              <w:pStyle w:val="Governor"/>
                              <w:spacing w:after="0"/>
                              <w:rPr>
                                <w:sz w:val="16"/>
                              </w:rPr>
                            </w:pPr>
                            <w:r>
                              <w:rPr>
                                <w:sz w:val="16"/>
                              </w:rPr>
                              <w:t>KIMBERLEY DRISCOLL</w:t>
                            </w:r>
                          </w:p>
                          <w:p w14:paraId="49F6A9BF" w14:textId="77777777" w:rsidR="00FC6B42" w:rsidRDefault="00FC6B42" w:rsidP="00FC6B42">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CC856F6" id="_x0000_s1027" type="#_x0000_t202" style="position:absolute;margin-left:-51.35pt;margin-top:42.5pt;width:123.85pt;height:63.1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" stroked="f">
                <v:textbox style="mso-fit-shape-to-text:t">
                  <w:txbxContent>
                    <w:p w14:paraId="6D0A7805" w14:textId="77777777" w:rsidR="00FC6B42" w:rsidRDefault="00FC6B42" w:rsidP="00FC6B42">
                      <w:pPr>
                        <w:pStyle w:val="Governor"/>
                        <w:spacing w:after="0"/>
                        <w:rPr>
                          <w:sz w:val="16"/>
                        </w:rPr>
                      </w:pPr>
                    </w:p>
                    <w:p w14:paraId="45AB442A" w14:textId="77777777" w:rsidR="00FC6B42" w:rsidRDefault="002D1C21" w:rsidP="00FC6B42">
                      <w:pPr>
                        <w:pStyle w:val="Governor"/>
                        <w:spacing w:after="0"/>
                        <w:rPr>
                          <w:sz w:val="16"/>
                        </w:rPr>
                      </w:pPr>
                      <w:r>
                        <w:rPr>
                          <w:sz w:val="16"/>
                        </w:rPr>
                        <w:t>MAURA T. HEALEY</w:t>
                      </w:r>
                    </w:p>
                    <w:p w14:paraId="5662CBE9" w14:textId="77777777" w:rsidR="00FC6B42" w:rsidRDefault="00FC6B42" w:rsidP="00FC6B42">
                      <w:pPr>
                        <w:pStyle w:val="Governor"/>
                      </w:pPr>
                      <w:r>
                        <w:t>Governor</w:t>
                      </w:r>
                    </w:p>
                    <w:p w14:paraId="27357C84" w14:textId="77777777" w:rsidR="00FC6B42" w:rsidRDefault="002D1C21" w:rsidP="00FC6B42">
                      <w:pPr>
                        <w:pStyle w:val="Governor"/>
                        <w:spacing w:after="0"/>
                        <w:rPr>
                          <w:sz w:val="16"/>
                        </w:rPr>
                      </w:pPr>
                      <w:r>
                        <w:rPr>
                          <w:sz w:val="16"/>
                        </w:rPr>
                        <w:t>KIMBERLEY DRISCOLL</w:t>
                      </w:r>
                    </w:p>
                    <w:p w14:paraId="49F6A9BF" w14:textId="77777777" w:rsidR="00FC6B42" w:rsidRDefault="00FC6B42" w:rsidP="00FC6B42">
                      <w:pPr>
                        <w:pStyle w:val="Governor"/>
                      </w:pPr>
                      <w:r>
                        <w:t>Lieutenant Governor</w:t>
                      </w:r>
                    </w:p>
                  </w:txbxContent>
                </v:textbox>
              </v:shape>
            </w:pict>
          </mc:Fallback>
        </mc:AlternateContent>
      </w:r>
    </w:p>
    <w:p w14:paraId="16DADD68" w14:textId="77777777" w:rsidR="00FC6B42" w:rsidRDefault="00FC6B42" w:rsidP="0072610D"/>
    <w:p w14:paraId="656C8A2A" w14:textId="77777777" w:rsidR="00FC6B42" w:rsidRDefault="00FC6B42" w:rsidP="0072610D"/>
    <w:p w14:paraId="0FFD4D9E" w14:textId="77777777" w:rsidR="00033154" w:rsidRDefault="00033154" w:rsidP="0072610D"/>
    <w:p w14:paraId="03977082" w14:textId="77777777" w:rsidR="00033154" w:rsidRDefault="00033154" w:rsidP="0072610D"/>
    <w:p w14:paraId="63C3D0FD" w14:textId="77777777" w:rsidR="00033154" w:rsidRDefault="00033154" w:rsidP="0072610D"/>
    <w:p w14:paraId="6A3568BA" w14:textId="77777777" w:rsidR="00033154" w:rsidRDefault="00033154" w:rsidP="0072610D"/>
    <w:p w14:paraId="55890226" w14:textId="54A6A88E" w:rsidR="00EC169A" w:rsidRPr="00EC169A" w:rsidRDefault="00EC169A" w:rsidP="00EC169A">
      <w:pPr>
        <w:jc w:val="center"/>
        <w:rPr>
          <w:b/>
          <w:bCs/>
        </w:rPr>
      </w:pPr>
      <w:r w:rsidRPr="6538497E">
        <w:rPr>
          <w:b/>
          <w:bCs/>
        </w:rPr>
        <w:t>MEMORANDUM</w:t>
      </w:r>
    </w:p>
    <w:p w14:paraId="042456E2" w14:textId="77777777" w:rsidR="00EC169A" w:rsidRPr="00EC169A" w:rsidRDefault="00EC169A" w:rsidP="00EC169A">
      <w:pPr>
        <w:rPr>
          <w:szCs w:val="24"/>
        </w:rPr>
      </w:pPr>
      <w:r w:rsidRPr="00EC169A">
        <w:rPr>
          <w:szCs w:val="24"/>
        </w:rPr>
        <w:t> </w:t>
      </w:r>
    </w:p>
    <w:p w14:paraId="20182F48" w14:textId="71D6BDF3" w:rsidR="00EC169A" w:rsidRDefault="00EC169A" w:rsidP="00EC169A">
      <w:r>
        <w:t>TO:</w:t>
      </w:r>
      <w:r>
        <w:tab/>
        <w:t xml:space="preserve">   </w:t>
      </w:r>
      <w:r>
        <w:tab/>
        <w:t>Acute Care Hospital</w:t>
      </w:r>
      <w:r w:rsidR="67D7BA03">
        <w:t>s</w:t>
      </w:r>
    </w:p>
    <w:p w14:paraId="6241A253" w14:textId="77777777" w:rsidR="00EC169A" w:rsidRPr="00EC169A" w:rsidRDefault="00EC169A" w:rsidP="00EC169A">
      <w:pPr>
        <w:rPr>
          <w:szCs w:val="24"/>
        </w:rPr>
      </w:pPr>
    </w:p>
    <w:p w14:paraId="5ADA8E75" w14:textId="77777777" w:rsidR="00EC169A" w:rsidRPr="00EC169A" w:rsidRDefault="00EC169A" w:rsidP="00EC169A">
      <w:pPr>
        <w:rPr>
          <w:szCs w:val="24"/>
        </w:rPr>
      </w:pPr>
      <w:r w:rsidRPr="00EC169A">
        <w:rPr>
          <w:szCs w:val="24"/>
        </w:rPr>
        <w:t xml:space="preserve">FROM: </w:t>
      </w:r>
      <w:r w:rsidRPr="00EC169A">
        <w:rPr>
          <w:szCs w:val="24"/>
        </w:rPr>
        <w:tab/>
        <w:t>Teryl Smith, RN, MPH, Director, Bureau of Health Care Safety and Quality </w:t>
      </w:r>
    </w:p>
    <w:p w14:paraId="0D9817C7" w14:textId="77777777" w:rsidR="00EC169A" w:rsidRPr="00EC169A" w:rsidRDefault="00EC169A" w:rsidP="00EC169A">
      <w:pPr>
        <w:rPr>
          <w:szCs w:val="24"/>
        </w:rPr>
      </w:pPr>
      <w:r w:rsidRPr="00EC169A">
        <w:rPr>
          <w:szCs w:val="24"/>
        </w:rPr>
        <w:t> </w:t>
      </w:r>
    </w:p>
    <w:p w14:paraId="1ED4F36E" w14:textId="1FDBC9FD" w:rsidR="00EC169A" w:rsidRPr="00EC169A" w:rsidRDefault="00EC169A" w:rsidP="00EC169A">
      <w:r>
        <w:t>DATE</w:t>
      </w:r>
      <w:proofErr w:type="gramStart"/>
      <w:r>
        <w:t>:</w:t>
      </w:r>
      <w:r>
        <w:tab/>
      </w:r>
      <w:r>
        <w:tab/>
      </w:r>
      <w:r w:rsidR="2B046AD7">
        <w:t>August</w:t>
      </w:r>
      <w:proofErr w:type="gramEnd"/>
      <w:r>
        <w:t xml:space="preserve"> </w:t>
      </w:r>
      <w:r w:rsidR="000F5BAE">
        <w:t>2</w:t>
      </w:r>
      <w:r w:rsidR="000F5BAE">
        <w:t>2</w:t>
      </w:r>
      <w:r>
        <w:t>, 2025 </w:t>
      </w:r>
    </w:p>
    <w:p w14:paraId="6A8B7709" w14:textId="77777777" w:rsidR="00EC169A" w:rsidRPr="00EC169A" w:rsidRDefault="00EC169A" w:rsidP="00EC169A">
      <w:pPr>
        <w:rPr>
          <w:szCs w:val="24"/>
        </w:rPr>
      </w:pPr>
      <w:r w:rsidRPr="00EC169A">
        <w:rPr>
          <w:szCs w:val="24"/>
        </w:rPr>
        <w:t> </w:t>
      </w:r>
    </w:p>
    <w:p w14:paraId="03627754" w14:textId="729C2632" w:rsidR="00EC169A" w:rsidRDefault="00EC169A" w:rsidP="00EC169A">
      <w:pPr>
        <w:rPr>
          <w:szCs w:val="24"/>
        </w:rPr>
      </w:pPr>
      <w:r w:rsidRPr="00EC169A">
        <w:rPr>
          <w:szCs w:val="24"/>
        </w:rPr>
        <w:t>RE:</w:t>
      </w:r>
      <w:r w:rsidRPr="00EC169A">
        <w:rPr>
          <w:szCs w:val="24"/>
        </w:rPr>
        <w:tab/>
      </w:r>
      <w:r>
        <w:rPr>
          <w:szCs w:val="24"/>
        </w:rPr>
        <w:tab/>
        <w:t>Updated Regulatory Requirements for Stroke Services</w:t>
      </w:r>
    </w:p>
    <w:p w14:paraId="5A0B83C4" w14:textId="77777777" w:rsidR="00930D2C" w:rsidRPr="00EC169A" w:rsidRDefault="00930D2C" w:rsidP="00EC169A">
      <w:pPr>
        <w:rPr>
          <w:szCs w:val="24"/>
        </w:rPr>
      </w:pPr>
    </w:p>
    <w:p w14:paraId="738889EF" w14:textId="77777777" w:rsidR="00EC169A" w:rsidRPr="00EC169A" w:rsidRDefault="00EC169A" w:rsidP="00EC169A">
      <w:pPr>
        <w:rPr>
          <w:szCs w:val="24"/>
        </w:rPr>
      </w:pPr>
      <w:r w:rsidRPr="00EC169A">
        <w:rPr>
          <w:szCs w:val="24"/>
        </w:rPr>
        <w:t> </w:t>
      </w:r>
    </w:p>
    <w:p w14:paraId="02C97D83" w14:textId="6FE7B6F8" w:rsidR="007A6C87" w:rsidRDefault="007A6C87" w:rsidP="00EC169A">
      <w:r w:rsidRPr="03DFA0C6">
        <w:t>I</w:t>
      </w:r>
      <w:r w:rsidR="00EC169A" w:rsidRPr="03DFA0C6">
        <w:t xml:space="preserve">n February 2025, the Department of Public Health </w:t>
      </w:r>
      <w:r w:rsidRPr="03DFA0C6">
        <w:t xml:space="preserve">(“Department”) </w:t>
      </w:r>
      <w:r w:rsidR="00EC169A" w:rsidRPr="03DFA0C6">
        <w:t xml:space="preserve">promulgated regulatory revisions </w:t>
      </w:r>
      <w:r w:rsidR="00393801" w:rsidRPr="03DFA0C6">
        <w:t xml:space="preserve">to the hospital licensure regulations, </w:t>
      </w:r>
      <w:hyperlink r:id="rId12" w:history="1">
        <w:r w:rsidR="00393801" w:rsidRPr="03DFA0C6">
          <w:rPr>
            <w:rStyle w:val="Hyperlink"/>
          </w:rPr>
          <w:t>105 CMR 130</w:t>
        </w:r>
      </w:hyperlink>
      <w:r w:rsidR="00393801">
        <w:rPr>
          <w:szCs w:val="24"/>
        </w:rPr>
        <w:t xml:space="preserve">, </w:t>
      </w:r>
      <w:r w:rsidR="00EC169A" w:rsidRPr="03DFA0C6">
        <w:t xml:space="preserve">for stroke services. </w:t>
      </w:r>
      <w:r w:rsidRPr="03DFA0C6">
        <w:t>The Department was required by legislation to promulgate regulations that create statewide criteria for designating hospitals in a tiered system, featuring advanced designations</w:t>
      </w:r>
      <w:r w:rsidR="34E9E4D6" w:rsidRPr="03DFA0C6">
        <w:t>,</w:t>
      </w:r>
      <w:r w:rsidRPr="03DFA0C6">
        <w:t xml:space="preserve"> in addition to primary stroke services, to treat stroke patients based on patient acuity</w:t>
      </w:r>
      <w:r>
        <w:rPr>
          <w:szCs w:val="24"/>
        </w:rPr>
        <w:t>.</w:t>
      </w:r>
      <w:r w:rsidRPr="03DFA0C6">
        <w:rPr>
          <w:rStyle w:val="FootnoteReference"/>
        </w:rPr>
        <w:t xml:space="preserve"> </w:t>
      </w:r>
      <w:r w:rsidRPr="03DFA0C6">
        <w:rPr>
          <w:rStyle w:val="FootnoteReference"/>
        </w:rPr>
        <w:footnoteReference w:id="2"/>
      </w:r>
      <w:r>
        <w:rPr>
          <w:szCs w:val="24"/>
        </w:rPr>
        <w:t xml:space="preserve"> </w:t>
      </w:r>
    </w:p>
    <w:p w14:paraId="771CBF6C" w14:textId="77777777" w:rsidR="00F170D3" w:rsidRDefault="00F170D3" w:rsidP="00EC169A">
      <w:pPr>
        <w:rPr>
          <w:szCs w:val="24"/>
        </w:rPr>
      </w:pPr>
    </w:p>
    <w:p w14:paraId="069D632A" w14:textId="5FB5E6F9" w:rsidR="00F170D3" w:rsidRDefault="00F170D3" w:rsidP="00EC169A">
      <w:pPr>
        <w:rPr>
          <w:szCs w:val="24"/>
        </w:rPr>
      </w:pPr>
      <w:r>
        <w:rPr>
          <w:szCs w:val="24"/>
        </w:rPr>
        <w:t xml:space="preserve">The </w:t>
      </w:r>
      <w:r w:rsidR="00591406">
        <w:rPr>
          <w:szCs w:val="24"/>
        </w:rPr>
        <w:t xml:space="preserve">revised regulations </w:t>
      </w:r>
      <w:r w:rsidR="006C5657">
        <w:rPr>
          <w:szCs w:val="24"/>
        </w:rPr>
        <w:t xml:space="preserve">require all hospitals </w:t>
      </w:r>
      <w:r w:rsidR="00BF664C">
        <w:rPr>
          <w:szCs w:val="24"/>
        </w:rPr>
        <w:t xml:space="preserve">with an emergency department and all satellite emergency facilities to provide acute stroke ready services and meet the acute stroke ready service requirements in 105 CMR 130.1402 through 130.1403. </w:t>
      </w:r>
    </w:p>
    <w:p w14:paraId="17AE54FE" w14:textId="77777777" w:rsidR="00BF664C" w:rsidRDefault="00BF664C" w:rsidP="00EC169A">
      <w:pPr>
        <w:rPr>
          <w:szCs w:val="24"/>
        </w:rPr>
      </w:pPr>
    </w:p>
    <w:p w14:paraId="7EBDD36B" w14:textId="3018F46F" w:rsidR="00BF664C" w:rsidRDefault="00BF664C" w:rsidP="00EC169A">
      <w:pPr>
        <w:rPr>
          <w:szCs w:val="24"/>
        </w:rPr>
      </w:pPr>
      <w:r>
        <w:rPr>
          <w:szCs w:val="24"/>
        </w:rPr>
        <w:t xml:space="preserve">A hospital may seek designation to provide primary stroke services or endovascular capable stroke services </w:t>
      </w:r>
      <w:r w:rsidR="001A1C3C">
        <w:rPr>
          <w:szCs w:val="24"/>
        </w:rPr>
        <w:t xml:space="preserve">through accreditation from a nationally recognized accrediting body. </w:t>
      </w:r>
      <w:r w:rsidR="004101A7">
        <w:rPr>
          <w:szCs w:val="24"/>
        </w:rPr>
        <w:t>For purposes of 105 CMR 130, endovascular capable stroke services i</w:t>
      </w:r>
      <w:r w:rsidR="00D816F9">
        <w:rPr>
          <w:szCs w:val="24"/>
        </w:rPr>
        <w:t xml:space="preserve">nclude either accreditation as a </w:t>
      </w:r>
      <w:r w:rsidR="004101A7">
        <w:rPr>
          <w:szCs w:val="24"/>
        </w:rPr>
        <w:t xml:space="preserve">thrombectomy capable stroke </w:t>
      </w:r>
      <w:r w:rsidR="00D816F9">
        <w:rPr>
          <w:szCs w:val="24"/>
        </w:rPr>
        <w:t>center or comprehensive stroke center from a national</w:t>
      </w:r>
      <w:r w:rsidR="00FF366C">
        <w:rPr>
          <w:szCs w:val="24"/>
        </w:rPr>
        <w:t>ly</w:t>
      </w:r>
      <w:r w:rsidR="00D816F9">
        <w:rPr>
          <w:szCs w:val="24"/>
        </w:rPr>
        <w:t xml:space="preserve"> recognized </w:t>
      </w:r>
      <w:r w:rsidR="00274B27">
        <w:rPr>
          <w:szCs w:val="24"/>
        </w:rPr>
        <w:t xml:space="preserve">accrediting body. </w:t>
      </w:r>
    </w:p>
    <w:p w14:paraId="748E1F0D" w14:textId="77777777" w:rsidR="00274B27" w:rsidRDefault="00274B27" w:rsidP="00EC169A">
      <w:pPr>
        <w:rPr>
          <w:szCs w:val="24"/>
        </w:rPr>
      </w:pPr>
    </w:p>
    <w:p w14:paraId="38D878B6" w14:textId="3A276DC5" w:rsidR="00930D2C" w:rsidRDefault="00274B27" w:rsidP="00EC169A">
      <w:pPr>
        <w:rPr>
          <w:b/>
        </w:rPr>
      </w:pPr>
      <w:r w:rsidRPr="00D50D6A">
        <w:rPr>
          <w:b/>
        </w:rPr>
        <w:t xml:space="preserve">The purpose of this memorandum is to provide </w:t>
      </w:r>
      <w:r w:rsidR="00FF366C" w:rsidRPr="00D50D6A">
        <w:rPr>
          <w:b/>
        </w:rPr>
        <w:t>further detail and information to hospitals and satellite emergency facilities on these recent regulatory revisions</w:t>
      </w:r>
      <w:r w:rsidR="34A7EC1A" w:rsidRPr="6A7558B3">
        <w:rPr>
          <w:b/>
          <w:bCs/>
        </w:rPr>
        <w:t>.</w:t>
      </w:r>
      <w:r w:rsidR="007E6675" w:rsidRPr="00D50D6A">
        <w:rPr>
          <w:b/>
        </w:rPr>
        <w:t xml:space="preserve"> </w:t>
      </w:r>
    </w:p>
    <w:p w14:paraId="70255858" w14:textId="77777777" w:rsidR="00930D2C" w:rsidRDefault="00930D2C">
      <w:pPr>
        <w:rPr>
          <w:b/>
          <w:bCs/>
          <w:szCs w:val="24"/>
        </w:rPr>
      </w:pPr>
      <w:r>
        <w:rPr>
          <w:b/>
          <w:bCs/>
          <w:szCs w:val="24"/>
        </w:rPr>
        <w:br w:type="page"/>
      </w:r>
    </w:p>
    <w:p w14:paraId="369E9EBF" w14:textId="1F34482A" w:rsidR="002B5BAF" w:rsidRDefault="002B5BAF" w:rsidP="00EC169A">
      <w:pPr>
        <w:rPr>
          <w:szCs w:val="24"/>
        </w:rPr>
      </w:pPr>
      <w:r>
        <w:rPr>
          <w:b/>
          <w:bCs/>
          <w:szCs w:val="24"/>
          <w:u w:val="single"/>
        </w:rPr>
        <w:lastRenderedPageBreak/>
        <w:t>Acute Stroke Ready Services</w:t>
      </w:r>
    </w:p>
    <w:p w14:paraId="6F29F4C7" w14:textId="77777777" w:rsidR="002B5BAF" w:rsidRDefault="002B5BAF" w:rsidP="00EC169A">
      <w:pPr>
        <w:rPr>
          <w:szCs w:val="24"/>
        </w:rPr>
      </w:pPr>
    </w:p>
    <w:p w14:paraId="1DCA07AF" w14:textId="53BFF9DB" w:rsidR="002B5BAF" w:rsidRPr="00D50D6A" w:rsidRDefault="002B5BAF" w:rsidP="00193B4D">
      <w:pPr>
        <w:rPr>
          <w:b/>
          <w:bCs/>
        </w:rPr>
      </w:pPr>
      <w:r w:rsidRPr="00D50D6A">
        <w:rPr>
          <w:b/>
          <w:bCs/>
        </w:rPr>
        <w:t>All hospitals with an emergency department and all satellite emergency facilities must provide acute stroke ready service</w:t>
      </w:r>
      <w:r w:rsidR="347931A0" w:rsidRPr="00D50D6A">
        <w:rPr>
          <w:b/>
          <w:bCs/>
        </w:rPr>
        <w:t>s</w:t>
      </w:r>
      <w:r w:rsidR="7F62A2EA" w:rsidRPr="00D50D6A">
        <w:rPr>
          <w:b/>
          <w:bCs/>
        </w:rPr>
        <w:t xml:space="preserve"> (105 CMR 130.1402</w:t>
      </w:r>
      <w:r w:rsidR="6A93879F" w:rsidRPr="00D50D6A">
        <w:rPr>
          <w:b/>
          <w:bCs/>
        </w:rPr>
        <w:t>)</w:t>
      </w:r>
      <w:r w:rsidRPr="00D50D6A">
        <w:rPr>
          <w:b/>
          <w:bCs/>
        </w:rPr>
        <w:t>.</w:t>
      </w:r>
      <w:r w:rsidR="00D77007" w:rsidRPr="00D50D6A">
        <w:rPr>
          <w:b/>
          <w:bCs/>
        </w:rPr>
        <w:t xml:space="preserve"> </w:t>
      </w:r>
      <w:r w:rsidR="00D77007">
        <w:t>Hospitals and satellite emergency facilities do not need</w:t>
      </w:r>
      <w:r w:rsidR="00742525">
        <w:t xml:space="preserve"> to obtain</w:t>
      </w:r>
      <w:r w:rsidR="00D77007">
        <w:t xml:space="preserve"> </w:t>
      </w:r>
      <w:r w:rsidR="00D81001">
        <w:t>accreditation</w:t>
      </w:r>
      <w:r w:rsidR="00D77007">
        <w:t xml:space="preserve"> from a nationally recognized accrediting body </w:t>
      </w:r>
      <w:r w:rsidR="27140193">
        <w:t>in order to provide</w:t>
      </w:r>
      <w:r w:rsidR="00D77007">
        <w:t xml:space="preserve"> acute stroke ready services.</w:t>
      </w:r>
      <w:r w:rsidR="00193B4D">
        <w:rPr>
          <w:b/>
          <w:bCs/>
        </w:rPr>
        <w:t xml:space="preserve"> </w:t>
      </w:r>
      <w:r w:rsidR="00742525">
        <w:t>The requirements for acute stroke ready services can be found in 105 CMR 130.1402 through 130.1403.</w:t>
      </w:r>
    </w:p>
    <w:p w14:paraId="1B46DC73" w14:textId="77777777" w:rsidR="00D86E34" w:rsidRDefault="00D86E34" w:rsidP="00EC169A">
      <w:pPr>
        <w:rPr>
          <w:szCs w:val="24"/>
        </w:rPr>
      </w:pPr>
    </w:p>
    <w:p w14:paraId="0E2A5A78" w14:textId="77777777" w:rsidR="00193B4D" w:rsidRDefault="006343AF" w:rsidP="00EC169A">
      <w:r>
        <w:t xml:space="preserve">As required under 105 CMR 130.1403, hospitals with an emergency department and satellite emergency facilities must develop and implement written care protocols for acute stroke that are based on previously published </w:t>
      </w:r>
      <w:r w:rsidR="00742525">
        <w:t xml:space="preserve">best practice </w:t>
      </w:r>
      <w:r>
        <w:t>guidelines and developed by a multidisciplinary team. The protocols must be available in the Emergency Department (ED) and other areas likely to evaluate and treat patients with acute stroke</w:t>
      </w:r>
      <w:r w:rsidR="470767FE">
        <w:t>.</w:t>
      </w:r>
      <w:r>
        <w:t xml:space="preserve"> </w:t>
      </w:r>
      <w:r w:rsidR="2C9B366E">
        <w:t xml:space="preserve">The protocols must </w:t>
      </w:r>
      <w:r>
        <w:t xml:space="preserve">be reviewed and revised </w:t>
      </w:r>
      <w:r w:rsidR="00C90D85">
        <w:t xml:space="preserve">in accordance with the organization’s policy and </w:t>
      </w:r>
      <w:r w:rsidR="00AB4671">
        <w:t>when there are changes in best practice guidelines</w:t>
      </w:r>
      <w:r>
        <w:t xml:space="preserve">. </w:t>
      </w:r>
    </w:p>
    <w:p w14:paraId="2D1E22C4" w14:textId="77777777" w:rsidR="00193B4D" w:rsidRDefault="00193B4D" w:rsidP="00EC169A"/>
    <w:p w14:paraId="0863461F" w14:textId="638980C6" w:rsidR="00DE465A" w:rsidRDefault="006343AF" w:rsidP="00EC169A">
      <w:r>
        <w:t>The written protocols (e.g., policies and procedures, order sets, critical pathways, algorithms) for acute stroke assessment, management and intervention, include but are not limited to:</w:t>
      </w:r>
    </w:p>
    <w:p w14:paraId="29169DD5" w14:textId="7F72D2FA" w:rsidR="55091B65" w:rsidRDefault="55091B65" w:rsidP="03DFA0C6">
      <w:pPr>
        <w:pStyle w:val="ListParagraph"/>
        <w:numPr>
          <w:ilvl w:val="0"/>
          <w:numId w:val="11"/>
        </w:numPr>
        <w:rPr>
          <w:color w:val="141414"/>
          <w:szCs w:val="24"/>
        </w:rPr>
      </w:pPr>
      <w:r w:rsidRPr="03DFA0C6">
        <w:rPr>
          <w:color w:val="141414"/>
        </w:rPr>
        <w:t xml:space="preserve">Identification of acute stroke triage plan, e.g., patient assessment, recent medical history, pre-incident history, medication history (see </w:t>
      </w:r>
      <w:r>
        <w:t xml:space="preserve">105 CMR </w:t>
      </w:r>
      <w:r w:rsidRPr="03DFA0C6">
        <w:rPr>
          <w:color w:val="141414"/>
        </w:rPr>
        <w:t>130.1403(B)(1)).</w:t>
      </w:r>
    </w:p>
    <w:p w14:paraId="06BF7F61" w14:textId="5D820251" w:rsidR="00240837" w:rsidRPr="00371955" w:rsidRDefault="00240837" w:rsidP="03DFA0C6">
      <w:pPr>
        <w:pStyle w:val="ListParagraph"/>
        <w:numPr>
          <w:ilvl w:val="0"/>
          <w:numId w:val="11"/>
        </w:numPr>
        <w:rPr>
          <w:szCs w:val="24"/>
        </w:rPr>
      </w:pPr>
      <w:r>
        <w:t xml:space="preserve">Systems for Emergency Medical Service (EMS) personnel to effectively communicate with hospital personnel during pre-hospital transport of a patient with symptoms of acute stroke, and to allow the Emergency Department (ED) to more efficiently prepare for patient arrival (see </w:t>
      </w:r>
      <w:r w:rsidR="201FA8BA">
        <w:t xml:space="preserve">105 CMR </w:t>
      </w:r>
      <w:r>
        <w:t>130.1403(B)(2))</w:t>
      </w:r>
      <w:r w:rsidR="004A1123">
        <w:t>.</w:t>
      </w:r>
    </w:p>
    <w:p w14:paraId="0992BBE1" w14:textId="34447BC1" w:rsidR="00240837" w:rsidRPr="00371955" w:rsidRDefault="004A1123" w:rsidP="2C2E1244">
      <w:pPr>
        <w:numPr>
          <w:ilvl w:val="0"/>
          <w:numId w:val="11"/>
        </w:numPr>
        <w:rPr>
          <w:color w:val="141414"/>
        </w:rPr>
      </w:pPr>
      <w:r w:rsidRPr="03DFA0C6">
        <w:rPr>
          <w:color w:val="141414"/>
        </w:rPr>
        <w:t xml:space="preserve">Identification of Acute Stroke Team, </w:t>
      </w:r>
      <w:r w:rsidR="1539FD79" w:rsidRPr="03DFA0C6">
        <w:rPr>
          <w:color w:val="141414"/>
        </w:rPr>
        <w:t>including team</w:t>
      </w:r>
      <w:r w:rsidRPr="03DFA0C6">
        <w:rPr>
          <w:color w:val="141414"/>
        </w:rPr>
        <w:t xml:space="preserve"> members, qualifications, availability and responsibilities, system to promptly notify and activate the Ac</w:t>
      </w:r>
      <w:r w:rsidR="00A9084D">
        <w:rPr>
          <w:color w:val="141414"/>
        </w:rPr>
        <w:t xml:space="preserve">ute Stroke Team </w:t>
      </w:r>
      <w:r w:rsidRPr="03DFA0C6">
        <w:rPr>
          <w:color w:val="141414"/>
        </w:rPr>
        <w:t xml:space="preserve">(see </w:t>
      </w:r>
      <w:r w:rsidR="512B64BC" w:rsidRPr="03DFA0C6">
        <w:rPr>
          <w:color w:val="141414"/>
        </w:rPr>
        <w:t xml:space="preserve">105 CMR </w:t>
      </w:r>
      <w:r w:rsidRPr="03DFA0C6">
        <w:rPr>
          <w:color w:val="141414"/>
        </w:rPr>
        <w:t>130.1403(B)(3))</w:t>
      </w:r>
      <w:r w:rsidR="11967382" w:rsidRPr="03DFA0C6">
        <w:rPr>
          <w:color w:val="141414"/>
        </w:rPr>
        <w:t>.</w:t>
      </w:r>
    </w:p>
    <w:p w14:paraId="7F8DBF0D" w14:textId="2386D8FC" w:rsidR="54C58626" w:rsidRDefault="54C58626" w:rsidP="03DFA0C6">
      <w:pPr>
        <w:numPr>
          <w:ilvl w:val="0"/>
          <w:numId w:val="11"/>
        </w:numPr>
        <w:rPr>
          <w:color w:val="141414"/>
        </w:rPr>
      </w:pPr>
      <w:r w:rsidRPr="03DFA0C6">
        <w:rPr>
          <w:color w:val="141414"/>
        </w:rPr>
        <w:t xml:space="preserve">Identification of a specific, well-organized </w:t>
      </w:r>
      <w:r w:rsidR="4F0A6F2F" w:rsidRPr="03DFA0C6">
        <w:rPr>
          <w:color w:val="141414"/>
        </w:rPr>
        <w:t>system for promptly notifying and activating the Acute Stroke Team to evalu</w:t>
      </w:r>
      <w:r w:rsidR="502017FA" w:rsidRPr="03DFA0C6">
        <w:rPr>
          <w:color w:val="141414"/>
        </w:rPr>
        <w:t>a</w:t>
      </w:r>
      <w:r w:rsidR="4F0A6F2F" w:rsidRPr="03DFA0C6">
        <w:rPr>
          <w:color w:val="141414"/>
        </w:rPr>
        <w:t>te patients presenting with symptoms of acute stroke including during the pre-hospital transport by EM</w:t>
      </w:r>
      <w:r w:rsidR="5913AA67" w:rsidRPr="03DFA0C6">
        <w:rPr>
          <w:color w:val="141414"/>
        </w:rPr>
        <w:t>S</w:t>
      </w:r>
      <w:r w:rsidR="79E43E15" w:rsidRPr="03DFA0C6">
        <w:rPr>
          <w:color w:val="141414"/>
        </w:rPr>
        <w:t xml:space="preserve"> (see 105 CMR 130.1403(B)(2) and (3))</w:t>
      </w:r>
      <w:r w:rsidR="5913AA67" w:rsidRPr="03DFA0C6">
        <w:rPr>
          <w:color w:val="141414"/>
        </w:rPr>
        <w:t xml:space="preserve">. </w:t>
      </w:r>
    </w:p>
    <w:p w14:paraId="7A5951C8" w14:textId="7582A750" w:rsidR="00371955" w:rsidRPr="00371955" w:rsidRDefault="05B8DDA9" w:rsidP="03DFA0C6">
      <w:pPr>
        <w:numPr>
          <w:ilvl w:val="0"/>
          <w:numId w:val="11"/>
        </w:numPr>
        <w:rPr>
          <w:color w:val="141414"/>
        </w:rPr>
      </w:pPr>
      <w:r w:rsidRPr="03DFA0C6">
        <w:rPr>
          <w:color w:val="141414"/>
        </w:rPr>
        <w:t xml:space="preserve">Protocols for </w:t>
      </w:r>
      <w:r w:rsidR="27D2EBFE" w:rsidRPr="03DFA0C6">
        <w:rPr>
          <w:color w:val="141414"/>
        </w:rPr>
        <w:t>s</w:t>
      </w:r>
      <w:r w:rsidR="00371955" w:rsidRPr="03DFA0C6">
        <w:rPr>
          <w:color w:val="141414"/>
        </w:rPr>
        <w:t>tabilization of vital functions, ongoing monitoring, management of increased intracranial pressure and blood pressure (</w:t>
      </w:r>
      <w:r w:rsidR="08582E71" w:rsidRPr="03DFA0C6">
        <w:rPr>
          <w:color w:val="141414"/>
        </w:rPr>
        <w:t xml:space="preserve">see 105 CMR </w:t>
      </w:r>
      <w:r w:rsidR="00371955" w:rsidRPr="03DFA0C6">
        <w:rPr>
          <w:color w:val="141414"/>
        </w:rPr>
        <w:t>130.1403(A)(B))</w:t>
      </w:r>
    </w:p>
    <w:p w14:paraId="0F2B27C3" w14:textId="4505EC15" w:rsidR="000D08FA" w:rsidRPr="000D08FA" w:rsidRDefault="000D08FA" w:rsidP="03DFA0C6">
      <w:pPr>
        <w:numPr>
          <w:ilvl w:val="0"/>
          <w:numId w:val="11"/>
        </w:numPr>
        <w:rPr>
          <w:color w:val="141414"/>
        </w:rPr>
      </w:pPr>
      <w:r w:rsidRPr="03DFA0C6">
        <w:rPr>
          <w:color w:val="141414"/>
        </w:rPr>
        <w:t xml:space="preserve">Systems to promptly perform initial diagnostic tests, such as brain computed tomography (CT) or magnetic resonance imaging (MRI), laboratory (e.g., routine serum chemistry, hematology, coagulation studies), electrocardiograms, </w:t>
      </w:r>
      <w:r w:rsidR="00002EB2">
        <w:rPr>
          <w:color w:val="141414"/>
        </w:rPr>
        <w:t xml:space="preserve">and/or </w:t>
      </w:r>
      <w:r w:rsidRPr="03DFA0C6">
        <w:rPr>
          <w:color w:val="141414"/>
        </w:rPr>
        <w:t xml:space="preserve">chest x-rays, as necessary (see </w:t>
      </w:r>
      <w:r w:rsidR="7915D967" w:rsidRPr="03DFA0C6">
        <w:rPr>
          <w:color w:val="141414"/>
        </w:rPr>
        <w:t xml:space="preserve">105 CMR </w:t>
      </w:r>
      <w:r w:rsidRPr="03DFA0C6">
        <w:rPr>
          <w:color w:val="141414"/>
        </w:rPr>
        <w:t>130.1403(A)).</w:t>
      </w:r>
    </w:p>
    <w:p w14:paraId="05A117EB" w14:textId="3059B1C8" w:rsidR="000D08FA" w:rsidRPr="000D08FA" w:rsidRDefault="21A508EB" w:rsidP="03DFA0C6">
      <w:pPr>
        <w:numPr>
          <w:ilvl w:val="0"/>
          <w:numId w:val="11"/>
        </w:numPr>
        <w:rPr>
          <w:color w:val="141414"/>
        </w:rPr>
      </w:pPr>
      <w:r w:rsidRPr="03DFA0C6">
        <w:rPr>
          <w:color w:val="141414"/>
        </w:rPr>
        <w:t xml:space="preserve">Protocols for </w:t>
      </w:r>
      <w:r w:rsidR="0DC6664D" w:rsidRPr="03DFA0C6">
        <w:rPr>
          <w:color w:val="141414"/>
        </w:rPr>
        <w:t>u</w:t>
      </w:r>
      <w:r w:rsidR="000D08FA" w:rsidRPr="03DFA0C6">
        <w:rPr>
          <w:color w:val="141414"/>
        </w:rPr>
        <w:t xml:space="preserve">se of medications, including but not limited to intravenous tissue-type plasminogen activator (IV t-PA), patient eligibility criteria for IV-tPA, including contraindications/warnings, management of complications and post-thrombolysis management plan (see </w:t>
      </w:r>
      <w:r w:rsidR="6A8A6B1B" w:rsidRPr="03DFA0C6">
        <w:rPr>
          <w:color w:val="141414"/>
        </w:rPr>
        <w:t xml:space="preserve">105 CMR </w:t>
      </w:r>
      <w:r w:rsidR="000D08FA" w:rsidRPr="03DFA0C6">
        <w:rPr>
          <w:color w:val="141414"/>
        </w:rPr>
        <w:t>130.1403(A)(B)).</w:t>
      </w:r>
    </w:p>
    <w:p w14:paraId="101F4F11" w14:textId="5ABECF5A" w:rsidR="00341744" w:rsidRDefault="000D08FA" w:rsidP="2C2E1244">
      <w:pPr>
        <w:numPr>
          <w:ilvl w:val="0"/>
          <w:numId w:val="11"/>
        </w:numPr>
        <w:rPr>
          <w:color w:val="141414"/>
        </w:rPr>
      </w:pPr>
      <w:r w:rsidRPr="03DFA0C6">
        <w:rPr>
          <w:color w:val="141414"/>
        </w:rPr>
        <w:t xml:space="preserve">Time target goals for assessment, management and intervention </w:t>
      </w:r>
      <w:r w:rsidR="2B2432CE" w:rsidRPr="03DFA0C6">
        <w:rPr>
          <w:color w:val="141414"/>
        </w:rPr>
        <w:t>(</w:t>
      </w:r>
      <w:r w:rsidRPr="03DFA0C6">
        <w:rPr>
          <w:color w:val="141414"/>
        </w:rPr>
        <w:t xml:space="preserve">see </w:t>
      </w:r>
      <w:r w:rsidR="20728702" w:rsidRPr="03DFA0C6">
        <w:rPr>
          <w:color w:val="141414"/>
        </w:rPr>
        <w:t xml:space="preserve">105 CMR </w:t>
      </w:r>
      <w:r w:rsidRPr="03DFA0C6">
        <w:rPr>
          <w:color w:val="141414"/>
        </w:rPr>
        <w:t>130.1403(A)).</w:t>
      </w:r>
    </w:p>
    <w:p w14:paraId="65259A64" w14:textId="77777777" w:rsidR="00341744" w:rsidRDefault="00341744">
      <w:pPr>
        <w:rPr>
          <w:color w:val="141414"/>
        </w:rPr>
      </w:pPr>
      <w:r>
        <w:rPr>
          <w:color w:val="141414"/>
        </w:rPr>
        <w:br w:type="page"/>
      </w:r>
    </w:p>
    <w:p w14:paraId="3517316E" w14:textId="775497BA" w:rsidR="00B3198E" w:rsidRDefault="1A110D23" w:rsidP="03DFA0C6">
      <w:pPr>
        <w:rPr>
          <w:color w:val="141414"/>
        </w:rPr>
      </w:pPr>
      <w:r w:rsidRPr="03DFA0C6">
        <w:rPr>
          <w:color w:val="141414"/>
        </w:rPr>
        <w:lastRenderedPageBreak/>
        <w:t xml:space="preserve">If </w:t>
      </w:r>
      <w:r w:rsidR="594B29E3" w:rsidRPr="03DFA0C6">
        <w:rPr>
          <w:color w:val="141414"/>
        </w:rPr>
        <w:t>t</w:t>
      </w:r>
      <w:r w:rsidR="00ED71F6" w:rsidRPr="03DFA0C6">
        <w:rPr>
          <w:color w:val="141414"/>
        </w:rPr>
        <w:t xml:space="preserve">he hospital or satellite emergency department </w:t>
      </w:r>
      <w:r w:rsidR="7D845A95" w:rsidRPr="03DFA0C6">
        <w:rPr>
          <w:color w:val="141414"/>
        </w:rPr>
        <w:t xml:space="preserve">does not have a primary stroke service or </w:t>
      </w:r>
      <w:r w:rsidR="00861D96" w:rsidRPr="03DFA0C6">
        <w:rPr>
          <w:color w:val="141414"/>
        </w:rPr>
        <w:t>endovascular</w:t>
      </w:r>
      <w:r w:rsidR="7D845A95" w:rsidRPr="03DFA0C6">
        <w:rPr>
          <w:color w:val="141414"/>
        </w:rPr>
        <w:t xml:space="preserve"> stroke service designation, the hospital or satellite emergency </w:t>
      </w:r>
      <w:r w:rsidR="00CD330F">
        <w:rPr>
          <w:color w:val="141414"/>
        </w:rPr>
        <w:t>facility</w:t>
      </w:r>
      <w:r w:rsidR="00CD330F" w:rsidRPr="03DFA0C6">
        <w:rPr>
          <w:color w:val="141414"/>
        </w:rPr>
        <w:t xml:space="preserve"> </w:t>
      </w:r>
      <w:r w:rsidR="00ED71F6" w:rsidRPr="03DFA0C6">
        <w:rPr>
          <w:color w:val="141414"/>
        </w:rPr>
        <w:t>must have a coordinating stroke care agreement with a hospital with a primary stroke service or endovascular stroke service designation</w:t>
      </w:r>
      <w:r w:rsidR="009A76BC" w:rsidRPr="03DFA0C6">
        <w:rPr>
          <w:color w:val="141414"/>
        </w:rPr>
        <w:t xml:space="preserve"> within their service area </w:t>
      </w:r>
      <w:r w:rsidR="008E3A5B" w:rsidRPr="03DFA0C6">
        <w:rPr>
          <w:color w:val="141414"/>
        </w:rPr>
        <w:t xml:space="preserve">(see </w:t>
      </w:r>
      <w:r w:rsidR="46CA6ED3" w:rsidRPr="03DFA0C6">
        <w:rPr>
          <w:color w:val="141414"/>
        </w:rPr>
        <w:t>105 CMR</w:t>
      </w:r>
      <w:r w:rsidR="008E3A5B" w:rsidRPr="03DFA0C6">
        <w:rPr>
          <w:color w:val="141414"/>
        </w:rPr>
        <w:t xml:space="preserve">130.1403(C)). </w:t>
      </w:r>
      <w:r w:rsidR="00DB00D7" w:rsidRPr="03DFA0C6">
        <w:rPr>
          <w:color w:val="141414"/>
        </w:rPr>
        <w:t>The coordinating stroke care agreement must</w:t>
      </w:r>
      <w:r w:rsidR="3486112C" w:rsidRPr="03DFA0C6">
        <w:rPr>
          <w:color w:val="141414"/>
        </w:rPr>
        <w:t xml:space="preserve"> be in writing and</w:t>
      </w:r>
      <w:r w:rsidR="00DB00D7" w:rsidRPr="03DFA0C6">
        <w:rPr>
          <w:color w:val="141414"/>
        </w:rPr>
        <w:t xml:space="preserve"> include</w:t>
      </w:r>
      <w:r w:rsidR="00B3198E" w:rsidRPr="03DFA0C6">
        <w:rPr>
          <w:color w:val="141414"/>
        </w:rPr>
        <w:t>, at a minimum, the following:</w:t>
      </w:r>
    </w:p>
    <w:p w14:paraId="2E918EEE" w14:textId="77777777" w:rsidR="00CA078A" w:rsidRDefault="00CA078A" w:rsidP="03DFA0C6">
      <w:pPr>
        <w:rPr>
          <w:color w:val="141414"/>
        </w:rPr>
      </w:pPr>
    </w:p>
    <w:p w14:paraId="37CC8524" w14:textId="642F6E8B" w:rsidR="00E3765B" w:rsidRDefault="00E3765B" w:rsidP="03DFA0C6">
      <w:pPr>
        <w:pStyle w:val="ListParagraph"/>
        <w:numPr>
          <w:ilvl w:val="0"/>
          <w:numId w:val="16"/>
        </w:numPr>
        <w:rPr>
          <w:color w:val="141414"/>
          <w:szCs w:val="24"/>
        </w:rPr>
      </w:pPr>
      <w:r w:rsidRPr="03DFA0C6">
        <w:rPr>
          <w:color w:val="141414"/>
        </w:rPr>
        <w:t xml:space="preserve">Transfer protocols for the </w:t>
      </w:r>
      <w:r w:rsidR="6E15A447" w:rsidRPr="03DFA0C6">
        <w:rPr>
          <w:color w:val="141414"/>
        </w:rPr>
        <w:t xml:space="preserve">timely </w:t>
      </w:r>
      <w:r w:rsidRPr="03DFA0C6">
        <w:rPr>
          <w:color w:val="141414"/>
        </w:rPr>
        <w:t xml:space="preserve">transport and acceptance of </w:t>
      </w:r>
      <w:r w:rsidR="0F5BA8E7" w:rsidRPr="03DFA0C6">
        <w:rPr>
          <w:color w:val="141414"/>
        </w:rPr>
        <w:t xml:space="preserve">acute </w:t>
      </w:r>
      <w:r w:rsidRPr="03DFA0C6">
        <w:rPr>
          <w:color w:val="141414"/>
        </w:rPr>
        <w:t>stroke patients for stroke treatment therapies which the facility is not capable of providing</w:t>
      </w:r>
      <w:r w:rsidR="00C74F5D">
        <w:rPr>
          <w:color w:val="141414"/>
        </w:rPr>
        <w:t xml:space="preserve"> </w:t>
      </w:r>
      <w:r w:rsidR="26465719" w:rsidRPr="03DFA0C6">
        <w:rPr>
          <w:color w:val="141414"/>
        </w:rPr>
        <w:t>(see 105 CMR130.1403(C)(1)</w:t>
      </w:r>
      <w:r w:rsidR="66DB81A1" w:rsidRPr="03DFA0C6">
        <w:rPr>
          <w:color w:val="141414"/>
        </w:rPr>
        <w:t>)</w:t>
      </w:r>
      <w:r w:rsidRPr="03DFA0C6">
        <w:rPr>
          <w:color w:val="141414"/>
        </w:rPr>
        <w:t xml:space="preserve">; and </w:t>
      </w:r>
    </w:p>
    <w:p w14:paraId="48D706AC" w14:textId="02059454" w:rsidR="00017080" w:rsidRDefault="00E3765B" w:rsidP="03DFA0C6">
      <w:pPr>
        <w:pStyle w:val="ListParagraph"/>
        <w:numPr>
          <w:ilvl w:val="0"/>
          <w:numId w:val="16"/>
        </w:numPr>
        <w:rPr>
          <w:color w:val="141414"/>
        </w:rPr>
      </w:pPr>
      <w:r w:rsidRPr="03DFA0C6">
        <w:rPr>
          <w:color w:val="141414"/>
        </w:rPr>
        <w:t>Communication criteria and protocols, as needed</w:t>
      </w:r>
      <w:r w:rsidR="00C74F5D">
        <w:rPr>
          <w:color w:val="141414"/>
        </w:rPr>
        <w:t xml:space="preserve"> </w:t>
      </w:r>
      <w:r w:rsidR="27C411B5" w:rsidRPr="03DFA0C6">
        <w:rPr>
          <w:color w:val="141414"/>
        </w:rPr>
        <w:t>(see 105 CMR130.1403(C)(2))</w:t>
      </w:r>
      <w:r w:rsidR="00C74F5D">
        <w:rPr>
          <w:color w:val="141414"/>
        </w:rPr>
        <w:t>.</w:t>
      </w:r>
    </w:p>
    <w:p w14:paraId="1E5D34E7" w14:textId="77777777" w:rsidR="00E3765B" w:rsidRDefault="00E3765B" w:rsidP="00E3765B">
      <w:pPr>
        <w:rPr>
          <w:color w:val="141414"/>
          <w:szCs w:val="24"/>
        </w:rPr>
      </w:pPr>
    </w:p>
    <w:p w14:paraId="154B94EA" w14:textId="2B180500" w:rsidR="004659AB" w:rsidRPr="00E3765B" w:rsidRDefault="003361BA" w:rsidP="2C2E1244">
      <w:pPr>
        <w:rPr>
          <w:color w:val="141414"/>
        </w:rPr>
      </w:pPr>
      <w:r>
        <w:rPr>
          <w:color w:val="141414"/>
        </w:rPr>
        <w:t>As part of the t</w:t>
      </w:r>
      <w:r w:rsidR="00E3765B" w:rsidRPr="03DFA0C6">
        <w:rPr>
          <w:color w:val="141414"/>
        </w:rPr>
        <w:t xml:space="preserve">ransfer protocols </w:t>
      </w:r>
      <w:r w:rsidR="003963BD" w:rsidRPr="03DFA0C6">
        <w:rPr>
          <w:color w:val="141414"/>
        </w:rPr>
        <w:t>in a coordinating stroke care agreement</w:t>
      </w:r>
      <w:r>
        <w:rPr>
          <w:color w:val="141414"/>
        </w:rPr>
        <w:t>, the hospital or satellite emergency facility must</w:t>
      </w:r>
      <w:r w:rsidR="003963BD" w:rsidRPr="03DFA0C6">
        <w:rPr>
          <w:color w:val="141414"/>
        </w:rPr>
        <w:t xml:space="preserve"> </w:t>
      </w:r>
      <w:r w:rsidR="004659AB" w:rsidRPr="03DFA0C6">
        <w:rPr>
          <w:color w:val="141414"/>
        </w:rPr>
        <w:t xml:space="preserve">maintain a transfer agreement that describes the responsibilities of each hospital </w:t>
      </w:r>
      <w:r w:rsidR="1410A47D" w:rsidRPr="03DFA0C6">
        <w:rPr>
          <w:color w:val="141414"/>
        </w:rPr>
        <w:t xml:space="preserve">or satellite emergency facility </w:t>
      </w:r>
      <w:r w:rsidR="004659AB" w:rsidRPr="03DFA0C6">
        <w:rPr>
          <w:color w:val="141414"/>
        </w:rPr>
        <w:t xml:space="preserve">and is signed by the Medical Director of each hospital or </w:t>
      </w:r>
      <w:r w:rsidR="004A5EE8">
        <w:rPr>
          <w:color w:val="141414"/>
        </w:rPr>
        <w:t>their</w:t>
      </w:r>
      <w:r w:rsidR="004659AB" w:rsidRPr="03DFA0C6">
        <w:rPr>
          <w:color w:val="141414"/>
        </w:rPr>
        <w:t xml:space="preserve"> designee, and the Chief Executive Officer of each hospital or </w:t>
      </w:r>
      <w:r w:rsidR="578DD0B6" w:rsidRPr="6538497E">
        <w:rPr>
          <w:color w:val="141414"/>
        </w:rPr>
        <w:t>their</w:t>
      </w:r>
      <w:r w:rsidR="004659AB" w:rsidRPr="03DFA0C6">
        <w:rPr>
          <w:color w:val="141414"/>
        </w:rPr>
        <w:t xml:space="preserve"> designee.</w:t>
      </w:r>
    </w:p>
    <w:p w14:paraId="7DB1A3BE" w14:textId="77777777" w:rsidR="002B5BAF" w:rsidRDefault="002B5BAF" w:rsidP="00EC169A">
      <w:pPr>
        <w:rPr>
          <w:b/>
          <w:bCs/>
          <w:szCs w:val="24"/>
          <w:u w:val="single"/>
        </w:rPr>
      </w:pPr>
    </w:p>
    <w:p w14:paraId="5E48311E" w14:textId="7DAFF45D" w:rsidR="007F7722" w:rsidRDefault="007F7722" w:rsidP="00EC169A">
      <w:r>
        <w:t xml:space="preserve">The coordinating stroke care agreement may include the provision of </w:t>
      </w:r>
      <w:proofErr w:type="spellStart"/>
      <w:r>
        <w:t>telestroke</w:t>
      </w:r>
      <w:proofErr w:type="spellEnd"/>
      <w:r>
        <w:t xml:space="preserve"> services, which is the use of interactive technology in the delivery of acute stroke care</w:t>
      </w:r>
      <w:r w:rsidR="5A084A74">
        <w:t xml:space="preserve"> </w:t>
      </w:r>
      <w:r w:rsidR="5A084A74" w:rsidRPr="03DFA0C6">
        <w:rPr>
          <w:color w:val="141414"/>
        </w:rPr>
        <w:t>(see 105 CMR130.1403(C))</w:t>
      </w:r>
      <w:r>
        <w:t>.</w:t>
      </w:r>
    </w:p>
    <w:p w14:paraId="0D93555A" w14:textId="77777777" w:rsidR="007F7722" w:rsidRPr="007F7722" w:rsidRDefault="007F7722" w:rsidP="00EC169A">
      <w:pPr>
        <w:rPr>
          <w:szCs w:val="24"/>
        </w:rPr>
      </w:pPr>
    </w:p>
    <w:p w14:paraId="02975279" w14:textId="7E3CCDD7" w:rsidR="00FF366C" w:rsidRPr="00FF366C" w:rsidRDefault="00FF366C" w:rsidP="00EC169A">
      <w:pPr>
        <w:rPr>
          <w:b/>
          <w:bCs/>
          <w:szCs w:val="24"/>
          <w:u w:val="single"/>
        </w:rPr>
      </w:pPr>
      <w:r w:rsidRPr="00FF366C">
        <w:rPr>
          <w:b/>
          <w:bCs/>
          <w:szCs w:val="24"/>
          <w:u w:val="single"/>
        </w:rPr>
        <w:t>Nationally Recognized Accrediting Body</w:t>
      </w:r>
    </w:p>
    <w:p w14:paraId="3151520E" w14:textId="77777777" w:rsidR="00FF366C" w:rsidRDefault="00FF366C" w:rsidP="00EC169A">
      <w:pPr>
        <w:rPr>
          <w:szCs w:val="24"/>
        </w:rPr>
      </w:pPr>
    </w:p>
    <w:p w14:paraId="1718EB58" w14:textId="4ECF31C1" w:rsidR="00FF366C" w:rsidRDefault="00FF366C" w:rsidP="03DFA0C6">
      <w:pPr>
        <w:rPr>
          <w:color w:val="141414"/>
        </w:rPr>
      </w:pPr>
      <w:r>
        <w:t xml:space="preserve">Hospitals demonstrating capability to care for higher-acuity stroke patients may seek </w:t>
      </w:r>
      <w:r w:rsidR="00343359">
        <w:t>certification</w:t>
      </w:r>
      <w:r>
        <w:t xml:space="preserve"> to become a primary stroke service, </w:t>
      </w:r>
      <w:r w:rsidR="00C73846">
        <w:t xml:space="preserve">primary plus stroke center, </w:t>
      </w:r>
      <w:r>
        <w:t xml:space="preserve">thrombectomy capable stroke </w:t>
      </w:r>
      <w:r w:rsidR="00EB3126">
        <w:t xml:space="preserve">center or comprehensive stroke center </w:t>
      </w:r>
      <w:r>
        <w:t xml:space="preserve">through a nationally recognized accreditation entity, such as </w:t>
      </w:r>
      <w:r w:rsidR="578DD0B6">
        <w:t>t</w:t>
      </w:r>
      <w:r w:rsidR="0FFA26F2">
        <w:t>he</w:t>
      </w:r>
      <w:r>
        <w:t xml:space="preserve"> Joint Commission, Det Norske Veritas, or the Accreditation Commission for Health Care</w:t>
      </w:r>
      <w:r w:rsidR="00C74F5D">
        <w:t xml:space="preserve"> </w:t>
      </w:r>
      <w:r w:rsidR="0711F789" w:rsidRPr="03DFA0C6">
        <w:rPr>
          <w:color w:val="141414"/>
        </w:rPr>
        <w:t>(see 105 CMR130.1404(A))</w:t>
      </w:r>
      <w:r w:rsidR="00C74F5D">
        <w:rPr>
          <w:color w:val="141414"/>
        </w:rPr>
        <w:t>.</w:t>
      </w:r>
    </w:p>
    <w:p w14:paraId="6674B3AF" w14:textId="77777777" w:rsidR="001274F1" w:rsidRDefault="001274F1" w:rsidP="03DFA0C6">
      <w:pPr>
        <w:rPr>
          <w:color w:val="141414"/>
        </w:rPr>
      </w:pPr>
    </w:p>
    <w:p w14:paraId="5F3B63A9" w14:textId="50E15315" w:rsidR="007E6675" w:rsidRPr="0081141C" w:rsidRDefault="2AC25C3C" w:rsidP="00EC169A">
      <w:pPr>
        <w:rPr>
          <w:b/>
          <w:bCs/>
        </w:rPr>
      </w:pPr>
      <w:r w:rsidRPr="769ECBBB">
        <w:rPr>
          <w:b/>
          <w:bCs/>
        </w:rPr>
        <w:t>T</w:t>
      </w:r>
      <w:r w:rsidR="007E6675" w:rsidRPr="00D50D6A">
        <w:rPr>
          <w:b/>
          <w:bCs/>
        </w:rPr>
        <w:t xml:space="preserve">he Department encourages hospitals that will be seeking </w:t>
      </w:r>
      <w:r w:rsidR="00617319" w:rsidRPr="00D50D6A">
        <w:rPr>
          <w:b/>
          <w:bCs/>
        </w:rPr>
        <w:t>certification</w:t>
      </w:r>
      <w:r w:rsidR="007E6675" w:rsidRPr="00D50D6A">
        <w:rPr>
          <w:b/>
          <w:bCs/>
        </w:rPr>
        <w:t xml:space="preserve"> </w:t>
      </w:r>
      <w:r w:rsidR="0084295B" w:rsidRPr="00D50D6A">
        <w:rPr>
          <w:b/>
          <w:bCs/>
        </w:rPr>
        <w:t xml:space="preserve">from a nationally recognized accrediting body to begin the </w:t>
      </w:r>
      <w:r w:rsidR="00617319" w:rsidRPr="00D50D6A">
        <w:rPr>
          <w:b/>
          <w:bCs/>
        </w:rPr>
        <w:t>certification</w:t>
      </w:r>
      <w:r w:rsidR="0084295B" w:rsidRPr="00D50D6A">
        <w:rPr>
          <w:b/>
          <w:bCs/>
        </w:rPr>
        <w:t xml:space="preserve"> process as soon as possible</w:t>
      </w:r>
      <w:r w:rsidR="0084295B" w:rsidRPr="0081141C">
        <w:rPr>
          <w:b/>
          <w:bCs/>
        </w:rPr>
        <w:t xml:space="preserve">. </w:t>
      </w:r>
    </w:p>
    <w:p w14:paraId="6727525F" w14:textId="77777777" w:rsidR="007E6675" w:rsidRDefault="007E6675" w:rsidP="00EC169A">
      <w:pPr>
        <w:rPr>
          <w:b/>
          <w:bCs/>
          <w:szCs w:val="24"/>
          <w:u w:val="single"/>
        </w:rPr>
      </w:pPr>
    </w:p>
    <w:p w14:paraId="26520434" w14:textId="2BBE0709" w:rsidR="00D96CFA" w:rsidRDefault="00F72AA6" w:rsidP="00EC169A">
      <w:pPr>
        <w:rPr>
          <w:b/>
          <w:u w:val="single"/>
        </w:rPr>
      </w:pPr>
      <w:r w:rsidRPr="26EC28EC">
        <w:rPr>
          <w:b/>
          <w:u w:val="single"/>
        </w:rPr>
        <w:t>Process Reporting</w:t>
      </w:r>
      <w:r w:rsidR="003C0461" w:rsidRPr="26EC28EC">
        <w:rPr>
          <w:b/>
          <w:u w:val="single"/>
        </w:rPr>
        <w:t xml:space="preserve"> to the Department</w:t>
      </w:r>
    </w:p>
    <w:p w14:paraId="77F74310" w14:textId="77777777" w:rsidR="003C0461" w:rsidRDefault="003C0461" w:rsidP="00EC169A">
      <w:pPr>
        <w:rPr>
          <w:b/>
          <w:bCs/>
          <w:szCs w:val="24"/>
          <w:u w:val="single"/>
        </w:rPr>
      </w:pPr>
    </w:p>
    <w:p w14:paraId="09E5DD09" w14:textId="30EE24E0" w:rsidR="00CB4B11" w:rsidRDefault="003C0A3C" w:rsidP="00EC169A">
      <w:r>
        <w:t xml:space="preserve">A hospital with an emergency department </w:t>
      </w:r>
      <w:r w:rsidR="000614B6">
        <w:t>or</w:t>
      </w:r>
      <w:r>
        <w:t xml:space="preserve"> a satellite emergency facility is</w:t>
      </w:r>
      <w:r w:rsidR="003C0461">
        <w:t xml:space="preserve"> required to </w:t>
      </w:r>
      <w:r>
        <w:t xml:space="preserve">attest to the Department the status of its </w:t>
      </w:r>
      <w:r w:rsidR="000F6375">
        <w:t xml:space="preserve">readiness as an acute stroke ready service or its </w:t>
      </w:r>
      <w:r w:rsidR="00F73C46">
        <w:t xml:space="preserve">progress on certification for stroke care through a nationally recognized accreditation entity by </w:t>
      </w:r>
      <w:r w:rsidR="00F73C46" w:rsidRPr="0081141C">
        <w:rPr>
          <w:b/>
        </w:rPr>
        <w:t>September 3</w:t>
      </w:r>
      <w:r w:rsidR="00AD436C" w:rsidRPr="0081141C">
        <w:rPr>
          <w:b/>
        </w:rPr>
        <w:t>0</w:t>
      </w:r>
      <w:r w:rsidR="00F73C46" w:rsidRPr="0081141C">
        <w:rPr>
          <w:b/>
        </w:rPr>
        <w:t>, 2025</w:t>
      </w:r>
      <w:r w:rsidR="00F73C46">
        <w:t>.</w:t>
      </w:r>
      <w:r w:rsidR="00A713D7">
        <w:t xml:space="preserve"> A hospital with an emergency department or satellite emergency facility must submit the information through</w:t>
      </w:r>
      <w:r w:rsidR="00CD330F">
        <w:t xml:space="preserve"> the following survey link:</w:t>
      </w:r>
      <w:r w:rsidR="00A713D7">
        <w:t xml:space="preserve"> </w:t>
      </w:r>
      <w:hyperlink r:id="rId13" w:history="1">
        <w:r w:rsidR="00CB4B11" w:rsidRPr="00B705CE">
          <w:rPr>
            <w:rStyle w:val="Hyperlink"/>
          </w:rPr>
          <w:t>https://arcg.is/1Lva0S1</w:t>
        </w:r>
      </w:hyperlink>
    </w:p>
    <w:p w14:paraId="2BC71CD1" w14:textId="32A349B0" w:rsidR="003C0A3C" w:rsidRPr="0081141C" w:rsidRDefault="003C0A3C" w:rsidP="00EC169A">
      <w:r>
        <w:t>If</w:t>
      </w:r>
      <w:r w:rsidR="001633BA">
        <w:t xml:space="preserve"> the hospital or satellite emergency facility</w:t>
      </w:r>
      <w:r>
        <w:t xml:space="preserve"> is part of a hospital system with multiple facilities, please complete a separate submission for each individual facility.</w:t>
      </w:r>
    </w:p>
    <w:p w14:paraId="51E6C7D3" w14:textId="77777777" w:rsidR="00F72AA6" w:rsidRDefault="00F72AA6" w:rsidP="00EC169A">
      <w:pPr>
        <w:rPr>
          <w:b/>
          <w:bCs/>
          <w:szCs w:val="24"/>
          <w:u w:val="single"/>
        </w:rPr>
      </w:pPr>
    </w:p>
    <w:p w14:paraId="42F64298" w14:textId="77777777" w:rsidR="00D96CFA" w:rsidRDefault="00D96CFA" w:rsidP="00EC169A">
      <w:pPr>
        <w:rPr>
          <w:b/>
          <w:bCs/>
          <w:szCs w:val="24"/>
          <w:u w:val="single"/>
        </w:rPr>
      </w:pPr>
    </w:p>
    <w:p w14:paraId="1BC2AD6B" w14:textId="6FD7C039" w:rsidR="00697BC9" w:rsidRDefault="00627F81" w:rsidP="00EC169A">
      <w:pPr>
        <w:rPr>
          <w:szCs w:val="24"/>
        </w:rPr>
      </w:pPr>
      <w:r>
        <w:rPr>
          <w:b/>
          <w:bCs/>
          <w:szCs w:val="24"/>
          <w:u w:val="single"/>
        </w:rPr>
        <w:t>Licensure Process</w:t>
      </w:r>
      <w:r w:rsidR="008A5EF2">
        <w:rPr>
          <w:b/>
          <w:bCs/>
          <w:szCs w:val="24"/>
          <w:u w:val="single"/>
        </w:rPr>
        <w:t xml:space="preserve"> for Hospitals Seeking Primary Stroke Service or Endovascular </w:t>
      </w:r>
      <w:r w:rsidR="009C7EB3">
        <w:rPr>
          <w:b/>
          <w:bCs/>
          <w:szCs w:val="24"/>
          <w:u w:val="single"/>
        </w:rPr>
        <w:t xml:space="preserve">Capable </w:t>
      </w:r>
      <w:r w:rsidR="008A5EF2">
        <w:rPr>
          <w:b/>
          <w:bCs/>
          <w:szCs w:val="24"/>
          <w:u w:val="single"/>
        </w:rPr>
        <w:t>Stroke Service Designation</w:t>
      </w:r>
    </w:p>
    <w:p w14:paraId="66695939" w14:textId="77777777" w:rsidR="008A5EF2" w:rsidRDefault="008A5EF2" w:rsidP="00EC169A">
      <w:pPr>
        <w:rPr>
          <w:szCs w:val="24"/>
        </w:rPr>
      </w:pPr>
    </w:p>
    <w:p w14:paraId="69F53087" w14:textId="77777777" w:rsidR="00011D19" w:rsidRDefault="00D10938" w:rsidP="2C2E1244">
      <w:r>
        <w:lastRenderedPageBreak/>
        <w:t xml:space="preserve">Hospitals </w:t>
      </w:r>
      <w:r w:rsidR="00932827">
        <w:t>certified</w:t>
      </w:r>
      <w:r w:rsidR="009E1001">
        <w:t xml:space="preserve"> </w:t>
      </w:r>
      <w:r>
        <w:t xml:space="preserve">by a nationally recognized accrediting body </w:t>
      </w:r>
      <w:r w:rsidR="00D83760">
        <w:t xml:space="preserve">as a </w:t>
      </w:r>
      <w:r w:rsidR="005528D7">
        <w:t>P</w:t>
      </w:r>
      <w:r w:rsidR="00D83760">
        <w:t>rimary</w:t>
      </w:r>
      <w:r w:rsidR="009E1001">
        <w:t xml:space="preserve"> S</w:t>
      </w:r>
      <w:r w:rsidR="00D83760">
        <w:t xml:space="preserve">troke </w:t>
      </w:r>
      <w:r w:rsidR="005528D7">
        <w:t>S</w:t>
      </w:r>
      <w:r w:rsidR="00D83760">
        <w:t xml:space="preserve">ervice, </w:t>
      </w:r>
      <w:r w:rsidR="005528D7">
        <w:t>T</w:t>
      </w:r>
      <w:r w:rsidR="00D83760">
        <w:t xml:space="preserve">hrombectomy </w:t>
      </w:r>
      <w:r w:rsidR="005528D7">
        <w:t>C</w:t>
      </w:r>
      <w:r w:rsidR="00D83760">
        <w:t xml:space="preserve">apable </w:t>
      </w:r>
      <w:r w:rsidR="005528D7">
        <w:t>S</w:t>
      </w:r>
      <w:r w:rsidR="00D83760">
        <w:t xml:space="preserve">troke </w:t>
      </w:r>
      <w:r w:rsidR="005528D7">
        <w:t>C</w:t>
      </w:r>
      <w:r w:rsidR="00D83760">
        <w:t>enter</w:t>
      </w:r>
      <w:r w:rsidR="00011D19">
        <w:t>,</w:t>
      </w:r>
      <w:r w:rsidR="00D83760">
        <w:t xml:space="preserve"> or </w:t>
      </w:r>
      <w:r w:rsidR="005528D7">
        <w:t>C</w:t>
      </w:r>
      <w:r w:rsidR="00D83760">
        <w:t xml:space="preserve">omprehensive </w:t>
      </w:r>
      <w:r w:rsidR="005528D7">
        <w:t>S</w:t>
      </w:r>
      <w:r w:rsidR="00D83760">
        <w:t xml:space="preserve">troke </w:t>
      </w:r>
      <w:r w:rsidR="005528D7">
        <w:t>C</w:t>
      </w:r>
      <w:r w:rsidR="00D83760">
        <w:t xml:space="preserve">enter must </w:t>
      </w:r>
      <w:r w:rsidR="00DB39BA">
        <w:t>submit to the Department</w:t>
      </w:r>
      <w:r w:rsidR="00E64CD2">
        <w:t xml:space="preserve">: </w:t>
      </w:r>
    </w:p>
    <w:p w14:paraId="5656ED20" w14:textId="77777777" w:rsidR="00CA078A" w:rsidRDefault="00CA078A" w:rsidP="2C2E1244"/>
    <w:p w14:paraId="5E4D8F5C" w14:textId="28815A89" w:rsidR="00011D19" w:rsidRDefault="3829FDAC" w:rsidP="00011D19">
      <w:pPr>
        <w:pStyle w:val="ListParagraph"/>
        <w:numPr>
          <w:ilvl w:val="0"/>
          <w:numId w:val="21"/>
        </w:numPr>
      </w:pPr>
      <w:r>
        <w:t>A</w:t>
      </w:r>
      <w:r w:rsidR="00DB39BA">
        <w:t xml:space="preserve"> completed Application for Stroke Center Designation</w:t>
      </w:r>
      <w:r w:rsidR="00E64CD2">
        <w:t xml:space="preserve">, and </w:t>
      </w:r>
    </w:p>
    <w:p w14:paraId="7DEF2AEE" w14:textId="17C19C44" w:rsidR="00011D19" w:rsidRDefault="3829FDAC" w:rsidP="00011D19">
      <w:pPr>
        <w:pStyle w:val="ListParagraph"/>
        <w:numPr>
          <w:ilvl w:val="0"/>
          <w:numId w:val="21"/>
        </w:numPr>
      </w:pPr>
      <w:r>
        <w:t>A</w:t>
      </w:r>
      <w:r w:rsidR="00E64CD2" w:rsidDel="00011D19">
        <w:t xml:space="preserve"> </w:t>
      </w:r>
      <w:r w:rsidR="00E64CD2">
        <w:t xml:space="preserve">letter of </w:t>
      </w:r>
      <w:r w:rsidR="00733891">
        <w:t>certification</w:t>
      </w:r>
      <w:r w:rsidR="00E64CD2">
        <w:t xml:space="preserve"> from the nationally recognized accrediting body </w:t>
      </w:r>
      <w:r w:rsidR="1584ADE7" w:rsidRPr="00011D19">
        <w:rPr>
          <w:color w:val="141414"/>
        </w:rPr>
        <w:t>(see 105 CMR130.</w:t>
      </w:r>
      <w:r w:rsidR="496D9C68" w:rsidRPr="00011D19">
        <w:rPr>
          <w:color w:val="141414"/>
        </w:rPr>
        <w:t xml:space="preserve">1404 through </w:t>
      </w:r>
      <w:r w:rsidR="1584ADE7" w:rsidRPr="00011D19">
        <w:rPr>
          <w:color w:val="141414"/>
        </w:rPr>
        <w:t>1405</w:t>
      </w:r>
      <w:r w:rsidR="61DB57A2" w:rsidRPr="00011D19">
        <w:rPr>
          <w:color w:val="141414"/>
        </w:rPr>
        <w:t>)</w:t>
      </w:r>
      <w:r w:rsidR="00011D19">
        <w:rPr>
          <w:color w:val="141414"/>
        </w:rPr>
        <w:t>.</w:t>
      </w:r>
      <w:r w:rsidR="1584ADE7">
        <w:t xml:space="preserve"> </w:t>
      </w:r>
    </w:p>
    <w:p w14:paraId="204CECEE" w14:textId="77777777" w:rsidR="00011D19" w:rsidRDefault="00011D19" w:rsidP="00011D19"/>
    <w:p w14:paraId="754E4F83" w14:textId="7B545BB0" w:rsidR="00627F81" w:rsidRDefault="00E64CD2" w:rsidP="00011D19">
      <w:r>
        <w:t xml:space="preserve">If the Department approves the Application, the hospital’s license will be updated to designate either Primary Stroke Service or Endovascular </w:t>
      </w:r>
      <w:r w:rsidR="00FC06E3">
        <w:t xml:space="preserve">Capable </w:t>
      </w:r>
      <w:r>
        <w:t>Stroke Service.</w:t>
      </w:r>
      <w:r w:rsidR="000E33CA">
        <w:t xml:space="preserve"> </w:t>
      </w:r>
      <w:r w:rsidR="006A1B90">
        <w:t>Completed a</w:t>
      </w:r>
      <w:r w:rsidR="000E33CA">
        <w:t>pplications for Stroke Center Designation and the letter of certification must be submitted to the Department by emailing the documents to</w:t>
      </w:r>
      <w:r w:rsidR="007B294E">
        <w:t xml:space="preserve"> </w:t>
      </w:r>
      <w:hyperlink r:id="rId14">
        <w:r w:rsidR="008250AE" w:rsidRPr="03DFA0C6">
          <w:rPr>
            <w:rStyle w:val="Hyperlink"/>
          </w:rPr>
          <w:t>HFLLicenseAction@Mass.Gov</w:t>
        </w:r>
      </w:hyperlink>
      <w:r w:rsidR="008250AE">
        <w:t xml:space="preserve">. </w:t>
      </w:r>
      <w:r w:rsidR="000E33CA">
        <w:t xml:space="preserve"> </w:t>
      </w:r>
    </w:p>
    <w:p w14:paraId="1B5EAFC3" w14:textId="77777777" w:rsidR="00CA078A" w:rsidRDefault="00CA078A" w:rsidP="00011D19"/>
    <w:p w14:paraId="578DA9B3" w14:textId="1939E264" w:rsidR="009A1B78" w:rsidRPr="000E33CA" w:rsidRDefault="00A85225" w:rsidP="00EC169A">
      <w:r>
        <w:t>To maintain status as a P</w:t>
      </w:r>
      <w:r w:rsidR="2B4BD69A">
        <w:t>r</w:t>
      </w:r>
      <w:r>
        <w:t>imary Stroke Service or End</w:t>
      </w:r>
      <w:r w:rsidR="00FC06E3">
        <w:t>ovascular Capable S</w:t>
      </w:r>
      <w:r>
        <w:t xml:space="preserve">troke </w:t>
      </w:r>
      <w:r w:rsidR="00D352AF">
        <w:t>Service</w:t>
      </w:r>
      <w:r w:rsidR="00FC06E3">
        <w:t>,</w:t>
      </w:r>
      <w:r>
        <w:t xml:space="preserve"> the hospital must maintain a </w:t>
      </w:r>
      <w:r w:rsidRPr="03DFA0C6">
        <w:rPr>
          <w:u w:val="single"/>
        </w:rPr>
        <w:t>current</w:t>
      </w:r>
      <w:r>
        <w:t xml:space="preserve"> letter of certification. It is the hospital’s responsibility to ensure </w:t>
      </w:r>
      <w:r w:rsidRPr="03DFA0C6">
        <w:rPr>
          <w:i/>
          <w:iCs/>
        </w:rPr>
        <w:t>timely application for re-certification</w:t>
      </w:r>
      <w:r>
        <w:t xml:space="preserve"> as a Stroke Center with a nationally recognized accrediting body. The hospital must provide evidence </w:t>
      </w:r>
      <w:proofErr w:type="gramStart"/>
      <w:r>
        <w:t>of re-certification</w:t>
      </w:r>
      <w:proofErr w:type="gramEnd"/>
      <w:r>
        <w:t xml:space="preserve"> and other information as the Department may require</w:t>
      </w:r>
      <w:r w:rsidR="5203D0A5">
        <w:t xml:space="preserve"> </w:t>
      </w:r>
      <w:r w:rsidR="5203D0A5" w:rsidRPr="03DFA0C6">
        <w:rPr>
          <w:color w:val="141414"/>
        </w:rPr>
        <w:t>(see 105 CMR</w:t>
      </w:r>
      <w:r w:rsidR="00011D19">
        <w:rPr>
          <w:color w:val="141414"/>
        </w:rPr>
        <w:t xml:space="preserve"> </w:t>
      </w:r>
      <w:r w:rsidR="5203D0A5" w:rsidRPr="03DFA0C6">
        <w:rPr>
          <w:color w:val="141414"/>
        </w:rPr>
        <w:t>130.1404)</w:t>
      </w:r>
      <w:r w:rsidR="00011D19">
        <w:rPr>
          <w:color w:val="141414"/>
        </w:rPr>
        <w:t>.</w:t>
      </w:r>
    </w:p>
    <w:p w14:paraId="0CA77C7E" w14:textId="77777777" w:rsidR="00FC06E3" w:rsidRDefault="00FC06E3" w:rsidP="00EC169A">
      <w:pPr>
        <w:rPr>
          <w:b/>
          <w:bCs/>
          <w:szCs w:val="24"/>
          <w:u w:val="single"/>
        </w:rPr>
      </w:pPr>
    </w:p>
    <w:p w14:paraId="45F29238" w14:textId="7754D620" w:rsidR="00873FC6" w:rsidRPr="00873FC6" w:rsidRDefault="00873FC6" w:rsidP="00EC169A">
      <w:pPr>
        <w:rPr>
          <w:b/>
          <w:bCs/>
          <w:szCs w:val="24"/>
          <w:u w:val="single"/>
        </w:rPr>
      </w:pPr>
      <w:r w:rsidRPr="00873FC6">
        <w:rPr>
          <w:b/>
          <w:bCs/>
          <w:szCs w:val="24"/>
          <w:u w:val="single"/>
        </w:rPr>
        <w:t>Time Targets</w:t>
      </w:r>
    </w:p>
    <w:p w14:paraId="297B8457" w14:textId="77777777" w:rsidR="00627F81" w:rsidRPr="00627F81" w:rsidRDefault="00627F81" w:rsidP="00EC169A">
      <w:pPr>
        <w:rPr>
          <w:szCs w:val="24"/>
        </w:rPr>
      </w:pPr>
    </w:p>
    <w:p w14:paraId="0A3249A0" w14:textId="5CAEE7B3" w:rsidR="000225FA" w:rsidRDefault="009C0757" w:rsidP="000225FA">
      <w:pPr>
        <w:rPr>
          <w:szCs w:val="24"/>
        </w:rPr>
      </w:pPr>
      <w:r>
        <w:rPr>
          <w:szCs w:val="24"/>
        </w:rPr>
        <w:t>A</w:t>
      </w:r>
      <w:r w:rsidRPr="009C0757">
        <w:rPr>
          <w:szCs w:val="24"/>
        </w:rPr>
        <w:t xml:space="preserve"> hospital </w:t>
      </w:r>
      <w:r>
        <w:rPr>
          <w:szCs w:val="24"/>
        </w:rPr>
        <w:t>must</w:t>
      </w:r>
      <w:r w:rsidRPr="009C0757">
        <w:rPr>
          <w:szCs w:val="24"/>
        </w:rPr>
        <w:t xml:space="preserve"> </w:t>
      </w:r>
      <w:r>
        <w:rPr>
          <w:szCs w:val="24"/>
        </w:rPr>
        <w:t xml:space="preserve">treat </w:t>
      </w:r>
      <w:r w:rsidRPr="009C0757">
        <w:rPr>
          <w:szCs w:val="24"/>
        </w:rPr>
        <w:t>eligible patients according to its written care protocols</w:t>
      </w:r>
      <w:r w:rsidR="005113EF">
        <w:rPr>
          <w:szCs w:val="24"/>
        </w:rPr>
        <w:t>,</w:t>
      </w:r>
      <w:r w:rsidRPr="009C0757">
        <w:rPr>
          <w:szCs w:val="24"/>
        </w:rPr>
        <w:t xml:space="preserve"> consistent with time targets acceptable to the Department</w:t>
      </w:r>
      <w:r>
        <w:rPr>
          <w:szCs w:val="24"/>
        </w:rPr>
        <w:t xml:space="preserve"> (see 105 CMR 130.</w:t>
      </w:r>
      <w:r w:rsidR="00193A3D">
        <w:rPr>
          <w:szCs w:val="24"/>
        </w:rPr>
        <w:t>1403(A))</w:t>
      </w:r>
      <w:r w:rsidRPr="009C0757">
        <w:rPr>
          <w:szCs w:val="24"/>
        </w:rPr>
        <w:t xml:space="preserve">. </w:t>
      </w:r>
      <w:r w:rsidR="00FD0FDA">
        <w:rPr>
          <w:szCs w:val="24"/>
        </w:rPr>
        <w:t xml:space="preserve">The chart included as Appendix A is provided to assist hospitals in assessing the timeliness of activities related to stroke evaluation and diagnosis. Some of the activities listed below will occur concurrently. The Department recognizes actual individual timeframes may vary and individual time targets may not apply to </w:t>
      </w:r>
      <w:r w:rsidR="00282C29">
        <w:rPr>
          <w:szCs w:val="24"/>
        </w:rPr>
        <w:t xml:space="preserve">all patients. </w:t>
      </w:r>
    </w:p>
    <w:p w14:paraId="12FAF056" w14:textId="77777777" w:rsidR="00541753" w:rsidRDefault="00541753" w:rsidP="000225FA">
      <w:pPr>
        <w:rPr>
          <w:szCs w:val="24"/>
        </w:rPr>
      </w:pPr>
    </w:p>
    <w:p w14:paraId="1B16BCE9" w14:textId="2F58A95E" w:rsidR="00631148" w:rsidRDefault="00631148" w:rsidP="092A7985">
      <w:pPr>
        <w:rPr>
          <w:b/>
          <w:bCs/>
          <w:u w:val="single"/>
        </w:rPr>
      </w:pPr>
      <w:r w:rsidRPr="092A7985">
        <w:rPr>
          <w:b/>
          <w:bCs/>
          <w:u w:val="single"/>
        </w:rPr>
        <w:t xml:space="preserve">Reporting </w:t>
      </w:r>
      <w:r w:rsidR="00C709DA" w:rsidRPr="092A7985">
        <w:rPr>
          <w:b/>
          <w:bCs/>
          <w:u w:val="single"/>
        </w:rPr>
        <w:t>to the Department</w:t>
      </w:r>
    </w:p>
    <w:p w14:paraId="52CDFFE0" w14:textId="77777777" w:rsidR="00C709DA" w:rsidRDefault="00C709DA" w:rsidP="00E140EF">
      <w:pPr>
        <w:rPr>
          <w:b/>
          <w:bCs/>
          <w:szCs w:val="24"/>
          <w:u w:val="single"/>
        </w:rPr>
      </w:pPr>
    </w:p>
    <w:p w14:paraId="7B0D3F45" w14:textId="6D279E44" w:rsidR="00C709DA" w:rsidRDefault="00C709DA" w:rsidP="00E140EF">
      <w:r>
        <w:t xml:space="preserve">The hospital licensure regulations require submission of </w:t>
      </w:r>
      <w:r w:rsidR="00E675DA">
        <w:t xml:space="preserve">stroke data in a manner defined by the Department (see 105 CMR </w:t>
      </w:r>
      <w:r w:rsidR="00193A3D">
        <w:t>130.</w:t>
      </w:r>
      <w:r w:rsidR="00E675DA">
        <w:t xml:space="preserve">1406(C)). All hospitals with emergency departments and satellite emergency facilities must report data </w:t>
      </w:r>
      <w:r w:rsidR="005528D7">
        <w:t>on</w:t>
      </w:r>
      <w:r w:rsidR="00E675DA">
        <w:t xml:space="preserve"> acute stroke ready services. Hospitals </w:t>
      </w:r>
      <w:r w:rsidR="005528D7">
        <w:t xml:space="preserve">certified by a nationally recognized accrediting body </w:t>
      </w:r>
      <w:r w:rsidR="00D352AF">
        <w:t xml:space="preserve">and designated by the Department as a Primary Stroke Service or Endovascular Capable Stroke Service must report data to the Department on stroke services provided. The specific reporting requirements </w:t>
      </w:r>
      <w:r w:rsidR="00B90DBC">
        <w:t>can be found in Appendix B.</w:t>
      </w:r>
    </w:p>
    <w:p w14:paraId="55235866" w14:textId="77777777" w:rsidR="006245CA" w:rsidRDefault="006245CA" w:rsidP="00B00027">
      <w:pPr>
        <w:rPr>
          <w:rStyle w:val="CommentReference"/>
        </w:rPr>
      </w:pPr>
    </w:p>
    <w:p w14:paraId="21647933" w14:textId="54DD7C70" w:rsidR="006245CA" w:rsidRDefault="006245CA" w:rsidP="006245CA">
      <w:pPr>
        <w:rPr>
          <w:i/>
          <w:iCs/>
        </w:rPr>
      </w:pPr>
      <w:r w:rsidRPr="0081141C">
        <w:rPr>
          <w:i/>
          <w:iCs/>
        </w:rPr>
        <w:t>Reporting Timeline</w:t>
      </w:r>
    </w:p>
    <w:p w14:paraId="101F29AB" w14:textId="77777777" w:rsidR="00CA078A" w:rsidRPr="0081141C" w:rsidRDefault="00CA078A" w:rsidP="006245CA">
      <w:pPr>
        <w:rPr>
          <w:i/>
          <w:iCs/>
        </w:rPr>
      </w:pPr>
    </w:p>
    <w:p w14:paraId="53BAFD02" w14:textId="70590011" w:rsidR="006245CA" w:rsidRDefault="006245CA" w:rsidP="006245CA">
      <w:r>
        <w:t>The timeline for data to be submitted is two months from the last day of the month in which the patient was discharged. For example, all patients discharged in the month of May, up to May 31st, must have data entered and completed by July 31st.</w:t>
      </w:r>
    </w:p>
    <w:p w14:paraId="00E81B82" w14:textId="77777777" w:rsidR="006245CA" w:rsidRDefault="006245CA" w:rsidP="009E1001">
      <w:pPr>
        <w:rPr>
          <w:rStyle w:val="CommentReference"/>
        </w:rPr>
      </w:pPr>
    </w:p>
    <w:p w14:paraId="77A939B2" w14:textId="77777777" w:rsidR="00943E16" w:rsidRDefault="00943E16" w:rsidP="009E1001">
      <w:pPr>
        <w:rPr>
          <w:i/>
          <w:iCs/>
        </w:rPr>
      </w:pPr>
      <w:r w:rsidRPr="0081141C">
        <w:rPr>
          <w:i/>
          <w:iCs/>
        </w:rPr>
        <w:t>Entry Criteria</w:t>
      </w:r>
    </w:p>
    <w:p w14:paraId="12C00F72" w14:textId="77777777" w:rsidR="00CA078A" w:rsidRPr="0081141C" w:rsidRDefault="00CA078A" w:rsidP="009E1001">
      <w:pPr>
        <w:rPr>
          <w:i/>
          <w:iCs/>
        </w:rPr>
      </w:pPr>
    </w:p>
    <w:p w14:paraId="32175DAC" w14:textId="3CFBA1E8" w:rsidR="00943E16" w:rsidRDefault="00943E16" w:rsidP="009E1001">
      <w:r>
        <w:t xml:space="preserve">Patients with a final/discharge diagnosis of the following </w:t>
      </w:r>
      <w:r w:rsidR="00BD1956">
        <w:t xml:space="preserve">must </w:t>
      </w:r>
      <w:r>
        <w:t>be submitted to the stroke registry:</w:t>
      </w:r>
    </w:p>
    <w:p w14:paraId="45715AA3" w14:textId="77777777" w:rsidR="00943E16" w:rsidRDefault="00943E16" w:rsidP="009E1001">
      <w:pPr>
        <w:pStyle w:val="ListParagraph"/>
        <w:numPr>
          <w:ilvl w:val="0"/>
          <w:numId w:val="17"/>
        </w:numPr>
      </w:pPr>
      <w:r>
        <w:lastRenderedPageBreak/>
        <w:t>Ischemic Stroke</w:t>
      </w:r>
    </w:p>
    <w:p w14:paraId="28AF002C" w14:textId="77777777" w:rsidR="00943E16" w:rsidRDefault="00943E16" w:rsidP="009E1001">
      <w:pPr>
        <w:pStyle w:val="ListParagraph"/>
        <w:numPr>
          <w:ilvl w:val="0"/>
          <w:numId w:val="17"/>
        </w:numPr>
      </w:pPr>
      <w:r>
        <w:t>Transient Ischemic Attack (TIA)</w:t>
      </w:r>
    </w:p>
    <w:p w14:paraId="5CA67378" w14:textId="77777777" w:rsidR="00943E16" w:rsidRDefault="00943E16" w:rsidP="009E1001">
      <w:pPr>
        <w:pStyle w:val="ListParagraph"/>
        <w:numPr>
          <w:ilvl w:val="0"/>
          <w:numId w:val="17"/>
        </w:numPr>
      </w:pPr>
      <w:r>
        <w:t>Subarachnoid Hemorrhage</w:t>
      </w:r>
    </w:p>
    <w:p w14:paraId="78A8BA7A" w14:textId="77777777" w:rsidR="00943E16" w:rsidRDefault="00943E16" w:rsidP="009E1001">
      <w:pPr>
        <w:pStyle w:val="ListParagraph"/>
        <w:numPr>
          <w:ilvl w:val="0"/>
          <w:numId w:val="17"/>
        </w:numPr>
      </w:pPr>
      <w:r>
        <w:t>Intracerebral Hemorrhage</w:t>
      </w:r>
    </w:p>
    <w:p w14:paraId="02B96566" w14:textId="06AE1898" w:rsidR="00EF5A45" w:rsidRDefault="00943E16">
      <w:pPr>
        <w:pStyle w:val="ListParagraph"/>
        <w:numPr>
          <w:ilvl w:val="0"/>
          <w:numId w:val="17"/>
        </w:numPr>
      </w:pPr>
      <w:r>
        <w:t>Stroke not otherwise specified</w:t>
      </w:r>
    </w:p>
    <w:p w14:paraId="00DEA46F" w14:textId="77777777" w:rsidR="00EF5A45" w:rsidRDefault="00EF5A45" w:rsidP="00EF5A45"/>
    <w:p w14:paraId="2BD23142" w14:textId="46889591" w:rsidR="00943E16" w:rsidRDefault="00943E16" w:rsidP="00EF5A45">
      <w:r>
        <w:t>Include:</w:t>
      </w:r>
    </w:p>
    <w:p w14:paraId="39B88306" w14:textId="77777777" w:rsidR="00943E16" w:rsidRDefault="00943E16" w:rsidP="009E1001">
      <w:pPr>
        <w:pStyle w:val="ListParagraph"/>
        <w:numPr>
          <w:ilvl w:val="0"/>
          <w:numId w:val="18"/>
        </w:numPr>
      </w:pPr>
      <w:r>
        <w:t>Patients initially admitted to the hospital for one of the diagnoses even if they later transfer or expire.</w:t>
      </w:r>
    </w:p>
    <w:p w14:paraId="7687530B" w14:textId="77777777" w:rsidR="00943E16" w:rsidRDefault="00943E16" w:rsidP="009E1001">
      <w:pPr>
        <w:pStyle w:val="ListParagraph"/>
        <w:numPr>
          <w:ilvl w:val="0"/>
          <w:numId w:val="18"/>
        </w:numPr>
      </w:pPr>
      <w:r>
        <w:t>Patients directly admitted to nursing units within the hospital without first being seen in the Emergency Department (ED). This includes patients with acute ischemic stroke who receive treatment at another hospital and are transferred to your hospital.</w:t>
      </w:r>
    </w:p>
    <w:p w14:paraId="4089D358" w14:textId="77777777" w:rsidR="00943E16" w:rsidRDefault="00943E16" w:rsidP="009E1001">
      <w:pPr>
        <w:pStyle w:val="ListParagraph"/>
        <w:numPr>
          <w:ilvl w:val="0"/>
          <w:numId w:val="18"/>
        </w:numPr>
      </w:pPr>
      <w:r>
        <w:t xml:space="preserve">Patients who refuse treatment or who have Do Not Resuscitate orders. </w:t>
      </w:r>
    </w:p>
    <w:p w14:paraId="027DA4AC" w14:textId="77777777" w:rsidR="00943E16" w:rsidRDefault="00943E16" w:rsidP="009E1001">
      <w:pPr>
        <w:pStyle w:val="ListParagraph"/>
        <w:numPr>
          <w:ilvl w:val="0"/>
          <w:numId w:val="18"/>
        </w:numPr>
      </w:pPr>
      <w:r>
        <w:t xml:space="preserve">Patients evaluated and treated in the ED with the intention of being admitted, even if they expire or are subsequently transferred to another acute care hospital prior to being admitted to the hospital. </w:t>
      </w:r>
    </w:p>
    <w:p w14:paraId="63EA1A88" w14:textId="5D824C59" w:rsidR="009E1001" w:rsidRDefault="009E1001" w:rsidP="009E1001"/>
    <w:p w14:paraId="42EF301E" w14:textId="604F7937" w:rsidR="00943E16" w:rsidRDefault="00943E16" w:rsidP="009E1001">
      <w:r>
        <w:t xml:space="preserve">Exclude: </w:t>
      </w:r>
    </w:p>
    <w:p w14:paraId="6D15BDCC" w14:textId="77777777" w:rsidR="00943E16" w:rsidRDefault="00943E16" w:rsidP="009E1001">
      <w:pPr>
        <w:pStyle w:val="ListParagraph"/>
        <w:numPr>
          <w:ilvl w:val="0"/>
          <w:numId w:val="19"/>
        </w:numPr>
      </w:pPr>
      <w:r>
        <w:t xml:space="preserve">Patients who present with stroke-like symptoms but who do not end up being diagnosed with a stroke or TIA. </w:t>
      </w:r>
    </w:p>
    <w:p w14:paraId="761F1F36" w14:textId="77777777" w:rsidR="00943E16" w:rsidRDefault="00943E16" w:rsidP="009E1001">
      <w:pPr>
        <w:pStyle w:val="ListParagraph"/>
        <w:numPr>
          <w:ilvl w:val="0"/>
          <w:numId w:val="19"/>
        </w:numPr>
      </w:pPr>
      <w:r>
        <w:t xml:space="preserve">Patients &lt; 18 years of age. </w:t>
      </w:r>
    </w:p>
    <w:p w14:paraId="2AD57134" w14:textId="71DC2BDB" w:rsidR="092A7985" w:rsidRDefault="00943E16" w:rsidP="009E1001">
      <w:pPr>
        <w:pStyle w:val="ListParagraph"/>
        <w:numPr>
          <w:ilvl w:val="0"/>
          <w:numId w:val="19"/>
        </w:numPr>
      </w:pPr>
      <w:r>
        <w:t xml:space="preserve">Patients admitted for the sole purpose of the performance of elective carotid endarterectomy or any revascularization. </w:t>
      </w:r>
    </w:p>
    <w:p w14:paraId="0CADEAE8" w14:textId="4DFF5CC2" w:rsidR="00B90DBC" w:rsidRPr="00D81001" w:rsidRDefault="00B90DBC" w:rsidP="5DF584CD"/>
    <w:p w14:paraId="3B2E6A8D" w14:textId="239D518E" w:rsidR="00B90DBC" w:rsidRPr="00D81001" w:rsidRDefault="552BF014" w:rsidP="5DF584CD">
      <w:r>
        <w:t>You may include or exclude in-hospital stroke. Please note in-hospital strokes are excluded from all Performance Measures.</w:t>
      </w:r>
    </w:p>
    <w:p w14:paraId="16125B6B" w14:textId="1802A846" w:rsidR="00B90DBC" w:rsidRPr="00D81001" w:rsidRDefault="00B90DBC" w:rsidP="00E140EF"/>
    <w:p w14:paraId="26B36521" w14:textId="6C1FCD60" w:rsidR="00E140EF" w:rsidRPr="00E140EF" w:rsidRDefault="00E140EF" w:rsidP="00E140EF">
      <w:pPr>
        <w:rPr>
          <w:b/>
          <w:bCs/>
          <w:szCs w:val="24"/>
          <w:u w:val="single"/>
        </w:rPr>
      </w:pPr>
      <w:r w:rsidRPr="00BA6DC1">
        <w:rPr>
          <w:b/>
          <w:bCs/>
          <w:szCs w:val="24"/>
          <w:u w:val="single"/>
        </w:rPr>
        <w:t>C</w:t>
      </w:r>
      <w:r w:rsidRPr="00E140EF">
        <w:rPr>
          <w:b/>
          <w:bCs/>
          <w:szCs w:val="24"/>
          <w:u w:val="single"/>
        </w:rPr>
        <w:t xml:space="preserve">ontinuing </w:t>
      </w:r>
      <w:r w:rsidRPr="00BA6DC1">
        <w:rPr>
          <w:b/>
          <w:bCs/>
          <w:szCs w:val="24"/>
          <w:u w:val="single"/>
        </w:rPr>
        <w:t>E</w:t>
      </w:r>
      <w:r w:rsidRPr="00E140EF">
        <w:rPr>
          <w:b/>
          <w:bCs/>
          <w:szCs w:val="24"/>
          <w:u w:val="single"/>
        </w:rPr>
        <w:t xml:space="preserve">ducation for </w:t>
      </w:r>
      <w:r w:rsidRPr="00BA6DC1">
        <w:rPr>
          <w:b/>
          <w:bCs/>
          <w:szCs w:val="24"/>
          <w:u w:val="single"/>
        </w:rPr>
        <w:t>H</w:t>
      </w:r>
      <w:r w:rsidRPr="00E140EF">
        <w:rPr>
          <w:b/>
          <w:bCs/>
          <w:szCs w:val="24"/>
          <w:u w:val="single"/>
        </w:rPr>
        <w:t xml:space="preserve">ealth </w:t>
      </w:r>
      <w:r w:rsidRPr="00BA6DC1">
        <w:rPr>
          <w:b/>
          <w:bCs/>
          <w:szCs w:val="24"/>
          <w:u w:val="single"/>
        </w:rPr>
        <w:t>C</w:t>
      </w:r>
      <w:r w:rsidRPr="00E140EF">
        <w:rPr>
          <w:b/>
          <w:bCs/>
          <w:szCs w:val="24"/>
          <w:u w:val="single"/>
        </w:rPr>
        <w:t xml:space="preserve">are </w:t>
      </w:r>
      <w:r w:rsidRPr="00BA6DC1">
        <w:rPr>
          <w:b/>
          <w:bCs/>
          <w:szCs w:val="24"/>
          <w:u w:val="single"/>
        </w:rPr>
        <w:t>P</w:t>
      </w:r>
      <w:r w:rsidRPr="00E140EF">
        <w:rPr>
          <w:b/>
          <w:bCs/>
          <w:szCs w:val="24"/>
          <w:u w:val="single"/>
        </w:rPr>
        <w:t>rofessionals</w:t>
      </w:r>
    </w:p>
    <w:p w14:paraId="4FD89AB5" w14:textId="77777777" w:rsidR="00C836FB" w:rsidRDefault="00C836FB" w:rsidP="00E140EF">
      <w:pPr>
        <w:rPr>
          <w:szCs w:val="24"/>
        </w:rPr>
      </w:pPr>
    </w:p>
    <w:p w14:paraId="4DAF6895" w14:textId="6AB7D6A9" w:rsidR="00B463AA" w:rsidRDefault="00E140EF" w:rsidP="00E140EF">
      <w:r>
        <w:t>As required under 105 CMR 130.14</w:t>
      </w:r>
      <w:r w:rsidR="00C836FB">
        <w:t>0</w:t>
      </w:r>
      <w:r w:rsidR="4930F55F">
        <w:t>7</w:t>
      </w:r>
      <w:r>
        <w:t xml:space="preserve">, the hospital shall provide hospital-based staff education that addresses the needs of physicians, nurses, allied health professionals, and EMS personnel. The program shall include ongoing formal training of ED and EMS system personnel in acute stroke prevention, diagnosis and treatment. </w:t>
      </w:r>
    </w:p>
    <w:p w14:paraId="64D1F834" w14:textId="77777777" w:rsidR="00B463AA" w:rsidRDefault="00B463AA" w:rsidP="00E140EF"/>
    <w:p w14:paraId="4B3B7CAD" w14:textId="6489FCA5" w:rsidR="00E140EF" w:rsidRPr="00E140EF" w:rsidRDefault="00E140EF" w:rsidP="00E140EF">
      <w:r>
        <w:t xml:space="preserve">The Department </w:t>
      </w:r>
      <w:r w:rsidR="00BA098C">
        <w:t>recommends</w:t>
      </w:r>
      <w:r>
        <w:t xml:space="preserve"> that a minimum of one hour of formal stroke education </w:t>
      </w:r>
      <w:r w:rsidR="0251E13C">
        <w:t xml:space="preserve">as described </w:t>
      </w:r>
      <w:r w:rsidR="004D55AC">
        <w:t>below be</w:t>
      </w:r>
      <w:r>
        <w:t xml:space="preserve"> offered to EMS personnel and provided to each ED staff member per year, however, additional education should be provided in accordance with identified staff needs. Hospitals are encouraged to partner with other hospitals or organizations in these activities.</w:t>
      </w:r>
    </w:p>
    <w:p w14:paraId="415AFED6" w14:textId="77777777" w:rsidR="00BA6DC1" w:rsidRDefault="00BA6DC1" w:rsidP="00E140EF">
      <w:pPr>
        <w:rPr>
          <w:b/>
          <w:bCs/>
          <w:szCs w:val="24"/>
        </w:rPr>
      </w:pPr>
    </w:p>
    <w:p w14:paraId="3C513F8C" w14:textId="5FDECE2A" w:rsidR="00E140EF" w:rsidRPr="00E140EF" w:rsidRDefault="00E140EF" w:rsidP="6538497E">
      <w:r w:rsidRPr="03DFA0C6">
        <w:rPr>
          <w:b/>
          <w:bCs/>
        </w:rPr>
        <w:t xml:space="preserve">Health care professionals required to have ongoing, formal education include (see </w:t>
      </w:r>
      <w:r w:rsidR="1C2FD85C" w:rsidRPr="03DFA0C6">
        <w:rPr>
          <w:b/>
          <w:bCs/>
        </w:rPr>
        <w:t xml:space="preserve">105 CMR </w:t>
      </w:r>
      <w:r w:rsidRPr="03DFA0C6">
        <w:rPr>
          <w:b/>
          <w:bCs/>
        </w:rPr>
        <w:t>130.14</w:t>
      </w:r>
      <w:r w:rsidR="00BA6DC1" w:rsidRPr="03DFA0C6">
        <w:rPr>
          <w:b/>
          <w:bCs/>
        </w:rPr>
        <w:t>07</w:t>
      </w:r>
      <w:r w:rsidRPr="03DFA0C6">
        <w:rPr>
          <w:b/>
          <w:bCs/>
        </w:rPr>
        <w:t>):</w:t>
      </w:r>
      <w:r w:rsidR="00B97EDC">
        <w:t xml:space="preserve"> </w:t>
      </w:r>
      <w:r>
        <w:t>ED physicians, ED nurses, other ED allied health providers</w:t>
      </w:r>
      <w:r w:rsidR="0057403B">
        <w:t>, such as social workers, and other specialists who support the care of patients in the ED</w:t>
      </w:r>
      <w:r>
        <w:t xml:space="preserve">, and EMS personnel are required to have ongoing, formal education. It is recommended that training for personnel in other hospital departments </w:t>
      </w:r>
      <w:r w:rsidR="63D9E0F6">
        <w:t>be</w:t>
      </w:r>
      <w:r>
        <w:t xml:space="preserve"> included, as applicable.</w:t>
      </w:r>
    </w:p>
    <w:p w14:paraId="4858BF85" w14:textId="77777777" w:rsidR="00BA6DC1" w:rsidRDefault="00BA6DC1" w:rsidP="00E140EF">
      <w:pPr>
        <w:rPr>
          <w:b/>
          <w:bCs/>
          <w:szCs w:val="24"/>
        </w:rPr>
      </w:pPr>
    </w:p>
    <w:p w14:paraId="525CD50A" w14:textId="3A2EF8B8" w:rsidR="00E140EF" w:rsidRPr="00E140EF" w:rsidRDefault="00E140EF" w:rsidP="6538497E">
      <w:r w:rsidRPr="03DFA0C6">
        <w:rPr>
          <w:b/>
          <w:bCs/>
        </w:rPr>
        <w:lastRenderedPageBreak/>
        <w:t xml:space="preserve">Required content for ongoing educational programs for health care professionals (see </w:t>
      </w:r>
      <w:r w:rsidR="7EF1C5E8" w:rsidRPr="03DFA0C6">
        <w:rPr>
          <w:b/>
          <w:bCs/>
        </w:rPr>
        <w:t xml:space="preserve">105 CMR </w:t>
      </w:r>
      <w:r w:rsidRPr="03DFA0C6">
        <w:rPr>
          <w:b/>
          <w:bCs/>
        </w:rPr>
        <w:t>130.14</w:t>
      </w:r>
      <w:r w:rsidR="00BA6DC1" w:rsidRPr="03DFA0C6">
        <w:rPr>
          <w:b/>
          <w:bCs/>
        </w:rPr>
        <w:t>07</w:t>
      </w:r>
      <w:r w:rsidRPr="03DFA0C6">
        <w:rPr>
          <w:b/>
          <w:bCs/>
        </w:rPr>
        <w:t>) includes:</w:t>
      </w:r>
      <w:r w:rsidR="00B97EDC">
        <w:rPr>
          <w:szCs w:val="24"/>
        </w:rPr>
        <w:t xml:space="preserve"> </w:t>
      </w:r>
      <w:r>
        <w:t>Acute stroke prevention, diagnosis, and treatment</w:t>
      </w:r>
    </w:p>
    <w:p w14:paraId="3A279AD5" w14:textId="77777777" w:rsidR="009E1001" w:rsidRDefault="009E1001" w:rsidP="00E140EF">
      <w:pPr>
        <w:rPr>
          <w:szCs w:val="24"/>
        </w:rPr>
      </w:pPr>
    </w:p>
    <w:p w14:paraId="4E65AF75" w14:textId="54FC0417" w:rsidR="00E140EF" w:rsidRPr="00E140EF" w:rsidRDefault="00E140EF" w:rsidP="00E140EF">
      <w:pPr>
        <w:rPr>
          <w:szCs w:val="24"/>
        </w:rPr>
      </w:pPr>
      <w:r w:rsidRPr="00E140EF">
        <w:rPr>
          <w:szCs w:val="24"/>
        </w:rPr>
        <w:t>The Department w</w:t>
      </w:r>
      <w:r w:rsidR="009E1001">
        <w:rPr>
          <w:szCs w:val="24"/>
        </w:rPr>
        <w:t>ill</w:t>
      </w:r>
      <w:r w:rsidRPr="00E140EF">
        <w:rPr>
          <w:szCs w:val="24"/>
        </w:rPr>
        <w:t xml:space="preserve"> find any of the following methods to be acceptable to demonstrate compliance with the regulation, provided the required educational content is included:</w:t>
      </w:r>
    </w:p>
    <w:p w14:paraId="29377CF4" w14:textId="77777777" w:rsidR="00E140EF" w:rsidRPr="00E140EF" w:rsidRDefault="00E140EF" w:rsidP="00E140EF">
      <w:pPr>
        <w:numPr>
          <w:ilvl w:val="0"/>
          <w:numId w:val="5"/>
        </w:numPr>
        <w:rPr>
          <w:szCs w:val="24"/>
        </w:rPr>
      </w:pPr>
      <w:r w:rsidRPr="00E140EF">
        <w:rPr>
          <w:szCs w:val="24"/>
        </w:rPr>
        <w:t>Speaker forums (e.g., lectures, Grand Round presentations)</w:t>
      </w:r>
    </w:p>
    <w:p w14:paraId="50C15A28" w14:textId="77777777" w:rsidR="00E140EF" w:rsidRPr="00E140EF" w:rsidRDefault="00E140EF" w:rsidP="00E140EF">
      <w:pPr>
        <w:numPr>
          <w:ilvl w:val="0"/>
          <w:numId w:val="5"/>
        </w:numPr>
        <w:rPr>
          <w:szCs w:val="24"/>
        </w:rPr>
      </w:pPr>
      <w:r w:rsidRPr="00E140EF">
        <w:rPr>
          <w:szCs w:val="24"/>
        </w:rPr>
        <w:t>Videos and audio conferences (purchased)</w:t>
      </w:r>
    </w:p>
    <w:p w14:paraId="24AC8F3E" w14:textId="77777777" w:rsidR="00E140EF" w:rsidRPr="00E140EF" w:rsidRDefault="00E140EF" w:rsidP="00E140EF">
      <w:pPr>
        <w:numPr>
          <w:ilvl w:val="0"/>
          <w:numId w:val="5"/>
        </w:numPr>
        <w:rPr>
          <w:szCs w:val="24"/>
        </w:rPr>
      </w:pPr>
      <w:r w:rsidRPr="00E140EF">
        <w:rPr>
          <w:szCs w:val="24"/>
        </w:rPr>
        <w:t>Videos and audio conferences (hospital presentations)</w:t>
      </w:r>
    </w:p>
    <w:p w14:paraId="0B0007C8" w14:textId="2A387A5C" w:rsidR="00E140EF" w:rsidRPr="00E140EF" w:rsidRDefault="00E140EF" w:rsidP="00E140EF">
      <w:pPr>
        <w:numPr>
          <w:ilvl w:val="0"/>
          <w:numId w:val="5"/>
        </w:numPr>
      </w:pPr>
      <w:r>
        <w:t>Outside conferences (documented with program objectives and certificate of completion)</w:t>
      </w:r>
    </w:p>
    <w:p w14:paraId="1B37375C" w14:textId="77777777" w:rsidR="00E140EF" w:rsidRPr="00E140EF" w:rsidRDefault="00E140EF" w:rsidP="00E140EF">
      <w:pPr>
        <w:numPr>
          <w:ilvl w:val="0"/>
          <w:numId w:val="5"/>
        </w:numPr>
        <w:rPr>
          <w:szCs w:val="24"/>
        </w:rPr>
      </w:pPr>
      <w:r w:rsidRPr="00E140EF">
        <w:rPr>
          <w:szCs w:val="24"/>
        </w:rPr>
        <w:t>Webinars</w:t>
      </w:r>
    </w:p>
    <w:p w14:paraId="305384A3" w14:textId="77777777" w:rsidR="00E140EF" w:rsidRPr="00E140EF" w:rsidRDefault="00E140EF" w:rsidP="00E140EF">
      <w:pPr>
        <w:numPr>
          <w:ilvl w:val="0"/>
          <w:numId w:val="5"/>
        </w:numPr>
        <w:rPr>
          <w:szCs w:val="24"/>
        </w:rPr>
      </w:pPr>
      <w:r w:rsidRPr="00E140EF">
        <w:rPr>
          <w:szCs w:val="24"/>
        </w:rPr>
        <w:t>Morbidity and Mortality Meetings (only if devoted to stroke case review)</w:t>
      </w:r>
    </w:p>
    <w:p w14:paraId="0F142E3F" w14:textId="676A062C" w:rsidR="00E140EF" w:rsidRPr="00E140EF" w:rsidRDefault="00E140EF" w:rsidP="00E140EF">
      <w:pPr>
        <w:numPr>
          <w:ilvl w:val="0"/>
          <w:numId w:val="5"/>
        </w:numPr>
      </w:pPr>
      <w:r>
        <w:t>Certification/recertification education and training for the National Institute of Health Stroke Scale (NIHSS)</w:t>
      </w:r>
    </w:p>
    <w:p w14:paraId="143ECFE0" w14:textId="33971C19" w:rsidR="00E140EF" w:rsidRPr="00E140EF" w:rsidRDefault="072FA3FA" w:rsidP="00E140EF">
      <w:pPr>
        <w:numPr>
          <w:ilvl w:val="0"/>
          <w:numId w:val="5"/>
        </w:numPr>
      </w:pPr>
      <w:r>
        <w:t>O</w:t>
      </w:r>
      <w:r w:rsidR="00E140EF">
        <w:t>n-line e-learning module</w:t>
      </w:r>
      <w:r w:rsidR="30850455">
        <w:t>s</w:t>
      </w:r>
      <w:r w:rsidR="00E140EF">
        <w:t xml:space="preserve"> equal to one hour of tutorial and post-testing related to stroke prevention, diagnosis and treatment</w:t>
      </w:r>
    </w:p>
    <w:p w14:paraId="555C761E" w14:textId="3CDC33FA" w:rsidR="334E6D1B" w:rsidRDefault="334E6D1B" w:rsidP="735FE353">
      <w:pPr>
        <w:numPr>
          <w:ilvl w:val="0"/>
          <w:numId w:val="5"/>
        </w:numPr>
      </w:pPr>
      <w:r>
        <w:t>Simulation laboratory training</w:t>
      </w:r>
      <w:r w:rsidR="105D2920">
        <w:t xml:space="preserve"> </w:t>
      </w:r>
    </w:p>
    <w:p w14:paraId="5530DE0A" w14:textId="77777777" w:rsidR="00BA6DC1" w:rsidRDefault="00BA6DC1" w:rsidP="00E140EF">
      <w:pPr>
        <w:rPr>
          <w:b/>
          <w:bCs/>
          <w:szCs w:val="24"/>
        </w:rPr>
      </w:pPr>
    </w:p>
    <w:p w14:paraId="48B98590" w14:textId="75D310DC" w:rsidR="00E140EF" w:rsidRPr="00E140EF" w:rsidRDefault="3D584B13" w:rsidP="03DFA0C6">
      <w:r>
        <w:t xml:space="preserve">To </w:t>
      </w:r>
      <w:r w:rsidR="05775373">
        <w:t>d</w:t>
      </w:r>
      <w:r w:rsidR="00E140EF">
        <w:t>emonstrat</w:t>
      </w:r>
      <w:r w:rsidR="717E45BF">
        <w:t>e</w:t>
      </w:r>
      <w:r w:rsidR="00B97EDC">
        <w:t xml:space="preserve"> </w:t>
      </w:r>
      <w:r w:rsidR="2BC41EB3">
        <w:t>c</w:t>
      </w:r>
      <w:r w:rsidR="00E140EF">
        <w:t>ompliance</w:t>
      </w:r>
      <w:r w:rsidR="01A42EDD">
        <w:t xml:space="preserve"> with the training requirements, the hospital or satellite emergency facility must maintain:</w:t>
      </w:r>
    </w:p>
    <w:p w14:paraId="1045C034" w14:textId="77777777" w:rsidR="00E140EF" w:rsidRPr="00E140EF" w:rsidRDefault="00E140EF" w:rsidP="00E140EF">
      <w:pPr>
        <w:numPr>
          <w:ilvl w:val="0"/>
          <w:numId w:val="6"/>
        </w:numPr>
        <w:rPr>
          <w:szCs w:val="24"/>
        </w:rPr>
      </w:pPr>
      <w:r w:rsidRPr="00E140EF">
        <w:rPr>
          <w:szCs w:val="24"/>
        </w:rPr>
        <w:t>Attendance sheets</w:t>
      </w:r>
    </w:p>
    <w:p w14:paraId="5EEB4B07" w14:textId="77777777" w:rsidR="00E140EF" w:rsidRPr="00E140EF" w:rsidRDefault="00E140EF" w:rsidP="00E140EF">
      <w:pPr>
        <w:numPr>
          <w:ilvl w:val="0"/>
          <w:numId w:val="6"/>
        </w:numPr>
        <w:rPr>
          <w:szCs w:val="24"/>
        </w:rPr>
      </w:pPr>
      <w:r w:rsidRPr="00E140EF">
        <w:rPr>
          <w:szCs w:val="24"/>
        </w:rPr>
        <w:t>Topic and content outline including subjects listed in the PSS regulations</w:t>
      </w:r>
    </w:p>
    <w:p w14:paraId="03AA37F8" w14:textId="77777777" w:rsidR="00E140EF" w:rsidRPr="00E140EF" w:rsidRDefault="00E140EF" w:rsidP="00E140EF">
      <w:pPr>
        <w:numPr>
          <w:ilvl w:val="0"/>
          <w:numId w:val="6"/>
        </w:numPr>
        <w:rPr>
          <w:szCs w:val="24"/>
        </w:rPr>
      </w:pPr>
      <w:r w:rsidRPr="00E140EF">
        <w:rPr>
          <w:szCs w:val="24"/>
        </w:rPr>
        <w:t>If not a live presentation:</w:t>
      </w:r>
    </w:p>
    <w:p w14:paraId="3431D234" w14:textId="5A49ACDF" w:rsidR="00E140EF" w:rsidRPr="00E140EF" w:rsidRDefault="57A57AB0" w:rsidP="03DFA0C6">
      <w:pPr>
        <w:numPr>
          <w:ilvl w:val="1"/>
          <w:numId w:val="6"/>
        </w:numPr>
      </w:pPr>
      <w:r>
        <w:t>d</w:t>
      </w:r>
      <w:r w:rsidR="205E90DB">
        <w:t xml:space="preserve">ocumentation </w:t>
      </w:r>
      <w:r w:rsidR="009C0F1A">
        <w:t>a</w:t>
      </w:r>
      <w:r w:rsidR="00E140EF">
        <w:t xml:space="preserve"> post</w:t>
      </w:r>
      <w:r w:rsidR="06DB10A7">
        <w:t xml:space="preserve"> training </w:t>
      </w:r>
      <w:r w:rsidR="00E140EF">
        <w:t>test is given</w:t>
      </w:r>
      <w:r w:rsidR="006F69BA">
        <w:t xml:space="preserve"> and </w:t>
      </w:r>
      <w:r w:rsidR="00535FDB">
        <w:t>staff have passed</w:t>
      </w:r>
      <w:r w:rsidR="6BE065D4">
        <w:t>;</w:t>
      </w:r>
    </w:p>
    <w:p w14:paraId="6F6838CC" w14:textId="53BAE18E" w:rsidR="00E140EF" w:rsidRPr="00E140EF" w:rsidRDefault="30AB7F6C" w:rsidP="03DFA0C6">
      <w:pPr>
        <w:numPr>
          <w:ilvl w:val="1"/>
          <w:numId w:val="6"/>
        </w:numPr>
      </w:pPr>
      <w:r>
        <w:t>r</w:t>
      </w:r>
      <w:r w:rsidR="00E140EF">
        <w:t>esults of the post-tests</w:t>
      </w:r>
      <w:r w:rsidR="125FC3D9">
        <w:t>;</w:t>
      </w:r>
      <w:r w:rsidR="00E140EF">
        <w:t xml:space="preserve"> </w:t>
      </w:r>
      <w:r w:rsidR="2854D4F5">
        <w:t>e</w:t>
      </w:r>
      <w:r w:rsidR="30459BC2">
        <w:t xml:space="preserve">vidence </w:t>
      </w:r>
      <w:r w:rsidR="00FE4D04">
        <w:t xml:space="preserve">the results </w:t>
      </w:r>
      <w:r w:rsidR="004D54F6">
        <w:t xml:space="preserve">of the </w:t>
      </w:r>
      <w:r w:rsidR="0FEBF0ED">
        <w:t>p</w:t>
      </w:r>
      <w:r w:rsidR="00E140EF">
        <w:t>ost</w:t>
      </w:r>
      <w:r w:rsidR="0E314365">
        <w:t xml:space="preserve"> training</w:t>
      </w:r>
      <w:r w:rsidR="00863671">
        <w:t xml:space="preserve"> </w:t>
      </w:r>
      <w:r w:rsidR="00E140EF">
        <w:t>tests are used as part of an educational needs assessment</w:t>
      </w:r>
      <w:r w:rsidR="63F7353A">
        <w:t xml:space="preserve"> to plan future training </w:t>
      </w:r>
      <w:proofErr w:type="gramStart"/>
      <w:r w:rsidR="63F7353A">
        <w:t>opportunities</w:t>
      </w:r>
      <w:r w:rsidR="52FD1F6D">
        <w:t>;</w:t>
      </w:r>
      <w:proofErr w:type="gramEnd"/>
    </w:p>
    <w:p w14:paraId="0C57E538" w14:textId="436BDF06" w:rsidR="00E140EF" w:rsidRPr="00E140EF" w:rsidRDefault="174FDA74" w:rsidP="03DFA0C6">
      <w:pPr>
        <w:numPr>
          <w:ilvl w:val="1"/>
          <w:numId w:val="6"/>
        </w:numPr>
      </w:pPr>
      <w:r>
        <w:t>d</w:t>
      </w:r>
      <w:r w:rsidR="4D4744C7">
        <w:t>ocumentation showing</w:t>
      </w:r>
      <w:r w:rsidR="5DAC31B3">
        <w:t xml:space="preserve"> that </w:t>
      </w:r>
      <w:r w:rsidR="55F67B35">
        <w:t xml:space="preserve">post-training </w:t>
      </w:r>
      <w:r w:rsidR="2894CBDE">
        <w:t>tests are</w:t>
      </w:r>
      <w:r w:rsidR="331F4EC6">
        <w:t xml:space="preserve"> reviewed on an ongoing basis</w:t>
      </w:r>
      <w:r w:rsidR="2894CBDE">
        <w:t xml:space="preserve"> and used to improve the </w:t>
      </w:r>
      <w:proofErr w:type="gramStart"/>
      <w:r w:rsidR="2894CBDE">
        <w:t>presentation</w:t>
      </w:r>
      <w:r w:rsidR="68A0A61A">
        <w:t>;</w:t>
      </w:r>
      <w:proofErr w:type="gramEnd"/>
    </w:p>
    <w:p w14:paraId="2301599B" w14:textId="3AE7C548" w:rsidR="00E140EF" w:rsidRPr="00E140EF" w:rsidRDefault="15E284AF" w:rsidP="03DFA0C6">
      <w:pPr>
        <w:numPr>
          <w:ilvl w:val="1"/>
          <w:numId w:val="6"/>
        </w:numPr>
      </w:pPr>
      <w:r>
        <w:t>a</w:t>
      </w:r>
      <w:r w:rsidR="00E140EF">
        <w:t xml:space="preserve"> system is in place for participants to ask questions</w:t>
      </w:r>
      <w:r w:rsidR="18242BA1">
        <w:t xml:space="preserve">; and </w:t>
      </w:r>
    </w:p>
    <w:p w14:paraId="05D754FF" w14:textId="68881EBD" w:rsidR="00E140EF" w:rsidRDefault="44B3304B" w:rsidP="00E140EF">
      <w:pPr>
        <w:numPr>
          <w:ilvl w:val="1"/>
          <w:numId w:val="6"/>
        </w:numPr>
      </w:pPr>
      <w:r>
        <w:t>a</w:t>
      </w:r>
      <w:r w:rsidR="00E140EF">
        <w:t xml:space="preserve"> system is in place to answer participants' questions</w:t>
      </w:r>
      <w:r w:rsidR="2B53575D">
        <w:t>.</w:t>
      </w:r>
    </w:p>
    <w:p w14:paraId="6651115F" w14:textId="77777777" w:rsidR="00745255" w:rsidRDefault="00745255" w:rsidP="00745255">
      <w:pPr>
        <w:rPr>
          <w:szCs w:val="24"/>
        </w:rPr>
      </w:pPr>
    </w:p>
    <w:p w14:paraId="331FCEEA" w14:textId="0B1348D8" w:rsidR="00745255" w:rsidRPr="00745255" w:rsidRDefault="00745255" w:rsidP="00745255">
      <w:pPr>
        <w:rPr>
          <w:b/>
          <w:bCs/>
          <w:szCs w:val="24"/>
          <w:u w:val="single"/>
        </w:rPr>
      </w:pPr>
      <w:r w:rsidRPr="00745255">
        <w:rPr>
          <w:b/>
          <w:bCs/>
          <w:szCs w:val="24"/>
          <w:u w:val="single"/>
        </w:rPr>
        <w:t>Community Education</w:t>
      </w:r>
    </w:p>
    <w:p w14:paraId="4C1AD751" w14:textId="77777777" w:rsidR="0000671C" w:rsidRDefault="0000671C" w:rsidP="00745255">
      <w:pPr>
        <w:rPr>
          <w:szCs w:val="24"/>
        </w:rPr>
      </w:pPr>
    </w:p>
    <w:p w14:paraId="6651C5A4" w14:textId="1C57CC3D" w:rsidR="00745255" w:rsidRPr="00745255" w:rsidRDefault="00745255" w:rsidP="00745255">
      <w:pPr>
        <w:rPr>
          <w:szCs w:val="24"/>
        </w:rPr>
      </w:pPr>
      <w:r w:rsidRPr="00745255">
        <w:rPr>
          <w:szCs w:val="24"/>
        </w:rPr>
        <w:t>As required under 105 CMR 130.14</w:t>
      </w:r>
      <w:r w:rsidR="0000671C">
        <w:rPr>
          <w:szCs w:val="24"/>
        </w:rPr>
        <w:t>08</w:t>
      </w:r>
      <w:r w:rsidRPr="00745255">
        <w:rPr>
          <w:szCs w:val="24"/>
        </w:rPr>
        <w:t xml:space="preserve">, the hospital </w:t>
      </w:r>
      <w:r w:rsidR="0000671C">
        <w:rPr>
          <w:szCs w:val="24"/>
        </w:rPr>
        <w:t xml:space="preserve">with a primary stroke service designation or endovascular stroke service designation </w:t>
      </w:r>
      <w:r w:rsidRPr="00745255">
        <w:rPr>
          <w:szCs w:val="24"/>
        </w:rPr>
        <w:t xml:space="preserve">shall offer community education that provides information to the public regarding prevention of stroke, recognition of stroke symptoms, and/or treatment of stroke. Community education programs </w:t>
      </w:r>
      <w:r w:rsidR="006279EA">
        <w:rPr>
          <w:szCs w:val="24"/>
        </w:rPr>
        <w:t>must</w:t>
      </w:r>
      <w:r w:rsidRPr="00745255">
        <w:rPr>
          <w:szCs w:val="24"/>
        </w:rPr>
        <w:t xml:space="preserve"> be developed and provided in accordance with the needs of each hospital's community.</w:t>
      </w:r>
    </w:p>
    <w:p w14:paraId="24816AF8" w14:textId="77777777" w:rsidR="0000671C" w:rsidRDefault="0000671C" w:rsidP="00745255">
      <w:pPr>
        <w:rPr>
          <w:b/>
          <w:bCs/>
          <w:szCs w:val="24"/>
        </w:rPr>
      </w:pPr>
    </w:p>
    <w:p w14:paraId="6A180E3A" w14:textId="641BC49A" w:rsidR="00745255" w:rsidRPr="00745255" w:rsidRDefault="00745255" w:rsidP="00745255">
      <w:r w:rsidRPr="03DFA0C6">
        <w:rPr>
          <w:b/>
          <w:bCs/>
        </w:rPr>
        <w:t xml:space="preserve">Required content for community education programs (see </w:t>
      </w:r>
      <w:r w:rsidR="54C8200B" w:rsidRPr="03DFA0C6">
        <w:rPr>
          <w:b/>
          <w:bCs/>
        </w:rPr>
        <w:t xml:space="preserve">105 CMR </w:t>
      </w:r>
      <w:r w:rsidRPr="03DFA0C6">
        <w:rPr>
          <w:b/>
          <w:bCs/>
        </w:rPr>
        <w:t>130.14</w:t>
      </w:r>
      <w:r w:rsidR="0000671C" w:rsidRPr="03DFA0C6">
        <w:rPr>
          <w:b/>
          <w:bCs/>
        </w:rPr>
        <w:t>08</w:t>
      </w:r>
      <w:r w:rsidRPr="03DFA0C6">
        <w:rPr>
          <w:b/>
          <w:bCs/>
        </w:rPr>
        <w:t>) includes:</w:t>
      </w:r>
    </w:p>
    <w:p w14:paraId="37E6A542" w14:textId="491032B8" w:rsidR="00745255" w:rsidRPr="00745255" w:rsidRDefault="5C144C57" w:rsidP="03DFA0C6">
      <w:pPr>
        <w:numPr>
          <w:ilvl w:val="0"/>
          <w:numId w:val="7"/>
        </w:numPr>
      </w:pPr>
      <w:r>
        <w:t>s</w:t>
      </w:r>
      <w:r w:rsidR="00745255">
        <w:t>troke prevention</w:t>
      </w:r>
      <w:r w:rsidR="1F51B161">
        <w:t>;</w:t>
      </w:r>
    </w:p>
    <w:p w14:paraId="265E94D1" w14:textId="18E1705D" w:rsidR="00745255" w:rsidRPr="00745255" w:rsidRDefault="305A108A" w:rsidP="00745255">
      <w:pPr>
        <w:numPr>
          <w:ilvl w:val="0"/>
          <w:numId w:val="7"/>
        </w:numPr>
      </w:pPr>
      <w:r>
        <w:t>r</w:t>
      </w:r>
      <w:r w:rsidR="00745255">
        <w:t>ecognition of stroke symptoms</w:t>
      </w:r>
      <w:r w:rsidR="4835C8B6">
        <w:t>;</w:t>
      </w:r>
      <w:r w:rsidR="00745255">
        <w:t xml:space="preserve"> and/or</w:t>
      </w:r>
    </w:p>
    <w:p w14:paraId="157FE67A" w14:textId="1BA04F4B" w:rsidR="00745255" w:rsidRPr="00745255" w:rsidRDefault="78ED5BF8" w:rsidP="00745255">
      <w:pPr>
        <w:numPr>
          <w:ilvl w:val="0"/>
          <w:numId w:val="7"/>
        </w:numPr>
      </w:pPr>
      <w:r>
        <w:t>t</w:t>
      </w:r>
      <w:r w:rsidR="00745255">
        <w:t>reatment of stroke</w:t>
      </w:r>
      <w:r w:rsidR="47F33ADC">
        <w:t>.</w:t>
      </w:r>
    </w:p>
    <w:p w14:paraId="0CB7E3AF" w14:textId="77777777" w:rsidR="0000671C" w:rsidRDefault="0000671C" w:rsidP="00745255">
      <w:pPr>
        <w:rPr>
          <w:szCs w:val="24"/>
        </w:rPr>
      </w:pPr>
    </w:p>
    <w:p w14:paraId="66B993E9" w14:textId="7096EE51" w:rsidR="00745255" w:rsidRPr="00745255" w:rsidRDefault="00745255" w:rsidP="00745255">
      <w:pPr>
        <w:rPr>
          <w:szCs w:val="24"/>
        </w:rPr>
      </w:pPr>
      <w:r w:rsidRPr="00745255">
        <w:rPr>
          <w:szCs w:val="24"/>
        </w:rPr>
        <w:t>The Department w</w:t>
      </w:r>
      <w:r w:rsidR="009E1001">
        <w:rPr>
          <w:szCs w:val="24"/>
        </w:rPr>
        <w:t>ill</w:t>
      </w:r>
      <w:r w:rsidRPr="00745255">
        <w:rPr>
          <w:szCs w:val="24"/>
        </w:rPr>
        <w:t xml:space="preserve"> find any of the following methods to be acceptable to demonstrate compliance with the regulation, provided the required educational content is included:</w:t>
      </w:r>
    </w:p>
    <w:p w14:paraId="6A933148" w14:textId="77777777" w:rsidR="00745255" w:rsidRPr="00745255" w:rsidRDefault="00745255" w:rsidP="00745255">
      <w:pPr>
        <w:numPr>
          <w:ilvl w:val="0"/>
          <w:numId w:val="8"/>
        </w:numPr>
        <w:rPr>
          <w:szCs w:val="24"/>
        </w:rPr>
      </w:pPr>
      <w:r w:rsidRPr="00745255">
        <w:rPr>
          <w:szCs w:val="24"/>
        </w:rPr>
        <w:t>Newsletters/Mailing</w:t>
      </w:r>
    </w:p>
    <w:p w14:paraId="2BD697F6" w14:textId="77777777" w:rsidR="00745255" w:rsidRPr="00745255" w:rsidRDefault="00745255" w:rsidP="00745255">
      <w:pPr>
        <w:numPr>
          <w:ilvl w:val="0"/>
          <w:numId w:val="8"/>
        </w:numPr>
        <w:rPr>
          <w:szCs w:val="24"/>
        </w:rPr>
      </w:pPr>
      <w:r w:rsidRPr="00745255">
        <w:rPr>
          <w:szCs w:val="24"/>
        </w:rPr>
        <w:lastRenderedPageBreak/>
        <w:t>Newspapers</w:t>
      </w:r>
    </w:p>
    <w:p w14:paraId="6290750F" w14:textId="77777777" w:rsidR="00745255" w:rsidRPr="00745255" w:rsidRDefault="00745255" w:rsidP="00745255">
      <w:pPr>
        <w:numPr>
          <w:ilvl w:val="0"/>
          <w:numId w:val="8"/>
        </w:numPr>
        <w:rPr>
          <w:szCs w:val="24"/>
        </w:rPr>
      </w:pPr>
      <w:r w:rsidRPr="00745255">
        <w:rPr>
          <w:szCs w:val="24"/>
        </w:rPr>
        <w:t>Public Service Announcements</w:t>
      </w:r>
    </w:p>
    <w:p w14:paraId="5AE79F3B" w14:textId="77777777" w:rsidR="00745255" w:rsidRPr="00745255" w:rsidRDefault="00745255" w:rsidP="00745255">
      <w:pPr>
        <w:numPr>
          <w:ilvl w:val="0"/>
          <w:numId w:val="8"/>
        </w:numPr>
        <w:rPr>
          <w:szCs w:val="24"/>
        </w:rPr>
      </w:pPr>
      <w:r w:rsidRPr="00745255">
        <w:rPr>
          <w:szCs w:val="24"/>
        </w:rPr>
        <w:t>Stroke education/educational materials provided at locations such as community health fairs, flu/blood pressure clinics</w:t>
      </w:r>
    </w:p>
    <w:p w14:paraId="02D49206" w14:textId="77777777" w:rsidR="00745255" w:rsidRPr="00745255" w:rsidRDefault="00745255" w:rsidP="00745255">
      <w:pPr>
        <w:numPr>
          <w:ilvl w:val="0"/>
          <w:numId w:val="8"/>
        </w:numPr>
        <w:rPr>
          <w:szCs w:val="24"/>
        </w:rPr>
      </w:pPr>
      <w:r w:rsidRPr="00745255">
        <w:rPr>
          <w:szCs w:val="24"/>
        </w:rPr>
        <w:t>Education provided to area health care providers</w:t>
      </w:r>
    </w:p>
    <w:p w14:paraId="2FF29FC3" w14:textId="77777777" w:rsidR="00745255" w:rsidRPr="00745255" w:rsidRDefault="00745255" w:rsidP="00745255">
      <w:pPr>
        <w:numPr>
          <w:ilvl w:val="0"/>
          <w:numId w:val="8"/>
        </w:numPr>
        <w:rPr>
          <w:szCs w:val="24"/>
        </w:rPr>
      </w:pPr>
      <w:r w:rsidRPr="00745255">
        <w:rPr>
          <w:szCs w:val="24"/>
        </w:rPr>
        <w:t>Speaker Forums - e.g., presentations at hospitals, community centers, senior centers, school assemblies, church groups, workplace sites</w:t>
      </w:r>
    </w:p>
    <w:p w14:paraId="33869B15" w14:textId="77777777" w:rsidR="0000671C" w:rsidRDefault="0000671C" w:rsidP="00745255">
      <w:pPr>
        <w:rPr>
          <w:szCs w:val="24"/>
        </w:rPr>
      </w:pPr>
    </w:p>
    <w:p w14:paraId="2EC6BBF9" w14:textId="47F328ED" w:rsidR="03DFA0C6" w:rsidRDefault="4A272347">
      <w:r>
        <w:t>To demonstrate</w:t>
      </w:r>
      <w:r w:rsidR="3D30B0F3">
        <w:t xml:space="preserve"> </w:t>
      </w:r>
      <w:r>
        <w:t>compliance with the community education requirements, the hospital must maintain:</w:t>
      </w:r>
    </w:p>
    <w:p w14:paraId="1A34A879" w14:textId="6D56322E" w:rsidR="00745255" w:rsidRPr="00745255" w:rsidRDefault="4A272347" w:rsidP="00745255">
      <w:pPr>
        <w:numPr>
          <w:ilvl w:val="0"/>
          <w:numId w:val="9"/>
        </w:numPr>
      </w:pPr>
      <w:r>
        <w:t xml:space="preserve">A </w:t>
      </w:r>
      <w:r w:rsidR="331A6DB9">
        <w:t>l</w:t>
      </w:r>
      <w:r w:rsidR="00745255">
        <w:t>og of the number of brochures used, ordered and/or mailed</w:t>
      </w:r>
      <w:r w:rsidR="36DA1CB6">
        <w:t>;</w:t>
      </w:r>
    </w:p>
    <w:p w14:paraId="712FDBA2" w14:textId="1ECFEDA6" w:rsidR="00745255" w:rsidRPr="00745255" w:rsidRDefault="36DA1CB6" w:rsidP="00745255">
      <w:pPr>
        <w:numPr>
          <w:ilvl w:val="0"/>
          <w:numId w:val="9"/>
        </w:numPr>
      </w:pPr>
      <w:r>
        <w:t>a</w:t>
      </w:r>
      <w:r w:rsidR="00745255">
        <w:t>ttendance sheets for live presentations</w:t>
      </w:r>
      <w:r w:rsidR="40856A0F">
        <w:t>;</w:t>
      </w:r>
    </w:p>
    <w:p w14:paraId="5409C019" w14:textId="29DCB22D" w:rsidR="00745255" w:rsidRPr="00745255" w:rsidRDefault="40856A0F" w:rsidP="00745255">
      <w:pPr>
        <w:numPr>
          <w:ilvl w:val="0"/>
          <w:numId w:val="9"/>
        </w:numPr>
      </w:pPr>
      <w:r>
        <w:t>c</w:t>
      </w:r>
      <w:r w:rsidR="00745255">
        <w:t>opies of flyers/announcements/publicity for public events</w:t>
      </w:r>
      <w:r w:rsidR="4EAD7B68">
        <w:t>; and/or</w:t>
      </w:r>
    </w:p>
    <w:p w14:paraId="151B6ECE" w14:textId="12AC3D05" w:rsidR="00745255" w:rsidRPr="00745255" w:rsidRDefault="4EAD7B68" w:rsidP="00745255">
      <w:pPr>
        <w:numPr>
          <w:ilvl w:val="0"/>
          <w:numId w:val="9"/>
        </w:numPr>
      </w:pPr>
      <w:r>
        <w:t>d</w:t>
      </w:r>
      <w:r w:rsidR="00745255">
        <w:t>ocumentation of dates, persons involved, summary of media events (e.g., television, radio)</w:t>
      </w:r>
    </w:p>
    <w:p w14:paraId="468BA9EF" w14:textId="77777777" w:rsidR="0000671C" w:rsidRDefault="0000671C" w:rsidP="00745255">
      <w:pPr>
        <w:rPr>
          <w:szCs w:val="24"/>
        </w:rPr>
      </w:pPr>
    </w:p>
    <w:p w14:paraId="587681A4" w14:textId="44C76A1B" w:rsidR="00745255" w:rsidRPr="00745255" w:rsidRDefault="17D12FDA" w:rsidP="00A85C4B">
      <w:pPr>
        <w:spacing w:line="259" w:lineRule="auto"/>
      </w:pPr>
      <w:r>
        <w:t xml:space="preserve">The Department recommends that hospitals </w:t>
      </w:r>
      <w:r w:rsidR="073673A4">
        <w:t>consider t</w:t>
      </w:r>
      <w:r w:rsidR="004C62CD">
        <w:t>h</w:t>
      </w:r>
      <w:r w:rsidR="073673A4">
        <w:t>e following in completing the required community education:</w:t>
      </w:r>
    </w:p>
    <w:p w14:paraId="5558623E" w14:textId="313E688C" w:rsidR="00745255" w:rsidRPr="00745255" w:rsidRDefault="00745255" w:rsidP="00745255">
      <w:pPr>
        <w:numPr>
          <w:ilvl w:val="0"/>
          <w:numId w:val="10"/>
        </w:numPr>
      </w:pPr>
      <w:r>
        <w:t>Coordinat</w:t>
      </w:r>
      <w:r w:rsidR="3E1675FD">
        <w:t>ion of</w:t>
      </w:r>
      <w:r>
        <w:t xml:space="preserve"> community education initiatives with other hospital personnel, e.g., public relations department, diabetic educators, cardiac rehabilitation services</w:t>
      </w:r>
      <w:r w:rsidR="66AFFD0D">
        <w:t>.</w:t>
      </w:r>
    </w:p>
    <w:p w14:paraId="3ABDD36B" w14:textId="423D9B6D" w:rsidR="00745255" w:rsidRDefault="00745255" w:rsidP="2C2E1244">
      <w:pPr>
        <w:numPr>
          <w:ilvl w:val="0"/>
          <w:numId w:val="10"/>
        </w:numPr>
      </w:pPr>
      <w:r>
        <w:t>Encourag</w:t>
      </w:r>
      <w:r w:rsidR="06F4BFFE">
        <w:t>ing</w:t>
      </w:r>
      <w:r>
        <w:t xml:space="preserve"> stroke survivors to share their experiences at speaker forums</w:t>
      </w:r>
      <w:r w:rsidR="66AFFD0D">
        <w:t>.</w:t>
      </w:r>
    </w:p>
    <w:p w14:paraId="6BB49880" w14:textId="0823FB0D" w:rsidR="00D02C5A" w:rsidRPr="00745255" w:rsidRDefault="00D02C5A" w:rsidP="2C2E1244">
      <w:pPr>
        <w:numPr>
          <w:ilvl w:val="0"/>
          <w:numId w:val="10"/>
        </w:numPr>
      </w:pPr>
      <w:r>
        <w:t>Offer</w:t>
      </w:r>
      <w:r w:rsidR="22F3A5F3">
        <w:t>ing</w:t>
      </w:r>
      <w:r>
        <w:t xml:space="preserve"> stroke education to the community in languages other than English based on the hospital’s patient population. </w:t>
      </w:r>
    </w:p>
    <w:p w14:paraId="5A45A463" w14:textId="77777777" w:rsidR="00745255" w:rsidRPr="00E140EF" w:rsidRDefault="00745255" w:rsidP="00745255">
      <w:pPr>
        <w:rPr>
          <w:szCs w:val="24"/>
        </w:rPr>
      </w:pPr>
    </w:p>
    <w:p w14:paraId="3F05793F" w14:textId="72FDB24A" w:rsidR="00541753" w:rsidRPr="000225FA" w:rsidRDefault="7498FF2E" w:rsidP="000225FA">
      <w:r>
        <w:t xml:space="preserve">For questions, please contact the Bureau of Health Care Safety and Quality at DPH.BHCSQ@MassMail.State.MA.US.  </w:t>
      </w:r>
    </w:p>
    <w:sectPr w:rsidR="00541753" w:rsidRPr="000225FA">
      <w:footerReference w:type="default" r:id="rId15"/>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9FE2C1" w14:textId="77777777" w:rsidR="006509EE" w:rsidRDefault="006509EE" w:rsidP="00863E4C">
      <w:r>
        <w:separator/>
      </w:r>
    </w:p>
  </w:endnote>
  <w:endnote w:type="continuationSeparator" w:id="0">
    <w:p w14:paraId="7BA1BB7C" w14:textId="77777777" w:rsidR="006509EE" w:rsidRDefault="006509EE" w:rsidP="00863E4C">
      <w:r>
        <w:continuationSeparator/>
      </w:r>
    </w:p>
  </w:endnote>
  <w:endnote w:type="continuationNotice" w:id="1">
    <w:p w14:paraId="201506E7" w14:textId="77777777" w:rsidR="006509EE" w:rsidRDefault="006509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LinePrinter">
    <w:altName w:val="Calibri"/>
    <w:panose1 w:val="00000000000000000000"/>
    <w:charset w:val="00"/>
    <w:family w:val="modern"/>
    <w:notTrueType/>
    <w:pitch w:val="fixed"/>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6907434"/>
      <w:docPartObj>
        <w:docPartGallery w:val="Page Numbers (Bottom of Page)"/>
        <w:docPartUnique/>
      </w:docPartObj>
    </w:sdtPr>
    <w:sdtEndPr>
      <w:rPr>
        <w:noProof/>
      </w:rPr>
    </w:sdtEndPr>
    <w:sdtContent>
      <w:p w14:paraId="741AAE63" w14:textId="4D1066DA" w:rsidR="00930D2C" w:rsidRDefault="00930D2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0E16B8A" w14:textId="77777777" w:rsidR="00930D2C" w:rsidRDefault="00930D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0EC468" w14:textId="77777777" w:rsidR="006509EE" w:rsidRDefault="006509EE" w:rsidP="00863E4C">
      <w:r>
        <w:separator/>
      </w:r>
    </w:p>
  </w:footnote>
  <w:footnote w:type="continuationSeparator" w:id="0">
    <w:p w14:paraId="1AFA8D94" w14:textId="77777777" w:rsidR="006509EE" w:rsidRDefault="006509EE" w:rsidP="00863E4C">
      <w:r>
        <w:continuationSeparator/>
      </w:r>
    </w:p>
  </w:footnote>
  <w:footnote w:type="continuationNotice" w:id="1">
    <w:p w14:paraId="049F98A9" w14:textId="77777777" w:rsidR="006509EE" w:rsidRDefault="006509EE"/>
  </w:footnote>
  <w:footnote w:id="2">
    <w:p w14:paraId="24F4ACBD" w14:textId="77777777" w:rsidR="007A6C87" w:rsidRDefault="007A6C87" w:rsidP="007A6C87">
      <w:pPr>
        <w:pStyle w:val="FootnoteText"/>
      </w:pPr>
      <w:r>
        <w:rPr>
          <w:rStyle w:val="FootnoteReference"/>
        </w:rPr>
        <w:footnoteRef/>
      </w:r>
      <w:r>
        <w:t xml:space="preserve"> See </w:t>
      </w:r>
      <w:hyperlink r:id="rId1" w:history="1">
        <w:r w:rsidRPr="00EC169A">
          <w:rPr>
            <w:rStyle w:val="Hyperlink"/>
          </w:rPr>
          <w:t>Section 90 of Chapter 28 of the Acts of 2023</w:t>
        </w:r>
      </w:hyperlink>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21913"/>
    <w:multiLevelType w:val="multilevel"/>
    <w:tmpl w:val="3F563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3B783D"/>
    <w:multiLevelType w:val="hybridMultilevel"/>
    <w:tmpl w:val="FE8CE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A33559"/>
    <w:multiLevelType w:val="multilevel"/>
    <w:tmpl w:val="B086A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623714"/>
    <w:multiLevelType w:val="hybridMultilevel"/>
    <w:tmpl w:val="E29C1B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5723CB"/>
    <w:multiLevelType w:val="multilevel"/>
    <w:tmpl w:val="D720A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90174A"/>
    <w:multiLevelType w:val="hybridMultilevel"/>
    <w:tmpl w:val="61568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4FE0095"/>
    <w:multiLevelType w:val="hybridMultilevel"/>
    <w:tmpl w:val="F4D64A70"/>
    <w:lvl w:ilvl="0" w:tplc="144CE914">
      <w:start w:val="1"/>
      <w:numFmt w:val="decimal"/>
      <w:lvlText w:val="%1."/>
      <w:lvlJc w:val="left"/>
      <w:pPr>
        <w:ind w:left="1020" w:hanging="360"/>
      </w:pPr>
    </w:lvl>
    <w:lvl w:ilvl="1" w:tplc="304ACEC2">
      <w:start w:val="1"/>
      <w:numFmt w:val="decimal"/>
      <w:lvlText w:val="%2."/>
      <w:lvlJc w:val="left"/>
      <w:pPr>
        <w:ind w:left="1020" w:hanging="360"/>
      </w:pPr>
    </w:lvl>
    <w:lvl w:ilvl="2" w:tplc="A2460172">
      <w:start w:val="1"/>
      <w:numFmt w:val="decimal"/>
      <w:lvlText w:val="%3."/>
      <w:lvlJc w:val="left"/>
      <w:pPr>
        <w:ind w:left="1020" w:hanging="360"/>
      </w:pPr>
    </w:lvl>
    <w:lvl w:ilvl="3" w:tplc="AA9A69E6">
      <w:start w:val="1"/>
      <w:numFmt w:val="decimal"/>
      <w:lvlText w:val="%4."/>
      <w:lvlJc w:val="left"/>
      <w:pPr>
        <w:ind w:left="1020" w:hanging="360"/>
      </w:pPr>
    </w:lvl>
    <w:lvl w:ilvl="4" w:tplc="FBC2DF3C">
      <w:start w:val="1"/>
      <w:numFmt w:val="decimal"/>
      <w:lvlText w:val="%5."/>
      <w:lvlJc w:val="left"/>
      <w:pPr>
        <w:ind w:left="1020" w:hanging="360"/>
      </w:pPr>
    </w:lvl>
    <w:lvl w:ilvl="5" w:tplc="9C2243BC">
      <w:start w:val="1"/>
      <w:numFmt w:val="decimal"/>
      <w:lvlText w:val="%6."/>
      <w:lvlJc w:val="left"/>
      <w:pPr>
        <w:ind w:left="1020" w:hanging="360"/>
      </w:pPr>
    </w:lvl>
    <w:lvl w:ilvl="6" w:tplc="E1145C8C">
      <w:start w:val="1"/>
      <w:numFmt w:val="decimal"/>
      <w:lvlText w:val="%7."/>
      <w:lvlJc w:val="left"/>
      <w:pPr>
        <w:ind w:left="1020" w:hanging="360"/>
      </w:pPr>
    </w:lvl>
    <w:lvl w:ilvl="7" w:tplc="EB220204">
      <w:start w:val="1"/>
      <w:numFmt w:val="decimal"/>
      <w:lvlText w:val="%8."/>
      <w:lvlJc w:val="left"/>
      <w:pPr>
        <w:ind w:left="1020" w:hanging="360"/>
      </w:pPr>
    </w:lvl>
    <w:lvl w:ilvl="8" w:tplc="952A1986">
      <w:start w:val="1"/>
      <w:numFmt w:val="decimal"/>
      <w:lvlText w:val="%9."/>
      <w:lvlJc w:val="left"/>
      <w:pPr>
        <w:ind w:left="1020" w:hanging="360"/>
      </w:pPr>
    </w:lvl>
  </w:abstractNum>
  <w:abstractNum w:abstractNumId="7" w15:restartNumberingAfterBreak="0">
    <w:nsid w:val="49003E7B"/>
    <w:multiLevelType w:val="multilevel"/>
    <w:tmpl w:val="9094E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B2C1464"/>
    <w:multiLevelType w:val="hybridMultilevel"/>
    <w:tmpl w:val="ED546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F1526F2"/>
    <w:multiLevelType w:val="hybridMultilevel"/>
    <w:tmpl w:val="74987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F5D6AD4"/>
    <w:multiLevelType w:val="multilevel"/>
    <w:tmpl w:val="480ED7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07B3DC2"/>
    <w:multiLevelType w:val="multilevel"/>
    <w:tmpl w:val="F3280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2B22B62"/>
    <w:multiLevelType w:val="hybridMultilevel"/>
    <w:tmpl w:val="09707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4981D38"/>
    <w:multiLevelType w:val="hybridMultilevel"/>
    <w:tmpl w:val="2A7C6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BC237E"/>
    <w:multiLevelType w:val="multilevel"/>
    <w:tmpl w:val="899CC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76D2A0C"/>
    <w:multiLevelType w:val="multilevel"/>
    <w:tmpl w:val="925C5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AC0515C"/>
    <w:multiLevelType w:val="hybridMultilevel"/>
    <w:tmpl w:val="E848CD96"/>
    <w:lvl w:ilvl="0" w:tplc="9EF83092">
      <w:start w:val="1"/>
      <w:numFmt w:val="decimal"/>
      <w:lvlText w:val="%1."/>
      <w:lvlJc w:val="left"/>
      <w:pPr>
        <w:ind w:left="1020" w:hanging="360"/>
      </w:pPr>
    </w:lvl>
    <w:lvl w:ilvl="1" w:tplc="B66A71D8">
      <w:start w:val="1"/>
      <w:numFmt w:val="decimal"/>
      <w:lvlText w:val="%2."/>
      <w:lvlJc w:val="left"/>
      <w:pPr>
        <w:ind w:left="1020" w:hanging="360"/>
      </w:pPr>
    </w:lvl>
    <w:lvl w:ilvl="2" w:tplc="DD9C241A">
      <w:start w:val="1"/>
      <w:numFmt w:val="decimal"/>
      <w:lvlText w:val="%3."/>
      <w:lvlJc w:val="left"/>
      <w:pPr>
        <w:ind w:left="1020" w:hanging="360"/>
      </w:pPr>
    </w:lvl>
    <w:lvl w:ilvl="3" w:tplc="803ABCEC">
      <w:start w:val="1"/>
      <w:numFmt w:val="decimal"/>
      <w:lvlText w:val="%4."/>
      <w:lvlJc w:val="left"/>
      <w:pPr>
        <w:ind w:left="1020" w:hanging="360"/>
      </w:pPr>
    </w:lvl>
    <w:lvl w:ilvl="4" w:tplc="45E2453E">
      <w:start w:val="1"/>
      <w:numFmt w:val="decimal"/>
      <w:lvlText w:val="%5."/>
      <w:lvlJc w:val="left"/>
      <w:pPr>
        <w:ind w:left="1020" w:hanging="360"/>
      </w:pPr>
    </w:lvl>
    <w:lvl w:ilvl="5" w:tplc="C6A67692">
      <w:start w:val="1"/>
      <w:numFmt w:val="decimal"/>
      <w:lvlText w:val="%6."/>
      <w:lvlJc w:val="left"/>
      <w:pPr>
        <w:ind w:left="1020" w:hanging="360"/>
      </w:pPr>
    </w:lvl>
    <w:lvl w:ilvl="6" w:tplc="524EE406">
      <w:start w:val="1"/>
      <w:numFmt w:val="decimal"/>
      <w:lvlText w:val="%7."/>
      <w:lvlJc w:val="left"/>
      <w:pPr>
        <w:ind w:left="1020" w:hanging="360"/>
      </w:pPr>
    </w:lvl>
    <w:lvl w:ilvl="7" w:tplc="4CF82E80">
      <w:start w:val="1"/>
      <w:numFmt w:val="decimal"/>
      <w:lvlText w:val="%8."/>
      <w:lvlJc w:val="left"/>
      <w:pPr>
        <w:ind w:left="1020" w:hanging="360"/>
      </w:pPr>
    </w:lvl>
    <w:lvl w:ilvl="8" w:tplc="2F8C8D70">
      <w:start w:val="1"/>
      <w:numFmt w:val="decimal"/>
      <w:lvlText w:val="%9."/>
      <w:lvlJc w:val="left"/>
      <w:pPr>
        <w:ind w:left="1020" w:hanging="360"/>
      </w:pPr>
    </w:lvl>
  </w:abstractNum>
  <w:abstractNum w:abstractNumId="17" w15:restartNumberingAfterBreak="0">
    <w:nsid w:val="60A55FC2"/>
    <w:multiLevelType w:val="multilevel"/>
    <w:tmpl w:val="B2C4A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C7F1789"/>
    <w:multiLevelType w:val="multilevel"/>
    <w:tmpl w:val="3C9EE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D7B5331"/>
    <w:multiLevelType w:val="hybridMultilevel"/>
    <w:tmpl w:val="A12EF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DB04D98"/>
    <w:multiLevelType w:val="multilevel"/>
    <w:tmpl w:val="EC180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6864198"/>
    <w:multiLevelType w:val="hybridMultilevel"/>
    <w:tmpl w:val="C032C2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B757CEA"/>
    <w:multiLevelType w:val="multilevel"/>
    <w:tmpl w:val="EBD6F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70232778">
    <w:abstractNumId w:val="3"/>
  </w:num>
  <w:num w:numId="2" w16cid:durableId="1764447211">
    <w:abstractNumId w:val="1"/>
  </w:num>
  <w:num w:numId="3" w16cid:durableId="681975552">
    <w:abstractNumId w:val="2"/>
  </w:num>
  <w:num w:numId="4" w16cid:durableId="1656298909">
    <w:abstractNumId w:val="18"/>
  </w:num>
  <w:num w:numId="5" w16cid:durableId="1668363542">
    <w:abstractNumId w:val="11"/>
  </w:num>
  <w:num w:numId="6" w16cid:durableId="1305575088">
    <w:abstractNumId w:val="10"/>
  </w:num>
  <w:num w:numId="7" w16cid:durableId="2079012232">
    <w:abstractNumId w:val="20"/>
  </w:num>
  <w:num w:numId="8" w16cid:durableId="221602020">
    <w:abstractNumId w:val="15"/>
  </w:num>
  <w:num w:numId="9" w16cid:durableId="150297494">
    <w:abstractNumId w:val="17"/>
  </w:num>
  <w:num w:numId="10" w16cid:durableId="933241956">
    <w:abstractNumId w:val="14"/>
  </w:num>
  <w:num w:numId="11" w16cid:durableId="1539245728">
    <w:abstractNumId w:val="9"/>
  </w:num>
  <w:num w:numId="12" w16cid:durableId="278412937">
    <w:abstractNumId w:val="4"/>
  </w:num>
  <w:num w:numId="13" w16cid:durableId="2012759266">
    <w:abstractNumId w:val="22"/>
  </w:num>
  <w:num w:numId="14" w16cid:durableId="908152268">
    <w:abstractNumId w:val="0"/>
  </w:num>
  <w:num w:numId="15" w16cid:durableId="2098090383">
    <w:abstractNumId w:val="7"/>
  </w:num>
  <w:num w:numId="16" w16cid:durableId="2023701166">
    <w:abstractNumId w:val="13"/>
  </w:num>
  <w:num w:numId="17" w16cid:durableId="28536952">
    <w:abstractNumId w:val="19"/>
  </w:num>
  <w:num w:numId="18" w16cid:durableId="1054886711">
    <w:abstractNumId w:val="8"/>
  </w:num>
  <w:num w:numId="19" w16cid:durableId="972755720">
    <w:abstractNumId w:val="12"/>
  </w:num>
  <w:num w:numId="20" w16cid:durableId="91782103">
    <w:abstractNumId w:val="5"/>
  </w:num>
  <w:num w:numId="21" w16cid:durableId="1934893957">
    <w:abstractNumId w:val="21"/>
  </w:num>
  <w:num w:numId="22" w16cid:durableId="1191606214">
    <w:abstractNumId w:val="6"/>
  </w:num>
  <w:num w:numId="23" w16cid:durableId="91300560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0F96"/>
    <w:rsid w:val="0000218B"/>
    <w:rsid w:val="00002EB2"/>
    <w:rsid w:val="0000671C"/>
    <w:rsid w:val="00011D19"/>
    <w:rsid w:val="00013F53"/>
    <w:rsid w:val="00017080"/>
    <w:rsid w:val="000225FA"/>
    <w:rsid w:val="0002557F"/>
    <w:rsid w:val="000259F2"/>
    <w:rsid w:val="000279FF"/>
    <w:rsid w:val="000311FD"/>
    <w:rsid w:val="00033154"/>
    <w:rsid w:val="000409F7"/>
    <w:rsid w:val="00042048"/>
    <w:rsid w:val="00045961"/>
    <w:rsid w:val="000537DA"/>
    <w:rsid w:val="000542FC"/>
    <w:rsid w:val="000560E5"/>
    <w:rsid w:val="000614B6"/>
    <w:rsid w:val="0006395F"/>
    <w:rsid w:val="00097CFB"/>
    <w:rsid w:val="000A1DE1"/>
    <w:rsid w:val="000A2E85"/>
    <w:rsid w:val="000A37C4"/>
    <w:rsid w:val="000A4C6C"/>
    <w:rsid w:val="000A62A7"/>
    <w:rsid w:val="000B7D96"/>
    <w:rsid w:val="000C7A11"/>
    <w:rsid w:val="000D08FA"/>
    <w:rsid w:val="000D317F"/>
    <w:rsid w:val="000D5392"/>
    <w:rsid w:val="000D624E"/>
    <w:rsid w:val="000E33CA"/>
    <w:rsid w:val="000E5AF4"/>
    <w:rsid w:val="000F315B"/>
    <w:rsid w:val="000F5BAE"/>
    <w:rsid w:val="000F6375"/>
    <w:rsid w:val="000F6FCB"/>
    <w:rsid w:val="00107E43"/>
    <w:rsid w:val="001125C0"/>
    <w:rsid w:val="001146B9"/>
    <w:rsid w:val="00115ADC"/>
    <w:rsid w:val="001274F1"/>
    <w:rsid w:val="00134036"/>
    <w:rsid w:val="001350EC"/>
    <w:rsid w:val="001439E8"/>
    <w:rsid w:val="0015268B"/>
    <w:rsid w:val="00156AAA"/>
    <w:rsid w:val="001617AD"/>
    <w:rsid w:val="0016325C"/>
    <w:rsid w:val="001633BA"/>
    <w:rsid w:val="0016667F"/>
    <w:rsid w:val="00176B1B"/>
    <w:rsid w:val="00177C77"/>
    <w:rsid w:val="0019013B"/>
    <w:rsid w:val="00193A3D"/>
    <w:rsid w:val="00193B4D"/>
    <w:rsid w:val="001A1C3C"/>
    <w:rsid w:val="001A4796"/>
    <w:rsid w:val="001B458D"/>
    <w:rsid w:val="001B6693"/>
    <w:rsid w:val="001D5874"/>
    <w:rsid w:val="001E5A4A"/>
    <w:rsid w:val="001E5B8E"/>
    <w:rsid w:val="001E67B0"/>
    <w:rsid w:val="001F2899"/>
    <w:rsid w:val="001F43D7"/>
    <w:rsid w:val="00200897"/>
    <w:rsid w:val="00206586"/>
    <w:rsid w:val="0021098F"/>
    <w:rsid w:val="00210D43"/>
    <w:rsid w:val="00210E86"/>
    <w:rsid w:val="00211F9B"/>
    <w:rsid w:val="00212618"/>
    <w:rsid w:val="0021302E"/>
    <w:rsid w:val="00216532"/>
    <w:rsid w:val="0021698C"/>
    <w:rsid w:val="002208E9"/>
    <w:rsid w:val="002254A7"/>
    <w:rsid w:val="0022751F"/>
    <w:rsid w:val="002323FD"/>
    <w:rsid w:val="00240837"/>
    <w:rsid w:val="0024249B"/>
    <w:rsid w:val="002438AB"/>
    <w:rsid w:val="00253958"/>
    <w:rsid w:val="00260D54"/>
    <w:rsid w:val="00261CCB"/>
    <w:rsid w:val="002710ED"/>
    <w:rsid w:val="0027214F"/>
    <w:rsid w:val="00274B27"/>
    <w:rsid w:val="00276957"/>
    <w:rsid w:val="00276DCC"/>
    <w:rsid w:val="00282C29"/>
    <w:rsid w:val="0028337A"/>
    <w:rsid w:val="002858B8"/>
    <w:rsid w:val="002910E8"/>
    <w:rsid w:val="002A132F"/>
    <w:rsid w:val="002B23BB"/>
    <w:rsid w:val="002B2A67"/>
    <w:rsid w:val="002B5BAF"/>
    <w:rsid w:val="002D1C21"/>
    <w:rsid w:val="002D26C6"/>
    <w:rsid w:val="002E3595"/>
    <w:rsid w:val="002E42C5"/>
    <w:rsid w:val="002E5456"/>
    <w:rsid w:val="00301022"/>
    <w:rsid w:val="0031140A"/>
    <w:rsid w:val="00316655"/>
    <w:rsid w:val="0032294F"/>
    <w:rsid w:val="00330609"/>
    <w:rsid w:val="0033196B"/>
    <w:rsid w:val="003361BA"/>
    <w:rsid w:val="003364BA"/>
    <w:rsid w:val="003372E0"/>
    <w:rsid w:val="00341744"/>
    <w:rsid w:val="00343359"/>
    <w:rsid w:val="003465C1"/>
    <w:rsid w:val="00354804"/>
    <w:rsid w:val="00360394"/>
    <w:rsid w:val="003707AC"/>
    <w:rsid w:val="00371127"/>
    <w:rsid w:val="00371955"/>
    <w:rsid w:val="0037357E"/>
    <w:rsid w:val="00375EAD"/>
    <w:rsid w:val="003769A9"/>
    <w:rsid w:val="00376E8F"/>
    <w:rsid w:val="00385812"/>
    <w:rsid w:val="00387BE6"/>
    <w:rsid w:val="00392D0B"/>
    <w:rsid w:val="00393801"/>
    <w:rsid w:val="00394AE9"/>
    <w:rsid w:val="00394F3D"/>
    <w:rsid w:val="003963BD"/>
    <w:rsid w:val="003974A9"/>
    <w:rsid w:val="003A54E7"/>
    <w:rsid w:val="003A5601"/>
    <w:rsid w:val="003A6F97"/>
    <w:rsid w:val="003A7AFC"/>
    <w:rsid w:val="003A7DAA"/>
    <w:rsid w:val="003B1E34"/>
    <w:rsid w:val="003C0461"/>
    <w:rsid w:val="003C0A3C"/>
    <w:rsid w:val="003C60EF"/>
    <w:rsid w:val="003D1FD4"/>
    <w:rsid w:val="003D699A"/>
    <w:rsid w:val="003E4FFF"/>
    <w:rsid w:val="003E6988"/>
    <w:rsid w:val="003F15DD"/>
    <w:rsid w:val="003F197B"/>
    <w:rsid w:val="003F2DC1"/>
    <w:rsid w:val="004101A7"/>
    <w:rsid w:val="00414263"/>
    <w:rsid w:val="004169C8"/>
    <w:rsid w:val="00430EA5"/>
    <w:rsid w:val="0043361F"/>
    <w:rsid w:val="0044670F"/>
    <w:rsid w:val="00456407"/>
    <w:rsid w:val="0046430C"/>
    <w:rsid w:val="00464E9E"/>
    <w:rsid w:val="004659AB"/>
    <w:rsid w:val="00465C3B"/>
    <w:rsid w:val="004734C1"/>
    <w:rsid w:val="004813AC"/>
    <w:rsid w:val="00487996"/>
    <w:rsid w:val="004950BB"/>
    <w:rsid w:val="00495942"/>
    <w:rsid w:val="004A1123"/>
    <w:rsid w:val="004A560B"/>
    <w:rsid w:val="004A5EE8"/>
    <w:rsid w:val="004B29D9"/>
    <w:rsid w:val="004B37A0"/>
    <w:rsid w:val="004B5CFB"/>
    <w:rsid w:val="004C62CD"/>
    <w:rsid w:val="004D3AFD"/>
    <w:rsid w:val="004D54F6"/>
    <w:rsid w:val="004D55AC"/>
    <w:rsid w:val="004D6B39"/>
    <w:rsid w:val="004E0C3F"/>
    <w:rsid w:val="004E4A31"/>
    <w:rsid w:val="004E7195"/>
    <w:rsid w:val="004F330E"/>
    <w:rsid w:val="005008AB"/>
    <w:rsid w:val="005113EF"/>
    <w:rsid w:val="00512956"/>
    <w:rsid w:val="00530145"/>
    <w:rsid w:val="0053551E"/>
    <w:rsid w:val="00535FDB"/>
    <w:rsid w:val="00541753"/>
    <w:rsid w:val="005448AA"/>
    <w:rsid w:val="0054773A"/>
    <w:rsid w:val="00552075"/>
    <w:rsid w:val="005528B1"/>
    <w:rsid w:val="005528D7"/>
    <w:rsid w:val="00555A94"/>
    <w:rsid w:val="005661BA"/>
    <w:rsid w:val="0057403B"/>
    <w:rsid w:val="00590B73"/>
    <w:rsid w:val="00591406"/>
    <w:rsid w:val="005924C3"/>
    <w:rsid w:val="005A7EEE"/>
    <w:rsid w:val="005B1ACF"/>
    <w:rsid w:val="005B6E12"/>
    <w:rsid w:val="005E0663"/>
    <w:rsid w:val="005F13DF"/>
    <w:rsid w:val="006027DB"/>
    <w:rsid w:val="00605714"/>
    <w:rsid w:val="00617319"/>
    <w:rsid w:val="006245CA"/>
    <w:rsid w:val="006279EA"/>
    <w:rsid w:val="00627F81"/>
    <w:rsid w:val="00630F6C"/>
    <w:rsid w:val="00631148"/>
    <w:rsid w:val="006343AF"/>
    <w:rsid w:val="006509EE"/>
    <w:rsid w:val="00662C2D"/>
    <w:rsid w:val="0068389A"/>
    <w:rsid w:val="00684266"/>
    <w:rsid w:val="0068642C"/>
    <w:rsid w:val="00697BC9"/>
    <w:rsid w:val="006A1B90"/>
    <w:rsid w:val="006A60E2"/>
    <w:rsid w:val="006B0A76"/>
    <w:rsid w:val="006B3C9E"/>
    <w:rsid w:val="006C5657"/>
    <w:rsid w:val="006D06D9"/>
    <w:rsid w:val="006D15FA"/>
    <w:rsid w:val="006D1E87"/>
    <w:rsid w:val="006D3724"/>
    <w:rsid w:val="006D48DC"/>
    <w:rsid w:val="006D77A6"/>
    <w:rsid w:val="006E1271"/>
    <w:rsid w:val="006E6EA3"/>
    <w:rsid w:val="006F3253"/>
    <w:rsid w:val="006F69BA"/>
    <w:rsid w:val="00702020"/>
    <w:rsid w:val="00702109"/>
    <w:rsid w:val="007052D2"/>
    <w:rsid w:val="007162AA"/>
    <w:rsid w:val="00717C0E"/>
    <w:rsid w:val="0072610D"/>
    <w:rsid w:val="00733891"/>
    <w:rsid w:val="00740977"/>
    <w:rsid w:val="00742525"/>
    <w:rsid w:val="00745255"/>
    <w:rsid w:val="00755FD5"/>
    <w:rsid w:val="00757006"/>
    <w:rsid w:val="00761CDE"/>
    <w:rsid w:val="00765CE3"/>
    <w:rsid w:val="00773D5D"/>
    <w:rsid w:val="00773FDC"/>
    <w:rsid w:val="007742EE"/>
    <w:rsid w:val="00774FFF"/>
    <w:rsid w:val="0077654A"/>
    <w:rsid w:val="00777651"/>
    <w:rsid w:val="00777D28"/>
    <w:rsid w:val="00786D88"/>
    <w:rsid w:val="00791E51"/>
    <w:rsid w:val="007A02CB"/>
    <w:rsid w:val="007A477E"/>
    <w:rsid w:val="007A6C87"/>
    <w:rsid w:val="007B0B87"/>
    <w:rsid w:val="007B294E"/>
    <w:rsid w:val="007B3F4B"/>
    <w:rsid w:val="007B7347"/>
    <w:rsid w:val="007C5882"/>
    <w:rsid w:val="007D10F3"/>
    <w:rsid w:val="007D3041"/>
    <w:rsid w:val="007D5816"/>
    <w:rsid w:val="007E6675"/>
    <w:rsid w:val="007F3CDB"/>
    <w:rsid w:val="007F70EF"/>
    <w:rsid w:val="007F7722"/>
    <w:rsid w:val="0081141C"/>
    <w:rsid w:val="008138CA"/>
    <w:rsid w:val="00823F57"/>
    <w:rsid w:val="008250AE"/>
    <w:rsid w:val="008300EB"/>
    <w:rsid w:val="008314A4"/>
    <w:rsid w:val="008321C2"/>
    <w:rsid w:val="00840306"/>
    <w:rsid w:val="0084295B"/>
    <w:rsid w:val="00847192"/>
    <w:rsid w:val="008577ED"/>
    <w:rsid w:val="00861D96"/>
    <w:rsid w:val="0086264C"/>
    <w:rsid w:val="00863671"/>
    <w:rsid w:val="00863E4C"/>
    <w:rsid w:val="008641DF"/>
    <w:rsid w:val="008671C5"/>
    <w:rsid w:val="00867604"/>
    <w:rsid w:val="0087290B"/>
    <w:rsid w:val="00873FC6"/>
    <w:rsid w:val="0087744D"/>
    <w:rsid w:val="00882EA0"/>
    <w:rsid w:val="00884492"/>
    <w:rsid w:val="00893959"/>
    <w:rsid w:val="00894816"/>
    <w:rsid w:val="008A3C1F"/>
    <w:rsid w:val="008A5EF2"/>
    <w:rsid w:val="008B593E"/>
    <w:rsid w:val="008B70B5"/>
    <w:rsid w:val="008C12E7"/>
    <w:rsid w:val="008C237E"/>
    <w:rsid w:val="008E3091"/>
    <w:rsid w:val="008E3A5B"/>
    <w:rsid w:val="008E7C8F"/>
    <w:rsid w:val="008F4373"/>
    <w:rsid w:val="008F4741"/>
    <w:rsid w:val="00912C53"/>
    <w:rsid w:val="00914EA0"/>
    <w:rsid w:val="009203B0"/>
    <w:rsid w:val="00920DB8"/>
    <w:rsid w:val="0092509F"/>
    <w:rsid w:val="00930045"/>
    <w:rsid w:val="00930D2C"/>
    <w:rsid w:val="009322DD"/>
    <w:rsid w:val="00932827"/>
    <w:rsid w:val="0094046F"/>
    <w:rsid w:val="00943E16"/>
    <w:rsid w:val="009471A4"/>
    <w:rsid w:val="0095208A"/>
    <w:rsid w:val="009677CE"/>
    <w:rsid w:val="009730E5"/>
    <w:rsid w:val="00973AED"/>
    <w:rsid w:val="009908FF"/>
    <w:rsid w:val="00995505"/>
    <w:rsid w:val="00995C23"/>
    <w:rsid w:val="009A1B78"/>
    <w:rsid w:val="009A76BC"/>
    <w:rsid w:val="009B5034"/>
    <w:rsid w:val="009B5557"/>
    <w:rsid w:val="009B7591"/>
    <w:rsid w:val="009C0757"/>
    <w:rsid w:val="009C0F1A"/>
    <w:rsid w:val="009C4428"/>
    <w:rsid w:val="009C4A70"/>
    <w:rsid w:val="009C7EB3"/>
    <w:rsid w:val="009D48CD"/>
    <w:rsid w:val="009E1001"/>
    <w:rsid w:val="009F3B04"/>
    <w:rsid w:val="00A12D0D"/>
    <w:rsid w:val="00A2404C"/>
    <w:rsid w:val="00A24FE6"/>
    <w:rsid w:val="00A34968"/>
    <w:rsid w:val="00A36318"/>
    <w:rsid w:val="00A3672D"/>
    <w:rsid w:val="00A4783C"/>
    <w:rsid w:val="00A57873"/>
    <w:rsid w:val="00A65101"/>
    <w:rsid w:val="00A6565A"/>
    <w:rsid w:val="00A713D7"/>
    <w:rsid w:val="00A7236E"/>
    <w:rsid w:val="00A85225"/>
    <w:rsid w:val="00A85C4B"/>
    <w:rsid w:val="00A9084D"/>
    <w:rsid w:val="00A9345A"/>
    <w:rsid w:val="00A94BD3"/>
    <w:rsid w:val="00AB4671"/>
    <w:rsid w:val="00AC2C9A"/>
    <w:rsid w:val="00AD436C"/>
    <w:rsid w:val="00AE1CA0"/>
    <w:rsid w:val="00AE5779"/>
    <w:rsid w:val="00B00027"/>
    <w:rsid w:val="00B003DD"/>
    <w:rsid w:val="00B04CD3"/>
    <w:rsid w:val="00B05676"/>
    <w:rsid w:val="00B13774"/>
    <w:rsid w:val="00B13F59"/>
    <w:rsid w:val="00B206F3"/>
    <w:rsid w:val="00B20DF4"/>
    <w:rsid w:val="00B231AA"/>
    <w:rsid w:val="00B26B5A"/>
    <w:rsid w:val="00B3198E"/>
    <w:rsid w:val="00B403BF"/>
    <w:rsid w:val="00B4203F"/>
    <w:rsid w:val="00B44326"/>
    <w:rsid w:val="00B463AA"/>
    <w:rsid w:val="00B53191"/>
    <w:rsid w:val="00B54D25"/>
    <w:rsid w:val="00B5765A"/>
    <w:rsid w:val="00B608D9"/>
    <w:rsid w:val="00B629AC"/>
    <w:rsid w:val="00B63B5C"/>
    <w:rsid w:val="00B64374"/>
    <w:rsid w:val="00B7391C"/>
    <w:rsid w:val="00B73B4B"/>
    <w:rsid w:val="00B762ED"/>
    <w:rsid w:val="00B82BB4"/>
    <w:rsid w:val="00B87C86"/>
    <w:rsid w:val="00B9048B"/>
    <w:rsid w:val="00B90DBC"/>
    <w:rsid w:val="00B93C5A"/>
    <w:rsid w:val="00B94B75"/>
    <w:rsid w:val="00B97EDC"/>
    <w:rsid w:val="00BA098C"/>
    <w:rsid w:val="00BA4055"/>
    <w:rsid w:val="00BA5931"/>
    <w:rsid w:val="00BA6530"/>
    <w:rsid w:val="00BA6DC1"/>
    <w:rsid w:val="00BA7FB6"/>
    <w:rsid w:val="00BB01BB"/>
    <w:rsid w:val="00BB101C"/>
    <w:rsid w:val="00BC08A9"/>
    <w:rsid w:val="00BD1956"/>
    <w:rsid w:val="00BD2828"/>
    <w:rsid w:val="00BE705B"/>
    <w:rsid w:val="00BF1EB0"/>
    <w:rsid w:val="00BF664C"/>
    <w:rsid w:val="00C12BB8"/>
    <w:rsid w:val="00C2017D"/>
    <w:rsid w:val="00C20BFE"/>
    <w:rsid w:val="00C32378"/>
    <w:rsid w:val="00C405BA"/>
    <w:rsid w:val="00C46C68"/>
    <w:rsid w:val="00C46D29"/>
    <w:rsid w:val="00C502B7"/>
    <w:rsid w:val="00C5194A"/>
    <w:rsid w:val="00C5791C"/>
    <w:rsid w:val="00C66BC6"/>
    <w:rsid w:val="00C709DA"/>
    <w:rsid w:val="00C73712"/>
    <w:rsid w:val="00C73846"/>
    <w:rsid w:val="00C74F5D"/>
    <w:rsid w:val="00C82F45"/>
    <w:rsid w:val="00C836FB"/>
    <w:rsid w:val="00C867AD"/>
    <w:rsid w:val="00C876B4"/>
    <w:rsid w:val="00C90D85"/>
    <w:rsid w:val="00CA078A"/>
    <w:rsid w:val="00CB4B11"/>
    <w:rsid w:val="00CB503F"/>
    <w:rsid w:val="00CC1778"/>
    <w:rsid w:val="00CC5B29"/>
    <w:rsid w:val="00CC7513"/>
    <w:rsid w:val="00CD330F"/>
    <w:rsid w:val="00CD6286"/>
    <w:rsid w:val="00CD6445"/>
    <w:rsid w:val="00CD726E"/>
    <w:rsid w:val="00CE0F47"/>
    <w:rsid w:val="00CE575B"/>
    <w:rsid w:val="00CF3DE8"/>
    <w:rsid w:val="00CF5F0E"/>
    <w:rsid w:val="00D02C5A"/>
    <w:rsid w:val="00D048D6"/>
    <w:rsid w:val="00D0493F"/>
    <w:rsid w:val="00D04AA1"/>
    <w:rsid w:val="00D10938"/>
    <w:rsid w:val="00D15339"/>
    <w:rsid w:val="00D2721C"/>
    <w:rsid w:val="00D276F5"/>
    <w:rsid w:val="00D31E06"/>
    <w:rsid w:val="00D3350C"/>
    <w:rsid w:val="00D352AF"/>
    <w:rsid w:val="00D354CA"/>
    <w:rsid w:val="00D46CE7"/>
    <w:rsid w:val="00D47AC6"/>
    <w:rsid w:val="00D50D6A"/>
    <w:rsid w:val="00D56F91"/>
    <w:rsid w:val="00D77007"/>
    <w:rsid w:val="00D81001"/>
    <w:rsid w:val="00D816F9"/>
    <w:rsid w:val="00D83760"/>
    <w:rsid w:val="00D85D8F"/>
    <w:rsid w:val="00D8671C"/>
    <w:rsid w:val="00D86E34"/>
    <w:rsid w:val="00D91390"/>
    <w:rsid w:val="00D94D1B"/>
    <w:rsid w:val="00D96CFA"/>
    <w:rsid w:val="00DA2457"/>
    <w:rsid w:val="00DA2B06"/>
    <w:rsid w:val="00DA4809"/>
    <w:rsid w:val="00DA57C3"/>
    <w:rsid w:val="00DA7012"/>
    <w:rsid w:val="00DB00D7"/>
    <w:rsid w:val="00DB2253"/>
    <w:rsid w:val="00DB39BA"/>
    <w:rsid w:val="00DC3855"/>
    <w:rsid w:val="00DC60AE"/>
    <w:rsid w:val="00DD470E"/>
    <w:rsid w:val="00DD7764"/>
    <w:rsid w:val="00DE2592"/>
    <w:rsid w:val="00DE3A77"/>
    <w:rsid w:val="00DE3B81"/>
    <w:rsid w:val="00DE465A"/>
    <w:rsid w:val="00DF6FC4"/>
    <w:rsid w:val="00E05949"/>
    <w:rsid w:val="00E05AF0"/>
    <w:rsid w:val="00E140EF"/>
    <w:rsid w:val="00E15FD0"/>
    <w:rsid w:val="00E16F59"/>
    <w:rsid w:val="00E176A8"/>
    <w:rsid w:val="00E242A8"/>
    <w:rsid w:val="00E25302"/>
    <w:rsid w:val="00E26E00"/>
    <w:rsid w:val="00E274B8"/>
    <w:rsid w:val="00E27955"/>
    <w:rsid w:val="00E33446"/>
    <w:rsid w:val="00E3765B"/>
    <w:rsid w:val="00E43A8E"/>
    <w:rsid w:val="00E469B4"/>
    <w:rsid w:val="00E64CD2"/>
    <w:rsid w:val="00E66325"/>
    <w:rsid w:val="00E675DA"/>
    <w:rsid w:val="00E72707"/>
    <w:rsid w:val="00E803D8"/>
    <w:rsid w:val="00E8283C"/>
    <w:rsid w:val="00E84B64"/>
    <w:rsid w:val="00E869E6"/>
    <w:rsid w:val="00E86B49"/>
    <w:rsid w:val="00E907A2"/>
    <w:rsid w:val="00E979BA"/>
    <w:rsid w:val="00E97B45"/>
    <w:rsid w:val="00E97D26"/>
    <w:rsid w:val="00EA3D42"/>
    <w:rsid w:val="00EA53BF"/>
    <w:rsid w:val="00EB185E"/>
    <w:rsid w:val="00EB3126"/>
    <w:rsid w:val="00EB31B8"/>
    <w:rsid w:val="00EB49F0"/>
    <w:rsid w:val="00EC169A"/>
    <w:rsid w:val="00EC4223"/>
    <w:rsid w:val="00EC511B"/>
    <w:rsid w:val="00EC58DF"/>
    <w:rsid w:val="00ED71F6"/>
    <w:rsid w:val="00EE4AF1"/>
    <w:rsid w:val="00EF1CFF"/>
    <w:rsid w:val="00EF3CFB"/>
    <w:rsid w:val="00EF5A45"/>
    <w:rsid w:val="00EF781C"/>
    <w:rsid w:val="00F00ADA"/>
    <w:rsid w:val="00F02908"/>
    <w:rsid w:val="00F0586E"/>
    <w:rsid w:val="00F10A6A"/>
    <w:rsid w:val="00F170D3"/>
    <w:rsid w:val="00F2112E"/>
    <w:rsid w:val="00F40FCA"/>
    <w:rsid w:val="00F41AB1"/>
    <w:rsid w:val="00F41B88"/>
    <w:rsid w:val="00F4242A"/>
    <w:rsid w:val="00F429B1"/>
    <w:rsid w:val="00F43932"/>
    <w:rsid w:val="00F46EC0"/>
    <w:rsid w:val="00F54382"/>
    <w:rsid w:val="00F57F1E"/>
    <w:rsid w:val="00F675EB"/>
    <w:rsid w:val="00F712A8"/>
    <w:rsid w:val="00F72AA6"/>
    <w:rsid w:val="00F73C46"/>
    <w:rsid w:val="00F758B3"/>
    <w:rsid w:val="00F773B7"/>
    <w:rsid w:val="00F97378"/>
    <w:rsid w:val="00FA1EE9"/>
    <w:rsid w:val="00FA5177"/>
    <w:rsid w:val="00FA575E"/>
    <w:rsid w:val="00FB25B5"/>
    <w:rsid w:val="00FB4D1F"/>
    <w:rsid w:val="00FB5F45"/>
    <w:rsid w:val="00FB726E"/>
    <w:rsid w:val="00FC06E3"/>
    <w:rsid w:val="00FC168D"/>
    <w:rsid w:val="00FC438B"/>
    <w:rsid w:val="00FC6B42"/>
    <w:rsid w:val="00FC787F"/>
    <w:rsid w:val="00FD04C8"/>
    <w:rsid w:val="00FD0FDA"/>
    <w:rsid w:val="00FD21FE"/>
    <w:rsid w:val="00FE0F83"/>
    <w:rsid w:val="00FE4A1C"/>
    <w:rsid w:val="00FE4D04"/>
    <w:rsid w:val="00FE738E"/>
    <w:rsid w:val="00FF366C"/>
    <w:rsid w:val="00FF3A6D"/>
    <w:rsid w:val="01962D74"/>
    <w:rsid w:val="01A42EDD"/>
    <w:rsid w:val="0251E13C"/>
    <w:rsid w:val="03094CFE"/>
    <w:rsid w:val="03DFA0C6"/>
    <w:rsid w:val="04204B91"/>
    <w:rsid w:val="049DA242"/>
    <w:rsid w:val="04FD88D3"/>
    <w:rsid w:val="05775373"/>
    <w:rsid w:val="05B8DDA9"/>
    <w:rsid w:val="06DB10A7"/>
    <w:rsid w:val="06F4BFFE"/>
    <w:rsid w:val="0711F789"/>
    <w:rsid w:val="072FA3FA"/>
    <w:rsid w:val="073673A4"/>
    <w:rsid w:val="078BAE43"/>
    <w:rsid w:val="08582E71"/>
    <w:rsid w:val="08F131AD"/>
    <w:rsid w:val="092A7985"/>
    <w:rsid w:val="0BC05692"/>
    <w:rsid w:val="0BC71EFA"/>
    <w:rsid w:val="0CAA2521"/>
    <w:rsid w:val="0DC6664D"/>
    <w:rsid w:val="0DFBD98C"/>
    <w:rsid w:val="0E314365"/>
    <w:rsid w:val="0F5BA8E7"/>
    <w:rsid w:val="0FB80387"/>
    <w:rsid w:val="0FEBF0ED"/>
    <w:rsid w:val="0FFA26F2"/>
    <w:rsid w:val="105D2920"/>
    <w:rsid w:val="1083B965"/>
    <w:rsid w:val="11967382"/>
    <w:rsid w:val="125FC3D9"/>
    <w:rsid w:val="1410A47D"/>
    <w:rsid w:val="1539FD79"/>
    <w:rsid w:val="1584ADE7"/>
    <w:rsid w:val="15CCD22F"/>
    <w:rsid w:val="15E284AF"/>
    <w:rsid w:val="16CB39A5"/>
    <w:rsid w:val="16F47536"/>
    <w:rsid w:val="174FDA74"/>
    <w:rsid w:val="17D12FDA"/>
    <w:rsid w:val="18242BA1"/>
    <w:rsid w:val="18925A95"/>
    <w:rsid w:val="18E8DEAB"/>
    <w:rsid w:val="19C91A13"/>
    <w:rsid w:val="1A07F5A4"/>
    <w:rsid w:val="1A110D23"/>
    <w:rsid w:val="1A121ED4"/>
    <w:rsid w:val="1C162B4E"/>
    <w:rsid w:val="1C2FD85C"/>
    <w:rsid w:val="1D80FDF2"/>
    <w:rsid w:val="1E589A72"/>
    <w:rsid w:val="1EE96E10"/>
    <w:rsid w:val="1F51B161"/>
    <w:rsid w:val="201FA8BA"/>
    <w:rsid w:val="205E90DB"/>
    <w:rsid w:val="206DF165"/>
    <w:rsid w:val="20728702"/>
    <w:rsid w:val="21A508EB"/>
    <w:rsid w:val="21B75396"/>
    <w:rsid w:val="22898AD0"/>
    <w:rsid w:val="22F39B86"/>
    <w:rsid w:val="22F3A5F3"/>
    <w:rsid w:val="23F75A10"/>
    <w:rsid w:val="249A5F5A"/>
    <w:rsid w:val="24C81B70"/>
    <w:rsid w:val="25433170"/>
    <w:rsid w:val="26465719"/>
    <w:rsid w:val="26A2368A"/>
    <w:rsid w:val="26EC28EC"/>
    <w:rsid w:val="27140193"/>
    <w:rsid w:val="27257B8F"/>
    <w:rsid w:val="27C411B5"/>
    <w:rsid w:val="27D2EBFE"/>
    <w:rsid w:val="27FC31E5"/>
    <w:rsid w:val="2854D4F5"/>
    <w:rsid w:val="2894CBDE"/>
    <w:rsid w:val="28FA9B34"/>
    <w:rsid w:val="2A08C6E5"/>
    <w:rsid w:val="2AC25C3C"/>
    <w:rsid w:val="2B046AD7"/>
    <w:rsid w:val="2B0A4DD0"/>
    <w:rsid w:val="2B2432CE"/>
    <w:rsid w:val="2B4BD69A"/>
    <w:rsid w:val="2B5053CB"/>
    <w:rsid w:val="2B53575D"/>
    <w:rsid w:val="2BC41EB3"/>
    <w:rsid w:val="2C2E1244"/>
    <w:rsid w:val="2C9B366E"/>
    <w:rsid w:val="2D67B428"/>
    <w:rsid w:val="2D6FE69B"/>
    <w:rsid w:val="2E9A5F76"/>
    <w:rsid w:val="303325FF"/>
    <w:rsid w:val="303D6BB4"/>
    <w:rsid w:val="30459BC2"/>
    <w:rsid w:val="305A108A"/>
    <w:rsid w:val="30850455"/>
    <w:rsid w:val="30AB7F6C"/>
    <w:rsid w:val="32D293E9"/>
    <w:rsid w:val="331A6DB9"/>
    <w:rsid w:val="331F4EC6"/>
    <w:rsid w:val="334E6D1B"/>
    <w:rsid w:val="347931A0"/>
    <w:rsid w:val="3486112C"/>
    <w:rsid w:val="34A7EC1A"/>
    <w:rsid w:val="34E9E4D6"/>
    <w:rsid w:val="35274C63"/>
    <w:rsid w:val="359783E2"/>
    <w:rsid w:val="36436CAD"/>
    <w:rsid w:val="36855620"/>
    <w:rsid w:val="36DA1CB6"/>
    <w:rsid w:val="3700B731"/>
    <w:rsid w:val="37110529"/>
    <w:rsid w:val="3829FDAC"/>
    <w:rsid w:val="3A0EF623"/>
    <w:rsid w:val="3A67AAF7"/>
    <w:rsid w:val="3BF0DFCC"/>
    <w:rsid w:val="3CBCDD73"/>
    <w:rsid w:val="3D30B0F3"/>
    <w:rsid w:val="3D584B13"/>
    <w:rsid w:val="3DC0CF49"/>
    <w:rsid w:val="3E1675FD"/>
    <w:rsid w:val="3E866118"/>
    <w:rsid w:val="4011043C"/>
    <w:rsid w:val="40856A0F"/>
    <w:rsid w:val="4125BF7D"/>
    <w:rsid w:val="414F3111"/>
    <w:rsid w:val="41BD23A0"/>
    <w:rsid w:val="4277DC52"/>
    <w:rsid w:val="42803939"/>
    <w:rsid w:val="4384F5F7"/>
    <w:rsid w:val="43CA16EC"/>
    <w:rsid w:val="4435947D"/>
    <w:rsid w:val="44B3304B"/>
    <w:rsid w:val="4562B383"/>
    <w:rsid w:val="46CA6ED3"/>
    <w:rsid w:val="470767FE"/>
    <w:rsid w:val="474B0FA1"/>
    <w:rsid w:val="47D1A1A2"/>
    <w:rsid w:val="47F33ADC"/>
    <w:rsid w:val="4835C8B6"/>
    <w:rsid w:val="4930F55F"/>
    <w:rsid w:val="496D9C68"/>
    <w:rsid w:val="4A272347"/>
    <w:rsid w:val="4A5C61CA"/>
    <w:rsid w:val="4AFD758A"/>
    <w:rsid w:val="4BEA1CCC"/>
    <w:rsid w:val="4D4744C7"/>
    <w:rsid w:val="4E7E3912"/>
    <w:rsid w:val="4E9C9491"/>
    <w:rsid w:val="4EAD7B68"/>
    <w:rsid w:val="4F0A6F2F"/>
    <w:rsid w:val="502017FA"/>
    <w:rsid w:val="50207DFD"/>
    <w:rsid w:val="512B64BC"/>
    <w:rsid w:val="516E64F0"/>
    <w:rsid w:val="5203D0A5"/>
    <w:rsid w:val="52FD1F6D"/>
    <w:rsid w:val="53DC6751"/>
    <w:rsid w:val="540DE2E3"/>
    <w:rsid w:val="54C58626"/>
    <w:rsid w:val="54C8200B"/>
    <w:rsid w:val="55091B65"/>
    <w:rsid w:val="552949BC"/>
    <w:rsid w:val="552BF014"/>
    <w:rsid w:val="55F67B35"/>
    <w:rsid w:val="5608F8A4"/>
    <w:rsid w:val="564B34A0"/>
    <w:rsid w:val="567B87C4"/>
    <w:rsid w:val="568D8E58"/>
    <w:rsid w:val="56A4C358"/>
    <w:rsid w:val="575C2242"/>
    <w:rsid w:val="578DD0B6"/>
    <w:rsid w:val="57A57AB0"/>
    <w:rsid w:val="5913AA67"/>
    <w:rsid w:val="594B29E3"/>
    <w:rsid w:val="59EFF2C8"/>
    <w:rsid w:val="5A084A74"/>
    <w:rsid w:val="5A207AF1"/>
    <w:rsid w:val="5B538F1E"/>
    <w:rsid w:val="5B67EEF6"/>
    <w:rsid w:val="5C144C57"/>
    <w:rsid w:val="5C7E5C33"/>
    <w:rsid w:val="5CE34461"/>
    <w:rsid w:val="5D924C4F"/>
    <w:rsid w:val="5DAC31B3"/>
    <w:rsid w:val="5DB64645"/>
    <w:rsid w:val="5DF584CD"/>
    <w:rsid w:val="5F6FFFC8"/>
    <w:rsid w:val="5FE12C9E"/>
    <w:rsid w:val="60E1A9B0"/>
    <w:rsid w:val="6120DF8B"/>
    <w:rsid w:val="618B633B"/>
    <w:rsid w:val="61DB57A2"/>
    <w:rsid w:val="628AFAF1"/>
    <w:rsid w:val="62D1AA0A"/>
    <w:rsid w:val="63D9E0F6"/>
    <w:rsid w:val="63F7353A"/>
    <w:rsid w:val="6538497E"/>
    <w:rsid w:val="65BE32FA"/>
    <w:rsid w:val="66AFFD0D"/>
    <w:rsid w:val="66DB81A1"/>
    <w:rsid w:val="67D7BA03"/>
    <w:rsid w:val="68554517"/>
    <w:rsid w:val="687B31A7"/>
    <w:rsid w:val="68A0A61A"/>
    <w:rsid w:val="68C4E7C3"/>
    <w:rsid w:val="693CCF38"/>
    <w:rsid w:val="6A22B0AF"/>
    <w:rsid w:val="6A54DEFB"/>
    <w:rsid w:val="6A6FB97F"/>
    <w:rsid w:val="6A7558B3"/>
    <w:rsid w:val="6A8A6B1B"/>
    <w:rsid w:val="6A93879F"/>
    <w:rsid w:val="6BE065D4"/>
    <w:rsid w:val="6C1AD1D9"/>
    <w:rsid w:val="6CFDDBB4"/>
    <w:rsid w:val="6E15A447"/>
    <w:rsid w:val="6FA38C03"/>
    <w:rsid w:val="712D3643"/>
    <w:rsid w:val="717E45BF"/>
    <w:rsid w:val="735FE353"/>
    <w:rsid w:val="73938B34"/>
    <w:rsid w:val="739BF4FE"/>
    <w:rsid w:val="73A591A0"/>
    <w:rsid w:val="7498FF2E"/>
    <w:rsid w:val="769ECBBB"/>
    <w:rsid w:val="76A3DCED"/>
    <w:rsid w:val="76E31522"/>
    <w:rsid w:val="76E38E6D"/>
    <w:rsid w:val="77B53384"/>
    <w:rsid w:val="78665D24"/>
    <w:rsid w:val="78ED5BF8"/>
    <w:rsid w:val="7906C09B"/>
    <w:rsid w:val="790EB6CD"/>
    <w:rsid w:val="791228F4"/>
    <w:rsid w:val="7915D967"/>
    <w:rsid w:val="79610DBD"/>
    <w:rsid w:val="79E43E15"/>
    <w:rsid w:val="79F38146"/>
    <w:rsid w:val="7A1314CC"/>
    <w:rsid w:val="7A208267"/>
    <w:rsid w:val="7B14EFFA"/>
    <w:rsid w:val="7C2F94FD"/>
    <w:rsid w:val="7CD244BE"/>
    <w:rsid w:val="7D845A95"/>
    <w:rsid w:val="7DC09324"/>
    <w:rsid w:val="7EB08CD6"/>
    <w:rsid w:val="7EF1C5E8"/>
    <w:rsid w:val="7F12B42C"/>
    <w:rsid w:val="7F467D95"/>
    <w:rsid w:val="7F62A2E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99AB33"/>
  <w15:chartTrackingRefBased/>
  <w15:docId w15:val="{468D4C7C-4C87-46E7-9BE7-21D693DE9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paragraph" w:styleId="Heading1">
    <w:name w:val="heading 1"/>
    <w:basedOn w:val="Normal"/>
    <w:next w:val="Normal"/>
    <w:link w:val="Heading1Char"/>
    <w:qFormat/>
    <w:rsid w:val="0068642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semiHidden/>
    <w:unhideWhenUsed/>
    <w:qFormat/>
    <w:rsid w:val="00E140E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semiHidden/>
    <w:unhideWhenUsed/>
    <w:qFormat/>
    <w:rsid w:val="00E140EF"/>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FootnoteText">
    <w:name w:val="footnote text"/>
    <w:basedOn w:val="Normal"/>
    <w:link w:val="FootnoteTextChar"/>
    <w:uiPriority w:val="99"/>
    <w:unhideWhenUsed/>
    <w:rsid w:val="00863E4C"/>
    <w:rPr>
      <w:rFonts w:ascii="Calibri" w:eastAsia="Calibri" w:hAnsi="Calibri"/>
      <w:sz w:val="20"/>
    </w:rPr>
  </w:style>
  <w:style w:type="character" w:customStyle="1" w:styleId="FootnoteTextChar">
    <w:name w:val="Footnote Text Char"/>
    <w:basedOn w:val="DefaultParagraphFont"/>
    <w:link w:val="FootnoteText"/>
    <w:uiPriority w:val="99"/>
    <w:rsid w:val="00863E4C"/>
    <w:rPr>
      <w:rFonts w:ascii="Calibri" w:eastAsia="Calibri" w:hAnsi="Calibri"/>
    </w:rPr>
  </w:style>
  <w:style w:type="character" w:styleId="FootnoteReference">
    <w:name w:val="footnote reference"/>
    <w:uiPriority w:val="99"/>
    <w:unhideWhenUsed/>
    <w:rsid w:val="00863E4C"/>
    <w:rPr>
      <w:vertAlign w:val="superscript"/>
    </w:rPr>
  </w:style>
  <w:style w:type="paragraph" w:styleId="Header">
    <w:name w:val="header"/>
    <w:basedOn w:val="Normal"/>
    <w:link w:val="HeaderChar"/>
    <w:rsid w:val="008577ED"/>
    <w:pPr>
      <w:tabs>
        <w:tab w:val="center" w:pos="4680"/>
        <w:tab w:val="right" w:pos="9360"/>
      </w:tabs>
    </w:pPr>
  </w:style>
  <w:style w:type="character" w:customStyle="1" w:styleId="HeaderChar">
    <w:name w:val="Header Char"/>
    <w:basedOn w:val="DefaultParagraphFont"/>
    <w:link w:val="Header"/>
    <w:rsid w:val="008577ED"/>
    <w:rPr>
      <w:sz w:val="24"/>
    </w:rPr>
  </w:style>
  <w:style w:type="paragraph" w:styleId="Footer">
    <w:name w:val="footer"/>
    <w:basedOn w:val="Normal"/>
    <w:link w:val="FooterChar"/>
    <w:uiPriority w:val="99"/>
    <w:rsid w:val="008577ED"/>
    <w:pPr>
      <w:tabs>
        <w:tab w:val="center" w:pos="4680"/>
        <w:tab w:val="right" w:pos="9360"/>
      </w:tabs>
    </w:pPr>
  </w:style>
  <w:style w:type="character" w:customStyle="1" w:styleId="FooterChar">
    <w:name w:val="Footer Char"/>
    <w:basedOn w:val="DefaultParagraphFont"/>
    <w:link w:val="Footer"/>
    <w:uiPriority w:val="99"/>
    <w:rsid w:val="008577ED"/>
    <w:rPr>
      <w:sz w:val="24"/>
    </w:rPr>
  </w:style>
  <w:style w:type="paragraph" w:customStyle="1" w:styleId="xmsonormal">
    <w:name w:val="x_msonormal"/>
    <w:basedOn w:val="Normal"/>
    <w:rsid w:val="00E33446"/>
    <w:rPr>
      <w:rFonts w:ascii="Aptos" w:eastAsiaTheme="minorHAnsi" w:hAnsi="Aptos" w:cs="Aptos"/>
      <w:szCs w:val="24"/>
    </w:rPr>
  </w:style>
  <w:style w:type="paragraph" w:customStyle="1" w:styleId="paragraph">
    <w:name w:val="paragraph"/>
    <w:basedOn w:val="Normal"/>
    <w:rsid w:val="00394F3D"/>
    <w:pPr>
      <w:spacing w:before="100" w:beforeAutospacing="1" w:after="100" w:afterAutospacing="1"/>
    </w:pPr>
    <w:rPr>
      <w:szCs w:val="24"/>
    </w:rPr>
  </w:style>
  <w:style w:type="character" w:customStyle="1" w:styleId="normaltextrun">
    <w:name w:val="normaltextrun"/>
    <w:basedOn w:val="DefaultParagraphFont"/>
    <w:rsid w:val="00394F3D"/>
  </w:style>
  <w:style w:type="character" w:customStyle="1" w:styleId="eop">
    <w:name w:val="eop"/>
    <w:basedOn w:val="DefaultParagraphFont"/>
    <w:rsid w:val="00394F3D"/>
  </w:style>
  <w:style w:type="character" w:styleId="UnresolvedMention">
    <w:name w:val="Unresolved Mention"/>
    <w:basedOn w:val="DefaultParagraphFont"/>
    <w:uiPriority w:val="99"/>
    <w:semiHidden/>
    <w:unhideWhenUsed/>
    <w:rsid w:val="00DE3B81"/>
    <w:rPr>
      <w:color w:val="605E5C"/>
      <w:shd w:val="clear" w:color="auto" w:fill="E1DFDD"/>
    </w:rPr>
  </w:style>
  <w:style w:type="character" w:customStyle="1" w:styleId="Heading1Char">
    <w:name w:val="Heading 1 Char"/>
    <w:basedOn w:val="DefaultParagraphFont"/>
    <w:link w:val="Heading1"/>
    <w:rsid w:val="0068642C"/>
    <w:rPr>
      <w:rFonts w:asciiTheme="majorHAnsi" w:eastAsiaTheme="majorEastAsia" w:hAnsiTheme="majorHAnsi" w:cstheme="majorBidi"/>
      <w:color w:val="2F5496" w:themeColor="accent1" w:themeShade="BF"/>
      <w:sz w:val="32"/>
      <w:szCs w:val="32"/>
    </w:rPr>
  </w:style>
  <w:style w:type="character" w:styleId="Emphasis">
    <w:name w:val="Emphasis"/>
    <w:basedOn w:val="DefaultParagraphFont"/>
    <w:uiPriority w:val="20"/>
    <w:qFormat/>
    <w:rsid w:val="005528B1"/>
    <w:rPr>
      <w:i/>
      <w:iCs/>
    </w:rPr>
  </w:style>
  <w:style w:type="character" w:customStyle="1" w:styleId="Heading2Char">
    <w:name w:val="Heading 2 Char"/>
    <w:basedOn w:val="DefaultParagraphFont"/>
    <w:link w:val="Heading2"/>
    <w:semiHidden/>
    <w:rsid w:val="00E140EF"/>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semiHidden/>
    <w:rsid w:val="00E140EF"/>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240837"/>
    <w:pPr>
      <w:ind w:left="720"/>
      <w:contextualSpacing/>
    </w:pPr>
  </w:style>
  <w:style w:type="paragraph" w:styleId="CommentText">
    <w:name w:val="annotation text"/>
    <w:basedOn w:val="Normal"/>
    <w:link w:val="CommentTextChar"/>
    <w:rPr>
      <w:sz w:val="20"/>
    </w:rPr>
  </w:style>
  <w:style w:type="character" w:customStyle="1" w:styleId="CommentTextChar">
    <w:name w:val="Comment Text Char"/>
    <w:basedOn w:val="DefaultParagraphFont"/>
    <w:link w:val="CommentText"/>
  </w:style>
  <w:style w:type="character" w:styleId="CommentReference">
    <w:name w:val="annotation reference"/>
    <w:basedOn w:val="DefaultParagraphFont"/>
    <w:rPr>
      <w:sz w:val="16"/>
      <w:szCs w:val="16"/>
    </w:rPr>
  </w:style>
  <w:style w:type="paragraph" w:styleId="Revision">
    <w:name w:val="Revision"/>
    <w:hidden/>
    <w:uiPriority w:val="99"/>
    <w:semiHidden/>
    <w:rsid w:val="0027214F"/>
    <w:rPr>
      <w:sz w:val="24"/>
    </w:rPr>
  </w:style>
  <w:style w:type="paragraph" w:styleId="CommentSubject">
    <w:name w:val="annotation subject"/>
    <w:basedOn w:val="CommentText"/>
    <w:next w:val="CommentText"/>
    <w:link w:val="CommentSubjectChar"/>
    <w:rsid w:val="00D15339"/>
    <w:rPr>
      <w:b/>
      <w:bCs/>
    </w:rPr>
  </w:style>
  <w:style w:type="character" w:customStyle="1" w:styleId="CommentSubjectChar">
    <w:name w:val="Comment Subject Char"/>
    <w:basedOn w:val="CommentTextChar"/>
    <w:link w:val="CommentSubject"/>
    <w:rsid w:val="00D15339"/>
    <w:rPr>
      <w:b/>
      <w:bCs/>
    </w:rPr>
  </w:style>
  <w:style w:type="character" w:styleId="Mention">
    <w:name w:val="Mention"/>
    <w:basedOn w:val="DefaultParagraphFont"/>
    <w:uiPriority w:val="99"/>
    <w:unhideWhenUsed/>
    <w:rsid w:val="00774FF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921061">
      <w:bodyDiv w:val="1"/>
      <w:marLeft w:val="0"/>
      <w:marRight w:val="0"/>
      <w:marTop w:val="0"/>
      <w:marBottom w:val="0"/>
      <w:divBdr>
        <w:top w:val="none" w:sz="0" w:space="0" w:color="auto"/>
        <w:left w:val="none" w:sz="0" w:space="0" w:color="auto"/>
        <w:bottom w:val="none" w:sz="0" w:space="0" w:color="auto"/>
        <w:right w:val="none" w:sz="0" w:space="0" w:color="auto"/>
      </w:divBdr>
      <w:divsChild>
        <w:div w:id="147521699">
          <w:marLeft w:val="0"/>
          <w:marRight w:val="0"/>
          <w:marTop w:val="0"/>
          <w:marBottom w:val="0"/>
          <w:divBdr>
            <w:top w:val="none" w:sz="0" w:space="0" w:color="auto"/>
            <w:left w:val="none" w:sz="0" w:space="0" w:color="auto"/>
            <w:bottom w:val="none" w:sz="0" w:space="0" w:color="auto"/>
            <w:right w:val="none" w:sz="0" w:space="0" w:color="auto"/>
          </w:divBdr>
        </w:div>
        <w:div w:id="359473497">
          <w:marLeft w:val="0"/>
          <w:marRight w:val="0"/>
          <w:marTop w:val="0"/>
          <w:marBottom w:val="0"/>
          <w:divBdr>
            <w:top w:val="none" w:sz="0" w:space="0" w:color="auto"/>
            <w:left w:val="none" w:sz="0" w:space="0" w:color="auto"/>
            <w:bottom w:val="none" w:sz="0" w:space="0" w:color="auto"/>
            <w:right w:val="none" w:sz="0" w:space="0" w:color="auto"/>
          </w:divBdr>
        </w:div>
        <w:div w:id="799154143">
          <w:marLeft w:val="0"/>
          <w:marRight w:val="0"/>
          <w:marTop w:val="0"/>
          <w:marBottom w:val="0"/>
          <w:divBdr>
            <w:top w:val="none" w:sz="0" w:space="0" w:color="auto"/>
            <w:left w:val="none" w:sz="0" w:space="0" w:color="auto"/>
            <w:bottom w:val="none" w:sz="0" w:space="0" w:color="auto"/>
            <w:right w:val="none" w:sz="0" w:space="0" w:color="auto"/>
          </w:divBdr>
        </w:div>
        <w:div w:id="850801500">
          <w:marLeft w:val="0"/>
          <w:marRight w:val="0"/>
          <w:marTop w:val="0"/>
          <w:marBottom w:val="0"/>
          <w:divBdr>
            <w:top w:val="none" w:sz="0" w:space="0" w:color="auto"/>
            <w:left w:val="none" w:sz="0" w:space="0" w:color="auto"/>
            <w:bottom w:val="none" w:sz="0" w:space="0" w:color="auto"/>
            <w:right w:val="none" w:sz="0" w:space="0" w:color="auto"/>
          </w:divBdr>
        </w:div>
        <w:div w:id="1144858675">
          <w:marLeft w:val="0"/>
          <w:marRight w:val="0"/>
          <w:marTop w:val="0"/>
          <w:marBottom w:val="0"/>
          <w:divBdr>
            <w:top w:val="none" w:sz="0" w:space="0" w:color="auto"/>
            <w:left w:val="none" w:sz="0" w:space="0" w:color="auto"/>
            <w:bottom w:val="none" w:sz="0" w:space="0" w:color="auto"/>
            <w:right w:val="none" w:sz="0" w:space="0" w:color="auto"/>
          </w:divBdr>
        </w:div>
        <w:div w:id="1173910827">
          <w:marLeft w:val="0"/>
          <w:marRight w:val="0"/>
          <w:marTop w:val="0"/>
          <w:marBottom w:val="0"/>
          <w:divBdr>
            <w:top w:val="none" w:sz="0" w:space="0" w:color="auto"/>
            <w:left w:val="none" w:sz="0" w:space="0" w:color="auto"/>
            <w:bottom w:val="none" w:sz="0" w:space="0" w:color="auto"/>
            <w:right w:val="none" w:sz="0" w:space="0" w:color="auto"/>
          </w:divBdr>
        </w:div>
        <w:div w:id="1380518896">
          <w:marLeft w:val="0"/>
          <w:marRight w:val="0"/>
          <w:marTop w:val="0"/>
          <w:marBottom w:val="0"/>
          <w:divBdr>
            <w:top w:val="none" w:sz="0" w:space="0" w:color="auto"/>
            <w:left w:val="none" w:sz="0" w:space="0" w:color="auto"/>
            <w:bottom w:val="none" w:sz="0" w:space="0" w:color="auto"/>
            <w:right w:val="none" w:sz="0" w:space="0" w:color="auto"/>
          </w:divBdr>
        </w:div>
        <w:div w:id="1485973168">
          <w:marLeft w:val="0"/>
          <w:marRight w:val="0"/>
          <w:marTop w:val="0"/>
          <w:marBottom w:val="0"/>
          <w:divBdr>
            <w:top w:val="none" w:sz="0" w:space="0" w:color="auto"/>
            <w:left w:val="none" w:sz="0" w:space="0" w:color="auto"/>
            <w:bottom w:val="none" w:sz="0" w:space="0" w:color="auto"/>
            <w:right w:val="none" w:sz="0" w:space="0" w:color="auto"/>
          </w:divBdr>
        </w:div>
        <w:div w:id="1508977548">
          <w:marLeft w:val="0"/>
          <w:marRight w:val="0"/>
          <w:marTop w:val="0"/>
          <w:marBottom w:val="0"/>
          <w:divBdr>
            <w:top w:val="none" w:sz="0" w:space="0" w:color="auto"/>
            <w:left w:val="none" w:sz="0" w:space="0" w:color="auto"/>
            <w:bottom w:val="none" w:sz="0" w:space="0" w:color="auto"/>
            <w:right w:val="none" w:sz="0" w:space="0" w:color="auto"/>
          </w:divBdr>
        </w:div>
        <w:div w:id="1822892680">
          <w:marLeft w:val="0"/>
          <w:marRight w:val="0"/>
          <w:marTop w:val="0"/>
          <w:marBottom w:val="0"/>
          <w:divBdr>
            <w:top w:val="none" w:sz="0" w:space="0" w:color="auto"/>
            <w:left w:val="none" w:sz="0" w:space="0" w:color="auto"/>
            <w:bottom w:val="none" w:sz="0" w:space="0" w:color="auto"/>
            <w:right w:val="none" w:sz="0" w:space="0" w:color="auto"/>
          </w:divBdr>
        </w:div>
        <w:div w:id="1907764421">
          <w:marLeft w:val="0"/>
          <w:marRight w:val="0"/>
          <w:marTop w:val="0"/>
          <w:marBottom w:val="0"/>
          <w:divBdr>
            <w:top w:val="none" w:sz="0" w:space="0" w:color="auto"/>
            <w:left w:val="none" w:sz="0" w:space="0" w:color="auto"/>
            <w:bottom w:val="none" w:sz="0" w:space="0" w:color="auto"/>
            <w:right w:val="none" w:sz="0" w:space="0" w:color="auto"/>
          </w:divBdr>
        </w:div>
      </w:divsChild>
    </w:div>
    <w:div w:id="386031283">
      <w:bodyDiv w:val="1"/>
      <w:marLeft w:val="0"/>
      <w:marRight w:val="0"/>
      <w:marTop w:val="0"/>
      <w:marBottom w:val="0"/>
      <w:divBdr>
        <w:top w:val="none" w:sz="0" w:space="0" w:color="auto"/>
        <w:left w:val="none" w:sz="0" w:space="0" w:color="auto"/>
        <w:bottom w:val="none" w:sz="0" w:space="0" w:color="auto"/>
        <w:right w:val="none" w:sz="0" w:space="0" w:color="auto"/>
      </w:divBdr>
      <w:divsChild>
        <w:div w:id="1240672876">
          <w:marLeft w:val="0"/>
          <w:marRight w:val="0"/>
          <w:marTop w:val="0"/>
          <w:marBottom w:val="0"/>
          <w:divBdr>
            <w:top w:val="none" w:sz="0" w:space="0" w:color="auto"/>
            <w:left w:val="none" w:sz="0" w:space="0" w:color="auto"/>
            <w:bottom w:val="none" w:sz="0" w:space="0" w:color="auto"/>
            <w:right w:val="none" w:sz="0" w:space="0" w:color="auto"/>
          </w:divBdr>
        </w:div>
      </w:divsChild>
    </w:div>
    <w:div w:id="445852101">
      <w:bodyDiv w:val="1"/>
      <w:marLeft w:val="0"/>
      <w:marRight w:val="0"/>
      <w:marTop w:val="0"/>
      <w:marBottom w:val="0"/>
      <w:divBdr>
        <w:top w:val="none" w:sz="0" w:space="0" w:color="auto"/>
        <w:left w:val="none" w:sz="0" w:space="0" w:color="auto"/>
        <w:bottom w:val="none" w:sz="0" w:space="0" w:color="auto"/>
        <w:right w:val="none" w:sz="0" w:space="0" w:color="auto"/>
      </w:divBdr>
      <w:divsChild>
        <w:div w:id="529950773">
          <w:marLeft w:val="0"/>
          <w:marRight w:val="0"/>
          <w:marTop w:val="0"/>
          <w:marBottom w:val="0"/>
          <w:divBdr>
            <w:top w:val="none" w:sz="0" w:space="0" w:color="auto"/>
            <w:left w:val="none" w:sz="0" w:space="0" w:color="auto"/>
            <w:bottom w:val="none" w:sz="0" w:space="0" w:color="auto"/>
            <w:right w:val="none" w:sz="0" w:space="0" w:color="auto"/>
          </w:divBdr>
        </w:div>
        <w:div w:id="674575177">
          <w:marLeft w:val="0"/>
          <w:marRight w:val="0"/>
          <w:marTop w:val="0"/>
          <w:marBottom w:val="0"/>
          <w:divBdr>
            <w:top w:val="none" w:sz="0" w:space="0" w:color="auto"/>
            <w:left w:val="none" w:sz="0" w:space="0" w:color="auto"/>
            <w:bottom w:val="none" w:sz="0" w:space="0" w:color="auto"/>
            <w:right w:val="none" w:sz="0" w:space="0" w:color="auto"/>
          </w:divBdr>
        </w:div>
        <w:div w:id="1907758692">
          <w:marLeft w:val="0"/>
          <w:marRight w:val="0"/>
          <w:marTop w:val="0"/>
          <w:marBottom w:val="0"/>
          <w:divBdr>
            <w:top w:val="none" w:sz="0" w:space="0" w:color="auto"/>
            <w:left w:val="none" w:sz="0" w:space="0" w:color="auto"/>
            <w:bottom w:val="none" w:sz="0" w:space="0" w:color="auto"/>
            <w:right w:val="none" w:sz="0" w:space="0" w:color="auto"/>
          </w:divBdr>
        </w:div>
      </w:divsChild>
    </w:div>
    <w:div w:id="537158280">
      <w:bodyDiv w:val="1"/>
      <w:marLeft w:val="0"/>
      <w:marRight w:val="0"/>
      <w:marTop w:val="0"/>
      <w:marBottom w:val="0"/>
      <w:divBdr>
        <w:top w:val="none" w:sz="0" w:space="0" w:color="auto"/>
        <w:left w:val="none" w:sz="0" w:space="0" w:color="auto"/>
        <w:bottom w:val="none" w:sz="0" w:space="0" w:color="auto"/>
        <w:right w:val="none" w:sz="0" w:space="0" w:color="auto"/>
      </w:divBdr>
    </w:div>
    <w:div w:id="781614722">
      <w:bodyDiv w:val="1"/>
      <w:marLeft w:val="0"/>
      <w:marRight w:val="0"/>
      <w:marTop w:val="0"/>
      <w:marBottom w:val="0"/>
      <w:divBdr>
        <w:top w:val="none" w:sz="0" w:space="0" w:color="auto"/>
        <w:left w:val="none" w:sz="0" w:space="0" w:color="auto"/>
        <w:bottom w:val="none" w:sz="0" w:space="0" w:color="auto"/>
        <w:right w:val="none" w:sz="0" w:space="0" w:color="auto"/>
      </w:divBdr>
    </w:div>
    <w:div w:id="862208922">
      <w:bodyDiv w:val="1"/>
      <w:marLeft w:val="0"/>
      <w:marRight w:val="0"/>
      <w:marTop w:val="0"/>
      <w:marBottom w:val="0"/>
      <w:divBdr>
        <w:top w:val="none" w:sz="0" w:space="0" w:color="auto"/>
        <w:left w:val="none" w:sz="0" w:space="0" w:color="auto"/>
        <w:bottom w:val="none" w:sz="0" w:space="0" w:color="auto"/>
        <w:right w:val="none" w:sz="0" w:space="0" w:color="auto"/>
      </w:divBdr>
    </w:div>
    <w:div w:id="939068114">
      <w:bodyDiv w:val="1"/>
      <w:marLeft w:val="0"/>
      <w:marRight w:val="0"/>
      <w:marTop w:val="0"/>
      <w:marBottom w:val="0"/>
      <w:divBdr>
        <w:top w:val="none" w:sz="0" w:space="0" w:color="auto"/>
        <w:left w:val="none" w:sz="0" w:space="0" w:color="auto"/>
        <w:bottom w:val="none" w:sz="0" w:space="0" w:color="auto"/>
        <w:right w:val="none" w:sz="0" w:space="0" w:color="auto"/>
      </w:divBdr>
      <w:divsChild>
        <w:div w:id="82264913">
          <w:marLeft w:val="0"/>
          <w:marRight w:val="0"/>
          <w:marTop w:val="0"/>
          <w:marBottom w:val="0"/>
          <w:divBdr>
            <w:top w:val="none" w:sz="0" w:space="0" w:color="auto"/>
            <w:left w:val="none" w:sz="0" w:space="0" w:color="auto"/>
            <w:bottom w:val="none" w:sz="0" w:space="0" w:color="auto"/>
            <w:right w:val="none" w:sz="0" w:space="0" w:color="auto"/>
          </w:divBdr>
        </w:div>
        <w:div w:id="110631912">
          <w:marLeft w:val="0"/>
          <w:marRight w:val="0"/>
          <w:marTop w:val="0"/>
          <w:marBottom w:val="0"/>
          <w:divBdr>
            <w:top w:val="none" w:sz="0" w:space="0" w:color="auto"/>
            <w:left w:val="none" w:sz="0" w:space="0" w:color="auto"/>
            <w:bottom w:val="none" w:sz="0" w:space="0" w:color="auto"/>
            <w:right w:val="none" w:sz="0" w:space="0" w:color="auto"/>
          </w:divBdr>
        </w:div>
        <w:div w:id="131559643">
          <w:marLeft w:val="0"/>
          <w:marRight w:val="0"/>
          <w:marTop w:val="0"/>
          <w:marBottom w:val="0"/>
          <w:divBdr>
            <w:top w:val="none" w:sz="0" w:space="0" w:color="auto"/>
            <w:left w:val="none" w:sz="0" w:space="0" w:color="auto"/>
            <w:bottom w:val="none" w:sz="0" w:space="0" w:color="auto"/>
            <w:right w:val="none" w:sz="0" w:space="0" w:color="auto"/>
          </w:divBdr>
        </w:div>
        <w:div w:id="213323075">
          <w:marLeft w:val="0"/>
          <w:marRight w:val="0"/>
          <w:marTop w:val="0"/>
          <w:marBottom w:val="0"/>
          <w:divBdr>
            <w:top w:val="none" w:sz="0" w:space="0" w:color="auto"/>
            <w:left w:val="none" w:sz="0" w:space="0" w:color="auto"/>
            <w:bottom w:val="none" w:sz="0" w:space="0" w:color="auto"/>
            <w:right w:val="none" w:sz="0" w:space="0" w:color="auto"/>
          </w:divBdr>
        </w:div>
        <w:div w:id="328602277">
          <w:marLeft w:val="0"/>
          <w:marRight w:val="0"/>
          <w:marTop w:val="0"/>
          <w:marBottom w:val="0"/>
          <w:divBdr>
            <w:top w:val="none" w:sz="0" w:space="0" w:color="auto"/>
            <w:left w:val="none" w:sz="0" w:space="0" w:color="auto"/>
            <w:bottom w:val="none" w:sz="0" w:space="0" w:color="auto"/>
            <w:right w:val="none" w:sz="0" w:space="0" w:color="auto"/>
          </w:divBdr>
        </w:div>
        <w:div w:id="357395474">
          <w:marLeft w:val="0"/>
          <w:marRight w:val="0"/>
          <w:marTop w:val="0"/>
          <w:marBottom w:val="0"/>
          <w:divBdr>
            <w:top w:val="none" w:sz="0" w:space="0" w:color="auto"/>
            <w:left w:val="none" w:sz="0" w:space="0" w:color="auto"/>
            <w:bottom w:val="none" w:sz="0" w:space="0" w:color="auto"/>
            <w:right w:val="none" w:sz="0" w:space="0" w:color="auto"/>
          </w:divBdr>
        </w:div>
        <w:div w:id="917902885">
          <w:marLeft w:val="0"/>
          <w:marRight w:val="0"/>
          <w:marTop w:val="0"/>
          <w:marBottom w:val="0"/>
          <w:divBdr>
            <w:top w:val="none" w:sz="0" w:space="0" w:color="auto"/>
            <w:left w:val="none" w:sz="0" w:space="0" w:color="auto"/>
            <w:bottom w:val="none" w:sz="0" w:space="0" w:color="auto"/>
            <w:right w:val="none" w:sz="0" w:space="0" w:color="auto"/>
          </w:divBdr>
        </w:div>
        <w:div w:id="961037640">
          <w:marLeft w:val="0"/>
          <w:marRight w:val="0"/>
          <w:marTop w:val="0"/>
          <w:marBottom w:val="0"/>
          <w:divBdr>
            <w:top w:val="none" w:sz="0" w:space="0" w:color="auto"/>
            <w:left w:val="none" w:sz="0" w:space="0" w:color="auto"/>
            <w:bottom w:val="none" w:sz="0" w:space="0" w:color="auto"/>
            <w:right w:val="none" w:sz="0" w:space="0" w:color="auto"/>
          </w:divBdr>
        </w:div>
        <w:div w:id="1112438774">
          <w:marLeft w:val="0"/>
          <w:marRight w:val="0"/>
          <w:marTop w:val="0"/>
          <w:marBottom w:val="0"/>
          <w:divBdr>
            <w:top w:val="none" w:sz="0" w:space="0" w:color="auto"/>
            <w:left w:val="none" w:sz="0" w:space="0" w:color="auto"/>
            <w:bottom w:val="none" w:sz="0" w:space="0" w:color="auto"/>
            <w:right w:val="none" w:sz="0" w:space="0" w:color="auto"/>
          </w:divBdr>
        </w:div>
        <w:div w:id="1357804732">
          <w:marLeft w:val="0"/>
          <w:marRight w:val="0"/>
          <w:marTop w:val="0"/>
          <w:marBottom w:val="0"/>
          <w:divBdr>
            <w:top w:val="none" w:sz="0" w:space="0" w:color="auto"/>
            <w:left w:val="none" w:sz="0" w:space="0" w:color="auto"/>
            <w:bottom w:val="none" w:sz="0" w:space="0" w:color="auto"/>
            <w:right w:val="none" w:sz="0" w:space="0" w:color="auto"/>
          </w:divBdr>
        </w:div>
        <w:div w:id="1750737002">
          <w:marLeft w:val="0"/>
          <w:marRight w:val="0"/>
          <w:marTop w:val="0"/>
          <w:marBottom w:val="0"/>
          <w:divBdr>
            <w:top w:val="none" w:sz="0" w:space="0" w:color="auto"/>
            <w:left w:val="none" w:sz="0" w:space="0" w:color="auto"/>
            <w:bottom w:val="none" w:sz="0" w:space="0" w:color="auto"/>
            <w:right w:val="none" w:sz="0" w:space="0" w:color="auto"/>
          </w:divBdr>
        </w:div>
      </w:divsChild>
    </w:div>
    <w:div w:id="1071460645">
      <w:bodyDiv w:val="1"/>
      <w:marLeft w:val="0"/>
      <w:marRight w:val="0"/>
      <w:marTop w:val="0"/>
      <w:marBottom w:val="0"/>
      <w:divBdr>
        <w:top w:val="none" w:sz="0" w:space="0" w:color="auto"/>
        <w:left w:val="none" w:sz="0" w:space="0" w:color="auto"/>
        <w:bottom w:val="none" w:sz="0" w:space="0" w:color="auto"/>
        <w:right w:val="none" w:sz="0" w:space="0" w:color="auto"/>
      </w:divBdr>
      <w:divsChild>
        <w:div w:id="1819297038">
          <w:marLeft w:val="0"/>
          <w:marRight w:val="0"/>
          <w:marTop w:val="0"/>
          <w:marBottom w:val="0"/>
          <w:divBdr>
            <w:top w:val="none" w:sz="0" w:space="0" w:color="auto"/>
            <w:left w:val="none" w:sz="0" w:space="0" w:color="auto"/>
            <w:bottom w:val="none" w:sz="0" w:space="0" w:color="auto"/>
            <w:right w:val="none" w:sz="0" w:space="0" w:color="auto"/>
          </w:divBdr>
        </w:div>
      </w:divsChild>
    </w:div>
    <w:div w:id="1203134270">
      <w:bodyDiv w:val="1"/>
      <w:marLeft w:val="0"/>
      <w:marRight w:val="0"/>
      <w:marTop w:val="0"/>
      <w:marBottom w:val="0"/>
      <w:divBdr>
        <w:top w:val="none" w:sz="0" w:space="0" w:color="auto"/>
        <w:left w:val="none" w:sz="0" w:space="0" w:color="auto"/>
        <w:bottom w:val="none" w:sz="0" w:space="0" w:color="auto"/>
        <w:right w:val="none" w:sz="0" w:space="0" w:color="auto"/>
      </w:divBdr>
      <w:divsChild>
        <w:div w:id="937842">
          <w:marLeft w:val="0"/>
          <w:marRight w:val="0"/>
          <w:marTop w:val="0"/>
          <w:marBottom w:val="0"/>
          <w:divBdr>
            <w:top w:val="none" w:sz="0" w:space="0" w:color="auto"/>
            <w:left w:val="none" w:sz="0" w:space="0" w:color="auto"/>
            <w:bottom w:val="none" w:sz="0" w:space="0" w:color="auto"/>
            <w:right w:val="none" w:sz="0" w:space="0" w:color="auto"/>
          </w:divBdr>
        </w:div>
        <w:div w:id="155264834">
          <w:marLeft w:val="0"/>
          <w:marRight w:val="0"/>
          <w:marTop w:val="0"/>
          <w:marBottom w:val="0"/>
          <w:divBdr>
            <w:top w:val="none" w:sz="0" w:space="0" w:color="auto"/>
            <w:left w:val="none" w:sz="0" w:space="0" w:color="auto"/>
            <w:bottom w:val="none" w:sz="0" w:space="0" w:color="auto"/>
            <w:right w:val="none" w:sz="0" w:space="0" w:color="auto"/>
          </w:divBdr>
        </w:div>
        <w:div w:id="158884922">
          <w:marLeft w:val="0"/>
          <w:marRight w:val="0"/>
          <w:marTop w:val="0"/>
          <w:marBottom w:val="0"/>
          <w:divBdr>
            <w:top w:val="none" w:sz="0" w:space="0" w:color="auto"/>
            <w:left w:val="none" w:sz="0" w:space="0" w:color="auto"/>
            <w:bottom w:val="none" w:sz="0" w:space="0" w:color="auto"/>
            <w:right w:val="none" w:sz="0" w:space="0" w:color="auto"/>
          </w:divBdr>
        </w:div>
        <w:div w:id="406730208">
          <w:marLeft w:val="0"/>
          <w:marRight w:val="0"/>
          <w:marTop w:val="0"/>
          <w:marBottom w:val="0"/>
          <w:divBdr>
            <w:top w:val="none" w:sz="0" w:space="0" w:color="auto"/>
            <w:left w:val="none" w:sz="0" w:space="0" w:color="auto"/>
            <w:bottom w:val="none" w:sz="0" w:space="0" w:color="auto"/>
            <w:right w:val="none" w:sz="0" w:space="0" w:color="auto"/>
          </w:divBdr>
        </w:div>
        <w:div w:id="530923853">
          <w:marLeft w:val="0"/>
          <w:marRight w:val="0"/>
          <w:marTop w:val="0"/>
          <w:marBottom w:val="0"/>
          <w:divBdr>
            <w:top w:val="none" w:sz="0" w:space="0" w:color="auto"/>
            <w:left w:val="none" w:sz="0" w:space="0" w:color="auto"/>
            <w:bottom w:val="none" w:sz="0" w:space="0" w:color="auto"/>
            <w:right w:val="none" w:sz="0" w:space="0" w:color="auto"/>
          </w:divBdr>
        </w:div>
        <w:div w:id="548422203">
          <w:marLeft w:val="0"/>
          <w:marRight w:val="0"/>
          <w:marTop w:val="0"/>
          <w:marBottom w:val="0"/>
          <w:divBdr>
            <w:top w:val="none" w:sz="0" w:space="0" w:color="auto"/>
            <w:left w:val="none" w:sz="0" w:space="0" w:color="auto"/>
            <w:bottom w:val="none" w:sz="0" w:space="0" w:color="auto"/>
            <w:right w:val="none" w:sz="0" w:space="0" w:color="auto"/>
          </w:divBdr>
        </w:div>
        <w:div w:id="553347332">
          <w:marLeft w:val="0"/>
          <w:marRight w:val="0"/>
          <w:marTop w:val="0"/>
          <w:marBottom w:val="0"/>
          <w:divBdr>
            <w:top w:val="none" w:sz="0" w:space="0" w:color="auto"/>
            <w:left w:val="none" w:sz="0" w:space="0" w:color="auto"/>
            <w:bottom w:val="none" w:sz="0" w:space="0" w:color="auto"/>
            <w:right w:val="none" w:sz="0" w:space="0" w:color="auto"/>
          </w:divBdr>
        </w:div>
        <w:div w:id="698894418">
          <w:marLeft w:val="0"/>
          <w:marRight w:val="0"/>
          <w:marTop w:val="0"/>
          <w:marBottom w:val="0"/>
          <w:divBdr>
            <w:top w:val="none" w:sz="0" w:space="0" w:color="auto"/>
            <w:left w:val="none" w:sz="0" w:space="0" w:color="auto"/>
            <w:bottom w:val="none" w:sz="0" w:space="0" w:color="auto"/>
            <w:right w:val="none" w:sz="0" w:space="0" w:color="auto"/>
          </w:divBdr>
        </w:div>
        <w:div w:id="780225140">
          <w:marLeft w:val="0"/>
          <w:marRight w:val="0"/>
          <w:marTop w:val="0"/>
          <w:marBottom w:val="0"/>
          <w:divBdr>
            <w:top w:val="none" w:sz="0" w:space="0" w:color="auto"/>
            <w:left w:val="none" w:sz="0" w:space="0" w:color="auto"/>
            <w:bottom w:val="none" w:sz="0" w:space="0" w:color="auto"/>
            <w:right w:val="none" w:sz="0" w:space="0" w:color="auto"/>
          </w:divBdr>
        </w:div>
        <w:div w:id="933250727">
          <w:marLeft w:val="0"/>
          <w:marRight w:val="0"/>
          <w:marTop w:val="0"/>
          <w:marBottom w:val="0"/>
          <w:divBdr>
            <w:top w:val="none" w:sz="0" w:space="0" w:color="auto"/>
            <w:left w:val="none" w:sz="0" w:space="0" w:color="auto"/>
            <w:bottom w:val="none" w:sz="0" w:space="0" w:color="auto"/>
            <w:right w:val="none" w:sz="0" w:space="0" w:color="auto"/>
          </w:divBdr>
        </w:div>
        <w:div w:id="1373000574">
          <w:marLeft w:val="0"/>
          <w:marRight w:val="0"/>
          <w:marTop w:val="0"/>
          <w:marBottom w:val="0"/>
          <w:divBdr>
            <w:top w:val="none" w:sz="0" w:space="0" w:color="auto"/>
            <w:left w:val="none" w:sz="0" w:space="0" w:color="auto"/>
            <w:bottom w:val="none" w:sz="0" w:space="0" w:color="auto"/>
            <w:right w:val="none" w:sz="0" w:space="0" w:color="auto"/>
          </w:divBdr>
        </w:div>
        <w:div w:id="1411587025">
          <w:marLeft w:val="0"/>
          <w:marRight w:val="0"/>
          <w:marTop w:val="0"/>
          <w:marBottom w:val="0"/>
          <w:divBdr>
            <w:top w:val="none" w:sz="0" w:space="0" w:color="auto"/>
            <w:left w:val="none" w:sz="0" w:space="0" w:color="auto"/>
            <w:bottom w:val="none" w:sz="0" w:space="0" w:color="auto"/>
            <w:right w:val="none" w:sz="0" w:space="0" w:color="auto"/>
          </w:divBdr>
        </w:div>
        <w:div w:id="1481263325">
          <w:marLeft w:val="0"/>
          <w:marRight w:val="0"/>
          <w:marTop w:val="0"/>
          <w:marBottom w:val="0"/>
          <w:divBdr>
            <w:top w:val="none" w:sz="0" w:space="0" w:color="auto"/>
            <w:left w:val="none" w:sz="0" w:space="0" w:color="auto"/>
            <w:bottom w:val="none" w:sz="0" w:space="0" w:color="auto"/>
            <w:right w:val="none" w:sz="0" w:space="0" w:color="auto"/>
          </w:divBdr>
        </w:div>
        <w:div w:id="1484349038">
          <w:marLeft w:val="0"/>
          <w:marRight w:val="0"/>
          <w:marTop w:val="0"/>
          <w:marBottom w:val="0"/>
          <w:divBdr>
            <w:top w:val="none" w:sz="0" w:space="0" w:color="auto"/>
            <w:left w:val="none" w:sz="0" w:space="0" w:color="auto"/>
            <w:bottom w:val="none" w:sz="0" w:space="0" w:color="auto"/>
            <w:right w:val="none" w:sz="0" w:space="0" w:color="auto"/>
          </w:divBdr>
        </w:div>
        <w:div w:id="1588538196">
          <w:marLeft w:val="0"/>
          <w:marRight w:val="0"/>
          <w:marTop w:val="0"/>
          <w:marBottom w:val="0"/>
          <w:divBdr>
            <w:top w:val="none" w:sz="0" w:space="0" w:color="auto"/>
            <w:left w:val="none" w:sz="0" w:space="0" w:color="auto"/>
            <w:bottom w:val="none" w:sz="0" w:space="0" w:color="auto"/>
            <w:right w:val="none" w:sz="0" w:space="0" w:color="auto"/>
          </w:divBdr>
        </w:div>
        <w:div w:id="1590964511">
          <w:marLeft w:val="0"/>
          <w:marRight w:val="0"/>
          <w:marTop w:val="0"/>
          <w:marBottom w:val="0"/>
          <w:divBdr>
            <w:top w:val="none" w:sz="0" w:space="0" w:color="auto"/>
            <w:left w:val="none" w:sz="0" w:space="0" w:color="auto"/>
            <w:bottom w:val="none" w:sz="0" w:space="0" w:color="auto"/>
            <w:right w:val="none" w:sz="0" w:space="0" w:color="auto"/>
          </w:divBdr>
        </w:div>
        <w:div w:id="1868713453">
          <w:marLeft w:val="0"/>
          <w:marRight w:val="0"/>
          <w:marTop w:val="0"/>
          <w:marBottom w:val="0"/>
          <w:divBdr>
            <w:top w:val="none" w:sz="0" w:space="0" w:color="auto"/>
            <w:left w:val="none" w:sz="0" w:space="0" w:color="auto"/>
            <w:bottom w:val="none" w:sz="0" w:space="0" w:color="auto"/>
            <w:right w:val="none" w:sz="0" w:space="0" w:color="auto"/>
          </w:divBdr>
        </w:div>
        <w:div w:id="1897355758">
          <w:marLeft w:val="0"/>
          <w:marRight w:val="0"/>
          <w:marTop w:val="0"/>
          <w:marBottom w:val="0"/>
          <w:divBdr>
            <w:top w:val="none" w:sz="0" w:space="0" w:color="auto"/>
            <w:left w:val="none" w:sz="0" w:space="0" w:color="auto"/>
            <w:bottom w:val="none" w:sz="0" w:space="0" w:color="auto"/>
            <w:right w:val="none" w:sz="0" w:space="0" w:color="auto"/>
          </w:divBdr>
        </w:div>
        <w:div w:id="2109889436">
          <w:marLeft w:val="0"/>
          <w:marRight w:val="0"/>
          <w:marTop w:val="0"/>
          <w:marBottom w:val="0"/>
          <w:divBdr>
            <w:top w:val="none" w:sz="0" w:space="0" w:color="auto"/>
            <w:left w:val="none" w:sz="0" w:space="0" w:color="auto"/>
            <w:bottom w:val="none" w:sz="0" w:space="0" w:color="auto"/>
            <w:right w:val="none" w:sz="0" w:space="0" w:color="auto"/>
          </w:divBdr>
        </w:div>
      </w:divsChild>
    </w:div>
    <w:div w:id="1352495153">
      <w:bodyDiv w:val="1"/>
      <w:marLeft w:val="0"/>
      <w:marRight w:val="0"/>
      <w:marTop w:val="0"/>
      <w:marBottom w:val="0"/>
      <w:divBdr>
        <w:top w:val="none" w:sz="0" w:space="0" w:color="auto"/>
        <w:left w:val="none" w:sz="0" w:space="0" w:color="auto"/>
        <w:bottom w:val="none" w:sz="0" w:space="0" w:color="auto"/>
        <w:right w:val="none" w:sz="0" w:space="0" w:color="auto"/>
      </w:divBdr>
    </w:div>
    <w:div w:id="1459495991">
      <w:bodyDiv w:val="1"/>
      <w:marLeft w:val="0"/>
      <w:marRight w:val="0"/>
      <w:marTop w:val="0"/>
      <w:marBottom w:val="0"/>
      <w:divBdr>
        <w:top w:val="none" w:sz="0" w:space="0" w:color="auto"/>
        <w:left w:val="none" w:sz="0" w:space="0" w:color="auto"/>
        <w:bottom w:val="none" w:sz="0" w:space="0" w:color="auto"/>
        <w:right w:val="none" w:sz="0" w:space="0" w:color="auto"/>
      </w:divBdr>
    </w:div>
    <w:div w:id="1569223394">
      <w:bodyDiv w:val="1"/>
      <w:marLeft w:val="0"/>
      <w:marRight w:val="0"/>
      <w:marTop w:val="0"/>
      <w:marBottom w:val="0"/>
      <w:divBdr>
        <w:top w:val="none" w:sz="0" w:space="0" w:color="auto"/>
        <w:left w:val="none" w:sz="0" w:space="0" w:color="auto"/>
        <w:bottom w:val="none" w:sz="0" w:space="0" w:color="auto"/>
        <w:right w:val="none" w:sz="0" w:space="0" w:color="auto"/>
      </w:divBdr>
      <w:divsChild>
        <w:div w:id="21320185">
          <w:marLeft w:val="0"/>
          <w:marRight w:val="0"/>
          <w:marTop w:val="0"/>
          <w:marBottom w:val="0"/>
          <w:divBdr>
            <w:top w:val="none" w:sz="0" w:space="0" w:color="auto"/>
            <w:left w:val="none" w:sz="0" w:space="0" w:color="auto"/>
            <w:bottom w:val="none" w:sz="0" w:space="0" w:color="auto"/>
            <w:right w:val="none" w:sz="0" w:space="0" w:color="auto"/>
          </w:divBdr>
        </w:div>
      </w:divsChild>
    </w:div>
    <w:div w:id="1604846764">
      <w:bodyDiv w:val="1"/>
      <w:marLeft w:val="0"/>
      <w:marRight w:val="0"/>
      <w:marTop w:val="0"/>
      <w:marBottom w:val="0"/>
      <w:divBdr>
        <w:top w:val="none" w:sz="0" w:space="0" w:color="auto"/>
        <w:left w:val="none" w:sz="0" w:space="0" w:color="auto"/>
        <w:bottom w:val="none" w:sz="0" w:space="0" w:color="auto"/>
        <w:right w:val="none" w:sz="0" w:space="0" w:color="auto"/>
      </w:divBdr>
    </w:div>
    <w:div w:id="1674143763">
      <w:bodyDiv w:val="1"/>
      <w:marLeft w:val="0"/>
      <w:marRight w:val="0"/>
      <w:marTop w:val="0"/>
      <w:marBottom w:val="0"/>
      <w:divBdr>
        <w:top w:val="none" w:sz="0" w:space="0" w:color="auto"/>
        <w:left w:val="none" w:sz="0" w:space="0" w:color="auto"/>
        <w:bottom w:val="none" w:sz="0" w:space="0" w:color="auto"/>
        <w:right w:val="none" w:sz="0" w:space="0" w:color="auto"/>
      </w:divBdr>
    </w:div>
    <w:div w:id="1677222450">
      <w:bodyDiv w:val="1"/>
      <w:marLeft w:val="0"/>
      <w:marRight w:val="0"/>
      <w:marTop w:val="0"/>
      <w:marBottom w:val="0"/>
      <w:divBdr>
        <w:top w:val="none" w:sz="0" w:space="0" w:color="auto"/>
        <w:left w:val="none" w:sz="0" w:space="0" w:color="auto"/>
        <w:bottom w:val="none" w:sz="0" w:space="0" w:color="auto"/>
        <w:right w:val="none" w:sz="0" w:space="0" w:color="auto"/>
      </w:divBdr>
      <w:divsChild>
        <w:div w:id="10723847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rcg.is/1Lva0S1"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mass.gov/doc/105-cmr-130-hospital-licensure/download"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FLLicenseAction@Mass.Gov"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malegislature.gov/Laws/SessionLaws/Acts/2023/Chapter2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601A6858227C846BEFA69E4B03380E3" ma:contentTypeVersion="6" ma:contentTypeDescription="Create a new document." ma:contentTypeScope="" ma:versionID="409eff13f0ca2c40bd30be95d754713f">
  <xsd:schema xmlns:xsd="http://www.w3.org/2001/XMLSchema" xmlns:xs="http://www.w3.org/2001/XMLSchema" xmlns:p="http://schemas.microsoft.com/office/2006/metadata/properties" xmlns:ns2="5e534dad-a852-42fd-82d2-5a0d78a5662f" xmlns:ns3="dcadab36-1c69-4410-9845-0bf25bbcf585" targetNamespace="http://schemas.microsoft.com/office/2006/metadata/properties" ma:root="true" ma:fieldsID="821019a09045b755a4c967da8ba7ea19" ns2:_="" ns3:_="">
    <xsd:import namespace="5e534dad-a852-42fd-82d2-5a0d78a5662f"/>
    <xsd:import namespace="dcadab36-1c69-4410-9845-0bf25bbcf58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534dad-a852-42fd-82d2-5a0d78a566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cadab36-1c69-4410-9845-0bf25bbcf585"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C5127B-B642-4678-BCD7-28629EA3EB1E}">
  <ds:schemaRefs>
    <ds:schemaRef ds:uri="http://schemas.openxmlformats.org/officeDocument/2006/bibliography"/>
  </ds:schemaRefs>
</ds:datastoreItem>
</file>

<file path=customXml/itemProps2.xml><?xml version="1.0" encoding="utf-8"?>
<ds:datastoreItem xmlns:ds="http://schemas.openxmlformats.org/officeDocument/2006/customXml" ds:itemID="{B1FC13ED-9ACC-4689-9EBE-D1CEF212FA9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66A3F23-13A9-424F-9C8F-65D0E9DAD3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534dad-a852-42fd-82d2-5a0d78a5662f"/>
    <ds:schemaRef ds:uri="dcadab36-1c69-4410-9845-0bf25bbcf5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E00FE09-04B5-4F2D-BE35-4F00C3FBD9A1}">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DPH Letterhead</Template>
  <TotalTime>5</TotalTime>
  <Pages>7</Pages>
  <Words>2235</Words>
  <Characters>13939</Characters>
  <Application>Microsoft Office Word</Application>
  <DocSecurity>0</DocSecurity>
  <Lines>116</Lines>
  <Paragraphs>32</Paragraphs>
  <ScaleCrop>false</ScaleCrop>
  <Company>Commonwealth of Massachusetts</Company>
  <LinksUpToDate>false</LinksUpToDate>
  <CharactersWithSpaces>16142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BHCSQ</dc:creator>
  <cp:keywords/>
  <cp:lastModifiedBy>Katherine Fillo</cp:lastModifiedBy>
  <cp:revision>3</cp:revision>
  <cp:lastPrinted>2015-01-29T23:50:00Z</cp:lastPrinted>
  <dcterms:created xsi:type="dcterms:W3CDTF">2025-08-21T13:14:00Z</dcterms:created>
  <dcterms:modified xsi:type="dcterms:W3CDTF">2025-08-22T14:24:00Z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0x0101009601A6858227C846BEFA69E4B03380E3</vt:lpwstr>
  </property>
  <property fmtid="{D5CDD505-2E9C-101B-9397-08002B2CF9AE}" pid="3" name="MediaServiceImageTags">
    <vt:lpwstr/>
  </property>
</Properties>
</file>