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58A8" w14:textId="77777777" w:rsidR="001008D6" w:rsidRPr="0092249B" w:rsidRDefault="001008D6" w:rsidP="001008D6">
      <w:pPr>
        <w:pStyle w:val="NoSpacing"/>
        <w:jc w:val="center"/>
      </w:pPr>
      <w:r w:rsidRPr="0092249B">
        <w:t>Autism Commission</w:t>
      </w:r>
    </w:p>
    <w:p w14:paraId="57FED2D0" w14:textId="77777777" w:rsidR="001008D6" w:rsidRPr="0092249B" w:rsidRDefault="001008D6" w:rsidP="001008D6">
      <w:pPr>
        <w:pStyle w:val="NoSpacing"/>
        <w:jc w:val="center"/>
      </w:pPr>
      <w:r w:rsidRPr="0092249B">
        <w:t>14-22 years of age/Employment Sub-Committee Meeting</w:t>
      </w:r>
    </w:p>
    <w:p w14:paraId="65EA4EBA" w14:textId="77777777" w:rsidR="001008D6" w:rsidRPr="0092249B" w:rsidRDefault="001008D6" w:rsidP="001008D6">
      <w:pPr>
        <w:pStyle w:val="NoSpacing"/>
        <w:jc w:val="center"/>
      </w:pPr>
      <w:r w:rsidRPr="0092249B">
        <w:t>January 7, 2019 - 11:00 a.m.–1:00 p.m.</w:t>
      </w:r>
    </w:p>
    <w:p w14:paraId="68DB2C41" w14:textId="77777777" w:rsidR="001008D6" w:rsidRPr="0092249B" w:rsidRDefault="001008D6" w:rsidP="001008D6">
      <w:pPr>
        <w:pStyle w:val="NoSpacing"/>
        <w:jc w:val="center"/>
      </w:pPr>
      <w:r w:rsidRPr="0092249B">
        <w:t>500 Harrison Avenue – Boston, MA</w:t>
      </w:r>
    </w:p>
    <w:p w14:paraId="3B3DAF07" w14:textId="77777777" w:rsidR="001008D6" w:rsidRPr="0092249B" w:rsidRDefault="001008D6" w:rsidP="001008D6">
      <w:pPr>
        <w:jc w:val="center"/>
      </w:pPr>
    </w:p>
    <w:p w14:paraId="48706B38" w14:textId="77777777" w:rsidR="001008D6" w:rsidRPr="0092249B" w:rsidRDefault="001008D6" w:rsidP="001008D6">
      <w:r w:rsidRPr="0092249B">
        <w:t xml:space="preserve">Present:  Judith Ursitti (Co-Chair), Carolyn Kain, Dianne Lescinskas, Janine Solomon, Jennifer Stewart, Diane Bohannon, Terri Farrell, Kathleen Kelly,  Jeanne Hoerter, Lea Hill, Ilyse Levine, Michelle Brait, and Margaret Van Gelder </w:t>
      </w:r>
    </w:p>
    <w:p w14:paraId="1BCE2EB8" w14:textId="77777777" w:rsidR="001008D6" w:rsidRPr="0092249B" w:rsidRDefault="001008D6" w:rsidP="001008D6">
      <w:r w:rsidRPr="0092249B">
        <w:t>Remote access:  Amanda Green, Pamela Ferguson, Michael Plansky</w:t>
      </w:r>
      <w:r w:rsidR="000B6D6F">
        <w:t xml:space="preserve">, Ann </w:t>
      </w:r>
      <w:proofErr w:type="spellStart"/>
      <w:r w:rsidR="000B6D6F">
        <w:t>Guay</w:t>
      </w:r>
      <w:proofErr w:type="spellEnd"/>
      <w:r w:rsidR="000B6D6F">
        <w:t xml:space="preserve"> </w:t>
      </w:r>
      <w:r w:rsidRPr="0092249B">
        <w:t xml:space="preserve">and Michael </w:t>
      </w:r>
      <w:proofErr w:type="spellStart"/>
      <w:r w:rsidRPr="0092249B">
        <w:t>Stephansky</w:t>
      </w:r>
      <w:proofErr w:type="spellEnd"/>
    </w:p>
    <w:p w14:paraId="4FE3077C" w14:textId="77777777" w:rsidR="001008D6" w:rsidRPr="0092249B" w:rsidRDefault="001008D6" w:rsidP="001008D6">
      <w:r w:rsidRPr="0092249B">
        <w:t xml:space="preserve">Diane Bohannon stated that the meeting was subject to the Open Meeting Law and that the Sub-Committee members present would need to vote to approve the remote participation of some members because of their geographic location, whenever any members were utilizing video and/or teleconferencing.  Remote access was approved unanimously by the subcommittee members present.    </w:t>
      </w:r>
    </w:p>
    <w:p w14:paraId="53A2F431" w14:textId="77777777" w:rsidR="001008D6" w:rsidRPr="0092249B" w:rsidRDefault="001008D6" w:rsidP="001008D6">
      <w:r w:rsidRPr="0092249B">
        <w:t>The minutes from the 14-22/Employment meeting on</w:t>
      </w:r>
      <w:r w:rsidR="00EF508E">
        <w:t xml:space="preserve"> November 5, 2018 were reviewed</w:t>
      </w:r>
      <w:r w:rsidRPr="0092249B">
        <w:t xml:space="preserve"> and approved unanimously.</w:t>
      </w:r>
    </w:p>
    <w:p w14:paraId="2D7ED4F8" w14:textId="77777777" w:rsidR="00E35F4B" w:rsidRDefault="00977961">
      <w:pPr>
        <w:rPr>
          <w:b/>
          <w:u w:val="single"/>
        </w:rPr>
      </w:pPr>
      <w:r w:rsidRPr="002A1F97">
        <w:rPr>
          <w:b/>
          <w:u w:val="single"/>
        </w:rPr>
        <w:t>Presentation from Work, Inc.</w:t>
      </w:r>
    </w:p>
    <w:p w14:paraId="75BCE769" w14:textId="77777777" w:rsidR="00D87026" w:rsidRDefault="00D87026">
      <w:r>
        <w:t xml:space="preserve">Bob Putnam and Nancy Gajee from the May Institute and Sharon Smith from Work, Inc. presented their Meaningful Jobs Initiative to the subcommittee.  The May Institute, </w:t>
      </w:r>
      <w:r w:rsidR="00EF508E">
        <w:t>N</w:t>
      </w:r>
      <w:r>
        <w:t>ational Autism Center and Work, Inc. were awarded a $250,000 grant from the Kessler Foundation to employ individuals with HF-ASD in the security field on January 1, 2016.</w:t>
      </w:r>
    </w:p>
    <w:p w14:paraId="6B06A59F" w14:textId="77777777" w:rsidR="00C35572" w:rsidRPr="0092249B" w:rsidRDefault="00C35572">
      <w:pPr>
        <w:rPr>
          <w:i/>
        </w:rPr>
      </w:pPr>
      <w:r w:rsidRPr="0092249B">
        <w:rPr>
          <w:i/>
        </w:rPr>
        <w:t>Power Point Presentation</w:t>
      </w:r>
    </w:p>
    <w:p w14:paraId="790CB5FA" w14:textId="77777777" w:rsidR="00C35572" w:rsidRDefault="00C35572" w:rsidP="00C35572">
      <w:pPr>
        <w:pStyle w:val="ListParagraph"/>
        <w:numPr>
          <w:ilvl w:val="0"/>
          <w:numId w:val="1"/>
        </w:numPr>
      </w:pPr>
      <w:r>
        <w:t xml:space="preserve">There were 80 applicants for this grant and only 5 </w:t>
      </w:r>
      <w:r w:rsidR="00A34EFC">
        <w:t>recipients</w:t>
      </w:r>
    </w:p>
    <w:p w14:paraId="77AE2357" w14:textId="77777777" w:rsidR="00C35572" w:rsidRDefault="00C35572" w:rsidP="00C35572">
      <w:pPr>
        <w:pStyle w:val="ListParagraph"/>
        <w:numPr>
          <w:ilvl w:val="0"/>
          <w:numId w:val="1"/>
        </w:numPr>
      </w:pPr>
      <w:r>
        <w:t>Goal – to employ individuals with high functioning ASD and improve employment outcomes</w:t>
      </w:r>
    </w:p>
    <w:p w14:paraId="6E8EB39E" w14:textId="77777777" w:rsidR="00EF508E" w:rsidRDefault="00C35572" w:rsidP="00C35572">
      <w:pPr>
        <w:pStyle w:val="ListParagraph"/>
        <w:numPr>
          <w:ilvl w:val="0"/>
          <w:numId w:val="1"/>
        </w:numPr>
      </w:pPr>
      <w:r>
        <w:t xml:space="preserve">Goal – to screen 100 individuals </w:t>
      </w:r>
    </w:p>
    <w:p w14:paraId="738DADB4" w14:textId="77777777" w:rsidR="00C35572" w:rsidRDefault="00C35572" w:rsidP="00C35572">
      <w:pPr>
        <w:pStyle w:val="ListParagraph"/>
        <w:numPr>
          <w:ilvl w:val="0"/>
          <w:numId w:val="1"/>
        </w:numPr>
      </w:pPr>
      <w:r>
        <w:t>They are working on a “Tool Kit” for replication of this program</w:t>
      </w:r>
    </w:p>
    <w:p w14:paraId="1D4DD598" w14:textId="77777777" w:rsidR="00C35572" w:rsidRDefault="00C35572" w:rsidP="00C35572">
      <w:pPr>
        <w:pStyle w:val="ListParagraph"/>
        <w:numPr>
          <w:ilvl w:val="0"/>
          <w:numId w:val="1"/>
        </w:numPr>
      </w:pPr>
      <w:r>
        <w:t xml:space="preserve">They started looking at TSA positions – there is only a 34% turnover rate but the requirements are very </w:t>
      </w:r>
      <w:r w:rsidR="00A34EFC">
        <w:t>rigorous</w:t>
      </w:r>
      <w:r>
        <w:t xml:space="preserve"> </w:t>
      </w:r>
    </w:p>
    <w:p w14:paraId="4E07DDCB" w14:textId="77777777" w:rsidR="00C35572" w:rsidRDefault="00C35572" w:rsidP="00C35572">
      <w:pPr>
        <w:pStyle w:val="ListParagraph"/>
        <w:numPr>
          <w:ilvl w:val="0"/>
          <w:numId w:val="1"/>
        </w:numPr>
      </w:pPr>
      <w:r>
        <w:t xml:space="preserve">There is </w:t>
      </w:r>
      <w:r w:rsidR="00A34EFC">
        <w:t>integrated</w:t>
      </w:r>
      <w:r>
        <w:t xml:space="preserve"> teamwork between Clinical Services and the Employment Services (career navigator)</w:t>
      </w:r>
    </w:p>
    <w:p w14:paraId="1ED489B8" w14:textId="77777777" w:rsidR="00C35572" w:rsidRDefault="00C35572" w:rsidP="00C35572">
      <w:pPr>
        <w:pStyle w:val="ListParagraph"/>
        <w:numPr>
          <w:ilvl w:val="0"/>
          <w:numId w:val="1"/>
        </w:numPr>
      </w:pPr>
      <w:r>
        <w:t xml:space="preserve">The clinical piece is key to success – it helps with anxiety management, builds on coping skills, </w:t>
      </w:r>
      <w:r w:rsidR="00EF508E">
        <w:t xml:space="preserve">social skill, </w:t>
      </w:r>
      <w:r>
        <w:t>training to read facial expressions</w:t>
      </w:r>
    </w:p>
    <w:p w14:paraId="5AB40A92" w14:textId="77777777" w:rsidR="003168A5" w:rsidRDefault="003168A5" w:rsidP="00C35572">
      <w:pPr>
        <w:pStyle w:val="ListParagraph"/>
        <w:numPr>
          <w:ilvl w:val="0"/>
          <w:numId w:val="1"/>
        </w:numPr>
      </w:pPr>
      <w:r>
        <w:t xml:space="preserve">Career Navigator is also critical with helping to engage and train employers, job coaching and interview prep., </w:t>
      </w:r>
      <w:r w:rsidR="00CE67BD">
        <w:t xml:space="preserve">working on </w:t>
      </w:r>
      <w:r>
        <w:t>the relationship between employer and employee</w:t>
      </w:r>
    </w:p>
    <w:p w14:paraId="48065BC1" w14:textId="77777777" w:rsidR="00CE67BD" w:rsidRDefault="00CE67BD" w:rsidP="00C35572">
      <w:pPr>
        <w:pStyle w:val="ListParagraph"/>
        <w:numPr>
          <w:ilvl w:val="0"/>
          <w:numId w:val="1"/>
        </w:numPr>
      </w:pPr>
      <w:r>
        <w:t>Job Fairs are a good way to practice interview skills</w:t>
      </w:r>
    </w:p>
    <w:p w14:paraId="36FAD75A" w14:textId="77777777" w:rsidR="00CE67BD" w:rsidRDefault="00CE67BD" w:rsidP="00CE67BD">
      <w:pPr>
        <w:pStyle w:val="ListParagraph"/>
        <w:numPr>
          <w:ilvl w:val="0"/>
          <w:numId w:val="1"/>
        </w:numPr>
      </w:pPr>
      <w:r>
        <w:t>Students in transition programs in schools are not getting enough “experi</w:t>
      </w:r>
      <w:r w:rsidR="006C6DBB">
        <w:t>e</w:t>
      </w:r>
      <w:r>
        <w:t xml:space="preserve">nces” that help to develop independence.  </w:t>
      </w:r>
    </w:p>
    <w:p w14:paraId="5024622C" w14:textId="77777777" w:rsidR="00CE67BD" w:rsidRDefault="00CE67BD" w:rsidP="00CE67BD">
      <w:pPr>
        <w:pStyle w:val="ListParagraph"/>
        <w:numPr>
          <w:ilvl w:val="0"/>
          <w:numId w:val="1"/>
        </w:numPr>
      </w:pPr>
      <w:r>
        <w:t xml:space="preserve">Individuals </w:t>
      </w:r>
      <w:r w:rsidR="00EF508E">
        <w:t xml:space="preserve">sometimes </w:t>
      </w:r>
      <w:r>
        <w:t>resent their parents for the lack of independence</w:t>
      </w:r>
    </w:p>
    <w:p w14:paraId="1ED720F5" w14:textId="77777777" w:rsidR="006C6DBB" w:rsidRPr="0092249B" w:rsidRDefault="006C6DBB" w:rsidP="006C6DBB">
      <w:pPr>
        <w:rPr>
          <w:i/>
        </w:rPr>
      </w:pPr>
      <w:r w:rsidRPr="0092249B">
        <w:rPr>
          <w:i/>
        </w:rPr>
        <w:lastRenderedPageBreak/>
        <w:t>Questions/Comments</w:t>
      </w:r>
    </w:p>
    <w:p w14:paraId="3E180ADB" w14:textId="77777777" w:rsidR="006C6DBB" w:rsidRDefault="006C6DBB" w:rsidP="006C6DBB">
      <w:pPr>
        <w:pStyle w:val="ListParagraph"/>
        <w:numPr>
          <w:ilvl w:val="0"/>
          <w:numId w:val="3"/>
        </w:numPr>
      </w:pPr>
      <w:r>
        <w:t xml:space="preserve">TSA does hire people with disabilities but certain medications </w:t>
      </w:r>
      <w:r w:rsidR="00EF508E">
        <w:t xml:space="preserve">and diagnosis’ </w:t>
      </w:r>
      <w:r>
        <w:t>will rule you out</w:t>
      </w:r>
    </w:p>
    <w:p w14:paraId="3B6541B6" w14:textId="77777777" w:rsidR="006C6DBB" w:rsidRDefault="006C6DBB" w:rsidP="006C6DBB">
      <w:pPr>
        <w:pStyle w:val="ListParagraph"/>
        <w:numPr>
          <w:ilvl w:val="0"/>
          <w:numId w:val="3"/>
        </w:numPr>
      </w:pPr>
      <w:r>
        <w:t>The program will assist with travel training individuals but will not provide transportation – most participants have been able to travel independently</w:t>
      </w:r>
    </w:p>
    <w:p w14:paraId="3696A7E7" w14:textId="77777777" w:rsidR="006C6DBB" w:rsidRDefault="006C6DBB" w:rsidP="006C6DBB">
      <w:pPr>
        <w:pStyle w:val="ListParagraph"/>
        <w:numPr>
          <w:ilvl w:val="0"/>
          <w:numId w:val="3"/>
        </w:numPr>
      </w:pPr>
      <w:r>
        <w:t xml:space="preserve">The Tool Kit should be ready in the next 3-4 months and will be made available publicly </w:t>
      </w:r>
    </w:p>
    <w:p w14:paraId="4CB41904" w14:textId="77777777" w:rsidR="006C6DBB" w:rsidRDefault="006C6DBB" w:rsidP="006C6DBB">
      <w:pPr>
        <w:pStyle w:val="ListParagraph"/>
        <w:numPr>
          <w:ilvl w:val="0"/>
          <w:numId w:val="3"/>
        </w:numPr>
      </w:pPr>
      <w:r>
        <w:t>Benefits specialists from MRC do engage with the individuals</w:t>
      </w:r>
    </w:p>
    <w:p w14:paraId="34308EF6" w14:textId="77777777" w:rsidR="006C6DBB" w:rsidRDefault="006C6DBB" w:rsidP="006C6DBB">
      <w:pPr>
        <w:pStyle w:val="ListParagraph"/>
        <w:numPr>
          <w:ilvl w:val="0"/>
          <w:numId w:val="3"/>
        </w:numPr>
      </w:pPr>
      <w:r>
        <w:t>When there are challenges with co-workers</w:t>
      </w:r>
      <w:r w:rsidR="0092249B">
        <w:t>, they are able to step in and do disability awareness discussions (almost all participants have experienced some issues with co-workers)</w:t>
      </w:r>
    </w:p>
    <w:p w14:paraId="45E94B68" w14:textId="77777777" w:rsidR="0092249B" w:rsidRDefault="0092249B" w:rsidP="006C6DBB">
      <w:pPr>
        <w:pStyle w:val="ListParagraph"/>
        <w:numPr>
          <w:ilvl w:val="0"/>
          <w:numId w:val="3"/>
        </w:numPr>
      </w:pPr>
      <w:r>
        <w:t>Sustainability – they are looking at funding sources to continue the program – Medicaid is helpful with some of the clinical support but it is not sufficient</w:t>
      </w:r>
    </w:p>
    <w:p w14:paraId="21FEBF08" w14:textId="77777777" w:rsidR="0092249B" w:rsidRDefault="0092249B" w:rsidP="006C6DBB">
      <w:pPr>
        <w:pStyle w:val="ListParagraph"/>
        <w:numPr>
          <w:ilvl w:val="0"/>
          <w:numId w:val="3"/>
        </w:numPr>
      </w:pPr>
      <w:r>
        <w:t>It was suggested to look at DDS and their behavioral supports as a billing code to see if this would work for a funding source</w:t>
      </w:r>
    </w:p>
    <w:p w14:paraId="44F35F1C" w14:textId="77777777" w:rsidR="00D42B2E" w:rsidRPr="00EF508E" w:rsidRDefault="004912B2" w:rsidP="00D42B2E">
      <w:pPr>
        <w:rPr>
          <w:b/>
          <w:u w:val="single"/>
        </w:rPr>
      </w:pPr>
      <w:r w:rsidRPr="00EF508E">
        <w:rPr>
          <w:b/>
          <w:u w:val="single"/>
        </w:rPr>
        <w:t>Update on MRC RFR for Pre-Employment Transition Services (Pre-ETS)</w:t>
      </w:r>
    </w:p>
    <w:p w14:paraId="4794A0C5" w14:textId="77777777" w:rsidR="004912B2" w:rsidRDefault="004912B2" w:rsidP="00D42B2E">
      <w:r>
        <w:t>Jennifer Stewart gave an update on the status of the RFR and also on MRC’s Priority for Services.  She provided the subcommittee with handouts (2 draft marketing sheets for Pre-ETS and a memorandum for Priority for Services) and discussed that the Priority for Services was going into effect on January 8, 2019</w:t>
      </w:r>
      <w:r w:rsidR="00E205E2">
        <w:t xml:space="preserve">.  </w:t>
      </w:r>
    </w:p>
    <w:p w14:paraId="2BE8791D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>There are no specific details on the RFR but Ms. Stewart should be able to share more information at our next meeting</w:t>
      </w:r>
    </w:p>
    <w:p w14:paraId="107B1552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>Biggest change on Pre-ETS is that you do not have to apply for services and can be “potentially eligible” to receive services</w:t>
      </w:r>
    </w:p>
    <w:p w14:paraId="5CED9EB7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>The goal of Pre-ETS is to help prepare for employment</w:t>
      </w:r>
    </w:p>
    <w:p w14:paraId="22EEA79A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 xml:space="preserve">Once the marketing material is ready for distribution, </w:t>
      </w:r>
      <w:r w:rsidR="008915EC">
        <w:t xml:space="preserve">it will </w:t>
      </w:r>
      <w:r>
        <w:t xml:space="preserve">be online and sent to the field for distribution – MRC still has </w:t>
      </w:r>
      <w:r w:rsidR="00EF508E">
        <w:t>liaisons</w:t>
      </w:r>
      <w:r>
        <w:t xml:space="preserve"> working with schools</w:t>
      </w:r>
    </w:p>
    <w:p w14:paraId="38A07F9C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>MRC looked at data from ESE to map out the students across the state – looking at student to dollars</w:t>
      </w:r>
    </w:p>
    <w:p w14:paraId="004C5426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>Students will be connected to a provider and the provider will develop the service plan</w:t>
      </w:r>
    </w:p>
    <w:p w14:paraId="0B44EC6E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 xml:space="preserve">Providers are required to work with a range of disabilities </w:t>
      </w:r>
    </w:p>
    <w:p w14:paraId="6E2EFB65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>There are currently 34 providers and ILC’s will be applying as well – some individual schools may apply</w:t>
      </w:r>
    </w:p>
    <w:p w14:paraId="1B6F4C31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>We will review the RFR at the next meeting</w:t>
      </w:r>
    </w:p>
    <w:p w14:paraId="17CABDC2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>Priority for Services – Priority 1 and 2 are open so there should not be a large difference on how MRC is operating</w:t>
      </w:r>
    </w:p>
    <w:p w14:paraId="57DE79AA" w14:textId="77777777" w:rsidR="00E205E2" w:rsidRDefault="00E205E2" w:rsidP="00E205E2">
      <w:pPr>
        <w:pStyle w:val="ListParagraph"/>
        <w:numPr>
          <w:ilvl w:val="0"/>
          <w:numId w:val="4"/>
        </w:numPr>
      </w:pPr>
      <w:r>
        <w:t>The area office will use a new tool to determine eligibility for prioritization</w:t>
      </w:r>
    </w:p>
    <w:p w14:paraId="0CEE65D3" w14:textId="77777777" w:rsidR="00843C08" w:rsidRPr="00EF508E" w:rsidRDefault="00843C08" w:rsidP="00843C08">
      <w:pPr>
        <w:rPr>
          <w:b/>
          <w:u w:val="single"/>
        </w:rPr>
      </w:pPr>
      <w:r w:rsidRPr="00EF508E">
        <w:rPr>
          <w:b/>
          <w:u w:val="single"/>
        </w:rPr>
        <w:t>Announcements</w:t>
      </w:r>
    </w:p>
    <w:p w14:paraId="30C4F4D1" w14:textId="77777777" w:rsidR="00843C08" w:rsidRDefault="00843C08" w:rsidP="00843C08">
      <w:r>
        <w:t xml:space="preserve">On 1/22/18 at the State House – Supported Family Day – Ms. Ursitti will send out the </w:t>
      </w:r>
      <w:r w:rsidR="00EF508E">
        <w:t>information</w:t>
      </w:r>
      <w:r>
        <w:t xml:space="preserve"> to the subcommittee members.</w:t>
      </w:r>
    </w:p>
    <w:p w14:paraId="0EF0D35D" w14:textId="77777777" w:rsidR="00843C08" w:rsidRDefault="00843C08" w:rsidP="00843C08">
      <w:r>
        <w:lastRenderedPageBreak/>
        <w:t>Autism Speaks Grant Cycle is open to providers until March 1</w:t>
      </w:r>
      <w:r w:rsidRPr="00843C08">
        <w:rPr>
          <w:vertAlign w:val="superscript"/>
        </w:rPr>
        <w:t>st</w:t>
      </w:r>
      <w:r>
        <w:t xml:space="preserve"> and Ms. Ursitti will send the grant link</w:t>
      </w:r>
    </w:p>
    <w:p w14:paraId="47E95DAB" w14:textId="77777777" w:rsidR="00843C08" w:rsidRDefault="00843C08" w:rsidP="00843C08">
      <w:r>
        <w:t>Ms. Kelly handed out information on a</w:t>
      </w:r>
      <w:r w:rsidR="00EF508E">
        <w:t>n ASD</w:t>
      </w:r>
      <w:r>
        <w:t xml:space="preserve"> study at BU – she will send the direct link to subcommittee members.</w:t>
      </w:r>
    </w:p>
    <w:p w14:paraId="5EBB3C84" w14:textId="77777777" w:rsidR="00EF508E" w:rsidRDefault="00EF508E" w:rsidP="00843C08">
      <w:r>
        <w:t>There will be a DDS Employment Conference on June 11</w:t>
      </w:r>
      <w:r w:rsidRPr="00EF508E">
        <w:rPr>
          <w:vertAlign w:val="superscript"/>
        </w:rPr>
        <w:t>th</w:t>
      </w:r>
      <w:r>
        <w:t xml:space="preserve"> and will include specialized topics on ASD.</w:t>
      </w:r>
    </w:p>
    <w:p w14:paraId="500D7429" w14:textId="77777777" w:rsidR="00843C08" w:rsidRDefault="00843C08" w:rsidP="00843C08"/>
    <w:p w14:paraId="2F2E2B6D" w14:textId="77777777" w:rsidR="00843C08" w:rsidRPr="00EF508E" w:rsidRDefault="00843C08" w:rsidP="00843C08">
      <w:pPr>
        <w:rPr>
          <w:b/>
          <w:u w:val="single"/>
        </w:rPr>
      </w:pPr>
      <w:r w:rsidRPr="00EF508E">
        <w:rPr>
          <w:b/>
          <w:u w:val="single"/>
        </w:rPr>
        <w:t>Working Group Update</w:t>
      </w:r>
    </w:p>
    <w:p w14:paraId="1944C8F8" w14:textId="77777777" w:rsidR="00843C08" w:rsidRDefault="00843C08" w:rsidP="00843C08">
      <w:r>
        <w:t xml:space="preserve">Ms. Hoerter updated the </w:t>
      </w:r>
      <w:r w:rsidR="008915EC">
        <w:t>subcommittee</w:t>
      </w:r>
      <w:r>
        <w:t xml:space="preserve"> on the gap analysis work.  She has shared a </w:t>
      </w:r>
      <w:r w:rsidR="00EF508E">
        <w:t>Google</w:t>
      </w:r>
      <w:r>
        <w:t xml:space="preserve"> doc. </w:t>
      </w:r>
      <w:r w:rsidR="00EF508E">
        <w:t>w</w:t>
      </w:r>
      <w:r>
        <w:t xml:space="preserve">ith the working group members to </w:t>
      </w:r>
      <w:r w:rsidR="00EF508E">
        <w:t xml:space="preserve">continue to </w:t>
      </w:r>
      <w:r>
        <w:t>update.</w:t>
      </w:r>
    </w:p>
    <w:p w14:paraId="7EDE99CC" w14:textId="77777777" w:rsidR="00843C08" w:rsidRPr="00EF508E" w:rsidRDefault="00843C08" w:rsidP="00843C08">
      <w:pPr>
        <w:rPr>
          <w:i/>
        </w:rPr>
      </w:pPr>
      <w:r>
        <w:tab/>
      </w:r>
      <w:r w:rsidRPr="00EF508E">
        <w:rPr>
          <w:i/>
        </w:rPr>
        <w:t>Questions</w:t>
      </w:r>
    </w:p>
    <w:p w14:paraId="3CBF20CB" w14:textId="77777777" w:rsidR="00843C08" w:rsidRDefault="00843C08" w:rsidP="00843C08">
      <w:pPr>
        <w:pStyle w:val="ListParagraph"/>
        <w:numPr>
          <w:ilvl w:val="0"/>
          <w:numId w:val="5"/>
        </w:numPr>
      </w:pPr>
      <w:r>
        <w:t>Look at the level 1-2-3  - these need to align with the language that the state agencies are using</w:t>
      </w:r>
    </w:p>
    <w:p w14:paraId="0B59E4FD" w14:textId="77777777" w:rsidR="00843C08" w:rsidRDefault="00843C08" w:rsidP="00843C08">
      <w:pPr>
        <w:pStyle w:val="ListParagraph"/>
        <w:numPr>
          <w:ilvl w:val="0"/>
          <w:numId w:val="5"/>
        </w:numPr>
      </w:pPr>
      <w:r>
        <w:t>Who will update/manage  this annually</w:t>
      </w:r>
    </w:p>
    <w:p w14:paraId="12B27E34" w14:textId="77777777" w:rsidR="00843C08" w:rsidRDefault="00843C08" w:rsidP="00843C08">
      <w:pPr>
        <w:pStyle w:val="ListParagraph"/>
        <w:numPr>
          <w:ilvl w:val="0"/>
          <w:numId w:val="5"/>
        </w:numPr>
      </w:pPr>
      <w:r>
        <w:t>Where will the document live</w:t>
      </w:r>
    </w:p>
    <w:p w14:paraId="64A03E85" w14:textId="77777777" w:rsidR="00843C08" w:rsidRDefault="00843C08" w:rsidP="00843C08">
      <w:pPr>
        <w:pStyle w:val="ListParagraph"/>
        <w:numPr>
          <w:ilvl w:val="0"/>
          <w:numId w:val="5"/>
        </w:numPr>
      </w:pPr>
      <w:r>
        <w:t>Who is the audience</w:t>
      </w:r>
    </w:p>
    <w:p w14:paraId="728B65E8" w14:textId="77777777" w:rsidR="00843C08" w:rsidRDefault="00843C08" w:rsidP="00843C08">
      <w:pPr>
        <w:pStyle w:val="ListParagraph"/>
        <w:numPr>
          <w:ilvl w:val="0"/>
          <w:numId w:val="5"/>
        </w:numPr>
      </w:pPr>
      <w:r>
        <w:t>What is the purpose</w:t>
      </w:r>
    </w:p>
    <w:p w14:paraId="68D15D34" w14:textId="77777777" w:rsidR="00843C08" w:rsidRDefault="00843C08" w:rsidP="00843C08">
      <w:r>
        <w:t>This will be added to the agenda for next meeting</w:t>
      </w:r>
    </w:p>
    <w:p w14:paraId="42F191B2" w14:textId="77777777" w:rsidR="00843C08" w:rsidRDefault="00843C08" w:rsidP="00843C08">
      <w:r>
        <w:t xml:space="preserve">There was also a quick review of the DDS </w:t>
      </w:r>
      <w:r w:rsidR="00EF508E">
        <w:t>training and the changes that were made – it was asked that members send in any comments to Dianne Lescinskas.  The updated PowerPoint was sent to all members.</w:t>
      </w:r>
    </w:p>
    <w:p w14:paraId="486F3287" w14:textId="77777777" w:rsidR="00EF508E" w:rsidRDefault="00EF508E" w:rsidP="00843C08">
      <w:r>
        <w:t>There was a brief review and handout on the survey questions for Pre-ETS providers – this will be discussed at a later meeting.</w:t>
      </w:r>
      <w:r w:rsidR="008915EC">
        <w:t xml:space="preserve">  </w:t>
      </w:r>
    </w:p>
    <w:p w14:paraId="6CF24F37" w14:textId="77777777" w:rsidR="00EF508E" w:rsidRDefault="00EF508E" w:rsidP="00843C08"/>
    <w:p w14:paraId="26D5D995" w14:textId="77777777" w:rsidR="00EF508E" w:rsidRDefault="00EF508E" w:rsidP="00843C08">
      <w:r>
        <w:t>The chairs of this subcommittee will email the members on the date of the next meeting in February.</w:t>
      </w:r>
    </w:p>
    <w:p w14:paraId="7508F27B" w14:textId="77777777" w:rsidR="00EF508E" w:rsidRDefault="00EF508E" w:rsidP="00843C08"/>
    <w:p w14:paraId="734B5237" w14:textId="77777777" w:rsidR="00EF508E" w:rsidRDefault="00EF508E" w:rsidP="00843C08">
      <w:r>
        <w:t>With no further business to discuss, the meeting was adjourned.</w:t>
      </w:r>
    </w:p>
    <w:p w14:paraId="2B9DF9CC" w14:textId="77777777" w:rsidR="00843C08" w:rsidRDefault="00843C08" w:rsidP="00843C08"/>
    <w:p w14:paraId="6684DDA6" w14:textId="77777777" w:rsidR="006C6DBB" w:rsidRPr="00D87026" w:rsidRDefault="006C6DBB" w:rsidP="006C6DBB"/>
    <w:p w14:paraId="123821A5" w14:textId="77777777" w:rsidR="002A1F97" w:rsidRDefault="002A1F97">
      <w:pPr>
        <w:rPr>
          <w:b/>
          <w:u w:val="single"/>
        </w:rPr>
      </w:pPr>
    </w:p>
    <w:p w14:paraId="0E6F5F7B" w14:textId="77777777" w:rsidR="002A1F97" w:rsidRPr="002A1F97" w:rsidRDefault="002A1F97">
      <w:pPr>
        <w:rPr>
          <w:b/>
          <w:u w:val="single"/>
        </w:rPr>
      </w:pPr>
    </w:p>
    <w:p w14:paraId="61AEAF6C" w14:textId="77777777" w:rsidR="00977961" w:rsidRDefault="00977961"/>
    <w:p w14:paraId="058CB5DA" w14:textId="77777777" w:rsidR="00977961" w:rsidRDefault="00977961"/>
    <w:sectPr w:rsidR="00977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84DF" w14:textId="77777777" w:rsidR="00782B40" w:rsidRDefault="00782B40" w:rsidP="00F60CE5">
      <w:pPr>
        <w:spacing w:after="0" w:line="240" w:lineRule="auto"/>
      </w:pPr>
      <w:r>
        <w:separator/>
      </w:r>
    </w:p>
  </w:endnote>
  <w:endnote w:type="continuationSeparator" w:id="0">
    <w:p w14:paraId="32DF2AE9" w14:textId="77777777" w:rsidR="00782B40" w:rsidRDefault="00782B40" w:rsidP="00F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2FF34" w14:textId="77777777" w:rsidR="00F60CE5" w:rsidRDefault="00F60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936F9" w14:textId="77777777" w:rsidR="00F60CE5" w:rsidRDefault="00F60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BED1" w14:textId="77777777" w:rsidR="00F60CE5" w:rsidRDefault="00F60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1B19" w14:textId="77777777" w:rsidR="00782B40" w:rsidRDefault="00782B40" w:rsidP="00F60CE5">
      <w:pPr>
        <w:spacing w:after="0" w:line="240" w:lineRule="auto"/>
      </w:pPr>
      <w:r>
        <w:separator/>
      </w:r>
    </w:p>
  </w:footnote>
  <w:footnote w:type="continuationSeparator" w:id="0">
    <w:p w14:paraId="3AF77EAE" w14:textId="77777777" w:rsidR="00782B40" w:rsidRDefault="00782B40" w:rsidP="00F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0EFA9" w14:textId="77777777" w:rsidR="00F60CE5" w:rsidRDefault="00F60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E666" w14:textId="77777777" w:rsidR="00F60CE5" w:rsidRDefault="00F60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08AD" w14:textId="77777777" w:rsidR="00F60CE5" w:rsidRDefault="00F60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91F"/>
    <w:multiLevelType w:val="hybridMultilevel"/>
    <w:tmpl w:val="CFE4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586F"/>
    <w:multiLevelType w:val="hybridMultilevel"/>
    <w:tmpl w:val="A258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2EDB"/>
    <w:multiLevelType w:val="hybridMultilevel"/>
    <w:tmpl w:val="9FAC2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000F2"/>
    <w:multiLevelType w:val="hybridMultilevel"/>
    <w:tmpl w:val="DA8C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66F3"/>
    <w:multiLevelType w:val="hybridMultilevel"/>
    <w:tmpl w:val="A32E9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D6"/>
    <w:rsid w:val="000B6D6F"/>
    <w:rsid w:val="001008D6"/>
    <w:rsid w:val="002A1F97"/>
    <w:rsid w:val="003168A5"/>
    <w:rsid w:val="004912B2"/>
    <w:rsid w:val="004D1CA6"/>
    <w:rsid w:val="006C6DBB"/>
    <w:rsid w:val="00714D7B"/>
    <w:rsid w:val="00782B40"/>
    <w:rsid w:val="00843C08"/>
    <w:rsid w:val="008915EC"/>
    <w:rsid w:val="0092249B"/>
    <w:rsid w:val="00977961"/>
    <w:rsid w:val="00A34EFC"/>
    <w:rsid w:val="00C35572"/>
    <w:rsid w:val="00CE67BD"/>
    <w:rsid w:val="00D42B2E"/>
    <w:rsid w:val="00D87026"/>
    <w:rsid w:val="00E205E2"/>
    <w:rsid w:val="00E35F4B"/>
    <w:rsid w:val="00EF508E"/>
    <w:rsid w:val="00F6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A5BC0"/>
  <w15:docId w15:val="{0A40C93A-9D2A-4032-BB2C-D1522E23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8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5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CE5"/>
  </w:style>
  <w:style w:type="paragraph" w:styleId="Footer">
    <w:name w:val="footer"/>
    <w:basedOn w:val="Normal"/>
    <w:link w:val="FooterChar"/>
    <w:uiPriority w:val="99"/>
    <w:unhideWhenUsed/>
    <w:rsid w:val="00F60C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Allan Stern</cp:lastModifiedBy>
  <cp:revision>2</cp:revision>
  <dcterms:created xsi:type="dcterms:W3CDTF">2021-04-12T16:41:00Z</dcterms:created>
  <dcterms:modified xsi:type="dcterms:W3CDTF">2021-04-12T16:41:00Z</dcterms:modified>
</cp:coreProperties>
</file>