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0pt;width:720pt;height:540pt;mso-position-horizontal-relative:page;mso-position-vertical-relative:page;z-index:-6712" coordorigin="0,0" coordsize="14400,10800">
            <v:shape style="position:absolute;left:0;top:0;width:14400;height:10800" type="#_x0000_t75" stroked="false">
              <v:imagedata r:id="rId5" o:title=""/>
            </v:shape>
            <v:shape style="position:absolute;left:11323;top:720;width:3046;height:3046" type="#_x0000_t75" stroked="false">
              <v:imagedata r:id="rId6" o:title=""/>
            </v:shape>
            <w10:wrap type="none"/>
          </v:group>
        </w:pict>
      </w:r>
    </w:p>
    <w:p>
      <w:pPr>
        <w:pStyle w:val="BodyText"/>
        <w:spacing w:before="5"/>
        <w:rPr>
          <w:rFonts w:ascii="Times New Roman"/>
          <w:sz w:val="25"/>
        </w:rPr>
      </w:pPr>
    </w:p>
    <w:p>
      <w:pPr>
        <w:spacing w:line="249" w:lineRule="auto" w:before="81"/>
        <w:ind w:left="103" w:right="8783" w:firstLine="0"/>
        <w:jc w:val="left"/>
        <w:rPr>
          <w:b/>
          <w:sz w:val="56"/>
        </w:rPr>
      </w:pPr>
      <w:r>
        <w:rPr>
          <w:b/>
          <w:color w:val="F8F8F8"/>
          <w:sz w:val="56"/>
        </w:rPr>
        <w:t>Commonwealth of Massachusetts</w:t>
      </w:r>
    </w:p>
    <w:p>
      <w:pPr>
        <w:spacing w:line="249" w:lineRule="auto" w:before="0"/>
        <w:ind w:left="103" w:right="8167" w:firstLine="0"/>
        <w:jc w:val="left"/>
        <w:rPr>
          <w:b/>
          <w:sz w:val="38"/>
        </w:rPr>
      </w:pPr>
      <w:r>
        <w:rPr>
          <w:b/>
          <w:color w:val="F8F8F8"/>
          <w:sz w:val="38"/>
        </w:rPr>
        <w:t>Executive Office of Health and Human Services</w:t>
      </w:r>
    </w:p>
    <w:p>
      <w:pPr>
        <w:pStyle w:val="BodyText"/>
        <w:rPr>
          <w:b/>
          <w:sz w:val="20"/>
        </w:rPr>
      </w:pPr>
    </w:p>
    <w:p>
      <w:pPr>
        <w:pStyle w:val="BodyText"/>
        <w:rPr>
          <w:b/>
          <w:sz w:val="20"/>
        </w:rPr>
      </w:pPr>
    </w:p>
    <w:p>
      <w:pPr>
        <w:pStyle w:val="BodyText"/>
        <w:rPr>
          <w:b/>
          <w:sz w:val="20"/>
        </w:rPr>
      </w:pPr>
    </w:p>
    <w:p>
      <w:pPr>
        <w:pStyle w:val="BodyText"/>
        <w:spacing w:before="3"/>
        <w:rPr>
          <w:b/>
          <w:sz w:val="28"/>
        </w:rPr>
      </w:pPr>
    </w:p>
    <w:p>
      <w:pPr>
        <w:spacing w:before="82"/>
        <w:ind w:left="0" w:right="113" w:firstLine="0"/>
        <w:jc w:val="right"/>
        <w:rPr>
          <w:b/>
          <w:sz w:val="56"/>
        </w:rPr>
      </w:pPr>
      <w:r>
        <w:rPr>
          <w:b/>
          <w:color w:val="003366"/>
          <w:sz w:val="56"/>
        </w:rPr>
        <w:t>Updates from the</w:t>
      </w:r>
    </w:p>
    <w:p>
      <w:pPr>
        <w:spacing w:line="624" w:lineRule="exact" w:before="129"/>
        <w:ind w:left="0" w:right="113" w:firstLine="0"/>
        <w:jc w:val="right"/>
        <w:rPr>
          <w:b/>
          <w:sz w:val="56"/>
        </w:rPr>
      </w:pPr>
      <w:r>
        <w:rPr>
          <w:b/>
          <w:color w:val="003366"/>
          <w:sz w:val="56"/>
        </w:rPr>
        <w:t>Autism Commission’s</w:t>
      </w:r>
    </w:p>
    <w:p>
      <w:pPr>
        <w:spacing w:line="624" w:lineRule="exact" w:before="0"/>
        <w:ind w:left="0" w:right="114" w:firstLine="0"/>
        <w:jc w:val="right"/>
        <w:rPr>
          <w:b/>
          <w:sz w:val="56"/>
        </w:rPr>
      </w:pPr>
      <w:r>
        <w:rPr>
          <w:b/>
          <w:color w:val="003366"/>
          <w:sz w:val="56"/>
        </w:rPr>
        <w:t>Subcommittee Co-Chairs</w:t>
      </w:r>
    </w:p>
    <w:p>
      <w:pPr>
        <w:pStyle w:val="BodyText"/>
        <w:rPr>
          <w:b/>
          <w:sz w:val="62"/>
        </w:rPr>
      </w:pPr>
    </w:p>
    <w:p>
      <w:pPr>
        <w:pStyle w:val="Heading3"/>
        <w:spacing w:before="485"/>
        <w:ind w:left="0" w:right="113"/>
        <w:jc w:val="right"/>
      </w:pPr>
      <w:r>
        <w:rPr>
          <w:color w:val="003366"/>
        </w:rPr>
        <w:t>May 30, 2019</w:t>
      </w:r>
    </w:p>
    <w:p>
      <w:pPr>
        <w:spacing w:after="0"/>
        <w:jc w:val="right"/>
        <w:sectPr>
          <w:type w:val="continuous"/>
          <w:pgSz w:w="14400" w:h="10800" w:orient="landscape"/>
          <w:pgMar w:top="1000" w:bottom="280" w:left="280" w:right="360"/>
        </w:sectPr>
      </w:pPr>
    </w:p>
    <w:p>
      <w:pPr>
        <w:pStyle w:val="BodyText"/>
        <w:rPr>
          <w:b/>
          <w:sz w:val="20"/>
        </w:rPr>
      </w:pPr>
    </w:p>
    <w:p>
      <w:pPr>
        <w:pStyle w:val="Heading2"/>
      </w:pPr>
      <w:r>
        <w:rPr/>
        <w:t>Co-Chairs Dr. Russell Johnston and Michele Brait</w:t>
      </w:r>
    </w:p>
    <w:p>
      <w:pPr>
        <w:pStyle w:val="BodyText"/>
        <w:spacing w:before="10"/>
        <w:rPr>
          <w:sz w:val="52"/>
        </w:rPr>
      </w:pPr>
    </w:p>
    <w:p>
      <w:pPr>
        <w:tabs>
          <w:tab w:pos="3552" w:val="left" w:leader="none"/>
        </w:tabs>
        <w:spacing w:line="388" w:lineRule="exact" w:before="0"/>
        <w:ind w:left="912" w:right="828" w:firstLine="0"/>
        <w:jc w:val="left"/>
        <w:rPr>
          <w:b/>
          <w:sz w:val="36"/>
        </w:rPr>
      </w:pPr>
      <w:r>
        <w:rPr>
          <w:b/>
          <w:sz w:val="36"/>
        </w:rPr>
        <w:t>Recommendation #1 Providing actionable feedback to the Massachusetts Department</w:t>
      </w:r>
      <w:r>
        <w:rPr>
          <w:b/>
          <w:spacing w:val="1"/>
          <w:sz w:val="36"/>
        </w:rPr>
        <w:t> </w:t>
      </w:r>
      <w:r>
        <w:rPr>
          <w:b/>
          <w:sz w:val="36"/>
        </w:rPr>
        <w:t>of</w:t>
        <w:tab/>
        <w:t>Elementary and Secondary Education (DESE) on</w:t>
      </w:r>
      <w:r>
        <w:rPr>
          <w:b/>
          <w:spacing w:val="-9"/>
          <w:sz w:val="36"/>
        </w:rPr>
        <w:t> </w:t>
      </w:r>
      <w:r>
        <w:rPr>
          <w:b/>
          <w:sz w:val="36"/>
        </w:rPr>
        <w:t>the</w:t>
      </w:r>
      <w:r>
        <w:rPr>
          <w:b/>
          <w:spacing w:val="-1"/>
          <w:sz w:val="36"/>
        </w:rPr>
        <w:t> </w:t>
      </w:r>
      <w:r>
        <w:rPr>
          <w:b/>
          <w:sz w:val="36"/>
        </w:rPr>
        <w:t>IEP</w:t>
      </w:r>
      <w:r>
        <w:rPr>
          <w:b/>
          <w:w w:val="99"/>
          <w:sz w:val="36"/>
        </w:rPr>
        <w:t> </w:t>
      </w:r>
      <w:r>
        <w:rPr>
          <w:b/>
          <w:sz w:val="36"/>
        </w:rPr>
        <w:t>Improvement Project specific to the needs of children with Autism Spectrum Disorder</w:t>
      </w:r>
      <w:r>
        <w:rPr>
          <w:b/>
          <w:spacing w:val="1"/>
          <w:sz w:val="36"/>
        </w:rPr>
        <w:t> </w:t>
      </w:r>
      <w:r>
        <w:rPr>
          <w:b/>
          <w:spacing w:val="-3"/>
          <w:sz w:val="36"/>
        </w:rPr>
        <w:t>(ASD)</w:t>
      </w:r>
    </w:p>
    <w:p>
      <w:pPr>
        <w:pStyle w:val="BodyText"/>
        <w:spacing w:before="6"/>
        <w:rPr>
          <w:b/>
          <w:sz w:val="50"/>
        </w:rPr>
      </w:pPr>
    </w:p>
    <w:p>
      <w:pPr>
        <w:spacing w:line="302" w:lineRule="exact" w:before="0"/>
        <w:ind w:left="912" w:right="988" w:firstLine="0"/>
        <w:jc w:val="both"/>
        <w:rPr>
          <w:sz w:val="28"/>
        </w:rPr>
      </w:pPr>
      <w:r>
        <w:rPr>
          <w:sz w:val="28"/>
        </w:rPr>
        <w:t>The 0-14 Subcommittee has developed a set of recommendations</w:t>
      </w:r>
      <w:r>
        <w:rPr>
          <w:spacing w:val="-55"/>
          <w:sz w:val="28"/>
        </w:rPr>
        <w:t> </w:t>
      </w:r>
      <w:r>
        <w:rPr>
          <w:sz w:val="28"/>
        </w:rPr>
        <w:t>for DESE on the IEP Improvement Project in order to ensure that the IEP process focuses on key topics related to ASD. Specifically, the recommendations</w:t>
      </w:r>
      <w:r>
        <w:rPr>
          <w:spacing w:val="-10"/>
          <w:sz w:val="28"/>
        </w:rPr>
        <w:t> </w:t>
      </w:r>
      <w:r>
        <w:rPr>
          <w:sz w:val="28"/>
        </w:rPr>
        <w:t>focus</w:t>
      </w:r>
      <w:r>
        <w:rPr>
          <w:spacing w:val="-6"/>
          <w:sz w:val="28"/>
        </w:rPr>
        <w:t> </w:t>
      </w:r>
      <w:r>
        <w:rPr>
          <w:sz w:val="28"/>
        </w:rPr>
        <w:t>on</w:t>
      </w:r>
      <w:r>
        <w:rPr>
          <w:spacing w:val="-4"/>
          <w:sz w:val="28"/>
        </w:rPr>
        <w:t> </w:t>
      </w:r>
      <w:r>
        <w:rPr>
          <w:sz w:val="28"/>
        </w:rPr>
        <w:t>key</w:t>
      </w:r>
      <w:r>
        <w:rPr>
          <w:spacing w:val="-1"/>
          <w:sz w:val="28"/>
        </w:rPr>
        <w:t> </w:t>
      </w:r>
      <w:r>
        <w:rPr>
          <w:sz w:val="28"/>
        </w:rPr>
        <w:t>areas</w:t>
      </w:r>
      <w:r>
        <w:rPr>
          <w:spacing w:val="-5"/>
          <w:sz w:val="28"/>
        </w:rPr>
        <w:t> </w:t>
      </w:r>
      <w:r>
        <w:rPr>
          <w:sz w:val="28"/>
        </w:rPr>
        <w:t>such</w:t>
      </w:r>
      <w:r>
        <w:rPr>
          <w:spacing w:val="-6"/>
          <w:sz w:val="28"/>
        </w:rPr>
        <w:t> </w:t>
      </w:r>
      <w:r>
        <w:rPr>
          <w:sz w:val="28"/>
        </w:rPr>
        <w:t>as</w:t>
      </w:r>
      <w:r>
        <w:rPr>
          <w:spacing w:val="-3"/>
          <w:sz w:val="28"/>
        </w:rPr>
        <w:t> </w:t>
      </w:r>
      <w:r>
        <w:rPr>
          <w:sz w:val="28"/>
        </w:rPr>
        <w:t>the</w:t>
      </w:r>
      <w:r>
        <w:rPr>
          <w:spacing w:val="-4"/>
          <w:sz w:val="28"/>
        </w:rPr>
        <w:t> </w:t>
      </w:r>
      <w:r>
        <w:rPr>
          <w:sz w:val="28"/>
        </w:rPr>
        <w:t>seven</w:t>
      </w:r>
      <w:r>
        <w:rPr>
          <w:spacing w:val="-4"/>
          <w:sz w:val="28"/>
        </w:rPr>
        <w:t> </w:t>
      </w:r>
      <w:r>
        <w:rPr>
          <w:sz w:val="28"/>
        </w:rPr>
        <w:t>specific</w:t>
      </w:r>
      <w:r>
        <w:rPr>
          <w:spacing w:val="-8"/>
          <w:sz w:val="28"/>
        </w:rPr>
        <w:t> </w:t>
      </w:r>
      <w:r>
        <w:rPr>
          <w:sz w:val="28"/>
        </w:rPr>
        <w:t>IEP</w:t>
      </w:r>
      <w:r>
        <w:rPr>
          <w:spacing w:val="-2"/>
          <w:sz w:val="28"/>
        </w:rPr>
        <w:t> </w:t>
      </w:r>
      <w:r>
        <w:rPr>
          <w:sz w:val="28"/>
        </w:rPr>
        <w:t>considerations</w:t>
      </w:r>
      <w:r>
        <w:rPr>
          <w:spacing w:val="-10"/>
          <w:sz w:val="28"/>
        </w:rPr>
        <w:t> </w:t>
      </w:r>
      <w:r>
        <w:rPr>
          <w:sz w:val="28"/>
        </w:rPr>
        <w:t>for</w:t>
      </w:r>
      <w:r>
        <w:rPr>
          <w:spacing w:val="-4"/>
          <w:sz w:val="28"/>
        </w:rPr>
        <w:t> </w:t>
      </w:r>
      <w:r>
        <w:rPr>
          <w:sz w:val="28"/>
        </w:rPr>
        <w:t>students</w:t>
      </w:r>
      <w:r>
        <w:rPr>
          <w:spacing w:val="-8"/>
          <w:sz w:val="28"/>
        </w:rPr>
        <w:t> </w:t>
      </w:r>
      <w:r>
        <w:rPr>
          <w:sz w:val="28"/>
        </w:rPr>
        <w:t>with ASD, creating effective functional behavior assessments and behavior</w:t>
      </w:r>
      <w:r>
        <w:rPr>
          <w:spacing w:val="-46"/>
          <w:sz w:val="28"/>
        </w:rPr>
        <w:t> </w:t>
      </w:r>
      <w:r>
        <w:rPr>
          <w:sz w:val="28"/>
        </w:rPr>
        <w:t>intervention</w:t>
      </w:r>
    </w:p>
    <w:p>
      <w:pPr>
        <w:spacing w:line="302" w:lineRule="exact" w:before="84"/>
        <w:ind w:left="912" w:right="828" w:firstLine="0"/>
        <w:jc w:val="left"/>
        <w:rPr>
          <w:sz w:val="28"/>
        </w:rPr>
      </w:pPr>
      <w:r>
        <w:rPr>
          <w:sz w:val="28"/>
        </w:rPr>
        <w:t>plans and addressing student-specific communication needs through the use of aided and augmentative communication. The recommendations also focus on issues related to families of children with ASD, including targeted areas in which their feedback can be obtained prior to IEP meetings, and specific ways in which the cultural and linguistic assets</w:t>
      </w:r>
      <w:r>
        <w:rPr>
          <w:spacing w:val="-55"/>
          <w:sz w:val="28"/>
        </w:rPr>
        <w:t> </w:t>
      </w:r>
      <w:r>
        <w:rPr>
          <w:sz w:val="28"/>
        </w:rPr>
        <w:t>of families can be considered through the IEP process. The 0-14 Subcommittee is pleased to share their</w:t>
      </w:r>
    </w:p>
    <w:p>
      <w:pPr>
        <w:spacing w:line="312" w:lineRule="exact" w:before="63"/>
        <w:ind w:left="912" w:right="0" w:firstLine="0"/>
        <w:jc w:val="left"/>
        <w:rPr>
          <w:sz w:val="28"/>
        </w:rPr>
      </w:pPr>
      <w:r>
        <w:rPr>
          <w:sz w:val="28"/>
        </w:rPr>
        <w:t>recommendations with DESE and they anticipate seeing how their input is reflected in the</w:t>
      </w:r>
      <w:r>
        <w:rPr>
          <w:spacing w:val="-51"/>
          <w:sz w:val="28"/>
        </w:rPr>
        <w:t> </w:t>
      </w:r>
      <w:r>
        <w:rPr>
          <w:sz w:val="28"/>
        </w:rPr>
        <w:t>forthcoming</w:t>
      </w:r>
    </w:p>
    <w:p>
      <w:pPr>
        <w:spacing w:line="312" w:lineRule="exact" w:before="0"/>
        <w:ind w:left="912" w:right="0" w:firstLine="0"/>
        <w:jc w:val="left"/>
        <w:rPr>
          <w:sz w:val="28"/>
        </w:rPr>
      </w:pPr>
      <w:r>
        <w:rPr>
          <w:sz w:val="28"/>
        </w:rPr>
        <w:t>changes introduced by the state education agency.</w:t>
      </w:r>
    </w:p>
    <w:p>
      <w:pPr>
        <w:spacing w:after="0" w:line="312" w:lineRule="exact"/>
        <w:jc w:val="left"/>
        <w:rPr>
          <w:sz w:val="28"/>
        </w:rPr>
        <w:sectPr>
          <w:headerReference w:type="default" r:id="rId7"/>
          <w:footerReference w:type="default" r:id="rId8"/>
          <w:pgSz w:w="14400" w:h="10800" w:orient="landscape"/>
          <w:pgMar w:header="0" w:footer="361" w:top="1460" w:bottom="560" w:left="0" w:right="0"/>
          <w:pgNumType w:start="2"/>
        </w:sectPr>
      </w:pPr>
    </w:p>
    <w:p>
      <w:pPr>
        <w:pStyle w:val="BodyText"/>
        <w:rPr>
          <w:sz w:val="20"/>
        </w:rPr>
      </w:pPr>
    </w:p>
    <w:p>
      <w:pPr>
        <w:tabs>
          <w:tab w:pos="4732" w:val="left" w:leader="none"/>
        </w:tabs>
        <w:spacing w:line="388" w:lineRule="exact" w:before="295"/>
        <w:ind w:left="912" w:right="828" w:firstLine="0"/>
        <w:jc w:val="left"/>
        <w:rPr>
          <w:b/>
          <w:sz w:val="36"/>
        </w:rPr>
      </w:pPr>
      <w:r>
        <w:rPr>
          <w:b/>
          <w:sz w:val="36"/>
        </w:rPr>
        <w:t>Recommendation #2</w:t>
        <w:tab/>
        <w:t>Improving recruitment and retention</w:t>
      </w:r>
      <w:r>
        <w:rPr>
          <w:b/>
          <w:spacing w:val="-6"/>
          <w:sz w:val="36"/>
        </w:rPr>
        <w:t> </w:t>
      </w:r>
      <w:r>
        <w:rPr>
          <w:b/>
          <w:sz w:val="36"/>
        </w:rPr>
        <w:t>strategies</w:t>
      </w:r>
      <w:r>
        <w:rPr>
          <w:b/>
          <w:spacing w:val="-3"/>
          <w:sz w:val="36"/>
        </w:rPr>
        <w:t> </w:t>
      </w:r>
      <w:r>
        <w:rPr>
          <w:b/>
          <w:sz w:val="36"/>
        </w:rPr>
        <w:t>of Board Certified Behavior Analysts </w:t>
      </w:r>
      <w:r>
        <w:rPr>
          <w:b/>
          <w:spacing w:val="-3"/>
          <w:sz w:val="36"/>
        </w:rPr>
        <w:t>(BCBA) </w:t>
      </w:r>
      <w:r>
        <w:rPr>
          <w:b/>
          <w:sz w:val="36"/>
        </w:rPr>
        <w:t>and related behavior therapists in public education</w:t>
      </w:r>
      <w:r>
        <w:rPr>
          <w:b/>
          <w:spacing w:val="-12"/>
          <w:sz w:val="36"/>
        </w:rPr>
        <w:t> </w:t>
      </w:r>
      <w:r>
        <w:rPr>
          <w:b/>
          <w:sz w:val="36"/>
        </w:rPr>
        <w:t>settings</w:t>
      </w:r>
    </w:p>
    <w:p>
      <w:pPr>
        <w:tabs>
          <w:tab w:pos="2191" w:val="left" w:leader="none"/>
          <w:tab w:pos="5393" w:val="left" w:leader="none"/>
          <w:tab w:pos="5532" w:val="left" w:leader="none"/>
        </w:tabs>
        <w:spacing w:line="249" w:lineRule="auto" w:before="125"/>
        <w:ind w:left="912" w:right="1027" w:firstLine="0"/>
        <w:jc w:val="left"/>
        <w:rPr>
          <w:sz w:val="36"/>
        </w:rPr>
      </w:pPr>
      <w:r>
        <w:rPr>
          <w:sz w:val="36"/>
        </w:rPr>
        <w:t>The 0-14 Subcommittee determined that a key area of influence for their collective effort would be on sharing promising practices for recruiting and retaining BCBAs and related behavior therapists in public education settings. Through their collective </w:t>
      </w:r>
      <w:r>
        <w:rPr>
          <w:spacing w:val="-3"/>
          <w:sz w:val="36"/>
        </w:rPr>
        <w:t>knowledge, </w:t>
      </w:r>
      <w:r>
        <w:rPr>
          <w:sz w:val="36"/>
        </w:rPr>
        <w:t>the subcommittee noted that public school districts struggle to hire and maintain staff </w:t>
      </w:r>
      <w:r>
        <w:rPr>
          <w:spacing w:val="-3"/>
          <w:sz w:val="36"/>
        </w:rPr>
        <w:t>who </w:t>
      </w:r>
      <w:r>
        <w:rPr>
          <w:sz w:val="36"/>
        </w:rPr>
        <w:t>are effective at meeting the needs of children</w:t>
      </w:r>
      <w:r>
        <w:rPr>
          <w:spacing w:val="-8"/>
          <w:sz w:val="36"/>
        </w:rPr>
        <w:t> </w:t>
      </w:r>
      <w:r>
        <w:rPr>
          <w:sz w:val="36"/>
        </w:rPr>
        <w:t>with</w:t>
      </w:r>
      <w:r>
        <w:rPr>
          <w:spacing w:val="5"/>
          <w:sz w:val="36"/>
        </w:rPr>
        <w:t> </w:t>
      </w:r>
      <w:r>
        <w:rPr>
          <w:sz w:val="36"/>
        </w:rPr>
        <w:t>ASD.</w:t>
        <w:tab/>
        <w:tab/>
        <w:t>They also identified isolated instances</w:t>
      </w:r>
      <w:r>
        <w:rPr>
          <w:spacing w:val="-17"/>
          <w:sz w:val="36"/>
        </w:rPr>
        <w:t> </w:t>
      </w:r>
      <w:r>
        <w:rPr>
          <w:sz w:val="36"/>
        </w:rPr>
        <w:t>in</w:t>
      </w:r>
      <w:r>
        <w:rPr>
          <w:spacing w:val="-7"/>
          <w:sz w:val="36"/>
        </w:rPr>
        <w:t> </w:t>
      </w:r>
      <w:r>
        <w:rPr>
          <w:sz w:val="36"/>
        </w:rPr>
        <w:t>which</w:t>
      </w:r>
      <w:r>
        <w:rPr>
          <w:w w:val="99"/>
          <w:sz w:val="36"/>
        </w:rPr>
        <w:t> </w:t>
      </w:r>
      <w:r>
        <w:rPr>
          <w:sz w:val="36"/>
        </w:rPr>
        <w:t>districts have developed effective recruitment and retention strategies, and</w:t>
      </w:r>
      <w:r>
        <w:rPr>
          <w:spacing w:val="-18"/>
          <w:sz w:val="36"/>
        </w:rPr>
        <w:t> </w:t>
      </w:r>
      <w:r>
        <w:rPr>
          <w:sz w:val="36"/>
        </w:rPr>
        <w:t>the subcommittee expressed its interest in expanding the practices more broadly across</w:t>
      </w:r>
      <w:r>
        <w:rPr>
          <w:spacing w:val="-3"/>
          <w:sz w:val="36"/>
        </w:rPr>
        <w:t> </w:t>
      </w:r>
      <w:r>
        <w:rPr>
          <w:sz w:val="36"/>
        </w:rPr>
        <w:t>the</w:t>
      </w:r>
      <w:r>
        <w:rPr>
          <w:spacing w:val="-5"/>
          <w:sz w:val="36"/>
        </w:rPr>
        <w:t> </w:t>
      </w:r>
      <w:r>
        <w:rPr>
          <w:sz w:val="36"/>
        </w:rPr>
        <w:t>commonwealth.</w:t>
        <w:tab/>
        <w:t>In order to better understand and</w:t>
      </w:r>
      <w:r>
        <w:rPr>
          <w:spacing w:val="-17"/>
          <w:sz w:val="36"/>
        </w:rPr>
        <w:t> </w:t>
      </w:r>
      <w:r>
        <w:rPr>
          <w:sz w:val="36"/>
        </w:rPr>
        <w:t>expand these</w:t>
      </w:r>
      <w:r>
        <w:rPr>
          <w:w w:val="99"/>
          <w:sz w:val="36"/>
        </w:rPr>
        <w:t> </w:t>
      </w:r>
      <w:r>
        <w:rPr>
          <w:sz w:val="36"/>
        </w:rPr>
        <w:t>positive practices, the subcommittee has developed </w:t>
      </w:r>
      <w:r>
        <w:rPr>
          <w:spacing w:val="-3"/>
          <w:sz w:val="36"/>
        </w:rPr>
        <w:t>two </w:t>
      </w:r>
      <w:r>
        <w:rPr>
          <w:sz w:val="36"/>
        </w:rPr>
        <w:t>surveys (one for special education directors and one for BCBAs) that </w:t>
      </w:r>
      <w:r>
        <w:rPr>
          <w:spacing w:val="-3"/>
          <w:sz w:val="36"/>
        </w:rPr>
        <w:t>will </w:t>
      </w:r>
      <w:r>
        <w:rPr>
          <w:sz w:val="36"/>
        </w:rPr>
        <w:t>be sent out later this spring.</w:t>
        <w:tab/>
        <w:t>The surveys ask respondents to provide information on</w:t>
      </w:r>
      <w:r>
        <w:rPr>
          <w:spacing w:val="-12"/>
          <w:sz w:val="36"/>
        </w:rPr>
        <w:t> </w:t>
      </w:r>
      <w:r>
        <w:rPr>
          <w:sz w:val="36"/>
        </w:rPr>
        <w:t>the</w:t>
      </w:r>
      <w:r>
        <w:rPr>
          <w:spacing w:val="-5"/>
          <w:sz w:val="36"/>
        </w:rPr>
        <w:t> </w:t>
      </w:r>
      <w:r>
        <w:rPr>
          <w:sz w:val="36"/>
        </w:rPr>
        <w:t>current</w:t>
      </w:r>
      <w:r>
        <w:rPr>
          <w:w w:val="100"/>
          <w:sz w:val="36"/>
        </w:rPr>
        <w:t> </w:t>
      </w:r>
      <w:r>
        <w:rPr>
          <w:sz w:val="36"/>
        </w:rPr>
        <w:t>practices being used to hire and maintain qualified staff in public settings. In July, the subcommittee </w:t>
      </w:r>
      <w:r>
        <w:rPr>
          <w:spacing w:val="-3"/>
          <w:sz w:val="36"/>
        </w:rPr>
        <w:t>will </w:t>
      </w:r>
      <w:r>
        <w:rPr>
          <w:sz w:val="36"/>
        </w:rPr>
        <w:t>analyze the results and develop a draft set of promising recruitment and retention practices to be shared with school and district</w:t>
      </w:r>
      <w:r>
        <w:rPr>
          <w:spacing w:val="-6"/>
          <w:sz w:val="36"/>
        </w:rPr>
        <w:t> </w:t>
      </w:r>
      <w:r>
        <w:rPr>
          <w:sz w:val="36"/>
        </w:rPr>
        <w:t>leaders.</w:t>
      </w:r>
    </w:p>
    <w:p>
      <w:pPr>
        <w:spacing w:after="0" w:line="249" w:lineRule="auto"/>
        <w:jc w:val="left"/>
        <w:rPr>
          <w:sz w:val="36"/>
        </w:rPr>
        <w:sectPr>
          <w:pgSz w:w="14400" w:h="10800" w:orient="landscape"/>
          <w:pgMar w:header="0" w:footer="361" w:top="1460" w:bottom="560" w:left="0" w:right="0"/>
        </w:sectPr>
      </w:pPr>
    </w:p>
    <w:p>
      <w:pPr>
        <w:pStyle w:val="BodyText"/>
        <w:rPr>
          <w:sz w:val="20"/>
        </w:rPr>
      </w:pPr>
    </w:p>
    <w:p>
      <w:pPr>
        <w:pStyle w:val="Heading3"/>
        <w:tabs>
          <w:tab w:pos="5046" w:val="left" w:leader="none"/>
        </w:tabs>
        <w:spacing w:line="225" w:lineRule="auto" w:before="286"/>
        <w:ind w:right="966"/>
      </w:pPr>
      <w:r>
        <w:rPr/>
        <w:t>Recommendation</w:t>
      </w:r>
      <w:r>
        <w:rPr>
          <w:spacing w:val="-5"/>
        </w:rPr>
        <w:t> </w:t>
      </w:r>
      <w:r>
        <w:rPr/>
        <w:t>#3</w:t>
        <w:tab/>
        <w:t>Determining how wait times for</w:t>
      </w:r>
      <w:r>
        <w:rPr>
          <w:spacing w:val="-21"/>
        </w:rPr>
        <w:t> </w:t>
      </w:r>
      <w:r>
        <w:rPr/>
        <w:t>diagnosis</w:t>
      </w:r>
      <w:r>
        <w:rPr>
          <w:spacing w:val="-2"/>
        </w:rPr>
        <w:t> </w:t>
      </w:r>
      <w:r>
        <w:rPr/>
        <w:t>of</w:t>
      </w:r>
      <w:r>
        <w:rPr>
          <w:w w:val="100"/>
        </w:rPr>
        <w:t> </w:t>
      </w:r>
      <w:r>
        <w:rPr/>
        <w:t>children ages 0-3 can be reduced so that early intervening strategies for children with ASD can be implemented as early as possible</w:t>
      </w:r>
    </w:p>
    <w:p>
      <w:pPr>
        <w:pStyle w:val="BodyText"/>
        <w:rPr>
          <w:b/>
          <w:sz w:val="44"/>
        </w:rPr>
      </w:pPr>
    </w:p>
    <w:p>
      <w:pPr>
        <w:pStyle w:val="BodyText"/>
        <w:spacing w:before="5"/>
        <w:rPr>
          <w:b/>
          <w:sz w:val="64"/>
        </w:rPr>
      </w:pPr>
    </w:p>
    <w:p>
      <w:pPr>
        <w:spacing w:line="225" w:lineRule="auto" w:before="0"/>
        <w:ind w:left="912" w:right="811" w:firstLine="0"/>
        <w:jc w:val="left"/>
        <w:rPr>
          <w:sz w:val="48"/>
        </w:rPr>
      </w:pPr>
      <w:r>
        <w:rPr>
          <w:sz w:val="48"/>
        </w:rPr>
        <w:t>The 0-14 Subcommittee has identified the wait times for diagnosis of children ages 0-3 as a key issue for their involvement. During the past six months, the subcommittee has gathered information on the specific nature of this issue (i.e., the length of wait times across the commonwealth) and potential obstacles for addressing this issue. During the remainder of this year, the subcommittee will continue to investigate this issue and potential</w:t>
      </w:r>
      <w:r>
        <w:rPr>
          <w:spacing w:val="-6"/>
          <w:sz w:val="48"/>
        </w:rPr>
        <w:t> </w:t>
      </w:r>
      <w:r>
        <w:rPr>
          <w:sz w:val="48"/>
        </w:rPr>
        <w:t>solutions.</w:t>
      </w:r>
    </w:p>
    <w:p>
      <w:pPr>
        <w:spacing w:after="0" w:line="225" w:lineRule="auto"/>
        <w:jc w:val="left"/>
        <w:rPr>
          <w:sz w:val="48"/>
        </w:rPr>
        <w:sectPr>
          <w:pgSz w:w="14400" w:h="10800" w:orient="landscape"/>
          <w:pgMar w:header="0" w:footer="361" w:top="1460" w:bottom="560" w:left="0" w:right="0"/>
        </w:sectPr>
      </w:pPr>
    </w:p>
    <w:p>
      <w:pPr>
        <w:pStyle w:val="BodyText"/>
        <w:rPr>
          <w:sz w:val="20"/>
        </w:rPr>
      </w:pPr>
    </w:p>
    <w:p>
      <w:pPr>
        <w:pStyle w:val="BodyText"/>
        <w:spacing w:before="6"/>
        <w:rPr>
          <w:sz w:val="25"/>
        </w:rPr>
      </w:pPr>
    </w:p>
    <w:p>
      <w:pPr>
        <w:spacing w:before="84"/>
        <w:ind w:left="1032" w:right="0" w:firstLine="0"/>
        <w:jc w:val="left"/>
        <w:rPr>
          <w:sz w:val="48"/>
        </w:rPr>
      </w:pPr>
      <w:r>
        <w:rPr>
          <w:sz w:val="48"/>
        </w:rPr>
        <w:t>Co-Chairs Toni Wolf and Judith Ursitti</w:t>
      </w:r>
    </w:p>
    <w:p>
      <w:pPr>
        <w:pStyle w:val="BodyText"/>
        <w:spacing w:before="1"/>
        <w:rPr>
          <w:sz w:val="75"/>
        </w:rPr>
      </w:pPr>
    </w:p>
    <w:p>
      <w:pPr>
        <w:pStyle w:val="ListParagraph"/>
        <w:numPr>
          <w:ilvl w:val="0"/>
          <w:numId w:val="1"/>
        </w:numPr>
        <w:tabs>
          <w:tab w:pos="1632" w:val="left" w:leader="none"/>
          <w:tab w:pos="1633" w:val="left" w:leader="none"/>
        </w:tabs>
        <w:spacing w:line="240" w:lineRule="auto" w:before="1" w:after="0"/>
        <w:ind w:left="1632" w:right="0" w:hanging="600"/>
        <w:jc w:val="left"/>
        <w:rPr>
          <w:sz w:val="40"/>
        </w:rPr>
      </w:pPr>
      <w:r>
        <w:rPr>
          <w:sz w:val="40"/>
        </w:rPr>
        <w:t>Work, Inc. presented regarding their Meaningful Jobs</w:t>
      </w:r>
      <w:r>
        <w:rPr>
          <w:spacing w:val="-27"/>
          <w:sz w:val="40"/>
        </w:rPr>
        <w:t> </w:t>
      </w:r>
      <w:r>
        <w:rPr>
          <w:sz w:val="40"/>
        </w:rPr>
        <w:t>Initiative.</w:t>
      </w:r>
    </w:p>
    <w:p>
      <w:pPr>
        <w:pStyle w:val="BodyText"/>
        <w:rPr>
          <w:sz w:val="56"/>
        </w:rPr>
      </w:pPr>
    </w:p>
    <w:p>
      <w:pPr>
        <w:pStyle w:val="ListParagraph"/>
        <w:numPr>
          <w:ilvl w:val="0"/>
          <w:numId w:val="1"/>
        </w:numPr>
        <w:tabs>
          <w:tab w:pos="1632" w:val="left" w:leader="none"/>
          <w:tab w:pos="1633" w:val="left" w:leader="none"/>
        </w:tabs>
        <w:spacing w:line="240" w:lineRule="auto" w:before="0" w:after="0"/>
        <w:ind w:left="1632" w:right="0" w:hanging="600"/>
        <w:jc w:val="left"/>
        <w:rPr>
          <w:sz w:val="40"/>
        </w:rPr>
      </w:pPr>
      <w:r>
        <w:rPr>
          <w:sz w:val="40"/>
        </w:rPr>
        <w:t>MRC provided updates on the status of the rollout of their new</w:t>
      </w:r>
      <w:r>
        <w:rPr>
          <w:spacing w:val="-20"/>
          <w:sz w:val="40"/>
        </w:rPr>
        <w:t> </w:t>
      </w:r>
      <w:r>
        <w:rPr>
          <w:sz w:val="40"/>
        </w:rPr>
        <w:t>RFR.</w:t>
      </w:r>
    </w:p>
    <w:p>
      <w:pPr>
        <w:pStyle w:val="BodyText"/>
        <w:spacing w:before="10"/>
        <w:rPr>
          <w:sz w:val="55"/>
        </w:rPr>
      </w:pPr>
    </w:p>
    <w:p>
      <w:pPr>
        <w:pStyle w:val="ListParagraph"/>
        <w:numPr>
          <w:ilvl w:val="0"/>
          <w:numId w:val="1"/>
        </w:numPr>
        <w:tabs>
          <w:tab w:pos="1632" w:val="left" w:leader="none"/>
          <w:tab w:pos="1633" w:val="left" w:leader="none"/>
        </w:tabs>
        <w:spacing w:line="240" w:lineRule="auto" w:before="1" w:after="0"/>
        <w:ind w:left="1632" w:right="0" w:hanging="600"/>
        <w:jc w:val="left"/>
        <w:rPr>
          <w:sz w:val="40"/>
        </w:rPr>
      </w:pPr>
      <w:r>
        <w:rPr>
          <w:sz w:val="40"/>
        </w:rPr>
        <w:t>Subcommittee finalized training tool for DDS</w:t>
      </w:r>
      <w:r>
        <w:rPr>
          <w:spacing w:val="-8"/>
          <w:sz w:val="40"/>
        </w:rPr>
        <w:t> </w:t>
      </w:r>
      <w:r>
        <w:rPr>
          <w:sz w:val="40"/>
        </w:rPr>
        <w:t>staff.</w:t>
      </w:r>
    </w:p>
    <w:p>
      <w:pPr>
        <w:pStyle w:val="BodyText"/>
        <w:spacing w:before="7"/>
        <w:rPr>
          <w:sz w:val="58"/>
        </w:rPr>
      </w:pPr>
    </w:p>
    <w:p>
      <w:pPr>
        <w:pStyle w:val="ListParagraph"/>
        <w:numPr>
          <w:ilvl w:val="0"/>
          <w:numId w:val="1"/>
        </w:numPr>
        <w:tabs>
          <w:tab w:pos="1632" w:val="left" w:leader="none"/>
          <w:tab w:pos="1633" w:val="left" w:leader="none"/>
        </w:tabs>
        <w:spacing w:line="432" w:lineRule="exact" w:before="0" w:after="0"/>
        <w:ind w:left="1632" w:right="1042" w:hanging="600"/>
        <w:jc w:val="left"/>
        <w:rPr>
          <w:sz w:val="40"/>
        </w:rPr>
      </w:pPr>
      <w:r>
        <w:rPr>
          <w:sz w:val="40"/>
        </w:rPr>
        <w:t>Self-advocate, Greg Rosen, presented on autism advantage in</w:t>
      </w:r>
      <w:r>
        <w:rPr>
          <w:spacing w:val="-27"/>
          <w:sz w:val="40"/>
        </w:rPr>
        <w:t> </w:t>
      </w:r>
      <w:r>
        <w:rPr>
          <w:sz w:val="40"/>
        </w:rPr>
        <w:t>the workplace.</w:t>
      </w:r>
    </w:p>
    <w:p>
      <w:pPr>
        <w:pStyle w:val="BodyText"/>
        <w:spacing w:before="4"/>
        <w:rPr>
          <w:sz w:val="58"/>
        </w:rPr>
      </w:pPr>
    </w:p>
    <w:p>
      <w:pPr>
        <w:pStyle w:val="ListParagraph"/>
        <w:numPr>
          <w:ilvl w:val="0"/>
          <w:numId w:val="1"/>
        </w:numPr>
        <w:tabs>
          <w:tab w:pos="1632" w:val="left" w:leader="none"/>
          <w:tab w:pos="1633" w:val="left" w:leader="none"/>
        </w:tabs>
        <w:spacing w:line="432" w:lineRule="exact" w:before="1" w:after="0"/>
        <w:ind w:left="1632" w:right="1796" w:hanging="600"/>
        <w:jc w:val="left"/>
        <w:rPr>
          <w:sz w:val="40"/>
        </w:rPr>
      </w:pPr>
      <w:r>
        <w:rPr>
          <w:sz w:val="40"/>
        </w:rPr>
        <w:t>Jeanne Hoerter presented results from AANE Survey on</w:t>
      </w:r>
      <w:r>
        <w:rPr>
          <w:spacing w:val="-22"/>
          <w:sz w:val="40"/>
        </w:rPr>
        <w:t> </w:t>
      </w:r>
      <w:r>
        <w:rPr>
          <w:sz w:val="40"/>
        </w:rPr>
        <w:t>Adult Services.</w:t>
      </w:r>
    </w:p>
    <w:p>
      <w:pPr>
        <w:spacing w:after="0" w:line="432" w:lineRule="exact"/>
        <w:jc w:val="left"/>
        <w:rPr>
          <w:sz w:val="40"/>
        </w:rPr>
        <w:sectPr>
          <w:headerReference w:type="default" r:id="rId9"/>
          <w:pgSz w:w="14400" w:h="10800" w:orient="landscape"/>
          <w:pgMar w:header="0" w:footer="361" w:top="1460" w:bottom="560" w:left="0" w:right="0"/>
        </w:sectPr>
      </w:pPr>
    </w:p>
    <w:p>
      <w:pPr>
        <w:pStyle w:val="BodyText"/>
        <w:rPr>
          <w:sz w:val="20"/>
        </w:rPr>
      </w:pPr>
    </w:p>
    <w:p>
      <w:pPr>
        <w:pStyle w:val="ListParagraph"/>
        <w:numPr>
          <w:ilvl w:val="0"/>
          <w:numId w:val="2"/>
        </w:numPr>
        <w:tabs>
          <w:tab w:pos="1594" w:val="left" w:leader="none"/>
          <w:tab w:pos="1595" w:val="left" w:leader="none"/>
          <w:tab w:pos="12433" w:val="left" w:leader="none"/>
        </w:tabs>
        <w:spacing w:line="225" w:lineRule="auto" w:before="286" w:after="0"/>
        <w:ind w:left="1536" w:right="899" w:hanging="624"/>
        <w:jc w:val="left"/>
        <w:rPr>
          <w:sz w:val="40"/>
        </w:rPr>
      </w:pPr>
      <w:r>
        <w:rPr>
          <w:sz w:val="40"/>
        </w:rPr>
        <w:t>Subcommittee working on survey questions for</w:t>
      </w:r>
      <w:r>
        <w:rPr>
          <w:spacing w:val="-18"/>
          <w:sz w:val="40"/>
        </w:rPr>
        <w:t> </w:t>
      </w:r>
      <w:r>
        <w:rPr>
          <w:sz w:val="40"/>
        </w:rPr>
        <w:t>providers</w:t>
      </w:r>
      <w:r>
        <w:rPr>
          <w:spacing w:val="-3"/>
          <w:sz w:val="40"/>
        </w:rPr>
        <w:t> </w:t>
      </w:r>
      <w:r>
        <w:rPr>
          <w:sz w:val="40"/>
        </w:rPr>
        <w:t>of</w:t>
        <w:tab/>
        <w:t>Pre- ETS services. This survey will help the subcommittee obtain a better understanding of what the individuals, who work directly with the ASD population, are seeing in the field and guide us on</w:t>
      </w:r>
      <w:r>
        <w:rPr>
          <w:spacing w:val="-10"/>
          <w:sz w:val="40"/>
        </w:rPr>
        <w:t> </w:t>
      </w:r>
      <w:r>
        <w:rPr>
          <w:sz w:val="40"/>
        </w:rPr>
        <w:t>creating a training that is to be developed by the Federal of Children with Special Healthcare</w:t>
      </w:r>
      <w:r>
        <w:rPr>
          <w:spacing w:val="2"/>
          <w:sz w:val="40"/>
        </w:rPr>
        <w:t> </w:t>
      </w:r>
      <w:r>
        <w:rPr>
          <w:sz w:val="40"/>
        </w:rPr>
        <w:t>Needs.</w:t>
      </w:r>
    </w:p>
    <w:p>
      <w:pPr>
        <w:pStyle w:val="BodyText"/>
        <w:spacing w:before="5"/>
        <w:rPr>
          <w:sz w:val="56"/>
        </w:rPr>
      </w:pPr>
    </w:p>
    <w:p>
      <w:pPr>
        <w:pStyle w:val="ListParagraph"/>
        <w:numPr>
          <w:ilvl w:val="0"/>
          <w:numId w:val="2"/>
        </w:numPr>
        <w:tabs>
          <w:tab w:pos="1512" w:val="left" w:leader="none"/>
          <w:tab w:pos="1513" w:val="left" w:leader="none"/>
        </w:tabs>
        <w:spacing w:line="240" w:lineRule="auto" w:before="0" w:after="0"/>
        <w:ind w:left="1512" w:right="0" w:hanging="600"/>
        <w:jc w:val="left"/>
        <w:rPr>
          <w:sz w:val="40"/>
        </w:rPr>
      </w:pPr>
      <w:r>
        <w:rPr>
          <w:sz w:val="40"/>
        </w:rPr>
        <w:t>Co-Chairs visited the Dell/EMC Autism Advantage</w:t>
      </w:r>
      <w:r>
        <w:rPr>
          <w:spacing w:val="-5"/>
          <w:sz w:val="40"/>
        </w:rPr>
        <w:t> </w:t>
      </w:r>
      <w:r>
        <w:rPr>
          <w:sz w:val="40"/>
        </w:rPr>
        <w:t>Program.</w:t>
      </w:r>
    </w:p>
    <w:p>
      <w:pPr>
        <w:pStyle w:val="BodyText"/>
        <w:spacing w:before="6"/>
        <w:rPr>
          <w:sz w:val="58"/>
        </w:rPr>
      </w:pPr>
    </w:p>
    <w:p>
      <w:pPr>
        <w:pStyle w:val="ListParagraph"/>
        <w:numPr>
          <w:ilvl w:val="0"/>
          <w:numId w:val="2"/>
        </w:numPr>
        <w:tabs>
          <w:tab w:pos="1594" w:val="left" w:leader="none"/>
          <w:tab w:pos="1595" w:val="left" w:leader="none"/>
          <w:tab w:pos="5134" w:val="left" w:leader="none"/>
        </w:tabs>
        <w:spacing w:line="432" w:lineRule="exact" w:before="0" w:after="0"/>
        <w:ind w:left="1536" w:right="868" w:hanging="624"/>
        <w:jc w:val="left"/>
        <w:rPr>
          <w:sz w:val="40"/>
        </w:rPr>
      </w:pPr>
      <w:r>
        <w:rPr>
          <w:sz w:val="40"/>
        </w:rPr>
        <w:t>Subcommittee reviewing the issue of after school opportunities for students</w:t>
      </w:r>
      <w:r>
        <w:rPr>
          <w:spacing w:val="-7"/>
          <w:sz w:val="40"/>
        </w:rPr>
        <w:t> </w:t>
      </w:r>
      <w:r>
        <w:rPr>
          <w:sz w:val="40"/>
        </w:rPr>
        <w:t>with</w:t>
      </w:r>
      <w:r>
        <w:rPr>
          <w:spacing w:val="1"/>
          <w:sz w:val="40"/>
        </w:rPr>
        <w:t> </w:t>
      </w:r>
      <w:r>
        <w:rPr>
          <w:sz w:val="40"/>
        </w:rPr>
        <w:t>ASD.</w:t>
        <w:tab/>
        <w:t>(i.e., reviewing the need for a longer</w:t>
      </w:r>
      <w:r>
        <w:rPr>
          <w:spacing w:val="-15"/>
          <w:sz w:val="40"/>
        </w:rPr>
        <w:t> </w:t>
      </w:r>
      <w:r>
        <w:rPr>
          <w:sz w:val="40"/>
        </w:rPr>
        <w:t>school</w:t>
      </w:r>
      <w:r>
        <w:rPr>
          <w:spacing w:val="-4"/>
          <w:sz w:val="40"/>
        </w:rPr>
        <w:t> </w:t>
      </w:r>
      <w:r>
        <w:rPr>
          <w:sz w:val="40"/>
        </w:rPr>
        <w:t>day</w:t>
      </w:r>
      <w:r>
        <w:rPr>
          <w:w w:val="100"/>
          <w:sz w:val="40"/>
        </w:rPr>
        <w:t> </w:t>
      </w:r>
      <w:r>
        <w:rPr>
          <w:sz w:val="40"/>
        </w:rPr>
        <w:t>instead of jumping immediately to a residential</w:t>
      </w:r>
      <w:r>
        <w:rPr>
          <w:spacing w:val="-10"/>
          <w:sz w:val="40"/>
        </w:rPr>
        <w:t> </w:t>
      </w:r>
      <w:r>
        <w:rPr>
          <w:sz w:val="40"/>
        </w:rPr>
        <w:t>placement.)</w:t>
      </w:r>
    </w:p>
    <w:p>
      <w:pPr>
        <w:spacing w:after="0" w:line="432" w:lineRule="exact"/>
        <w:jc w:val="left"/>
        <w:rPr>
          <w:sz w:val="40"/>
        </w:rPr>
        <w:sectPr>
          <w:headerReference w:type="default" r:id="rId10"/>
          <w:pgSz w:w="14400" w:h="10800" w:orient="landscape"/>
          <w:pgMar w:header="0" w:footer="361" w:top="1460" w:bottom="560" w:left="0" w:right="0"/>
        </w:sectPr>
      </w:pPr>
    </w:p>
    <w:p>
      <w:pPr>
        <w:pStyle w:val="BodyText"/>
        <w:rPr>
          <w:sz w:val="20"/>
        </w:rPr>
      </w:pPr>
    </w:p>
    <w:p>
      <w:pPr>
        <w:pStyle w:val="Heading2"/>
        <w:ind w:left="1022"/>
      </w:pPr>
      <w:r>
        <w:rPr/>
        <w:t>Co-Chairs Dr. Kathy Sanders and Christine Hubbard</w:t>
      </w:r>
    </w:p>
    <w:p>
      <w:pPr>
        <w:pStyle w:val="BodyText"/>
        <w:spacing w:before="2"/>
        <w:rPr>
          <w:sz w:val="68"/>
        </w:rPr>
      </w:pPr>
    </w:p>
    <w:p>
      <w:pPr>
        <w:pStyle w:val="Heading3"/>
        <w:tabs>
          <w:tab w:pos="5046" w:val="left" w:leader="none"/>
        </w:tabs>
        <w:spacing w:line="432" w:lineRule="exact"/>
        <w:ind w:right="1094"/>
      </w:pPr>
      <w:r>
        <w:rPr/>
        <w:t>Recommendation</w:t>
      </w:r>
      <w:r>
        <w:rPr>
          <w:spacing w:val="-5"/>
        </w:rPr>
        <w:t> </w:t>
      </w:r>
      <w:r>
        <w:rPr/>
        <w:t>#5</w:t>
        <w:tab/>
        <w:t>Pilot program with DDS and DMH</w:t>
      </w:r>
      <w:r>
        <w:rPr>
          <w:spacing w:val="-18"/>
        </w:rPr>
        <w:t> </w:t>
      </w:r>
      <w:r>
        <w:rPr/>
        <w:t>for young</w:t>
      </w:r>
      <w:r>
        <w:rPr>
          <w:w w:val="100"/>
        </w:rPr>
        <w:t> </w:t>
      </w:r>
      <w:r>
        <w:rPr/>
        <w:t>adults with ASD who are</w:t>
      </w:r>
      <w:r>
        <w:rPr>
          <w:spacing w:val="-12"/>
        </w:rPr>
        <w:t> </w:t>
      </w:r>
      <w:r>
        <w:rPr/>
        <w:t>self-isolating</w:t>
      </w:r>
    </w:p>
    <w:p>
      <w:pPr>
        <w:pStyle w:val="BodyText"/>
        <w:spacing w:before="9"/>
        <w:rPr>
          <w:b/>
          <w:sz w:val="57"/>
        </w:rPr>
      </w:pPr>
    </w:p>
    <w:p>
      <w:pPr>
        <w:pStyle w:val="BodyText"/>
        <w:spacing w:line="225" w:lineRule="auto" w:before="1"/>
        <w:ind w:left="912" w:right="828"/>
      </w:pPr>
      <w:r>
        <w:rPr/>
        <w:t>Eight individuals are participating – 5 male and 3 female, with ages ranging from 20’s to late 40’s, from the Northeast and Metro DDS regions, none of whom otherwise have funding through DDS. Many of suffer from severe anxiety and have been isolated for a long time but they express wanting to get out into the community.</w:t>
      </w:r>
    </w:p>
    <w:p>
      <w:pPr>
        <w:pStyle w:val="BodyText"/>
        <w:tabs>
          <w:tab w:pos="4747" w:val="left" w:leader="none"/>
        </w:tabs>
        <w:spacing w:line="225" w:lineRule="auto" w:before="119"/>
        <w:ind w:left="912" w:right="928"/>
      </w:pPr>
      <w:r>
        <w:rPr/>
        <w:t>Two provider agencies work with the individuals, who have 10 hours per week</w:t>
      </w:r>
      <w:r>
        <w:rPr>
          <w:spacing w:val="-5"/>
        </w:rPr>
        <w:t> </w:t>
      </w:r>
      <w:r>
        <w:rPr/>
        <w:t>of</w:t>
      </w:r>
      <w:r>
        <w:rPr>
          <w:spacing w:val="-3"/>
        </w:rPr>
        <w:t> </w:t>
      </w:r>
      <w:r>
        <w:rPr/>
        <w:t>support.</w:t>
        <w:tab/>
        <w:t>The providers report that they do engage</w:t>
      </w:r>
      <w:r>
        <w:rPr>
          <w:spacing w:val="-24"/>
        </w:rPr>
        <w:t> </w:t>
      </w:r>
      <w:r>
        <w:rPr/>
        <w:t>with</w:t>
      </w:r>
      <w:r>
        <w:rPr>
          <w:spacing w:val="1"/>
        </w:rPr>
        <w:t> </w:t>
      </w:r>
      <w:r>
        <w:rPr/>
        <w:t>the</w:t>
      </w:r>
      <w:r>
        <w:rPr>
          <w:w w:val="100"/>
        </w:rPr>
        <w:t> </w:t>
      </w:r>
      <w:r>
        <w:rPr/>
        <w:t>families and they are helping individuals to connect with other resources and get out in the community – employment goals are not a focus but could be later in time – some individuals are only responding through text but that is a big improvement for</w:t>
      </w:r>
      <w:r>
        <w:rPr>
          <w:spacing w:val="-21"/>
        </w:rPr>
        <w:t> </w:t>
      </w:r>
      <w:r>
        <w:rPr/>
        <w:t>them</w:t>
      </w:r>
    </w:p>
    <w:p>
      <w:pPr>
        <w:spacing w:after="0" w:line="225" w:lineRule="auto"/>
        <w:sectPr>
          <w:headerReference w:type="default" r:id="rId11"/>
          <w:pgSz w:w="14400" w:h="10800" w:orient="landscape"/>
          <w:pgMar w:header="0" w:footer="361" w:top="1460" w:bottom="560" w:left="0" w:right="0"/>
        </w:sectPr>
      </w:pPr>
    </w:p>
    <w:p>
      <w:pPr>
        <w:pStyle w:val="BodyText"/>
        <w:rPr>
          <w:sz w:val="20"/>
        </w:rPr>
      </w:pPr>
    </w:p>
    <w:p>
      <w:pPr>
        <w:pStyle w:val="Heading1"/>
        <w:tabs>
          <w:tab w:pos="6006" w:val="left" w:leader="none"/>
        </w:tabs>
        <w:spacing w:line="535" w:lineRule="exact" w:before="258"/>
        <w:ind w:left="912"/>
      </w:pPr>
      <w:r>
        <w:rPr/>
        <w:t>Recommendation</w:t>
      </w:r>
      <w:r>
        <w:rPr>
          <w:spacing w:val="-1"/>
        </w:rPr>
        <w:t> </w:t>
      </w:r>
      <w:r>
        <w:rPr/>
        <w:t>#6</w:t>
        <w:tab/>
        <w:t>Gathering information</w:t>
      </w:r>
      <w:r>
        <w:rPr>
          <w:spacing w:val="-12"/>
        </w:rPr>
        <w:t> </w:t>
      </w:r>
      <w:r>
        <w:rPr/>
        <w:t>from</w:t>
      </w:r>
    </w:p>
    <w:p>
      <w:pPr>
        <w:spacing w:line="535" w:lineRule="exact" w:before="0"/>
        <w:ind w:left="912" w:right="0" w:firstLine="0"/>
        <w:jc w:val="left"/>
        <w:rPr>
          <w:b/>
          <w:sz w:val="48"/>
        </w:rPr>
      </w:pPr>
      <w:r>
        <w:rPr>
          <w:b/>
          <w:sz w:val="48"/>
        </w:rPr>
        <w:t>EOEA on Adults aging with ASD</w:t>
      </w:r>
    </w:p>
    <w:p>
      <w:pPr>
        <w:pStyle w:val="BodyText"/>
        <w:spacing w:before="6"/>
        <w:rPr>
          <w:b/>
          <w:sz w:val="67"/>
        </w:rPr>
      </w:pPr>
    </w:p>
    <w:p>
      <w:pPr>
        <w:pStyle w:val="BodyText"/>
        <w:tabs>
          <w:tab w:pos="11581" w:val="left" w:leader="none"/>
        </w:tabs>
        <w:spacing w:line="225" w:lineRule="auto"/>
        <w:ind w:left="912" w:right="872"/>
      </w:pPr>
      <w:r>
        <w:rPr/>
        <w:t>The subcommittee received a presentation regarding Executive Office of Elder Affairs (EOEA) services, followed by discussion of issues for aging caregivers of people with autism and autistic people who are aging. Amanda Bernardo, Acting Chief of Staff for EOEA, described</w:t>
      </w:r>
      <w:r>
        <w:rPr>
          <w:spacing w:val="-24"/>
        </w:rPr>
        <w:t> </w:t>
      </w:r>
      <w:r>
        <w:rPr/>
        <w:t>the variety of programs and array of services offered</w:t>
      </w:r>
      <w:r>
        <w:rPr>
          <w:spacing w:val="-32"/>
        </w:rPr>
        <w:t> </w:t>
      </w:r>
      <w:r>
        <w:rPr/>
        <w:t>by</w:t>
      </w:r>
      <w:r>
        <w:rPr>
          <w:spacing w:val="-1"/>
        </w:rPr>
        <w:t> </w:t>
      </w:r>
      <w:r>
        <w:rPr/>
        <w:t>EOEA.</w:t>
        <w:tab/>
        <w:t>Handouts included a Fact Sheet from the Aging Services Network and a Mass Options information</w:t>
      </w:r>
      <w:r>
        <w:rPr>
          <w:spacing w:val="-1"/>
        </w:rPr>
        <w:t> </w:t>
      </w:r>
      <w:r>
        <w:rPr/>
        <w:t>card.</w:t>
      </w:r>
    </w:p>
    <w:p>
      <w:pPr>
        <w:pStyle w:val="BodyText"/>
        <w:rPr>
          <w:sz w:val="59"/>
        </w:rPr>
      </w:pPr>
    </w:p>
    <w:p>
      <w:pPr>
        <w:pStyle w:val="BodyText"/>
        <w:spacing w:line="432" w:lineRule="exact"/>
        <w:ind w:left="912" w:right="828"/>
      </w:pPr>
      <w:r>
        <w:rPr/>
        <w:t>There also was discussion about Mass Health's current efforts in looking at better training for LTSS providers around ASD and helping to connect people with ASD to the appropriate resources.</w:t>
      </w:r>
    </w:p>
    <w:p>
      <w:pPr>
        <w:spacing w:after="0" w:line="432" w:lineRule="exact"/>
        <w:sectPr>
          <w:pgSz w:w="14400" w:h="10800" w:orient="landscape"/>
          <w:pgMar w:header="0" w:footer="361" w:top="1460" w:bottom="560" w:left="0" w:right="0"/>
        </w:sectPr>
      </w:pPr>
    </w:p>
    <w:p>
      <w:pPr>
        <w:pStyle w:val="BodyText"/>
        <w:rPr>
          <w:sz w:val="20"/>
        </w:rPr>
      </w:pPr>
    </w:p>
    <w:p>
      <w:pPr>
        <w:pStyle w:val="Heading1"/>
        <w:spacing w:line="225" w:lineRule="auto" w:before="285"/>
        <w:ind w:left="912" w:right="828"/>
      </w:pPr>
      <w:r>
        <w:rPr/>
        <w:t>Recommendation #7: Developing specialty ASD adult services designed and staffed to meet the needs of adults with ASD who present with severe challenging behaviors.</w:t>
      </w:r>
    </w:p>
    <w:p>
      <w:pPr>
        <w:pStyle w:val="BodyText"/>
        <w:spacing w:before="1"/>
        <w:rPr>
          <w:b/>
          <w:sz w:val="70"/>
        </w:rPr>
      </w:pPr>
    </w:p>
    <w:p>
      <w:pPr>
        <w:pStyle w:val="Heading2"/>
        <w:tabs>
          <w:tab w:pos="7715" w:val="left" w:leader="none"/>
        </w:tabs>
        <w:spacing w:line="225" w:lineRule="auto" w:before="0"/>
        <w:ind w:right="1211"/>
      </w:pPr>
      <w:r>
        <w:rPr/>
        <w:t>It was noted that it is a challenge to establish a cost on specialty services given the lack of information about the need and the size of the population. The subcommittee discussed looking at the model at Bridgewell as a building block for</w:t>
      </w:r>
      <w:r>
        <w:rPr>
          <w:spacing w:val="-4"/>
        </w:rPr>
        <w:t> </w:t>
      </w:r>
      <w:r>
        <w:rPr/>
        <w:t>this</w:t>
      </w:r>
      <w:r>
        <w:rPr>
          <w:spacing w:val="-2"/>
        </w:rPr>
        <w:t> </w:t>
      </w:r>
      <w:r>
        <w:rPr/>
        <w:t>recommendation.</w:t>
        <w:tab/>
        <w:t>Nancy</w:t>
      </w:r>
      <w:r>
        <w:rPr>
          <w:spacing w:val="-1"/>
        </w:rPr>
        <w:t> </w:t>
      </w:r>
      <w:r>
        <w:rPr/>
        <w:t>Marticio,</w:t>
      </w:r>
      <w:r>
        <w:rPr>
          <w:spacing w:val="-2"/>
        </w:rPr>
        <w:t> </w:t>
      </w:r>
      <w:r>
        <w:rPr/>
        <w:t>a</w:t>
      </w:r>
      <w:r>
        <w:rPr>
          <w:w w:val="99"/>
        </w:rPr>
        <w:t> </w:t>
      </w:r>
      <w:r>
        <w:rPr/>
        <w:t>subcommittee member who works at Bridgewell, reported that Bridgewell has 2 programs working primarily with young adults (ages 22-28, one 40 year old) with ASD and ID with variable cognitive impairment, serving 110 individuals.</w:t>
      </w:r>
    </w:p>
    <w:p>
      <w:pPr>
        <w:spacing w:after="0" w:line="225" w:lineRule="auto"/>
        <w:sectPr>
          <w:pgSz w:w="14400" w:h="10800" w:orient="landscape"/>
          <w:pgMar w:header="0" w:footer="361" w:top="1460" w:bottom="560" w:left="0" w:right="0"/>
        </w:sectPr>
      </w:pPr>
    </w:p>
    <w:p>
      <w:pPr>
        <w:pStyle w:val="BodyText"/>
        <w:rPr>
          <w:sz w:val="20"/>
        </w:rPr>
      </w:pPr>
    </w:p>
    <w:p>
      <w:pPr>
        <w:spacing w:before="258"/>
        <w:ind w:left="1022" w:right="0" w:firstLine="0"/>
        <w:jc w:val="left"/>
        <w:rPr>
          <w:sz w:val="48"/>
        </w:rPr>
      </w:pPr>
      <w:r>
        <w:rPr>
          <w:sz w:val="48"/>
        </w:rPr>
        <w:t>Co-Chairs Laura Conrad and Amy Weinstock</w:t>
      </w:r>
    </w:p>
    <w:p>
      <w:pPr>
        <w:pStyle w:val="BodyText"/>
        <w:spacing w:before="6"/>
        <w:rPr>
          <w:sz w:val="69"/>
        </w:rPr>
      </w:pPr>
    </w:p>
    <w:p>
      <w:pPr>
        <w:tabs>
          <w:tab w:pos="3657" w:val="left" w:leader="none"/>
          <w:tab w:pos="7637" w:val="left" w:leader="none"/>
        </w:tabs>
        <w:spacing w:line="225" w:lineRule="auto" w:before="0"/>
        <w:ind w:left="912" w:right="841" w:firstLine="0"/>
        <w:jc w:val="left"/>
        <w:rPr>
          <w:sz w:val="48"/>
        </w:rPr>
      </w:pPr>
      <w:r>
        <w:rPr>
          <w:sz w:val="48"/>
        </w:rPr>
        <w:t>The health care committee met with the Children’s Mental Health Campaign to discuss research they are doing to develop an effective model of urgent care for children and adolescents experiences a behavioral health crisis, specifically addressing what elements of a model are important to meet the needs of youth with ASD and or</w:t>
      </w:r>
      <w:r>
        <w:rPr>
          <w:spacing w:val="-7"/>
          <w:sz w:val="48"/>
        </w:rPr>
        <w:t> </w:t>
      </w:r>
      <w:r>
        <w:rPr>
          <w:sz w:val="48"/>
        </w:rPr>
        <w:t>I/DD, and how models may need to be adapted, changed, or nuanced to meet</w:t>
      </w:r>
      <w:r>
        <w:rPr>
          <w:spacing w:val="1"/>
          <w:sz w:val="48"/>
        </w:rPr>
        <w:t> </w:t>
      </w:r>
      <w:r>
        <w:rPr>
          <w:sz w:val="48"/>
        </w:rPr>
        <w:t>these</w:t>
      </w:r>
      <w:r>
        <w:rPr>
          <w:spacing w:val="-3"/>
          <w:sz w:val="48"/>
        </w:rPr>
        <w:t> </w:t>
      </w:r>
      <w:r>
        <w:rPr>
          <w:sz w:val="48"/>
        </w:rPr>
        <w:t>needs.</w:t>
        <w:tab/>
        <w:t>The</w:t>
      </w:r>
      <w:r>
        <w:rPr>
          <w:spacing w:val="-2"/>
          <w:sz w:val="48"/>
        </w:rPr>
        <w:t> </w:t>
      </w:r>
      <w:r>
        <w:rPr>
          <w:sz w:val="48"/>
        </w:rPr>
        <w:t>committee</w:t>
      </w:r>
      <w:r>
        <w:rPr>
          <w:spacing w:val="-3"/>
          <w:sz w:val="48"/>
        </w:rPr>
        <w:t> </w:t>
      </w:r>
      <w:r>
        <w:rPr>
          <w:sz w:val="48"/>
        </w:rPr>
        <w:t>is</w:t>
      </w:r>
      <w:r>
        <w:rPr>
          <w:w w:val="99"/>
          <w:sz w:val="48"/>
        </w:rPr>
        <w:t> </w:t>
      </w:r>
      <w:r>
        <w:rPr>
          <w:sz w:val="48"/>
        </w:rPr>
        <w:t>continuing to discuss the 3 priorities of the Healthcare committee.</w:t>
        <w:tab/>
        <w:t>In addition, it is our</w:t>
      </w:r>
      <w:r>
        <w:rPr>
          <w:spacing w:val="-8"/>
          <w:sz w:val="48"/>
        </w:rPr>
        <w:t> </w:t>
      </w:r>
      <w:r>
        <w:rPr>
          <w:sz w:val="48"/>
        </w:rPr>
        <w:t>understanding</w:t>
      </w:r>
      <w:r>
        <w:rPr>
          <w:spacing w:val="7"/>
          <w:sz w:val="48"/>
        </w:rPr>
        <w:t> </w:t>
      </w:r>
      <w:r>
        <w:rPr>
          <w:sz w:val="48"/>
        </w:rPr>
        <w:t>MassHealth</w:t>
      </w:r>
      <w:r>
        <w:rPr>
          <w:w w:val="99"/>
          <w:sz w:val="48"/>
        </w:rPr>
        <w:t> </w:t>
      </w:r>
      <w:r>
        <w:rPr>
          <w:sz w:val="48"/>
        </w:rPr>
        <w:t>is reviewing the recommendation to provide ABA services to members</w:t>
      </w:r>
      <w:r>
        <w:rPr>
          <w:spacing w:val="-5"/>
          <w:sz w:val="48"/>
        </w:rPr>
        <w:t> </w:t>
      </w:r>
      <w:r>
        <w:rPr>
          <w:sz w:val="48"/>
        </w:rPr>
        <w:t>21-26.</w:t>
      </w:r>
    </w:p>
    <w:p>
      <w:pPr>
        <w:spacing w:after="0" w:line="225" w:lineRule="auto"/>
        <w:jc w:val="left"/>
        <w:rPr>
          <w:sz w:val="48"/>
        </w:rPr>
        <w:sectPr>
          <w:headerReference w:type="default" r:id="rId12"/>
          <w:pgSz w:w="14400" w:h="10800" w:orient="landscape"/>
          <w:pgMar w:header="0" w:footer="361" w:top="1460" w:bottom="560" w:left="0" w:right="0"/>
        </w:sectPr>
      </w:pPr>
    </w:p>
    <w:p>
      <w:pPr>
        <w:pStyle w:val="BodyText"/>
        <w:rPr>
          <w:sz w:val="20"/>
        </w:rPr>
      </w:pPr>
    </w:p>
    <w:p>
      <w:pPr>
        <w:spacing w:before="258"/>
        <w:ind w:left="912" w:right="0" w:firstLine="0"/>
        <w:jc w:val="left"/>
        <w:rPr>
          <w:sz w:val="48"/>
        </w:rPr>
      </w:pPr>
      <w:r>
        <w:rPr>
          <w:sz w:val="48"/>
        </w:rPr>
        <w:t>Co-Chairs Bronia Clifton and Dan Burke</w:t>
      </w:r>
    </w:p>
    <w:p>
      <w:pPr>
        <w:pStyle w:val="BodyText"/>
        <w:rPr>
          <w:sz w:val="56"/>
        </w:rPr>
      </w:pPr>
    </w:p>
    <w:p>
      <w:pPr>
        <w:pStyle w:val="Heading3"/>
        <w:tabs>
          <w:tab w:pos="5376" w:val="left" w:leader="none"/>
        </w:tabs>
      </w:pPr>
      <w:r>
        <w:rPr/>
        <w:t>Recommendation</w:t>
      </w:r>
      <w:r>
        <w:rPr>
          <w:spacing w:val="-4"/>
        </w:rPr>
        <w:t> </w:t>
      </w:r>
      <w:r>
        <w:rPr/>
        <w:t>#11</w:t>
        <w:tab/>
        <w:t>Design</w:t>
      </w:r>
      <w:r>
        <w:rPr>
          <w:spacing w:val="3"/>
        </w:rPr>
        <w:t> </w:t>
      </w:r>
      <w:r>
        <w:rPr/>
        <w:t>Guidelines</w:t>
      </w:r>
    </w:p>
    <w:p>
      <w:pPr>
        <w:pStyle w:val="BodyText"/>
        <w:spacing w:before="10"/>
        <w:rPr>
          <w:b/>
          <w:sz w:val="57"/>
        </w:rPr>
      </w:pPr>
    </w:p>
    <w:p>
      <w:pPr>
        <w:pStyle w:val="BodyText"/>
        <w:tabs>
          <w:tab w:pos="3061" w:val="left" w:leader="none"/>
        </w:tabs>
        <w:spacing w:line="225" w:lineRule="auto" w:before="1"/>
        <w:ind w:left="912" w:right="1040"/>
      </w:pPr>
      <w:r>
        <w:rPr/>
        <w:t>Working with DHCD, DDS and committee members to develop</w:t>
      </w:r>
      <w:r>
        <w:rPr>
          <w:spacing w:val="-12"/>
        </w:rPr>
        <w:t> </w:t>
      </w:r>
      <w:r>
        <w:rPr/>
        <w:t>Design Guidelines for housing that will be Supportive of people on the Autism Spectrum.</w:t>
        <w:tab/>
        <w:t>During this time, DHCD has presented design</w:t>
      </w:r>
      <w:r>
        <w:rPr>
          <w:spacing w:val="-13"/>
        </w:rPr>
        <w:t> </w:t>
      </w:r>
      <w:r>
        <w:rPr/>
        <w:t>features</w:t>
      </w:r>
    </w:p>
    <w:p>
      <w:pPr>
        <w:pStyle w:val="BodyText"/>
        <w:tabs>
          <w:tab w:pos="6223" w:val="left" w:leader="none"/>
          <w:tab w:pos="9449" w:val="left" w:leader="none"/>
        </w:tabs>
        <w:spacing w:line="225" w:lineRule="auto" w:before="119"/>
        <w:ind w:left="912" w:right="885"/>
      </w:pPr>
      <w:r>
        <w:rPr/>
        <w:t>and ideas involved in two projects that are being funded by DHCD. Committee discussed key items that would be essential in design in multi-unit construction and</w:t>
      </w:r>
      <w:r>
        <w:rPr>
          <w:spacing w:val="-8"/>
        </w:rPr>
        <w:t> </w:t>
      </w:r>
      <w:r>
        <w:rPr/>
        <w:t>individual dwellings.</w:t>
        <w:tab/>
        <w:t>The</w:t>
      </w:r>
      <w:r>
        <w:rPr>
          <w:spacing w:val="2"/>
        </w:rPr>
        <w:t> </w:t>
      </w:r>
      <w:r>
        <w:rPr/>
        <w:t>committee</w:t>
      </w:r>
      <w:r>
        <w:rPr>
          <w:spacing w:val="-7"/>
        </w:rPr>
        <w:t> </w:t>
      </w:r>
      <w:r>
        <w:rPr/>
        <w:t>also</w:t>
      </w:r>
      <w:r>
        <w:rPr>
          <w:w w:val="100"/>
        </w:rPr>
        <w:t> </w:t>
      </w:r>
      <w:r>
        <w:rPr/>
        <w:t>discussed the process by which DHCD could adopt guidelines, how</w:t>
      </w:r>
      <w:r>
        <w:rPr>
          <w:spacing w:val="-17"/>
        </w:rPr>
        <w:t> </w:t>
      </w:r>
      <w:r>
        <w:rPr/>
        <w:t>the process would move forward and how to go about getting guidelines adopted by DHCD</w:t>
      </w:r>
      <w:r>
        <w:rPr>
          <w:spacing w:val="-5"/>
        </w:rPr>
        <w:t> </w:t>
      </w:r>
      <w:r>
        <w:rPr/>
        <w:t>and</w:t>
      </w:r>
      <w:r>
        <w:rPr>
          <w:spacing w:val="-2"/>
        </w:rPr>
        <w:t> </w:t>
      </w:r>
      <w:r>
        <w:rPr/>
        <w:t>DDS.</w:t>
        <w:tab/>
        <w:t>Committee will also seek to</w:t>
      </w:r>
      <w:r>
        <w:rPr>
          <w:spacing w:val="-9"/>
        </w:rPr>
        <w:t> </w:t>
      </w:r>
      <w:r>
        <w:rPr/>
        <w:t>get</w:t>
      </w:r>
      <w:r>
        <w:rPr>
          <w:spacing w:val="-3"/>
        </w:rPr>
        <w:t> </w:t>
      </w:r>
      <w:r>
        <w:rPr/>
        <w:t>input</w:t>
      </w:r>
      <w:r>
        <w:rPr>
          <w:w w:val="100"/>
        </w:rPr>
        <w:t> </w:t>
      </w:r>
      <w:r>
        <w:rPr/>
        <w:t>from school based programs that specialize in supporting those on the spectrum, for guidelines they use in building</w:t>
      </w:r>
      <w:r>
        <w:rPr>
          <w:spacing w:val="-10"/>
        </w:rPr>
        <w:t> </w:t>
      </w:r>
      <w:r>
        <w:rPr/>
        <w:t>homes.</w:t>
      </w:r>
    </w:p>
    <w:p>
      <w:pPr>
        <w:spacing w:after="0" w:line="225" w:lineRule="auto"/>
        <w:sectPr>
          <w:headerReference w:type="default" r:id="rId13"/>
          <w:pgSz w:w="14400" w:h="10800" w:orient="landscape"/>
          <w:pgMar w:header="0" w:footer="361" w:top="1460" w:bottom="560" w:left="0" w:right="0"/>
        </w:sectPr>
      </w:pPr>
    </w:p>
    <w:p>
      <w:pPr>
        <w:pStyle w:val="BodyText"/>
        <w:rPr>
          <w:sz w:val="20"/>
        </w:rPr>
      </w:pPr>
    </w:p>
    <w:p>
      <w:pPr>
        <w:pStyle w:val="Heading3"/>
        <w:tabs>
          <w:tab w:pos="5269" w:val="left" w:leader="none"/>
        </w:tabs>
        <w:spacing w:before="263"/>
      </w:pPr>
      <w:r>
        <w:rPr/>
        <w:t>Recommendation</w:t>
      </w:r>
      <w:r>
        <w:rPr>
          <w:spacing w:val="-4"/>
        </w:rPr>
        <w:t> </w:t>
      </w:r>
      <w:r>
        <w:rPr/>
        <w:t>#12</w:t>
        <w:tab/>
        <w:t>Data collection on</w:t>
      </w:r>
      <w:r>
        <w:rPr>
          <w:spacing w:val="-7"/>
        </w:rPr>
        <w:t> </w:t>
      </w:r>
      <w:r>
        <w:rPr/>
        <w:t>Homeless</w:t>
      </w:r>
    </w:p>
    <w:p>
      <w:pPr>
        <w:pStyle w:val="BodyText"/>
        <w:spacing w:before="10"/>
        <w:rPr>
          <w:b/>
          <w:sz w:val="59"/>
        </w:rPr>
      </w:pPr>
    </w:p>
    <w:p>
      <w:pPr>
        <w:tabs>
          <w:tab w:pos="3624" w:val="left" w:leader="none"/>
          <w:tab w:pos="3676" w:val="left" w:leader="none"/>
          <w:tab w:pos="8805" w:val="left" w:leader="none"/>
        </w:tabs>
        <w:spacing w:line="225" w:lineRule="auto" w:before="1"/>
        <w:ind w:left="1008" w:right="849" w:hanging="96"/>
        <w:jc w:val="left"/>
        <w:rPr>
          <w:sz w:val="48"/>
        </w:rPr>
      </w:pPr>
      <w:r>
        <w:rPr>
          <w:sz w:val="48"/>
        </w:rPr>
        <w:t>The committee has begun to identify who to contact and how to track autism spectrum numbers in the homeless population.</w:t>
        <w:tab/>
        <w:t>The committee agreed that we</w:t>
      </w:r>
      <w:r>
        <w:rPr>
          <w:spacing w:val="-5"/>
          <w:sz w:val="48"/>
        </w:rPr>
        <w:t> </w:t>
      </w:r>
      <w:r>
        <w:rPr>
          <w:sz w:val="48"/>
        </w:rPr>
        <w:t>need</w:t>
      </w:r>
      <w:r>
        <w:rPr>
          <w:spacing w:val="1"/>
          <w:sz w:val="48"/>
        </w:rPr>
        <w:t> </w:t>
      </w:r>
      <w:r>
        <w:rPr>
          <w:sz w:val="48"/>
        </w:rPr>
        <w:t>to develop the ability to use the current means of census taking in the homeless population and the ability of the providers in serving</w:t>
      </w:r>
      <w:r>
        <w:rPr>
          <w:spacing w:val="1"/>
          <w:sz w:val="48"/>
        </w:rPr>
        <w:t> </w:t>
      </w:r>
      <w:r>
        <w:rPr>
          <w:sz w:val="48"/>
        </w:rPr>
        <w:t>this</w:t>
      </w:r>
      <w:r>
        <w:rPr>
          <w:spacing w:val="-4"/>
          <w:sz w:val="48"/>
        </w:rPr>
        <w:t> </w:t>
      </w:r>
      <w:r>
        <w:rPr>
          <w:sz w:val="48"/>
        </w:rPr>
        <w:t>population.</w:t>
        <w:tab/>
        <w:t>Committee</w:t>
      </w:r>
      <w:r>
        <w:rPr>
          <w:spacing w:val="-3"/>
          <w:sz w:val="48"/>
        </w:rPr>
        <w:t> </w:t>
      </w:r>
      <w:r>
        <w:rPr>
          <w:sz w:val="48"/>
        </w:rPr>
        <w:t>outreach</w:t>
      </w:r>
      <w:r>
        <w:rPr>
          <w:w w:val="99"/>
          <w:sz w:val="48"/>
        </w:rPr>
        <w:t> </w:t>
      </w:r>
      <w:r>
        <w:rPr>
          <w:sz w:val="48"/>
        </w:rPr>
        <w:t>has include with organizations such as the Pine Street Inn, Bridge Over Troubled Waters and Health Care for the Homeless.</w:t>
        <w:tab/>
        <w:tab/>
        <w:t>The committee will seek to reach</w:t>
      </w:r>
      <w:r>
        <w:rPr>
          <w:spacing w:val="-3"/>
          <w:sz w:val="48"/>
        </w:rPr>
        <w:t> </w:t>
      </w:r>
      <w:r>
        <w:rPr>
          <w:sz w:val="48"/>
        </w:rPr>
        <w:t>out</w:t>
      </w:r>
      <w:r>
        <w:rPr>
          <w:spacing w:val="-1"/>
          <w:sz w:val="48"/>
        </w:rPr>
        <w:t> </w:t>
      </w:r>
      <w:r>
        <w:rPr>
          <w:sz w:val="48"/>
        </w:rPr>
        <w:t>to</w:t>
      </w:r>
      <w:r>
        <w:rPr>
          <w:w w:val="99"/>
          <w:sz w:val="48"/>
        </w:rPr>
        <w:t> </w:t>
      </w:r>
      <w:r>
        <w:rPr>
          <w:sz w:val="48"/>
        </w:rPr>
        <w:t>agencies such as HUD and the Statewide Point in Time survey of homeless to see if their surveys can be modified to reflect questions to try and better identify the number of people on the autism spectrum in the homeless</w:t>
      </w:r>
      <w:r>
        <w:rPr>
          <w:spacing w:val="-6"/>
          <w:sz w:val="48"/>
        </w:rPr>
        <w:t> </w:t>
      </w:r>
      <w:r>
        <w:rPr>
          <w:sz w:val="48"/>
        </w:rPr>
        <w:t>population.</w:t>
      </w:r>
    </w:p>
    <w:p>
      <w:pPr>
        <w:spacing w:after="0" w:line="225" w:lineRule="auto"/>
        <w:jc w:val="left"/>
        <w:rPr>
          <w:sz w:val="48"/>
        </w:rPr>
        <w:sectPr>
          <w:headerReference w:type="default" r:id="rId14"/>
          <w:pgSz w:w="14400" w:h="10800" w:orient="landscape"/>
          <w:pgMar w:header="0" w:footer="361" w:top="1460" w:bottom="560" w:left="0" w:right="0"/>
        </w:sectPr>
      </w:pPr>
    </w:p>
    <w:p>
      <w:pPr>
        <w:pStyle w:val="BodyText"/>
        <w:rPr>
          <w:sz w:val="20"/>
        </w:rPr>
      </w:pPr>
    </w:p>
    <w:p>
      <w:pPr>
        <w:tabs>
          <w:tab w:pos="5267" w:val="left" w:leader="none"/>
        </w:tabs>
        <w:spacing w:before="263"/>
        <w:ind w:left="912" w:right="0" w:firstLine="0"/>
        <w:jc w:val="left"/>
        <w:rPr>
          <w:b/>
          <w:sz w:val="40"/>
        </w:rPr>
      </w:pPr>
      <w:r>
        <w:rPr>
          <w:b/>
          <w:sz w:val="40"/>
        </w:rPr>
        <w:t>Recommendation</w:t>
      </w:r>
      <w:r>
        <w:rPr>
          <w:b/>
          <w:spacing w:val="-5"/>
          <w:sz w:val="40"/>
        </w:rPr>
        <w:t> </w:t>
      </w:r>
      <w:r>
        <w:rPr>
          <w:b/>
          <w:sz w:val="40"/>
        </w:rPr>
        <w:t>#13</w:t>
        <w:tab/>
        <w:t>Data collection at Hogan</w:t>
      </w:r>
      <w:r>
        <w:rPr>
          <w:b/>
          <w:spacing w:val="-10"/>
          <w:sz w:val="40"/>
        </w:rPr>
        <w:t> </w:t>
      </w:r>
      <w:r>
        <w:rPr>
          <w:b/>
          <w:sz w:val="40"/>
        </w:rPr>
        <w:t>Unit</w:t>
      </w:r>
    </w:p>
    <w:p>
      <w:pPr>
        <w:pStyle w:val="BodyText"/>
        <w:spacing w:before="10"/>
        <w:rPr>
          <w:b/>
          <w:sz w:val="57"/>
        </w:rPr>
      </w:pPr>
    </w:p>
    <w:p>
      <w:pPr>
        <w:pStyle w:val="BodyText"/>
        <w:tabs>
          <w:tab w:pos="2807" w:val="left" w:leader="none"/>
          <w:tab w:pos="3101" w:val="left" w:leader="none"/>
          <w:tab w:pos="5982" w:val="left" w:leader="none"/>
          <w:tab w:pos="8928" w:val="left" w:leader="none"/>
        </w:tabs>
        <w:spacing w:line="225" w:lineRule="auto" w:before="1"/>
        <w:ind w:left="1008" w:right="800" w:hanging="96"/>
      </w:pPr>
      <w:r>
        <w:rPr/>
        <w:t>The committee worked with DDS on collecting data on the number of individuals</w:t>
        <w:tab/>
        <w:t>who have been admitted to the</w:t>
      </w:r>
      <w:r>
        <w:rPr>
          <w:spacing w:val="-9"/>
        </w:rPr>
        <w:t> </w:t>
      </w:r>
      <w:r>
        <w:rPr/>
        <w:t>Emergency</w:t>
      </w:r>
      <w:r>
        <w:rPr>
          <w:spacing w:val="-9"/>
        </w:rPr>
        <w:t> </w:t>
      </w:r>
      <w:r>
        <w:rPr/>
        <w:t>Stabilization</w:t>
      </w:r>
      <w:r>
        <w:rPr>
          <w:w w:val="100"/>
        </w:rPr>
        <w:t> </w:t>
      </w:r>
      <w:r>
        <w:rPr/>
        <w:t>Unit at Hogan/Berry from</w:t>
      </w:r>
      <w:r>
        <w:rPr>
          <w:spacing w:val="-12"/>
        </w:rPr>
        <w:t> </w:t>
      </w:r>
      <w:r>
        <w:rPr/>
        <w:t>group</w:t>
      </w:r>
      <w:r>
        <w:rPr>
          <w:spacing w:val="-2"/>
        </w:rPr>
        <w:t> </w:t>
      </w:r>
      <w:r>
        <w:rPr/>
        <w:t>residences.</w:t>
        <w:tab/>
        <w:t>The</w:t>
      </w:r>
      <w:r>
        <w:rPr>
          <w:spacing w:val="-1"/>
        </w:rPr>
        <w:t> </w:t>
      </w:r>
      <w:r>
        <w:rPr/>
        <w:t>2018 Commission</w:t>
      </w:r>
      <w:r>
        <w:rPr>
          <w:w w:val="100"/>
        </w:rPr>
        <w:t> </w:t>
      </w:r>
      <w:r>
        <w:rPr/>
        <w:t>report identified one of the areas of this goal would be for DDS to collect data if possible whether any services or supports could have prevented</w:t>
      </w:r>
      <w:r>
        <w:rPr>
          <w:spacing w:val="-5"/>
        </w:rPr>
        <w:t> </w:t>
      </w:r>
      <w:r>
        <w:rPr/>
        <w:t>any</w:t>
      </w:r>
      <w:r>
        <w:rPr>
          <w:spacing w:val="2"/>
        </w:rPr>
        <w:t> </w:t>
      </w:r>
      <w:r>
        <w:rPr/>
        <w:t>admissions.</w:t>
        <w:tab/>
        <w:t>During our discussion, it was clear</w:t>
      </w:r>
      <w:r>
        <w:rPr>
          <w:spacing w:val="-15"/>
        </w:rPr>
        <w:t> </w:t>
      </w:r>
      <w:r>
        <w:rPr/>
        <w:t>that</w:t>
      </w:r>
      <w:r>
        <w:rPr>
          <w:spacing w:val="-3"/>
        </w:rPr>
        <w:t> </w:t>
      </w:r>
      <w:r>
        <w:rPr/>
        <w:t>due</w:t>
      </w:r>
      <w:r>
        <w:rPr>
          <w:w w:val="100"/>
        </w:rPr>
        <w:t> </w:t>
      </w:r>
      <w:r>
        <w:rPr/>
        <w:t>to the variable nature of admissions, this type of data collection is not possible.</w:t>
        <w:tab/>
        <w:t>However, the committee agreed to modify the goal</w:t>
      </w:r>
      <w:r>
        <w:rPr>
          <w:spacing w:val="-20"/>
        </w:rPr>
        <w:t> </w:t>
      </w:r>
      <w:r>
        <w:rPr/>
        <w:t>to</w:t>
      </w:r>
      <w:r>
        <w:rPr>
          <w:spacing w:val="-3"/>
        </w:rPr>
        <w:t> </w:t>
      </w:r>
      <w:r>
        <w:rPr/>
        <w:t>reflect</w:t>
      </w:r>
      <w:r>
        <w:rPr>
          <w:w w:val="100"/>
        </w:rPr>
        <w:t> </w:t>
      </w:r>
      <w:r>
        <w:rPr/>
        <w:t>asking DDS to track data regarding the “length of stay” that people are in the Unit and then try to follow up as to reasons why certain individuals are there for long periods of time, which is the overall concern.</w:t>
      </w:r>
    </w:p>
    <w:sectPr>
      <w:pgSz w:w="14400" w:h="10800" w:orient="landscape"/>
      <w:pgMar w:header="0" w:footer="361" w:top="1460" w:bottom="56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6664" from="0pt,539.749878pt" to="720.0pt,539.749878pt" stroked="true" strokeweight=".499817pt" strokecolor="#b4b4b4">
          <v:stroke dashstyle="solid"/>
          <w10:wrap type="none"/>
        </v:line>
      </w:pict>
    </w:r>
    <w:r>
      <w:rPr/>
      <w:pict>
        <v:shape style="position:absolute;margin-left:352.549988pt;margin-top:510.92749pt;width:15.05pt;height:13.15pt;mso-position-horizontal-relative:page;mso-position-vertical-relative:page;z-index:-6640"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0pt;width:720pt;height:73.25pt;mso-position-horizontal-relative:page;mso-position-vertical-relative:page;z-index:-6712" coordorigin="0,0" coordsize="14400,1465">
          <v:shape style="position:absolute;left:0;top:0;width:14400;height:1465" type="#_x0000_t75" stroked="false">
            <v:imagedata r:id="rId1" o:title=""/>
          </v:shape>
          <v:shape style="position:absolute;left:18;top:48;width:1023;height:983" type="#_x0000_t75" stroked="false">
            <v:imagedata r:id="rId2" o:title=""/>
          </v:shape>
          <w10:wrap type="none"/>
        </v:group>
      </w:pict>
    </w:r>
    <w:r>
      <w:rPr/>
      <w:pict>
        <v:shapetype id="_x0000_t202" o:spt="202" coordsize="21600,21600" path="m,l,21600r21600,l21600,xe">
          <v:stroke joinstyle="miter"/>
          <v:path gradientshapeok="t" o:connecttype="rect"/>
        </v:shapetype>
        <v:shape style="position:absolute;margin-left:72.080002pt;margin-top:36.913437pt;width:411.15pt;height:28.85pt;mso-position-horizontal-relative:page;mso-position-vertical-relative:page;z-index:-6688" type="#_x0000_t202" filled="false" stroked="false">
          <v:textbox inset="0,0,0,0">
            <w:txbxContent>
              <w:p>
                <w:pPr>
                  <w:spacing w:before="4"/>
                  <w:ind w:left="20" w:right="0" w:firstLine="0"/>
                  <w:jc w:val="left"/>
                  <w:rPr>
                    <w:b/>
                    <w:sz w:val="48"/>
                  </w:rPr>
                </w:pPr>
                <w:r>
                  <w:rPr>
                    <w:b/>
                    <w:color w:val="FFFFCC"/>
                    <w:sz w:val="48"/>
                  </w:rPr>
                  <w:t>Birth to 14 Year Olds Subcommittee</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0pt;width:720pt;height:73.25pt;mso-position-horizontal-relative:page;mso-position-vertical-relative:page;z-index:-6616" coordorigin="0,0" coordsize="14400,1465">
          <v:shape style="position:absolute;left:0;top:0;width:14400;height:1465" type="#_x0000_t75" stroked="false">
            <v:imagedata r:id="rId1" o:title=""/>
          </v:shape>
          <v:shape style="position:absolute;left:18;top:48;width:1023;height:983" type="#_x0000_t75" stroked="false">
            <v:imagedata r:id="rId2" o:title=""/>
          </v:shape>
          <w10:wrap type="none"/>
        </v:group>
      </w:pict>
    </w:r>
    <w:r>
      <w:rPr/>
      <w:pict>
        <v:shape style="position:absolute;margin-left:66.199997pt;margin-top:8.698320pt;width:300.1pt;height:48.45pt;mso-position-horizontal-relative:page;mso-position-vertical-relative:page;z-index:-6592" type="#_x0000_t202" filled="false" stroked="false">
          <v:textbox inset="0,0,0,0">
            <w:txbxContent>
              <w:p>
                <w:pPr>
                  <w:spacing w:before="7"/>
                  <w:ind w:left="20" w:right="0" w:firstLine="0"/>
                  <w:jc w:val="left"/>
                  <w:rPr>
                    <w:b/>
                    <w:sz w:val="40"/>
                  </w:rPr>
                </w:pPr>
                <w:r>
                  <w:rPr>
                    <w:b/>
                    <w:color w:val="FFFFCC"/>
                    <w:sz w:val="40"/>
                    <w:u w:val="thick" w:color="FFFFCC"/>
                  </w:rPr>
                  <w:t>14-22+ Years Olds Employment</w:t>
                </w:r>
              </w:p>
              <w:p>
                <w:pPr>
                  <w:spacing w:before="19"/>
                  <w:ind w:left="20" w:right="0" w:firstLine="0"/>
                  <w:jc w:val="left"/>
                  <w:rPr>
                    <w:b/>
                    <w:sz w:val="40"/>
                  </w:rPr>
                </w:pPr>
                <w:r>
                  <w:rPr>
                    <w:b/>
                    <w:color w:val="FFFFCC"/>
                    <w:sz w:val="40"/>
                    <w:u w:val="thick" w:color="FFFFCC"/>
                  </w:rPr>
                  <w:t>Subcommittee</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0pt;width:720pt;height:73.25pt;mso-position-horizontal-relative:page;mso-position-vertical-relative:page;z-index:-6568" coordorigin="0,0" coordsize="14400,1465">
          <v:shape style="position:absolute;left:0;top:0;width:14400;height:1465" type="#_x0000_t75" stroked="false">
            <v:imagedata r:id="rId1" o:title=""/>
          </v:shape>
          <v:shape style="position:absolute;left:18;top:48;width:1023;height:983" type="#_x0000_t75" stroked="false">
            <v:imagedata r:id="rId2" o:title=""/>
          </v:shape>
          <w10:wrap type="none"/>
        </v:group>
      </w:pict>
    </w:r>
    <w:r>
      <w:rPr/>
      <w:pict>
        <v:shape style="position:absolute;margin-left:72.080002pt;margin-top:17.33832pt;width:300.1pt;height:48.4pt;mso-position-horizontal-relative:page;mso-position-vertical-relative:page;z-index:-6544" type="#_x0000_t202" filled="false" stroked="false">
          <v:textbox inset="0,0,0,0">
            <w:txbxContent>
              <w:p>
                <w:pPr>
                  <w:spacing w:line="249" w:lineRule="auto" w:before="7"/>
                  <w:ind w:left="20" w:right="-8" w:firstLine="0"/>
                  <w:jc w:val="left"/>
                  <w:rPr>
                    <w:b/>
                    <w:sz w:val="40"/>
                  </w:rPr>
                </w:pPr>
                <w:r>
                  <w:rPr>
                    <w:b/>
                    <w:color w:val="FFFFCC"/>
                    <w:sz w:val="40"/>
                  </w:rPr>
                  <w:t>14-22+ Years Olds/Employment Subcommittee</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0pt;width:720pt;height:73.25pt;mso-position-horizontal-relative:page;mso-position-vertical-relative:page;z-index:-6520" coordorigin="0,0" coordsize="14400,1465">
          <v:shape style="position:absolute;left:0;top:0;width:14400;height:1465" type="#_x0000_t75" stroked="false">
            <v:imagedata r:id="rId1" o:title=""/>
          </v:shape>
          <v:shape style="position:absolute;left:18;top:48;width:1023;height:983" type="#_x0000_t75" stroked="false">
            <v:imagedata r:id="rId2" o:title=""/>
          </v:shape>
          <w10:wrap type="none"/>
        </v:group>
      </w:pict>
    </w:r>
    <w:r>
      <w:rPr/>
      <w:pict>
        <v:shape style="position:absolute;margin-left:72.080002pt;margin-top:29.47171pt;width:235.4pt;height:28.85pt;mso-position-horizontal-relative:page;mso-position-vertical-relative:page;z-index:-6496" type="#_x0000_t202" filled="false" stroked="false">
          <v:textbox inset="0,0,0,0">
            <w:txbxContent>
              <w:p>
                <w:pPr>
                  <w:spacing w:before="4"/>
                  <w:ind w:left="20" w:right="0" w:firstLine="0"/>
                  <w:jc w:val="left"/>
                  <w:rPr>
                    <w:b/>
                    <w:sz w:val="48"/>
                  </w:rPr>
                </w:pPr>
                <w:r>
                  <w:rPr>
                    <w:b/>
                    <w:color w:val="FFFFCC"/>
                    <w:sz w:val="48"/>
                    <w:u w:val="thick" w:color="FFFFCC"/>
                  </w:rPr>
                  <w:t>Adult Subcommittee</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0pt;width:720pt;height:73.25pt;mso-position-horizontal-relative:page;mso-position-vertical-relative:page;z-index:-6472" coordorigin="0,0" coordsize="14400,1465">
          <v:shape style="position:absolute;left:0;top:0;width:14400;height:1465" type="#_x0000_t75" stroked="false">
            <v:imagedata r:id="rId1" o:title=""/>
          </v:shape>
          <v:shape style="position:absolute;left:18;top:48;width:1023;height:983" type="#_x0000_t75" stroked="false">
            <v:imagedata r:id="rId2" o:title=""/>
          </v:shape>
          <w10:wrap type="none"/>
        </v:group>
      </w:pict>
    </w:r>
    <w:r>
      <w:rPr/>
      <w:pict>
        <v:shape style="position:absolute;margin-left:84.223999pt;margin-top:44.853439pt;width:307.5pt;height:28.85pt;mso-position-horizontal-relative:page;mso-position-vertical-relative:page;z-index:-6448" type="#_x0000_t202" filled="false" stroked="false">
          <v:textbox inset="0,0,0,0">
            <w:txbxContent>
              <w:p>
                <w:pPr>
                  <w:spacing w:before="4"/>
                  <w:ind w:left="20" w:right="0" w:firstLine="0"/>
                  <w:jc w:val="left"/>
                  <w:rPr>
                    <w:b/>
                    <w:sz w:val="48"/>
                  </w:rPr>
                </w:pPr>
                <w:r>
                  <w:rPr>
                    <w:b/>
                    <w:color w:val="FFFFCC"/>
                    <w:sz w:val="48"/>
                    <w:u w:val="thick" w:color="FFFFCC"/>
                  </w:rPr>
                  <w:t>Health Care Subcommittee</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0pt;width:720pt;height:73.25pt;mso-position-horizontal-relative:page;mso-position-vertical-relative:page;z-index:-6424" coordorigin="0,0" coordsize="14400,1465">
          <v:shape style="position:absolute;left:0;top:0;width:14400;height:1465" type="#_x0000_t75" stroked="false">
            <v:imagedata r:id="rId1" o:title=""/>
          </v:shape>
          <v:shape style="position:absolute;left:18;top:48;width:1023;height:983" type="#_x0000_t75" stroked="false">
            <v:imagedata r:id="rId2" o:title=""/>
          </v:shape>
          <w10:wrap type="none"/>
        </v:group>
      </w:pict>
    </w:r>
    <w:r>
      <w:rPr/>
      <w:pict>
        <v:shape style="position:absolute;margin-left:72.080002pt;margin-top:35.47171pt;width:269.95pt;height:28.85pt;mso-position-horizontal-relative:page;mso-position-vertical-relative:page;z-index:-6400" type="#_x0000_t202" filled="false" stroked="false">
          <v:textbox inset="0,0,0,0">
            <w:txbxContent>
              <w:p>
                <w:pPr>
                  <w:spacing w:before="4"/>
                  <w:ind w:left="20" w:right="0" w:firstLine="0"/>
                  <w:jc w:val="left"/>
                  <w:rPr>
                    <w:b/>
                    <w:sz w:val="48"/>
                  </w:rPr>
                </w:pPr>
                <w:r>
                  <w:rPr>
                    <w:b/>
                    <w:color w:val="FFFFCC"/>
                    <w:sz w:val="48"/>
                    <w:u w:val="thick" w:color="FFFFCC"/>
                  </w:rPr>
                  <w:t>Housing Subcommittee</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0pt;width:720pt;height:73.25pt;mso-position-horizontal-relative:page;mso-position-vertical-relative:page;z-index:-6376" coordorigin="0,0" coordsize="14400,1465">
          <v:shape style="position:absolute;left:0;top:0;width:14400;height:1465" type="#_x0000_t75" stroked="false">
            <v:imagedata r:id="rId1" o:title=""/>
          </v:shape>
          <v:shape style="position:absolute;left:18;top:48;width:1023;height:983" type="#_x0000_t75" stroked="false">
            <v:imagedata r:id="rId2" o:title=""/>
          </v:shape>
          <w10:wrap type="none"/>
        </v:group>
      </w:pict>
    </w:r>
    <w:r>
      <w:rPr/>
      <w:pict>
        <v:shape style="position:absolute;margin-left:72.080002pt;margin-top:8.091711pt;width:269.95pt;height:28.85pt;mso-position-horizontal-relative:page;mso-position-vertical-relative:page;z-index:-6352" type="#_x0000_t202" filled="false" stroked="false">
          <v:textbox inset="0,0,0,0">
            <w:txbxContent>
              <w:p>
                <w:pPr>
                  <w:spacing w:before="4"/>
                  <w:ind w:left="20" w:right="0" w:firstLine="0"/>
                  <w:jc w:val="left"/>
                  <w:rPr>
                    <w:b/>
                    <w:sz w:val="48"/>
                  </w:rPr>
                </w:pPr>
                <w:r>
                  <w:rPr>
                    <w:b/>
                    <w:color w:val="FFFFCC"/>
                    <w:sz w:val="48"/>
                    <w:u w:val="thick" w:color="FFFFCC"/>
                  </w:rPr>
                  <w:t>Housing Subcommittee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536" w:hanging="683"/>
      </w:pPr>
      <w:rPr>
        <w:rFonts w:hint="default" w:ascii="Arial" w:hAnsi="Arial" w:eastAsia="Arial" w:cs="Arial"/>
        <w:w w:val="100"/>
        <w:sz w:val="40"/>
        <w:szCs w:val="40"/>
      </w:rPr>
    </w:lvl>
    <w:lvl w:ilvl="1">
      <w:start w:val="0"/>
      <w:numFmt w:val="bullet"/>
      <w:lvlText w:val="•"/>
      <w:lvlJc w:val="left"/>
      <w:pPr>
        <w:ind w:left="2826" w:hanging="683"/>
      </w:pPr>
      <w:rPr>
        <w:rFonts w:hint="default"/>
      </w:rPr>
    </w:lvl>
    <w:lvl w:ilvl="2">
      <w:start w:val="0"/>
      <w:numFmt w:val="bullet"/>
      <w:lvlText w:val="•"/>
      <w:lvlJc w:val="left"/>
      <w:pPr>
        <w:ind w:left="4112" w:hanging="683"/>
      </w:pPr>
      <w:rPr>
        <w:rFonts w:hint="default"/>
      </w:rPr>
    </w:lvl>
    <w:lvl w:ilvl="3">
      <w:start w:val="0"/>
      <w:numFmt w:val="bullet"/>
      <w:lvlText w:val="•"/>
      <w:lvlJc w:val="left"/>
      <w:pPr>
        <w:ind w:left="5398" w:hanging="683"/>
      </w:pPr>
      <w:rPr>
        <w:rFonts w:hint="default"/>
      </w:rPr>
    </w:lvl>
    <w:lvl w:ilvl="4">
      <w:start w:val="0"/>
      <w:numFmt w:val="bullet"/>
      <w:lvlText w:val="•"/>
      <w:lvlJc w:val="left"/>
      <w:pPr>
        <w:ind w:left="6684" w:hanging="683"/>
      </w:pPr>
      <w:rPr>
        <w:rFonts w:hint="default"/>
      </w:rPr>
    </w:lvl>
    <w:lvl w:ilvl="5">
      <w:start w:val="0"/>
      <w:numFmt w:val="bullet"/>
      <w:lvlText w:val="•"/>
      <w:lvlJc w:val="left"/>
      <w:pPr>
        <w:ind w:left="7970" w:hanging="683"/>
      </w:pPr>
      <w:rPr>
        <w:rFonts w:hint="default"/>
      </w:rPr>
    </w:lvl>
    <w:lvl w:ilvl="6">
      <w:start w:val="0"/>
      <w:numFmt w:val="bullet"/>
      <w:lvlText w:val="•"/>
      <w:lvlJc w:val="left"/>
      <w:pPr>
        <w:ind w:left="9256" w:hanging="683"/>
      </w:pPr>
      <w:rPr>
        <w:rFonts w:hint="default"/>
      </w:rPr>
    </w:lvl>
    <w:lvl w:ilvl="7">
      <w:start w:val="0"/>
      <w:numFmt w:val="bullet"/>
      <w:lvlText w:val="•"/>
      <w:lvlJc w:val="left"/>
      <w:pPr>
        <w:ind w:left="10542" w:hanging="683"/>
      </w:pPr>
      <w:rPr>
        <w:rFonts w:hint="default"/>
      </w:rPr>
    </w:lvl>
    <w:lvl w:ilvl="8">
      <w:start w:val="0"/>
      <w:numFmt w:val="bullet"/>
      <w:lvlText w:val="•"/>
      <w:lvlJc w:val="left"/>
      <w:pPr>
        <w:ind w:left="11828" w:hanging="683"/>
      </w:pPr>
      <w:rPr>
        <w:rFonts w:hint="default"/>
      </w:rPr>
    </w:lvl>
  </w:abstractNum>
  <w:abstractNum w:abstractNumId="0">
    <w:multiLevelType w:val="hybridMultilevel"/>
    <w:lvl w:ilvl="0">
      <w:start w:val="0"/>
      <w:numFmt w:val="bullet"/>
      <w:lvlText w:val="●"/>
      <w:lvlJc w:val="left"/>
      <w:pPr>
        <w:ind w:left="1632" w:hanging="601"/>
      </w:pPr>
      <w:rPr>
        <w:rFonts w:hint="default" w:ascii="Arial" w:hAnsi="Arial" w:eastAsia="Arial" w:cs="Arial"/>
        <w:w w:val="100"/>
        <w:sz w:val="40"/>
        <w:szCs w:val="40"/>
      </w:rPr>
    </w:lvl>
    <w:lvl w:ilvl="1">
      <w:start w:val="0"/>
      <w:numFmt w:val="bullet"/>
      <w:lvlText w:val="•"/>
      <w:lvlJc w:val="left"/>
      <w:pPr>
        <w:ind w:left="2916" w:hanging="601"/>
      </w:pPr>
      <w:rPr>
        <w:rFonts w:hint="default"/>
      </w:rPr>
    </w:lvl>
    <w:lvl w:ilvl="2">
      <w:start w:val="0"/>
      <w:numFmt w:val="bullet"/>
      <w:lvlText w:val="•"/>
      <w:lvlJc w:val="left"/>
      <w:pPr>
        <w:ind w:left="4192" w:hanging="601"/>
      </w:pPr>
      <w:rPr>
        <w:rFonts w:hint="default"/>
      </w:rPr>
    </w:lvl>
    <w:lvl w:ilvl="3">
      <w:start w:val="0"/>
      <w:numFmt w:val="bullet"/>
      <w:lvlText w:val="•"/>
      <w:lvlJc w:val="left"/>
      <w:pPr>
        <w:ind w:left="5468" w:hanging="601"/>
      </w:pPr>
      <w:rPr>
        <w:rFonts w:hint="default"/>
      </w:rPr>
    </w:lvl>
    <w:lvl w:ilvl="4">
      <w:start w:val="0"/>
      <w:numFmt w:val="bullet"/>
      <w:lvlText w:val="•"/>
      <w:lvlJc w:val="left"/>
      <w:pPr>
        <w:ind w:left="6744" w:hanging="601"/>
      </w:pPr>
      <w:rPr>
        <w:rFonts w:hint="default"/>
      </w:rPr>
    </w:lvl>
    <w:lvl w:ilvl="5">
      <w:start w:val="0"/>
      <w:numFmt w:val="bullet"/>
      <w:lvlText w:val="•"/>
      <w:lvlJc w:val="left"/>
      <w:pPr>
        <w:ind w:left="8020" w:hanging="601"/>
      </w:pPr>
      <w:rPr>
        <w:rFonts w:hint="default"/>
      </w:rPr>
    </w:lvl>
    <w:lvl w:ilvl="6">
      <w:start w:val="0"/>
      <w:numFmt w:val="bullet"/>
      <w:lvlText w:val="•"/>
      <w:lvlJc w:val="left"/>
      <w:pPr>
        <w:ind w:left="9296" w:hanging="601"/>
      </w:pPr>
      <w:rPr>
        <w:rFonts w:hint="default"/>
      </w:rPr>
    </w:lvl>
    <w:lvl w:ilvl="7">
      <w:start w:val="0"/>
      <w:numFmt w:val="bullet"/>
      <w:lvlText w:val="•"/>
      <w:lvlJc w:val="left"/>
      <w:pPr>
        <w:ind w:left="10572" w:hanging="601"/>
      </w:pPr>
      <w:rPr>
        <w:rFonts w:hint="default"/>
      </w:rPr>
    </w:lvl>
    <w:lvl w:ilvl="8">
      <w:start w:val="0"/>
      <w:numFmt w:val="bullet"/>
      <w:lvlText w:val="•"/>
      <w:lvlJc w:val="left"/>
      <w:pPr>
        <w:ind w:left="11848" w:hanging="60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40"/>
      <w:szCs w:val="40"/>
    </w:rPr>
  </w:style>
  <w:style w:styleId="Heading1" w:type="paragraph">
    <w:name w:val="Heading 1"/>
    <w:basedOn w:val="Normal"/>
    <w:uiPriority w:val="1"/>
    <w:qFormat/>
    <w:pPr>
      <w:spacing w:before="4"/>
      <w:ind w:left="20"/>
      <w:outlineLvl w:val="1"/>
    </w:pPr>
    <w:rPr>
      <w:rFonts w:ascii="Arial" w:hAnsi="Arial" w:eastAsia="Arial" w:cs="Arial"/>
      <w:b/>
      <w:bCs/>
      <w:sz w:val="48"/>
      <w:szCs w:val="48"/>
    </w:rPr>
  </w:style>
  <w:style w:styleId="Heading2" w:type="paragraph">
    <w:name w:val="Heading 2"/>
    <w:basedOn w:val="Normal"/>
    <w:uiPriority w:val="1"/>
    <w:qFormat/>
    <w:pPr>
      <w:spacing w:before="258"/>
      <w:ind w:left="912"/>
      <w:outlineLvl w:val="2"/>
    </w:pPr>
    <w:rPr>
      <w:rFonts w:ascii="Arial" w:hAnsi="Arial" w:eastAsia="Arial" w:cs="Arial"/>
      <w:sz w:val="48"/>
      <w:szCs w:val="48"/>
    </w:rPr>
  </w:style>
  <w:style w:styleId="Heading3" w:type="paragraph">
    <w:name w:val="Heading 3"/>
    <w:basedOn w:val="Normal"/>
    <w:uiPriority w:val="1"/>
    <w:qFormat/>
    <w:pPr>
      <w:ind w:left="912"/>
      <w:outlineLvl w:val="3"/>
    </w:pPr>
    <w:rPr>
      <w:rFonts w:ascii="Arial" w:hAnsi="Arial" w:eastAsia="Arial" w:cs="Arial"/>
      <w:b/>
      <w:bCs/>
      <w:sz w:val="40"/>
      <w:szCs w:val="40"/>
    </w:rPr>
  </w:style>
  <w:style w:styleId="ListParagraph" w:type="paragraph">
    <w:name w:val="List Paragraph"/>
    <w:basedOn w:val="Normal"/>
    <w:uiPriority w:val="1"/>
    <w:qFormat/>
    <w:pPr>
      <w:ind w:left="1632" w:hanging="60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Stacie (EHS)</dc:creator>
  <dc:title>Presentation Template HHS blue</dc:title>
  <dcterms:created xsi:type="dcterms:W3CDTF">2019-10-16T13:19:13Z</dcterms:created>
  <dcterms:modified xsi:type="dcterms:W3CDTF">2019-10-16T13:19:13Z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Creator">
    <vt:lpwstr>Microsoft® PowerPoint® 2010</vt:lpwstr>
  </property>
  <property fmtid="{D5CDD505-2E9C-101B-9397-08002B2CF9AE}" pid="4" name="LastSaved">
    <vt:filetime>2019-10-16T00:00:00Z</vt:filetime>
  </property>
</Properties>
</file>