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40E" w:rsidRPr="00037990" w:rsidRDefault="008B5565" w:rsidP="00254E59">
      <w:pPr>
        <w:rPr>
          <w:rFonts w:asciiTheme="minorHAnsi" w:hAnsiTheme="minorHAnsi"/>
        </w:rPr>
      </w:pPr>
      <w:r w:rsidRPr="00037990">
        <w:rPr>
          <w:rFonts w:asciiTheme="minorHAnsi" w:hAnsiTheme="minorHAnsi"/>
          <w:noProof/>
        </w:rPr>
        <mc:AlternateContent>
          <mc:Choice Requires="wps">
            <w:drawing>
              <wp:anchor distT="0" distB="0" distL="114300" distR="114300" simplePos="0" relativeHeight="251658752" behindDoc="0" locked="0" layoutInCell="1" allowOverlap="1" wp14:anchorId="3FB610C8" wp14:editId="46AE99CE">
                <wp:simplePos x="0" y="0"/>
                <wp:positionH relativeFrom="column">
                  <wp:posOffset>1314450</wp:posOffset>
                </wp:positionH>
                <wp:positionV relativeFrom="paragraph">
                  <wp:posOffset>-85726</wp:posOffset>
                </wp:positionV>
                <wp:extent cx="5181600" cy="1152525"/>
                <wp:effectExtent l="0" t="0" r="0" b="952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1152525"/>
                        </a:xfrm>
                        <a:prstGeom prst="rect">
                          <a:avLst/>
                        </a:prstGeom>
                        <a:noFill/>
                        <a:ln>
                          <a:noFill/>
                        </a:ln>
                        <a:effectLst/>
                      </wps:spPr>
                      <wps:txbx>
                        <w:txbxContent>
                          <w:p w:rsidR="00FE4BB5" w:rsidRPr="00FE4BB5" w:rsidRDefault="00FE4BB5" w:rsidP="00FE4BB5">
                            <w:pPr>
                              <w:rPr>
                                <w:b/>
                                <w:color w:val="1F497D" w:themeColor="text2"/>
                                <w:sz w:val="28"/>
                                <w:szCs w:val="24"/>
                              </w:rPr>
                            </w:pPr>
                            <w:r w:rsidRPr="00FE4BB5">
                              <w:rPr>
                                <w:b/>
                                <w:color w:val="1F497D" w:themeColor="text2"/>
                                <w:sz w:val="28"/>
                                <w:szCs w:val="24"/>
                              </w:rPr>
                              <w:t xml:space="preserve">Maternal Mortality </w:t>
                            </w:r>
                            <w:r w:rsidR="009D776C">
                              <w:rPr>
                                <w:b/>
                                <w:color w:val="1F497D" w:themeColor="text2"/>
                                <w:sz w:val="28"/>
                                <w:szCs w:val="24"/>
                              </w:rPr>
                              <w:t xml:space="preserve">and Morbidity </w:t>
                            </w:r>
                            <w:r w:rsidRPr="00FE4BB5">
                              <w:rPr>
                                <w:b/>
                                <w:color w:val="1F497D" w:themeColor="text2"/>
                                <w:sz w:val="28"/>
                                <w:szCs w:val="24"/>
                              </w:rPr>
                              <w:t>Review in Massachusetts</w:t>
                            </w:r>
                          </w:p>
                          <w:p w:rsidR="00FE4BB5" w:rsidRPr="00FE4BB5" w:rsidRDefault="00FE4BB5" w:rsidP="00FE4BB5">
                            <w:pPr>
                              <w:rPr>
                                <w:b/>
                                <w:color w:val="1F497D" w:themeColor="text2"/>
                                <w:sz w:val="28"/>
                                <w:szCs w:val="24"/>
                              </w:rPr>
                            </w:pPr>
                            <w:r w:rsidRPr="005847B7">
                              <w:rPr>
                                <w:b/>
                                <w:color w:val="1F497D" w:themeColor="text2"/>
                                <w:sz w:val="24"/>
                                <w:szCs w:val="24"/>
                              </w:rPr>
                              <w:t>A Bulletin for Health Care Professionals</w:t>
                            </w:r>
                            <w:r w:rsidR="00C4340E" w:rsidRPr="005847B7">
                              <w:rPr>
                                <w:b/>
                                <w:color w:val="1F497D" w:themeColor="text2"/>
                                <w:sz w:val="24"/>
                                <w:szCs w:val="24"/>
                              </w:rPr>
                              <w:t xml:space="preserve"> </w:t>
                            </w:r>
                            <w:r w:rsidR="00C4340E" w:rsidRPr="00FE4BB5">
                              <w:rPr>
                                <w:b/>
                                <w:color w:val="1F497D" w:themeColor="text2"/>
                                <w:sz w:val="28"/>
                                <w:szCs w:val="24"/>
                              </w:rPr>
                              <w:br/>
                            </w:r>
                          </w:p>
                          <w:p w:rsidR="00C4340E" w:rsidRPr="00FE4BB5" w:rsidRDefault="00FE4BB5" w:rsidP="00FE4BB5">
                            <w:pPr>
                              <w:rPr>
                                <w:b/>
                                <w:color w:val="E36C0A"/>
                                <w:sz w:val="28"/>
                                <w:szCs w:val="24"/>
                              </w:rPr>
                            </w:pPr>
                            <w:r w:rsidRPr="00FE4BB5">
                              <w:rPr>
                                <w:b/>
                                <w:color w:val="1F497D" w:themeColor="text2"/>
                                <w:sz w:val="28"/>
                                <w:szCs w:val="24"/>
                              </w:rPr>
                              <w:t xml:space="preserve">Substance Use </w:t>
                            </w:r>
                            <w:r w:rsidR="00E71E73" w:rsidRPr="00FE4BB5">
                              <w:rPr>
                                <w:b/>
                                <w:color w:val="1F497D" w:themeColor="text2"/>
                                <w:sz w:val="28"/>
                                <w:szCs w:val="24"/>
                              </w:rPr>
                              <w:t>among</w:t>
                            </w:r>
                            <w:r w:rsidRPr="00FE4BB5">
                              <w:rPr>
                                <w:b/>
                                <w:color w:val="1F497D" w:themeColor="text2"/>
                                <w:sz w:val="28"/>
                                <w:szCs w:val="24"/>
                              </w:rPr>
                              <w:t xml:space="preserve"> Pregnancy-Associated Deaths — </w:t>
                            </w:r>
                            <w:r w:rsidRPr="00E71E73">
                              <w:rPr>
                                <w:b/>
                                <w:color w:val="1F497D" w:themeColor="text2"/>
                                <w:sz w:val="28"/>
                                <w:szCs w:val="24"/>
                              </w:rPr>
                              <w:t>Massachusetts, 2005–2014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3.5pt;margin-top:-6.75pt;width:408pt;height:9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" filled="f" stroked="f">
                <v:path arrowok="t"/>
                <v:textbox>
                  <w:txbxContent>
                    <w:p w:rsidR="00FE4BB5" w:rsidRPr="00FE4BB5" w:rsidRDefault="00FE4BB5" w:rsidP="00FE4BB5">
                      <w:pPr>
                        <w:rPr>
                          <w:b/>
                          <w:color w:val="1F497D" w:themeColor="text2"/>
                          <w:sz w:val="28"/>
                          <w:szCs w:val="24"/>
                        </w:rPr>
                      </w:pPr>
                      <w:r w:rsidRPr="00FE4BB5">
                        <w:rPr>
                          <w:b/>
                          <w:color w:val="1F497D" w:themeColor="text2"/>
                          <w:sz w:val="28"/>
                          <w:szCs w:val="24"/>
                        </w:rPr>
                        <w:t xml:space="preserve">Maternal Mortality </w:t>
                      </w:r>
                      <w:r w:rsidR="009D776C">
                        <w:rPr>
                          <w:b/>
                          <w:color w:val="1F497D" w:themeColor="text2"/>
                          <w:sz w:val="28"/>
                          <w:szCs w:val="24"/>
                        </w:rPr>
                        <w:t xml:space="preserve">and Morbidity </w:t>
                      </w:r>
                      <w:r w:rsidRPr="00FE4BB5">
                        <w:rPr>
                          <w:b/>
                          <w:color w:val="1F497D" w:themeColor="text2"/>
                          <w:sz w:val="28"/>
                          <w:szCs w:val="24"/>
                        </w:rPr>
                        <w:t>Review in Massachusetts</w:t>
                      </w:r>
                    </w:p>
                    <w:p w:rsidR="00FE4BB5" w:rsidRPr="00FE4BB5" w:rsidRDefault="00FE4BB5" w:rsidP="00FE4BB5">
                      <w:pPr>
                        <w:rPr>
                          <w:b/>
                          <w:color w:val="1F497D" w:themeColor="text2"/>
                          <w:sz w:val="28"/>
                          <w:szCs w:val="24"/>
                        </w:rPr>
                      </w:pPr>
                      <w:r w:rsidRPr="005847B7">
                        <w:rPr>
                          <w:b/>
                          <w:color w:val="1F497D" w:themeColor="text2"/>
                          <w:sz w:val="24"/>
                          <w:szCs w:val="24"/>
                        </w:rPr>
                        <w:t>A Bulletin for Health Care Professionals</w:t>
                      </w:r>
                      <w:r w:rsidR="00C4340E" w:rsidRPr="005847B7">
                        <w:rPr>
                          <w:b/>
                          <w:color w:val="1F497D" w:themeColor="text2"/>
                          <w:sz w:val="24"/>
                          <w:szCs w:val="24"/>
                        </w:rPr>
                        <w:t xml:space="preserve"> </w:t>
                      </w:r>
                      <w:r w:rsidR="00C4340E" w:rsidRPr="00FE4BB5">
                        <w:rPr>
                          <w:b/>
                          <w:color w:val="1F497D" w:themeColor="text2"/>
                          <w:sz w:val="28"/>
                          <w:szCs w:val="24"/>
                        </w:rPr>
                        <w:br/>
                      </w:r>
                    </w:p>
                    <w:p w:rsidR="00C4340E" w:rsidRPr="00FE4BB5" w:rsidRDefault="00FE4BB5" w:rsidP="00FE4BB5">
                      <w:pPr>
                        <w:rPr>
                          <w:b/>
                          <w:color w:val="E36C0A"/>
                          <w:sz w:val="28"/>
                          <w:szCs w:val="24"/>
                        </w:rPr>
                      </w:pPr>
                      <w:r w:rsidRPr="00FE4BB5">
                        <w:rPr>
                          <w:b/>
                          <w:color w:val="1F497D" w:themeColor="text2"/>
                          <w:sz w:val="28"/>
                          <w:szCs w:val="24"/>
                        </w:rPr>
                        <w:t xml:space="preserve">Substance Use </w:t>
                      </w:r>
                      <w:r w:rsidR="00E71E73" w:rsidRPr="00FE4BB5">
                        <w:rPr>
                          <w:b/>
                          <w:color w:val="1F497D" w:themeColor="text2"/>
                          <w:sz w:val="28"/>
                          <w:szCs w:val="24"/>
                        </w:rPr>
                        <w:t>among</w:t>
                      </w:r>
                      <w:r w:rsidRPr="00FE4BB5">
                        <w:rPr>
                          <w:b/>
                          <w:color w:val="1F497D" w:themeColor="text2"/>
                          <w:sz w:val="28"/>
                          <w:szCs w:val="24"/>
                        </w:rPr>
                        <w:t xml:space="preserve"> Pregnancy-Associated Deaths — </w:t>
                      </w:r>
                      <w:r w:rsidRPr="00E71E73">
                        <w:rPr>
                          <w:b/>
                          <w:color w:val="1F497D" w:themeColor="text2"/>
                          <w:sz w:val="28"/>
                          <w:szCs w:val="24"/>
                        </w:rPr>
                        <w:t>Massachusetts, 2005–2014</w:t>
                      </w:r>
                    </w:p>
                  </w:txbxContent>
                </v:textbox>
              </v:shape>
            </w:pict>
          </mc:Fallback>
        </mc:AlternateContent>
      </w:r>
      <w:r w:rsidRPr="00037990">
        <w:rPr>
          <w:rFonts w:asciiTheme="minorHAnsi" w:hAnsiTheme="minorHAnsi"/>
          <w:noProof/>
        </w:rPr>
        <mc:AlternateContent>
          <mc:Choice Requires="wps">
            <w:drawing>
              <wp:anchor distT="0" distB="274320" distL="114300" distR="114300" simplePos="0" relativeHeight="251657728" behindDoc="1" locked="0" layoutInCell="1" allowOverlap="1" wp14:anchorId="7AA874FA" wp14:editId="2B9C9B06">
                <wp:simplePos x="0" y="0"/>
                <wp:positionH relativeFrom="column">
                  <wp:posOffset>37465</wp:posOffset>
                </wp:positionH>
                <wp:positionV relativeFrom="paragraph">
                  <wp:posOffset>-133350</wp:posOffset>
                </wp:positionV>
                <wp:extent cx="6772275" cy="124777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95pt;margin-top:-10.5pt;width:533.25pt;height:98.25pt;z-index:-251658752;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" strokeweight="1pt"/>
            </w:pict>
          </mc:Fallback>
        </mc:AlternateContent>
      </w:r>
      <w:r w:rsidR="00114D0F">
        <w:rPr>
          <w:rFonts w:asciiTheme="minorHAnsi" w:hAnsiTheme="minorHAnsi"/>
        </w:rPr>
        <w:t xml:space="preserve"> </w:t>
      </w:r>
      <w:r w:rsidR="00C4340E" w:rsidRPr="00037990">
        <w:rPr>
          <w:rFonts w:asciiTheme="minorHAnsi" w:hAnsiTheme="minorHAnsi"/>
        </w:rPr>
        <w:t xml:space="preserve">      </w:t>
      </w:r>
      <w:r w:rsidRPr="00037990">
        <w:rPr>
          <w:rFonts w:asciiTheme="minorHAnsi" w:hAnsiTheme="minorHAnsi"/>
          <w:noProof/>
        </w:rPr>
        <w:drawing>
          <wp:inline distT="0" distB="0" distL="0" distR="0" wp14:anchorId="31F406ED" wp14:editId="79BA9274">
            <wp:extent cx="1009650" cy="1019175"/>
            <wp:effectExtent l="0" t="0" r="0" b="9525"/>
            <wp:docPr id="1"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19175"/>
                    </a:xfrm>
                    <a:prstGeom prst="rect">
                      <a:avLst/>
                    </a:prstGeom>
                    <a:noFill/>
                    <a:ln>
                      <a:noFill/>
                    </a:ln>
                  </pic:spPr>
                </pic:pic>
              </a:graphicData>
            </a:graphic>
          </wp:inline>
        </w:drawing>
      </w:r>
    </w:p>
    <w:p w:rsidR="00C4340E" w:rsidRPr="00037990" w:rsidRDefault="00C4340E" w:rsidP="00920EC9">
      <w:pPr>
        <w:jc w:val="center"/>
        <w:rPr>
          <w:rStyle w:val="TitleChar"/>
          <w:rFonts w:asciiTheme="minorHAnsi" w:eastAsia="Times New Roman" w:hAnsiTheme="minorHAnsi" w:cs="Arial"/>
          <w:b/>
          <w:color w:val="auto"/>
          <w:spacing w:val="0"/>
          <w:kern w:val="0"/>
          <w:sz w:val="22"/>
          <w:szCs w:val="22"/>
        </w:rPr>
      </w:pPr>
    </w:p>
    <w:p w:rsidR="00C4340E" w:rsidRPr="00037990" w:rsidRDefault="00C4340E" w:rsidP="00920EC9">
      <w:pPr>
        <w:rPr>
          <w:rStyle w:val="TitleChar"/>
          <w:rFonts w:asciiTheme="minorHAnsi" w:hAnsiTheme="minorHAnsi"/>
          <w:color w:val="E36C0A"/>
          <w:sz w:val="20"/>
          <w:szCs w:val="20"/>
        </w:rPr>
      </w:pPr>
    </w:p>
    <w:p w:rsidR="00C4340E" w:rsidRPr="00037990" w:rsidRDefault="00C4340E" w:rsidP="00F3713E">
      <w:pPr>
        <w:rPr>
          <w:rFonts w:asciiTheme="minorHAnsi" w:hAnsiTheme="minorHAnsi"/>
          <w:sz w:val="8"/>
          <w:szCs w:val="8"/>
        </w:rPr>
      </w:pPr>
    </w:p>
    <w:p w:rsidR="00C4340E" w:rsidRPr="00E71E73" w:rsidRDefault="00C4340E" w:rsidP="00F00E8D">
      <w:pPr>
        <w:jc w:val="both"/>
        <w:rPr>
          <w:rFonts w:asciiTheme="minorHAnsi" w:hAnsiTheme="minorHAnsi" w:cs="Times New Roman"/>
          <w:sz w:val="24"/>
          <w:szCs w:val="24"/>
        </w:rPr>
      </w:pPr>
    </w:p>
    <w:p w:rsidR="005847B7" w:rsidRDefault="005847B7" w:rsidP="00FE4BB5">
      <w:pPr>
        <w:rPr>
          <w:rFonts w:asciiTheme="minorHAnsi" w:hAnsiTheme="minorHAnsi"/>
          <w:b/>
          <w:sz w:val="24"/>
          <w:szCs w:val="24"/>
        </w:rPr>
        <w:sectPr w:rsidR="005847B7" w:rsidSect="00A65817">
          <w:headerReference w:type="default" r:id="rId10"/>
          <w:footerReference w:type="default" r:id="rId11"/>
          <w:pgSz w:w="12240" w:h="15840"/>
          <w:pgMar w:top="547" w:right="720" w:bottom="446" w:left="720" w:header="720" w:footer="720" w:gutter="0"/>
          <w:cols w:num="2" w:space="720"/>
          <w:docGrid w:linePitch="360"/>
        </w:sectPr>
      </w:pPr>
    </w:p>
    <w:p w:rsidR="005847B7" w:rsidRPr="00A574BA" w:rsidRDefault="00A574BA" w:rsidP="00FE4BB5">
      <w:pPr>
        <w:rPr>
          <w:b/>
          <w:sz w:val="22"/>
          <w:szCs w:val="22"/>
        </w:rPr>
      </w:pPr>
      <w:r w:rsidRPr="00037990">
        <w:rPr>
          <w:rFonts w:asciiTheme="minorHAnsi" w:hAnsiTheme="minorHAnsi"/>
          <w:noProof/>
        </w:rPr>
        <w:lastRenderedPageBreak/>
        <mc:AlternateContent>
          <mc:Choice Requires="wps">
            <w:drawing>
              <wp:anchor distT="0" distB="274320" distL="114300" distR="114300" simplePos="0" relativeHeight="251660800" behindDoc="1" locked="0" layoutInCell="1" allowOverlap="1" wp14:anchorId="2D77832F" wp14:editId="5CF06CED">
                <wp:simplePos x="0" y="0"/>
                <wp:positionH relativeFrom="column">
                  <wp:posOffset>42530</wp:posOffset>
                </wp:positionH>
                <wp:positionV relativeFrom="paragraph">
                  <wp:posOffset>80614</wp:posOffset>
                </wp:positionV>
                <wp:extent cx="6772275" cy="308345"/>
                <wp:effectExtent l="0" t="0" r="28575"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3083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35pt;margin-top:6.35pt;width:533.25pt;height:24.3pt;z-index:-251655680;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" strokeweight="1pt"/>
            </w:pict>
          </mc:Fallback>
        </mc:AlternateContent>
      </w:r>
    </w:p>
    <w:p w:rsidR="00A574BA" w:rsidRDefault="00A574BA" w:rsidP="00FE4BB5">
      <w:pPr>
        <w:rPr>
          <w:rFonts w:asciiTheme="minorHAnsi" w:hAnsiTheme="minorHAnsi"/>
          <w:b/>
          <w:sz w:val="22"/>
          <w:szCs w:val="22"/>
        </w:rPr>
      </w:pPr>
      <w:r>
        <w:rPr>
          <w:rFonts w:asciiTheme="minorHAnsi" w:hAnsiTheme="minorHAnsi"/>
          <w:b/>
          <w:sz w:val="22"/>
          <w:szCs w:val="22"/>
        </w:rPr>
        <w:t xml:space="preserve">  Massachusetts Department of Public Health</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t xml:space="preserve"> </w:t>
      </w:r>
      <w:r w:rsidR="004271F8">
        <w:rPr>
          <w:rFonts w:asciiTheme="minorHAnsi" w:hAnsiTheme="minorHAnsi"/>
          <w:b/>
          <w:sz w:val="22"/>
          <w:szCs w:val="22"/>
        </w:rPr>
        <w:t xml:space="preserve"> </w:t>
      </w:r>
      <w:r w:rsidR="004271F8">
        <w:rPr>
          <w:rFonts w:asciiTheme="minorHAnsi" w:hAnsiTheme="minorHAnsi"/>
          <w:b/>
          <w:sz w:val="22"/>
          <w:szCs w:val="22"/>
        </w:rPr>
        <w:tab/>
      </w:r>
      <w:r w:rsidR="004271F8">
        <w:rPr>
          <w:rFonts w:asciiTheme="minorHAnsi" w:hAnsiTheme="minorHAnsi"/>
          <w:b/>
          <w:sz w:val="22"/>
          <w:szCs w:val="22"/>
        </w:rPr>
        <w:tab/>
        <w:t xml:space="preserve">             </w:t>
      </w:r>
      <w:r w:rsidR="00D45CF8">
        <w:rPr>
          <w:rFonts w:asciiTheme="minorHAnsi" w:hAnsiTheme="minorHAnsi"/>
          <w:b/>
          <w:sz w:val="22"/>
          <w:szCs w:val="22"/>
        </w:rPr>
        <w:t>SPRING 2018</w:t>
      </w:r>
    </w:p>
    <w:p w:rsidR="00A574BA" w:rsidRDefault="00A574BA" w:rsidP="00FE4BB5">
      <w:pPr>
        <w:rPr>
          <w:rFonts w:asciiTheme="minorHAnsi" w:hAnsiTheme="minorHAnsi"/>
          <w:b/>
          <w:sz w:val="22"/>
          <w:szCs w:val="22"/>
        </w:rPr>
      </w:pPr>
    </w:p>
    <w:p w:rsidR="004E0AE0" w:rsidRPr="009D776C" w:rsidRDefault="004E0AE0" w:rsidP="00FE4BB5">
      <w:pPr>
        <w:rPr>
          <w:rFonts w:asciiTheme="minorHAnsi" w:hAnsiTheme="minorHAnsi"/>
          <w:i/>
          <w:sz w:val="22"/>
          <w:szCs w:val="22"/>
        </w:rPr>
      </w:pPr>
      <w:r w:rsidRPr="009D776C">
        <w:rPr>
          <w:rFonts w:asciiTheme="minorHAnsi" w:hAnsiTheme="minorHAnsi"/>
          <w:i/>
          <w:sz w:val="22"/>
          <w:szCs w:val="22"/>
        </w:rPr>
        <w:t>Dear Healthc</w:t>
      </w:r>
      <w:r w:rsidR="009D776C">
        <w:rPr>
          <w:rFonts w:asciiTheme="minorHAnsi" w:hAnsiTheme="minorHAnsi"/>
          <w:i/>
          <w:sz w:val="22"/>
          <w:szCs w:val="22"/>
        </w:rPr>
        <w:t>are Provider or</w:t>
      </w:r>
      <w:r w:rsidRPr="009D776C">
        <w:rPr>
          <w:rFonts w:asciiTheme="minorHAnsi" w:hAnsiTheme="minorHAnsi"/>
          <w:i/>
          <w:sz w:val="22"/>
          <w:szCs w:val="22"/>
        </w:rPr>
        <w:t xml:space="preserve"> Public Health Professional,</w:t>
      </w:r>
    </w:p>
    <w:p w:rsidR="004E0AE0" w:rsidRPr="009D776C" w:rsidRDefault="004E0AE0" w:rsidP="00FE4BB5">
      <w:pPr>
        <w:rPr>
          <w:rFonts w:asciiTheme="minorHAnsi" w:hAnsiTheme="minorHAnsi"/>
          <w:i/>
          <w:sz w:val="22"/>
          <w:szCs w:val="22"/>
        </w:rPr>
      </w:pPr>
      <w:r w:rsidRPr="009D776C">
        <w:rPr>
          <w:rFonts w:asciiTheme="minorHAnsi" w:hAnsiTheme="minorHAnsi"/>
          <w:i/>
          <w:sz w:val="22"/>
          <w:szCs w:val="22"/>
        </w:rPr>
        <w:tab/>
        <w:t xml:space="preserve">The Massachusetts Maternal Mortality &amp; Morbidity Review Committee has </w:t>
      </w:r>
      <w:r w:rsidR="00E23289">
        <w:rPr>
          <w:rFonts w:asciiTheme="minorHAnsi" w:hAnsiTheme="minorHAnsi"/>
          <w:i/>
          <w:sz w:val="22"/>
          <w:szCs w:val="22"/>
        </w:rPr>
        <w:t>observed</w:t>
      </w:r>
      <w:r w:rsidRPr="009D776C">
        <w:rPr>
          <w:rFonts w:asciiTheme="minorHAnsi" w:hAnsiTheme="minorHAnsi"/>
          <w:i/>
          <w:sz w:val="22"/>
          <w:szCs w:val="22"/>
        </w:rPr>
        <w:t xml:space="preserve"> an </w:t>
      </w:r>
      <w:r w:rsidR="00CE0C6C">
        <w:rPr>
          <w:rFonts w:asciiTheme="minorHAnsi" w:hAnsiTheme="minorHAnsi"/>
          <w:i/>
          <w:sz w:val="22"/>
          <w:szCs w:val="22"/>
        </w:rPr>
        <w:t>increase</w:t>
      </w:r>
      <w:r w:rsidRPr="009D776C">
        <w:rPr>
          <w:rFonts w:asciiTheme="minorHAnsi" w:hAnsiTheme="minorHAnsi"/>
          <w:i/>
          <w:sz w:val="22"/>
          <w:szCs w:val="22"/>
        </w:rPr>
        <w:t xml:space="preserve"> in the number of women who have died during or within a year of the end of pregnancy because of substance use.  This bulletin presents data collected by the committee in an effort to call attention to this disturbing trend and </w:t>
      </w:r>
      <w:r w:rsidR="00CE0C6C">
        <w:rPr>
          <w:rFonts w:asciiTheme="minorHAnsi" w:hAnsiTheme="minorHAnsi"/>
          <w:i/>
          <w:sz w:val="22"/>
          <w:szCs w:val="22"/>
        </w:rPr>
        <w:t>facilitate</w:t>
      </w:r>
      <w:r w:rsidRPr="009D776C">
        <w:rPr>
          <w:rFonts w:asciiTheme="minorHAnsi" w:hAnsiTheme="minorHAnsi"/>
          <w:i/>
          <w:sz w:val="22"/>
          <w:szCs w:val="22"/>
        </w:rPr>
        <w:t xml:space="preserve"> conversation about what can be done to prevent these deaths.  </w:t>
      </w:r>
    </w:p>
    <w:p w:rsidR="009D776C" w:rsidRPr="009D776C" w:rsidRDefault="009D776C" w:rsidP="00FE4BB5">
      <w:pPr>
        <w:rPr>
          <w:rFonts w:asciiTheme="minorHAnsi" w:hAnsiTheme="minorHAnsi"/>
          <w:i/>
          <w:sz w:val="22"/>
          <w:szCs w:val="22"/>
        </w:rPr>
      </w:pPr>
      <w:r w:rsidRPr="009D776C">
        <w:rPr>
          <w:rFonts w:asciiTheme="minorHAnsi" w:hAnsiTheme="minorHAnsi"/>
          <w:i/>
          <w:sz w:val="22"/>
          <w:szCs w:val="22"/>
        </w:rPr>
        <w:tab/>
        <w:t xml:space="preserve">Please </w:t>
      </w:r>
      <w:r w:rsidR="00711F51">
        <w:rPr>
          <w:rFonts w:asciiTheme="minorHAnsi" w:hAnsiTheme="minorHAnsi"/>
          <w:i/>
          <w:sz w:val="22"/>
          <w:szCs w:val="22"/>
        </w:rPr>
        <w:t>direct correspondence</w:t>
      </w:r>
      <w:r w:rsidRPr="009D776C">
        <w:rPr>
          <w:rFonts w:asciiTheme="minorHAnsi" w:hAnsiTheme="minorHAnsi"/>
          <w:i/>
          <w:sz w:val="22"/>
          <w:szCs w:val="22"/>
        </w:rPr>
        <w:t xml:space="preserve"> to </w:t>
      </w:r>
      <w:r w:rsidR="000F00EA" w:rsidRPr="00CE0C6C">
        <w:rPr>
          <w:rFonts w:asciiTheme="minorHAnsi" w:hAnsiTheme="minorHAnsi"/>
          <w:i/>
          <w:sz w:val="22"/>
          <w:szCs w:val="22"/>
        </w:rPr>
        <w:t>Hafsatou.Diop@State.MA.US</w:t>
      </w:r>
    </w:p>
    <w:p w:rsidR="009D776C" w:rsidRPr="009D776C" w:rsidRDefault="009D776C" w:rsidP="00FE4BB5">
      <w:pPr>
        <w:rPr>
          <w:rFonts w:asciiTheme="minorHAnsi" w:hAnsiTheme="minorHAnsi"/>
          <w:i/>
          <w:sz w:val="22"/>
          <w:szCs w:val="22"/>
        </w:rPr>
      </w:pPr>
    </w:p>
    <w:p w:rsidR="009D776C" w:rsidRPr="009D776C" w:rsidRDefault="009D776C" w:rsidP="00FE4BB5">
      <w:pPr>
        <w:rPr>
          <w:rFonts w:asciiTheme="minorHAnsi" w:hAnsiTheme="minorHAnsi"/>
          <w:i/>
          <w:sz w:val="22"/>
          <w:szCs w:val="22"/>
        </w:rPr>
      </w:pPr>
      <w:r w:rsidRPr="009D776C">
        <w:rPr>
          <w:rFonts w:asciiTheme="minorHAnsi" w:hAnsiTheme="minorHAnsi"/>
          <w:i/>
          <w:sz w:val="22"/>
          <w:szCs w:val="22"/>
        </w:rPr>
        <w:t>Hafsatou Diop, MD</w:t>
      </w:r>
      <w:r w:rsidR="00CE0C6C">
        <w:rPr>
          <w:rFonts w:asciiTheme="minorHAnsi" w:hAnsiTheme="minorHAnsi"/>
          <w:i/>
          <w:sz w:val="22"/>
          <w:szCs w:val="22"/>
        </w:rPr>
        <w:t>, MPH</w:t>
      </w:r>
    </w:p>
    <w:p w:rsidR="0017108B" w:rsidRDefault="0017108B" w:rsidP="00FE4BB5">
      <w:pPr>
        <w:rPr>
          <w:rFonts w:asciiTheme="minorHAnsi" w:hAnsiTheme="minorHAnsi"/>
          <w:i/>
          <w:sz w:val="22"/>
          <w:szCs w:val="22"/>
        </w:rPr>
      </w:pPr>
      <w:r>
        <w:rPr>
          <w:rFonts w:asciiTheme="minorHAnsi" w:hAnsiTheme="minorHAnsi"/>
          <w:i/>
          <w:sz w:val="22"/>
          <w:szCs w:val="22"/>
        </w:rPr>
        <w:t>Director, Office of Data Translation,</w:t>
      </w:r>
    </w:p>
    <w:p w:rsidR="009D776C" w:rsidRPr="009D776C" w:rsidRDefault="009D776C" w:rsidP="00FE4BB5">
      <w:pPr>
        <w:rPr>
          <w:rFonts w:asciiTheme="minorHAnsi" w:hAnsiTheme="minorHAnsi"/>
          <w:i/>
          <w:sz w:val="22"/>
          <w:szCs w:val="22"/>
        </w:rPr>
      </w:pPr>
      <w:r w:rsidRPr="009D776C">
        <w:rPr>
          <w:rFonts w:asciiTheme="minorHAnsi" w:hAnsiTheme="minorHAnsi"/>
          <w:i/>
          <w:sz w:val="22"/>
          <w:szCs w:val="22"/>
        </w:rPr>
        <w:t>State Maternal and Child Health Epidemiologist</w:t>
      </w:r>
    </w:p>
    <w:p w:rsidR="004E0AE0" w:rsidRDefault="004E0AE0" w:rsidP="00FE4BB5">
      <w:pPr>
        <w:rPr>
          <w:rFonts w:asciiTheme="minorHAnsi" w:hAnsiTheme="minorHAnsi"/>
          <w:b/>
          <w:sz w:val="22"/>
          <w:szCs w:val="22"/>
        </w:rPr>
      </w:pPr>
    </w:p>
    <w:p w:rsidR="00FE4BB5" w:rsidRPr="00A574BA" w:rsidRDefault="00FE4BB5" w:rsidP="00FE4BB5">
      <w:pPr>
        <w:rPr>
          <w:rFonts w:asciiTheme="minorHAnsi" w:hAnsiTheme="minorHAnsi"/>
          <w:b/>
          <w:sz w:val="22"/>
          <w:szCs w:val="22"/>
        </w:rPr>
      </w:pPr>
      <w:r w:rsidRPr="00A574BA">
        <w:rPr>
          <w:rFonts w:asciiTheme="minorHAnsi" w:hAnsiTheme="minorHAnsi"/>
          <w:b/>
          <w:sz w:val="22"/>
          <w:szCs w:val="22"/>
        </w:rPr>
        <w:t>Purpose:</w:t>
      </w:r>
    </w:p>
    <w:p w:rsidR="00955F45" w:rsidRPr="00A574BA" w:rsidRDefault="00FE4BB5" w:rsidP="00FE4BB5">
      <w:pPr>
        <w:rPr>
          <w:rFonts w:asciiTheme="minorHAnsi" w:hAnsiTheme="minorHAnsi"/>
          <w:sz w:val="22"/>
          <w:szCs w:val="22"/>
        </w:rPr>
      </w:pPr>
      <w:r w:rsidRPr="00A574BA">
        <w:rPr>
          <w:rFonts w:asciiTheme="minorHAnsi" w:hAnsiTheme="minorHAnsi"/>
          <w:sz w:val="22"/>
          <w:szCs w:val="22"/>
        </w:rPr>
        <w:t xml:space="preserve">The purpose of this bulletin is to present Massachusetts-specific data related to substance use among women who died while pregnant or within a year of the end of pregnancy </w:t>
      </w:r>
      <w:r w:rsidR="00E23289">
        <w:rPr>
          <w:rFonts w:asciiTheme="minorHAnsi" w:hAnsiTheme="minorHAnsi"/>
          <w:sz w:val="22"/>
          <w:szCs w:val="22"/>
        </w:rPr>
        <w:t>during</w:t>
      </w:r>
      <w:r w:rsidRPr="00A574BA">
        <w:rPr>
          <w:rFonts w:asciiTheme="minorHAnsi" w:hAnsiTheme="minorHAnsi"/>
          <w:sz w:val="22"/>
          <w:szCs w:val="22"/>
        </w:rPr>
        <w:t xml:space="preserve"> 2005–2014, and to highlight the </w:t>
      </w:r>
      <w:r w:rsidR="00E23289">
        <w:rPr>
          <w:rFonts w:asciiTheme="minorHAnsi" w:hAnsiTheme="minorHAnsi"/>
          <w:sz w:val="22"/>
          <w:szCs w:val="22"/>
        </w:rPr>
        <w:t>effect</w:t>
      </w:r>
      <w:r w:rsidR="00E23289" w:rsidRPr="00A574BA">
        <w:rPr>
          <w:rFonts w:asciiTheme="minorHAnsi" w:hAnsiTheme="minorHAnsi"/>
          <w:sz w:val="22"/>
          <w:szCs w:val="22"/>
        </w:rPr>
        <w:t xml:space="preserve"> </w:t>
      </w:r>
      <w:r w:rsidR="00711F51">
        <w:rPr>
          <w:rFonts w:asciiTheme="minorHAnsi" w:hAnsiTheme="minorHAnsi"/>
          <w:sz w:val="22"/>
          <w:szCs w:val="22"/>
        </w:rPr>
        <w:t>of the</w:t>
      </w:r>
      <w:r w:rsidRPr="00A574BA">
        <w:rPr>
          <w:rFonts w:asciiTheme="minorHAnsi" w:hAnsiTheme="minorHAnsi"/>
          <w:sz w:val="22"/>
          <w:szCs w:val="22"/>
        </w:rPr>
        <w:t xml:space="preserve"> national opioid epidemic on women in our state.</w:t>
      </w:r>
    </w:p>
    <w:p w:rsidR="00A574BA" w:rsidRPr="00A574BA" w:rsidRDefault="00A574BA" w:rsidP="00FE4BB5">
      <w:pPr>
        <w:rPr>
          <w:rFonts w:asciiTheme="minorHAnsi" w:hAnsiTheme="minorHAnsi"/>
          <w:sz w:val="22"/>
          <w:szCs w:val="22"/>
        </w:rPr>
      </w:pPr>
    </w:p>
    <w:p w:rsidR="00FE4BB5" w:rsidRPr="00A574BA" w:rsidRDefault="00FE4BB5" w:rsidP="00FE4BB5">
      <w:pPr>
        <w:rPr>
          <w:rFonts w:asciiTheme="minorHAnsi" w:hAnsiTheme="minorHAnsi"/>
          <w:b/>
          <w:sz w:val="22"/>
          <w:szCs w:val="22"/>
        </w:rPr>
      </w:pPr>
      <w:r w:rsidRPr="00A574BA">
        <w:rPr>
          <w:rFonts w:asciiTheme="minorHAnsi" w:hAnsiTheme="minorHAnsi"/>
          <w:b/>
          <w:sz w:val="22"/>
          <w:szCs w:val="22"/>
        </w:rPr>
        <w:t>Background:</w:t>
      </w:r>
    </w:p>
    <w:p w:rsidR="00FE4BB5" w:rsidRPr="002A48E9" w:rsidRDefault="00FE4BB5" w:rsidP="00FE4BB5">
      <w:pPr>
        <w:rPr>
          <w:rFonts w:asciiTheme="minorHAnsi" w:hAnsiTheme="minorHAnsi"/>
          <w:sz w:val="22"/>
          <w:szCs w:val="22"/>
        </w:rPr>
      </w:pPr>
      <w:r w:rsidRPr="00A574BA">
        <w:rPr>
          <w:rFonts w:asciiTheme="minorHAnsi" w:hAnsiTheme="minorHAnsi"/>
          <w:sz w:val="22"/>
          <w:szCs w:val="22"/>
        </w:rPr>
        <w:t xml:space="preserve">The Massachusetts Maternal Mortality and Morbidity Review Committee (MMMRC) reviews the deaths of all women who die while pregnant or within one year of the end of pregnancy, irrespective of cause.  The committee was appointed in 1997 by the Commissioner of the Massachusetts Department of Public Health (MDPH) to review maternal deaths, study the incidence of pregnancy complications, and make recommendations to improve maternal outcomes and prevent mortality. The work of the committee is protected under M.G.L. c. 111, section 24A and 24B, which assures the confidentiality of all records and proceedings. The committee consists of a wide variety of health professions, </w:t>
      </w:r>
      <w:r w:rsidRPr="002A48E9">
        <w:rPr>
          <w:rFonts w:asciiTheme="minorHAnsi" w:hAnsiTheme="minorHAnsi"/>
          <w:sz w:val="22"/>
          <w:szCs w:val="22"/>
        </w:rPr>
        <w:t>including maternal fetal medicine, obstetrics, nurse midwifery, anesthesiology, pathology, and substance use counseling, among others.</w:t>
      </w:r>
    </w:p>
    <w:p w:rsidR="00FE4BB5" w:rsidRPr="002A48E9" w:rsidRDefault="00FE4BB5" w:rsidP="00FE4BB5">
      <w:pPr>
        <w:rPr>
          <w:rFonts w:asciiTheme="minorHAnsi" w:hAnsiTheme="minorHAnsi"/>
          <w:sz w:val="22"/>
          <w:szCs w:val="22"/>
        </w:rPr>
      </w:pPr>
    </w:p>
    <w:p w:rsidR="00955F45" w:rsidRPr="00A574BA" w:rsidRDefault="00FE4BB5" w:rsidP="00FE4BB5">
      <w:pPr>
        <w:rPr>
          <w:rFonts w:asciiTheme="minorHAnsi" w:hAnsiTheme="minorHAnsi"/>
          <w:sz w:val="22"/>
          <w:szCs w:val="22"/>
        </w:rPr>
      </w:pPr>
      <w:r w:rsidRPr="002A48E9">
        <w:rPr>
          <w:rFonts w:asciiTheme="minorHAnsi" w:hAnsiTheme="minorHAnsi"/>
          <w:sz w:val="22"/>
          <w:szCs w:val="22"/>
        </w:rPr>
        <w:t xml:space="preserve">Massachusetts and much of the nation is in the midst of an opioid use and overdose epidemic. </w:t>
      </w:r>
      <w:r w:rsidR="00FA6E8B" w:rsidRPr="002A48E9">
        <w:rPr>
          <w:rFonts w:asciiTheme="minorHAnsi" w:hAnsiTheme="minorHAnsi"/>
          <w:sz w:val="22"/>
          <w:szCs w:val="22"/>
        </w:rPr>
        <w:t xml:space="preserve">The total number of opioid overdose deaths </w:t>
      </w:r>
      <w:r w:rsidR="00364154" w:rsidRPr="002A48E9">
        <w:rPr>
          <w:rFonts w:asciiTheme="minorHAnsi" w:hAnsiTheme="minorHAnsi"/>
          <w:sz w:val="22"/>
          <w:szCs w:val="22"/>
        </w:rPr>
        <w:t xml:space="preserve">in the Commonwealth </w:t>
      </w:r>
      <w:r w:rsidR="00FA6E8B" w:rsidRPr="002A48E9">
        <w:rPr>
          <w:rFonts w:asciiTheme="minorHAnsi" w:hAnsiTheme="minorHAnsi"/>
          <w:sz w:val="22"/>
          <w:szCs w:val="22"/>
        </w:rPr>
        <w:t xml:space="preserve">has increased five-fold in the last 20 years, </w:t>
      </w:r>
      <w:r w:rsidR="00364154" w:rsidRPr="002A48E9">
        <w:rPr>
          <w:rFonts w:asciiTheme="minorHAnsi" w:hAnsiTheme="minorHAnsi"/>
          <w:sz w:val="22"/>
          <w:szCs w:val="22"/>
        </w:rPr>
        <w:t xml:space="preserve">with a particularly sharp </w:t>
      </w:r>
      <w:r w:rsidR="00FA6E8B" w:rsidRPr="002A48E9">
        <w:rPr>
          <w:rFonts w:asciiTheme="minorHAnsi" w:hAnsiTheme="minorHAnsi"/>
          <w:sz w:val="22"/>
          <w:szCs w:val="22"/>
        </w:rPr>
        <w:t>rate of increase</w:t>
      </w:r>
      <w:r w:rsidR="00364154" w:rsidRPr="002A48E9">
        <w:rPr>
          <w:rFonts w:asciiTheme="minorHAnsi" w:hAnsiTheme="minorHAnsi"/>
          <w:sz w:val="22"/>
          <w:szCs w:val="22"/>
        </w:rPr>
        <w:t xml:space="preserve"> </w:t>
      </w:r>
      <w:r w:rsidR="00FA6E8B" w:rsidRPr="002A48E9">
        <w:rPr>
          <w:rFonts w:asciiTheme="minorHAnsi" w:hAnsiTheme="minorHAnsi"/>
          <w:sz w:val="22"/>
          <w:szCs w:val="22"/>
        </w:rPr>
        <w:t>between 2013 and 2014.</w:t>
      </w:r>
      <w:r w:rsidR="00E10543" w:rsidRPr="002A48E9">
        <w:rPr>
          <w:rStyle w:val="FootnoteReference"/>
          <w:rFonts w:asciiTheme="minorHAnsi" w:hAnsiTheme="minorHAnsi"/>
          <w:sz w:val="22"/>
          <w:szCs w:val="22"/>
        </w:rPr>
        <w:footnoteReference w:id="1"/>
      </w:r>
      <w:r w:rsidR="00364154" w:rsidRPr="002A48E9">
        <w:rPr>
          <w:rFonts w:asciiTheme="minorHAnsi" w:hAnsiTheme="minorHAnsi"/>
          <w:sz w:val="22"/>
          <w:szCs w:val="22"/>
        </w:rPr>
        <w:t xml:space="preserve"> A recent MDPH report found that more than a third (38.3%) of deaths among women delivering a live birth between 2011 and 2015 were fatal opioid-related overdoses.</w:t>
      </w:r>
      <w:r w:rsidR="00E10543" w:rsidRPr="002A48E9">
        <w:rPr>
          <w:rFonts w:asciiTheme="minorHAnsi" w:hAnsiTheme="minorHAnsi"/>
          <w:sz w:val="22"/>
          <w:szCs w:val="22"/>
          <w:vertAlign w:val="superscript"/>
        </w:rPr>
        <w:t>1</w:t>
      </w:r>
      <w:r w:rsidR="00364154" w:rsidRPr="002A48E9">
        <w:rPr>
          <w:rFonts w:asciiTheme="minorHAnsi" w:hAnsiTheme="minorHAnsi"/>
          <w:sz w:val="22"/>
          <w:szCs w:val="22"/>
        </w:rPr>
        <w:t xml:space="preserve"> </w:t>
      </w:r>
      <w:r w:rsidRPr="002A48E9">
        <w:rPr>
          <w:rFonts w:asciiTheme="minorHAnsi" w:hAnsiTheme="minorHAnsi"/>
          <w:sz w:val="22"/>
          <w:szCs w:val="22"/>
        </w:rPr>
        <w:t>In 2016 the MMMRC became alarmed at an increase in the number of reviewed deaths that were directly or indirectly associated with substance use. This bulletin is an attempt to alert health care providers to trends in pregnancy-associated deaths involving substances, and to make recommendations to reverse them.</w:t>
      </w:r>
    </w:p>
    <w:p w:rsidR="00A342E1" w:rsidRPr="00A574BA" w:rsidRDefault="00A342E1" w:rsidP="00FE4BB5">
      <w:pPr>
        <w:rPr>
          <w:rFonts w:asciiTheme="minorHAnsi" w:hAnsiTheme="minorHAnsi"/>
          <w:sz w:val="22"/>
          <w:szCs w:val="22"/>
        </w:rPr>
      </w:pPr>
    </w:p>
    <w:p w:rsidR="00FE4BB5" w:rsidRPr="00A574BA" w:rsidRDefault="00FE4BB5" w:rsidP="00FE4BB5">
      <w:pPr>
        <w:rPr>
          <w:rFonts w:asciiTheme="minorHAnsi" w:hAnsiTheme="minorHAnsi"/>
          <w:b/>
          <w:sz w:val="22"/>
          <w:szCs w:val="22"/>
        </w:rPr>
      </w:pPr>
      <w:r w:rsidRPr="00A574BA">
        <w:rPr>
          <w:rFonts w:asciiTheme="minorHAnsi" w:hAnsiTheme="minorHAnsi"/>
          <w:b/>
          <w:sz w:val="22"/>
          <w:szCs w:val="22"/>
        </w:rPr>
        <w:t>Maternal Death Definitions Used in this Bulletin</w:t>
      </w:r>
      <w:r w:rsidR="00E71E73" w:rsidRPr="00A574BA">
        <w:rPr>
          <w:rFonts w:asciiTheme="minorHAnsi" w:hAnsiTheme="minorHAnsi"/>
          <w:b/>
          <w:sz w:val="22"/>
          <w:szCs w:val="22"/>
        </w:rPr>
        <w:t>:</w:t>
      </w:r>
    </w:p>
    <w:p w:rsidR="00FE4BB5" w:rsidRPr="00A574BA" w:rsidRDefault="00FE4BB5" w:rsidP="00FE4BB5">
      <w:pPr>
        <w:rPr>
          <w:rFonts w:asciiTheme="minorHAnsi" w:hAnsiTheme="minorHAnsi"/>
          <w:sz w:val="22"/>
          <w:szCs w:val="22"/>
        </w:rPr>
      </w:pPr>
      <w:r w:rsidRPr="00A574BA">
        <w:rPr>
          <w:rFonts w:asciiTheme="minorHAnsi" w:hAnsiTheme="minorHAnsi"/>
          <w:i/>
          <w:sz w:val="22"/>
          <w:szCs w:val="22"/>
        </w:rPr>
        <w:t>Pregnancy-associated death:</w:t>
      </w:r>
      <w:r w:rsidRPr="00A574BA">
        <w:rPr>
          <w:rFonts w:asciiTheme="minorHAnsi" w:hAnsiTheme="minorHAnsi"/>
          <w:sz w:val="22"/>
          <w:szCs w:val="22"/>
        </w:rPr>
        <w:t xml:space="preserve"> The death of a woman while pregnant or within </w:t>
      </w:r>
      <w:r w:rsidR="00E23289">
        <w:rPr>
          <w:rFonts w:asciiTheme="minorHAnsi" w:hAnsiTheme="minorHAnsi"/>
          <w:sz w:val="22"/>
          <w:szCs w:val="22"/>
        </w:rPr>
        <w:t>one</w:t>
      </w:r>
      <w:r w:rsidRPr="00A574BA">
        <w:rPr>
          <w:rFonts w:asciiTheme="minorHAnsi" w:hAnsiTheme="minorHAnsi"/>
          <w:sz w:val="22"/>
          <w:szCs w:val="22"/>
        </w:rPr>
        <w:t xml:space="preserve"> year of the end of pregnancy for any reason, irrespective of cause.</w:t>
      </w:r>
    </w:p>
    <w:p w:rsidR="00FE4BB5" w:rsidRPr="00A574BA" w:rsidRDefault="00FE4BB5" w:rsidP="00FE4BB5">
      <w:pPr>
        <w:rPr>
          <w:rFonts w:asciiTheme="minorHAnsi" w:hAnsiTheme="minorHAnsi"/>
          <w:sz w:val="22"/>
          <w:szCs w:val="22"/>
        </w:rPr>
      </w:pPr>
    </w:p>
    <w:p w:rsidR="00FE4BB5" w:rsidRPr="00A574BA" w:rsidRDefault="00FE4BB5" w:rsidP="00FE4BB5">
      <w:pPr>
        <w:rPr>
          <w:rFonts w:asciiTheme="minorHAnsi" w:hAnsiTheme="minorHAnsi"/>
          <w:sz w:val="22"/>
          <w:szCs w:val="22"/>
        </w:rPr>
      </w:pPr>
      <w:r w:rsidRPr="00A574BA">
        <w:rPr>
          <w:rFonts w:asciiTheme="minorHAnsi" w:hAnsiTheme="minorHAnsi"/>
          <w:i/>
          <w:sz w:val="22"/>
          <w:szCs w:val="22"/>
        </w:rPr>
        <w:t>Substance use-related death:</w:t>
      </w:r>
      <w:r w:rsidRPr="00A574BA">
        <w:rPr>
          <w:rFonts w:asciiTheme="minorHAnsi" w:hAnsiTheme="minorHAnsi"/>
          <w:sz w:val="22"/>
          <w:szCs w:val="22"/>
        </w:rPr>
        <w:t xml:space="preserve"> A pregnancy-associated death in which acute or chronic substance use contributed directly to the death as indicated on the death certificate.</w:t>
      </w:r>
      <w:r w:rsidR="008C6F5A">
        <w:rPr>
          <w:rFonts w:asciiTheme="minorHAnsi" w:hAnsiTheme="minorHAnsi"/>
          <w:sz w:val="22"/>
          <w:szCs w:val="22"/>
        </w:rPr>
        <w:t xml:space="preserve"> This definition</w:t>
      </w:r>
      <w:r w:rsidR="003A3263">
        <w:rPr>
          <w:rFonts w:asciiTheme="minorHAnsi" w:hAnsiTheme="minorHAnsi"/>
          <w:sz w:val="22"/>
          <w:szCs w:val="22"/>
        </w:rPr>
        <w:t xml:space="preserve"> </w:t>
      </w:r>
      <w:r w:rsidR="008C6F5A">
        <w:rPr>
          <w:rFonts w:asciiTheme="minorHAnsi" w:hAnsiTheme="minorHAnsi"/>
          <w:sz w:val="22"/>
          <w:szCs w:val="22"/>
        </w:rPr>
        <w:t xml:space="preserve">is not limited to </w:t>
      </w:r>
      <w:r w:rsidR="00F16883">
        <w:rPr>
          <w:rFonts w:asciiTheme="minorHAnsi" w:hAnsiTheme="minorHAnsi"/>
          <w:sz w:val="22"/>
          <w:szCs w:val="22"/>
        </w:rPr>
        <w:t xml:space="preserve">opioid use or </w:t>
      </w:r>
      <w:r w:rsidR="008C6F5A">
        <w:rPr>
          <w:rFonts w:asciiTheme="minorHAnsi" w:hAnsiTheme="minorHAnsi"/>
          <w:sz w:val="22"/>
          <w:szCs w:val="22"/>
        </w:rPr>
        <w:t>overdose deaths.</w:t>
      </w:r>
      <w:r w:rsidRPr="00A574BA">
        <w:rPr>
          <w:rFonts w:asciiTheme="minorHAnsi" w:hAnsiTheme="minorHAnsi"/>
          <w:sz w:val="22"/>
          <w:szCs w:val="22"/>
        </w:rPr>
        <w:t xml:space="preserve"> </w:t>
      </w:r>
    </w:p>
    <w:p w:rsidR="00FE4BB5" w:rsidRPr="00A574BA" w:rsidRDefault="00FE4BB5" w:rsidP="00FE4BB5">
      <w:pPr>
        <w:rPr>
          <w:rFonts w:asciiTheme="minorHAnsi" w:hAnsiTheme="minorHAnsi"/>
          <w:sz w:val="22"/>
          <w:szCs w:val="22"/>
        </w:rPr>
      </w:pPr>
    </w:p>
    <w:p w:rsidR="00FE4BB5" w:rsidRPr="00A574BA" w:rsidRDefault="00FE4BB5" w:rsidP="00FE4BB5">
      <w:pPr>
        <w:rPr>
          <w:rFonts w:asciiTheme="minorHAnsi" w:hAnsiTheme="minorHAnsi"/>
          <w:b/>
          <w:sz w:val="22"/>
          <w:szCs w:val="22"/>
        </w:rPr>
      </w:pPr>
      <w:r w:rsidRPr="00A574BA">
        <w:rPr>
          <w:rFonts w:asciiTheme="minorHAnsi" w:hAnsiTheme="minorHAnsi"/>
          <w:b/>
          <w:sz w:val="22"/>
          <w:szCs w:val="22"/>
        </w:rPr>
        <w:t>Methods:</w:t>
      </w:r>
    </w:p>
    <w:p w:rsidR="00FE4BB5" w:rsidRPr="00A574BA" w:rsidRDefault="00FE4BB5" w:rsidP="00FE4BB5">
      <w:pPr>
        <w:rPr>
          <w:rFonts w:asciiTheme="minorHAnsi" w:hAnsiTheme="minorHAnsi"/>
          <w:sz w:val="22"/>
          <w:szCs w:val="22"/>
        </w:rPr>
      </w:pPr>
      <w:r w:rsidRPr="00A574BA">
        <w:rPr>
          <w:rFonts w:asciiTheme="minorHAnsi" w:hAnsiTheme="minorHAnsi"/>
          <w:sz w:val="22"/>
          <w:szCs w:val="22"/>
        </w:rPr>
        <w:t xml:space="preserve">Pregnancy-associated deaths occurring in Massachusetts during 2005–2014 were identified through linkage of birth certificates and fetal death records to death certificates of reproductive-age women, automated and manual review of death certificates, and mandatory facility reporting to the MDPH Division of Health Care </w:t>
      </w:r>
      <w:r w:rsidR="00D535B4">
        <w:rPr>
          <w:rFonts w:asciiTheme="minorHAnsi" w:hAnsiTheme="minorHAnsi"/>
          <w:sz w:val="22"/>
          <w:szCs w:val="22"/>
        </w:rPr>
        <w:t xml:space="preserve">Safety and </w:t>
      </w:r>
      <w:r w:rsidRPr="00A574BA">
        <w:rPr>
          <w:rFonts w:asciiTheme="minorHAnsi" w:hAnsiTheme="minorHAnsi"/>
          <w:sz w:val="22"/>
          <w:szCs w:val="22"/>
        </w:rPr>
        <w:t>Quality.</w:t>
      </w:r>
    </w:p>
    <w:p w:rsidR="00FE4BB5" w:rsidRPr="00A574BA" w:rsidRDefault="00FE4BB5" w:rsidP="00FE4BB5">
      <w:pPr>
        <w:rPr>
          <w:rFonts w:asciiTheme="minorHAnsi" w:hAnsiTheme="minorHAnsi"/>
          <w:sz w:val="22"/>
          <w:szCs w:val="22"/>
        </w:rPr>
      </w:pPr>
    </w:p>
    <w:p w:rsidR="00FE4BB5" w:rsidRPr="00A574BA" w:rsidRDefault="00FE4BB5" w:rsidP="00FE4BB5">
      <w:pPr>
        <w:rPr>
          <w:rFonts w:asciiTheme="minorHAnsi" w:hAnsiTheme="minorHAnsi"/>
          <w:sz w:val="22"/>
          <w:szCs w:val="22"/>
        </w:rPr>
      </w:pPr>
      <w:r w:rsidRPr="00A574BA">
        <w:rPr>
          <w:rFonts w:asciiTheme="minorHAnsi" w:hAnsiTheme="minorHAnsi"/>
          <w:sz w:val="22"/>
          <w:szCs w:val="22"/>
        </w:rPr>
        <w:t xml:space="preserve">Deaths confirmed to </w:t>
      </w:r>
      <w:r w:rsidR="00E23289">
        <w:rPr>
          <w:rFonts w:asciiTheme="minorHAnsi" w:hAnsiTheme="minorHAnsi"/>
          <w:sz w:val="22"/>
          <w:szCs w:val="22"/>
        </w:rPr>
        <w:t>have occurred</w:t>
      </w:r>
      <w:r w:rsidRPr="00A574BA">
        <w:rPr>
          <w:rFonts w:asciiTheme="minorHAnsi" w:hAnsiTheme="minorHAnsi"/>
          <w:sz w:val="22"/>
          <w:szCs w:val="22"/>
        </w:rPr>
        <w:t xml:space="preserve"> during pregnancy or within a year of the end of pregnancy are entered into the maternal mortality database, which is housed at </w:t>
      </w:r>
      <w:r w:rsidR="00E23289">
        <w:rPr>
          <w:rFonts w:asciiTheme="minorHAnsi" w:hAnsiTheme="minorHAnsi"/>
          <w:sz w:val="22"/>
          <w:szCs w:val="22"/>
        </w:rPr>
        <w:t>MDPH</w:t>
      </w:r>
      <w:r w:rsidRPr="00A574BA">
        <w:rPr>
          <w:rFonts w:asciiTheme="minorHAnsi" w:hAnsiTheme="minorHAnsi"/>
          <w:sz w:val="22"/>
          <w:szCs w:val="22"/>
        </w:rPr>
        <w:t>. The database contains information on pregnancy-associated deaths</w:t>
      </w:r>
      <w:r w:rsidR="00D535B4">
        <w:rPr>
          <w:rFonts w:asciiTheme="minorHAnsi" w:hAnsiTheme="minorHAnsi"/>
          <w:sz w:val="22"/>
          <w:szCs w:val="22"/>
        </w:rPr>
        <w:t xml:space="preserve"> from patient records</w:t>
      </w:r>
      <w:r w:rsidRPr="00A574BA">
        <w:rPr>
          <w:rFonts w:asciiTheme="minorHAnsi" w:hAnsiTheme="minorHAnsi"/>
          <w:sz w:val="22"/>
          <w:szCs w:val="22"/>
        </w:rPr>
        <w:t>, including prenatal, delivery, medical examiner, and death certificate records</w:t>
      </w:r>
      <w:r w:rsidR="00C2774C">
        <w:rPr>
          <w:rFonts w:asciiTheme="minorHAnsi" w:hAnsiTheme="minorHAnsi"/>
          <w:sz w:val="22"/>
          <w:szCs w:val="22"/>
        </w:rPr>
        <w:t>,</w:t>
      </w:r>
      <w:r w:rsidRPr="00A574BA">
        <w:rPr>
          <w:rFonts w:asciiTheme="minorHAnsi" w:hAnsiTheme="minorHAnsi"/>
          <w:sz w:val="22"/>
          <w:szCs w:val="22"/>
        </w:rPr>
        <w:t xml:space="preserve"> as well as the case-specific recommendations from the </w:t>
      </w:r>
      <w:r w:rsidR="00A129F3">
        <w:rPr>
          <w:rFonts w:asciiTheme="minorHAnsi" w:hAnsiTheme="minorHAnsi"/>
          <w:sz w:val="22"/>
          <w:szCs w:val="22"/>
        </w:rPr>
        <w:t>MMMRC</w:t>
      </w:r>
      <w:r w:rsidR="00D535B4">
        <w:rPr>
          <w:rFonts w:asciiTheme="minorHAnsi" w:hAnsiTheme="minorHAnsi"/>
          <w:sz w:val="22"/>
          <w:szCs w:val="22"/>
        </w:rPr>
        <w:t>’s review</w:t>
      </w:r>
      <w:r w:rsidRPr="00A574BA">
        <w:rPr>
          <w:rFonts w:asciiTheme="minorHAnsi" w:hAnsiTheme="minorHAnsi"/>
          <w:sz w:val="22"/>
          <w:szCs w:val="22"/>
        </w:rPr>
        <w:t xml:space="preserve">. </w:t>
      </w:r>
      <w:r w:rsidRPr="003A3263">
        <w:rPr>
          <w:rFonts w:asciiTheme="minorHAnsi" w:hAnsiTheme="minorHAnsi"/>
          <w:sz w:val="22"/>
          <w:szCs w:val="22"/>
        </w:rPr>
        <w:t xml:space="preserve">For this </w:t>
      </w:r>
      <w:r w:rsidR="00A129F3" w:rsidRPr="003A3263">
        <w:rPr>
          <w:rFonts w:asciiTheme="minorHAnsi" w:hAnsiTheme="minorHAnsi"/>
          <w:sz w:val="22"/>
          <w:szCs w:val="22"/>
        </w:rPr>
        <w:t>analysis</w:t>
      </w:r>
      <w:r w:rsidRPr="003A3263">
        <w:rPr>
          <w:rFonts w:asciiTheme="minorHAnsi" w:hAnsiTheme="minorHAnsi"/>
          <w:sz w:val="22"/>
          <w:szCs w:val="22"/>
        </w:rPr>
        <w:t xml:space="preserve">, cause of death and associated conditions listed </w:t>
      </w:r>
      <w:r w:rsidR="00A129F3" w:rsidRPr="003A3263">
        <w:rPr>
          <w:rFonts w:asciiTheme="minorHAnsi" w:hAnsiTheme="minorHAnsi"/>
          <w:sz w:val="22"/>
          <w:szCs w:val="22"/>
        </w:rPr>
        <w:t>o</w:t>
      </w:r>
      <w:r w:rsidRPr="003A3263">
        <w:rPr>
          <w:rFonts w:asciiTheme="minorHAnsi" w:hAnsiTheme="minorHAnsi"/>
          <w:sz w:val="22"/>
          <w:szCs w:val="22"/>
        </w:rPr>
        <w:t xml:space="preserve">n the death certificate were abstracted from the database for all identified pregnancy-associated deaths </w:t>
      </w:r>
      <w:r w:rsidR="00A129F3" w:rsidRPr="003A3263">
        <w:rPr>
          <w:rFonts w:asciiTheme="minorHAnsi" w:hAnsiTheme="minorHAnsi"/>
          <w:sz w:val="22"/>
          <w:szCs w:val="22"/>
        </w:rPr>
        <w:t>during</w:t>
      </w:r>
      <w:r w:rsidRPr="003A3263">
        <w:rPr>
          <w:rFonts w:asciiTheme="minorHAnsi" w:hAnsiTheme="minorHAnsi"/>
          <w:sz w:val="22"/>
          <w:szCs w:val="22"/>
        </w:rPr>
        <w:t xml:space="preserve"> 2005–2014. After review of all death certificate information by a medical doctor, a case definition of substance use-related mate</w:t>
      </w:r>
      <w:r w:rsidR="009D776C" w:rsidRPr="003A3263">
        <w:rPr>
          <w:rFonts w:asciiTheme="minorHAnsi" w:hAnsiTheme="minorHAnsi"/>
          <w:sz w:val="22"/>
          <w:szCs w:val="22"/>
        </w:rPr>
        <w:t>rnal mortality was created (</w:t>
      </w:r>
      <w:r w:rsidRPr="003A3263">
        <w:rPr>
          <w:rFonts w:asciiTheme="minorHAnsi" w:hAnsiTheme="minorHAnsi"/>
          <w:sz w:val="22"/>
          <w:szCs w:val="22"/>
        </w:rPr>
        <w:t xml:space="preserve">Table 1). This definition included both specific (cocaine, heroin, fentanyl, </w:t>
      </w:r>
      <w:r w:rsidR="00C2774C" w:rsidRPr="003A3263">
        <w:rPr>
          <w:rFonts w:asciiTheme="minorHAnsi" w:hAnsiTheme="minorHAnsi"/>
          <w:sz w:val="22"/>
          <w:szCs w:val="22"/>
        </w:rPr>
        <w:t>etc.</w:t>
      </w:r>
      <w:r w:rsidRPr="003A3263">
        <w:rPr>
          <w:rFonts w:asciiTheme="minorHAnsi" w:hAnsiTheme="minorHAnsi"/>
          <w:sz w:val="22"/>
          <w:szCs w:val="22"/>
        </w:rPr>
        <w:t>) and general (opiate, substance abuse, drug overdose) drug references. An indication of substance use in any field of the death certificate was considered to meet the case definition for this study</w:t>
      </w:r>
      <w:r w:rsidR="003A3263" w:rsidRPr="003A3263">
        <w:rPr>
          <w:rFonts w:asciiTheme="minorHAnsi" w:hAnsiTheme="minorHAnsi"/>
          <w:sz w:val="22"/>
          <w:szCs w:val="22"/>
        </w:rPr>
        <w:t xml:space="preserve"> (i.e. not limited to overdose deaths)</w:t>
      </w:r>
      <w:r w:rsidRPr="003A3263">
        <w:rPr>
          <w:rFonts w:asciiTheme="minorHAnsi" w:hAnsiTheme="minorHAnsi"/>
          <w:sz w:val="22"/>
          <w:szCs w:val="22"/>
        </w:rPr>
        <w:t>. An additional definition of opioids was also included for further investigation (Table 1).</w:t>
      </w:r>
    </w:p>
    <w:p w:rsidR="00CE0C6C" w:rsidRDefault="00CE0C6C" w:rsidP="00CE0C6C">
      <w:pPr>
        <w:rPr>
          <w:rFonts w:asciiTheme="minorHAnsi" w:hAnsiTheme="minorHAnsi"/>
          <w:b/>
          <w:sz w:val="22"/>
          <w:szCs w:val="22"/>
        </w:rPr>
      </w:pPr>
    </w:p>
    <w:p w:rsidR="00CE0C6C" w:rsidRPr="00A574BA" w:rsidRDefault="00CE0C6C" w:rsidP="00CE0C6C">
      <w:pPr>
        <w:rPr>
          <w:rFonts w:asciiTheme="minorHAnsi" w:hAnsiTheme="minorHAnsi"/>
          <w:b/>
          <w:sz w:val="22"/>
          <w:szCs w:val="22"/>
        </w:rPr>
      </w:pPr>
      <w:proofErr w:type="gramStart"/>
      <w:r w:rsidRPr="00A574BA">
        <w:rPr>
          <w:rFonts w:asciiTheme="minorHAnsi" w:hAnsiTheme="minorHAnsi"/>
          <w:b/>
          <w:sz w:val="22"/>
          <w:szCs w:val="22"/>
        </w:rPr>
        <w:t>Table 1.</w:t>
      </w:r>
      <w:proofErr w:type="gramEnd"/>
      <w:r w:rsidRPr="00A574BA">
        <w:rPr>
          <w:rFonts w:asciiTheme="minorHAnsi" w:hAnsiTheme="minorHAnsi"/>
          <w:b/>
          <w:sz w:val="22"/>
          <w:szCs w:val="22"/>
        </w:rPr>
        <w:t xml:space="preserve"> Case definition text elements for substance use-related deaths and opioid substance categorization from death certificate text fields.</w:t>
      </w:r>
    </w:p>
    <w:tbl>
      <w:tblPr>
        <w:tblW w:w="10589" w:type="dxa"/>
        <w:tblCellMar>
          <w:left w:w="0" w:type="dxa"/>
          <w:right w:w="0" w:type="dxa"/>
        </w:tblCellMar>
        <w:tblLook w:val="04A0" w:firstRow="1" w:lastRow="0" w:firstColumn="1" w:lastColumn="0" w:noHBand="0" w:noVBand="1"/>
      </w:tblPr>
      <w:tblGrid>
        <w:gridCol w:w="2414"/>
        <w:gridCol w:w="8175"/>
      </w:tblGrid>
      <w:tr w:rsidR="00CE0C6C" w:rsidRPr="00A574BA" w:rsidTr="005E76F8">
        <w:trPr>
          <w:trHeight w:val="1321"/>
        </w:trPr>
        <w:tc>
          <w:tcPr>
            <w:tcW w:w="2414" w:type="dxa"/>
            <w:tcBorders>
              <w:top w:val="single" w:sz="8" w:space="0" w:color="000000"/>
              <w:left w:val="single" w:sz="8" w:space="0" w:color="000000"/>
              <w:bottom w:val="single" w:sz="8" w:space="0" w:color="000000"/>
              <w:right w:val="nil"/>
            </w:tcBorders>
            <w:shd w:val="clear" w:color="auto" w:fill="auto"/>
            <w:tcMar>
              <w:top w:w="15" w:type="dxa"/>
              <w:left w:w="108" w:type="dxa"/>
              <w:bottom w:w="0" w:type="dxa"/>
              <w:right w:w="108" w:type="dxa"/>
            </w:tcMar>
            <w:hideMark/>
          </w:tcPr>
          <w:p w:rsidR="00CE0C6C" w:rsidRPr="00A574BA" w:rsidRDefault="00CE0C6C" w:rsidP="005E76F8">
            <w:pPr>
              <w:rPr>
                <w:rFonts w:asciiTheme="minorHAnsi" w:hAnsiTheme="minorHAnsi"/>
                <w:sz w:val="22"/>
                <w:szCs w:val="22"/>
              </w:rPr>
            </w:pPr>
            <w:r w:rsidRPr="00A574BA">
              <w:rPr>
                <w:rFonts w:asciiTheme="minorHAnsi" w:hAnsiTheme="minorHAnsi"/>
                <w:sz w:val="22"/>
                <w:szCs w:val="22"/>
              </w:rPr>
              <w:t>Substance use-related death</w:t>
            </w:r>
          </w:p>
        </w:tc>
        <w:tc>
          <w:tcPr>
            <w:tcW w:w="8175" w:type="dxa"/>
            <w:tcBorders>
              <w:top w:val="single" w:sz="8" w:space="0" w:color="000000"/>
              <w:left w:val="nil"/>
              <w:bottom w:val="single" w:sz="8" w:space="0" w:color="000000"/>
              <w:right w:val="single" w:sz="8" w:space="0" w:color="000000"/>
            </w:tcBorders>
            <w:shd w:val="clear" w:color="auto" w:fill="auto"/>
            <w:tcMar>
              <w:top w:w="15" w:type="dxa"/>
              <w:left w:w="108" w:type="dxa"/>
              <w:bottom w:w="0" w:type="dxa"/>
              <w:right w:w="108" w:type="dxa"/>
            </w:tcMar>
            <w:hideMark/>
          </w:tcPr>
          <w:p w:rsidR="00CE0C6C" w:rsidRPr="00A574BA" w:rsidRDefault="00CE0C6C" w:rsidP="005E76F8">
            <w:pPr>
              <w:rPr>
                <w:rFonts w:asciiTheme="minorHAnsi" w:hAnsiTheme="minorHAnsi"/>
                <w:sz w:val="22"/>
                <w:szCs w:val="22"/>
              </w:rPr>
            </w:pPr>
            <w:r w:rsidRPr="00A574BA">
              <w:rPr>
                <w:rFonts w:asciiTheme="minorHAnsi" w:hAnsiTheme="minorHAnsi"/>
                <w:sz w:val="22"/>
                <w:szCs w:val="22"/>
              </w:rPr>
              <w:t xml:space="preserve">Any mention of: </w:t>
            </w:r>
          </w:p>
          <w:p w:rsidR="00CE0C6C" w:rsidRPr="00A574BA" w:rsidRDefault="00CE0C6C" w:rsidP="00C2774C">
            <w:pPr>
              <w:rPr>
                <w:rFonts w:asciiTheme="minorHAnsi" w:hAnsiTheme="minorHAnsi"/>
                <w:sz w:val="22"/>
                <w:szCs w:val="22"/>
              </w:rPr>
            </w:pPr>
            <w:r w:rsidRPr="00A574BA">
              <w:rPr>
                <w:rFonts w:asciiTheme="minorHAnsi" w:hAnsiTheme="minorHAnsi"/>
                <w:sz w:val="22"/>
                <w:szCs w:val="22"/>
              </w:rPr>
              <w:t>Cocaine, opiate(s)/opioid(s), chronic/acute/poly substance abuse, benzodiazepine(s), heroin, hy</w:t>
            </w:r>
            <w:r w:rsidR="00821B5C">
              <w:rPr>
                <w:rFonts w:asciiTheme="minorHAnsi" w:hAnsiTheme="minorHAnsi"/>
                <w:sz w:val="22"/>
                <w:szCs w:val="22"/>
              </w:rPr>
              <w:t>drocodone, methadone, propoxyphe</w:t>
            </w:r>
            <w:r w:rsidRPr="00A574BA">
              <w:rPr>
                <w:rFonts w:asciiTheme="minorHAnsi" w:hAnsiTheme="minorHAnsi"/>
                <w:sz w:val="22"/>
                <w:szCs w:val="22"/>
              </w:rPr>
              <w:t xml:space="preserve">ne, fentanyl, drug overdose, morphine, oxycodone, methylphenidate, </w:t>
            </w:r>
            <w:proofErr w:type="spellStart"/>
            <w:r w:rsidRPr="00A574BA">
              <w:rPr>
                <w:rFonts w:asciiTheme="minorHAnsi" w:hAnsiTheme="minorHAnsi"/>
                <w:sz w:val="22"/>
                <w:szCs w:val="22"/>
              </w:rPr>
              <w:t>ritalinic</w:t>
            </w:r>
            <w:proofErr w:type="spellEnd"/>
            <w:r w:rsidRPr="00A574BA">
              <w:rPr>
                <w:rFonts w:asciiTheme="minorHAnsi" w:hAnsiTheme="minorHAnsi"/>
                <w:sz w:val="22"/>
                <w:szCs w:val="22"/>
              </w:rPr>
              <w:t xml:space="preserve"> acid, alprazolam, fluoxetine, ingestion of pills, ingestion of excessive amount of drug, codeine</w:t>
            </w:r>
            <w:r w:rsidR="00D91C58">
              <w:rPr>
                <w:rFonts w:asciiTheme="minorHAnsi" w:hAnsiTheme="minorHAnsi"/>
                <w:sz w:val="22"/>
                <w:szCs w:val="22"/>
              </w:rPr>
              <w:t xml:space="preserve">, alcohol </w:t>
            </w:r>
          </w:p>
        </w:tc>
      </w:tr>
      <w:tr w:rsidR="00CE0C6C" w:rsidRPr="00A574BA" w:rsidTr="005E76F8">
        <w:trPr>
          <w:trHeight w:val="654"/>
        </w:trPr>
        <w:tc>
          <w:tcPr>
            <w:tcW w:w="2414" w:type="dxa"/>
            <w:tcBorders>
              <w:top w:val="single" w:sz="8" w:space="0" w:color="000000"/>
              <w:left w:val="single" w:sz="8" w:space="0" w:color="000000"/>
              <w:bottom w:val="single" w:sz="8" w:space="0" w:color="000000"/>
              <w:right w:val="nil"/>
            </w:tcBorders>
            <w:shd w:val="clear" w:color="auto" w:fill="auto"/>
            <w:tcMar>
              <w:top w:w="15" w:type="dxa"/>
              <w:left w:w="108" w:type="dxa"/>
              <w:bottom w:w="0" w:type="dxa"/>
              <w:right w:w="108" w:type="dxa"/>
            </w:tcMar>
            <w:hideMark/>
          </w:tcPr>
          <w:p w:rsidR="00CE0C6C" w:rsidRPr="00A574BA" w:rsidRDefault="00CE0C6C" w:rsidP="005E76F8">
            <w:pPr>
              <w:rPr>
                <w:rFonts w:asciiTheme="minorHAnsi" w:hAnsiTheme="minorHAnsi"/>
                <w:sz w:val="22"/>
                <w:szCs w:val="22"/>
              </w:rPr>
            </w:pPr>
            <w:r w:rsidRPr="00A574BA">
              <w:rPr>
                <w:rFonts w:asciiTheme="minorHAnsi" w:hAnsiTheme="minorHAnsi"/>
                <w:sz w:val="22"/>
                <w:szCs w:val="22"/>
              </w:rPr>
              <w:t>Opioids</w:t>
            </w:r>
          </w:p>
        </w:tc>
        <w:tc>
          <w:tcPr>
            <w:tcW w:w="8175" w:type="dxa"/>
            <w:tcBorders>
              <w:top w:val="single" w:sz="8" w:space="0" w:color="000000"/>
              <w:left w:val="nil"/>
              <w:bottom w:val="single" w:sz="8" w:space="0" w:color="000000"/>
              <w:right w:val="single" w:sz="8" w:space="0" w:color="000000"/>
            </w:tcBorders>
            <w:shd w:val="clear" w:color="auto" w:fill="auto"/>
            <w:tcMar>
              <w:top w:w="15" w:type="dxa"/>
              <w:left w:w="108" w:type="dxa"/>
              <w:bottom w:w="0" w:type="dxa"/>
              <w:right w:w="108" w:type="dxa"/>
            </w:tcMar>
            <w:hideMark/>
          </w:tcPr>
          <w:p w:rsidR="00CE0C6C" w:rsidRPr="00A574BA" w:rsidRDefault="00CE0C6C" w:rsidP="005E76F8">
            <w:pPr>
              <w:rPr>
                <w:rFonts w:asciiTheme="minorHAnsi" w:hAnsiTheme="minorHAnsi"/>
                <w:sz w:val="22"/>
                <w:szCs w:val="22"/>
              </w:rPr>
            </w:pPr>
            <w:r w:rsidRPr="00A574BA">
              <w:rPr>
                <w:rFonts w:asciiTheme="minorHAnsi" w:hAnsiTheme="minorHAnsi"/>
                <w:sz w:val="22"/>
                <w:szCs w:val="22"/>
              </w:rPr>
              <w:t>Any mention of:</w:t>
            </w:r>
          </w:p>
          <w:p w:rsidR="00CE0C6C" w:rsidRPr="00A574BA" w:rsidRDefault="00CE0C6C" w:rsidP="005E76F8">
            <w:pPr>
              <w:rPr>
                <w:rFonts w:asciiTheme="minorHAnsi" w:hAnsiTheme="minorHAnsi"/>
                <w:sz w:val="22"/>
                <w:szCs w:val="22"/>
              </w:rPr>
            </w:pPr>
            <w:r w:rsidRPr="00A574BA">
              <w:rPr>
                <w:rFonts w:asciiTheme="minorHAnsi" w:hAnsiTheme="minorHAnsi"/>
                <w:sz w:val="22"/>
                <w:szCs w:val="22"/>
              </w:rPr>
              <w:t>heroin, fentanyl, morphine, codeine, hydrocodone, methadone, propoxyp</w:t>
            </w:r>
            <w:r w:rsidR="00821B5C">
              <w:rPr>
                <w:rFonts w:asciiTheme="minorHAnsi" w:hAnsiTheme="minorHAnsi"/>
                <w:sz w:val="22"/>
                <w:szCs w:val="22"/>
              </w:rPr>
              <w:t>he</w:t>
            </w:r>
            <w:r w:rsidRPr="00A574BA">
              <w:rPr>
                <w:rFonts w:asciiTheme="minorHAnsi" w:hAnsiTheme="minorHAnsi"/>
                <w:sz w:val="22"/>
                <w:szCs w:val="22"/>
              </w:rPr>
              <w:t>ne, oxycodone, opioids, opiates</w:t>
            </w:r>
          </w:p>
        </w:tc>
      </w:tr>
    </w:tbl>
    <w:p w:rsidR="007F0E4D" w:rsidRPr="00A574BA" w:rsidRDefault="007F0E4D" w:rsidP="00FE4BB5">
      <w:pPr>
        <w:rPr>
          <w:rFonts w:asciiTheme="minorHAnsi" w:hAnsiTheme="minorHAnsi"/>
          <w:b/>
          <w:sz w:val="22"/>
          <w:szCs w:val="22"/>
        </w:rPr>
      </w:pPr>
    </w:p>
    <w:p w:rsidR="00FE4BB5" w:rsidRPr="00A574BA" w:rsidRDefault="00FE4BB5" w:rsidP="00FE4BB5">
      <w:pPr>
        <w:rPr>
          <w:rFonts w:asciiTheme="minorHAnsi" w:hAnsiTheme="minorHAnsi"/>
          <w:sz w:val="22"/>
          <w:szCs w:val="22"/>
        </w:rPr>
      </w:pPr>
      <w:r w:rsidRPr="00A574BA">
        <w:rPr>
          <w:rFonts w:asciiTheme="minorHAnsi" w:hAnsiTheme="minorHAnsi"/>
          <w:sz w:val="22"/>
          <w:szCs w:val="22"/>
        </w:rPr>
        <w:t xml:space="preserve">Substance use-related deaths were described by frequency and percent. Analysis of trends over the study period were assessed </w:t>
      </w:r>
      <w:r w:rsidR="00A129F3">
        <w:rPr>
          <w:rFonts w:asciiTheme="minorHAnsi" w:hAnsiTheme="minorHAnsi"/>
          <w:sz w:val="22"/>
          <w:szCs w:val="22"/>
        </w:rPr>
        <w:t>by using</w:t>
      </w:r>
      <w:r w:rsidRPr="00A574BA">
        <w:rPr>
          <w:rFonts w:asciiTheme="minorHAnsi" w:hAnsiTheme="minorHAnsi"/>
          <w:sz w:val="22"/>
          <w:szCs w:val="22"/>
        </w:rPr>
        <w:t xml:space="preserve"> Cochran Armitage tests; significance was assessed at p&lt;0.05. Substance use-related deaths were further examined by type of substance, drug category, and timing of death relative to pregnancy.  </w:t>
      </w:r>
    </w:p>
    <w:p w:rsidR="00FE4BB5" w:rsidRPr="00A574BA" w:rsidRDefault="00FE4BB5" w:rsidP="00FE4BB5">
      <w:pPr>
        <w:rPr>
          <w:rFonts w:asciiTheme="minorHAnsi" w:hAnsiTheme="minorHAnsi"/>
          <w:sz w:val="22"/>
          <w:szCs w:val="22"/>
        </w:rPr>
      </w:pPr>
    </w:p>
    <w:p w:rsidR="00FE4BB5" w:rsidRPr="002A48E9" w:rsidRDefault="00FE4BB5" w:rsidP="00FE4BB5">
      <w:pPr>
        <w:rPr>
          <w:rFonts w:asciiTheme="minorHAnsi" w:hAnsiTheme="minorHAnsi"/>
          <w:b/>
          <w:sz w:val="22"/>
          <w:szCs w:val="22"/>
        </w:rPr>
      </w:pPr>
      <w:r w:rsidRPr="002A48E9">
        <w:rPr>
          <w:rFonts w:asciiTheme="minorHAnsi" w:hAnsiTheme="minorHAnsi"/>
          <w:b/>
          <w:sz w:val="22"/>
          <w:szCs w:val="22"/>
        </w:rPr>
        <w:t>Results:</w:t>
      </w:r>
    </w:p>
    <w:p w:rsidR="00FE4BB5" w:rsidRPr="002A48E9" w:rsidRDefault="00FE4BB5" w:rsidP="00FE4BB5">
      <w:pPr>
        <w:rPr>
          <w:rFonts w:asciiTheme="minorHAnsi" w:hAnsiTheme="minorHAnsi"/>
          <w:i/>
          <w:sz w:val="22"/>
          <w:szCs w:val="22"/>
        </w:rPr>
      </w:pPr>
      <w:r w:rsidRPr="002A48E9">
        <w:rPr>
          <w:rFonts w:asciiTheme="minorHAnsi" w:hAnsiTheme="minorHAnsi"/>
          <w:i/>
          <w:sz w:val="22"/>
          <w:szCs w:val="22"/>
        </w:rPr>
        <w:t>Increasing trend of substance use-related deaths</w:t>
      </w:r>
    </w:p>
    <w:p w:rsidR="001B2D10" w:rsidRPr="00A574BA" w:rsidRDefault="00FE4BB5" w:rsidP="00FE4BB5">
      <w:pPr>
        <w:rPr>
          <w:rFonts w:asciiTheme="minorHAnsi" w:hAnsiTheme="minorHAnsi"/>
          <w:sz w:val="22"/>
          <w:szCs w:val="22"/>
        </w:rPr>
      </w:pPr>
      <w:r w:rsidRPr="002A48E9">
        <w:rPr>
          <w:rFonts w:asciiTheme="minorHAnsi" w:hAnsiTheme="minorHAnsi"/>
          <w:sz w:val="22"/>
          <w:szCs w:val="22"/>
        </w:rPr>
        <w:t xml:space="preserve">There were </w:t>
      </w:r>
      <w:r w:rsidR="00114D0F" w:rsidRPr="002A48E9">
        <w:rPr>
          <w:rFonts w:asciiTheme="minorHAnsi" w:hAnsiTheme="minorHAnsi"/>
          <w:sz w:val="22"/>
          <w:szCs w:val="22"/>
        </w:rPr>
        <w:t>199</w:t>
      </w:r>
      <w:r w:rsidRPr="002A48E9">
        <w:rPr>
          <w:rFonts w:asciiTheme="minorHAnsi" w:hAnsiTheme="minorHAnsi"/>
          <w:sz w:val="22"/>
          <w:szCs w:val="22"/>
        </w:rPr>
        <w:t xml:space="preserve"> pregnancy-associated deaths identified in Massachusetts from 2005–2014. </w:t>
      </w:r>
      <w:r w:rsidR="00114D0F" w:rsidRPr="002A48E9">
        <w:rPr>
          <w:rFonts w:asciiTheme="minorHAnsi" w:hAnsiTheme="minorHAnsi"/>
          <w:sz w:val="22"/>
          <w:szCs w:val="22"/>
        </w:rPr>
        <w:t>Approximately</w:t>
      </w:r>
      <w:r w:rsidRPr="002A48E9">
        <w:rPr>
          <w:rFonts w:asciiTheme="minorHAnsi" w:hAnsiTheme="minorHAnsi"/>
          <w:sz w:val="22"/>
          <w:szCs w:val="22"/>
        </w:rPr>
        <w:t xml:space="preserve"> one in five pregnancy-associated deaths (2</w:t>
      </w:r>
      <w:r w:rsidR="00114D0F" w:rsidRPr="002A48E9">
        <w:rPr>
          <w:rFonts w:asciiTheme="minorHAnsi" w:hAnsiTheme="minorHAnsi"/>
          <w:sz w:val="22"/>
          <w:szCs w:val="22"/>
        </w:rPr>
        <w:t>0</w:t>
      </w:r>
      <w:r w:rsidRPr="002A48E9">
        <w:rPr>
          <w:rFonts w:asciiTheme="minorHAnsi" w:hAnsiTheme="minorHAnsi"/>
          <w:sz w:val="22"/>
          <w:szCs w:val="22"/>
        </w:rPr>
        <w:t>.</w:t>
      </w:r>
      <w:r w:rsidR="00114D0F" w:rsidRPr="002A48E9">
        <w:rPr>
          <w:rFonts w:asciiTheme="minorHAnsi" w:hAnsiTheme="minorHAnsi"/>
          <w:sz w:val="22"/>
          <w:szCs w:val="22"/>
        </w:rPr>
        <w:t>6</w:t>
      </w:r>
      <w:r w:rsidRPr="002A48E9">
        <w:rPr>
          <w:rFonts w:asciiTheme="minorHAnsi" w:hAnsiTheme="minorHAnsi"/>
          <w:sz w:val="22"/>
          <w:szCs w:val="22"/>
        </w:rPr>
        <w:t>%; n=</w:t>
      </w:r>
      <w:r w:rsidR="00114D0F" w:rsidRPr="002A48E9">
        <w:rPr>
          <w:rFonts w:asciiTheme="minorHAnsi" w:hAnsiTheme="minorHAnsi"/>
          <w:sz w:val="22"/>
          <w:szCs w:val="22"/>
        </w:rPr>
        <w:t>41</w:t>
      </w:r>
      <w:r w:rsidRPr="002A48E9">
        <w:rPr>
          <w:rFonts w:asciiTheme="minorHAnsi" w:hAnsiTheme="minorHAnsi"/>
          <w:sz w:val="22"/>
          <w:szCs w:val="22"/>
        </w:rPr>
        <w:t xml:space="preserve">) was related to substance use. </w:t>
      </w:r>
      <w:r w:rsidR="00A129F3" w:rsidRPr="002A48E9">
        <w:rPr>
          <w:rFonts w:asciiTheme="minorHAnsi" w:hAnsiTheme="minorHAnsi"/>
          <w:sz w:val="22"/>
          <w:szCs w:val="22"/>
        </w:rPr>
        <w:t>A</w:t>
      </w:r>
      <w:r w:rsidRPr="002A48E9">
        <w:rPr>
          <w:rFonts w:asciiTheme="minorHAnsi" w:hAnsiTheme="minorHAnsi"/>
          <w:sz w:val="22"/>
          <w:szCs w:val="22"/>
        </w:rPr>
        <w:t xml:space="preserve">n increasing trend </w:t>
      </w:r>
      <w:r w:rsidR="00A129F3" w:rsidRPr="002A48E9">
        <w:rPr>
          <w:rFonts w:asciiTheme="minorHAnsi" w:hAnsiTheme="minorHAnsi"/>
          <w:sz w:val="22"/>
          <w:szCs w:val="22"/>
        </w:rPr>
        <w:t>in</w:t>
      </w:r>
      <w:r w:rsidRPr="002A48E9">
        <w:rPr>
          <w:rFonts w:asciiTheme="minorHAnsi" w:hAnsiTheme="minorHAnsi"/>
          <w:sz w:val="22"/>
          <w:szCs w:val="22"/>
        </w:rPr>
        <w:t xml:space="preserve"> </w:t>
      </w:r>
      <w:r w:rsidR="00CB49CC" w:rsidRPr="002A48E9">
        <w:rPr>
          <w:rFonts w:asciiTheme="minorHAnsi" w:hAnsiTheme="minorHAnsi"/>
          <w:sz w:val="22"/>
          <w:szCs w:val="22"/>
        </w:rPr>
        <w:t xml:space="preserve">the proportion of </w:t>
      </w:r>
      <w:r w:rsidRPr="002A48E9">
        <w:rPr>
          <w:rFonts w:asciiTheme="minorHAnsi" w:hAnsiTheme="minorHAnsi"/>
          <w:sz w:val="22"/>
          <w:szCs w:val="22"/>
        </w:rPr>
        <w:t xml:space="preserve">substance use-related deaths </w:t>
      </w:r>
      <w:r w:rsidR="00A129F3" w:rsidRPr="002A48E9">
        <w:rPr>
          <w:rFonts w:asciiTheme="minorHAnsi" w:hAnsiTheme="minorHAnsi"/>
          <w:sz w:val="22"/>
          <w:szCs w:val="22"/>
        </w:rPr>
        <w:t xml:space="preserve">was observed </w:t>
      </w:r>
      <w:r w:rsidRPr="002A48E9">
        <w:rPr>
          <w:rFonts w:asciiTheme="minorHAnsi" w:hAnsiTheme="minorHAnsi"/>
          <w:sz w:val="22"/>
          <w:szCs w:val="22"/>
        </w:rPr>
        <w:t>over the study period, from 8.7% in 2005 to 41.4% in 2014</w:t>
      </w:r>
      <w:r w:rsidR="00CE0C6C" w:rsidRPr="002A48E9">
        <w:rPr>
          <w:rFonts w:asciiTheme="minorHAnsi" w:hAnsiTheme="minorHAnsi"/>
          <w:sz w:val="22"/>
          <w:szCs w:val="22"/>
        </w:rPr>
        <w:t xml:space="preserve"> (p-value for trend=0.00</w:t>
      </w:r>
      <w:r w:rsidR="00114D0F" w:rsidRPr="002A48E9">
        <w:rPr>
          <w:rFonts w:asciiTheme="minorHAnsi" w:hAnsiTheme="minorHAnsi"/>
          <w:sz w:val="22"/>
          <w:szCs w:val="22"/>
        </w:rPr>
        <w:t>8</w:t>
      </w:r>
      <w:r w:rsidR="00CE0C6C" w:rsidRPr="002A48E9">
        <w:rPr>
          <w:rFonts w:asciiTheme="minorHAnsi" w:hAnsiTheme="minorHAnsi"/>
          <w:sz w:val="22"/>
          <w:szCs w:val="22"/>
        </w:rPr>
        <w:t>) (</w:t>
      </w:r>
      <w:r w:rsidRPr="002A48E9">
        <w:rPr>
          <w:rFonts w:asciiTheme="minorHAnsi" w:hAnsiTheme="minorHAnsi"/>
          <w:sz w:val="22"/>
          <w:szCs w:val="22"/>
        </w:rPr>
        <w:t>Figure 1).</w:t>
      </w:r>
      <w:r w:rsidR="007F0997" w:rsidRPr="002A48E9">
        <w:rPr>
          <w:rFonts w:asciiTheme="minorHAnsi" w:hAnsiTheme="minorHAnsi"/>
          <w:sz w:val="22"/>
          <w:szCs w:val="22"/>
        </w:rPr>
        <w:t xml:space="preserve"> This trend is consistent with the increase in opioid overdose deaths in Massachusetts overall during the same time period.</w:t>
      </w:r>
      <w:r w:rsidR="007F0997" w:rsidRPr="002A48E9">
        <w:rPr>
          <w:rStyle w:val="FootnoteReference"/>
          <w:rFonts w:asciiTheme="minorHAnsi" w:hAnsiTheme="minorHAnsi"/>
          <w:sz w:val="22"/>
          <w:szCs w:val="22"/>
        </w:rPr>
        <w:footnoteReference w:id="2"/>
      </w:r>
    </w:p>
    <w:p w:rsidR="001B2D10" w:rsidRPr="00A574BA" w:rsidRDefault="001B2D10" w:rsidP="00FE4BB5">
      <w:pPr>
        <w:rPr>
          <w:rFonts w:asciiTheme="minorHAnsi" w:hAnsiTheme="minorHAnsi"/>
          <w:i/>
          <w:sz w:val="22"/>
          <w:szCs w:val="22"/>
        </w:rPr>
      </w:pPr>
    </w:p>
    <w:p w:rsidR="00FE4BB5" w:rsidRPr="00A574BA" w:rsidRDefault="00FE4BB5" w:rsidP="00FE4BB5">
      <w:pPr>
        <w:rPr>
          <w:rFonts w:asciiTheme="minorHAnsi" w:hAnsiTheme="minorHAnsi"/>
          <w:i/>
          <w:sz w:val="22"/>
          <w:szCs w:val="22"/>
        </w:rPr>
      </w:pPr>
      <w:r w:rsidRPr="00A574BA">
        <w:rPr>
          <w:rFonts w:asciiTheme="minorHAnsi" w:hAnsiTheme="minorHAnsi"/>
          <w:i/>
          <w:sz w:val="22"/>
          <w:szCs w:val="22"/>
        </w:rPr>
        <w:t>Types of substances identified among pregnancy-associated deaths</w:t>
      </w:r>
    </w:p>
    <w:p w:rsidR="001B2D10" w:rsidRPr="00A574BA" w:rsidRDefault="00CE4E16" w:rsidP="00FE4BB5">
      <w:pPr>
        <w:rPr>
          <w:rFonts w:asciiTheme="minorHAnsi" w:hAnsiTheme="minorHAnsi"/>
          <w:sz w:val="22"/>
          <w:szCs w:val="22"/>
        </w:rPr>
        <w:sectPr w:rsidR="001B2D10" w:rsidRPr="00A574BA" w:rsidSect="005847B7">
          <w:type w:val="continuous"/>
          <w:pgSz w:w="12240" w:h="15840"/>
          <w:pgMar w:top="547" w:right="720" w:bottom="446" w:left="720" w:header="720" w:footer="720" w:gutter="0"/>
          <w:cols w:space="720"/>
          <w:docGrid w:linePitch="360"/>
        </w:sectPr>
      </w:pPr>
      <w:r w:rsidRPr="00A574BA">
        <w:rPr>
          <w:rFonts w:asciiTheme="minorHAnsi" w:hAnsiTheme="minorHAnsi"/>
          <w:sz w:val="22"/>
          <w:szCs w:val="22"/>
        </w:rPr>
        <w:t>Opioids</w:t>
      </w:r>
      <w:r w:rsidR="00FE4BB5" w:rsidRPr="00A574BA">
        <w:rPr>
          <w:rFonts w:asciiTheme="minorHAnsi" w:hAnsiTheme="minorHAnsi"/>
          <w:sz w:val="22"/>
          <w:szCs w:val="22"/>
        </w:rPr>
        <w:t xml:space="preserve"> (heroin, fentanyl, morphine, codeine, h</w:t>
      </w:r>
      <w:r w:rsidR="00821B5C">
        <w:rPr>
          <w:rFonts w:asciiTheme="minorHAnsi" w:hAnsiTheme="minorHAnsi"/>
          <w:sz w:val="22"/>
          <w:szCs w:val="22"/>
        </w:rPr>
        <w:t>ydrocodone, methadone, propoxyphe</w:t>
      </w:r>
      <w:r w:rsidR="00FE4BB5" w:rsidRPr="00A574BA">
        <w:rPr>
          <w:rFonts w:asciiTheme="minorHAnsi" w:hAnsiTheme="minorHAnsi"/>
          <w:sz w:val="22"/>
          <w:szCs w:val="22"/>
        </w:rPr>
        <w:t>ne, oxycodone, opiates) were identified in the majority of substance use-related deaths (</w:t>
      </w:r>
      <w:r w:rsidR="006E537D">
        <w:rPr>
          <w:rFonts w:asciiTheme="minorHAnsi" w:hAnsiTheme="minorHAnsi"/>
          <w:sz w:val="22"/>
          <w:szCs w:val="22"/>
        </w:rPr>
        <w:t>65.9</w:t>
      </w:r>
      <w:r w:rsidR="00FE4BB5" w:rsidRPr="00A574BA">
        <w:rPr>
          <w:rFonts w:asciiTheme="minorHAnsi" w:hAnsiTheme="minorHAnsi"/>
          <w:sz w:val="22"/>
          <w:szCs w:val="22"/>
        </w:rPr>
        <w:t xml:space="preserve">%) and </w:t>
      </w:r>
      <w:r w:rsidR="006E537D">
        <w:rPr>
          <w:rFonts w:asciiTheme="minorHAnsi" w:hAnsiTheme="minorHAnsi"/>
          <w:sz w:val="22"/>
          <w:szCs w:val="22"/>
        </w:rPr>
        <w:t>13.6</w:t>
      </w:r>
      <w:r w:rsidR="00FE4BB5" w:rsidRPr="00A574BA">
        <w:rPr>
          <w:rFonts w:asciiTheme="minorHAnsi" w:hAnsiTheme="minorHAnsi"/>
          <w:sz w:val="22"/>
          <w:szCs w:val="22"/>
        </w:rPr>
        <w:t xml:space="preserve">% of pregnancy-associated deaths over the </w:t>
      </w:r>
      <w:r w:rsidR="00FE4BB5" w:rsidRPr="00A574BA">
        <w:rPr>
          <w:rFonts w:asciiTheme="minorHAnsi" w:hAnsiTheme="minorHAnsi"/>
          <w:sz w:val="22"/>
          <w:szCs w:val="22"/>
        </w:rPr>
        <w:lastRenderedPageBreak/>
        <w:t xml:space="preserve">study period (Table 2). Examining specific opioids, heroin and morphine were present in </w:t>
      </w:r>
      <w:r w:rsidR="006E537D">
        <w:rPr>
          <w:rFonts w:asciiTheme="minorHAnsi" w:hAnsiTheme="minorHAnsi"/>
          <w:sz w:val="22"/>
          <w:szCs w:val="22"/>
        </w:rPr>
        <w:t>19.5</w:t>
      </w:r>
      <w:r w:rsidR="00FE4BB5" w:rsidRPr="00A574BA">
        <w:rPr>
          <w:rFonts w:asciiTheme="minorHAnsi" w:hAnsiTheme="minorHAnsi"/>
          <w:sz w:val="22"/>
          <w:szCs w:val="22"/>
        </w:rPr>
        <w:t>% of substance use-related deaths (n=</w:t>
      </w:r>
      <w:r w:rsidR="006E537D">
        <w:rPr>
          <w:rFonts w:asciiTheme="minorHAnsi" w:hAnsiTheme="minorHAnsi"/>
          <w:sz w:val="22"/>
          <w:szCs w:val="22"/>
        </w:rPr>
        <w:t>8</w:t>
      </w:r>
      <w:r w:rsidR="00FE4BB5" w:rsidRPr="00A574BA">
        <w:rPr>
          <w:rFonts w:asciiTheme="minorHAnsi" w:hAnsiTheme="minorHAnsi"/>
          <w:sz w:val="22"/>
          <w:szCs w:val="22"/>
        </w:rPr>
        <w:t xml:space="preserve">) and fentanyl in </w:t>
      </w:r>
      <w:r w:rsidR="006E537D">
        <w:rPr>
          <w:rFonts w:asciiTheme="minorHAnsi" w:hAnsiTheme="minorHAnsi"/>
          <w:sz w:val="22"/>
          <w:szCs w:val="22"/>
        </w:rPr>
        <w:t>17.1</w:t>
      </w:r>
      <w:r w:rsidR="00FE4BB5" w:rsidRPr="00A574BA">
        <w:rPr>
          <w:rFonts w:asciiTheme="minorHAnsi" w:hAnsiTheme="minorHAnsi"/>
          <w:sz w:val="22"/>
          <w:szCs w:val="22"/>
        </w:rPr>
        <w:t>% (n=</w:t>
      </w:r>
      <w:r w:rsidR="006E537D">
        <w:rPr>
          <w:rFonts w:asciiTheme="minorHAnsi" w:hAnsiTheme="minorHAnsi"/>
          <w:sz w:val="22"/>
          <w:szCs w:val="22"/>
        </w:rPr>
        <w:t>7</w:t>
      </w:r>
      <w:r w:rsidR="00FE4BB5" w:rsidRPr="00A574BA">
        <w:rPr>
          <w:rFonts w:asciiTheme="minorHAnsi" w:hAnsiTheme="minorHAnsi"/>
          <w:sz w:val="22"/>
          <w:szCs w:val="22"/>
        </w:rPr>
        <w:t xml:space="preserve">) (Table 3). Among substance use-related deaths, two or more specific drug </w:t>
      </w:r>
      <w:r w:rsidR="006E537D">
        <w:rPr>
          <w:rFonts w:asciiTheme="minorHAnsi" w:hAnsiTheme="minorHAnsi"/>
          <w:sz w:val="22"/>
          <w:szCs w:val="22"/>
        </w:rPr>
        <w:t xml:space="preserve">types </w:t>
      </w:r>
      <w:r w:rsidR="00FE4BB5" w:rsidRPr="00A574BA">
        <w:rPr>
          <w:rFonts w:asciiTheme="minorHAnsi" w:hAnsiTheme="minorHAnsi"/>
          <w:sz w:val="22"/>
          <w:szCs w:val="22"/>
        </w:rPr>
        <w:t xml:space="preserve">were indicated in </w:t>
      </w:r>
      <w:r w:rsidR="006E537D">
        <w:rPr>
          <w:rFonts w:asciiTheme="minorHAnsi" w:hAnsiTheme="minorHAnsi"/>
          <w:sz w:val="22"/>
          <w:szCs w:val="22"/>
        </w:rPr>
        <w:t>22.0</w:t>
      </w:r>
      <w:r w:rsidR="00FE4BB5" w:rsidRPr="00A574BA">
        <w:rPr>
          <w:rFonts w:asciiTheme="minorHAnsi" w:hAnsiTheme="minorHAnsi"/>
          <w:sz w:val="22"/>
          <w:szCs w:val="22"/>
        </w:rPr>
        <w:t>%</w:t>
      </w:r>
      <w:r w:rsidR="00E71E73" w:rsidRPr="00A574BA">
        <w:rPr>
          <w:rFonts w:asciiTheme="minorHAnsi" w:hAnsiTheme="minorHAnsi"/>
          <w:sz w:val="22"/>
          <w:szCs w:val="22"/>
        </w:rPr>
        <w:t xml:space="preserve"> </w:t>
      </w:r>
      <w:r w:rsidR="00FE4BB5" w:rsidRPr="00A574BA">
        <w:rPr>
          <w:rFonts w:asciiTheme="minorHAnsi" w:hAnsiTheme="minorHAnsi"/>
          <w:sz w:val="22"/>
          <w:szCs w:val="22"/>
        </w:rPr>
        <w:t>(n=9</w:t>
      </w:r>
      <w:r w:rsidR="00A574BA">
        <w:rPr>
          <w:rFonts w:asciiTheme="minorHAnsi" w:hAnsiTheme="minorHAnsi"/>
          <w:sz w:val="22"/>
          <w:szCs w:val="22"/>
        </w:rPr>
        <w:t>)</w:t>
      </w:r>
      <w:r w:rsidR="00BB3B67">
        <w:rPr>
          <w:rFonts w:asciiTheme="minorHAnsi" w:hAnsiTheme="minorHAnsi"/>
          <w:sz w:val="22"/>
          <w:szCs w:val="22"/>
        </w:rPr>
        <w:t>.</w:t>
      </w:r>
    </w:p>
    <w:p w:rsidR="00A574BA" w:rsidRDefault="00A574BA" w:rsidP="00C26761">
      <w:pPr>
        <w:rPr>
          <w:rFonts w:asciiTheme="minorHAnsi" w:eastAsiaTheme="minorEastAsia" w:hAnsiTheme="minorHAnsi"/>
          <w:b/>
          <w:color w:val="000000" w:themeColor="text1"/>
          <w:kern w:val="24"/>
          <w:sz w:val="22"/>
          <w:szCs w:val="22"/>
        </w:rPr>
      </w:pPr>
    </w:p>
    <w:p w:rsidR="00C26761" w:rsidRPr="002A48E9" w:rsidRDefault="00C26761" w:rsidP="00C26761">
      <w:pPr>
        <w:rPr>
          <w:rFonts w:asciiTheme="minorHAnsi" w:hAnsiTheme="minorHAnsi"/>
          <w:i/>
          <w:sz w:val="22"/>
          <w:szCs w:val="22"/>
        </w:rPr>
      </w:pPr>
      <w:r w:rsidRPr="002A48E9">
        <w:rPr>
          <w:rFonts w:asciiTheme="minorHAnsi" w:hAnsiTheme="minorHAnsi"/>
          <w:i/>
          <w:sz w:val="22"/>
          <w:szCs w:val="22"/>
        </w:rPr>
        <w:t xml:space="preserve">Timing of substance use-related deaths </w:t>
      </w:r>
    </w:p>
    <w:p w:rsidR="00C26761" w:rsidRDefault="000E00C1" w:rsidP="00C26761">
      <w:pPr>
        <w:rPr>
          <w:rFonts w:asciiTheme="minorHAnsi" w:hAnsiTheme="minorHAnsi"/>
          <w:sz w:val="22"/>
          <w:szCs w:val="22"/>
        </w:rPr>
      </w:pPr>
      <w:r w:rsidRPr="002A48E9">
        <w:rPr>
          <w:rFonts w:asciiTheme="minorHAnsi" w:hAnsiTheme="minorHAnsi"/>
          <w:sz w:val="22"/>
          <w:szCs w:val="22"/>
        </w:rPr>
        <w:t>A majority (90.2</w:t>
      </w:r>
      <w:r w:rsidR="00C26761" w:rsidRPr="002A48E9">
        <w:rPr>
          <w:rFonts w:asciiTheme="minorHAnsi" w:hAnsiTheme="minorHAnsi"/>
          <w:sz w:val="22"/>
          <w:szCs w:val="22"/>
        </w:rPr>
        <w:t xml:space="preserve">%) of the substance use-related deaths occurred in </w:t>
      </w:r>
      <w:r w:rsidR="00A129F3" w:rsidRPr="002A48E9">
        <w:rPr>
          <w:rFonts w:asciiTheme="minorHAnsi" w:hAnsiTheme="minorHAnsi"/>
          <w:sz w:val="22"/>
          <w:szCs w:val="22"/>
        </w:rPr>
        <w:t xml:space="preserve">the </w:t>
      </w:r>
      <w:r w:rsidR="00C26761" w:rsidRPr="002A48E9">
        <w:rPr>
          <w:rFonts w:asciiTheme="minorHAnsi" w:hAnsiTheme="minorHAnsi"/>
          <w:sz w:val="22"/>
          <w:szCs w:val="22"/>
        </w:rPr>
        <w:t>postpartum period, betwe</w:t>
      </w:r>
      <w:r w:rsidR="009D776C" w:rsidRPr="002A48E9">
        <w:rPr>
          <w:rFonts w:asciiTheme="minorHAnsi" w:hAnsiTheme="minorHAnsi"/>
          <w:sz w:val="22"/>
          <w:szCs w:val="22"/>
        </w:rPr>
        <w:t>en 42–&lt;365 days postpartum (Figure 2</w:t>
      </w:r>
      <w:r w:rsidR="00C26761" w:rsidRPr="002A48E9">
        <w:rPr>
          <w:rFonts w:asciiTheme="minorHAnsi" w:hAnsiTheme="minorHAnsi"/>
          <w:sz w:val="22"/>
          <w:szCs w:val="22"/>
        </w:rPr>
        <w:t>).</w:t>
      </w:r>
    </w:p>
    <w:p w:rsidR="007F0997" w:rsidRPr="00A574BA" w:rsidRDefault="007F0997" w:rsidP="00C26761">
      <w:pPr>
        <w:rPr>
          <w:rFonts w:asciiTheme="minorHAnsi" w:hAnsiTheme="minorHAnsi"/>
          <w:sz w:val="22"/>
          <w:szCs w:val="22"/>
        </w:rPr>
      </w:pPr>
    </w:p>
    <w:p w:rsidR="00CE0C6C" w:rsidRPr="00A574BA" w:rsidRDefault="00CE0C6C" w:rsidP="00F05341">
      <w:pPr>
        <w:rPr>
          <w:rFonts w:asciiTheme="minorHAnsi" w:hAnsiTheme="minorHAnsi"/>
          <w:b/>
          <w:bCs/>
          <w:color w:val="000000" w:themeColor="text1"/>
          <w:kern w:val="24"/>
          <w:sz w:val="22"/>
          <w:szCs w:val="22"/>
        </w:rPr>
      </w:pPr>
      <w:proofErr w:type="gramStart"/>
      <w:r w:rsidRPr="00A574BA">
        <w:rPr>
          <w:rFonts w:asciiTheme="minorHAnsi" w:hAnsiTheme="minorHAnsi"/>
          <w:b/>
          <w:bCs/>
          <w:color w:val="000000" w:themeColor="text1"/>
          <w:kern w:val="24"/>
          <w:sz w:val="22"/>
          <w:szCs w:val="22"/>
        </w:rPr>
        <w:t>Table 2.</w:t>
      </w:r>
      <w:proofErr w:type="gramEnd"/>
      <w:r w:rsidRPr="00A574BA">
        <w:rPr>
          <w:rFonts w:asciiTheme="minorHAnsi" w:hAnsiTheme="minorHAnsi"/>
          <w:b/>
          <w:bCs/>
          <w:color w:val="000000" w:themeColor="text1"/>
          <w:kern w:val="24"/>
          <w:sz w:val="22"/>
          <w:szCs w:val="22"/>
        </w:rPr>
        <w:t xml:space="preserve"> Frequency and proportions of drug categories among substance use-related and pregnancy-associated deaths — Massachusetts 2005–2014</w:t>
      </w:r>
    </w:p>
    <w:p w:rsidR="00CE0C6C" w:rsidRPr="00A574BA" w:rsidRDefault="00CE0C6C" w:rsidP="00CE0C6C">
      <w:pPr>
        <w:spacing w:line="276" w:lineRule="auto"/>
        <w:rPr>
          <w:rFonts w:asciiTheme="minorHAnsi" w:hAnsiTheme="minorHAnsi"/>
          <w:b/>
          <w:bCs/>
          <w:color w:val="000000" w:themeColor="text1"/>
          <w:kern w:val="24"/>
          <w:sz w:val="22"/>
          <w:szCs w:val="22"/>
        </w:rPr>
        <w:sectPr w:rsidR="00CE0C6C" w:rsidRPr="00A574BA" w:rsidSect="005847B7">
          <w:type w:val="continuous"/>
          <w:pgSz w:w="12240" w:h="15840"/>
          <w:pgMar w:top="547" w:right="720" w:bottom="446" w:left="720" w:header="720" w:footer="720" w:gutter="0"/>
          <w:cols w:space="720"/>
          <w:docGrid w:linePitch="360"/>
        </w:sectPr>
      </w:pPr>
    </w:p>
    <w:tbl>
      <w:tblPr>
        <w:tblW w:w="9580" w:type="dxa"/>
        <w:tblCellMar>
          <w:left w:w="0" w:type="dxa"/>
          <w:right w:w="0" w:type="dxa"/>
        </w:tblCellMar>
        <w:tblLook w:val="04A0" w:firstRow="1" w:lastRow="0" w:firstColumn="1" w:lastColumn="0" w:noHBand="0" w:noVBand="1"/>
      </w:tblPr>
      <w:tblGrid>
        <w:gridCol w:w="4249"/>
        <w:gridCol w:w="1383"/>
        <w:gridCol w:w="1924"/>
        <w:gridCol w:w="2024"/>
      </w:tblGrid>
      <w:tr w:rsidR="00CE0C6C" w:rsidRPr="00A574BA" w:rsidTr="005E76F8">
        <w:trPr>
          <w:trHeight w:val="1325"/>
        </w:trPr>
        <w:tc>
          <w:tcPr>
            <w:tcW w:w="4249"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rsidR="00CE0C6C" w:rsidRPr="00A574BA" w:rsidRDefault="00CE0C6C" w:rsidP="005E76F8">
            <w:pPr>
              <w:spacing w:line="276" w:lineRule="auto"/>
              <w:rPr>
                <w:rFonts w:asciiTheme="minorHAnsi" w:hAnsiTheme="minorHAnsi"/>
                <w:sz w:val="22"/>
                <w:szCs w:val="22"/>
              </w:rPr>
            </w:pPr>
            <w:r w:rsidRPr="00A574BA">
              <w:rPr>
                <w:rFonts w:asciiTheme="minorHAnsi" w:hAnsiTheme="minorHAnsi"/>
                <w:b/>
                <w:bCs/>
                <w:color w:val="000000" w:themeColor="text1"/>
                <w:kern w:val="24"/>
                <w:sz w:val="22"/>
                <w:szCs w:val="22"/>
              </w:rPr>
              <w:lastRenderedPageBreak/>
              <w:t>Drug Category</w:t>
            </w:r>
          </w:p>
        </w:tc>
        <w:tc>
          <w:tcPr>
            <w:tcW w:w="1383"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rsidR="00CE0C6C" w:rsidRPr="00A574BA" w:rsidRDefault="00CE0C6C" w:rsidP="005E76F8">
            <w:pPr>
              <w:spacing w:line="276" w:lineRule="auto"/>
              <w:jc w:val="center"/>
              <w:rPr>
                <w:rFonts w:asciiTheme="minorHAnsi" w:hAnsiTheme="minorHAnsi"/>
                <w:sz w:val="22"/>
                <w:szCs w:val="22"/>
              </w:rPr>
            </w:pPr>
            <w:r w:rsidRPr="00A574BA">
              <w:rPr>
                <w:rFonts w:asciiTheme="minorHAnsi" w:hAnsiTheme="minorHAnsi"/>
                <w:b/>
                <w:bCs/>
                <w:color w:val="000000" w:themeColor="text1"/>
                <w:kern w:val="24"/>
                <w:sz w:val="22"/>
                <w:szCs w:val="22"/>
              </w:rPr>
              <w:t>Frequency</w:t>
            </w:r>
            <w:r w:rsidRPr="00A574BA">
              <w:rPr>
                <w:rFonts w:asciiTheme="minorHAnsi" w:hAnsiTheme="minorHAnsi"/>
                <w:b/>
                <w:bCs/>
                <w:color w:val="000000" w:themeColor="text1"/>
                <w:kern w:val="24"/>
                <w:position w:val="7"/>
                <w:sz w:val="22"/>
                <w:szCs w:val="22"/>
                <w:vertAlign w:val="superscript"/>
              </w:rPr>
              <w:t>1</w:t>
            </w:r>
          </w:p>
        </w:tc>
        <w:tc>
          <w:tcPr>
            <w:tcW w:w="1924"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rsidR="00CE0C6C" w:rsidRPr="00A574BA" w:rsidRDefault="00CE0C6C" w:rsidP="005E76F8">
            <w:pPr>
              <w:spacing w:line="276" w:lineRule="auto"/>
              <w:jc w:val="center"/>
              <w:rPr>
                <w:rFonts w:asciiTheme="minorHAnsi" w:hAnsiTheme="minorHAnsi"/>
                <w:sz w:val="22"/>
                <w:szCs w:val="22"/>
              </w:rPr>
            </w:pPr>
            <w:r w:rsidRPr="00A574BA">
              <w:rPr>
                <w:rFonts w:asciiTheme="minorHAnsi" w:hAnsiTheme="minorHAnsi"/>
                <w:b/>
                <w:bCs/>
                <w:color w:val="000000" w:themeColor="text1"/>
                <w:kern w:val="24"/>
                <w:sz w:val="22"/>
                <w:szCs w:val="22"/>
              </w:rPr>
              <w:t>% of Substance use-Related Deaths</w:t>
            </w:r>
          </w:p>
          <w:p w:rsidR="00CE0C6C" w:rsidRPr="00A574BA" w:rsidRDefault="00CE0C6C" w:rsidP="005E76F8">
            <w:pPr>
              <w:spacing w:line="276" w:lineRule="auto"/>
              <w:jc w:val="center"/>
              <w:rPr>
                <w:rFonts w:asciiTheme="minorHAnsi" w:hAnsiTheme="minorHAnsi"/>
                <w:sz w:val="22"/>
                <w:szCs w:val="22"/>
              </w:rPr>
            </w:pPr>
            <w:r w:rsidRPr="00A574BA">
              <w:rPr>
                <w:rFonts w:asciiTheme="minorHAnsi" w:hAnsiTheme="minorHAnsi"/>
                <w:b/>
                <w:bCs/>
                <w:color w:val="000000" w:themeColor="text1"/>
                <w:kern w:val="24"/>
                <w:sz w:val="22"/>
                <w:szCs w:val="22"/>
              </w:rPr>
              <w:t>(N=4</w:t>
            </w:r>
            <w:r w:rsidR="00AB6111">
              <w:rPr>
                <w:rFonts w:asciiTheme="minorHAnsi" w:hAnsiTheme="minorHAnsi"/>
                <w:b/>
                <w:bCs/>
                <w:color w:val="000000" w:themeColor="text1"/>
                <w:kern w:val="24"/>
                <w:sz w:val="22"/>
                <w:szCs w:val="22"/>
              </w:rPr>
              <w:t>1</w:t>
            </w:r>
            <w:r w:rsidRPr="00A574BA">
              <w:rPr>
                <w:rFonts w:asciiTheme="minorHAnsi" w:hAnsiTheme="minorHAnsi"/>
                <w:b/>
                <w:bCs/>
                <w:color w:val="000000" w:themeColor="text1"/>
                <w:kern w:val="24"/>
                <w:sz w:val="22"/>
                <w:szCs w:val="22"/>
              </w:rPr>
              <w:t>)</w:t>
            </w:r>
          </w:p>
        </w:tc>
        <w:tc>
          <w:tcPr>
            <w:tcW w:w="2024"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rsidR="00CE0C6C" w:rsidRPr="00A574BA" w:rsidRDefault="00CE0C6C" w:rsidP="005E76F8">
            <w:pPr>
              <w:spacing w:line="276" w:lineRule="auto"/>
              <w:jc w:val="center"/>
              <w:rPr>
                <w:rFonts w:asciiTheme="minorHAnsi" w:hAnsiTheme="minorHAnsi"/>
                <w:sz w:val="22"/>
                <w:szCs w:val="22"/>
              </w:rPr>
            </w:pPr>
            <w:r w:rsidRPr="00A574BA">
              <w:rPr>
                <w:rFonts w:asciiTheme="minorHAnsi" w:hAnsiTheme="minorHAnsi"/>
                <w:b/>
                <w:bCs/>
                <w:color w:val="000000" w:themeColor="text1"/>
                <w:kern w:val="24"/>
                <w:sz w:val="22"/>
                <w:szCs w:val="22"/>
              </w:rPr>
              <w:t>% of Pregnancy-Associated Deaths (N=</w:t>
            </w:r>
            <w:r w:rsidR="00AB6111">
              <w:rPr>
                <w:rFonts w:asciiTheme="minorHAnsi" w:hAnsiTheme="minorHAnsi"/>
                <w:b/>
                <w:bCs/>
                <w:color w:val="000000" w:themeColor="text1"/>
                <w:kern w:val="24"/>
                <w:sz w:val="22"/>
                <w:szCs w:val="22"/>
              </w:rPr>
              <w:t>199</w:t>
            </w:r>
            <w:r w:rsidRPr="00A574BA">
              <w:rPr>
                <w:rFonts w:asciiTheme="minorHAnsi" w:hAnsiTheme="minorHAnsi"/>
                <w:b/>
                <w:bCs/>
                <w:color w:val="000000" w:themeColor="text1"/>
                <w:kern w:val="24"/>
                <w:sz w:val="22"/>
                <w:szCs w:val="22"/>
              </w:rPr>
              <w:t>)</w:t>
            </w:r>
          </w:p>
        </w:tc>
      </w:tr>
      <w:tr w:rsidR="00CE0C6C" w:rsidRPr="00A574BA" w:rsidTr="005E76F8">
        <w:tc>
          <w:tcPr>
            <w:tcW w:w="4249" w:type="dxa"/>
            <w:tcBorders>
              <w:top w:val="single" w:sz="8" w:space="0" w:color="000000"/>
              <w:left w:val="nil"/>
              <w:bottom w:val="nil"/>
              <w:right w:val="nil"/>
            </w:tcBorders>
            <w:shd w:val="clear" w:color="auto" w:fill="E7E7E7"/>
            <w:tcMar>
              <w:top w:w="15" w:type="dxa"/>
              <w:left w:w="108" w:type="dxa"/>
              <w:bottom w:w="0" w:type="dxa"/>
              <w:right w:w="108" w:type="dxa"/>
            </w:tcMar>
            <w:hideMark/>
          </w:tcPr>
          <w:p w:rsidR="00CE0C6C" w:rsidRPr="00A574BA" w:rsidRDefault="00CE0C6C" w:rsidP="005E76F8">
            <w:pPr>
              <w:spacing w:line="276" w:lineRule="auto"/>
              <w:rPr>
                <w:rFonts w:asciiTheme="minorHAnsi" w:hAnsiTheme="minorHAnsi"/>
                <w:sz w:val="22"/>
                <w:szCs w:val="22"/>
              </w:rPr>
            </w:pPr>
            <w:r w:rsidRPr="00A574BA">
              <w:rPr>
                <w:rFonts w:asciiTheme="minorHAnsi" w:hAnsiTheme="minorHAnsi"/>
                <w:color w:val="000000" w:themeColor="text1"/>
                <w:kern w:val="24"/>
                <w:sz w:val="22"/>
                <w:szCs w:val="22"/>
              </w:rPr>
              <w:t>Opioids</w:t>
            </w:r>
          </w:p>
        </w:tc>
        <w:tc>
          <w:tcPr>
            <w:tcW w:w="1383" w:type="dxa"/>
            <w:tcBorders>
              <w:top w:val="single" w:sz="8" w:space="0" w:color="000000"/>
              <w:left w:val="nil"/>
              <w:bottom w:val="nil"/>
              <w:right w:val="nil"/>
            </w:tcBorders>
            <w:shd w:val="clear" w:color="auto" w:fill="E7E7E7"/>
            <w:tcMar>
              <w:top w:w="15" w:type="dxa"/>
              <w:left w:w="108" w:type="dxa"/>
              <w:bottom w:w="0" w:type="dxa"/>
              <w:right w:w="108" w:type="dxa"/>
            </w:tcMar>
            <w:hideMark/>
          </w:tcPr>
          <w:p w:rsidR="00CE0C6C" w:rsidRPr="00A574BA" w:rsidRDefault="00CE0C6C" w:rsidP="005E76F8">
            <w:pPr>
              <w:spacing w:line="276" w:lineRule="auto"/>
              <w:jc w:val="right"/>
              <w:rPr>
                <w:rFonts w:asciiTheme="minorHAnsi" w:hAnsiTheme="minorHAnsi"/>
                <w:sz w:val="22"/>
                <w:szCs w:val="22"/>
              </w:rPr>
            </w:pPr>
            <w:r w:rsidRPr="00A574BA">
              <w:rPr>
                <w:rFonts w:asciiTheme="minorHAnsi" w:hAnsiTheme="minorHAnsi"/>
                <w:color w:val="000000" w:themeColor="text1"/>
                <w:kern w:val="24"/>
                <w:sz w:val="22"/>
                <w:szCs w:val="22"/>
              </w:rPr>
              <w:t>2</w:t>
            </w:r>
            <w:r w:rsidR="00AB6111">
              <w:rPr>
                <w:rFonts w:asciiTheme="minorHAnsi" w:hAnsiTheme="minorHAnsi"/>
                <w:color w:val="000000" w:themeColor="text1"/>
                <w:kern w:val="24"/>
                <w:sz w:val="22"/>
                <w:szCs w:val="22"/>
              </w:rPr>
              <w:t>7</w:t>
            </w:r>
          </w:p>
        </w:tc>
        <w:tc>
          <w:tcPr>
            <w:tcW w:w="1924" w:type="dxa"/>
            <w:tcBorders>
              <w:top w:val="single" w:sz="8" w:space="0" w:color="000000"/>
              <w:left w:val="nil"/>
              <w:bottom w:val="nil"/>
              <w:right w:val="nil"/>
            </w:tcBorders>
            <w:shd w:val="clear" w:color="auto" w:fill="E7E7E7"/>
            <w:tcMar>
              <w:top w:w="15" w:type="dxa"/>
              <w:left w:w="108" w:type="dxa"/>
              <w:bottom w:w="0" w:type="dxa"/>
              <w:right w:w="108" w:type="dxa"/>
            </w:tcMar>
            <w:hideMark/>
          </w:tcPr>
          <w:p w:rsidR="00CE0C6C" w:rsidRPr="00A574BA" w:rsidRDefault="00AB6111" w:rsidP="005E76F8">
            <w:pPr>
              <w:spacing w:line="276" w:lineRule="auto"/>
              <w:jc w:val="right"/>
              <w:rPr>
                <w:rFonts w:asciiTheme="minorHAnsi" w:hAnsiTheme="minorHAnsi"/>
                <w:sz w:val="22"/>
                <w:szCs w:val="22"/>
              </w:rPr>
            </w:pPr>
            <w:r>
              <w:rPr>
                <w:rFonts w:asciiTheme="minorHAnsi" w:hAnsiTheme="minorHAnsi"/>
                <w:color w:val="000000" w:themeColor="text1"/>
                <w:kern w:val="24"/>
                <w:sz w:val="22"/>
                <w:szCs w:val="22"/>
              </w:rPr>
              <w:t>65.9</w:t>
            </w:r>
            <w:r w:rsidR="00CE0C6C" w:rsidRPr="00A574BA">
              <w:rPr>
                <w:rFonts w:asciiTheme="minorHAnsi" w:hAnsiTheme="minorHAnsi"/>
                <w:color w:val="000000" w:themeColor="text1"/>
                <w:kern w:val="24"/>
                <w:sz w:val="22"/>
                <w:szCs w:val="22"/>
              </w:rPr>
              <w:t>%</w:t>
            </w:r>
          </w:p>
        </w:tc>
        <w:tc>
          <w:tcPr>
            <w:tcW w:w="2024" w:type="dxa"/>
            <w:tcBorders>
              <w:top w:val="single" w:sz="8" w:space="0" w:color="000000"/>
              <w:left w:val="nil"/>
              <w:bottom w:val="nil"/>
              <w:right w:val="nil"/>
            </w:tcBorders>
            <w:shd w:val="clear" w:color="auto" w:fill="E7E7E7"/>
            <w:tcMar>
              <w:top w:w="15" w:type="dxa"/>
              <w:left w:w="108" w:type="dxa"/>
              <w:bottom w:w="0" w:type="dxa"/>
              <w:right w:w="108" w:type="dxa"/>
            </w:tcMar>
            <w:hideMark/>
          </w:tcPr>
          <w:p w:rsidR="00CE0C6C" w:rsidRPr="00A574BA" w:rsidRDefault="00AB6111" w:rsidP="005E76F8">
            <w:pPr>
              <w:spacing w:line="276" w:lineRule="auto"/>
              <w:jc w:val="right"/>
              <w:rPr>
                <w:rFonts w:asciiTheme="minorHAnsi" w:hAnsiTheme="minorHAnsi"/>
                <w:sz w:val="22"/>
                <w:szCs w:val="22"/>
              </w:rPr>
            </w:pPr>
            <w:r>
              <w:rPr>
                <w:rFonts w:asciiTheme="minorHAnsi" w:hAnsiTheme="minorHAnsi"/>
                <w:color w:val="000000" w:themeColor="text1"/>
                <w:kern w:val="24"/>
                <w:sz w:val="22"/>
                <w:szCs w:val="22"/>
              </w:rPr>
              <w:t>13.6</w:t>
            </w:r>
            <w:r w:rsidR="00CE0C6C" w:rsidRPr="00A574BA">
              <w:rPr>
                <w:rFonts w:asciiTheme="minorHAnsi" w:hAnsiTheme="minorHAnsi"/>
                <w:color w:val="000000" w:themeColor="text1"/>
                <w:kern w:val="24"/>
                <w:sz w:val="22"/>
                <w:szCs w:val="22"/>
              </w:rPr>
              <w:t>%</w:t>
            </w:r>
          </w:p>
        </w:tc>
      </w:tr>
      <w:tr w:rsidR="00CE0C6C" w:rsidRPr="00A574BA" w:rsidTr="005E76F8">
        <w:tc>
          <w:tcPr>
            <w:tcW w:w="4249" w:type="dxa"/>
            <w:tcBorders>
              <w:top w:val="nil"/>
              <w:left w:val="nil"/>
              <w:bottom w:val="nil"/>
              <w:right w:val="nil"/>
            </w:tcBorders>
            <w:shd w:val="clear" w:color="auto" w:fill="auto"/>
            <w:tcMar>
              <w:top w:w="15" w:type="dxa"/>
              <w:left w:w="108" w:type="dxa"/>
              <w:bottom w:w="0" w:type="dxa"/>
              <w:right w:w="108" w:type="dxa"/>
            </w:tcMar>
            <w:hideMark/>
          </w:tcPr>
          <w:p w:rsidR="00CE0C6C" w:rsidRPr="00A574BA" w:rsidRDefault="00CE0C6C" w:rsidP="005E76F8">
            <w:pPr>
              <w:spacing w:line="276" w:lineRule="auto"/>
              <w:rPr>
                <w:rFonts w:asciiTheme="minorHAnsi" w:hAnsiTheme="minorHAnsi"/>
                <w:sz w:val="22"/>
                <w:szCs w:val="22"/>
              </w:rPr>
            </w:pPr>
            <w:r w:rsidRPr="00A574BA">
              <w:rPr>
                <w:rFonts w:asciiTheme="minorHAnsi" w:hAnsiTheme="minorHAnsi"/>
                <w:color w:val="000000" w:themeColor="text1"/>
                <w:kern w:val="24"/>
                <w:sz w:val="22"/>
                <w:szCs w:val="22"/>
              </w:rPr>
              <w:t xml:space="preserve">Cocaine </w:t>
            </w:r>
          </w:p>
        </w:tc>
        <w:tc>
          <w:tcPr>
            <w:tcW w:w="1383" w:type="dxa"/>
            <w:tcBorders>
              <w:top w:val="nil"/>
              <w:left w:val="nil"/>
              <w:bottom w:val="nil"/>
              <w:right w:val="nil"/>
            </w:tcBorders>
            <w:shd w:val="clear" w:color="auto" w:fill="auto"/>
            <w:tcMar>
              <w:top w:w="15" w:type="dxa"/>
              <w:left w:w="108" w:type="dxa"/>
              <w:bottom w:w="0" w:type="dxa"/>
              <w:right w:w="108" w:type="dxa"/>
            </w:tcMar>
            <w:hideMark/>
          </w:tcPr>
          <w:p w:rsidR="00CE0C6C" w:rsidRPr="00A574BA" w:rsidRDefault="00AB6111" w:rsidP="005E76F8">
            <w:pPr>
              <w:spacing w:line="276" w:lineRule="auto"/>
              <w:jc w:val="right"/>
              <w:rPr>
                <w:rFonts w:asciiTheme="minorHAnsi" w:hAnsiTheme="minorHAnsi"/>
                <w:sz w:val="22"/>
                <w:szCs w:val="22"/>
              </w:rPr>
            </w:pPr>
            <w:r>
              <w:rPr>
                <w:rFonts w:asciiTheme="minorHAnsi" w:hAnsiTheme="minorHAnsi"/>
                <w:color w:val="000000" w:themeColor="text1"/>
                <w:kern w:val="24"/>
                <w:sz w:val="22"/>
                <w:szCs w:val="22"/>
              </w:rPr>
              <w:t>7</w:t>
            </w:r>
          </w:p>
        </w:tc>
        <w:tc>
          <w:tcPr>
            <w:tcW w:w="1924" w:type="dxa"/>
            <w:tcBorders>
              <w:top w:val="nil"/>
              <w:left w:val="nil"/>
              <w:bottom w:val="nil"/>
              <w:right w:val="nil"/>
            </w:tcBorders>
            <w:shd w:val="clear" w:color="auto" w:fill="auto"/>
            <w:tcMar>
              <w:top w:w="15" w:type="dxa"/>
              <w:left w:w="108" w:type="dxa"/>
              <w:bottom w:w="0" w:type="dxa"/>
              <w:right w:w="108" w:type="dxa"/>
            </w:tcMar>
            <w:hideMark/>
          </w:tcPr>
          <w:p w:rsidR="00CE0C6C" w:rsidRPr="00A574BA" w:rsidRDefault="00AB6111" w:rsidP="005E76F8">
            <w:pPr>
              <w:spacing w:line="276" w:lineRule="auto"/>
              <w:jc w:val="right"/>
              <w:rPr>
                <w:rFonts w:asciiTheme="minorHAnsi" w:hAnsiTheme="minorHAnsi"/>
                <w:sz w:val="22"/>
                <w:szCs w:val="22"/>
              </w:rPr>
            </w:pPr>
            <w:r>
              <w:rPr>
                <w:rFonts w:asciiTheme="minorHAnsi" w:hAnsiTheme="minorHAnsi"/>
                <w:color w:val="000000" w:themeColor="text1"/>
                <w:kern w:val="24"/>
                <w:sz w:val="22"/>
                <w:szCs w:val="22"/>
              </w:rPr>
              <w:t>17.1</w:t>
            </w:r>
            <w:r w:rsidR="00CE0C6C" w:rsidRPr="00A574BA">
              <w:rPr>
                <w:rFonts w:asciiTheme="minorHAnsi" w:hAnsiTheme="minorHAnsi"/>
                <w:color w:val="000000" w:themeColor="text1"/>
                <w:kern w:val="24"/>
                <w:sz w:val="22"/>
                <w:szCs w:val="22"/>
              </w:rPr>
              <w:t>%</w:t>
            </w:r>
          </w:p>
        </w:tc>
        <w:tc>
          <w:tcPr>
            <w:tcW w:w="2024" w:type="dxa"/>
            <w:tcBorders>
              <w:top w:val="nil"/>
              <w:left w:val="nil"/>
              <w:bottom w:val="nil"/>
              <w:right w:val="nil"/>
            </w:tcBorders>
            <w:shd w:val="clear" w:color="auto" w:fill="auto"/>
            <w:tcMar>
              <w:top w:w="15" w:type="dxa"/>
              <w:left w:w="108" w:type="dxa"/>
              <w:bottom w:w="0" w:type="dxa"/>
              <w:right w:w="108" w:type="dxa"/>
            </w:tcMar>
            <w:hideMark/>
          </w:tcPr>
          <w:p w:rsidR="00CE0C6C" w:rsidRPr="00A574BA" w:rsidRDefault="00AB6111" w:rsidP="005E76F8">
            <w:pPr>
              <w:spacing w:line="276" w:lineRule="auto"/>
              <w:jc w:val="right"/>
              <w:rPr>
                <w:rFonts w:asciiTheme="minorHAnsi" w:hAnsiTheme="minorHAnsi"/>
                <w:sz w:val="22"/>
                <w:szCs w:val="22"/>
              </w:rPr>
            </w:pPr>
            <w:r>
              <w:rPr>
                <w:rFonts w:asciiTheme="minorHAnsi" w:hAnsiTheme="minorHAnsi"/>
                <w:color w:val="000000" w:themeColor="text1"/>
                <w:kern w:val="24"/>
                <w:sz w:val="22"/>
                <w:szCs w:val="22"/>
              </w:rPr>
              <w:t>3.5</w:t>
            </w:r>
            <w:r w:rsidR="00CE0C6C" w:rsidRPr="00A574BA">
              <w:rPr>
                <w:rFonts w:asciiTheme="minorHAnsi" w:hAnsiTheme="minorHAnsi"/>
                <w:color w:val="000000" w:themeColor="text1"/>
                <w:kern w:val="24"/>
                <w:sz w:val="22"/>
                <w:szCs w:val="22"/>
              </w:rPr>
              <w:t>%</w:t>
            </w:r>
          </w:p>
        </w:tc>
      </w:tr>
      <w:tr w:rsidR="00CE0C6C" w:rsidRPr="00A574BA" w:rsidTr="005E76F8">
        <w:tc>
          <w:tcPr>
            <w:tcW w:w="4249" w:type="dxa"/>
            <w:tcBorders>
              <w:top w:val="nil"/>
              <w:left w:val="nil"/>
              <w:bottom w:val="nil"/>
              <w:right w:val="nil"/>
            </w:tcBorders>
            <w:shd w:val="clear" w:color="auto" w:fill="E7E7E7"/>
            <w:tcMar>
              <w:top w:w="15" w:type="dxa"/>
              <w:left w:w="108" w:type="dxa"/>
              <w:bottom w:w="0" w:type="dxa"/>
              <w:right w:w="108" w:type="dxa"/>
            </w:tcMar>
            <w:hideMark/>
          </w:tcPr>
          <w:p w:rsidR="00CE0C6C" w:rsidRPr="00A574BA" w:rsidRDefault="00CE0C6C" w:rsidP="005E76F8">
            <w:pPr>
              <w:spacing w:line="276" w:lineRule="auto"/>
              <w:rPr>
                <w:rFonts w:asciiTheme="minorHAnsi" w:hAnsiTheme="minorHAnsi"/>
                <w:sz w:val="22"/>
                <w:szCs w:val="22"/>
              </w:rPr>
            </w:pPr>
            <w:r w:rsidRPr="00A574BA">
              <w:rPr>
                <w:rFonts w:asciiTheme="minorHAnsi" w:hAnsiTheme="minorHAnsi"/>
                <w:color w:val="000000" w:themeColor="text1"/>
                <w:kern w:val="24"/>
                <w:sz w:val="22"/>
                <w:szCs w:val="22"/>
              </w:rPr>
              <w:t xml:space="preserve">Methamphetamine (methylphenidate, </w:t>
            </w:r>
            <w:proofErr w:type="spellStart"/>
            <w:r w:rsidRPr="00A574BA">
              <w:rPr>
                <w:rFonts w:asciiTheme="minorHAnsi" w:hAnsiTheme="minorHAnsi"/>
                <w:color w:val="000000" w:themeColor="text1"/>
                <w:kern w:val="24"/>
                <w:sz w:val="22"/>
                <w:szCs w:val="22"/>
              </w:rPr>
              <w:t>ritalinic</w:t>
            </w:r>
            <w:proofErr w:type="spellEnd"/>
            <w:r w:rsidRPr="00A574BA">
              <w:rPr>
                <w:rFonts w:asciiTheme="minorHAnsi" w:hAnsiTheme="minorHAnsi"/>
                <w:color w:val="000000" w:themeColor="text1"/>
                <w:kern w:val="24"/>
                <w:sz w:val="22"/>
                <w:szCs w:val="22"/>
              </w:rPr>
              <w:t xml:space="preserve"> acid)</w:t>
            </w:r>
          </w:p>
        </w:tc>
        <w:tc>
          <w:tcPr>
            <w:tcW w:w="1383" w:type="dxa"/>
            <w:tcBorders>
              <w:top w:val="nil"/>
              <w:left w:val="nil"/>
              <w:bottom w:val="nil"/>
              <w:right w:val="nil"/>
            </w:tcBorders>
            <w:shd w:val="clear" w:color="auto" w:fill="E7E7E7"/>
            <w:tcMar>
              <w:top w:w="15" w:type="dxa"/>
              <w:left w:w="108" w:type="dxa"/>
              <w:bottom w:w="0" w:type="dxa"/>
              <w:right w:w="108" w:type="dxa"/>
            </w:tcMar>
            <w:hideMark/>
          </w:tcPr>
          <w:p w:rsidR="00CE0C6C" w:rsidRPr="00A574BA" w:rsidRDefault="00CE0C6C" w:rsidP="005E76F8">
            <w:pPr>
              <w:spacing w:line="276" w:lineRule="auto"/>
              <w:jc w:val="right"/>
              <w:rPr>
                <w:rFonts w:asciiTheme="minorHAnsi" w:hAnsiTheme="minorHAnsi"/>
                <w:sz w:val="22"/>
                <w:szCs w:val="22"/>
              </w:rPr>
            </w:pPr>
            <w:r w:rsidRPr="00A574BA">
              <w:rPr>
                <w:rFonts w:asciiTheme="minorHAnsi" w:hAnsiTheme="minorHAnsi"/>
                <w:color w:val="000000" w:themeColor="text1"/>
                <w:kern w:val="24"/>
                <w:sz w:val="22"/>
                <w:szCs w:val="22"/>
              </w:rPr>
              <w:t>1</w:t>
            </w:r>
          </w:p>
        </w:tc>
        <w:tc>
          <w:tcPr>
            <w:tcW w:w="1924" w:type="dxa"/>
            <w:tcBorders>
              <w:top w:val="nil"/>
              <w:left w:val="nil"/>
              <w:bottom w:val="nil"/>
              <w:right w:val="nil"/>
            </w:tcBorders>
            <w:shd w:val="clear" w:color="auto" w:fill="E7E7E7"/>
            <w:tcMar>
              <w:top w:w="15" w:type="dxa"/>
              <w:left w:w="108" w:type="dxa"/>
              <w:bottom w:w="0" w:type="dxa"/>
              <w:right w:w="108" w:type="dxa"/>
            </w:tcMar>
            <w:hideMark/>
          </w:tcPr>
          <w:p w:rsidR="00CE0C6C" w:rsidRPr="00A574BA" w:rsidRDefault="00AB6111" w:rsidP="005E76F8">
            <w:pPr>
              <w:spacing w:line="276" w:lineRule="auto"/>
              <w:jc w:val="right"/>
              <w:rPr>
                <w:rFonts w:asciiTheme="minorHAnsi" w:hAnsiTheme="minorHAnsi"/>
                <w:sz w:val="22"/>
                <w:szCs w:val="22"/>
              </w:rPr>
            </w:pPr>
            <w:r>
              <w:rPr>
                <w:rFonts w:asciiTheme="minorHAnsi" w:hAnsiTheme="minorHAnsi"/>
                <w:color w:val="000000" w:themeColor="text1"/>
                <w:kern w:val="24"/>
                <w:sz w:val="22"/>
                <w:szCs w:val="22"/>
              </w:rPr>
              <w:t>2.4</w:t>
            </w:r>
            <w:r w:rsidR="00CE0C6C" w:rsidRPr="00A574BA">
              <w:rPr>
                <w:rFonts w:asciiTheme="minorHAnsi" w:hAnsiTheme="minorHAnsi"/>
                <w:color w:val="000000" w:themeColor="text1"/>
                <w:kern w:val="24"/>
                <w:sz w:val="22"/>
                <w:szCs w:val="22"/>
              </w:rPr>
              <w:t>%</w:t>
            </w:r>
          </w:p>
        </w:tc>
        <w:tc>
          <w:tcPr>
            <w:tcW w:w="2024" w:type="dxa"/>
            <w:tcBorders>
              <w:top w:val="nil"/>
              <w:left w:val="nil"/>
              <w:bottom w:val="nil"/>
              <w:right w:val="nil"/>
            </w:tcBorders>
            <w:shd w:val="clear" w:color="auto" w:fill="E7E7E7"/>
            <w:tcMar>
              <w:top w:w="15" w:type="dxa"/>
              <w:left w:w="108" w:type="dxa"/>
              <w:bottom w:w="0" w:type="dxa"/>
              <w:right w:w="108" w:type="dxa"/>
            </w:tcMar>
            <w:hideMark/>
          </w:tcPr>
          <w:p w:rsidR="00CE0C6C" w:rsidRPr="00A574BA" w:rsidRDefault="00CE0C6C" w:rsidP="005E76F8">
            <w:pPr>
              <w:spacing w:line="276" w:lineRule="auto"/>
              <w:jc w:val="right"/>
              <w:rPr>
                <w:rFonts w:asciiTheme="minorHAnsi" w:hAnsiTheme="minorHAnsi"/>
                <w:sz w:val="22"/>
                <w:szCs w:val="22"/>
              </w:rPr>
            </w:pPr>
            <w:r w:rsidRPr="00A574BA">
              <w:rPr>
                <w:rFonts w:asciiTheme="minorHAnsi" w:hAnsiTheme="minorHAnsi"/>
                <w:color w:val="000000" w:themeColor="text1"/>
                <w:kern w:val="24"/>
                <w:sz w:val="22"/>
                <w:szCs w:val="22"/>
              </w:rPr>
              <w:t>0.5%</w:t>
            </w:r>
          </w:p>
        </w:tc>
      </w:tr>
      <w:tr w:rsidR="00CE0C6C" w:rsidRPr="00A574BA" w:rsidTr="005E76F8">
        <w:tc>
          <w:tcPr>
            <w:tcW w:w="4249" w:type="dxa"/>
            <w:tcBorders>
              <w:top w:val="nil"/>
              <w:left w:val="nil"/>
              <w:bottom w:val="nil"/>
              <w:right w:val="nil"/>
            </w:tcBorders>
            <w:shd w:val="clear" w:color="auto" w:fill="auto"/>
            <w:tcMar>
              <w:top w:w="15" w:type="dxa"/>
              <w:left w:w="108" w:type="dxa"/>
              <w:bottom w:w="0" w:type="dxa"/>
              <w:right w:w="108" w:type="dxa"/>
            </w:tcMar>
            <w:hideMark/>
          </w:tcPr>
          <w:p w:rsidR="00CE0C6C" w:rsidRPr="00A574BA" w:rsidRDefault="00CE0C6C" w:rsidP="005E76F8">
            <w:pPr>
              <w:spacing w:line="276" w:lineRule="auto"/>
              <w:rPr>
                <w:rFonts w:asciiTheme="minorHAnsi" w:hAnsiTheme="minorHAnsi"/>
                <w:sz w:val="22"/>
                <w:szCs w:val="22"/>
              </w:rPr>
            </w:pPr>
            <w:r w:rsidRPr="00A574BA">
              <w:rPr>
                <w:rFonts w:asciiTheme="minorHAnsi" w:hAnsiTheme="minorHAnsi"/>
                <w:color w:val="000000" w:themeColor="text1"/>
                <w:kern w:val="24"/>
                <w:sz w:val="22"/>
                <w:szCs w:val="22"/>
              </w:rPr>
              <w:t>Benzodiazepines (benzodiazepine, alprazolam, clonazepam)</w:t>
            </w:r>
          </w:p>
        </w:tc>
        <w:tc>
          <w:tcPr>
            <w:tcW w:w="1383" w:type="dxa"/>
            <w:tcBorders>
              <w:top w:val="nil"/>
              <w:left w:val="nil"/>
              <w:bottom w:val="nil"/>
              <w:right w:val="nil"/>
            </w:tcBorders>
            <w:shd w:val="clear" w:color="auto" w:fill="auto"/>
            <w:tcMar>
              <w:top w:w="15" w:type="dxa"/>
              <w:left w:w="108" w:type="dxa"/>
              <w:bottom w:w="0" w:type="dxa"/>
              <w:right w:w="108" w:type="dxa"/>
            </w:tcMar>
            <w:hideMark/>
          </w:tcPr>
          <w:p w:rsidR="00CE0C6C" w:rsidRPr="00A574BA" w:rsidRDefault="00CE0C6C" w:rsidP="005E76F8">
            <w:pPr>
              <w:spacing w:line="276" w:lineRule="auto"/>
              <w:jc w:val="right"/>
              <w:rPr>
                <w:rFonts w:asciiTheme="minorHAnsi" w:hAnsiTheme="minorHAnsi"/>
                <w:sz w:val="22"/>
                <w:szCs w:val="22"/>
              </w:rPr>
            </w:pPr>
            <w:r w:rsidRPr="00A574BA">
              <w:rPr>
                <w:rFonts w:asciiTheme="minorHAnsi" w:hAnsiTheme="minorHAnsi"/>
                <w:color w:val="000000" w:themeColor="text1"/>
                <w:kern w:val="24"/>
                <w:sz w:val="22"/>
                <w:szCs w:val="22"/>
              </w:rPr>
              <w:t>5</w:t>
            </w:r>
          </w:p>
        </w:tc>
        <w:tc>
          <w:tcPr>
            <w:tcW w:w="1924" w:type="dxa"/>
            <w:tcBorders>
              <w:top w:val="nil"/>
              <w:left w:val="nil"/>
              <w:bottom w:val="nil"/>
              <w:right w:val="nil"/>
            </w:tcBorders>
            <w:shd w:val="clear" w:color="auto" w:fill="auto"/>
            <w:tcMar>
              <w:top w:w="15" w:type="dxa"/>
              <w:left w:w="108" w:type="dxa"/>
              <w:bottom w:w="0" w:type="dxa"/>
              <w:right w:w="108" w:type="dxa"/>
            </w:tcMar>
            <w:hideMark/>
          </w:tcPr>
          <w:p w:rsidR="00CE0C6C" w:rsidRPr="00A574BA" w:rsidRDefault="00AB6111" w:rsidP="005E76F8">
            <w:pPr>
              <w:spacing w:line="276" w:lineRule="auto"/>
              <w:jc w:val="right"/>
              <w:rPr>
                <w:rFonts w:asciiTheme="minorHAnsi" w:hAnsiTheme="minorHAnsi"/>
                <w:sz w:val="22"/>
                <w:szCs w:val="22"/>
              </w:rPr>
            </w:pPr>
            <w:r>
              <w:rPr>
                <w:rFonts w:asciiTheme="minorHAnsi" w:hAnsiTheme="minorHAnsi"/>
                <w:color w:val="000000" w:themeColor="text1"/>
                <w:kern w:val="24"/>
                <w:sz w:val="22"/>
                <w:szCs w:val="22"/>
              </w:rPr>
              <w:t>12.2</w:t>
            </w:r>
            <w:r w:rsidR="00CE0C6C" w:rsidRPr="00A574BA">
              <w:rPr>
                <w:rFonts w:asciiTheme="minorHAnsi" w:hAnsiTheme="minorHAnsi"/>
                <w:color w:val="000000" w:themeColor="text1"/>
                <w:kern w:val="24"/>
                <w:sz w:val="22"/>
                <w:szCs w:val="22"/>
              </w:rPr>
              <w:t>%</w:t>
            </w:r>
          </w:p>
        </w:tc>
        <w:tc>
          <w:tcPr>
            <w:tcW w:w="2024" w:type="dxa"/>
            <w:tcBorders>
              <w:top w:val="nil"/>
              <w:left w:val="nil"/>
              <w:bottom w:val="nil"/>
              <w:right w:val="nil"/>
            </w:tcBorders>
            <w:shd w:val="clear" w:color="auto" w:fill="auto"/>
            <w:tcMar>
              <w:top w:w="15" w:type="dxa"/>
              <w:left w:w="108" w:type="dxa"/>
              <w:bottom w:w="0" w:type="dxa"/>
              <w:right w:w="108" w:type="dxa"/>
            </w:tcMar>
            <w:hideMark/>
          </w:tcPr>
          <w:p w:rsidR="00CE0C6C" w:rsidRPr="00A574BA" w:rsidRDefault="00CE0C6C" w:rsidP="005E76F8">
            <w:pPr>
              <w:spacing w:line="276" w:lineRule="auto"/>
              <w:jc w:val="right"/>
              <w:rPr>
                <w:rFonts w:asciiTheme="minorHAnsi" w:hAnsiTheme="minorHAnsi"/>
                <w:sz w:val="22"/>
                <w:szCs w:val="22"/>
              </w:rPr>
            </w:pPr>
            <w:r w:rsidRPr="00A574BA">
              <w:rPr>
                <w:rFonts w:asciiTheme="minorHAnsi" w:hAnsiTheme="minorHAnsi"/>
                <w:color w:val="000000" w:themeColor="text1"/>
                <w:kern w:val="24"/>
                <w:sz w:val="22"/>
                <w:szCs w:val="22"/>
              </w:rPr>
              <w:t>2.5%</w:t>
            </w:r>
          </w:p>
        </w:tc>
      </w:tr>
      <w:tr w:rsidR="00CE0C6C" w:rsidRPr="00A574BA" w:rsidTr="005E76F8">
        <w:tc>
          <w:tcPr>
            <w:tcW w:w="4249" w:type="dxa"/>
            <w:tcBorders>
              <w:top w:val="nil"/>
              <w:left w:val="nil"/>
              <w:bottom w:val="nil"/>
              <w:right w:val="nil"/>
            </w:tcBorders>
            <w:shd w:val="clear" w:color="auto" w:fill="E7E7E7"/>
            <w:tcMar>
              <w:top w:w="15" w:type="dxa"/>
              <w:left w:w="108" w:type="dxa"/>
              <w:bottom w:w="0" w:type="dxa"/>
              <w:right w:w="108" w:type="dxa"/>
            </w:tcMar>
            <w:hideMark/>
          </w:tcPr>
          <w:p w:rsidR="00CE0C6C" w:rsidRPr="00A574BA" w:rsidRDefault="00CE0C6C" w:rsidP="005E76F8">
            <w:pPr>
              <w:spacing w:line="276" w:lineRule="auto"/>
              <w:rPr>
                <w:rFonts w:asciiTheme="minorHAnsi" w:hAnsiTheme="minorHAnsi"/>
                <w:sz w:val="22"/>
                <w:szCs w:val="22"/>
              </w:rPr>
            </w:pPr>
            <w:r w:rsidRPr="00A574BA">
              <w:rPr>
                <w:rFonts w:asciiTheme="minorHAnsi" w:hAnsiTheme="minorHAnsi"/>
                <w:color w:val="000000" w:themeColor="text1"/>
                <w:kern w:val="24"/>
                <w:sz w:val="22"/>
                <w:szCs w:val="22"/>
              </w:rPr>
              <w:t>Alcohol (ethanol)</w:t>
            </w:r>
          </w:p>
        </w:tc>
        <w:tc>
          <w:tcPr>
            <w:tcW w:w="1383" w:type="dxa"/>
            <w:tcBorders>
              <w:top w:val="nil"/>
              <w:left w:val="nil"/>
              <w:bottom w:val="nil"/>
              <w:right w:val="nil"/>
            </w:tcBorders>
            <w:shd w:val="clear" w:color="auto" w:fill="E7E7E7"/>
            <w:tcMar>
              <w:top w:w="15" w:type="dxa"/>
              <w:left w:w="108" w:type="dxa"/>
              <w:bottom w:w="0" w:type="dxa"/>
              <w:right w:w="108" w:type="dxa"/>
            </w:tcMar>
            <w:hideMark/>
          </w:tcPr>
          <w:p w:rsidR="00CE0C6C" w:rsidRPr="00A574BA" w:rsidRDefault="00CE0C6C" w:rsidP="005E76F8">
            <w:pPr>
              <w:spacing w:line="276" w:lineRule="auto"/>
              <w:jc w:val="right"/>
              <w:rPr>
                <w:rFonts w:asciiTheme="minorHAnsi" w:hAnsiTheme="minorHAnsi"/>
                <w:sz w:val="22"/>
                <w:szCs w:val="22"/>
              </w:rPr>
            </w:pPr>
            <w:r w:rsidRPr="00A574BA">
              <w:rPr>
                <w:rFonts w:asciiTheme="minorHAnsi" w:hAnsiTheme="minorHAnsi"/>
                <w:color w:val="000000" w:themeColor="text1"/>
                <w:kern w:val="24"/>
                <w:sz w:val="22"/>
                <w:szCs w:val="22"/>
              </w:rPr>
              <w:t>2</w:t>
            </w:r>
          </w:p>
        </w:tc>
        <w:tc>
          <w:tcPr>
            <w:tcW w:w="1924" w:type="dxa"/>
            <w:tcBorders>
              <w:top w:val="nil"/>
              <w:left w:val="nil"/>
              <w:bottom w:val="nil"/>
              <w:right w:val="nil"/>
            </w:tcBorders>
            <w:shd w:val="clear" w:color="auto" w:fill="E7E7E7"/>
            <w:tcMar>
              <w:top w:w="15" w:type="dxa"/>
              <w:left w:w="108" w:type="dxa"/>
              <w:bottom w:w="0" w:type="dxa"/>
              <w:right w:w="108" w:type="dxa"/>
            </w:tcMar>
            <w:hideMark/>
          </w:tcPr>
          <w:p w:rsidR="00CE0C6C" w:rsidRPr="00A574BA" w:rsidRDefault="00AB6111" w:rsidP="005E76F8">
            <w:pPr>
              <w:spacing w:line="276" w:lineRule="auto"/>
              <w:jc w:val="right"/>
              <w:rPr>
                <w:rFonts w:asciiTheme="minorHAnsi" w:hAnsiTheme="minorHAnsi"/>
                <w:sz w:val="22"/>
                <w:szCs w:val="22"/>
              </w:rPr>
            </w:pPr>
            <w:r>
              <w:rPr>
                <w:rFonts w:asciiTheme="minorHAnsi" w:hAnsiTheme="minorHAnsi"/>
                <w:color w:val="000000" w:themeColor="text1"/>
                <w:kern w:val="24"/>
                <w:sz w:val="22"/>
                <w:szCs w:val="22"/>
              </w:rPr>
              <w:t>4.9</w:t>
            </w:r>
            <w:r w:rsidR="00CE0C6C" w:rsidRPr="00A574BA">
              <w:rPr>
                <w:rFonts w:asciiTheme="minorHAnsi" w:hAnsiTheme="minorHAnsi"/>
                <w:color w:val="000000" w:themeColor="text1"/>
                <w:kern w:val="24"/>
                <w:sz w:val="22"/>
                <w:szCs w:val="22"/>
              </w:rPr>
              <w:t>%</w:t>
            </w:r>
          </w:p>
        </w:tc>
        <w:tc>
          <w:tcPr>
            <w:tcW w:w="2024" w:type="dxa"/>
            <w:tcBorders>
              <w:top w:val="nil"/>
              <w:left w:val="nil"/>
              <w:bottom w:val="nil"/>
              <w:right w:val="nil"/>
            </w:tcBorders>
            <w:shd w:val="clear" w:color="auto" w:fill="E7E7E7"/>
            <w:tcMar>
              <w:top w:w="15" w:type="dxa"/>
              <w:left w:w="108" w:type="dxa"/>
              <w:bottom w:w="0" w:type="dxa"/>
              <w:right w:w="108" w:type="dxa"/>
            </w:tcMar>
            <w:hideMark/>
          </w:tcPr>
          <w:p w:rsidR="00CE0C6C" w:rsidRPr="00A574BA" w:rsidRDefault="00CE0C6C" w:rsidP="005E76F8">
            <w:pPr>
              <w:spacing w:line="276" w:lineRule="auto"/>
              <w:jc w:val="right"/>
              <w:rPr>
                <w:rFonts w:asciiTheme="minorHAnsi" w:hAnsiTheme="minorHAnsi"/>
                <w:sz w:val="22"/>
                <w:szCs w:val="22"/>
              </w:rPr>
            </w:pPr>
            <w:r w:rsidRPr="00A574BA">
              <w:rPr>
                <w:rFonts w:asciiTheme="minorHAnsi" w:hAnsiTheme="minorHAnsi"/>
                <w:color w:val="000000" w:themeColor="text1"/>
                <w:kern w:val="24"/>
                <w:sz w:val="22"/>
                <w:szCs w:val="22"/>
              </w:rPr>
              <w:t>1.0%</w:t>
            </w:r>
          </w:p>
        </w:tc>
      </w:tr>
      <w:tr w:rsidR="00CE0C6C" w:rsidRPr="00A574BA" w:rsidTr="005E76F8">
        <w:tc>
          <w:tcPr>
            <w:tcW w:w="4249" w:type="dxa"/>
            <w:tcBorders>
              <w:top w:val="nil"/>
              <w:left w:val="nil"/>
              <w:bottom w:val="single" w:sz="8" w:space="0" w:color="000000"/>
              <w:right w:val="nil"/>
            </w:tcBorders>
            <w:shd w:val="clear" w:color="auto" w:fill="auto"/>
            <w:tcMar>
              <w:top w:w="15" w:type="dxa"/>
              <w:left w:w="108" w:type="dxa"/>
              <w:bottom w:w="0" w:type="dxa"/>
              <w:right w:w="108" w:type="dxa"/>
            </w:tcMar>
            <w:hideMark/>
          </w:tcPr>
          <w:p w:rsidR="00CE0C6C" w:rsidRPr="00A574BA" w:rsidRDefault="00CE0C6C" w:rsidP="005E76F8">
            <w:pPr>
              <w:spacing w:line="276" w:lineRule="auto"/>
              <w:rPr>
                <w:rFonts w:asciiTheme="minorHAnsi" w:hAnsiTheme="minorHAnsi"/>
                <w:sz w:val="22"/>
                <w:szCs w:val="22"/>
              </w:rPr>
            </w:pPr>
            <w:r w:rsidRPr="00A574BA">
              <w:rPr>
                <w:rFonts w:asciiTheme="minorHAnsi" w:hAnsiTheme="minorHAnsi"/>
                <w:color w:val="000000" w:themeColor="text1"/>
                <w:kern w:val="24"/>
                <w:sz w:val="22"/>
                <w:szCs w:val="22"/>
              </w:rPr>
              <w:t>General/Unspecified (chronic substance abuse, polysubstance abuse, drug overdose)</w:t>
            </w:r>
          </w:p>
        </w:tc>
        <w:tc>
          <w:tcPr>
            <w:tcW w:w="1383" w:type="dxa"/>
            <w:tcBorders>
              <w:top w:val="nil"/>
              <w:left w:val="nil"/>
              <w:bottom w:val="single" w:sz="8" w:space="0" w:color="000000"/>
              <w:right w:val="nil"/>
            </w:tcBorders>
            <w:shd w:val="clear" w:color="auto" w:fill="auto"/>
            <w:tcMar>
              <w:top w:w="15" w:type="dxa"/>
              <w:left w:w="108" w:type="dxa"/>
              <w:bottom w:w="0" w:type="dxa"/>
              <w:right w:w="108" w:type="dxa"/>
            </w:tcMar>
            <w:hideMark/>
          </w:tcPr>
          <w:p w:rsidR="00CE0C6C" w:rsidRPr="00A574BA" w:rsidRDefault="00CE0C6C" w:rsidP="005E76F8">
            <w:pPr>
              <w:spacing w:line="276" w:lineRule="auto"/>
              <w:jc w:val="right"/>
              <w:rPr>
                <w:rFonts w:asciiTheme="minorHAnsi" w:hAnsiTheme="minorHAnsi"/>
                <w:sz w:val="22"/>
                <w:szCs w:val="22"/>
              </w:rPr>
            </w:pPr>
            <w:r w:rsidRPr="00A574BA">
              <w:rPr>
                <w:rFonts w:asciiTheme="minorHAnsi" w:hAnsiTheme="minorHAnsi"/>
                <w:color w:val="000000" w:themeColor="text1"/>
                <w:kern w:val="24"/>
                <w:sz w:val="22"/>
                <w:szCs w:val="22"/>
              </w:rPr>
              <w:t>1</w:t>
            </w:r>
            <w:r w:rsidR="00AB6111">
              <w:rPr>
                <w:rFonts w:asciiTheme="minorHAnsi" w:hAnsiTheme="minorHAnsi"/>
                <w:color w:val="000000" w:themeColor="text1"/>
                <w:kern w:val="24"/>
                <w:sz w:val="22"/>
                <w:szCs w:val="22"/>
              </w:rPr>
              <w:t>0</w:t>
            </w:r>
          </w:p>
        </w:tc>
        <w:tc>
          <w:tcPr>
            <w:tcW w:w="1924" w:type="dxa"/>
            <w:tcBorders>
              <w:top w:val="nil"/>
              <w:left w:val="nil"/>
              <w:bottom w:val="single" w:sz="8" w:space="0" w:color="000000"/>
              <w:right w:val="nil"/>
            </w:tcBorders>
            <w:shd w:val="clear" w:color="auto" w:fill="auto"/>
            <w:tcMar>
              <w:top w:w="15" w:type="dxa"/>
              <w:left w:w="108" w:type="dxa"/>
              <w:bottom w:w="0" w:type="dxa"/>
              <w:right w:w="108" w:type="dxa"/>
            </w:tcMar>
            <w:hideMark/>
          </w:tcPr>
          <w:p w:rsidR="00CE0C6C" w:rsidRPr="00A574BA" w:rsidRDefault="00AB6111" w:rsidP="005E76F8">
            <w:pPr>
              <w:spacing w:line="276" w:lineRule="auto"/>
              <w:jc w:val="right"/>
              <w:rPr>
                <w:rFonts w:asciiTheme="minorHAnsi" w:hAnsiTheme="minorHAnsi"/>
                <w:sz w:val="22"/>
                <w:szCs w:val="22"/>
              </w:rPr>
            </w:pPr>
            <w:r>
              <w:rPr>
                <w:rFonts w:asciiTheme="minorHAnsi" w:hAnsiTheme="minorHAnsi"/>
                <w:color w:val="000000" w:themeColor="text1"/>
                <w:kern w:val="24"/>
                <w:sz w:val="22"/>
                <w:szCs w:val="22"/>
              </w:rPr>
              <w:t>24.4</w:t>
            </w:r>
            <w:r w:rsidR="00CE0C6C" w:rsidRPr="00A574BA">
              <w:rPr>
                <w:rFonts w:asciiTheme="minorHAnsi" w:hAnsiTheme="minorHAnsi"/>
                <w:color w:val="000000" w:themeColor="text1"/>
                <w:kern w:val="24"/>
                <w:sz w:val="22"/>
                <w:szCs w:val="22"/>
              </w:rPr>
              <w:t>%</w:t>
            </w:r>
          </w:p>
        </w:tc>
        <w:tc>
          <w:tcPr>
            <w:tcW w:w="2024" w:type="dxa"/>
            <w:tcBorders>
              <w:top w:val="nil"/>
              <w:left w:val="nil"/>
              <w:bottom w:val="single" w:sz="8" w:space="0" w:color="000000"/>
              <w:right w:val="nil"/>
            </w:tcBorders>
            <w:shd w:val="clear" w:color="auto" w:fill="auto"/>
            <w:tcMar>
              <w:top w:w="15" w:type="dxa"/>
              <w:left w:w="108" w:type="dxa"/>
              <w:bottom w:w="0" w:type="dxa"/>
              <w:right w:w="108" w:type="dxa"/>
            </w:tcMar>
            <w:hideMark/>
          </w:tcPr>
          <w:p w:rsidR="00CE0C6C" w:rsidRPr="00A574BA" w:rsidRDefault="00AB6111" w:rsidP="005E76F8">
            <w:pPr>
              <w:spacing w:line="276" w:lineRule="auto"/>
              <w:jc w:val="right"/>
              <w:rPr>
                <w:rFonts w:asciiTheme="minorHAnsi" w:hAnsiTheme="minorHAnsi"/>
                <w:sz w:val="22"/>
                <w:szCs w:val="22"/>
              </w:rPr>
            </w:pPr>
            <w:r>
              <w:rPr>
                <w:rFonts w:asciiTheme="minorHAnsi" w:hAnsiTheme="minorHAnsi"/>
                <w:color w:val="000000" w:themeColor="text1"/>
                <w:kern w:val="24"/>
                <w:sz w:val="22"/>
                <w:szCs w:val="22"/>
              </w:rPr>
              <w:t>5.0</w:t>
            </w:r>
            <w:r w:rsidR="00CE0C6C" w:rsidRPr="00A574BA">
              <w:rPr>
                <w:rFonts w:asciiTheme="minorHAnsi" w:hAnsiTheme="minorHAnsi"/>
                <w:color w:val="000000" w:themeColor="text1"/>
                <w:kern w:val="24"/>
                <w:sz w:val="22"/>
                <w:szCs w:val="22"/>
              </w:rPr>
              <w:t>%</w:t>
            </w:r>
          </w:p>
        </w:tc>
      </w:tr>
    </w:tbl>
    <w:p w:rsidR="00CE0C6C" w:rsidRPr="00A574BA" w:rsidRDefault="00CE0C6C" w:rsidP="00CE0C6C">
      <w:pPr>
        <w:rPr>
          <w:rFonts w:asciiTheme="minorHAnsi" w:hAnsiTheme="minorHAnsi"/>
          <w:sz w:val="22"/>
          <w:szCs w:val="22"/>
        </w:rPr>
      </w:pPr>
      <w:r w:rsidRPr="00A574BA">
        <w:rPr>
          <w:rFonts w:asciiTheme="minorHAnsi" w:eastAsiaTheme="minorEastAsia" w:hAnsiTheme="minorHAnsi"/>
          <w:color w:val="000000" w:themeColor="text1"/>
          <w:kern w:val="24"/>
          <w:position w:val="7"/>
          <w:sz w:val="22"/>
          <w:szCs w:val="22"/>
          <w:vertAlign w:val="superscript"/>
        </w:rPr>
        <w:t xml:space="preserve">1 </w:t>
      </w:r>
      <w:r w:rsidRPr="00E80608">
        <w:rPr>
          <w:rFonts w:asciiTheme="minorHAnsi" w:eastAsiaTheme="minorEastAsia" w:hAnsiTheme="minorHAnsi"/>
          <w:color w:val="000000" w:themeColor="text1"/>
          <w:kern w:val="24"/>
        </w:rPr>
        <w:t>Multiple specific drug categories could be recorded; if no specific drugs were mentioned, variable was categorized as general/unspecified</w:t>
      </w:r>
    </w:p>
    <w:p w:rsidR="00CE0C6C" w:rsidRDefault="00CE0C6C" w:rsidP="00CE0C6C">
      <w:pPr>
        <w:rPr>
          <w:rFonts w:asciiTheme="minorHAnsi" w:hAnsiTheme="minorHAnsi"/>
          <w:b/>
          <w:sz w:val="22"/>
          <w:szCs w:val="22"/>
        </w:rPr>
      </w:pPr>
    </w:p>
    <w:p w:rsidR="00CE0C6C" w:rsidRDefault="00CE0C6C" w:rsidP="00CE0C6C">
      <w:pPr>
        <w:spacing w:line="276" w:lineRule="auto"/>
        <w:rPr>
          <w:rFonts w:asciiTheme="minorHAnsi" w:hAnsiTheme="minorHAnsi"/>
          <w:b/>
          <w:bCs/>
          <w:color w:val="000000" w:themeColor="text1"/>
          <w:kern w:val="24"/>
          <w:sz w:val="22"/>
          <w:szCs w:val="22"/>
        </w:rPr>
      </w:pPr>
    </w:p>
    <w:p w:rsidR="00CE0C6C" w:rsidRPr="00A574BA" w:rsidRDefault="00CE0C6C" w:rsidP="00CE0C6C">
      <w:pPr>
        <w:rPr>
          <w:rFonts w:asciiTheme="minorHAnsi" w:hAnsiTheme="minorHAnsi"/>
          <w:b/>
          <w:bCs/>
          <w:sz w:val="22"/>
          <w:szCs w:val="22"/>
        </w:rPr>
        <w:sectPr w:rsidR="00CE0C6C" w:rsidRPr="00A574BA" w:rsidSect="005847B7">
          <w:type w:val="continuous"/>
          <w:pgSz w:w="12240" w:h="15840"/>
          <w:pgMar w:top="547" w:right="720" w:bottom="446" w:left="720" w:header="720" w:footer="720" w:gutter="0"/>
          <w:cols w:space="720"/>
          <w:docGrid w:linePitch="360"/>
        </w:sectPr>
      </w:pPr>
      <w:proofErr w:type="gramStart"/>
      <w:r w:rsidRPr="00A574BA">
        <w:rPr>
          <w:rFonts w:asciiTheme="minorHAnsi" w:hAnsiTheme="minorHAnsi"/>
          <w:b/>
          <w:bCs/>
          <w:sz w:val="22"/>
          <w:szCs w:val="22"/>
        </w:rPr>
        <w:t>Table 3.</w:t>
      </w:r>
      <w:proofErr w:type="gramEnd"/>
      <w:r w:rsidRPr="00A574BA">
        <w:rPr>
          <w:rFonts w:asciiTheme="minorHAnsi" w:hAnsiTheme="minorHAnsi"/>
          <w:b/>
          <w:bCs/>
          <w:sz w:val="22"/>
          <w:szCs w:val="22"/>
        </w:rPr>
        <w:t xml:space="preserve"> Frequency of specific opioid categories among substance use-related deaths — Massachusetts, 2005–2014</w:t>
      </w:r>
    </w:p>
    <w:tbl>
      <w:tblPr>
        <w:tblW w:w="9580" w:type="dxa"/>
        <w:tblCellMar>
          <w:left w:w="0" w:type="dxa"/>
          <w:right w:w="0" w:type="dxa"/>
        </w:tblCellMar>
        <w:tblLook w:val="04A0" w:firstRow="1" w:lastRow="0" w:firstColumn="1" w:lastColumn="0" w:noHBand="0" w:noVBand="1"/>
      </w:tblPr>
      <w:tblGrid>
        <w:gridCol w:w="4188"/>
        <w:gridCol w:w="2225"/>
        <w:gridCol w:w="3167"/>
      </w:tblGrid>
      <w:tr w:rsidR="00CE0C6C" w:rsidRPr="00A574BA" w:rsidTr="005E76F8">
        <w:trPr>
          <w:trHeight w:val="1061"/>
        </w:trPr>
        <w:tc>
          <w:tcPr>
            <w:tcW w:w="418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rsidR="00CE0C6C" w:rsidRPr="00A574BA" w:rsidRDefault="00CE0C6C" w:rsidP="005E76F8">
            <w:pPr>
              <w:rPr>
                <w:rFonts w:asciiTheme="minorHAnsi" w:hAnsiTheme="minorHAnsi"/>
                <w:sz w:val="22"/>
                <w:szCs w:val="22"/>
              </w:rPr>
            </w:pPr>
            <w:r w:rsidRPr="00A574BA">
              <w:rPr>
                <w:rFonts w:asciiTheme="minorHAnsi" w:hAnsiTheme="minorHAnsi"/>
                <w:b/>
                <w:bCs/>
                <w:sz w:val="22"/>
                <w:szCs w:val="22"/>
              </w:rPr>
              <w:lastRenderedPageBreak/>
              <w:t>Drug Category</w:t>
            </w:r>
          </w:p>
        </w:tc>
        <w:tc>
          <w:tcPr>
            <w:tcW w:w="222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rsidR="00CE0C6C" w:rsidRPr="00A574BA" w:rsidRDefault="00CE0C6C" w:rsidP="005E76F8">
            <w:pPr>
              <w:rPr>
                <w:rFonts w:asciiTheme="minorHAnsi" w:hAnsiTheme="minorHAnsi"/>
                <w:sz w:val="22"/>
                <w:szCs w:val="22"/>
              </w:rPr>
            </w:pPr>
            <w:r w:rsidRPr="00A574BA">
              <w:rPr>
                <w:rFonts w:asciiTheme="minorHAnsi" w:hAnsiTheme="minorHAnsi"/>
                <w:b/>
                <w:bCs/>
                <w:sz w:val="22"/>
                <w:szCs w:val="22"/>
              </w:rPr>
              <w:t>Frequency</w:t>
            </w:r>
            <w:r w:rsidRPr="00A574BA">
              <w:rPr>
                <w:rFonts w:asciiTheme="minorHAnsi" w:hAnsiTheme="minorHAnsi"/>
                <w:b/>
                <w:bCs/>
                <w:sz w:val="22"/>
                <w:szCs w:val="22"/>
                <w:vertAlign w:val="superscript"/>
              </w:rPr>
              <w:t>1</w:t>
            </w:r>
          </w:p>
        </w:tc>
        <w:tc>
          <w:tcPr>
            <w:tcW w:w="316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rsidR="00CE0C6C" w:rsidRPr="00A574BA" w:rsidRDefault="00CE0C6C" w:rsidP="005E76F8">
            <w:pPr>
              <w:rPr>
                <w:rFonts w:asciiTheme="minorHAnsi" w:hAnsiTheme="minorHAnsi"/>
                <w:sz w:val="22"/>
                <w:szCs w:val="22"/>
              </w:rPr>
            </w:pPr>
            <w:r w:rsidRPr="00A574BA">
              <w:rPr>
                <w:rFonts w:asciiTheme="minorHAnsi" w:hAnsiTheme="minorHAnsi"/>
                <w:b/>
                <w:bCs/>
                <w:sz w:val="22"/>
                <w:szCs w:val="22"/>
              </w:rPr>
              <w:t>% of Substance use-Related Deaths</w:t>
            </w:r>
            <w:r w:rsidRPr="00A574BA">
              <w:rPr>
                <w:rFonts w:asciiTheme="minorHAnsi" w:hAnsiTheme="minorHAnsi"/>
                <w:b/>
                <w:bCs/>
                <w:sz w:val="22"/>
                <w:szCs w:val="22"/>
                <w:vertAlign w:val="superscript"/>
              </w:rPr>
              <w:t>1</w:t>
            </w:r>
          </w:p>
          <w:p w:rsidR="00CE0C6C" w:rsidRPr="00A574BA" w:rsidRDefault="00CE0C6C" w:rsidP="005E76F8">
            <w:pPr>
              <w:rPr>
                <w:rFonts w:asciiTheme="minorHAnsi" w:hAnsiTheme="minorHAnsi"/>
                <w:sz w:val="22"/>
                <w:szCs w:val="22"/>
              </w:rPr>
            </w:pPr>
            <w:r w:rsidRPr="00A574BA">
              <w:rPr>
                <w:rFonts w:asciiTheme="minorHAnsi" w:hAnsiTheme="minorHAnsi"/>
                <w:b/>
                <w:bCs/>
                <w:sz w:val="22"/>
                <w:szCs w:val="22"/>
              </w:rPr>
              <w:t>(N=4</w:t>
            </w:r>
            <w:r w:rsidR="00AB6111">
              <w:rPr>
                <w:rFonts w:asciiTheme="minorHAnsi" w:hAnsiTheme="minorHAnsi"/>
                <w:b/>
                <w:bCs/>
                <w:sz w:val="22"/>
                <w:szCs w:val="22"/>
              </w:rPr>
              <w:t>1</w:t>
            </w:r>
            <w:r w:rsidRPr="00A574BA">
              <w:rPr>
                <w:rFonts w:asciiTheme="minorHAnsi" w:hAnsiTheme="minorHAnsi"/>
                <w:b/>
                <w:bCs/>
                <w:sz w:val="22"/>
                <w:szCs w:val="22"/>
              </w:rPr>
              <w:t>)</w:t>
            </w:r>
          </w:p>
        </w:tc>
      </w:tr>
      <w:tr w:rsidR="00CE0C6C" w:rsidRPr="00A574BA" w:rsidTr="005E76F8">
        <w:trPr>
          <w:trHeight w:val="340"/>
        </w:trPr>
        <w:tc>
          <w:tcPr>
            <w:tcW w:w="4180" w:type="dxa"/>
            <w:tcBorders>
              <w:top w:val="single" w:sz="8" w:space="0" w:color="000000"/>
              <w:left w:val="nil"/>
              <w:bottom w:val="nil"/>
              <w:right w:val="nil"/>
            </w:tcBorders>
            <w:shd w:val="clear" w:color="auto" w:fill="E7E7E7"/>
            <w:tcMar>
              <w:top w:w="15" w:type="dxa"/>
              <w:left w:w="108" w:type="dxa"/>
              <w:bottom w:w="0" w:type="dxa"/>
              <w:right w:w="108" w:type="dxa"/>
            </w:tcMar>
            <w:hideMark/>
          </w:tcPr>
          <w:p w:rsidR="00CE0C6C" w:rsidRPr="00A574BA" w:rsidRDefault="00CE0C6C" w:rsidP="005E76F8">
            <w:pPr>
              <w:rPr>
                <w:rFonts w:asciiTheme="minorHAnsi" w:hAnsiTheme="minorHAnsi"/>
                <w:sz w:val="22"/>
                <w:szCs w:val="22"/>
              </w:rPr>
            </w:pPr>
            <w:r w:rsidRPr="00A574BA">
              <w:rPr>
                <w:rFonts w:asciiTheme="minorHAnsi" w:hAnsiTheme="minorHAnsi"/>
                <w:sz w:val="22"/>
                <w:szCs w:val="22"/>
              </w:rPr>
              <w:t>Heroin and morphine</w:t>
            </w:r>
            <w:r w:rsidRPr="00A574BA">
              <w:rPr>
                <w:rFonts w:asciiTheme="minorHAnsi" w:hAnsiTheme="minorHAnsi"/>
                <w:sz w:val="22"/>
                <w:szCs w:val="22"/>
                <w:vertAlign w:val="superscript"/>
              </w:rPr>
              <w:t>2</w:t>
            </w:r>
          </w:p>
        </w:tc>
        <w:tc>
          <w:tcPr>
            <w:tcW w:w="2220" w:type="dxa"/>
            <w:tcBorders>
              <w:top w:val="single" w:sz="8" w:space="0" w:color="000000"/>
              <w:left w:val="nil"/>
              <w:bottom w:val="nil"/>
              <w:right w:val="nil"/>
            </w:tcBorders>
            <w:shd w:val="clear" w:color="auto" w:fill="E7E7E7"/>
            <w:tcMar>
              <w:top w:w="15" w:type="dxa"/>
              <w:left w:w="108" w:type="dxa"/>
              <w:bottom w:w="0" w:type="dxa"/>
              <w:right w:w="108" w:type="dxa"/>
            </w:tcMar>
            <w:hideMark/>
          </w:tcPr>
          <w:p w:rsidR="00CE0C6C" w:rsidRPr="00A574BA" w:rsidRDefault="00AB6111" w:rsidP="005E76F8">
            <w:pPr>
              <w:rPr>
                <w:rFonts w:asciiTheme="minorHAnsi" w:hAnsiTheme="minorHAnsi"/>
                <w:sz w:val="22"/>
                <w:szCs w:val="22"/>
              </w:rPr>
            </w:pPr>
            <w:r>
              <w:rPr>
                <w:rFonts w:asciiTheme="minorHAnsi" w:hAnsiTheme="minorHAnsi"/>
                <w:sz w:val="22"/>
                <w:szCs w:val="22"/>
              </w:rPr>
              <w:t>8</w:t>
            </w:r>
          </w:p>
        </w:tc>
        <w:tc>
          <w:tcPr>
            <w:tcW w:w="3160" w:type="dxa"/>
            <w:tcBorders>
              <w:top w:val="single" w:sz="8" w:space="0" w:color="000000"/>
              <w:left w:val="nil"/>
              <w:bottom w:val="nil"/>
              <w:right w:val="nil"/>
            </w:tcBorders>
            <w:shd w:val="clear" w:color="auto" w:fill="E7E7E7"/>
            <w:tcMar>
              <w:top w:w="15" w:type="dxa"/>
              <w:left w:w="108" w:type="dxa"/>
              <w:bottom w:w="0" w:type="dxa"/>
              <w:right w:w="108" w:type="dxa"/>
            </w:tcMar>
            <w:hideMark/>
          </w:tcPr>
          <w:p w:rsidR="00CE0C6C" w:rsidRPr="00A574BA" w:rsidRDefault="006E537D" w:rsidP="005E76F8">
            <w:pPr>
              <w:rPr>
                <w:rFonts w:asciiTheme="minorHAnsi" w:hAnsiTheme="minorHAnsi"/>
                <w:sz w:val="22"/>
                <w:szCs w:val="22"/>
              </w:rPr>
            </w:pPr>
            <w:r>
              <w:rPr>
                <w:rFonts w:asciiTheme="minorHAnsi" w:hAnsiTheme="minorHAnsi"/>
                <w:sz w:val="22"/>
                <w:szCs w:val="22"/>
              </w:rPr>
              <w:t>19.5</w:t>
            </w:r>
            <w:r w:rsidR="00CE0C6C" w:rsidRPr="00A574BA">
              <w:rPr>
                <w:rFonts w:asciiTheme="minorHAnsi" w:hAnsiTheme="minorHAnsi"/>
                <w:sz w:val="22"/>
                <w:szCs w:val="22"/>
              </w:rPr>
              <w:t>%</w:t>
            </w:r>
          </w:p>
        </w:tc>
      </w:tr>
      <w:tr w:rsidR="00CE0C6C" w:rsidRPr="00A574BA" w:rsidTr="005E76F8">
        <w:trPr>
          <w:trHeight w:val="340"/>
        </w:trPr>
        <w:tc>
          <w:tcPr>
            <w:tcW w:w="4180" w:type="dxa"/>
            <w:tcBorders>
              <w:top w:val="nil"/>
              <w:left w:val="nil"/>
              <w:bottom w:val="nil"/>
              <w:right w:val="nil"/>
            </w:tcBorders>
            <w:shd w:val="clear" w:color="auto" w:fill="auto"/>
            <w:tcMar>
              <w:top w:w="15" w:type="dxa"/>
              <w:left w:w="108" w:type="dxa"/>
              <w:bottom w:w="0" w:type="dxa"/>
              <w:right w:w="108" w:type="dxa"/>
            </w:tcMar>
            <w:hideMark/>
          </w:tcPr>
          <w:p w:rsidR="00CE0C6C" w:rsidRPr="00A574BA" w:rsidRDefault="00CE0C6C" w:rsidP="005E76F8">
            <w:pPr>
              <w:rPr>
                <w:rFonts w:asciiTheme="minorHAnsi" w:hAnsiTheme="minorHAnsi"/>
                <w:sz w:val="22"/>
                <w:szCs w:val="22"/>
              </w:rPr>
            </w:pPr>
            <w:r w:rsidRPr="00A574BA">
              <w:rPr>
                <w:rFonts w:asciiTheme="minorHAnsi" w:hAnsiTheme="minorHAnsi"/>
                <w:sz w:val="22"/>
                <w:szCs w:val="22"/>
              </w:rPr>
              <w:t>Fentanyl</w:t>
            </w:r>
          </w:p>
        </w:tc>
        <w:tc>
          <w:tcPr>
            <w:tcW w:w="2220" w:type="dxa"/>
            <w:tcBorders>
              <w:top w:val="nil"/>
              <w:left w:val="nil"/>
              <w:bottom w:val="nil"/>
              <w:right w:val="nil"/>
            </w:tcBorders>
            <w:shd w:val="clear" w:color="auto" w:fill="auto"/>
            <w:tcMar>
              <w:top w:w="15" w:type="dxa"/>
              <w:left w:w="108" w:type="dxa"/>
              <w:bottom w:w="0" w:type="dxa"/>
              <w:right w:w="108" w:type="dxa"/>
            </w:tcMar>
            <w:hideMark/>
          </w:tcPr>
          <w:p w:rsidR="00CE0C6C" w:rsidRPr="00A574BA" w:rsidRDefault="00AB6111" w:rsidP="005E76F8">
            <w:pPr>
              <w:rPr>
                <w:rFonts w:asciiTheme="minorHAnsi" w:hAnsiTheme="minorHAnsi"/>
                <w:sz w:val="22"/>
                <w:szCs w:val="22"/>
              </w:rPr>
            </w:pPr>
            <w:r>
              <w:rPr>
                <w:rFonts w:asciiTheme="minorHAnsi" w:hAnsiTheme="minorHAnsi"/>
                <w:sz w:val="22"/>
                <w:szCs w:val="22"/>
              </w:rPr>
              <w:t>7</w:t>
            </w:r>
          </w:p>
        </w:tc>
        <w:tc>
          <w:tcPr>
            <w:tcW w:w="3160" w:type="dxa"/>
            <w:tcBorders>
              <w:top w:val="nil"/>
              <w:left w:val="nil"/>
              <w:bottom w:val="nil"/>
              <w:right w:val="nil"/>
            </w:tcBorders>
            <w:shd w:val="clear" w:color="auto" w:fill="auto"/>
            <w:tcMar>
              <w:top w:w="15" w:type="dxa"/>
              <w:left w:w="108" w:type="dxa"/>
              <w:bottom w:w="0" w:type="dxa"/>
              <w:right w:w="108" w:type="dxa"/>
            </w:tcMar>
            <w:hideMark/>
          </w:tcPr>
          <w:p w:rsidR="00CE0C6C" w:rsidRPr="00A574BA" w:rsidRDefault="006E537D" w:rsidP="005E76F8">
            <w:pPr>
              <w:rPr>
                <w:rFonts w:asciiTheme="minorHAnsi" w:hAnsiTheme="minorHAnsi"/>
                <w:sz w:val="22"/>
                <w:szCs w:val="22"/>
              </w:rPr>
            </w:pPr>
            <w:r>
              <w:rPr>
                <w:rFonts w:asciiTheme="minorHAnsi" w:hAnsiTheme="minorHAnsi"/>
                <w:sz w:val="22"/>
                <w:szCs w:val="22"/>
              </w:rPr>
              <w:t>17.1</w:t>
            </w:r>
            <w:r w:rsidR="00CE0C6C" w:rsidRPr="00A574BA">
              <w:rPr>
                <w:rFonts w:asciiTheme="minorHAnsi" w:hAnsiTheme="minorHAnsi"/>
                <w:sz w:val="22"/>
                <w:szCs w:val="22"/>
              </w:rPr>
              <w:t>%</w:t>
            </w:r>
          </w:p>
        </w:tc>
      </w:tr>
      <w:tr w:rsidR="00CE0C6C" w:rsidRPr="00A574BA" w:rsidTr="005E76F8">
        <w:trPr>
          <w:trHeight w:val="700"/>
        </w:trPr>
        <w:tc>
          <w:tcPr>
            <w:tcW w:w="4180" w:type="dxa"/>
            <w:tcBorders>
              <w:top w:val="nil"/>
              <w:left w:val="nil"/>
              <w:bottom w:val="nil"/>
              <w:right w:val="nil"/>
            </w:tcBorders>
            <w:shd w:val="clear" w:color="auto" w:fill="E7E7E7"/>
            <w:tcMar>
              <w:top w:w="15" w:type="dxa"/>
              <w:left w:w="108" w:type="dxa"/>
              <w:bottom w:w="0" w:type="dxa"/>
              <w:right w:w="108" w:type="dxa"/>
            </w:tcMar>
            <w:hideMark/>
          </w:tcPr>
          <w:p w:rsidR="00CE0C6C" w:rsidRPr="0017108B" w:rsidRDefault="00CE0C6C" w:rsidP="005E76F8">
            <w:pPr>
              <w:rPr>
                <w:rFonts w:asciiTheme="minorHAnsi" w:hAnsiTheme="minorHAnsi"/>
                <w:sz w:val="22"/>
                <w:szCs w:val="22"/>
                <w:lang w:val="fr-FR"/>
              </w:rPr>
            </w:pPr>
            <w:r w:rsidRPr="0017108B">
              <w:rPr>
                <w:rFonts w:asciiTheme="minorHAnsi" w:hAnsiTheme="minorHAnsi"/>
                <w:sz w:val="22"/>
                <w:szCs w:val="22"/>
                <w:lang w:val="fr-FR"/>
              </w:rPr>
              <w:t>Prescription (</w:t>
            </w:r>
            <w:proofErr w:type="spellStart"/>
            <w:r w:rsidR="00821B5C" w:rsidRPr="0017108B">
              <w:rPr>
                <w:rFonts w:asciiTheme="minorHAnsi" w:hAnsiTheme="minorHAnsi"/>
                <w:sz w:val="22"/>
                <w:szCs w:val="22"/>
                <w:lang w:val="fr-FR"/>
              </w:rPr>
              <w:t>codeine</w:t>
            </w:r>
            <w:proofErr w:type="spellEnd"/>
            <w:r w:rsidR="00821B5C" w:rsidRPr="0017108B">
              <w:rPr>
                <w:rFonts w:asciiTheme="minorHAnsi" w:hAnsiTheme="minorHAnsi"/>
                <w:sz w:val="22"/>
                <w:szCs w:val="22"/>
                <w:lang w:val="fr-FR"/>
              </w:rPr>
              <w:t xml:space="preserve">, </w:t>
            </w:r>
            <w:proofErr w:type="spellStart"/>
            <w:r w:rsidR="00821B5C" w:rsidRPr="0017108B">
              <w:rPr>
                <w:rFonts w:asciiTheme="minorHAnsi" w:hAnsiTheme="minorHAnsi"/>
                <w:sz w:val="22"/>
                <w:szCs w:val="22"/>
                <w:lang w:val="fr-FR"/>
              </w:rPr>
              <w:t>hydrocodone</w:t>
            </w:r>
            <w:proofErr w:type="spellEnd"/>
            <w:r w:rsidR="00821B5C" w:rsidRPr="0017108B">
              <w:rPr>
                <w:rFonts w:asciiTheme="minorHAnsi" w:hAnsiTheme="minorHAnsi"/>
                <w:sz w:val="22"/>
                <w:szCs w:val="22"/>
                <w:lang w:val="fr-FR"/>
              </w:rPr>
              <w:t xml:space="preserve">, </w:t>
            </w:r>
            <w:proofErr w:type="spellStart"/>
            <w:r w:rsidR="00821B5C" w:rsidRPr="0017108B">
              <w:rPr>
                <w:rFonts w:asciiTheme="minorHAnsi" w:hAnsiTheme="minorHAnsi"/>
                <w:sz w:val="22"/>
                <w:szCs w:val="22"/>
                <w:lang w:val="fr-FR"/>
              </w:rPr>
              <w:t>propoxyphe</w:t>
            </w:r>
            <w:r w:rsidRPr="0017108B">
              <w:rPr>
                <w:rFonts w:asciiTheme="minorHAnsi" w:hAnsiTheme="minorHAnsi"/>
                <w:sz w:val="22"/>
                <w:szCs w:val="22"/>
                <w:lang w:val="fr-FR"/>
              </w:rPr>
              <w:t>ne</w:t>
            </w:r>
            <w:proofErr w:type="spellEnd"/>
            <w:r w:rsidRPr="0017108B">
              <w:rPr>
                <w:rFonts w:asciiTheme="minorHAnsi" w:hAnsiTheme="minorHAnsi"/>
                <w:sz w:val="22"/>
                <w:szCs w:val="22"/>
                <w:lang w:val="fr-FR"/>
              </w:rPr>
              <w:t xml:space="preserve">, </w:t>
            </w:r>
            <w:proofErr w:type="spellStart"/>
            <w:r w:rsidRPr="0017108B">
              <w:rPr>
                <w:rFonts w:asciiTheme="minorHAnsi" w:hAnsiTheme="minorHAnsi"/>
                <w:sz w:val="22"/>
                <w:szCs w:val="22"/>
                <w:lang w:val="fr-FR"/>
              </w:rPr>
              <w:t>oxycodone</w:t>
            </w:r>
            <w:proofErr w:type="spellEnd"/>
            <w:r w:rsidRPr="0017108B">
              <w:rPr>
                <w:rFonts w:asciiTheme="minorHAnsi" w:hAnsiTheme="minorHAnsi"/>
                <w:sz w:val="22"/>
                <w:szCs w:val="22"/>
                <w:lang w:val="fr-FR"/>
              </w:rPr>
              <w:t>)</w:t>
            </w:r>
          </w:p>
        </w:tc>
        <w:tc>
          <w:tcPr>
            <w:tcW w:w="2220" w:type="dxa"/>
            <w:tcBorders>
              <w:top w:val="nil"/>
              <w:left w:val="nil"/>
              <w:bottom w:val="nil"/>
              <w:right w:val="nil"/>
            </w:tcBorders>
            <w:shd w:val="clear" w:color="auto" w:fill="E7E7E7"/>
            <w:tcMar>
              <w:top w:w="15" w:type="dxa"/>
              <w:left w:w="108" w:type="dxa"/>
              <w:bottom w:w="0" w:type="dxa"/>
              <w:right w:w="108" w:type="dxa"/>
            </w:tcMar>
            <w:hideMark/>
          </w:tcPr>
          <w:p w:rsidR="00CE0C6C" w:rsidRPr="00A574BA" w:rsidRDefault="00AB6111" w:rsidP="005E76F8">
            <w:pPr>
              <w:rPr>
                <w:rFonts w:asciiTheme="minorHAnsi" w:hAnsiTheme="minorHAnsi"/>
                <w:sz w:val="22"/>
                <w:szCs w:val="22"/>
              </w:rPr>
            </w:pPr>
            <w:r>
              <w:rPr>
                <w:rFonts w:asciiTheme="minorHAnsi" w:hAnsiTheme="minorHAnsi"/>
                <w:sz w:val="22"/>
                <w:szCs w:val="22"/>
              </w:rPr>
              <w:t>6</w:t>
            </w:r>
          </w:p>
        </w:tc>
        <w:tc>
          <w:tcPr>
            <w:tcW w:w="3160" w:type="dxa"/>
            <w:tcBorders>
              <w:top w:val="nil"/>
              <w:left w:val="nil"/>
              <w:bottom w:val="nil"/>
              <w:right w:val="nil"/>
            </w:tcBorders>
            <w:shd w:val="clear" w:color="auto" w:fill="E7E7E7"/>
            <w:tcMar>
              <w:top w:w="15" w:type="dxa"/>
              <w:left w:w="108" w:type="dxa"/>
              <w:bottom w:w="0" w:type="dxa"/>
              <w:right w:w="108" w:type="dxa"/>
            </w:tcMar>
            <w:hideMark/>
          </w:tcPr>
          <w:p w:rsidR="00CE0C6C" w:rsidRPr="00A574BA" w:rsidRDefault="006E537D" w:rsidP="005E76F8">
            <w:pPr>
              <w:rPr>
                <w:rFonts w:asciiTheme="minorHAnsi" w:hAnsiTheme="minorHAnsi"/>
                <w:sz w:val="22"/>
                <w:szCs w:val="22"/>
              </w:rPr>
            </w:pPr>
            <w:r>
              <w:rPr>
                <w:rFonts w:asciiTheme="minorHAnsi" w:hAnsiTheme="minorHAnsi"/>
                <w:sz w:val="22"/>
                <w:szCs w:val="22"/>
              </w:rPr>
              <w:t>14.6</w:t>
            </w:r>
            <w:r w:rsidR="00CE0C6C" w:rsidRPr="00A574BA">
              <w:rPr>
                <w:rFonts w:asciiTheme="minorHAnsi" w:hAnsiTheme="minorHAnsi"/>
                <w:sz w:val="22"/>
                <w:szCs w:val="22"/>
              </w:rPr>
              <w:t>%</w:t>
            </w:r>
          </w:p>
        </w:tc>
      </w:tr>
      <w:tr w:rsidR="00CE0C6C" w:rsidRPr="00A574BA" w:rsidTr="005E76F8">
        <w:trPr>
          <w:trHeight w:val="340"/>
        </w:trPr>
        <w:tc>
          <w:tcPr>
            <w:tcW w:w="4180" w:type="dxa"/>
            <w:tcBorders>
              <w:top w:val="nil"/>
              <w:left w:val="nil"/>
              <w:bottom w:val="nil"/>
              <w:right w:val="nil"/>
            </w:tcBorders>
            <w:shd w:val="clear" w:color="auto" w:fill="auto"/>
            <w:tcMar>
              <w:top w:w="15" w:type="dxa"/>
              <w:left w:w="108" w:type="dxa"/>
              <w:bottom w:w="0" w:type="dxa"/>
              <w:right w:w="108" w:type="dxa"/>
            </w:tcMar>
            <w:hideMark/>
          </w:tcPr>
          <w:p w:rsidR="00CE0C6C" w:rsidRPr="00A574BA" w:rsidRDefault="00CE0C6C" w:rsidP="005E76F8">
            <w:pPr>
              <w:rPr>
                <w:rFonts w:asciiTheme="minorHAnsi" w:hAnsiTheme="minorHAnsi"/>
                <w:sz w:val="22"/>
                <w:szCs w:val="22"/>
              </w:rPr>
            </w:pPr>
            <w:r w:rsidRPr="00A574BA">
              <w:rPr>
                <w:rFonts w:asciiTheme="minorHAnsi" w:hAnsiTheme="minorHAnsi"/>
                <w:sz w:val="22"/>
                <w:szCs w:val="22"/>
              </w:rPr>
              <w:t>Methadone</w:t>
            </w:r>
          </w:p>
        </w:tc>
        <w:tc>
          <w:tcPr>
            <w:tcW w:w="2220" w:type="dxa"/>
            <w:tcBorders>
              <w:top w:val="nil"/>
              <w:left w:val="nil"/>
              <w:bottom w:val="nil"/>
              <w:right w:val="nil"/>
            </w:tcBorders>
            <w:shd w:val="clear" w:color="auto" w:fill="auto"/>
            <w:tcMar>
              <w:top w:w="15" w:type="dxa"/>
              <w:left w:w="108" w:type="dxa"/>
              <w:bottom w:w="0" w:type="dxa"/>
              <w:right w:w="108" w:type="dxa"/>
            </w:tcMar>
            <w:hideMark/>
          </w:tcPr>
          <w:p w:rsidR="00CE0C6C" w:rsidRPr="00A574BA" w:rsidRDefault="00CE0C6C" w:rsidP="005E76F8">
            <w:pPr>
              <w:rPr>
                <w:rFonts w:asciiTheme="minorHAnsi" w:hAnsiTheme="minorHAnsi"/>
                <w:sz w:val="22"/>
                <w:szCs w:val="22"/>
              </w:rPr>
            </w:pPr>
            <w:r w:rsidRPr="00A574BA">
              <w:rPr>
                <w:rFonts w:asciiTheme="minorHAnsi" w:hAnsiTheme="minorHAnsi"/>
                <w:sz w:val="22"/>
                <w:szCs w:val="22"/>
              </w:rPr>
              <w:t>6</w:t>
            </w:r>
          </w:p>
        </w:tc>
        <w:tc>
          <w:tcPr>
            <w:tcW w:w="3160" w:type="dxa"/>
            <w:tcBorders>
              <w:top w:val="nil"/>
              <w:left w:val="nil"/>
              <w:bottom w:val="nil"/>
              <w:right w:val="nil"/>
            </w:tcBorders>
            <w:shd w:val="clear" w:color="auto" w:fill="auto"/>
            <w:tcMar>
              <w:top w:w="15" w:type="dxa"/>
              <w:left w:w="108" w:type="dxa"/>
              <w:bottom w:w="0" w:type="dxa"/>
              <w:right w:w="108" w:type="dxa"/>
            </w:tcMar>
            <w:hideMark/>
          </w:tcPr>
          <w:p w:rsidR="00CE0C6C" w:rsidRPr="00A574BA" w:rsidRDefault="006E537D" w:rsidP="005E76F8">
            <w:pPr>
              <w:rPr>
                <w:rFonts w:asciiTheme="minorHAnsi" w:hAnsiTheme="minorHAnsi"/>
                <w:sz w:val="22"/>
                <w:szCs w:val="22"/>
              </w:rPr>
            </w:pPr>
            <w:r>
              <w:rPr>
                <w:rFonts w:asciiTheme="minorHAnsi" w:hAnsiTheme="minorHAnsi"/>
                <w:sz w:val="22"/>
                <w:szCs w:val="22"/>
              </w:rPr>
              <w:t>14.6</w:t>
            </w:r>
            <w:r w:rsidR="00CE0C6C" w:rsidRPr="00A574BA">
              <w:rPr>
                <w:rFonts w:asciiTheme="minorHAnsi" w:hAnsiTheme="minorHAnsi"/>
                <w:sz w:val="22"/>
                <w:szCs w:val="22"/>
              </w:rPr>
              <w:t>%</w:t>
            </w:r>
          </w:p>
        </w:tc>
      </w:tr>
      <w:tr w:rsidR="00CE0C6C" w:rsidRPr="00A574BA" w:rsidTr="005E76F8">
        <w:trPr>
          <w:trHeight w:val="340"/>
        </w:trPr>
        <w:tc>
          <w:tcPr>
            <w:tcW w:w="4180" w:type="dxa"/>
            <w:tcBorders>
              <w:top w:val="nil"/>
              <w:left w:val="nil"/>
              <w:bottom w:val="single" w:sz="8" w:space="0" w:color="000000"/>
              <w:right w:val="nil"/>
            </w:tcBorders>
            <w:shd w:val="clear" w:color="auto" w:fill="E7E7E7"/>
            <w:tcMar>
              <w:top w:w="15" w:type="dxa"/>
              <w:left w:w="108" w:type="dxa"/>
              <w:bottom w:w="0" w:type="dxa"/>
              <w:right w:w="108" w:type="dxa"/>
            </w:tcMar>
            <w:hideMark/>
          </w:tcPr>
          <w:p w:rsidR="00CE0C6C" w:rsidRPr="00A574BA" w:rsidRDefault="00CE0C6C" w:rsidP="005E76F8">
            <w:pPr>
              <w:rPr>
                <w:rFonts w:asciiTheme="minorHAnsi" w:hAnsiTheme="minorHAnsi"/>
                <w:sz w:val="22"/>
                <w:szCs w:val="22"/>
              </w:rPr>
            </w:pPr>
            <w:r w:rsidRPr="00A574BA">
              <w:rPr>
                <w:rFonts w:asciiTheme="minorHAnsi" w:hAnsiTheme="minorHAnsi"/>
                <w:sz w:val="22"/>
                <w:szCs w:val="22"/>
              </w:rPr>
              <w:t>General/unspecified (opioids, opiates)</w:t>
            </w:r>
          </w:p>
        </w:tc>
        <w:tc>
          <w:tcPr>
            <w:tcW w:w="2220" w:type="dxa"/>
            <w:tcBorders>
              <w:top w:val="nil"/>
              <w:left w:val="nil"/>
              <w:bottom w:val="single" w:sz="8" w:space="0" w:color="000000"/>
              <w:right w:val="nil"/>
            </w:tcBorders>
            <w:shd w:val="clear" w:color="auto" w:fill="E7E7E7"/>
            <w:tcMar>
              <w:top w:w="15" w:type="dxa"/>
              <w:left w:w="108" w:type="dxa"/>
              <w:bottom w:w="0" w:type="dxa"/>
              <w:right w:w="108" w:type="dxa"/>
            </w:tcMar>
            <w:hideMark/>
          </w:tcPr>
          <w:p w:rsidR="00CE0C6C" w:rsidRPr="00A574BA" w:rsidRDefault="00CE0C6C" w:rsidP="005E76F8">
            <w:pPr>
              <w:rPr>
                <w:rFonts w:asciiTheme="minorHAnsi" w:hAnsiTheme="minorHAnsi"/>
                <w:sz w:val="22"/>
                <w:szCs w:val="22"/>
              </w:rPr>
            </w:pPr>
            <w:r w:rsidRPr="00A574BA">
              <w:rPr>
                <w:rFonts w:asciiTheme="minorHAnsi" w:hAnsiTheme="minorHAnsi"/>
                <w:sz w:val="22"/>
                <w:szCs w:val="22"/>
              </w:rPr>
              <w:t>6</w:t>
            </w:r>
          </w:p>
        </w:tc>
        <w:tc>
          <w:tcPr>
            <w:tcW w:w="3160" w:type="dxa"/>
            <w:tcBorders>
              <w:top w:val="nil"/>
              <w:left w:val="nil"/>
              <w:bottom w:val="single" w:sz="8" w:space="0" w:color="000000"/>
              <w:right w:val="nil"/>
            </w:tcBorders>
            <w:shd w:val="clear" w:color="auto" w:fill="E7E7E7"/>
            <w:tcMar>
              <w:top w:w="15" w:type="dxa"/>
              <w:left w:w="108" w:type="dxa"/>
              <w:bottom w:w="0" w:type="dxa"/>
              <w:right w:w="108" w:type="dxa"/>
            </w:tcMar>
            <w:hideMark/>
          </w:tcPr>
          <w:p w:rsidR="00CE0C6C" w:rsidRPr="00A574BA" w:rsidRDefault="006E537D" w:rsidP="005E76F8">
            <w:pPr>
              <w:rPr>
                <w:rFonts w:asciiTheme="minorHAnsi" w:hAnsiTheme="minorHAnsi"/>
                <w:sz w:val="22"/>
                <w:szCs w:val="22"/>
              </w:rPr>
            </w:pPr>
            <w:r>
              <w:rPr>
                <w:rFonts w:asciiTheme="minorHAnsi" w:hAnsiTheme="minorHAnsi"/>
                <w:sz w:val="22"/>
                <w:szCs w:val="22"/>
              </w:rPr>
              <w:t>14.6</w:t>
            </w:r>
            <w:r w:rsidR="00CE0C6C" w:rsidRPr="00A574BA">
              <w:rPr>
                <w:rFonts w:asciiTheme="minorHAnsi" w:hAnsiTheme="minorHAnsi"/>
                <w:sz w:val="22"/>
                <w:szCs w:val="22"/>
              </w:rPr>
              <w:t>%</w:t>
            </w:r>
          </w:p>
        </w:tc>
      </w:tr>
    </w:tbl>
    <w:p w:rsidR="00CE0C6C" w:rsidRPr="00A574BA" w:rsidRDefault="00CE0C6C" w:rsidP="00CE0C6C">
      <w:pPr>
        <w:rPr>
          <w:rFonts w:asciiTheme="minorHAnsi" w:hAnsiTheme="minorHAnsi"/>
          <w:sz w:val="22"/>
          <w:szCs w:val="22"/>
        </w:rPr>
        <w:sectPr w:rsidR="00CE0C6C" w:rsidRPr="00A574BA" w:rsidSect="005847B7">
          <w:type w:val="continuous"/>
          <w:pgSz w:w="12240" w:h="15840"/>
          <w:pgMar w:top="547" w:right="720" w:bottom="446" w:left="720" w:header="720" w:footer="720" w:gutter="0"/>
          <w:cols w:space="720"/>
          <w:docGrid w:linePitch="360"/>
        </w:sectPr>
      </w:pPr>
    </w:p>
    <w:p w:rsidR="00CE0C6C" w:rsidRPr="00E80608" w:rsidRDefault="00CE0C6C" w:rsidP="00CE0C6C">
      <w:pPr>
        <w:rPr>
          <w:rFonts w:asciiTheme="minorHAnsi" w:hAnsiTheme="minorHAnsi"/>
        </w:rPr>
      </w:pPr>
      <w:r w:rsidRPr="00E80608">
        <w:rPr>
          <w:rFonts w:asciiTheme="minorHAnsi" w:eastAsiaTheme="minorEastAsia" w:hAnsiTheme="minorHAnsi"/>
          <w:color w:val="000000" w:themeColor="text1"/>
          <w:kern w:val="24"/>
          <w:position w:val="7"/>
          <w:vertAlign w:val="superscript"/>
        </w:rPr>
        <w:lastRenderedPageBreak/>
        <w:t>1</w:t>
      </w:r>
      <w:r w:rsidRPr="00E80608">
        <w:rPr>
          <w:rFonts w:asciiTheme="minorHAnsi" w:eastAsiaTheme="minorEastAsia" w:hAnsiTheme="minorHAnsi"/>
          <w:color w:val="000000" w:themeColor="text1"/>
          <w:kern w:val="24"/>
        </w:rPr>
        <w:t xml:space="preserve"> Multiple opioid categories could be recorded; if no specific opiate was mentioned, variable was categorized as general/unspecified. There were 2</w:t>
      </w:r>
      <w:r w:rsidR="00AB6111" w:rsidRPr="00E80608">
        <w:rPr>
          <w:rFonts w:asciiTheme="minorHAnsi" w:eastAsiaTheme="minorEastAsia" w:hAnsiTheme="minorHAnsi"/>
          <w:color w:val="000000" w:themeColor="text1"/>
          <w:kern w:val="24"/>
        </w:rPr>
        <w:t>7</w:t>
      </w:r>
      <w:r w:rsidRPr="00E80608">
        <w:rPr>
          <w:rFonts w:asciiTheme="minorHAnsi" w:eastAsiaTheme="minorEastAsia" w:hAnsiTheme="minorHAnsi"/>
          <w:color w:val="000000" w:themeColor="text1"/>
          <w:kern w:val="24"/>
        </w:rPr>
        <w:t xml:space="preserve"> records with opiate-indicated deaths; 2 deaths indicated 2 opiates; </w:t>
      </w:r>
      <w:r w:rsidR="00AB6111" w:rsidRPr="00E80608">
        <w:rPr>
          <w:rFonts w:asciiTheme="minorHAnsi" w:eastAsiaTheme="minorEastAsia" w:hAnsiTheme="minorHAnsi"/>
          <w:color w:val="000000" w:themeColor="text1"/>
          <w:kern w:val="24"/>
        </w:rPr>
        <w:t>2</w:t>
      </w:r>
      <w:r w:rsidRPr="00E80608">
        <w:rPr>
          <w:rFonts w:asciiTheme="minorHAnsi" w:eastAsiaTheme="minorEastAsia" w:hAnsiTheme="minorHAnsi"/>
          <w:color w:val="000000" w:themeColor="text1"/>
          <w:kern w:val="24"/>
        </w:rPr>
        <w:t xml:space="preserve"> death</w:t>
      </w:r>
      <w:r w:rsidR="00AB6111" w:rsidRPr="00E80608">
        <w:rPr>
          <w:rFonts w:asciiTheme="minorHAnsi" w:eastAsiaTheme="minorEastAsia" w:hAnsiTheme="minorHAnsi"/>
          <w:color w:val="000000" w:themeColor="text1"/>
          <w:kern w:val="24"/>
        </w:rPr>
        <w:t>s</w:t>
      </w:r>
      <w:r w:rsidRPr="00E80608">
        <w:rPr>
          <w:rFonts w:asciiTheme="minorHAnsi" w:eastAsiaTheme="minorEastAsia" w:hAnsiTheme="minorHAnsi"/>
          <w:color w:val="000000" w:themeColor="text1"/>
          <w:kern w:val="24"/>
        </w:rPr>
        <w:t xml:space="preserve"> indicated 3 opiates.</w:t>
      </w:r>
    </w:p>
    <w:p w:rsidR="00CE0C6C" w:rsidRPr="00E80608" w:rsidRDefault="00CE0C6C" w:rsidP="00CE0C6C">
      <w:pPr>
        <w:rPr>
          <w:rFonts w:asciiTheme="minorHAnsi" w:hAnsiTheme="minorHAnsi"/>
        </w:rPr>
      </w:pPr>
      <w:r w:rsidRPr="00E80608">
        <w:rPr>
          <w:rFonts w:asciiTheme="minorHAnsi" w:eastAsiaTheme="minorEastAsia" w:hAnsiTheme="minorHAnsi"/>
          <w:color w:val="000000" w:themeColor="text1"/>
          <w:kern w:val="24"/>
          <w:position w:val="7"/>
          <w:vertAlign w:val="superscript"/>
        </w:rPr>
        <w:t>2</w:t>
      </w:r>
      <w:r w:rsidRPr="00E80608">
        <w:rPr>
          <w:rFonts w:asciiTheme="minorHAnsi" w:eastAsiaTheme="minorEastAsia" w:hAnsiTheme="minorHAnsi"/>
          <w:color w:val="000000" w:themeColor="text1"/>
          <w:kern w:val="24"/>
        </w:rPr>
        <w:t xml:space="preserve"> There is no toxicology test specifically for heroin. Heroin metabolizes into 6</w:t>
      </w:r>
      <w:r w:rsidRPr="00E80608">
        <w:rPr>
          <w:rFonts w:asciiTheme="minorHAnsi" w:eastAsiaTheme="minorEastAsia" w:hAnsiTheme="minorHAnsi" w:cs="Cambria Math"/>
          <w:color w:val="000000" w:themeColor="text1"/>
          <w:kern w:val="24"/>
        </w:rPr>
        <w:t>‐</w:t>
      </w:r>
      <w:r w:rsidRPr="00E80608">
        <w:rPr>
          <w:rFonts w:asciiTheme="minorHAnsi" w:eastAsiaTheme="minorEastAsia" w:hAnsiTheme="minorHAnsi"/>
          <w:color w:val="000000" w:themeColor="text1"/>
          <w:kern w:val="24"/>
        </w:rPr>
        <w:t>monoacetylmorphine (6-MAM), which in turn is rapidly metabolized to morphine. Recent evidence from Massachusetts indicates that a majority of morphine-positive toxicology test results are due to heroin metabolism. http://www.mass.gov/eohhs/gov/departments/dph/stop-addiction/chapter-55-overdose-assessment.html</w:t>
      </w:r>
    </w:p>
    <w:p w:rsidR="00CE0C6C" w:rsidRPr="00BF47CC" w:rsidRDefault="00CE0C6C" w:rsidP="00CE0C6C">
      <w:pPr>
        <w:rPr>
          <w:rFonts w:asciiTheme="minorHAnsi" w:hAnsiTheme="minorHAnsi"/>
          <w:sz w:val="22"/>
          <w:szCs w:val="22"/>
        </w:rPr>
        <w:sectPr w:rsidR="00CE0C6C" w:rsidRPr="00BF47CC" w:rsidSect="005847B7">
          <w:type w:val="continuous"/>
          <w:pgSz w:w="12240" w:h="15840"/>
          <w:pgMar w:top="547" w:right="720" w:bottom="446" w:left="720" w:header="720" w:footer="720" w:gutter="0"/>
          <w:cols w:space="720"/>
          <w:docGrid w:linePitch="360"/>
        </w:sectPr>
      </w:pPr>
    </w:p>
    <w:p w:rsidR="00CE0C6C" w:rsidRPr="00CE0C6C" w:rsidRDefault="00CE0C6C" w:rsidP="00CE0C6C">
      <w:pPr>
        <w:rPr>
          <w:rFonts w:asciiTheme="minorHAnsi" w:hAnsiTheme="minorHAnsi"/>
          <w:b/>
          <w:bCs/>
          <w:sz w:val="22"/>
          <w:szCs w:val="22"/>
        </w:rPr>
      </w:pPr>
      <w:proofErr w:type="gramStart"/>
      <w:r>
        <w:rPr>
          <w:rFonts w:asciiTheme="minorHAnsi" w:hAnsiTheme="minorHAnsi"/>
          <w:b/>
          <w:sz w:val="22"/>
          <w:szCs w:val="22"/>
        </w:rPr>
        <w:lastRenderedPageBreak/>
        <w:t>Figure 1.</w:t>
      </w:r>
      <w:proofErr w:type="gramEnd"/>
      <w:r>
        <w:rPr>
          <w:rFonts w:asciiTheme="minorHAnsi" w:hAnsiTheme="minorHAnsi"/>
          <w:b/>
          <w:sz w:val="22"/>
          <w:szCs w:val="22"/>
        </w:rPr>
        <w:t xml:space="preserve"> </w:t>
      </w:r>
      <w:r w:rsidR="00964B34">
        <w:rPr>
          <w:rFonts w:asciiTheme="minorHAnsi" w:hAnsiTheme="minorHAnsi"/>
          <w:b/>
          <w:sz w:val="22"/>
          <w:szCs w:val="22"/>
        </w:rPr>
        <w:t xml:space="preserve">Proportion of pregnancy associated deaths related to substance use by year of death </w:t>
      </w:r>
      <w:r>
        <w:rPr>
          <w:rFonts w:asciiTheme="minorHAnsi" w:hAnsiTheme="minorHAnsi"/>
          <w:b/>
          <w:sz w:val="22"/>
          <w:szCs w:val="22"/>
        </w:rPr>
        <w:t>— Massachusetts 2005–2014.</w:t>
      </w:r>
    </w:p>
    <w:p w:rsidR="00CE0C6C" w:rsidRDefault="00114D0F" w:rsidP="00CE0C6C">
      <w:pPr>
        <w:rPr>
          <w:noProof/>
        </w:rPr>
      </w:pPr>
      <w:r>
        <w:rPr>
          <w:noProof/>
        </w:rPr>
        <w:drawing>
          <wp:inline distT="0" distB="0" distL="0" distR="0" wp14:anchorId="4ED24AFC" wp14:editId="749391E4">
            <wp:extent cx="54864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CE0C6C" w:rsidRPr="00CE4E16">
        <w:rPr>
          <w:noProof/>
        </w:rPr>
        <w:t xml:space="preserve"> </w:t>
      </w:r>
    </w:p>
    <w:p w:rsidR="00114D0F" w:rsidRPr="00CE0C6C" w:rsidRDefault="00114D0F" w:rsidP="00CE0C6C">
      <w:pPr>
        <w:rPr>
          <w:noProof/>
        </w:rPr>
      </w:pPr>
    </w:p>
    <w:p w:rsidR="00CE0C6C" w:rsidRPr="00CE4E16" w:rsidRDefault="00CE0C6C" w:rsidP="00CE0C6C">
      <w:pPr>
        <w:rPr>
          <w:rFonts w:asciiTheme="minorHAnsi" w:hAnsiTheme="minorHAnsi"/>
          <w:b/>
          <w:noProof/>
          <w:sz w:val="22"/>
          <w:szCs w:val="22"/>
        </w:rPr>
      </w:pPr>
      <w:r>
        <w:rPr>
          <w:rFonts w:asciiTheme="minorHAnsi" w:hAnsiTheme="minorHAnsi"/>
          <w:b/>
          <w:noProof/>
          <w:sz w:val="22"/>
          <w:szCs w:val="22"/>
        </w:rPr>
        <w:t>Figure 2: Timing of substance use-related vs. all pregnancy-associated d</w:t>
      </w:r>
      <w:r w:rsidRPr="00CE4E16">
        <w:rPr>
          <w:rFonts w:asciiTheme="minorHAnsi" w:hAnsiTheme="minorHAnsi"/>
          <w:b/>
          <w:noProof/>
          <w:sz w:val="22"/>
          <w:szCs w:val="22"/>
        </w:rPr>
        <w:t>eaths —Massachusetts</w:t>
      </w:r>
      <w:r>
        <w:rPr>
          <w:rFonts w:asciiTheme="minorHAnsi" w:hAnsiTheme="minorHAnsi"/>
          <w:b/>
          <w:noProof/>
          <w:sz w:val="22"/>
          <w:szCs w:val="22"/>
        </w:rPr>
        <w:t>,</w:t>
      </w:r>
      <w:r w:rsidRPr="00CE4E16">
        <w:rPr>
          <w:rFonts w:asciiTheme="minorHAnsi" w:hAnsiTheme="minorHAnsi"/>
          <w:b/>
          <w:noProof/>
          <w:sz w:val="22"/>
          <w:szCs w:val="22"/>
        </w:rPr>
        <w:t xml:space="preserve"> 2005–2014</w:t>
      </w:r>
      <w:r>
        <w:rPr>
          <w:rFonts w:asciiTheme="minorHAnsi" w:hAnsiTheme="minorHAnsi"/>
          <w:b/>
          <w:noProof/>
          <w:sz w:val="22"/>
          <w:szCs w:val="22"/>
        </w:rPr>
        <w:t>.</w:t>
      </w:r>
    </w:p>
    <w:p w:rsidR="00CE0C6C" w:rsidRDefault="00CE0C6C" w:rsidP="00CE0C6C">
      <w:pPr>
        <w:rPr>
          <w:noProof/>
        </w:rPr>
      </w:pPr>
    </w:p>
    <w:p w:rsidR="000E00C1" w:rsidRDefault="000E00C1" w:rsidP="00CE0C6C">
      <w:pPr>
        <w:rPr>
          <w:noProof/>
        </w:rPr>
      </w:pPr>
      <w:r>
        <w:rPr>
          <w:noProof/>
        </w:rPr>
        <w:drawing>
          <wp:inline distT="0" distB="0" distL="0" distR="0" wp14:anchorId="24B76E8F" wp14:editId="2C192570">
            <wp:extent cx="54864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E0C6C" w:rsidRDefault="00CE0C6C" w:rsidP="00CE0C6C">
      <w:pPr>
        <w:rPr>
          <w:noProof/>
        </w:rPr>
      </w:pPr>
    </w:p>
    <w:p w:rsidR="00410476" w:rsidRPr="002A48E9" w:rsidRDefault="00006B66" w:rsidP="00FE4BB5">
      <w:pPr>
        <w:rPr>
          <w:rFonts w:asciiTheme="minorHAnsi" w:hAnsiTheme="minorHAnsi"/>
          <w:b/>
          <w:sz w:val="22"/>
          <w:szCs w:val="22"/>
        </w:rPr>
      </w:pPr>
      <w:r w:rsidRPr="002A48E9">
        <w:rPr>
          <w:rFonts w:asciiTheme="minorHAnsi" w:hAnsiTheme="minorHAnsi"/>
          <w:b/>
          <w:sz w:val="22"/>
          <w:szCs w:val="22"/>
        </w:rPr>
        <w:t>Addressing substance use before, during, and after pregnancy</w:t>
      </w:r>
      <w:r w:rsidR="00B0450E" w:rsidRPr="002A48E9">
        <w:rPr>
          <w:rFonts w:asciiTheme="minorHAnsi" w:hAnsiTheme="minorHAnsi"/>
          <w:b/>
          <w:sz w:val="22"/>
          <w:szCs w:val="22"/>
        </w:rPr>
        <w:t>:</w:t>
      </w:r>
    </w:p>
    <w:p w:rsidR="003D3030" w:rsidRDefault="00410476" w:rsidP="003D3030">
      <w:pPr>
        <w:rPr>
          <w:rFonts w:asciiTheme="minorHAnsi" w:hAnsiTheme="minorHAnsi"/>
          <w:sz w:val="22"/>
          <w:szCs w:val="22"/>
        </w:rPr>
      </w:pPr>
      <w:r w:rsidRPr="002A48E9">
        <w:rPr>
          <w:rFonts w:asciiTheme="minorHAnsi" w:hAnsiTheme="minorHAnsi"/>
          <w:sz w:val="22"/>
          <w:szCs w:val="22"/>
        </w:rPr>
        <w:t xml:space="preserve">A coordinated response is required to reverse the increasing trend of substance use-related deaths during </w:t>
      </w:r>
      <w:r w:rsidR="00135C2F" w:rsidRPr="002A48E9">
        <w:rPr>
          <w:rFonts w:asciiTheme="minorHAnsi" w:hAnsiTheme="minorHAnsi"/>
          <w:sz w:val="22"/>
          <w:szCs w:val="22"/>
        </w:rPr>
        <w:t>or within one year of the end of pregnancy</w:t>
      </w:r>
      <w:r w:rsidR="00FB6904" w:rsidRPr="002A48E9">
        <w:rPr>
          <w:rFonts w:asciiTheme="minorHAnsi" w:hAnsiTheme="minorHAnsi"/>
          <w:sz w:val="22"/>
          <w:szCs w:val="22"/>
        </w:rPr>
        <w:t xml:space="preserve">. </w:t>
      </w:r>
      <w:r w:rsidR="003D3030" w:rsidRPr="002A48E9">
        <w:rPr>
          <w:rFonts w:asciiTheme="minorHAnsi" w:hAnsiTheme="minorHAnsi"/>
          <w:sz w:val="22"/>
          <w:szCs w:val="22"/>
        </w:rPr>
        <w:t>MDPH recommends screening all pregnant women through interviews using a standard tool at the beginning of pregnancy, as well as at 28 weeks and at the time the woman presents for delivery.</w:t>
      </w:r>
      <w:r w:rsidR="00D76024" w:rsidRPr="002A48E9">
        <w:rPr>
          <w:rFonts w:asciiTheme="minorHAnsi" w:hAnsiTheme="minorHAnsi"/>
          <w:sz w:val="22"/>
          <w:szCs w:val="22"/>
        </w:rPr>
        <w:t xml:space="preserve"> </w:t>
      </w:r>
      <w:r w:rsidR="003D3030" w:rsidRPr="002A48E9">
        <w:rPr>
          <w:rFonts w:asciiTheme="minorHAnsi" w:hAnsiTheme="minorHAnsi"/>
          <w:sz w:val="22"/>
          <w:szCs w:val="22"/>
        </w:rPr>
        <w:t xml:space="preserve">Women identified through screening should be connected with treatment that is </w:t>
      </w:r>
      <w:r w:rsidR="0041552E" w:rsidRPr="002A48E9">
        <w:rPr>
          <w:rFonts w:asciiTheme="minorHAnsi" w:hAnsiTheme="minorHAnsi"/>
          <w:sz w:val="22"/>
          <w:szCs w:val="22"/>
        </w:rPr>
        <w:t xml:space="preserve">appropriate to their needs. </w:t>
      </w:r>
      <w:r w:rsidR="003D3030" w:rsidRPr="002A48E9">
        <w:rPr>
          <w:rFonts w:asciiTheme="minorHAnsi" w:hAnsiTheme="minorHAnsi"/>
          <w:sz w:val="22"/>
          <w:szCs w:val="22"/>
        </w:rPr>
        <w:t xml:space="preserve"> The Massachusetts Perinatal Quality Collaborative</w:t>
      </w:r>
      <w:r w:rsidR="00B13F16" w:rsidRPr="002A48E9">
        <w:rPr>
          <w:rFonts w:asciiTheme="minorHAnsi" w:hAnsiTheme="minorHAnsi"/>
          <w:sz w:val="22"/>
          <w:szCs w:val="22"/>
        </w:rPr>
        <w:t xml:space="preserve"> (MPQC)</w:t>
      </w:r>
      <w:r w:rsidR="003D3030" w:rsidRPr="002A48E9">
        <w:rPr>
          <w:rFonts w:asciiTheme="minorHAnsi" w:hAnsiTheme="minorHAnsi"/>
          <w:sz w:val="22"/>
          <w:szCs w:val="22"/>
        </w:rPr>
        <w:t xml:space="preserve"> has published an online toolkit to support maternal health clinicians in using best practices to prevent, identify, and treat substance use disorder among pregnant women. See the perinatal substance use resources table</w:t>
      </w:r>
      <w:r w:rsidR="00962931" w:rsidRPr="002A48E9">
        <w:rPr>
          <w:rFonts w:asciiTheme="minorHAnsi" w:hAnsiTheme="minorHAnsi"/>
          <w:sz w:val="22"/>
          <w:szCs w:val="22"/>
        </w:rPr>
        <w:t xml:space="preserve"> below for links to the toolkit and other resources.</w:t>
      </w:r>
    </w:p>
    <w:p w:rsidR="003D3030" w:rsidRPr="00962931" w:rsidRDefault="003D3030" w:rsidP="003D3030">
      <w:pPr>
        <w:rPr>
          <w:rFonts w:asciiTheme="minorHAnsi" w:hAnsiTheme="minorHAnsi"/>
          <w:sz w:val="22"/>
          <w:szCs w:val="22"/>
        </w:rPr>
      </w:pPr>
      <w:r>
        <w:rPr>
          <w:rFonts w:asciiTheme="minorHAnsi" w:hAnsiTheme="minorHAnsi"/>
          <w:sz w:val="22"/>
          <w:szCs w:val="22"/>
        </w:rPr>
        <w:t xml:space="preserve"> </w:t>
      </w:r>
      <w:r w:rsidR="00962931">
        <w:rPr>
          <w:rFonts w:asciiTheme="minorHAnsi" w:hAnsiTheme="minorHAnsi"/>
          <w:i/>
          <w:sz w:val="22"/>
          <w:szCs w:val="22"/>
        </w:rPr>
        <w:t xml:space="preserve">  </w:t>
      </w:r>
    </w:p>
    <w:p w:rsidR="00D76024" w:rsidRDefault="00FB6904" w:rsidP="00CE754C">
      <w:pPr>
        <w:rPr>
          <w:rFonts w:asciiTheme="minorHAnsi" w:hAnsiTheme="minorHAnsi"/>
          <w:sz w:val="22"/>
          <w:szCs w:val="22"/>
        </w:rPr>
      </w:pPr>
      <w:r>
        <w:rPr>
          <w:rFonts w:asciiTheme="minorHAnsi" w:hAnsiTheme="minorHAnsi"/>
          <w:sz w:val="22"/>
          <w:szCs w:val="22"/>
        </w:rPr>
        <w:lastRenderedPageBreak/>
        <w:t xml:space="preserve">Numerous projects are ongoing </w:t>
      </w:r>
      <w:r w:rsidR="003D3030">
        <w:rPr>
          <w:rFonts w:asciiTheme="minorHAnsi" w:hAnsiTheme="minorHAnsi"/>
          <w:sz w:val="22"/>
          <w:szCs w:val="22"/>
        </w:rPr>
        <w:t xml:space="preserve">across </w:t>
      </w:r>
      <w:r>
        <w:rPr>
          <w:rFonts w:asciiTheme="minorHAnsi" w:hAnsiTheme="minorHAnsi"/>
          <w:sz w:val="22"/>
          <w:szCs w:val="22"/>
        </w:rPr>
        <w:t>Massachusetts to address substance use in pregnancy.</w:t>
      </w:r>
      <w:r w:rsidR="003D3030">
        <w:rPr>
          <w:rFonts w:asciiTheme="minorHAnsi" w:hAnsiTheme="minorHAnsi"/>
          <w:sz w:val="22"/>
          <w:szCs w:val="22"/>
        </w:rPr>
        <w:t xml:space="preserve"> For example, the Boston Medical Center (RESPECT clinic) and the University </w:t>
      </w:r>
      <w:proofErr w:type="gramStart"/>
      <w:r w:rsidR="003D3030">
        <w:rPr>
          <w:rFonts w:asciiTheme="minorHAnsi" w:hAnsiTheme="minorHAnsi"/>
          <w:sz w:val="22"/>
          <w:szCs w:val="22"/>
        </w:rPr>
        <w:t>of</w:t>
      </w:r>
      <w:proofErr w:type="gramEnd"/>
      <w:r w:rsidR="003D3030">
        <w:rPr>
          <w:rFonts w:asciiTheme="minorHAnsi" w:hAnsiTheme="minorHAnsi"/>
          <w:sz w:val="22"/>
          <w:szCs w:val="22"/>
        </w:rPr>
        <w:t xml:space="preserve"> Massachusetts </w:t>
      </w:r>
      <w:r w:rsidR="0041552E">
        <w:rPr>
          <w:rFonts w:asciiTheme="minorHAnsi" w:hAnsiTheme="minorHAnsi"/>
          <w:sz w:val="22"/>
          <w:szCs w:val="22"/>
        </w:rPr>
        <w:t xml:space="preserve">Medical Center </w:t>
      </w:r>
      <w:r w:rsidR="003D3030">
        <w:rPr>
          <w:rFonts w:asciiTheme="minorHAnsi" w:hAnsiTheme="minorHAnsi"/>
          <w:sz w:val="22"/>
          <w:szCs w:val="22"/>
        </w:rPr>
        <w:t xml:space="preserve">in Worcester provide </w:t>
      </w:r>
      <w:r>
        <w:rPr>
          <w:rFonts w:asciiTheme="minorHAnsi" w:hAnsiTheme="minorHAnsi"/>
          <w:sz w:val="22"/>
          <w:szCs w:val="22"/>
        </w:rPr>
        <w:t>prenatal</w:t>
      </w:r>
      <w:r w:rsidR="003D3030">
        <w:rPr>
          <w:rFonts w:asciiTheme="minorHAnsi" w:hAnsiTheme="minorHAnsi"/>
          <w:sz w:val="22"/>
          <w:szCs w:val="22"/>
        </w:rPr>
        <w:t xml:space="preserve"> care services </w:t>
      </w:r>
      <w:r>
        <w:rPr>
          <w:rFonts w:asciiTheme="minorHAnsi" w:hAnsiTheme="minorHAnsi"/>
          <w:sz w:val="22"/>
          <w:szCs w:val="22"/>
        </w:rPr>
        <w:t>designed</w:t>
      </w:r>
      <w:r w:rsidR="003D3030">
        <w:rPr>
          <w:rFonts w:asciiTheme="minorHAnsi" w:hAnsiTheme="minorHAnsi"/>
          <w:sz w:val="22"/>
          <w:szCs w:val="22"/>
        </w:rPr>
        <w:t xml:space="preserve"> specifically </w:t>
      </w:r>
      <w:r>
        <w:rPr>
          <w:rFonts w:asciiTheme="minorHAnsi" w:hAnsiTheme="minorHAnsi"/>
          <w:sz w:val="22"/>
          <w:szCs w:val="22"/>
        </w:rPr>
        <w:t>to care for women with</w:t>
      </w:r>
      <w:r w:rsidR="003D3030">
        <w:rPr>
          <w:rFonts w:asciiTheme="minorHAnsi" w:hAnsiTheme="minorHAnsi"/>
          <w:sz w:val="22"/>
          <w:szCs w:val="22"/>
        </w:rPr>
        <w:t xml:space="preserve"> substance use disorder (SUD).</w:t>
      </w:r>
      <w:r w:rsidR="0003033D">
        <w:rPr>
          <w:rFonts w:asciiTheme="minorHAnsi" w:hAnsiTheme="minorHAnsi"/>
          <w:sz w:val="22"/>
          <w:szCs w:val="22"/>
        </w:rPr>
        <w:t xml:space="preserve"> T</w:t>
      </w:r>
      <w:r>
        <w:rPr>
          <w:rFonts w:asciiTheme="minorHAnsi" w:hAnsiTheme="minorHAnsi"/>
          <w:sz w:val="22"/>
          <w:szCs w:val="22"/>
        </w:rPr>
        <w:t xml:space="preserve">he Institute for Health and </w:t>
      </w:r>
      <w:r w:rsidR="003D3030">
        <w:rPr>
          <w:rFonts w:asciiTheme="minorHAnsi" w:hAnsiTheme="minorHAnsi"/>
          <w:sz w:val="22"/>
          <w:szCs w:val="22"/>
        </w:rPr>
        <w:t>Recovery</w:t>
      </w:r>
      <w:r>
        <w:rPr>
          <w:rFonts w:asciiTheme="minorHAnsi" w:hAnsiTheme="minorHAnsi"/>
          <w:sz w:val="22"/>
          <w:szCs w:val="22"/>
        </w:rPr>
        <w:t xml:space="preserve"> has initiated various interventions at six sites to improve medically assisted treatment </w:t>
      </w:r>
      <w:r w:rsidR="001131CF">
        <w:rPr>
          <w:rFonts w:asciiTheme="minorHAnsi" w:hAnsiTheme="minorHAnsi"/>
          <w:sz w:val="22"/>
          <w:szCs w:val="22"/>
        </w:rPr>
        <w:t xml:space="preserve">by providing care coordination and peer support </w:t>
      </w:r>
      <w:r>
        <w:rPr>
          <w:rFonts w:asciiTheme="minorHAnsi" w:hAnsiTheme="minorHAnsi"/>
          <w:sz w:val="22"/>
          <w:szCs w:val="22"/>
        </w:rPr>
        <w:t>through the “Moms do Care” project.</w:t>
      </w:r>
      <w:r w:rsidR="004D3CC5">
        <w:rPr>
          <w:rFonts w:asciiTheme="minorHAnsi" w:hAnsiTheme="minorHAnsi"/>
          <w:sz w:val="22"/>
          <w:szCs w:val="22"/>
        </w:rPr>
        <w:t xml:space="preserve"> </w:t>
      </w:r>
      <w:r w:rsidR="0003033D">
        <w:rPr>
          <w:rFonts w:asciiTheme="minorHAnsi" w:hAnsiTheme="minorHAnsi"/>
          <w:sz w:val="22"/>
          <w:szCs w:val="22"/>
        </w:rPr>
        <w:t xml:space="preserve">While </w:t>
      </w:r>
      <w:r w:rsidR="00B607F7">
        <w:rPr>
          <w:rFonts w:asciiTheme="minorHAnsi" w:hAnsiTheme="minorHAnsi"/>
          <w:sz w:val="22"/>
          <w:szCs w:val="22"/>
        </w:rPr>
        <w:t xml:space="preserve">primarily </w:t>
      </w:r>
      <w:r w:rsidR="0003033D">
        <w:rPr>
          <w:rFonts w:asciiTheme="minorHAnsi" w:hAnsiTheme="minorHAnsi"/>
          <w:sz w:val="22"/>
          <w:szCs w:val="22"/>
        </w:rPr>
        <w:t>focused on postpartum depression, The MA Child Psychiatry Access Project (MCPAP) for Moms is currently extending its capacity (including materials and training) to support patients with SUD.</w:t>
      </w:r>
      <w:r w:rsidR="00D76024">
        <w:rPr>
          <w:rFonts w:asciiTheme="minorHAnsi" w:hAnsiTheme="minorHAnsi"/>
          <w:sz w:val="22"/>
          <w:szCs w:val="22"/>
        </w:rPr>
        <w:t xml:space="preserve"> In addition to these programs, many communities have hospital-based </w:t>
      </w:r>
      <w:r w:rsidR="00D86337" w:rsidRPr="00D76024">
        <w:rPr>
          <w:rFonts w:asciiTheme="minorHAnsi" w:hAnsiTheme="minorHAnsi"/>
          <w:sz w:val="22"/>
          <w:szCs w:val="22"/>
        </w:rPr>
        <w:t>collaboratives</w:t>
      </w:r>
      <w:r w:rsidR="00D76024">
        <w:rPr>
          <w:rFonts w:asciiTheme="minorHAnsi" w:hAnsiTheme="minorHAnsi"/>
          <w:sz w:val="22"/>
          <w:szCs w:val="22"/>
        </w:rPr>
        <w:t xml:space="preserve"> to address substance use</w:t>
      </w:r>
      <w:r w:rsidR="00D76024" w:rsidRPr="00D76024">
        <w:rPr>
          <w:rFonts w:asciiTheme="minorHAnsi" w:hAnsiTheme="minorHAnsi"/>
          <w:sz w:val="22"/>
          <w:szCs w:val="22"/>
        </w:rPr>
        <w:t>, such as th</w:t>
      </w:r>
      <w:r w:rsidR="00D76024">
        <w:rPr>
          <w:rFonts w:asciiTheme="minorHAnsi" w:hAnsiTheme="minorHAnsi"/>
          <w:sz w:val="22"/>
          <w:szCs w:val="22"/>
        </w:rPr>
        <w:t>ose at Baystate Medical Center and Melrose-</w:t>
      </w:r>
      <w:r w:rsidR="00D76024" w:rsidRPr="00D76024">
        <w:rPr>
          <w:rFonts w:asciiTheme="minorHAnsi" w:hAnsiTheme="minorHAnsi"/>
          <w:sz w:val="22"/>
          <w:szCs w:val="22"/>
        </w:rPr>
        <w:t>Wakefie</w:t>
      </w:r>
      <w:r w:rsidR="00D76024">
        <w:rPr>
          <w:rFonts w:asciiTheme="minorHAnsi" w:hAnsiTheme="minorHAnsi"/>
          <w:sz w:val="22"/>
          <w:szCs w:val="22"/>
        </w:rPr>
        <w:t>ld Hospital</w:t>
      </w:r>
      <w:r w:rsidR="00D76024" w:rsidRPr="00D76024">
        <w:rPr>
          <w:rFonts w:asciiTheme="minorHAnsi" w:hAnsiTheme="minorHAnsi"/>
          <w:sz w:val="22"/>
          <w:szCs w:val="22"/>
        </w:rPr>
        <w:t>.</w:t>
      </w:r>
    </w:p>
    <w:p w:rsidR="003D740A" w:rsidRPr="003D3030" w:rsidRDefault="003D740A" w:rsidP="00FE4BB5">
      <w:pPr>
        <w:rPr>
          <w:rFonts w:asciiTheme="minorHAnsi" w:hAnsiTheme="minorHAnsi"/>
          <w:sz w:val="22"/>
          <w:szCs w:val="22"/>
        </w:rPr>
      </w:pPr>
    </w:p>
    <w:p w:rsidR="000A52D4" w:rsidRDefault="001131CF" w:rsidP="007F64C7">
      <w:pPr>
        <w:rPr>
          <w:rFonts w:asciiTheme="minorHAnsi" w:hAnsiTheme="minorHAnsi"/>
          <w:sz w:val="22"/>
          <w:szCs w:val="22"/>
        </w:rPr>
      </w:pPr>
      <w:r>
        <w:rPr>
          <w:rFonts w:asciiTheme="minorHAnsi" w:hAnsiTheme="minorHAnsi"/>
          <w:sz w:val="22"/>
          <w:szCs w:val="22"/>
        </w:rPr>
        <w:t xml:space="preserve">In addition to providing appropriate treatment during pregnancy, new mothers </w:t>
      </w:r>
      <w:r w:rsidR="00ED0762">
        <w:rPr>
          <w:rFonts w:asciiTheme="minorHAnsi" w:hAnsiTheme="minorHAnsi"/>
          <w:sz w:val="22"/>
          <w:szCs w:val="22"/>
        </w:rPr>
        <w:t xml:space="preserve">need to be supported </w:t>
      </w:r>
      <w:r>
        <w:rPr>
          <w:rFonts w:asciiTheme="minorHAnsi" w:hAnsiTheme="minorHAnsi"/>
          <w:sz w:val="22"/>
          <w:szCs w:val="22"/>
        </w:rPr>
        <w:t>in</w:t>
      </w:r>
      <w:r w:rsidR="00CE754C" w:rsidRPr="001131CF">
        <w:rPr>
          <w:rFonts w:asciiTheme="minorHAnsi" w:hAnsiTheme="minorHAnsi"/>
          <w:sz w:val="22"/>
          <w:szCs w:val="22"/>
        </w:rPr>
        <w:t xml:space="preserve"> the postpartum period</w:t>
      </w:r>
      <w:r>
        <w:rPr>
          <w:rFonts w:asciiTheme="minorHAnsi" w:hAnsiTheme="minorHAnsi"/>
          <w:sz w:val="22"/>
          <w:szCs w:val="22"/>
        </w:rPr>
        <w:t xml:space="preserve"> t</w:t>
      </w:r>
      <w:r w:rsidR="00ED0762">
        <w:rPr>
          <w:rFonts w:asciiTheme="minorHAnsi" w:hAnsiTheme="minorHAnsi"/>
          <w:sz w:val="22"/>
          <w:szCs w:val="22"/>
        </w:rPr>
        <w:t>o encourage</w:t>
      </w:r>
      <w:r>
        <w:rPr>
          <w:rFonts w:asciiTheme="minorHAnsi" w:hAnsiTheme="minorHAnsi"/>
          <w:sz w:val="22"/>
          <w:szCs w:val="22"/>
        </w:rPr>
        <w:t xml:space="preserve"> </w:t>
      </w:r>
      <w:r w:rsidR="0041552E">
        <w:rPr>
          <w:rFonts w:asciiTheme="minorHAnsi" w:hAnsiTheme="minorHAnsi"/>
          <w:sz w:val="22"/>
          <w:szCs w:val="22"/>
        </w:rPr>
        <w:t xml:space="preserve">treatment adherence and </w:t>
      </w:r>
      <w:r>
        <w:rPr>
          <w:rFonts w:asciiTheme="minorHAnsi" w:hAnsiTheme="minorHAnsi"/>
          <w:sz w:val="22"/>
          <w:szCs w:val="22"/>
        </w:rPr>
        <w:t>long term recovery. T</w:t>
      </w:r>
      <w:r w:rsidR="00CE754C">
        <w:rPr>
          <w:rFonts w:asciiTheme="minorHAnsi" w:hAnsiTheme="minorHAnsi"/>
          <w:sz w:val="22"/>
          <w:szCs w:val="22"/>
        </w:rPr>
        <w:t>he postpartum period can be an extremely stressful time for all mothers and for mothers with substa</w:t>
      </w:r>
      <w:r w:rsidR="00962931">
        <w:rPr>
          <w:rFonts w:asciiTheme="minorHAnsi" w:hAnsiTheme="minorHAnsi"/>
          <w:sz w:val="22"/>
          <w:szCs w:val="22"/>
        </w:rPr>
        <w:t>nce use disorders in particula</w:t>
      </w:r>
      <w:r>
        <w:rPr>
          <w:rFonts w:asciiTheme="minorHAnsi" w:hAnsiTheme="minorHAnsi"/>
          <w:sz w:val="22"/>
          <w:szCs w:val="22"/>
        </w:rPr>
        <w:t>r; the majority of pregnancy-associated deaths involving substance use occurred between 6 weeks and 1 year after delivery.</w:t>
      </w:r>
      <w:r w:rsidR="00ED0762">
        <w:rPr>
          <w:rFonts w:asciiTheme="minorHAnsi" w:hAnsiTheme="minorHAnsi"/>
          <w:sz w:val="22"/>
          <w:szCs w:val="22"/>
        </w:rPr>
        <w:t xml:space="preserve"> Coordination </w:t>
      </w:r>
      <w:r w:rsidR="000A52D4">
        <w:rPr>
          <w:rFonts w:asciiTheme="minorHAnsi" w:hAnsiTheme="minorHAnsi"/>
          <w:sz w:val="22"/>
          <w:szCs w:val="22"/>
        </w:rPr>
        <w:t>between SUD treatment and obstetric providers following</w:t>
      </w:r>
      <w:r w:rsidR="000A323D">
        <w:rPr>
          <w:rFonts w:asciiTheme="minorHAnsi" w:hAnsiTheme="minorHAnsi"/>
          <w:sz w:val="22"/>
          <w:szCs w:val="22"/>
        </w:rPr>
        <w:t xml:space="preserve"> delivery is crucial</w:t>
      </w:r>
      <w:r w:rsidR="00ED0762">
        <w:rPr>
          <w:rFonts w:asciiTheme="minorHAnsi" w:hAnsiTheme="minorHAnsi"/>
          <w:sz w:val="22"/>
          <w:szCs w:val="22"/>
        </w:rPr>
        <w:t xml:space="preserve">, as well as </w:t>
      </w:r>
      <w:r w:rsidR="00ED0762" w:rsidRPr="000A323D">
        <w:rPr>
          <w:rFonts w:asciiTheme="minorHAnsi" w:hAnsiTheme="minorHAnsi"/>
          <w:sz w:val="22"/>
          <w:szCs w:val="22"/>
        </w:rPr>
        <w:t>warm handoffs</w:t>
      </w:r>
      <w:r w:rsidR="00ED0762">
        <w:rPr>
          <w:rFonts w:asciiTheme="minorHAnsi" w:hAnsiTheme="minorHAnsi"/>
          <w:sz w:val="22"/>
          <w:szCs w:val="22"/>
        </w:rPr>
        <w:t xml:space="preserve"> to </w:t>
      </w:r>
      <w:r w:rsidR="000A323D" w:rsidRPr="000A323D">
        <w:rPr>
          <w:rFonts w:asciiTheme="minorHAnsi" w:hAnsiTheme="minorHAnsi"/>
          <w:sz w:val="22"/>
          <w:szCs w:val="22"/>
        </w:rPr>
        <w:t xml:space="preserve">on-going </w:t>
      </w:r>
      <w:r w:rsidR="0041552E">
        <w:rPr>
          <w:rFonts w:asciiTheme="minorHAnsi" w:hAnsiTheme="minorHAnsi"/>
          <w:sz w:val="22"/>
          <w:szCs w:val="22"/>
        </w:rPr>
        <w:t xml:space="preserve">treatment and supportive </w:t>
      </w:r>
      <w:r w:rsidR="000A323D" w:rsidRPr="000A323D">
        <w:rPr>
          <w:rFonts w:asciiTheme="minorHAnsi" w:hAnsiTheme="minorHAnsi"/>
          <w:sz w:val="22"/>
          <w:szCs w:val="22"/>
        </w:rPr>
        <w:t>services, such as E</w:t>
      </w:r>
      <w:r w:rsidR="00E97F1E">
        <w:rPr>
          <w:rFonts w:asciiTheme="minorHAnsi" w:hAnsiTheme="minorHAnsi"/>
          <w:sz w:val="22"/>
          <w:szCs w:val="22"/>
        </w:rPr>
        <w:t xml:space="preserve">arly </w:t>
      </w:r>
      <w:r w:rsidR="000A323D" w:rsidRPr="000A323D">
        <w:rPr>
          <w:rFonts w:asciiTheme="minorHAnsi" w:hAnsiTheme="minorHAnsi"/>
          <w:sz w:val="22"/>
          <w:szCs w:val="22"/>
        </w:rPr>
        <w:t>I</w:t>
      </w:r>
      <w:r w:rsidR="00E97F1E">
        <w:rPr>
          <w:rFonts w:asciiTheme="minorHAnsi" w:hAnsiTheme="minorHAnsi"/>
          <w:sz w:val="22"/>
          <w:szCs w:val="22"/>
        </w:rPr>
        <w:t>ntervention</w:t>
      </w:r>
      <w:r w:rsidR="000A323D" w:rsidRPr="000A323D">
        <w:rPr>
          <w:rFonts w:asciiTheme="minorHAnsi" w:hAnsiTheme="minorHAnsi"/>
          <w:sz w:val="22"/>
          <w:szCs w:val="22"/>
        </w:rPr>
        <w:t xml:space="preserve">, Home Visiting, </w:t>
      </w:r>
      <w:r w:rsidR="0001002C" w:rsidRPr="0001002C">
        <w:rPr>
          <w:rFonts w:asciiTheme="minorHAnsi" w:hAnsiTheme="minorHAnsi"/>
          <w:sz w:val="22"/>
          <w:szCs w:val="22"/>
        </w:rPr>
        <w:t>substance use and mental health treatment providers</w:t>
      </w:r>
      <w:r w:rsidR="000A323D" w:rsidRPr="000A323D">
        <w:rPr>
          <w:rFonts w:asciiTheme="minorHAnsi" w:hAnsiTheme="minorHAnsi"/>
          <w:sz w:val="22"/>
          <w:szCs w:val="22"/>
        </w:rPr>
        <w:t>, and Parenting Classes.</w:t>
      </w:r>
      <w:r w:rsidR="00153919">
        <w:rPr>
          <w:rFonts w:asciiTheme="minorHAnsi" w:hAnsiTheme="minorHAnsi"/>
          <w:sz w:val="22"/>
          <w:szCs w:val="22"/>
        </w:rPr>
        <w:t xml:space="preserve"> Future research to better understand the factors that affect treatment engagement and overdose during the postpartum period would also be extremely beneficial. </w:t>
      </w:r>
      <w:r w:rsidR="000A323D" w:rsidRPr="000A323D">
        <w:rPr>
          <w:rFonts w:asciiTheme="minorHAnsi" w:hAnsiTheme="minorHAnsi"/>
          <w:sz w:val="22"/>
          <w:szCs w:val="22"/>
        </w:rPr>
        <w:t xml:space="preserve"> </w:t>
      </w:r>
    </w:p>
    <w:p w:rsidR="00B04ED3" w:rsidRDefault="00D76024" w:rsidP="007F64C7">
      <w:pPr>
        <w:rPr>
          <w:rFonts w:asciiTheme="minorHAnsi" w:hAnsiTheme="minorHAnsi"/>
          <w:sz w:val="22"/>
          <w:szCs w:val="22"/>
        </w:rPr>
      </w:pPr>
      <w:r>
        <w:rPr>
          <w:rFonts w:asciiTheme="minorHAnsi" w:hAnsiTheme="minorHAnsi"/>
          <w:sz w:val="22"/>
          <w:szCs w:val="22"/>
        </w:rPr>
        <w:t xml:space="preserve"> </w:t>
      </w:r>
      <w:r w:rsidR="0003033D">
        <w:rPr>
          <w:rFonts w:asciiTheme="minorHAnsi" w:hAnsiTheme="minorHAnsi"/>
          <w:sz w:val="22"/>
          <w:szCs w:val="22"/>
        </w:rPr>
        <w:t xml:space="preserve"> </w:t>
      </w:r>
    </w:p>
    <w:p w:rsidR="00BA5DFA" w:rsidRPr="00962931" w:rsidRDefault="007F64C7" w:rsidP="007F64C7">
      <w:pPr>
        <w:rPr>
          <w:rFonts w:asciiTheme="minorHAnsi" w:hAnsiTheme="minorHAnsi"/>
          <w:b/>
          <w:sz w:val="22"/>
          <w:szCs w:val="22"/>
        </w:rPr>
      </w:pPr>
      <w:r w:rsidRPr="00006B66">
        <w:rPr>
          <w:rFonts w:asciiTheme="minorHAnsi" w:hAnsiTheme="minorHAnsi"/>
          <w:b/>
          <w:sz w:val="22"/>
          <w:szCs w:val="22"/>
        </w:rPr>
        <w:t>Implications for the MMMRC</w:t>
      </w:r>
      <w:r w:rsidR="00006B66">
        <w:rPr>
          <w:rFonts w:asciiTheme="minorHAnsi" w:hAnsiTheme="minorHAnsi"/>
          <w:b/>
          <w:sz w:val="22"/>
          <w:szCs w:val="22"/>
        </w:rPr>
        <w:t>:</w:t>
      </w:r>
    </w:p>
    <w:p w:rsidR="007F64C7" w:rsidRDefault="007F64C7" w:rsidP="007F64C7">
      <w:pPr>
        <w:rPr>
          <w:rFonts w:asciiTheme="minorHAnsi" w:hAnsiTheme="minorHAnsi"/>
          <w:sz w:val="22"/>
          <w:szCs w:val="22"/>
        </w:rPr>
      </w:pPr>
      <w:r>
        <w:rPr>
          <w:rFonts w:asciiTheme="minorHAnsi" w:hAnsiTheme="minorHAnsi"/>
          <w:sz w:val="22"/>
          <w:szCs w:val="22"/>
        </w:rPr>
        <w:t xml:space="preserve">The rise in substance use among pregnancy-associated deaths presents a challenge to the MMMRC that has </w:t>
      </w:r>
      <w:r w:rsidR="00D461D9">
        <w:rPr>
          <w:rFonts w:asciiTheme="minorHAnsi" w:hAnsiTheme="minorHAnsi"/>
          <w:sz w:val="22"/>
          <w:szCs w:val="22"/>
        </w:rPr>
        <w:t>necessitated</w:t>
      </w:r>
      <w:r>
        <w:rPr>
          <w:rFonts w:asciiTheme="minorHAnsi" w:hAnsiTheme="minorHAnsi"/>
          <w:sz w:val="22"/>
          <w:szCs w:val="22"/>
        </w:rPr>
        <w:t xml:space="preserve"> review of the scope and methods us</w:t>
      </w:r>
      <w:r w:rsidR="00006B66">
        <w:rPr>
          <w:rFonts w:asciiTheme="minorHAnsi" w:hAnsiTheme="minorHAnsi"/>
          <w:sz w:val="22"/>
          <w:szCs w:val="22"/>
        </w:rPr>
        <w:t xml:space="preserve">ed in the case review process. </w:t>
      </w:r>
      <w:r w:rsidR="0056643E">
        <w:rPr>
          <w:rFonts w:asciiTheme="minorHAnsi" w:hAnsiTheme="minorHAnsi"/>
          <w:sz w:val="22"/>
          <w:szCs w:val="22"/>
        </w:rPr>
        <w:t xml:space="preserve">Prenatal care records are an invaluable source of information for conditions such as opioid use disorder. </w:t>
      </w:r>
      <w:r>
        <w:rPr>
          <w:rFonts w:asciiTheme="minorHAnsi" w:hAnsiTheme="minorHAnsi"/>
          <w:sz w:val="22"/>
          <w:szCs w:val="22"/>
        </w:rPr>
        <w:t xml:space="preserve">Current Massachusetts law limits the MMMRC in obtaining complete sets of prenatal care records for women </w:t>
      </w:r>
      <w:r w:rsidR="00D461D9">
        <w:rPr>
          <w:rFonts w:asciiTheme="minorHAnsi" w:hAnsiTheme="minorHAnsi"/>
          <w:sz w:val="22"/>
          <w:szCs w:val="22"/>
        </w:rPr>
        <w:t>whose</w:t>
      </w:r>
      <w:r>
        <w:rPr>
          <w:rFonts w:asciiTheme="minorHAnsi" w:hAnsiTheme="minorHAnsi"/>
          <w:sz w:val="22"/>
          <w:szCs w:val="22"/>
        </w:rPr>
        <w:t xml:space="preserve"> care was at a facility other than the one in which they delivered. </w:t>
      </w:r>
    </w:p>
    <w:p w:rsidR="00EA25C7" w:rsidRDefault="00EA25C7" w:rsidP="00C26761">
      <w:pPr>
        <w:rPr>
          <w:rFonts w:asciiTheme="minorHAnsi" w:hAnsiTheme="minorHAnsi"/>
          <w:sz w:val="22"/>
          <w:szCs w:val="22"/>
        </w:rPr>
      </w:pPr>
    </w:p>
    <w:p w:rsidR="00EA25C7" w:rsidRDefault="00EA25C7" w:rsidP="00EA25C7">
      <w:pPr>
        <w:rPr>
          <w:rFonts w:asciiTheme="minorHAnsi" w:hAnsiTheme="minorHAnsi"/>
          <w:sz w:val="22"/>
          <w:szCs w:val="22"/>
        </w:rPr>
      </w:pPr>
      <w:r>
        <w:rPr>
          <w:rFonts w:asciiTheme="minorHAnsi" w:hAnsiTheme="minorHAnsi"/>
          <w:sz w:val="22"/>
          <w:szCs w:val="22"/>
        </w:rPr>
        <w:t xml:space="preserve">Finally, MDPH is in the process of updating its maternal mortality data system to the Maternal Mortality Review Information Application (MMRIA), a standardized data system developed by the Centers for Disease Control with input from state maternal mortality review committees.  The new system will standardize MMMRC case data collection to strengthen epidemiologic analysis and public health recommendations born out of the review process.  </w:t>
      </w:r>
    </w:p>
    <w:p w:rsidR="0056643E" w:rsidRDefault="0056643E" w:rsidP="00C26761">
      <w:pPr>
        <w:rPr>
          <w:rFonts w:asciiTheme="minorHAnsi" w:hAnsiTheme="minorHAnsi"/>
          <w:b/>
          <w:sz w:val="22"/>
          <w:szCs w:val="22"/>
        </w:rPr>
      </w:pPr>
    </w:p>
    <w:p w:rsidR="00CE4E16" w:rsidRDefault="00CE4E16">
      <w:pPr>
        <w:rPr>
          <w:rFonts w:asciiTheme="minorHAnsi" w:hAnsiTheme="minorHAnsi"/>
          <w:b/>
          <w:sz w:val="22"/>
          <w:szCs w:val="22"/>
        </w:rPr>
      </w:pPr>
      <w:r>
        <w:rPr>
          <w:rFonts w:asciiTheme="minorHAnsi" w:hAnsiTheme="minorHAnsi"/>
          <w:b/>
          <w:sz w:val="22"/>
          <w:szCs w:val="22"/>
        </w:rPr>
        <w:t>Conclusion</w:t>
      </w:r>
      <w:r w:rsidR="00DB0A2E">
        <w:rPr>
          <w:rFonts w:asciiTheme="minorHAnsi" w:hAnsiTheme="minorHAnsi"/>
          <w:b/>
          <w:sz w:val="22"/>
          <w:szCs w:val="22"/>
        </w:rPr>
        <w:t>s</w:t>
      </w:r>
      <w:r>
        <w:rPr>
          <w:rFonts w:asciiTheme="minorHAnsi" w:hAnsiTheme="minorHAnsi"/>
          <w:b/>
          <w:sz w:val="22"/>
          <w:szCs w:val="22"/>
        </w:rPr>
        <w:t>:</w:t>
      </w:r>
    </w:p>
    <w:p w:rsidR="00FB6904" w:rsidRPr="00FB6904" w:rsidRDefault="00CE4E16" w:rsidP="00853819">
      <w:pPr>
        <w:rPr>
          <w:rFonts w:asciiTheme="minorHAnsi" w:hAnsiTheme="minorHAnsi"/>
          <w:sz w:val="22"/>
          <w:szCs w:val="22"/>
        </w:rPr>
      </w:pPr>
      <w:r w:rsidRPr="00FB6904">
        <w:rPr>
          <w:rFonts w:asciiTheme="minorHAnsi" w:hAnsiTheme="minorHAnsi"/>
          <w:sz w:val="22"/>
          <w:szCs w:val="22"/>
        </w:rPr>
        <w:t>Almost half of all deaths of women during or within a year of the end of pregnancy</w:t>
      </w:r>
      <w:r w:rsidR="000F00EA" w:rsidRPr="00FB6904">
        <w:rPr>
          <w:rFonts w:asciiTheme="minorHAnsi" w:hAnsiTheme="minorHAnsi"/>
          <w:sz w:val="22"/>
          <w:szCs w:val="22"/>
        </w:rPr>
        <w:t xml:space="preserve"> in 2014</w:t>
      </w:r>
      <w:r w:rsidRPr="00FB6904">
        <w:rPr>
          <w:rFonts w:asciiTheme="minorHAnsi" w:hAnsiTheme="minorHAnsi"/>
          <w:sz w:val="22"/>
          <w:szCs w:val="22"/>
        </w:rPr>
        <w:t xml:space="preserve"> were related to substance use, a </w:t>
      </w:r>
      <w:r w:rsidR="000F00EA" w:rsidRPr="00FB6904">
        <w:rPr>
          <w:rFonts w:asciiTheme="minorHAnsi" w:hAnsiTheme="minorHAnsi"/>
          <w:sz w:val="22"/>
          <w:szCs w:val="22"/>
        </w:rPr>
        <w:t>much</w:t>
      </w:r>
      <w:r w:rsidRPr="00FB6904">
        <w:rPr>
          <w:rFonts w:asciiTheme="minorHAnsi" w:hAnsiTheme="minorHAnsi"/>
          <w:sz w:val="22"/>
          <w:szCs w:val="22"/>
        </w:rPr>
        <w:t xml:space="preserve"> larger proportion than the </w:t>
      </w:r>
      <w:r w:rsidR="004E0AE0" w:rsidRPr="00FB6904">
        <w:rPr>
          <w:rFonts w:asciiTheme="minorHAnsi" w:hAnsiTheme="minorHAnsi"/>
          <w:sz w:val="22"/>
          <w:szCs w:val="22"/>
        </w:rPr>
        <w:t xml:space="preserve">preceding nine years. </w:t>
      </w:r>
      <w:r w:rsidR="000F00EA" w:rsidRPr="00FB6904">
        <w:rPr>
          <w:rFonts w:asciiTheme="minorHAnsi" w:hAnsiTheme="minorHAnsi"/>
          <w:sz w:val="22"/>
          <w:szCs w:val="22"/>
        </w:rPr>
        <w:t>T</w:t>
      </w:r>
      <w:r w:rsidR="004E0AE0" w:rsidRPr="00FB6904">
        <w:rPr>
          <w:rFonts w:asciiTheme="minorHAnsi" w:hAnsiTheme="minorHAnsi"/>
          <w:sz w:val="22"/>
          <w:szCs w:val="22"/>
        </w:rPr>
        <w:t>he majority of substance use-related deaths reviewed by the Massachusetts Maternal Mortality &amp; Morbidity Review Committee involved opioids.  The vast majority of these deaths occurred after the six week postpartum period.</w:t>
      </w:r>
      <w:r w:rsidR="00F12138">
        <w:rPr>
          <w:rFonts w:asciiTheme="minorHAnsi" w:hAnsiTheme="minorHAnsi"/>
          <w:sz w:val="22"/>
          <w:szCs w:val="22"/>
        </w:rPr>
        <w:t xml:space="preserve"> A coordinated response is</w:t>
      </w:r>
      <w:bookmarkStart w:id="0" w:name="_GoBack"/>
      <w:bookmarkEnd w:id="0"/>
      <w:r w:rsidR="00FB6904" w:rsidRPr="00FB6904">
        <w:rPr>
          <w:rFonts w:asciiTheme="minorHAnsi" w:hAnsiTheme="minorHAnsi"/>
          <w:sz w:val="22"/>
          <w:szCs w:val="22"/>
        </w:rPr>
        <w:t xml:space="preserve"> needed to address perinatal substance use</w:t>
      </w:r>
      <w:r w:rsidR="00FB6904">
        <w:rPr>
          <w:rFonts w:asciiTheme="minorHAnsi" w:hAnsiTheme="minorHAnsi"/>
          <w:sz w:val="22"/>
          <w:szCs w:val="22"/>
        </w:rPr>
        <w:t xml:space="preserve"> that supports</w:t>
      </w:r>
      <w:r w:rsidR="00FB6904" w:rsidRPr="00FB6904">
        <w:rPr>
          <w:rFonts w:asciiTheme="minorHAnsi" w:hAnsiTheme="minorHAnsi"/>
          <w:sz w:val="22"/>
          <w:szCs w:val="22"/>
        </w:rPr>
        <w:t xml:space="preserve"> improved uptake of patients into treatment</w:t>
      </w:r>
      <w:r w:rsidR="00FB6904">
        <w:rPr>
          <w:rFonts w:asciiTheme="minorHAnsi" w:hAnsiTheme="minorHAnsi"/>
          <w:sz w:val="22"/>
          <w:szCs w:val="22"/>
        </w:rPr>
        <w:t xml:space="preserve"> </w:t>
      </w:r>
      <w:r w:rsidR="00FB6904" w:rsidRPr="00FB6904">
        <w:rPr>
          <w:rFonts w:asciiTheme="minorHAnsi" w:hAnsiTheme="minorHAnsi"/>
          <w:sz w:val="22"/>
          <w:szCs w:val="22"/>
        </w:rPr>
        <w:t>during pregnancy</w:t>
      </w:r>
      <w:r w:rsidR="00FB6904">
        <w:rPr>
          <w:rFonts w:asciiTheme="minorHAnsi" w:hAnsiTheme="minorHAnsi"/>
          <w:sz w:val="22"/>
          <w:szCs w:val="22"/>
        </w:rPr>
        <w:t xml:space="preserve"> </w:t>
      </w:r>
      <w:r w:rsidR="00FB6904" w:rsidRPr="00FB6904">
        <w:rPr>
          <w:rFonts w:asciiTheme="minorHAnsi" w:hAnsiTheme="minorHAnsi"/>
          <w:sz w:val="22"/>
          <w:szCs w:val="22"/>
        </w:rPr>
        <w:t xml:space="preserve">and </w:t>
      </w:r>
      <w:r w:rsidR="00FB6904">
        <w:rPr>
          <w:rFonts w:asciiTheme="minorHAnsi" w:hAnsiTheme="minorHAnsi"/>
          <w:sz w:val="22"/>
          <w:szCs w:val="22"/>
        </w:rPr>
        <w:t xml:space="preserve">an effective transition for </w:t>
      </w:r>
      <w:r w:rsidR="00FB6904" w:rsidRPr="00FB6904">
        <w:rPr>
          <w:rFonts w:asciiTheme="minorHAnsi" w:hAnsiTheme="minorHAnsi"/>
          <w:sz w:val="22"/>
          <w:szCs w:val="22"/>
        </w:rPr>
        <w:t>mother</w:t>
      </w:r>
      <w:r w:rsidR="00FB6904">
        <w:rPr>
          <w:rFonts w:asciiTheme="minorHAnsi" w:hAnsiTheme="minorHAnsi"/>
          <w:sz w:val="22"/>
          <w:szCs w:val="22"/>
        </w:rPr>
        <w:t>s</w:t>
      </w:r>
      <w:r w:rsidR="00FB6904" w:rsidRPr="00FB6904">
        <w:rPr>
          <w:rFonts w:asciiTheme="minorHAnsi" w:hAnsiTheme="minorHAnsi"/>
          <w:sz w:val="22"/>
          <w:szCs w:val="22"/>
        </w:rPr>
        <w:t xml:space="preserve"> from pregnancy care to long term substance use </w:t>
      </w:r>
      <w:r w:rsidR="0025697A">
        <w:rPr>
          <w:rFonts w:asciiTheme="minorHAnsi" w:hAnsiTheme="minorHAnsi"/>
          <w:sz w:val="22"/>
          <w:szCs w:val="22"/>
        </w:rPr>
        <w:t>treatment</w:t>
      </w:r>
      <w:r w:rsidR="00FB6904">
        <w:rPr>
          <w:rFonts w:asciiTheme="minorHAnsi" w:hAnsiTheme="minorHAnsi"/>
          <w:sz w:val="22"/>
          <w:szCs w:val="22"/>
        </w:rPr>
        <w:t>.</w:t>
      </w:r>
      <w:r w:rsidR="00FB6904" w:rsidRPr="00FB6904">
        <w:rPr>
          <w:rFonts w:asciiTheme="minorHAnsi" w:hAnsiTheme="minorHAnsi"/>
          <w:sz w:val="22"/>
          <w:szCs w:val="22"/>
        </w:rPr>
        <w:t xml:space="preserve">  </w:t>
      </w:r>
    </w:p>
    <w:p w:rsidR="00962931" w:rsidRDefault="00962931" w:rsidP="00853819">
      <w:pPr>
        <w:rPr>
          <w:rFonts w:asciiTheme="minorHAnsi" w:hAnsiTheme="minorHAnsi"/>
          <w:sz w:val="22"/>
          <w:szCs w:val="22"/>
        </w:rPr>
      </w:pPr>
    </w:p>
    <w:p w:rsidR="004C46AF" w:rsidRDefault="00FB6904" w:rsidP="00280E7B">
      <w:pPr>
        <w:rPr>
          <w:rFonts w:asciiTheme="minorHAnsi" w:hAnsiTheme="minorHAnsi"/>
          <w:b/>
          <w:sz w:val="22"/>
          <w:szCs w:val="22"/>
        </w:rPr>
      </w:pPr>
      <w:r>
        <w:rPr>
          <w:rFonts w:asciiTheme="minorHAnsi" w:hAnsiTheme="minorHAnsi"/>
          <w:b/>
          <w:sz w:val="22"/>
          <w:szCs w:val="22"/>
        </w:rPr>
        <w:t xml:space="preserve">Perinatal Substance Use </w:t>
      </w:r>
      <w:r w:rsidR="004C46AF">
        <w:rPr>
          <w:rFonts w:asciiTheme="minorHAnsi" w:hAnsiTheme="minorHAnsi"/>
          <w:b/>
          <w:sz w:val="22"/>
          <w:szCs w:val="22"/>
        </w:rPr>
        <w:t>Resources:</w:t>
      </w:r>
    </w:p>
    <w:tbl>
      <w:tblPr>
        <w:tblStyle w:val="TableGrid"/>
        <w:tblW w:w="0" w:type="auto"/>
        <w:tblLayout w:type="fixed"/>
        <w:tblLook w:val="04A0" w:firstRow="1" w:lastRow="0" w:firstColumn="1" w:lastColumn="0" w:noHBand="0" w:noVBand="1"/>
      </w:tblPr>
      <w:tblGrid>
        <w:gridCol w:w="3078"/>
        <w:gridCol w:w="6498"/>
      </w:tblGrid>
      <w:tr w:rsidR="00E923EF" w:rsidTr="00B13F16">
        <w:tc>
          <w:tcPr>
            <w:tcW w:w="3078" w:type="dxa"/>
          </w:tcPr>
          <w:p w:rsidR="00E923EF" w:rsidRPr="00280E7B" w:rsidRDefault="00D728EC" w:rsidP="00D728EC">
            <w:pPr>
              <w:rPr>
                <w:rFonts w:asciiTheme="minorHAnsi" w:hAnsiTheme="minorHAnsi"/>
                <w:sz w:val="22"/>
                <w:szCs w:val="22"/>
              </w:rPr>
            </w:pPr>
            <w:r>
              <w:rPr>
                <w:rFonts w:ascii="Calibri" w:hAnsi="Calibri"/>
                <w:bCs/>
                <w:sz w:val="22"/>
              </w:rPr>
              <w:t>M</w:t>
            </w:r>
            <w:r w:rsidR="00E923EF" w:rsidRPr="00280E7B">
              <w:rPr>
                <w:rFonts w:ascii="Calibri" w:hAnsi="Calibri"/>
                <w:bCs/>
                <w:sz w:val="22"/>
              </w:rPr>
              <w:t>P</w:t>
            </w:r>
            <w:r>
              <w:rPr>
                <w:rFonts w:ascii="Calibri" w:hAnsi="Calibri"/>
                <w:bCs/>
                <w:sz w:val="22"/>
              </w:rPr>
              <w:t>QC Opioid and Pregnancy T</w:t>
            </w:r>
            <w:r w:rsidR="00E923EF" w:rsidRPr="00280E7B">
              <w:rPr>
                <w:rFonts w:ascii="Calibri" w:hAnsi="Calibri"/>
                <w:bCs/>
                <w:sz w:val="22"/>
              </w:rPr>
              <w:t>oolkit</w:t>
            </w:r>
          </w:p>
        </w:tc>
        <w:tc>
          <w:tcPr>
            <w:tcW w:w="6498" w:type="dxa"/>
            <w:vAlign w:val="center"/>
          </w:tcPr>
          <w:p w:rsidR="00E923EF" w:rsidRPr="00FC7A37" w:rsidRDefault="00D728EC" w:rsidP="00B13F16">
            <w:pPr>
              <w:rPr>
                <w:rFonts w:asciiTheme="minorHAnsi" w:hAnsiTheme="minorHAnsi"/>
                <w:color w:val="1F497D" w:themeColor="text2"/>
                <w:sz w:val="22"/>
                <w:szCs w:val="22"/>
              </w:rPr>
            </w:pPr>
            <w:r w:rsidRPr="00FC7A37">
              <w:rPr>
                <w:rFonts w:asciiTheme="minorHAnsi" w:hAnsiTheme="minorHAnsi"/>
                <w:color w:val="1F497D" w:themeColor="text2"/>
                <w:sz w:val="22"/>
                <w:szCs w:val="22"/>
              </w:rPr>
              <w:t>http://www.healthrecovery.org/maternal-opioid-use/</w:t>
            </w:r>
          </w:p>
        </w:tc>
      </w:tr>
      <w:tr w:rsidR="00B13F16" w:rsidTr="00B13F16">
        <w:tc>
          <w:tcPr>
            <w:tcW w:w="3078" w:type="dxa"/>
          </w:tcPr>
          <w:p w:rsidR="00B13F16" w:rsidRDefault="00B13F16" w:rsidP="00280E7B">
            <w:pPr>
              <w:rPr>
                <w:rFonts w:ascii="Calibri" w:hAnsi="Calibri"/>
                <w:bCs/>
                <w:sz w:val="22"/>
              </w:rPr>
            </w:pPr>
            <w:r>
              <w:rPr>
                <w:rFonts w:ascii="Calibri" w:hAnsi="Calibri"/>
                <w:bCs/>
                <w:sz w:val="22"/>
              </w:rPr>
              <w:t xml:space="preserve">MA Perinatal-Neonatal Quality Improvement Network – substance use projects  </w:t>
            </w:r>
          </w:p>
        </w:tc>
        <w:tc>
          <w:tcPr>
            <w:tcW w:w="6498" w:type="dxa"/>
            <w:vAlign w:val="center"/>
          </w:tcPr>
          <w:p w:rsidR="00B13F16" w:rsidRPr="00FC7A37" w:rsidRDefault="00B13F16" w:rsidP="00B13F16">
            <w:pPr>
              <w:rPr>
                <w:rFonts w:asciiTheme="minorHAnsi" w:hAnsiTheme="minorHAnsi"/>
                <w:color w:val="1F497D" w:themeColor="text2"/>
                <w:sz w:val="22"/>
                <w:szCs w:val="22"/>
              </w:rPr>
            </w:pPr>
            <w:r w:rsidRPr="00FC7A37">
              <w:rPr>
                <w:rFonts w:asciiTheme="minorHAnsi" w:hAnsiTheme="minorHAnsi"/>
                <w:color w:val="1F497D" w:themeColor="text2"/>
                <w:sz w:val="22"/>
                <w:szCs w:val="22"/>
              </w:rPr>
              <w:t>http://www.mapnqin.org/substance-use-projects/</w:t>
            </w:r>
          </w:p>
        </w:tc>
      </w:tr>
      <w:tr w:rsidR="00D728EC" w:rsidTr="00B13F16">
        <w:tc>
          <w:tcPr>
            <w:tcW w:w="3078" w:type="dxa"/>
          </w:tcPr>
          <w:p w:rsidR="00D728EC" w:rsidRPr="00280E7B" w:rsidRDefault="00D728EC" w:rsidP="00280E7B">
            <w:pPr>
              <w:rPr>
                <w:rFonts w:asciiTheme="minorHAnsi" w:hAnsiTheme="minorHAnsi"/>
                <w:sz w:val="22"/>
                <w:szCs w:val="22"/>
              </w:rPr>
            </w:pPr>
            <w:r>
              <w:rPr>
                <w:rFonts w:ascii="Calibri" w:hAnsi="Calibri"/>
                <w:bCs/>
                <w:sz w:val="22"/>
              </w:rPr>
              <w:lastRenderedPageBreak/>
              <w:t xml:space="preserve">DPH </w:t>
            </w:r>
            <w:r w:rsidRPr="00280E7B">
              <w:rPr>
                <w:rFonts w:ascii="Calibri" w:hAnsi="Calibri"/>
                <w:bCs/>
                <w:sz w:val="22"/>
              </w:rPr>
              <w:t>Community Standard for Maternal and Newborn Screening for Alcohol/Substance Use</w:t>
            </w:r>
          </w:p>
        </w:tc>
        <w:tc>
          <w:tcPr>
            <w:tcW w:w="6498" w:type="dxa"/>
            <w:vAlign w:val="center"/>
          </w:tcPr>
          <w:p w:rsidR="00D728EC" w:rsidRPr="00FC7A37" w:rsidRDefault="00D728EC" w:rsidP="00B13F16">
            <w:pPr>
              <w:rPr>
                <w:rFonts w:asciiTheme="minorHAnsi" w:hAnsiTheme="minorHAnsi"/>
                <w:color w:val="1F497D" w:themeColor="text2"/>
                <w:sz w:val="22"/>
                <w:szCs w:val="22"/>
              </w:rPr>
            </w:pPr>
            <w:r w:rsidRPr="00FC7A37">
              <w:rPr>
                <w:rFonts w:asciiTheme="minorHAnsi" w:hAnsiTheme="minorHAnsi"/>
                <w:color w:val="1F497D" w:themeColor="text2"/>
                <w:sz w:val="22"/>
                <w:szCs w:val="22"/>
              </w:rPr>
              <w:t>http://www.mass.gov/eohhs/docs/dph/quality/hcq-circular-letters/2013/dhcq-1305586-sen-guidelines.pdf</w:t>
            </w:r>
          </w:p>
          <w:p w:rsidR="00D728EC" w:rsidRPr="00FC7A37" w:rsidRDefault="00D728EC" w:rsidP="00B13F16">
            <w:pPr>
              <w:rPr>
                <w:rFonts w:asciiTheme="minorHAnsi" w:hAnsiTheme="minorHAnsi"/>
                <w:color w:val="1F497D" w:themeColor="text2"/>
                <w:sz w:val="22"/>
                <w:szCs w:val="22"/>
              </w:rPr>
            </w:pPr>
          </w:p>
        </w:tc>
      </w:tr>
      <w:tr w:rsidR="00280E7B" w:rsidTr="00B13F16">
        <w:tc>
          <w:tcPr>
            <w:tcW w:w="3078" w:type="dxa"/>
          </w:tcPr>
          <w:p w:rsidR="00280E7B" w:rsidRPr="00280E7B" w:rsidRDefault="00D728EC" w:rsidP="00280E7B">
            <w:pPr>
              <w:rPr>
                <w:rFonts w:asciiTheme="minorHAnsi" w:hAnsiTheme="minorHAnsi"/>
                <w:sz w:val="22"/>
                <w:szCs w:val="22"/>
              </w:rPr>
            </w:pPr>
            <w:r w:rsidRPr="00280E7B">
              <w:rPr>
                <w:rFonts w:ascii="Calibri" w:hAnsi="Calibri"/>
                <w:sz w:val="22"/>
              </w:rPr>
              <w:t>MA Substance Use Helpline Call Center and Website</w:t>
            </w:r>
          </w:p>
        </w:tc>
        <w:tc>
          <w:tcPr>
            <w:tcW w:w="6498" w:type="dxa"/>
            <w:vAlign w:val="center"/>
          </w:tcPr>
          <w:p w:rsidR="00280E7B" w:rsidRPr="00FC7A37" w:rsidRDefault="00D728EC" w:rsidP="00B13F16">
            <w:pPr>
              <w:rPr>
                <w:rFonts w:asciiTheme="minorHAnsi" w:hAnsiTheme="minorHAnsi"/>
                <w:color w:val="1F497D" w:themeColor="text2"/>
                <w:sz w:val="22"/>
                <w:szCs w:val="22"/>
              </w:rPr>
            </w:pPr>
            <w:r w:rsidRPr="00FC7A37">
              <w:rPr>
                <w:rFonts w:asciiTheme="minorHAnsi" w:hAnsiTheme="minorHAnsi"/>
                <w:color w:val="1F497D" w:themeColor="text2"/>
                <w:sz w:val="22"/>
                <w:szCs w:val="22"/>
              </w:rPr>
              <w:t>http://helpline-online.com/</w:t>
            </w:r>
          </w:p>
          <w:p w:rsidR="00D728EC" w:rsidRPr="00B13F16" w:rsidRDefault="0041738F" w:rsidP="00B13F16">
            <w:pPr>
              <w:rPr>
                <w:rFonts w:asciiTheme="minorHAnsi" w:hAnsiTheme="minorHAnsi"/>
                <w:b/>
                <w:sz w:val="22"/>
                <w:szCs w:val="22"/>
              </w:rPr>
            </w:pPr>
            <w:r w:rsidRPr="00B13F16">
              <w:rPr>
                <w:rFonts w:asciiTheme="minorHAnsi" w:hAnsiTheme="minorHAnsi"/>
                <w:sz w:val="22"/>
                <w:szCs w:val="22"/>
              </w:rPr>
              <w:t xml:space="preserve">Helpline: </w:t>
            </w:r>
            <w:r w:rsidR="00D728EC" w:rsidRPr="00B13F16">
              <w:rPr>
                <w:rFonts w:asciiTheme="minorHAnsi" w:hAnsiTheme="minorHAnsi"/>
                <w:sz w:val="22"/>
                <w:szCs w:val="22"/>
              </w:rPr>
              <w:t>(800) 327-5050</w:t>
            </w:r>
          </w:p>
        </w:tc>
      </w:tr>
      <w:tr w:rsidR="00B607F7" w:rsidTr="00B13F16">
        <w:tc>
          <w:tcPr>
            <w:tcW w:w="3078" w:type="dxa"/>
          </w:tcPr>
          <w:p w:rsidR="00B607F7" w:rsidRDefault="00B607F7" w:rsidP="00350FD0">
            <w:pPr>
              <w:rPr>
                <w:rFonts w:ascii="Calibri" w:hAnsi="Calibri"/>
                <w:sz w:val="22"/>
              </w:rPr>
            </w:pPr>
            <w:r>
              <w:rPr>
                <w:rFonts w:ascii="Calibri" w:hAnsi="Calibri"/>
                <w:sz w:val="22"/>
              </w:rPr>
              <w:t>BSAS – Substance Use and Addictions Training &amp; Workforce Development</w:t>
            </w:r>
          </w:p>
        </w:tc>
        <w:tc>
          <w:tcPr>
            <w:tcW w:w="6498" w:type="dxa"/>
            <w:vAlign w:val="center"/>
          </w:tcPr>
          <w:p w:rsidR="00B607F7" w:rsidRPr="00B13F16" w:rsidRDefault="00B607F7" w:rsidP="00350FD0">
            <w:pPr>
              <w:rPr>
                <w:rFonts w:asciiTheme="minorHAnsi" w:hAnsiTheme="minorHAnsi"/>
                <w:sz w:val="22"/>
                <w:szCs w:val="22"/>
              </w:rPr>
            </w:pPr>
            <w:r w:rsidRPr="00FC7A37">
              <w:rPr>
                <w:rFonts w:asciiTheme="minorHAnsi" w:hAnsiTheme="minorHAnsi"/>
                <w:color w:val="1F497D" w:themeColor="text2"/>
                <w:sz w:val="22"/>
                <w:szCs w:val="22"/>
              </w:rPr>
              <w:t>http://www.mass.gov/eohhs/gov/departments/dph/programs/substance-abuse/providers/substance-abuse-training.html</w:t>
            </w:r>
          </w:p>
        </w:tc>
      </w:tr>
      <w:tr w:rsidR="00B607F7" w:rsidTr="00B13F16">
        <w:tc>
          <w:tcPr>
            <w:tcW w:w="3078" w:type="dxa"/>
          </w:tcPr>
          <w:p w:rsidR="00B607F7" w:rsidRDefault="00B607F7" w:rsidP="00350FD0">
            <w:pPr>
              <w:rPr>
                <w:rFonts w:ascii="Calibri" w:hAnsi="Calibri"/>
                <w:sz w:val="22"/>
              </w:rPr>
            </w:pPr>
            <w:r>
              <w:rPr>
                <w:rFonts w:ascii="Calibri" w:hAnsi="Calibri"/>
                <w:sz w:val="22"/>
              </w:rPr>
              <w:t>MCPAP for Moms</w:t>
            </w:r>
          </w:p>
        </w:tc>
        <w:tc>
          <w:tcPr>
            <w:tcW w:w="6498" w:type="dxa"/>
            <w:vAlign w:val="center"/>
          </w:tcPr>
          <w:p w:rsidR="00B607F7" w:rsidRPr="00FC7A37" w:rsidRDefault="00B607F7" w:rsidP="00350FD0">
            <w:pPr>
              <w:rPr>
                <w:rFonts w:asciiTheme="minorHAnsi" w:hAnsiTheme="minorHAnsi"/>
                <w:color w:val="1F497D" w:themeColor="text2"/>
                <w:sz w:val="22"/>
                <w:szCs w:val="22"/>
              </w:rPr>
            </w:pPr>
            <w:r w:rsidRPr="00FC7A37">
              <w:rPr>
                <w:rFonts w:asciiTheme="minorHAnsi" w:hAnsiTheme="minorHAnsi"/>
                <w:color w:val="1F497D" w:themeColor="text2"/>
                <w:sz w:val="22"/>
                <w:szCs w:val="22"/>
              </w:rPr>
              <w:t>https://www.mcpapformoms.org/</w:t>
            </w:r>
          </w:p>
          <w:p w:rsidR="00B607F7" w:rsidRPr="00B13F16" w:rsidRDefault="00B607F7" w:rsidP="00350FD0">
            <w:pPr>
              <w:rPr>
                <w:rFonts w:asciiTheme="minorHAnsi" w:hAnsiTheme="minorHAnsi"/>
                <w:sz w:val="22"/>
                <w:szCs w:val="22"/>
              </w:rPr>
            </w:pPr>
            <w:r w:rsidRPr="00B13F16">
              <w:rPr>
                <w:rFonts w:asciiTheme="minorHAnsi" w:hAnsiTheme="minorHAnsi"/>
                <w:sz w:val="22"/>
                <w:szCs w:val="22"/>
              </w:rPr>
              <w:t>Contact number for providers: (855) 666-6272</w:t>
            </w:r>
          </w:p>
        </w:tc>
      </w:tr>
      <w:tr w:rsidR="00B607F7" w:rsidTr="00B13F16">
        <w:tc>
          <w:tcPr>
            <w:tcW w:w="3078" w:type="dxa"/>
          </w:tcPr>
          <w:p w:rsidR="00B607F7" w:rsidRPr="00280E7B" w:rsidRDefault="00B607F7" w:rsidP="00350FD0">
            <w:pPr>
              <w:rPr>
                <w:rFonts w:asciiTheme="minorHAnsi" w:hAnsiTheme="minorHAnsi"/>
                <w:sz w:val="22"/>
                <w:szCs w:val="22"/>
              </w:rPr>
            </w:pPr>
            <w:r w:rsidRPr="00280E7B">
              <w:rPr>
                <w:rFonts w:asciiTheme="minorHAnsi" w:hAnsiTheme="minorHAnsi"/>
                <w:sz w:val="22"/>
                <w:szCs w:val="22"/>
              </w:rPr>
              <w:t xml:space="preserve">Massachusetts </w:t>
            </w:r>
            <w:r>
              <w:rPr>
                <w:rFonts w:asciiTheme="minorHAnsi" w:hAnsiTheme="minorHAnsi"/>
                <w:sz w:val="22"/>
                <w:szCs w:val="22"/>
              </w:rPr>
              <w:t xml:space="preserve">Health Promotion </w:t>
            </w:r>
            <w:r w:rsidRPr="00280E7B">
              <w:rPr>
                <w:rFonts w:asciiTheme="minorHAnsi" w:hAnsiTheme="minorHAnsi"/>
                <w:sz w:val="22"/>
                <w:szCs w:val="22"/>
              </w:rPr>
              <w:t>Clearinghouse</w:t>
            </w:r>
            <w:r>
              <w:rPr>
                <w:rFonts w:asciiTheme="minorHAnsi" w:hAnsiTheme="minorHAnsi"/>
                <w:sz w:val="22"/>
                <w:szCs w:val="22"/>
              </w:rPr>
              <w:t xml:space="preserve"> – materials related to treatment of pregnant women</w:t>
            </w:r>
            <w:r w:rsidRPr="00280E7B">
              <w:rPr>
                <w:rFonts w:asciiTheme="minorHAnsi" w:hAnsiTheme="minorHAnsi"/>
                <w:sz w:val="22"/>
                <w:szCs w:val="22"/>
              </w:rPr>
              <w:t xml:space="preserve"> </w:t>
            </w:r>
          </w:p>
        </w:tc>
        <w:tc>
          <w:tcPr>
            <w:tcW w:w="6498" w:type="dxa"/>
            <w:vAlign w:val="center"/>
          </w:tcPr>
          <w:p w:rsidR="00B607F7" w:rsidRPr="00FC7A37" w:rsidRDefault="00B607F7" w:rsidP="00350FD0">
            <w:pPr>
              <w:rPr>
                <w:rFonts w:asciiTheme="minorHAnsi" w:hAnsiTheme="minorHAnsi"/>
                <w:color w:val="1F497D" w:themeColor="text2"/>
                <w:sz w:val="22"/>
                <w:szCs w:val="22"/>
              </w:rPr>
            </w:pPr>
            <w:r w:rsidRPr="00FC7A37">
              <w:rPr>
                <w:rFonts w:asciiTheme="minorHAnsi" w:hAnsiTheme="minorHAnsi"/>
                <w:color w:val="1F497D" w:themeColor="text2"/>
                <w:sz w:val="22"/>
                <w:szCs w:val="22"/>
              </w:rPr>
              <w:t>https://massclearinghouse.ehs.state.ma.us/category/BSASPREG.html</w:t>
            </w:r>
          </w:p>
          <w:p w:rsidR="00B607F7" w:rsidRPr="00FC7A37" w:rsidRDefault="00B607F7" w:rsidP="00350FD0">
            <w:pPr>
              <w:rPr>
                <w:rFonts w:asciiTheme="minorHAnsi" w:hAnsiTheme="minorHAnsi"/>
                <w:color w:val="1F497D" w:themeColor="text2"/>
                <w:sz w:val="22"/>
                <w:szCs w:val="22"/>
              </w:rPr>
            </w:pPr>
          </w:p>
        </w:tc>
      </w:tr>
      <w:tr w:rsidR="00F16883" w:rsidTr="00B13F16">
        <w:tc>
          <w:tcPr>
            <w:tcW w:w="3078" w:type="dxa"/>
          </w:tcPr>
          <w:p w:rsidR="00F16883" w:rsidRDefault="00F16883" w:rsidP="00D728EC">
            <w:pPr>
              <w:rPr>
                <w:rFonts w:ascii="Calibri" w:hAnsi="Calibri"/>
                <w:sz w:val="22"/>
              </w:rPr>
            </w:pPr>
            <w:r>
              <w:rPr>
                <w:rFonts w:ascii="Calibri" w:hAnsi="Calibri"/>
                <w:sz w:val="22"/>
              </w:rPr>
              <w:t>Massachusetts Responds to the Opioid Epidemic – Current Statistics and Reports</w:t>
            </w:r>
          </w:p>
        </w:tc>
        <w:tc>
          <w:tcPr>
            <w:tcW w:w="6498" w:type="dxa"/>
            <w:vAlign w:val="center"/>
          </w:tcPr>
          <w:p w:rsidR="00F16883" w:rsidRPr="00E10543" w:rsidRDefault="00F16883" w:rsidP="006254DE">
            <w:pPr>
              <w:rPr>
                <w:rFonts w:asciiTheme="minorHAnsi" w:hAnsiTheme="minorHAnsi"/>
                <w:color w:val="1F497D" w:themeColor="text2"/>
                <w:sz w:val="22"/>
                <w:szCs w:val="22"/>
              </w:rPr>
            </w:pPr>
            <w:r w:rsidRPr="00E10543">
              <w:rPr>
                <w:rFonts w:asciiTheme="minorHAnsi" w:hAnsiTheme="minorHAnsi"/>
                <w:color w:val="1F497D" w:themeColor="text2"/>
                <w:sz w:val="22"/>
                <w:szCs w:val="22"/>
                <w:u w:val="single"/>
              </w:rPr>
              <w:t>https://www.</w:t>
            </w:r>
            <w:hyperlink r:id="rId14" w:history="1">
              <w:r w:rsidRPr="00E10543">
                <w:rPr>
                  <w:rStyle w:val="Hyperlink"/>
                  <w:rFonts w:asciiTheme="minorHAnsi" w:hAnsiTheme="minorHAnsi" w:cs="Arial"/>
                  <w:color w:val="1F497D" w:themeColor="text2"/>
                  <w:sz w:val="22"/>
                  <w:szCs w:val="22"/>
                </w:rPr>
                <w:t>mass.gov/opioidresponse</w:t>
              </w:r>
            </w:hyperlink>
          </w:p>
          <w:p w:rsidR="00F16883" w:rsidRPr="00FC7A37" w:rsidRDefault="00F16883" w:rsidP="00B13F16">
            <w:pPr>
              <w:rPr>
                <w:rFonts w:asciiTheme="minorHAnsi" w:hAnsiTheme="minorHAnsi"/>
                <w:color w:val="1F497D" w:themeColor="text2"/>
                <w:sz w:val="22"/>
                <w:szCs w:val="22"/>
              </w:rPr>
            </w:pPr>
          </w:p>
        </w:tc>
      </w:tr>
      <w:tr w:rsidR="004D3CC5" w:rsidTr="00B13F16">
        <w:tc>
          <w:tcPr>
            <w:tcW w:w="3078" w:type="dxa"/>
          </w:tcPr>
          <w:p w:rsidR="004D3CC5" w:rsidRPr="00280E7B" w:rsidRDefault="004D3CC5" w:rsidP="00D728EC">
            <w:pPr>
              <w:rPr>
                <w:rFonts w:ascii="Calibri" w:hAnsi="Calibri"/>
                <w:sz w:val="22"/>
              </w:rPr>
            </w:pPr>
            <w:r>
              <w:rPr>
                <w:rFonts w:ascii="Calibri" w:hAnsi="Calibri"/>
                <w:sz w:val="22"/>
              </w:rPr>
              <w:t>ACOG</w:t>
            </w:r>
            <w:r w:rsidR="00D728EC">
              <w:rPr>
                <w:rFonts w:ascii="Calibri" w:hAnsi="Calibri"/>
                <w:sz w:val="22"/>
              </w:rPr>
              <w:t xml:space="preserve"> Committee Opinion – Opioid Abuse, Dependence, and Addiction in Pregnancy</w:t>
            </w:r>
          </w:p>
        </w:tc>
        <w:tc>
          <w:tcPr>
            <w:tcW w:w="6498" w:type="dxa"/>
            <w:vAlign w:val="center"/>
          </w:tcPr>
          <w:p w:rsidR="00D728EC" w:rsidRPr="00FC7A37" w:rsidRDefault="00D728EC" w:rsidP="00B13F16">
            <w:pPr>
              <w:rPr>
                <w:rFonts w:asciiTheme="minorHAnsi" w:hAnsiTheme="minorHAnsi"/>
                <w:color w:val="1F497D" w:themeColor="text2"/>
                <w:sz w:val="22"/>
                <w:szCs w:val="22"/>
              </w:rPr>
            </w:pPr>
            <w:r w:rsidRPr="00FC7A37">
              <w:rPr>
                <w:rFonts w:asciiTheme="minorHAnsi" w:hAnsiTheme="minorHAnsi"/>
                <w:color w:val="1F497D" w:themeColor="text2"/>
                <w:sz w:val="22"/>
                <w:szCs w:val="22"/>
              </w:rPr>
              <w:t>https://www.acog.org/Resources-And-Publications/Committee-Opinions/Committee-on-Health-Care-for-Underserved-Women/Opioid-Abuse-Dependence-and-Addiction-in-Pregnancy</w:t>
            </w:r>
          </w:p>
        </w:tc>
      </w:tr>
      <w:tr w:rsidR="004D3CC5" w:rsidTr="00B13F16">
        <w:tc>
          <w:tcPr>
            <w:tcW w:w="3078" w:type="dxa"/>
          </w:tcPr>
          <w:p w:rsidR="004D3CC5" w:rsidRPr="00280E7B" w:rsidRDefault="004D3CC5" w:rsidP="00D728EC">
            <w:pPr>
              <w:rPr>
                <w:rFonts w:ascii="Calibri" w:hAnsi="Calibri"/>
                <w:sz w:val="22"/>
              </w:rPr>
            </w:pPr>
            <w:r>
              <w:rPr>
                <w:rFonts w:ascii="Calibri" w:hAnsi="Calibri"/>
                <w:sz w:val="22"/>
              </w:rPr>
              <w:t>SAMHSA</w:t>
            </w:r>
            <w:r w:rsidR="00D728EC">
              <w:rPr>
                <w:rFonts w:ascii="Calibri" w:hAnsi="Calibri"/>
                <w:sz w:val="22"/>
              </w:rPr>
              <w:t xml:space="preserve"> – A Collaborative Approach to the Treatment of Pregnant Women with Opioid Use Disorders</w:t>
            </w:r>
          </w:p>
        </w:tc>
        <w:tc>
          <w:tcPr>
            <w:tcW w:w="6498" w:type="dxa"/>
            <w:vAlign w:val="center"/>
          </w:tcPr>
          <w:p w:rsidR="004D3CC5" w:rsidRPr="00FC7A37" w:rsidRDefault="00D728EC" w:rsidP="00B13F16">
            <w:pPr>
              <w:rPr>
                <w:rFonts w:asciiTheme="minorHAnsi" w:hAnsiTheme="minorHAnsi"/>
                <w:color w:val="1F497D" w:themeColor="text2"/>
                <w:sz w:val="22"/>
                <w:szCs w:val="22"/>
              </w:rPr>
            </w:pPr>
            <w:r w:rsidRPr="00FC7A37">
              <w:rPr>
                <w:rFonts w:asciiTheme="minorHAnsi" w:hAnsiTheme="minorHAnsi"/>
                <w:color w:val="1F497D" w:themeColor="text2"/>
                <w:sz w:val="22"/>
                <w:szCs w:val="22"/>
              </w:rPr>
              <w:t>https://ncsacw.samhsa.gov/files/Collaborative_Approach_508.pdf</w:t>
            </w:r>
          </w:p>
          <w:p w:rsidR="00D728EC" w:rsidRPr="00FC7A37" w:rsidRDefault="00D728EC" w:rsidP="00B13F16">
            <w:pPr>
              <w:rPr>
                <w:rFonts w:asciiTheme="minorHAnsi" w:hAnsiTheme="minorHAnsi"/>
                <w:b/>
                <w:color w:val="1F497D" w:themeColor="text2"/>
                <w:sz w:val="22"/>
                <w:szCs w:val="22"/>
              </w:rPr>
            </w:pPr>
          </w:p>
        </w:tc>
      </w:tr>
    </w:tbl>
    <w:p w:rsidR="00280E7B" w:rsidRPr="00223082" w:rsidRDefault="00280E7B" w:rsidP="00280E7B">
      <w:pPr>
        <w:rPr>
          <w:rFonts w:asciiTheme="minorHAnsi" w:hAnsiTheme="minorHAnsi"/>
          <w:b/>
          <w:sz w:val="22"/>
          <w:szCs w:val="22"/>
        </w:rPr>
      </w:pPr>
    </w:p>
    <w:p w:rsidR="004C46AF" w:rsidRDefault="004C46AF" w:rsidP="00853819"/>
    <w:p w:rsidR="004C46AF" w:rsidRDefault="004C46AF" w:rsidP="00853819"/>
    <w:p w:rsidR="00B90ECD" w:rsidRDefault="00B90ECD" w:rsidP="00853819"/>
    <w:p w:rsidR="00B90ECD" w:rsidRDefault="00B90ECD" w:rsidP="00223082">
      <w:pPr>
        <w:pStyle w:val="ListParagraph"/>
      </w:pPr>
    </w:p>
    <w:p w:rsidR="004F2429" w:rsidRDefault="004F2429" w:rsidP="00853819"/>
    <w:p w:rsidR="004F2429" w:rsidRPr="00627B67" w:rsidRDefault="004F2429" w:rsidP="00853819"/>
    <w:sectPr w:rsidR="004F2429" w:rsidRPr="00627B67" w:rsidSect="00CE0C6C">
      <w:pgSz w:w="12240" w:h="15840"/>
      <w:pgMar w:top="90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838" w:rsidRDefault="00676838" w:rsidP="007C32A4">
      <w:r>
        <w:separator/>
      </w:r>
    </w:p>
  </w:endnote>
  <w:endnote w:type="continuationSeparator" w:id="0">
    <w:p w:rsidR="00676838" w:rsidRDefault="00676838" w:rsidP="007C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32102"/>
      <w:docPartObj>
        <w:docPartGallery w:val="Page Numbers (Bottom of Page)"/>
        <w:docPartUnique/>
      </w:docPartObj>
    </w:sdtPr>
    <w:sdtEndPr>
      <w:rPr>
        <w:noProof/>
        <w:sz w:val="18"/>
        <w:szCs w:val="18"/>
      </w:rPr>
    </w:sdtEndPr>
    <w:sdtContent>
      <w:p w:rsidR="0011627D" w:rsidRDefault="0011627D">
        <w:pPr>
          <w:pStyle w:val="Footer"/>
          <w:jc w:val="right"/>
        </w:pPr>
      </w:p>
      <w:p w:rsidR="0011627D" w:rsidRPr="0011627D" w:rsidRDefault="0011627D">
        <w:pPr>
          <w:pStyle w:val="Footer"/>
          <w:jc w:val="right"/>
          <w:rPr>
            <w:sz w:val="18"/>
            <w:szCs w:val="18"/>
          </w:rPr>
        </w:pPr>
        <w:r w:rsidRPr="0011627D">
          <w:rPr>
            <w:sz w:val="18"/>
            <w:szCs w:val="18"/>
          </w:rPr>
          <w:fldChar w:fldCharType="begin"/>
        </w:r>
        <w:r w:rsidRPr="0011627D">
          <w:rPr>
            <w:sz w:val="18"/>
            <w:szCs w:val="18"/>
          </w:rPr>
          <w:instrText xml:space="preserve"> PAGE   \* MERGEFORMAT </w:instrText>
        </w:r>
        <w:r w:rsidRPr="0011627D">
          <w:rPr>
            <w:sz w:val="18"/>
            <w:szCs w:val="18"/>
          </w:rPr>
          <w:fldChar w:fldCharType="separate"/>
        </w:r>
        <w:r w:rsidR="00F12138">
          <w:rPr>
            <w:noProof/>
            <w:sz w:val="18"/>
            <w:szCs w:val="18"/>
          </w:rPr>
          <w:t>5</w:t>
        </w:r>
        <w:r w:rsidRPr="0011627D">
          <w:rPr>
            <w:noProof/>
            <w:sz w:val="18"/>
            <w:szCs w:val="18"/>
          </w:rPr>
          <w:fldChar w:fldCharType="end"/>
        </w:r>
      </w:p>
    </w:sdtContent>
  </w:sdt>
  <w:p w:rsidR="00C4340E" w:rsidRPr="007B5659" w:rsidRDefault="00C4340E" w:rsidP="007B5659">
    <w:pPr>
      <w:pStyle w:val="Footer"/>
      <w:jc w:val="center"/>
      <w:rPr>
        <w:rFonts w:asciiTheme="minorHAnsi" w:hAnsiTheme="minorHAnsi"/>
        <w:i/>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838" w:rsidRDefault="00676838" w:rsidP="007C32A4">
      <w:r>
        <w:separator/>
      </w:r>
    </w:p>
  </w:footnote>
  <w:footnote w:type="continuationSeparator" w:id="0">
    <w:p w:rsidR="00676838" w:rsidRDefault="00676838" w:rsidP="007C32A4">
      <w:r>
        <w:continuationSeparator/>
      </w:r>
    </w:p>
  </w:footnote>
  <w:footnote w:id="1">
    <w:p w:rsidR="00E10543" w:rsidRPr="00E10543" w:rsidRDefault="00E10543" w:rsidP="00E10543">
      <w:pPr>
        <w:autoSpaceDE w:val="0"/>
        <w:autoSpaceDN w:val="0"/>
        <w:adjustRightInd w:val="0"/>
        <w:rPr>
          <w:rFonts w:ascii="Calibri" w:hAnsi="Calibri" w:cs="Calibri"/>
          <w:sz w:val="18"/>
          <w:szCs w:val="18"/>
        </w:rPr>
      </w:pPr>
      <w:r w:rsidRPr="00E10543">
        <w:rPr>
          <w:rStyle w:val="FootnoteReference"/>
          <w:sz w:val="18"/>
          <w:szCs w:val="18"/>
        </w:rPr>
        <w:footnoteRef/>
      </w:r>
      <w:r w:rsidRPr="00E10543">
        <w:rPr>
          <w:sz w:val="18"/>
          <w:szCs w:val="18"/>
        </w:rPr>
        <w:t xml:space="preserve"> </w:t>
      </w:r>
      <w:proofErr w:type="gramStart"/>
      <w:r w:rsidRPr="00E10543">
        <w:rPr>
          <w:rFonts w:ascii="Calibri" w:hAnsi="Calibri" w:cs="Calibri"/>
          <w:sz w:val="18"/>
          <w:szCs w:val="18"/>
        </w:rPr>
        <w:t>Massachusetts Department of Public Health.</w:t>
      </w:r>
      <w:proofErr w:type="gramEnd"/>
      <w:r w:rsidRPr="00E10543">
        <w:rPr>
          <w:rFonts w:ascii="Calibri" w:hAnsi="Calibri" w:cs="Calibri"/>
          <w:sz w:val="18"/>
          <w:szCs w:val="18"/>
        </w:rPr>
        <w:t xml:space="preserve"> Legislative Report: Chapter 55 – An Assessment of Fatal and Non-fatal</w:t>
      </w:r>
    </w:p>
    <w:p w:rsidR="00E10543" w:rsidRPr="00E10543" w:rsidRDefault="00E10543" w:rsidP="00E10543">
      <w:pPr>
        <w:autoSpaceDE w:val="0"/>
        <w:autoSpaceDN w:val="0"/>
        <w:adjustRightInd w:val="0"/>
        <w:rPr>
          <w:rFonts w:ascii="Calibri" w:hAnsi="Calibri" w:cs="Calibri"/>
          <w:sz w:val="22"/>
          <w:szCs w:val="22"/>
        </w:rPr>
      </w:pPr>
      <w:r w:rsidRPr="00E10543">
        <w:rPr>
          <w:rFonts w:ascii="Calibri" w:hAnsi="Calibri" w:cs="Calibri"/>
          <w:sz w:val="18"/>
          <w:szCs w:val="18"/>
        </w:rPr>
        <w:t>Overdoses in Massachusetts (2011-2015). Available at: https://www.mass.gov/files/documents/2017/08/31/legislativereport-chapter-55-</w:t>
      </w:r>
      <w:r>
        <w:rPr>
          <w:rFonts w:ascii="Calibri" w:hAnsi="Calibri" w:cs="Calibri"/>
          <w:sz w:val="18"/>
          <w:szCs w:val="18"/>
        </w:rPr>
        <w:t xml:space="preserve">aug-2017.pdf. </w:t>
      </w:r>
      <w:proofErr w:type="gramStart"/>
      <w:r>
        <w:rPr>
          <w:rFonts w:ascii="Calibri" w:hAnsi="Calibri" w:cs="Calibri"/>
          <w:sz w:val="18"/>
          <w:szCs w:val="18"/>
        </w:rPr>
        <w:t>Accessed October 18</w:t>
      </w:r>
      <w:r w:rsidRPr="00E10543">
        <w:rPr>
          <w:rFonts w:ascii="Calibri" w:hAnsi="Calibri" w:cs="Calibri"/>
          <w:sz w:val="18"/>
          <w:szCs w:val="18"/>
        </w:rPr>
        <w:t>, 2017.</w:t>
      </w:r>
      <w:proofErr w:type="gramEnd"/>
    </w:p>
  </w:footnote>
  <w:footnote w:id="2">
    <w:p w:rsidR="007F0997" w:rsidRPr="00E10543" w:rsidRDefault="007F0997" w:rsidP="007F0997">
      <w:pPr>
        <w:autoSpaceDE w:val="0"/>
        <w:autoSpaceDN w:val="0"/>
        <w:adjustRightInd w:val="0"/>
        <w:rPr>
          <w:rFonts w:ascii="Calibri" w:hAnsi="Calibri" w:cs="Calibri"/>
          <w:sz w:val="18"/>
          <w:szCs w:val="18"/>
        </w:rPr>
      </w:pPr>
      <w:r>
        <w:rPr>
          <w:rStyle w:val="FootnoteReference"/>
        </w:rPr>
        <w:footnoteRef/>
      </w:r>
      <w:r>
        <w:t xml:space="preserve"> </w:t>
      </w:r>
      <w:proofErr w:type="gramStart"/>
      <w:r w:rsidRPr="00E10543">
        <w:rPr>
          <w:rFonts w:ascii="Calibri" w:hAnsi="Calibri" w:cs="Calibri"/>
          <w:sz w:val="18"/>
          <w:szCs w:val="18"/>
        </w:rPr>
        <w:t>Massachusetts Department of Public Health.</w:t>
      </w:r>
      <w:proofErr w:type="gramEnd"/>
      <w:r w:rsidRPr="00E10543">
        <w:rPr>
          <w:rFonts w:ascii="Calibri" w:hAnsi="Calibri" w:cs="Calibri"/>
          <w:sz w:val="18"/>
          <w:szCs w:val="18"/>
        </w:rPr>
        <w:t xml:space="preserve"> Legislative Report: Chapter 55 – An Assessment of Fatal and Non-fatal</w:t>
      </w:r>
    </w:p>
    <w:p w:rsidR="007F0997" w:rsidRDefault="007F0997" w:rsidP="007F0997">
      <w:pPr>
        <w:pStyle w:val="FootnoteText"/>
      </w:pPr>
      <w:r w:rsidRPr="00E10543">
        <w:rPr>
          <w:rFonts w:ascii="Calibri" w:hAnsi="Calibri" w:cs="Calibri"/>
          <w:sz w:val="18"/>
          <w:szCs w:val="18"/>
        </w:rPr>
        <w:t>Overdoses in Massachusetts (2011-2015). Available at: https://www.mass.gov/files/documents/2017/08/31/legislativereport-chapter-55-</w:t>
      </w:r>
      <w:r>
        <w:rPr>
          <w:rFonts w:ascii="Calibri" w:hAnsi="Calibri" w:cs="Calibri"/>
          <w:sz w:val="18"/>
          <w:szCs w:val="18"/>
        </w:rPr>
        <w:t xml:space="preserve">aug-2017.pdf. </w:t>
      </w:r>
      <w:proofErr w:type="gramStart"/>
      <w:r>
        <w:rPr>
          <w:rFonts w:ascii="Calibri" w:hAnsi="Calibri" w:cs="Calibri"/>
          <w:sz w:val="18"/>
          <w:szCs w:val="18"/>
        </w:rPr>
        <w:t>Accessed October 18</w:t>
      </w:r>
      <w:r w:rsidRPr="00E10543">
        <w:rPr>
          <w:rFonts w:ascii="Calibri" w:hAnsi="Calibri" w:cs="Calibri"/>
          <w:sz w:val="18"/>
          <w:szCs w:val="18"/>
        </w:rPr>
        <w:t>, 2017.</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7CC" w:rsidRDefault="00BF47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A6418"/>
    <w:multiLevelType w:val="hybridMultilevel"/>
    <w:tmpl w:val="8EF82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533612"/>
    <w:multiLevelType w:val="hybridMultilevel"/>
    <w:tmpl w:val="1DDE35AE"/>
    <w:lvl w:ilvl="0" w:tplc="DB8C2F26">
      <w:start w:val="1"/>
      <w:numFmt w:val="bullet"/>
      <w:lvlText w:val="•"/>
      <w:lvlJc w:val="left"/>
      <w:pPr>
        <w:tabs>
          <w:tab w:val="num" w:pos="720"/>
        </w:tabs>
        <w:ind w:left="720" w:hanging="360"/>
      </w:pPr>
      <w:rPr>
        <w:rFonts w:ascii="Arial" w:hAnsi="Arial" w:hint="default"/>
      </w:rPr>
    </w:lvl>
    <w:lvl w:ilvl="1" w:tplc="14C8B900" w:tentative="1">
      <w:start w:val="1"/>
      <w:numFmt w:val="bullet"/>
      <w:lvlText w:val="•"/>
      <w:lvlJc w:val="left"/>
      <w:pPr>
        <w:tabs>
          <w:tab w:val="num" w:pos="1440"/>
        </w:tabs>
        <w:ind w:left="1440" w:hanging="360"/>
      </w:pPr>
      <w:rPr>
        <w:rFonts w:ascii="Arial" w:hAnsi="Arial" w:hint="default"/>
      </w:rPr>
    </w:lvl>
    <w:lvl w:ilvl="2" w:tplc="CDC47570">
      <w:start w:val="1"/>
      <w:numFmt w:val="bullet"/>
      <w:lvlText w:val="•"/>
      <w:lvlJc w:val="left"/>
      <w:pPr>
        <w:tabs>
          <w:tab w:val="num" w:pos="2160"/>
        </w:tabs>
        <w:ind w:left="2160" w:hanging="360"/>
      </w:pPr>
      <w:rPr>
        <w:rFonts w:ascii="Arial" w:hAnsi="Arial" w:hint="default"/>
      </w:rPr>
    </w:lvl>
    <w:lvl w:ilvl="3" w:tplc="DBAE62E6" w:tentative="1">
      <w:start w:val="1"/>
      <w:numFmt w:val="bullet"/>
      <w:lvlText w:val="•"/>
      <w:lvlJc w:val="left"/>
      <w:pPr>
        <w:tabs>
          <w:tab w:val="num" w:pos="2880"/>
        </w:tabs>
        <w:ind w:left="2880" w:hanging="360"/>
      </w:pPr>
      <w:rPr>
        <w:rFonts w:ascii="Arial" w:hAnsi="Arial" w:hint="default"/>
      </w:rPr>
    </w:lvl>
    <w:lvl w:ilvl="4" w:tplc="74CAEF62" w:tentative="1">
      <w:start w:val="1"/>
      <w:numFmt w:val="bullet"/>
      <w:lvlText w:val="•"/>
      <w:lvlJc w:val="left"/>
      <w:pPr>
        <w:tabs>
          <w:tab w:val="num" w:pos="3600"/>
        </w:tabs>
        <w:ind w:left="3600" w:hanging="360"/>
      </w:pPr>
      <w:rPr>
        <w:rFonts w:ascii="Arial" w:hAnsi="Arial" w:hint="default"/>
      </w:rPr>
    </w:lvl>
    <w:lvl w:ilvl="5" w:tplc="3E3A91FE" w:tentative="1">
      <w:start w:val="1"/>
      <w:numFmt w:val="bullet"/>
      <w:lvlText w:val="•"/>
      <w:lvlJc w:val="left"/>
      <w:pPr>
        <w:tabs>
          <w:tab w:val="num" w:pos="4320"/>
        </w:tabs>
        <w:ind w:left="4320" w:hanging="360"/>
      </w:pPr>
      <w:rPr>
        <w:rFonts w:ascii="Arial" w:hAnsi="Arial" w:hint="default"/>
      </w:rPr>
    </w:lvl>
    <w:lvl w:ilvl="6" w:tplc="6A32624C" w:tentative="1">
      <w:start w:val="1"/>
      <w:numFmt w:val="bullet"/>
      <w:lvlText w:val="•"/>
      <w:lvlJc w:val="left"/>
      <w:pPr>
        <w:tabs>
          <w:tab w:val="num" w:pos="5040"/>
        </w:tabs>
        <w:ind w:left="5040" w:hanging="360"/>
      </w:pPr>
      <w:rPr>
        <w:rFonts w:ascii="Arial" w:hAnsi="Arial" w:hint="default"/>
      </w:rPr>
    </w:lvl>
    <w:lvl w:ilvl="7" w:tplc="73BC4CEA" w:tentative="1">
      <w:start w:val="1"/>
      <w:numFmt w:val="bullet"/>
      <w:lvlText w:val="•"/>
      <w:lvlJc w:val="left"/>
      <w:pPr>
        <w:tabs>
          <w:tab w:val="num" w:pos="5760"/>
        </w:tabs>
        <w:ind w:left="5760" w:hanging="360"/>
      </w:pPr>
      <w:rPr>
        <w:rFonts w:ascii="Arial" w:hAnsi="Arial" w:hint="default"/>
      </w:rPr>
    </w:lvl>
    <w:lvl w:ilvl="8" w:tplc="28B624A0" w:tentative="1">
      <w:start w:val="1"/>
      <w:numFmt w:val="bullet"/>
      <w:lvlText w:val="•"/>
      <w:lvlJc w:val="left"/>
      <w:pPr>
        <w:tabs>
          <w:tab w:val="num" w:pos="6480"/>
        </w:tabs>
        <w:ind w:left="6480" w:hanging="360"/>
      </w:pPr>
      <w:rPr>
        <w:rFonts w:ascii="Arial" w:hAnsi="Arial" w:hint="default"/>
      </w:rPr>
    </w:lvl>
  </w:abstractNum>
  <w:abstractNum w:abstractNumId="2">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4C0242"/>
    <w:multiLevelType w:val="hybridMultilevel"/>
    <w:tmpl w:val="57083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9D1A08"/>
    <w:multiLevelType w:val="hybridMultilevel"/>
    <w:tmpl w:val="BE3EC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5F3403"/>
    <w:multiLevelType w:val="hybridMultilevel"/>
    <w:tmpl w:val="4962C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B7111F4"/>
    <w:multiLevelType w:val="hybridMultilevel"/>
    <w:tmpl w:val="BF268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7A0656"/>
    <w:multiLevelType w:val="hybridMultilevel"/>
    <w:tmpl w:val="5D0C2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A3B7826"/>
    <w:multiLevelType w:val="hybridMultilevel"/>
    <w:tmpl w:val="5E3A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E8659F"/>
    <w:multiLevelType w:val="hybridMultilevel"/>
    <w:tmpl w:val="B3649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EF76FE"/>
    <w:multiLevelType w:val="hybridMultilevel"/>
    <w:tmpl w:val="700CF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A16B30"/>
    <w:multiLevelType w:val="hybridMultilevel"/>
    <w:tmpl w:val="F32EC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C6A6512"/>
    <w:multiLevelType w:val="hybridMultilevel"/>
    <w:tmpl w:val="6156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0816DD"/>
    <w:multiLevelType w:val="hybridMultilevel"/>
    <w:tmpl w:val="8CE23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9685D34"/>
    <w:multiLevelType w:val="hybridMultilevel"/>
    <w:tmpl w:val="C532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1"/>
  </w:num>
  <w:num w:numId="4">
    <w:abstractNumId w:val="13"/>
  </w:num>
  <w:num w:numId="5">
    <w:abstractNumId w:val="5"/>
  </w:num>
  <w:num w:numId="6">
    <w:abstractNumId w:val="8"/>
  </w:num>
  <w:num w:numId="7">
    <w:abstractNumId w:val="0"/>
  </w:num>
  <w:num w:numId="8">
    <w:abstractNumId w:val="14"/>
  </w:num>
  <w:num w:numId="9">
    <w:abstractNumId w:val="6"/>
  </w:num>
  <w:num w:numId="10">
    <w:abstractNumId w:val="4"/>
  </w:num>
  <w:num w:numId="11">
    <w:abstractNumId w:val="12"/>
  </w:num>
  <w:num w:numId="12">
    <w:abstractNumId w:val="9"/>
  </w:num>
  <w:num w:numId="13">
    <w:abstractNumId w:val="3"/>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2893d2d2-8c2b-46bc-9b42-fc6c70a8b2a3"/>
  </w:docVars>
  <w:rsids>
    <w:rsidRoot w:val="00C2229E"/>
    <w:rsid w:val="000029AD"/>
    <w:rsid w:val="00006B66"/>
    <w:rsid w:val="0001002C"/>
    <w:rsid w:val="00010B7A"/>
    <w:rsid w:val="000142CE"/>
    <w:rsid w:val="00022B9A"/>
    <w:rsid w:val="00027840"/>
    <w:rsid w:val="0003033D"/>
    <w:rsid w:val="000305E4"/>
    <w:rsid w:val="0003225B"/>
    <w:rsid w:val="000322AD"/>
    <w:rsid w:val="00034994"/>
    <w:rsid w:val="00037990"/>
    <w:rsid w:val="00044FFF"/>
    <w:rsid w:val="00046A3F"/>
    <w:rsid w:val="00056028"/>
    <w:rsid w:val="000665E3"/>
    <w:rsid w:val="000701B6"/>
    <w:rsid w:val="00072D80"/>
    <w:rsid w:val="00074594"/>
    <w:rsid w:val="0007643F"/>
    <w:rsid w:val="00081E61"/>
    <w:rsid w:val="00084B65"/>
    <w:rsid w:val="000909E7"/>
    <w:rsid w:val="00091641"/>
    <w:rsid w:val="000934BB"/>
    <w:rsid w:val="000A323D"/>
    <w:rsid w:val="000A52D4"/>
    <w:rsid w:val="000B79CC"/>
    <w:rsid w:val="000B7A65"/>
    <w:rsid w:val="000C1559"/>
    <w:rsid w:val="000C56BA"/>
    <w:rsid w:val="000C56F3"/>
    <w:rsid w:val="000C7465"/>
    <w:rsid w:val="000C7A61"/>
    <w:rsid w:val="000D05F8"/>
    <w:rsid w:val="000D0C2A"/>
    <w:rsid w:val="000D2679"/>
    <w:rsid w:val="000D7E9E"/>
    <w:rsid w:val="000E00C1"/>
    <w:rsid w:val="000E1BDC"/>
    <w:rsid w:val="000E36D3"/>
    <w:rsid w:val="000F00EA"/>
    <w:rsid w:val="000F157F"/>
    <w:rsid w:val="000F2527"/>
    <w:rsid w:val="000F4674"/>
    <w:rsid w:val="000F46F3"/>
    <w:rsid w:val="00107032"/>
    <w:rsid w:val="001072C1"/>
    <w:rsid w:val="001107AE"/>
    <w:rsid w:val="001131CF"/>
    <w:rsid w:val="00114D0F"/>
    <w:rsid w:val="0011627D"/>
    <w:rsid w:val="00117562"/>
    <w:rsid w:val="00120DB5"/>
    <w:rsid w:val="00126ED5"/>
    <w:rsid w:val="001279BC"/>
    <w:rsid w:val="00135C2F"/>
    <w:rsid w:val="00136AB3"/>
    <w:rsid w:val="0014011C"/>
    <w:rsid w:val="00140AF2"/>
    <w:rsid w:val="001410AA"/>
    <w:rsid w:val="0015294F"/>
    <w:rsid w:val="00153919"/>
    <w:rsid w:val="001544F3"/>
    <w:rsid w:val="00166097"/>
    <w:rsid w:val="0017108B"/>
    <w:rsid w:val="00175A60"/>
    <w:rsid w:val="00176A73"/>
    <w:rsid w:val="00182EC3"/>
    <w:rsid w:val="00183213"/>
    <w:rsid w:val="0019456E"/>
    <w:rsid w:val="0019714E"/>
    <w:rsid w:val="001A125B"/>
    <w:rsid w:val="001A202D"/>
    <w:rsid w:val="001A5742"/>
    <w:rsid w:val="001B1377"/>
    <w:rsid w:val="001B2472"/>
    <w:rsid w:val="001B2D10"/>
    <w:rsid w:val="001B56F9"/>
    <w:rsid w:val="001B69EE"/>
    <w:rsid w:val="001B7B68"/>
    <w:rsid w:val="001F6464"/>
    <w:rsid w:val="0020067B"/>
    <w:rsid w:val="0021457C"/>
    <w:rsid w:val="00220530"/>
    <w:rsid w:val="002212C4"/>
    <w:rsid w:val="00223082"/>
    <w:rsid w:val="0022428B"/>
    <w:rsid w:val="00225483"/>
    <w:rsid w:val="0022742A"/>
    <w:rsid w:val="00237FD2"/>
    <w:rsid w:val="002421BB"/>
    <w:rsid w:val="00246D0F"/>
    <w:rsid w:val="00247048"/>
    <w:rsid w:val="00250B60"/>
    <w:rsid w:val="0025387F"/>
    <w:rsid w:val="00254E59"/>
    <w:rsid w:val="0025697A"/>
    <w:rsid w:val="00261995"/>
    <w:rsid w:val="00262E28"/>
    <w:rsid w:val="00263563"/>
    <w:rsid w:val="002647BA"/>
    <w:rsid w:val="00266428"/>
    <w:rsid w:val="00267AE5"/>
    <w:rsid w:val="00270E37"/>
    <w:rsid w:val="00270E83"/>
    <w:rsid w:val="002771FA"/>
    <w:rsid w:val="002774F4"/>
    <w:rsid w:val="00280E7B"/>
    <w:rsid w:val="002A2A2E"/>
    <w:rsid w:val="002A2F13"/>
    <w:rsid w:val="002A48E9"/>
    <w:rsid w:val="002A5447"/>
    <w:rsid w:val="002A700B"/>
    <w:rsid w:val="002B0268"/>
    <w:rsid w:val="002B3060"/>
    <w:rsid w:val="002B32E2"/>
    <w:rsid w:val="002B7C77"/>
    <w:rsid w:val="002C4015"/>
    <w:rsid w:val="002D0514"/>
    <w:rsid w:val="002E74D6"/>
    <w:rsid w:val="002F3A80"/>
    <w:rsid w:val="003021AA"/>
    <w:rsid w:val="00306A58"/>
    <w:rsid w:val="00306DE5"/>
    <w:rsid w:val="00331EB3"/>
    <w:rsid w:val="00332F68"/>
    <w:rsid w:val="00340AD9"/>
    <w:rsid w:val="00343CF1"/>
    <w:rsid w:val="00345C20"/>
    <w:rsid w:val="003522F4"/>
    <w:rsid w:val="003545C6"/>
    <w:rsid w:val="00360AA1"/>
    <w:rsid w:val="00364154"/>
    <w:rsid w:val="0036538C"/>
    <w:rsid w:val="00366626"/>
    <w:rsid w:val="00372714"/>
    <w:rsid w:val="00372C20"/>
    <w:rsid w:val="00372F94"/>
    <w:rsid w:val="003733A4"/>
    <w:rsid w:val="003749D7"/>
    <w:rsid w:val="003A2ABD"/>
    <w:rsid w:val="003A2E3D"/>
    <w:rsid w:val="003A3263"/>
    <w:rsid w:val="003A5ACA"/>
    <w:rsid w:val="003A5F9D"/>
    <w:rsid w:val="003B12FC"/>
    <w:rsid w:val="003B60D6"/>
    <w:rsid w:val="003C7797"/>
    <w:rsid w:val="003D04FE"/>
    <w:rsid w:val="003D1855"/>
    <w:rsid w:val="003D3013"/>
    <w:rsid w:val="003D3030"/>
    <w:rsid w:val="003D740A"/>
    <w:rsid w:val="003E7FBC"/>
    <w:rsid w:val="003F2E98"/>
    <w:rsid w:val="003F3A55"/>
    <w:rsid w:val="003F5FDE"/>
    <w:rsid w:val="00401350"/>
    <w:rsid w:val="00406153"/>
    <w:rsid w:val="00410476"/>
    <w:rsid w:val="00414926"/>
    <w:rsid w:val="0041552E"/>
    <w:rsid w:val="004166A2"/>
    <w:rsid w:val="0041738F"/>
    <w:rsid w:val="004201B5"/>
    <w:rsid w:val="00420380"/>
    <w:rsid w:val="00425870"/>
    <w:rsid w:val="00426B4D"/>
    <w:rsid w:val="004271F8"/>
    <w:rsid w:val="00427B7B"/>
    <w:rsid w:val="004331A6"/>
    <w:rsid w:val="00433856"/>
    <w:rsid w:val="00434045"/>
    <w:rsid w:val="004374A2"/>
    <w:rsid w:val="004405B0"/>
    <w:rsid w:val="004413B1"/>
    <w:rsid w:val="004424BE"/>
    <w:rsid w:val="00461688"/>
    <w:rsid w:val="0046198F"/>
    <w:rsid w:val="00461F78"/>
    <w:rsid w:val="00462F04"/>
    <w:rsid w:val="00491188"/>
    <w:rsid w:val="004A5F97"/>
    <w:rsid w:val="004B0BFE"/>
    <w:rsid w:val="004B0CEF"/>
    <w:rsid w:val="004C171A"/>
    <w:rsid w:val="004C46AF"/>
    <w:rsid w:val="004C6C59"/>
    <w:rsid w:val="004D01C9"/>
    <w:rsid w:val="004D3CC5"/>
    <w:rsid w:val="004D5B08"/>
    <w:rsid w:val="004E060B"/>
    <w:rsid w:val="004E0AE0"/>
    <w:rsid w:val="004F2429"/>
    <w:rsid w:val="005003D0"/>
    <w:rsid w:val="00504668"/>
    <w:rsid w:val="0050567F"/>
    <w:rsid w:val="00506251"/>
    <w:rsid w:val="0051017C"/>
    <w:rsid w:val="00516975"/>
    <w:rsid w:val="00522090"/>
    <w:rsid w:val="00530D9D"/>
    <w:rsid w:val="00543185"/>
    <w:rsid w:val="00545AB8"/>
    <w:rsid w:val="00553139"/>
    <w:rsid w:val="00555D1E"/>
    <w:rsid w:val="00563C4B"/>
    <w:rsid w:val="00563DD5"/>
    <w:rsid w:val="00565751"/>
    <w:rsid w:val="0056643E"/>
    <w:rsid w:val="0057111F"/>
    <w:rsid w:val="0057183B"/>
    <w:rsid w:val="00573445"/>
    <w:rsid w:val="00573EED"/>
    <w:rsid w:val="00581C0B"/>
    <w:rsid w:val="00582985"/>
    <w:rsid w:val="005847B7"/>
    <w:rsid w:val="00592309"/>
    <w:rsid w:val="00597400"/>
    <w:rsid w:val="005A6CBB"/>
    <w:rsid w:val="005B1035"/>
    <w:rsid w:val="005B2278"/>
    <w:rsid w:val="005B4541"/>
    <w:rsid w:val="005B5287"/>
    <w:rsid w:val="005B7001"/>
    <w:rsid w:val="005B7769"/>
    <w:rsid w:val="005C13D0"/>
    <w:rsid w:val="005D12DC"/>
    <w:rsid w:val="005D7522"/>
    <w:rsid w:val="005D7941"/>
    <w:rsid w:val="005E1BD6"/>
    <w:rsid w:val="005F3A2A"/>
    <w:rsid w:val="006010B0"/>
    <w:rsid w:val="006101B1"/>
    <w:rsid w:val="00610C57"/>
    <w:rsid w:val="0061498C"/>
    <w:rsid w:val="006162B9"/>
    <w:rsid w:val="00617955"/>
    <w:rsid w:val="006237EF"/>
    <w:rsid w:val="006260CC"/>
    <w:rsid w:val="00626457"/>
    <w:rsid w:val="00627B67"/>
    <w:rsid w:val="0063014A"/>
    <w:rsid w:val="00644088"/>
    <w:rsid w:val="00645926"/>
    <w:rsid w:val="006549CD"/>
    <w:rsid w:val="00655495"/>
    <w:rsid w:val="006568D6"/>
    <w:rsid w:val="006661EA"/>
    <w:rsid w:val="00670DA0"/>
    <w:rsid w:val="006715C5"/>
    <w:rsid w:val="0067406A"/>
    <w:rsid w:val="00674E41"/>
    <w:rsid w:val="0067580A"/>
    <w:rsid w:val="00676838"/>
    <w:rsid w:val="00676983"/>
    <w:rsid w:val="0068378B"/>
    <w:rsid w:val="006861EA"/>
    <w:rsid w:val="00692DD8"/>
    <w:rsid w:val="00696B67"/>
    <w:rsid w:val="006B669A"/>
    <w:rsid w:val="006C157C"/>
    <w:rsid w:val="006C54E4"/>
    <w:rsid w:val="006C54EF"/>
    <w:rsid w:val="006D4BBF"/>
    <w:rsid w:val="006D4DEC"/>
    <w:rsid w:val="006D525A"/>
    <w:rsid w:val="006D7D0C"/>
    <w:rsid w:val="006E1D28"/>
    <w:rsid w:val="006E2A10"/>
    <w:rsid w:val="006E537D"/>
    <w:rsid w:val="006E7E12"/>
    <w:rsid w:val="006F30B9"/>
    <w:rsid w:val="006F3B86"/>
    <w:rsid w:val="0071170A"/>
    <w:rsid w:val="00711F51"/>
    <w:rsid w:val="007155F4"/>
    <w:rsid w:val="00722A70"/>
    <w:rsid w:val="00724A24"/>
    <w:rsid w:val="007252E0"/>
    <w:rsid w:val="0072694B"/>
    <w:rsid w:val="0073527D"/>
    <w:rsid w:val="00736B45"/>
    <w:rsid w:val="00736F32"/>
    <w:rsid w:val="00741509"/>
    <w:rsid w:val="00750E54"/>
    <w:rsid w:val="00753F66"/>
    <w:rsid w:val="007609EC"/>
    <w:rsid w:val="0076166F"/>
    <w:rsid w:val="00781039"/>
    <w:rsid w:val="007A116D"/>
    <w:rsid w:val="007B0E69"/>
    <w:rsid w:val="007B2C66"/>
    <w:rsid w:val="007B44D7"/>
    <w:rsid w:val="007B4903"/>
    <w:rsid w:val="007B5659"/>
    <w:rsid w:val="007B684E"/>
    <w:rsid w:val="007C32A4"/>
    <w:rsid w:val="007D4A92"/>
    <w:rsid w:val="007F0997"/>
    <w:rsid w:val="007F0E4D"/>
    <w:rsid w:val="007F58F4"/>
    <w:rsid w:val="007F64C7"/>
    <w:rsid w:val="00812171"/>
    <w:rsid w:val="00815292"/>
    <w:rsid w:val="008210D8"/>
    <w:rsid w:val="00821B5C"/>
    <w:rsid w:val="00823080"/>
    <w:rsid w:val="00823301"/>
    <w:rsid w:val="00824354"/>
    <w:rsid w:val="00845FE5"/>
    <w:rsid w:val="00853819"/>
    <w:rsid w:val="0085554E"/>
    <w:rsid w:val="00860B54"/>
    <w:rsid w:val="0086306E"/>
    <w:rsid w:val="008745F9"/>
    <w:rsid w:val="00880300"/>
    <w:rsid w:val="00882B0C"/>
    <w:rsid w:val="008911A6"/>
    <w:rsid w:val="008961EE"/>
    <w:rsid w:val="0089766C"/>
    <w:rsid w:val="008A197F"/>
    <w:rsid w:val="008A62CB"/>
    <w:rsid w:val="008B3BC4"/>
    <w:rsid w:val="008B5565"/>
    <w:rsid w:val="008C6F5A"/>
    <w:rsid w:val="008C766D"/>
    <w:rsid w:val="008D0385"/>
    <w:rsid w:val="008D12ED"/>
    <w:rsid w:val="008D24D2"/>
    <w:rsid w:val="008D4BCF"/>
    <w:rsid w:val="008E0377"/>
    <w:rsid w:val="008E0D33"/>
    <w:rsid w:val="008E59C5"/>
    <w:rsid w:val="008E78F4"/>
    <w:rsid w:val="008E7A53"/>
    <w:rsid w:val="008F0DE9"/>
    <w:rsid w:val="008F3D3D"/>
    <w:rsid w:val="008F47FE"/>
    <w:rsid w:val="008F5185"/>
    <w:rsid w:val="009018A3"/>
    <w:rsid w:val="009122FB"/>
    <w:rsid w:val="00914B0F"/>
    <w:rsid w:val="00914FF6"/>
    <w:rsid w:val="009178AF"/>
    <w:rsid w:val="00920EC9"/>
    <w:rsid w:val="00932B2C"/>
    <w:rsid w:val="00944F14"/>
    <w:rsid w:val="009477DE"/>
    <w:rsid w:val="00950D5D"/>
    <w:rsid w:val="00952E27"/>
    <w:rsid w:val="00953F2B"/>
    <w:rsid w:val="00953F32"/>
    <w:rsid w:val="00955F45"/>
    <w:rsid w:val="0095754A"/>
    <w:rsid w:val="00962931"/>
    <w:rsid w:val="00964B34"/>
    <w:rsid w:val="0097192B"/>
    <w:rsid w:val="00972B8D"/>
    <w:rsid w:val="00982E73"/>
    <w:rsid w:val="00984CC0"/>
    <w:rsid w:val="00996A63"/>
    <w:rsid w:val="009A0663"/>
    <w:rsid w:val="009A46C1"/>
    <w:rsid w:val="009A49B9"/>
    <w:rsid w:val="009B10C2"/>
    <w:rsid w:val="009B2B34"/>
    <w:rsid w:val="009B7F2B"/>
    <w:rsid w:val="009C7BD4"/>
    <w:rsid w:val="009D0629"/>
    <w:rsid w:val="009D3556"/>
    <w:rsid w:val="009D6C03"/>
    <w:rsid w:val="009D6EF0"/>
    <w:rsid w:val="009D7175"/>
    <w:rsid w:val="009D776C"/>
    <w:rsid w:val="009F5D0A"/>
    <w:rsid w:val="00A02AA0"/>
    <w:rsid w:val="00A0766E"/>
    <w:rsid w:val="00A10A6B"/>
    <w:rsid w:val="00A129F3"/>
    <w:rsid w:val="00A12D22"/>
    <w:rsid w:val="00A169E2"/>
    <w:rsid w:val="00A2292B"/>
    <w:rsid w:val="00A25584"/>
    <w:rsid w:val="00A318F0"/>
    <w:rsid w:val="00A328B2"/>
    <w:rsid w:val="00A33A29"/>
    <w:rsid w:val="00A342E1"/>
    <w:rsid w:val="00A36E68"/>
    <w:rsid w:val="00A43916"/>
    <w:rsid w:val="00A446C9"/>
    <w:rsid w:val="00A567D7"/>
    <w:rsid w:val="00A574BA"/>
    <w:rsid w:val="00A64DDD"/>
    <w:rsid w:val="00A65817"/>
    <w:rsid w:val="00A75CAB"/>
    <w:rsid w:val="00A82E6F"/>
    <w:rsid w:val="00A83FAA"/>
    <w:rsid w:val="00A86325"/>
    <w:rsid w:val="00A9156C"/>
    <w:rsid w:val="00A91A7E"/>
    <w:rsid w:val="00A92693"/>
    <w:rsid w:val="00A959FE"/>
    <w:rsid w:val="00AA09A8"/>
    <w:rsid w:val="00AB2A87"/>
    <w:rsid w:val="00AB6111"/>
    <w:rsid w:val="00AC2B21"/>
    <w:rsid w:val="00AC58DE"/>
    <w:rsid w:val="00AD6095"/>
    <w:rsid w:val="00AE250C"/>
    <w:rsid w:val="00AE6113"/>
    <w:rsid w:val="00AE6ED7"/>
    <w:rsid w:val="00AE7958"/>
    <w:rsid w:val="00AF2D52"/>
    <w:rsid w:val="00AF4A01"/>
    <w:rsid w:val="00B00E65"/>
    <w:rsid w:val="00B035F6"/>
    <w:rsid w:val="00B0450E"/>
    <w:rsid w:val="00B04ED3"/>
    <w:rsid w:val="00B10671"/>
    <w:rsid w:val="00B116B2"/>
    <w:rsid w:val="00B13F16"/>
    <w:rsid w:val="00B15E20"/>
    <w:rsid w:val="00B255AA"/>
    <w:rsid w:val="00B30E3F"/>
    <w:rsid w:val="00B32B2B"/>
    <w:rsid w:val="00B426FF"/>
    <w:rsid w:val="00B546C0"/>
    <w:rsid w:val="00B607F7"/>
    <w:rsid w:val="00B6321C"/>
    <w:rsid w:val="00B658D1"/>
    <w:rsid w:val="00B73BE6"/>
    <w:rsid w:val="00B77813"/>
    <w:rsid w:val="00B860C2"/>
    <w:rsid w:val="00B868FD"/>
    <w:rsid w:val="00B90ECD"/>
    <w:rsid w:val="00B9176C"/>
    <w:rsid w:val="00BA4BD6"/>
    <w:rsid w:val="00BA5A14"/>
    <w:rsid w:val="00BA5DFA"/>
    <w:rsid w:val="00BB3B67"/>
    <w:rsid w:val="00BD1F87"/>
    <w:rsid w:val="00BD3732"/>
    <w:rsid w:val="00BD4F7A"/>
    <w:rsid w:val="00BE5B15"/>
    <w:rsid w:val="00BE5DC3"/>
    <w:rsid w:val="00BE6A77"/>
    <w:rsid w:val="00BF370B"/>
    <w:rsid w:val="00BF47CC"/>
    <w:rsid w:val="00C05391"/>
    <w:rsid w:val="00C11E58"/>
    <w:rsid w:val="00C142B2"/>
    <w:rsid w:val="00C147CA"/>
    <w:rsid w:val="00C17FB0"/>
    <w:rsid w:val="00C2035A"/>
    <w:rsid w:val="00C2229E"/>
    <w:rsid w:val="00C26761"/>
    <w:rsid w:val="00C2774C"/>
    <w:rsid w:val="00C32BA6"/>
    <w:rsid w:val="00C347C2"/>
    <w:rsid w:val="00C41FE0"/>
    <w:rsid w:val="00C4340E"/>
    <w:rsid w:val="00C52C29"/>
    <w:rsid w:val="00C54AB7"/>
    <w:rsid w:val="00C556D2"/>
    <w:rsid w:val="00C55744"/>
    <w:rsid w:val="00C603D3"/>
    <w:rsid w:val="00C62CD2"/>
    <w:rsid w:val="00C67143"/>
    <w:rsid w:val="00C67E24"/>
    <w:rsid w:val="00C67EE5"/>
    <w:rsid w:val="00C71219"/>
    <w:rsid w:val="00C74367"/>
    <w:rsid w:val="00C76608"/>
    <w:rsid w:val="00C8687E"/>
    <w:rsid w:val="00C911C4"/>
    <w:rsid w:val="00CA3427"/>
    <w:rsid w:val="00CB49CC"/>
    <w:rsid w:val="00CC0964"/>
    <w:rsid w:val="00CC5BBC"/>
    <w:rsid w:val="00CC68BC"/>
    <w:rsid w:val="00CD2FE2"/>
    <w:rsid w:val="00CE0C6C"/>
    <w:rsid w:val="00CE1532"/>
    <w:rsid w:val="00CE250A"/>
    <w:rsid w:val="00CE4E16"/>
    <w:rsid w:val="00CE754C"/>
    <w:rsid w:val="00D02F64"/>
    <w:rsid w:val="00D03D97"/>
    <w:rsid w:val="00D265D9"/>
    <w:rsid w:val="00D26CBF"/>
    <w:rsid w:val="00D33436"/>
    <w:rsid w:val="00D34F52"/>
    <w:rsid w:val="00D41B0D"/>
    <w:rsid w:val="00D4336A"/>
    <w:rsid w:val="00D45CF8"/>
    <w:rsid w:val="00D461D9"/>
    <w:rsid w:val="00D471A6"/>
    <w:rsid w:val="00D47344"/>
    <w:rsid w:val="00D535B4"/>
    <w:rsid w:val="00D542F2"/>
    <w:rsid w:val="00D6363C"/>
    <w:rsid w:val="00D71452"/>
    <w:rsid w:val="00D728EC"/>
    <w:rsid w:val="00D76024"/>
    <w:rsid w:val="00D80DDA"/>
    <w:rsid w:val="00D82746"/>
    <w:rsid w:val="00D833DA"/>
    <w:rsid w:val="00D837F2"/>
    <w:rsid w:val="00D84C6E"/>
    <w:rsid w:val="00D86337"/>
    <w:rsid w:val="00D91C58"/>
    <w:rsid w:val="00D94CEF"/>
    <w:rsid w:val="00D94F1B"/>
    <w:rsid w:val="00D96F41"/>
    <w:rsid w:val="00DA0670"/>
    <w:rsid w:val="00DB0A2E"/>
    <w:rsid w:val="00DB6D6B"/>
    <w:rsid w:val="00DC70A7"/>
    <w:rsid w:val="00DD2E94"/>
    <w:rsid w:val="00DD6A94"/>
    <w:rsid w:val="00DE2078"/>
    <w:rsid w:val="00DF2143"/>
    <w:rsid w:val="00DF2D04"/>
    <w:rsid w:val="00DF4D5C"/>
    <w:rsid w:val="00DF714E"/>
    <w:rsid w:val="00E00C8B"/>
    <w:rsid w:val="00E03AA4"/>
    <w:rsid w:val="00E0716C"/>
    <w:rsid w:val="00E10543"/>
    <w:rsid w:val="00E13629"/>
    <w:rsid w:val="00E162BF"/>
    <w:rsid w:val="00E16CE5"/>
    <w:rsid w:val="00E200A8"/>
    <w:rsid w:val="00E23289"/>
    <w:rsid w:val="00E3090A"/>
    <w:rsid w:val="00E37291"/>
    <w:rsid w:val="00E3731B"/>
    <w:rsid w:val="00E37A20"/>
    <w:rsid w:val="00E40A07"/>
    <w:rsid w:val="00E444D3"/>
    <w:rsid w:val="00E46197"/>
    <w:rsid w:val="00E5287A"/>
    <w:rsid w:val="00E539E7"/>
    <w:rsid w:val="00E565CD"/>
    <w:rsid w:val="00E56FDB"/>
    <w:rsid w:val="00E570A6"/>
    <w:rsid w:val="00E63AB7"/>
    <w:rsid w:val="00E65BF1"/>
    <w:rsid w:val="00E71E73"/>
    <w:rsid w:val="00E72402"/>
    <w:rsid w:val="00E73933"/>
    <w:rsid w:val="00E74B62"/>
    <w:rsid w:val="00E80608"/>
    <w:rsid w:val="00E80D12"/>
    <w:rsid w:val="00E86F5C"/>
    <w:rsid w:val="00E87C75"/>
    <w:rsid w:val="00E92043"/>
    <w:rsid w:val="00E923EF"/>
    <w:rsid w:val="00E95C84"/>
    <w:rsid w:val="00E964AF"/>
    <w:rsid w:val="00E97F1E"/>
    <w:rsid w:val="00EA25C7"/>
    <w:rsid w:val="00EA4BBA"/>
    <w:rsid w:val="00EA50D9"/>
    <w:rsid w:val="00EA6952"/>
    <w:rsid w:val="00EA7660"/>
    <w:rsid w:val="00EB0101"/>
    <w:rsid w:val="00EC4AE9"/>
    <w:rsid w:val="00ED0762"/>
    <w:rsid w:val="00ED2EFB"/>
    <w:rsid w:val="00ED798C"/>
    <w:rsid w:val="00ED7A99"/>
    <w:rsid w:val="00EE29C7"/>
    <w:rsid w:val="00EE34A6"/>
    <w:rsid w:val="00EF3234"/>
    <w:rsid w:val="00EF3406"/>
    <w:rsid w:val="00EF7221"/>
    <w:rsid w:val="00F00E8D"/>
    <w:rsid w:val="00F00F90"/>
    <w:rsid w:val="00F04906"/>
    <w:rsid w:val="00F05341"/>
    <w:rsid w:val="00F0749F"/>
    <w:rsid w:val="00F11E0D"/>
    <w:rsid w:val="00F12138"/>
    <w:rsid w:val="00F15225"/>
    <w:rsid w:val="00F16883"/>
    <w:rsid w:val="00F176D8"/>
    <w:rsid w:val="00F2017D"/>
    <w:rsid w:val="00F20EE8"/>
    <w:rsid w:val="00F22083"/>
    <w:rsid w:val="00F261D5"/>
    <w:rsid w:val="00F352C5"/>
    <w:rsid w:val="00F3713E"/>
    <w:rsid w:val="00F41C90"/>
    <w:rsid w:val="00F56995"/>
    <w:rsid w:val="00F56E60"/>
    <w:rsid w:val="00F64E80"/>
    <w:rsid w:val="00F65972"/>
    <w:rsid w:val="00F72ABE"/>
    <w:rsid w:val="00F75102"/>
    <w:rsid w:val="00F76D7A"/>
    <w:rsid w:val="00F827B9"/>
    <w:rsid w:val="00F85EFA"/>
    <w:rsid w:val="00F8631C"/>
    <w:rsid w:val="00F873EF"/>
    <w:rsid w:val="00FA01B3"/>
    <w:rsid w:val="00FA1DD0"/>
    <w:rsid w:val="00FA6D9D"/>
    <w:rsid w:val="00FA6E8B"/>
    <w:rsid w:val="00FA6EA3"/>
    <w:rsid w:val="00FA7335"/>
    <w:rsid w:val="00FB63EB"/>
    <w:rsid w:val="00FB6904"/>
    <w:rsid w:val="00FC7A37"/>
    <w:rsid w:val="00FD1BC5"/>
    <w:rsid w:val="00FD5CAD"/>
    <w:rsid w:val="00FD7C1A"/>
    <w:rsid w:val="00FE3402"/>
    <w:rsid w:val="00FE355C"/>
    <w:rsid w:val="00FE4BB5"/>
    <w:rsid w:val="00FE66BB"/>
    <w:rsid w:val="00FF5D10"/>
    <w:rsid w:val="00FF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D728E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D728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9402">
      <w:bodyDiv w:val="1"/>
      <w:marLeft w:val="0"/>
      <w:marRight w:val="0"/>
      <w:marTop w:val="0"/>
      <w:marBottom w:val="0"/>
      <w:divBdr>
        <w:top w:val="none" w:sz="0" w:space="0" w:color="auto"/>
        <w:left w:val="none" w:sz="0" w:space="0" w:color="auto"/>
        <w:bottom w:val="none" w:sz="0" w:space="0" w:color="auto"/>
        <w:right w:val="none" w:sz="0" w:space="0" w:color="auto"/>
      </w:divBdr>
    </w:div>
    <w:div w:id="98333075">
      <w:bodyDiv w:val="1"/>
      <w:marLeft w:val="0"/>
      <w:marRight w:val="0"/>
      <w:marTop w:val="0"/>
      <w:marBottom w:val="0"/>
      <w:divBdr>
        <w:top w:val="none" w:sz="0" w:space="0" w:color="auto"/>
        <w:left w:val="none" w:sz="0" w:space="0" w:color="auto"/>
        <w:bottom w:val="none" w:sz="0" w:space="0" w:color="auto"/>
        <w:right w:val="none" w:sz="0" w:space="0" w:color="auto"/>
      </w:divBdr>
    </w:div>
    <w:div w:id="177043253">
      <w:marLeft w:val="0"/>
      <w:marRight w:val="0"/>
      <w:marTop w:val="0"/>
      <w:marBottom w:val="0"/>
      <w:divBdr>
        <w:top w:val="none" w:sz="0" w:space="0" w:color="auto"/>
        <w:left w:val="none" w:sz="0" w:space="0" w:color="auto"/>
        <w:bottom w:val="none" w:sz="0" w:space="0" w:color="auto"/>
        <w:right w:val="none" w:sz="0" w:space="0" w:color="auto"/>
      </w:divBdr>
    </w:div>
    <w:div w:id="177043254">
      <w:marLeft w:val="0"/>
      <w:marRight w:val="0"/>
      <w:marTop w:val="0"/>
      <w:marBottom w:val="0"/>
      <w:divBdr>
        <w:top w:val="none" w:sz="0" w:space="0" w:color="auto"/>
        <w:left w:val="none" w:sz="0" w:space="0" w:color="auto"/>
        <w:bottom w:val="none" w:sz="0" w:space="0" w:color="auto"/>
        <w:right w:val="none" w:sz="0" w:space="0" w:color="auto"/>
      </w:divBdr>
    </w:div>
    <w:div w:id="177043255">
      <w:marLeft w:val="0"/>
      <w:marRight w:val="0"/>
      <w:marTop w:val="0"/>
      <w:marBottom w:val="0"/>
      <w:divBdr>
        <w:top w:val="none" w:sz="0" w:space="0" w:color="auto"/>
        <w:left w:val="none" w:sz="0" w:space="0" w:color="auto"/>
        <w:bottom w:val="none" w:sz="0" w:space="0" w:color="auto"/>
        <w:right w:val="none" w:sz="0" w:space="0" w:color="auto"/>
      </w:divBdr>
    </w:div>
    <w:div w:id="177043256">
      <w:marLeft w:val="0"/>
      <w:marRight w:val="0"/>
      <w:marTop w:val="0"/>
      <w:marBottom w:val="0"/>
      <w:divBdr>
        <w:top w:val="none" w:sz="0" w:space="0" w:color="auto"/>
        <w:left w:val="none" w:sz="0" w:space="0" w:color="auto"/>
        <w:bottom w:val="none" w:sz="0" w:space="0" w:color="auto"/>
        <w:right w:val="none" w:sz="0" w:space="0" w:color="auto"/>
      </w:divBdr>
    </w:div>
    <w:div w:id="177043257">
      <w:marLeft w:val="0"/>
      <w:marRight w:val="0"/>
      <w:marTop w:val="0"/>
      <w:marBottom w:val="0"/>
      <w:divBdr>
        <w:top w:val="none" w:sz="0" w:space="0" w:color="auto"/>
        <w:left w:val="none" w:sz="0" w:space="0" w:color="auto"/>
        <w:bottom w:val="none" w:sz="0" w:space="0" w:color="auto"/>
        <w:right w:val="none" w:sz="0" w:space="0" w:color="auto"/>
      </w:divBdr>
    </w:div>
    <w:div w:id="177043258">
      <w:marLeft w:val="0"/>
      <w:marRight w:val="0"/>
      <w:marTop w:val="0"/>
      <w:marBottom w:val="0"/>
      <w:divBdr>
        <w:top w:val="none" w:sz="0" w:space="0" w:color="auto"/>
        <w:left w:val="none" w:sz="0" w:space="0" w:color="auto"/>
        <w:bottom w:val="none" w:sz="0" w:space="0" w:color="auto"/>
        <w:right w:val="none" w:sz="0" w:space="0" w:color="auto"/>
      </w:divBdr>
    </w:div>
    <w:div w:id="177043259">
      <w:marLeft w:val="0"/>
      <w:marRight w:val="0"/>
      <w:marTop w:val="0"/>
      <w:marBottom w:val="0"/>
      <w:divBdr>
        <w:top w:val="none" w:sz="0" w:space="0" w:color="auto"/>
        <w:left w:val="none" w:sz="0" w:space="0" w:color="auto"/>
        <w:bottom w:val="none" w:sz="0" w:space="0" w:color="auto"/>
        <w:right w:val="none" w:sz="0" w:space="0" w:color="auto"/>
      </w:divBdr>
    </w:div>
    <w:div w:id="177043260">
      <w:marLeft w:val="0"/>
      <w:marRight w:val="0"/>
      <w:marTop w:val="0"/>
      <w:marBottom w:val="0"/>
      <w:divBdr>
        <w:top w:val="none" w:sz="0" w:space="0" w:color="auto"/>
        <w:left w:val="none" w:sz="0" w:space="0" w:color="auto"/>
        <w:bottom w:val="none" w:sz="0" w:space="0" w:color="auto"/>
        <w:right w:val="none" w:sz="0" w:space="0" w:color="auto"/>
      </w:divBdr>
    </w:div>
    <w:div w:id="298070074">
      <w:bodyDiv w:val="1"/>
      <w:marLeft w:val="0"/>
      <w:marRight w:val="0"/>
      <w:marTop w:val="0"/>
      <w:marBottom w:val="0"/>
      <w:divBdr>
        <w:top w:val="none" w:sz="0" w:space="0" w:color="auto"/>
        <w:left w:val="none" w:sz="0" w:space="0" w:color="auto"/>
        <w:bottom w:val="none" w:sz="0" w:space="0" w:color="auto"/>
        <w:right w:val="none" w:sz="0" w:space="0" w:color="auto"/>
      </w:divBdr>
    </w:div>
    <w:div w:id="325061541">
      <w:bodyDiv w:val="1"/>
      <w:marLeft w:val="0"/>
      <w:marRight w:val="0"/>
      <w:marTop w:val="0"/>
      <w:marBottom w:val="0"/>
      <w:divBdr>
        <w:top w:val="none" w:sz="0" w:space="0" w:color="auto"/>
        <w:left w:val="none" w:sz="0" w:space="0" w:color="auto"/>
        <w:bottom w:val="none" w:sz="0" w:space="0" w:color="auto"/>
        <w:right w:val="none" w:sz="0" w:space="0" w:color="auto"/>
      </w:divBdr>
    </w:div>
    <w:div w:id="564068869">
      <w:bodyDiv w:val="1"/>
      <w:marLeft w:val="0"/>
      <w:marRight w:val="0"/>
      <w:marTop w:val="0"/>
      <w:marBottom w:val="0"/>
      <w:divBdr>
        <w:top w:val="none" w:sz="0" w:space="0" w:color="auto"/>
        <w:left w:val="none" w:sz="0" w:space="0" w:color="auto"/>
        <w:bottom w:val="none" w:sz="0" w:space="0" w:color="auto"/>
        <w:right w:val="none" w:sz="0" w:space="0" w:color="auto"/>
      </w:divBdr>
    </w:div>
    <w:div w:id="594830080">
      <w:bodyDiv w:val="1"/>
      <w:marLeft w:val="0"/>
      <w:marRight w:val="0"/>
      <w:marTop w:val="0"/>
      <w:marBottom w:val="0"/>
      <w:divBdr>
        <w:top w:val="none" w:sz="0" w:space="0" w:color="auto"/>
        <w:left w:val="none" w:sz="0" w:space="0" w:color="auto"/>
        <w:bottom w:val="none" w:sz="0" w:space="0" w:color="auto"/>
        <w:right w:val="none" w:sz="0" w:space="0" w:color="auto"/>
      </w:divBdr>
    </w:div>
    <w:div w:id="769592636">
      <w:bodyDiv w:val="1"/>
      <w:marLeft w:val="0"/>
      <w:marRight w:val="0"/>
      <w:marTop w:val="0"/>
      <w:marBottom w:val="0"/>
      <w:divBdr>
        <w:top w:val="none" w:sz="0" w:space="0" w:color="auto"/>
        <w:left w:val="none" w:sz="0" w:space="0" w:color="auto"/>
        <w:bottom w:val="none" w:sz="0" w:space="0" w:color="auto"/>
        <w:right w:val="none" w:sz="0" w:space="0" w:color="auto"/>
      </w:divBdr>
    </w:div>
    <w:div w:id="818496071">
      <w:bodyDiv w:val="1"/>
      <w:marLeft w:val="0"/>
      <w:marRight w:val="0"/>
      <w:marTop w:val="0"/>
      <w:marBottom w:val="0"/>
      <w:divBdr>
        <w:top w:val="none" w:sz="0" w:space="0" w:color="auto"/>
        <w:left w:val="none" w:sz="0" w:space="0" w:color="auto"/>
        <w:bottom w:val="none" w:sz="0" w:space="0" w:color="auto"/>
        <w:right w:val="none" w:sz="0" w:space="0" w:color="auto"/>
      </w:divBdr>
    </w:div>
    <w:div w:id="1295330151">
      <w:bodyDiv w:val="1"/>
      <w:marLeft w:val="0"/>
      <w:marRight w:val="0"/>
      <w:marTop w:val="0"/>
      <w:marBottom w:val="0"/>
      <w:divBdr>
        <w:top w:val="none" w:sz="0" w:space="0" w:color="auto"/>
        <w:left w:val="none" w:sz="0" w:space="0" w:color="auto"/>
        <w:bottom w:val="none" w:sz="0" w:space="0" w:color="auto"/>
        <w:right w:val="none" w:sz="0" w:space="0" w:color="auto"/>
      </w:divBdr>
    </w:div>
    <w:div w:id="1576475119">
      <w:bodyDiv w:val="1"/>
      <w:marLeft w:val="0"/>
      <w:marRight w:val="0"/>
      <w:marTop w:val="0"/>
      <w:marBottom w:val="0"/>
      <w:divBdr>
        <w:top w:val="none" w:sz="0" w:space="0" w:color="auto"/>
        <w:left w:val="none" w:sz="0" w:space="0" w:color="auto"/>
        <w:bottom w:val="none" w:sz="0" w:space="0" w:color="auto"/>
        <w:right w:val="none" w:sz="0" w:space="0" w:color="auto"/>
      </w:divBdr>
    </w:div>
    <w:div w:id="1618292998">
      <w:bodyDiv w:val="1"/>
      <w:marLeft w:val="0"/>
      <w:marRight w:val="0"/>
      <w:marTop w:val="0"/>
      <w:marBottom w:val="0"/>
      <w:divBdr>
        <w:top w:val="none" w:sz="0" w:space="0" w:color="auto"/>
        <w:left w:val="none" w:sz="0" w:space="0" w:color="auto"/>
        <w:bottom w:val="none" w:sz="0" w:space="0" w:color="auto"/>
        <w:right w:val="none" w:sz="0" w:space="0" w:color="auto"/>
      </w:divBdr>
    </w:div>
    <w:div w:id="1660688734">
      <w:bodyDiv w:val="1"/>
      <w:marLeft w:val="0"/>
      <w:marRight w:val="0"/>
      <w:marTop w:val="0"/>
      <w:marBottom w:val="0"/>
      <w:divBdr>
        <w:top w:val="none" w:sz="0" w:space="0" w:color="auto"/>
        <w:left w:val="none" w:sz="0" w:space="0" w:color="auto"/>
        <w:bottom w:val="none" w:sz="0" w:space="0" w:color="auto"/>
        <w:right w:val="none" w:sz="0" w:space="0" w:color="auto"/>
      </w:divBdr>
    </w:div>
    <w:div w:id="1728140509">
      <w:bodyDiv w:val="1"/>
      <w:marLeft w:val="0"/>
      <w:marRight w:val="0"/>
      <w:marTop w:val="0"/>
      <w:marBottom w:val="0"/>
      <w:divBdr>
        <w:top w:val="none" w:sz="0" w:space="0" w:color="auto"/>
        <w:left w:val="none" w:sz="0" w:space="0" w:color="auto"/>
        <w:bottom w:val="none" w:sz="0" w:space="0" w:color="auto"/>
        <w:right w:val="none" w:sz="0" w:space="0" w:color="auto"/>
      </w:divBdr>
    </w:div>
    <w:div w:id="1732116721">
      <w:bodyDiv w:val="1"/>
      <w:marLeft w:val="0"/>
      <w:marRight w:val="0"/>
      <w:marTop w:val="0"/>
      <w:marBottom w:val="0"/>
      <w:divBdr>
        <w:top w:val="none" w:sz="0" w:space="0" w:color="auto"/>
        <w:left w:val="none" w:sz="0" w:space="0" w:color="auto"/>
        <w:bottom w:val="none" w:sz="0" w:space="0" w:color="auto"/>
        <w:right w:val="none" w:sz="0" w:space="0" w:color="auto"/>
      </w:divBdr>
    </w:div>
    <w:div w:id="1837182679">
      <w:bodyDiv w:val="1"/>
      <w:marLeft w:val="0"/>
      <w:marRight w:val="0"/>
      <w:marTop w:val="0"/>
      <w:marBottom w:val="0"/>
      <w:divBdr>
        <w:top w:val="none" w:sz="0" w:space="0" w:color="auto"/>
        <w:left w:val="none" w:sz="0" w:space="0" w:color="auto"/>
        <w:bottom w:val="none" w:sz="0" w:space="0" w:color="auto"/>
        <w:right w:val="none" w:sz="0" w:space="0" w:color="auto"/>
      </w:divBdr>
    </w:div>
    <w:div w:id="1848640823">
      <w:bodyDiv w:val="1"/>
      <w:marLeft w:val="0"/>
      <w:marRight w:val="0"/>
      <w:marTop w:val="0"/>
      <w:marBottom w:val="0"/>
      <w:divBdr>
        <w:top w:val="none" w:sz="0" w:space="0" w:color="auto"/>
        <w:left w:val="none" w:sz="0" w:space="0" w:color="auto"/>
        <w:bottom w:val="none" w:sz="0" w:space="0" w:color="auto"/>
        <w:right w:val="none" w:sz="0" w:space="0" w:color="auto"/>
      </w:divBdr>
      <w:divsChild>
        <w:div w:id="1150707679">
          <w:marLeft w:val="1152"/>
          <w:marRight w:val="0"/>
          <w:marTop w:val="86"/>
          <w:marBottom w:val="0"/>
          <w:divBdr>
            <w:top w:val="none" w:sz="0" w:space="0" w:color="auto"/>
            <w:left w:val="none" w:sz="0" w:space="0" w:color="auto"/>
            <w:bottom w:val="none" w:sz="0" w:space="0" w:color="auto"/>
            <w:right w:val="none" w:sz="0" w:space="0" w:color="auto"/>
          </w:divBdr>
        </w:div>
      </w:divsChild>
    </w:div>
    <w:div w:id="208406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ss.gov/opioidresponse"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PH-FP-CO-122\users\tnielsen\CSTE%20Fellowship%20-%20Year%201\White%20Paper%20Figur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H-FP-CO-122\users\tnielsen\CSTE%20Fellowship%20-%20Year%201\White%20Paper%20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spPr>
            <a:ln>
              <a:solidFill>
                <a:srgbClr val="FF0000"/>
              </a:solidFill>
            </a:ln>
          </c:spPr>
          <c:marker>
            <c:symbol val="none"/>
          </c:marker>
          <c:dLbls>
            <c:dLbl>
              <c:idx val="0"/>
              <c:layout>
                <c:manualLayout>
                  <c:x val="-4.6353101567825516E-2"/>
                  <c:y val="5.2545146935056061E-2"/>
                </c:manualLayout>
              </c:layout>
              <c:showLegendKey val="0"/>
              <c:showVal val="1"/>
              <c:showCatName val="0"/>
              <c:showSerName val="0"/>
              <c:showPercent val="0"/>
              <c:showBubbleSize val="0"/>
            </c:dLbl>
            <c:dLbl>
              <c:idx val="9"/>
              <c:layout>
                <c:manualLayout>
                  <c:x val="-2.3960624553832612E-2"/>
                  <c:y val="-5.2796149999155266E-2"/>
                </c:manualLayout>
              </c:layout>
              <c:showLegendKey val="0"/>
              <c:showVal val="1"/>
              <c:showCatName val="0"/>
              <c:showSerName val="0"/>
              <c:showPercent val="0"/>
              <c:showBubbleSize val="0"/>
            </c:dLbl>
            <c:txPr>
              <a:bodyPr/>
              <a:lstStyle/>
              <a:p>
                <a:pPr>
                  <a:defRPr sz="1100" b="1"/>
                </a:pPr>
                <a:endParaRPr lang="en-US"/>
              </a:p>
            </c:txPr>
            <c:showLegendKey val="0"/>
            <c:showVal val="0"/>
            <c:showCatName val="0"/>
            <c:showSerName val="0"/>
            <c:showPercent val="0"/>
            <c:showBubbleSize val="0"/>
          </c:dLbls>
          <c:cat>
            <c:numRef>
              <c:f>Sheet1!$A$2:$A$11</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Sheet1!$E$2:$E$11</c:f>
              <c:numCache>
                <c:formatCode>0.0%</c:formatCode>
                <c:ptCount val="10"/>
                <c:pt idx="0">
                  <c:v>8.6956521739130432E-2</c:v>
                </c:pt>
                <c:pt idx="1">
                  <c:v>0.18181818181818182</c:v>
                </c:pt>
                <c:pt idx="2">
                  <c:v>0.18181818181818182</c:v>
                </c:pt>
                <c:pt idx="3">
                  <c:v>0.13043478260869565</c:v>
                </c:pt>
                <c:pt idx="4">
                  <c:v>0.2</c:v>
                </c:pt>
                <c:pt idx="5">
                  <c:v>0.18181818181818182</c:v>
                </c:pt>
                <c:pt idx="6">
                  <c:v>0.14285714285714285</c:v>
                </c:pt>
                <c:pt idx="7">
                  <c:v>0.19047619047619047</c:v>
                </c:pt>
                <c:pt idx="8">
                  <c:v>0.26315789473684209</c:v>
                </c:pt>
                <c:pt idx="9">
                  <c:v>0.41379310344827586</c:v>
                </c:pt>
              </c:numCache>
            </c:numRef>
          </c:val>
          <c:smooth val="0"/>
        </c:ser>
        <c:dLbls>
          <c:showLegendKey val="0"/>
          <c:showVal val="0"/>
          <c:showCatName val="0"/>
          <c:showSerName val="0"/>
          <c:showPercent val="0"/>
          <c:showBubbleSize val="0"/>
        </c:dLbls>
        <c:marker val="1"/>
        <c:smooth val="0"/>
        <c:axId val="87748992"/>
        <c:axId val="87750528"/>
      </c:lineChart>
      <c:catAx>
        <c:axId val="87748992"/>
        <c:scaling>
          <c:orientation val="minMax"/>
        </c:scaling>
        <c:delete val="0"/>
        <c:axPos val="b"/>
        <c:numFmt formatCode="General" sourceLinked="1"/>
        <c:majorTickMark val="out"/>
        <c:minorTickMark val="none"/>
        <c:tickLblPos val="nextTo"/>
        <c:txPr>
          <a:bodyPr/>
          <a:lstStyle/>
          <a:p>
            <a:pPr>
              <a:defRPr sz="1100"/>
            </a:pPr>
            <a:endParaRPr lang="en-US"/>
          </a:p>
        </c:txPr>
        <c:crossAx val="87750528"/>
        <c:crosses val="autoZero"/>
        <c:auto val="1"/>
        <c:lblAlgn val="ctr"/>
        <c:lblOffset val="100"/>
        <c:noMultiLvlLbl val="0"/>
      </c:catAx>
      <c:valAx>
        <c:axId val="87750528"/>
        <c:scaling>
          <c:orientation val="minMax"/>
        </c:scaling>
        <c:delete val="0"/>
        <c:axPos val="l"/>
        <c:majorGridlines>
          <c:spPr>
            <a:ln>
              <a:noFill/>
            </a:ln>
          </c:spPr>
        </c:majorGridlines>
        <c:title>
          <c:tx>
            <c:rich>
              <a:bodyPr rot="-5400000" vert="horz"/>
              <a:lstStyle/>
              <a:p>
                <a:pPr>
                  <a:defRPr sz="1100" b="0"/>
                </a:pPr>
                <a:r>
                  <a:rPr lang="en-US" sz="1100" b="0"/>
                  <a:t>Deaths</a:t>
                </a:r>
                <a:r>
                  <a:rPr lang="en-US" sz="1100" b="0" baseline="0"/>
                  <a:t> related to substance use (%)</a:t>
                </a:r>
              </a:p>
            </c:rich>
          </c:tx>
          <c:layout>
            <c:manualLayout>
              <c:xMode val="edge"/>
              <c:yMode val="edge"/>
              <c:x val="1.6359918200408999E-2"/>
              <c:y val="0.10854227557033379"/>
            </c:manualLayout>
          </c:layout>
          <c:overlay val="0"/>
        </c:title>
        <c:numFmt formatCode="0%" sourceLinked="0"/>
        <c:majorTickMark val="out"/>
        <c:minorTickMark val="none"/>
        <c:tickLblPos val="nextTo"/>
        <c:txPr>
          <a:bodyPr/>
          <a:lstStyle/>
          <a:p>
            <a:pPr>
              <a:defRPr sz="1100"/>
            </a:pPr>
            <a:endParaRPr lang="en-US"/>
          </a:p>
        </c:txPr>
        <c:crossAx val="87748992"/>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1"/>
          <c:order val="0"/>
          <c:tx>
            <c:strRef>
              <c:f>Sheet1!$B$20</c:f>
              <c:strCache>
                <c:ptCount val="1"/>
                <c:pt idx="0">
                  <c:v>All pregnancy-associated deaths</c:v>
                </c:pt>
              </c:strCache>
            </c:strRef>
          </c:tx>
          <c:spPr>
            <a:solidFill>
              <a:schemeClr val="bg1">
                <a:lumMod val="50000"/>
              </a:schemeClr>
            </a:solidFill>
          </c:spPr>
          <c:invertIfNegative val="0"/>
          <c:dLbls>
            <c:txPr>
              <a:bodyPr/>
              <a:lstStyle/>
              <a:p>
                <a:pPr>
                  <a:defRPr b="1"/>
                </a:pPr>
                <a:endParaRPr lang="en-US"/>
              </a:p>
            </c:txPr>
            <c:showLegendKey val="0"/>
            <c:showVal val="1"/>
            <c:showCatName val="0"/>
            <c:showSerName val="0"/>
            <c:showPercent val="0"/>
            <c:showBubbleSize val="0"/>
            <c:showLeaderLines val="0"/>
          </c:dLbls>
          <c:cat>
            <c:strRef>
              <c:f>Sheet1!$A$21:$A$24</c:f>
              <c:strCache>
                <c:ptCount val="4"/>
                <c:pt idx="0">
                  <c:v>42–&lt;365 days postpartum</c:v>
                </c:pt>
                <c:pt idx="1">
                  <c:v>7–&lt;42 days postpartum</c:v>
                </c:pt>
                <c:pt idx="2">
                  <c:v>0–&lt;7 days postpartum</c:v>
                </c:pt>
                <c:pt idx="3">
                  <c:v>Pregnancy</c:v>
                </c:pt>
              </c:strCache>
            </c:strRef>
          </c:cat>
          <c:val>
            <c:numRef>
              <c:f>Sheet1!$B$21:$B$24</c:f>
              <c:numCache>
                <c:formatCode>0.0%</c:formatCode>
                <c:ptCount val="4"/>
                <c:pt idx="0">
                  <c:v>0.59799999999999998</c:v>
                </c:pt>
                <c:pt idx="1">
                  <c:v>0.14099999999999999</c:v>
                </c:pt>
                <c:pt idx="2">
                  <c:v>0.20100000000000001</c:v>
                </c:pt>
                <c:pt idx="3">
                  <c:v>0.06</c:v>
                </c:pt>
              </c:numCache>
            </c:numRef>
          </c:val>
        </c:ser>
        <c:ser>
          <c:idx val="0"/>
          <c:order val="1"/>
          <c:tx>
            <c:strRef>
              <c:f>Sheet1!$C$20</c:f>
              <c:strCache>
                <c:ptCount val="1"/>
                <c:pt idx="0">
                  <c:v>Substance use-related deaths</c:v>
                </c:pt>
              </c:strCache>
            </c:strRef>
          </c:tx>
          <c:spPr>
            <a:solidFill>
              <a:srgbClr val="FF0000"/>
            </a:solidFill>
          </c:spPr>
          <c:invertIfNegative val="0"/>
          <c:dLbls>
            <c:txPr>
              <a:bodyPr/>
              <a:lstStyle/>
              <a:p>
                <a:pPr>
                  <a:defRPr b="1"/>
                </a:pPr>
                <a:endParaRPr lang="en-US"/>
              </a:p>
            </c:txPr>
            <c:showLegendKey val="0"/>
            <c:showVal val="1"/>
            <c:showCatName val="0"/>
            <c:showSerName val="0"/>
            <c:showPercent val="0"/>
            <c:showBubbleSize val="0"/>
            <c:showLeaderLines val="0"/>
          </c:dLbls>
          <c:cat>
            <c:strRef>
              <c:f>Sheet1!$A$21:$A$24</c:f>
              <c:strCache>
                <c:ptCount val="4"/>
                <c:pt idx="0">
                  <c:v>42–&lt;365 days postpartum</c:v>
                </c:pt>
                <c:pt idx="1">
                  <c:v>7–&lt;42 days postpartum</c:v>
                </c:pt>
                <c:pt idx="2">
                  <c:v>0–&lt;7 days postpartum</c:v>
                </c:pt>
                <c:pt idx="3">
                  <c:v>Pregnancy</c:v>
                </c:pt>
              </c:strCache>
            </c:strRef>
          </c:cat>
          <c:val>
            <c:numRef>
              <c:f>Sheet1!$C$21:$C$24</c:f>
              <c:numCache>
                <c:formatCode>0.0%</c:formatCode>
                <c:ptCount val="4"/>
                <c:pt idx="0">
                  <c:v>0.90200000000000002</c:v>
                </c:pt>
                <c:pt idx="1">
                  <c:v>4.9000000000000002E-2</c:v>
                </c:pt>
                <c:pt idx="2">
                  <c:v>2.4E-2</c:v>
                </c:pt>
                <c:pt idx="3">
                  <c:v>2.4E-2</c:v>
                </c:pt>
              </c:numCache>
            </c:numRef>
          </c:val>
        </c:ser>
        <c:dLbls>
          <c:showLegendKey val="0"/>
          <c:showVal val="0"/>
          <c:showCatName val="0"/>
          <c:showSerName val="0"/>
          <c:showPercent val="0"/>
          <c:showBubbleSize val="0"/>
        </c:dLbls>
        <c:gapWidth val="150"/>
        <c:axId val="24869888"/>
        <c:axId val="24871680"/>
      </c:barChart>
      <c:catAx>
        <c:axId val="24869888"/>
        <c:scaling>
          <c:orientation val="minMax"/>
        </c:scaling>
        <c:delete val="0"/>
        <c:axPos val="l"/>
        <c:majorTickMark val="out"/>
        <c:minorTickMark val="none"/>
        <c:tickLblPos val="nextTo"/>
        <c:txPr>
          <a:bodyPr/>
          <a:lstStyle/>
          <a:p>
            <a:pPr>
              <a:defRPr sz="1100"/>
            </a:pPr>
            <a:endParaRPr lang="en-US"/>
          </a:p>
        </c:txPr>
        <c:crossAx val="24871680"/>
        <c:crosses val="autoZero"/>
        <c:auto val="1"/>
        <c:lblAlgn val="ctr"/>
        <c:lblOffset val="100"/>
        <c:noMultiLvlLbl val="0"/>
      </c:catAx>
      <c:valAx>
        <c:axId val="24871680"/>
        <c:scaling>
          <c:orientation val="minMax"/>
        </c:scaling>
        <c:delete val="0"/>
        <c:axPos val="b"/>
        <c:majorGridlines>
          <c:spPr>
            <a:ln>
              <a:noFill/>
            </a:ln>
          </c:spPr>
        </c:majorGridlines>
        <c:numFmt formatCode="0%" sourceLinked="0"/>
        <c:majorTickMark val="out"/>
        <c:minorTickMark val="none"/>
        <c:tickLblPos val="nextTo"/>
        <c:txPr>
          <a:bodyPr/>
          <a:lstStyle/>
          <a:p>
            <a:pPr>
              <a:defRPr sz="1100"/>
            </a:pPr>
            <a:endParaRPr lang="en-US"/>
          </a:p>
        </c:txPr>
        <c:crossAx val="24869888"/>
        <c:crosses val="autoZero"/>
        <c:crossBetween val="between"/>
      </c:valAx>
    </c:plotArea>
    <c:legend>
      <c:legendPos val="r"/>
      <c:layout/>
      <c:overlay val="1"/>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95E1E-2DAF-41F1-AE29-3351DC7D8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1933</Words>
  <Characters>12532</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cp:lastModifiedBy> </cp:lastModifiedBy>
  <cp:revision>4</cp:revision>
  <cp:lastPrinted>2017-06-01T14:30:00Z</cp:lastPrinted>
  <dcterms:created xsi:type="dcterms:W3CDTF">2018-04-12T12:32:00Z</dcterms:created>
  <dcterms:modified xsi:type="dcterms:W3CDTF">2020-03-02T16:47:00Z</dcterms:modified>
</cp:coreProperties>
</file>