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948" w:right="0" w:firstLine="0"/>
        <w:jc w:val="left"/>
        <w:rPr>
          <w:b/>
          <w:sz w:val="28"/>
        </w:rPr>
      </w:pPr>
      <w:r>
        <w:rPr>
          <w:b/>
          <w:sz w:val="28"/>
        </w:rPr>
        <w:t>Items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Scoring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Substance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Use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Risk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Profile-</w:t>
      </w:r>
      <w:r>
        <w:rPr>
          <w:b/>
          <w:spacing w:val="-2"/>
          <w:sz w:val="28"/>
        </w:rPr>
        <w:t>Pregnancy</w:t>
      </w:r>
    </w:p>
    <w:p>
      <w:pPr>
        <w:pStyle w:val="BodyText"/>
        <w:spacing w:before="6"/>
        <w:rPr>
          <w:b/>
        </w:rPr>
      </w:pPr>
    </w:p>
    <w:p>
      <w:pPr>
        <w:pStyle w:val="Heading1"/>
      </w:pPr>
      <w:r>
        <w:rPr>
          <w:spacing w:val="-2"/>
        </w:rPr>
        <w:t>Items</w:t>
      </w:r>
    </w:p>
    <w:p>
      <w:pPr>
        <w:pStyle w:val="BodyText"/>
        <w:spacing w:before="274"/>
        <w:ind w:left="120" w:right="465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before you</w:t>
      </w:r>
      <w:r>
        <w:rPr>
          <w:spacing w:val="-1"/>
        </w:rPr>
        <w:t> </w:t>
      </w:r>
      <w:r>
        <w:rPr/>
        <w:t>knew 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pregnant,</w:t>
      </w:r>
      <w:r>
        <w:rPr>
          <w:spacing w:val="-1"/>
        </w:rPr>
        <w:t> </w:t>
      </w:r>
      <w:r>
        <w:rPr/>
        <w:t>how</w:t>
      </w:r>
      <w:r>
        <w:rPr>
          <w:spacing w:val="-4"/>
        </w:rPr>
        <w:t> </w:t>
      </w:r>
      <w:r>
        <w:rPr/>
        <w:t>many</w:t>
      </w:r>
      <w:r>
        <w:rPr>
          <w:spacing w:val="-8"/>
        </w:rPr>
        <w:t> </w:t>
      </w:r>
      <w:r>
        <w:rPr/>
        <w:t>beers,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much</w:t>
      </w:r>
      <w:r>
        <w:rPr>
          <w:spacing w:val="-3"/>
        </w:rPr>
        <w:t> </w:t>
      </w:r>
      <w:r>
        <w:rPr/>
        <w:t>wine,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how much liquor did you drink?</w:t>
      </w:r>
    </w:p>
    <w:p>
      <w:pPr>
        <w:pStyle w:val="BodyText"/>
        <w:spacing w:before="4"/>
      </w:pPr>
    </w:p>
    <w:p>
      <w:pPr>
        <w:pStyle w:val="BodyText"/>
        <w:ind w:left="120"/>
      </w:pPr>
      <w:r>
        <w:rPr/>
        <w:t>Have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ever</w:t>
      </w:r>
      <w:r>
        <w:rPr>
          <w:spacing w:val="-2"/>
        </w:rPr>
        <w:t> </w:t>
      </w:r>
      <w:r>
        <w:rPr/>
        <w:t>felt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drug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alcohol</w:t>
      </w:r>
      <w:r>
        <w:rPr>
          <w:spacing w:val="-1"/>
        </w:rPr>
        <w:t> </w:t>
      </w:r>
      <w:r>
        <w:rPr>
          <w:spacing w:val="-4"/>
        </w:rPr>
        <w:t>use?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Scoring</w:t>
      </w:r>
    </w:p>
    <w:p>
      <w:pPr>
        <w:pStyle w:val="BodyText"/>
        <w:spacing w:before="274"/>
        <w:ind w:left="120" w:right="109"/>
      </w:pPr>
      <w:r>
        <w:rPr/>
        <w:t>Classify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alcoholic</w:t>
      </w:r>
      <w:r>
        <w:rPr>
          <w:spacing w:val="-3"/>
        </w:rPr>
        <w:t> </w:t>
      </w:r>
      <w:r>
        <w:rPr/>
        <w:t>drinks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pregnancy</w:t>
      </w:r>
      <w:r>
        <w:rPr>
          <w:spacing w:val="-7"/>
        </w:rPr>
        <w:t> </w:t>
      </w:r>
      <w:r>
        <w:rPr/>
        <w:t>as</w:t>
      </w:r>
      <w:r>
        <w:rPr>
          <w:spacing w:val="-2"/>
        </w:rPr>
        <w:t> </w:t>
      </w:r>
      <w:r>
        <w:rPr/>
        <w:t>none</w:t>
      </w:r>
      <w:r>
        <w:rPr>
          <w:spacing w:val="-3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any.</w:t>
      </w:r>
      <w:r>
        <w:rPr>
          <w:spacing w:val="-2"/>
        </w:rPr>
        <w:t> </w:t>
      </w:r>
      <w:r>
        <w:rPr/>
        <w:t>Count</w:t>
      </w:r>
      <w:r>
        <w:rPr>
          <w:spacing w:val="-2"/>
        </w:rPr>
        <w:t> </w:t>
      </w:r>
      <w:r>
        <w:rPr/>
        <w:t>the number of affirmative items.</w:t>
      </w:r>
    </w:p>
    <w:p>
      <w:pPr>
        <w:pStyle w:val="BodyText"/>
        <w:spacing w:before="4"/>
      </w:pPr>
    </w:p>
    <w:p>
      <w:pPr>
        <w:pStyle w:val="BodyText"/>
        <w:spacing w:line="482" w:lineRule="auto" w:before="1"/>
        <w:ind w:left="120" w:right="7806"/>
      </w:pPr>
      <w:r>
        <w:rPr/>
        <w:t>0=low risk 1=moderate</w:t>
      </w:r>
      <w:r>
        <w:rPr>
          <w:spacing w:val="-15"/>
        </w:rPr>
        <w:t> </w:t>
      </w:r>
      <w:r>
        <w:rPr/>
        <w:t>risk 2–3=high risk</w:t>
      </w:r>
    </w:p>
    <w:p>
      <w:pPr>
        <w:pStyle w:val="BodyText"/>
        <w:spacing w:before="3"/>
        <w:ind w:left="120" w:right="465"/>
      </w:pPr>
      <w:r>
        <w:rPr/>
        <w:t>In</w:t>
      </w:r>
      <w:r>
        <w:rPr>
          <w:spacing w:val="-4"/>
        </w:rPr>
        <w:t> </w:t>
      </w:r>
      <w:r>
        <w:rPr/>
        <w:t>low-risk</w:t>
      </w:r>
      <w:r>
        <w:rPr>
          <w:spacing w:val="-4"/>
        </w:rPr>
        <w:t> </w:t>
      </w:r>
      <w:r>
        <w:rPr/>
        <w:t>populations,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affirmative</w:t>
      </w:r>
      <w:r>
        <w:rPr>
          <w:spacing w:val="-4"/>
        </w:rPr>
        <w:t> </w:t>
      </w:r>
      <w:r>
        <w:rPr/>
        <w:t>items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screen,</w:t>
      </w:r>
      <w:r>
        <w:rPr>
          <w:spacing w:val="-2"/>
        </w:rPr>
        <w:t> </w:t>
      </w:r>
      <w:r>
        <w:rPr/>
        <w:t>whereas,</w:t>
      </w:r>
      <w:r>
        <w:rPr>
          <w:spacing w:val="-4"/>
        </w:rPr>
        <w:t> </w:t>
      </w:r>
      <w:r>
        <w:rPr/>
        <w:t>in high-risk populations, two or more affirmative items indicate a positive screen.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5"/>
      </w:pPr>
    </w:p>
    <w:p>
      <w:pPr>
        <w:spacing w:before="0"/>
        <w:ind w:left="120" w:right="0" w:firstLine="0"/>
        <w:jc w:val="left"/>
        <w:rPr>
          <w:rFonts w:ascii="Calibri"/>
          <w:sz w:val="22"/>
        </w:rPr>
      </w:pPr>
      <w:hyperlink r:id="rId5">
        <w:r>
          <w:rPr>
            <w:rFonts w:ascii="Calibri"/>
            <w:color w:val="0000FF"/>
            <w:sz w:val="22"/>
            <w:u w:val="single" w:color="0000FF"/>
          </w:rPr>
          <w:t>Obstet</w:t>
        </w:r>
        <w:r>
          <w:rPr>
            <w:rFonts w:ascii="Calibri"/>
            <w:color w:val="0000FF"/>
            <w:spacing w:val="-6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Gynecol</w:t>
        </w:r>
        <w:r>
          <w:rPr>
            <w:rFonts w:ascii="Calibri"/>
            <w:sz w:val="22"/>
            <w:u w:val="none"/>
          </w:rPr>
          <w:t>.</w:t>
        </w:r>
      </w:hyperlink>
      <w:r>
        <w:rPr>
          <w:rFonts w:ascii="Calibri"/>
          <w:spacing w:val="-4"/>
          <w:sz w:val="22"/>
          <w:u w:val="none"/>
        </w:rPr>
        <w:t> </w:t>
      </w:r>
      <w:r>
        <w:rPr>
          <w:rFonts w:ascii="Calibri"/>
          <w:sz w:val="22"/>
          <w:u w:val="none"/>
        </w:rPr>
        <w:t>Author</w:t>
      </w:r>
      <w:r>
        <w:rPr>
          <w:rFonts w:ascii="Calibri"/>
          <w:spacing w:val="-5"/>
          <w:sz w:val="22"/>
          <w:u w:val="none"/>
        </w:rPr>
        <w:t> </w:t>
      </w:r>
      <w:r>
        <w:rPr>
          <w:rFonts w:ascii="Calibri"/>
          <w:sz w:val="22"/>
          <w:u w:val="none"/>
        </w:rPr>
        <w:t>manuscript;</w:t>
      </w:r>
      <w:r>
        <w:rPr>
          <w:rFonts w:ascii="Calibri"/>
          <w:spacing w:val="-3"/>
          <w:sz w:val="22"/>
          <w:u w:val="none"/>
        </w:rPr>
        <w:t> </w:t>
      </w:r>
      <w:r>
        <w:rPr>
          <w:rFonts w:ascii="Calibri"/>
          <w:sz w:val="22"/>
          <w:u w:val="none"/>
        </w:rPr>
        <w:t>available</w:t>
      </w:r>
      <w:r>
        <w:rPr>
          <w:rFonts w:ascii="Calibri"/>
          <w:spacing w:val="-2"/>
          <w:sz w:val="22"/>
          <w:u w:val="none"/>
        </w:rPr>
        <w:t> </w:t>
      </w:r>
      <w:r>
        <w:rPr>
          <w:rFonts w:ascii="Calibri"/>
          <w:sz w:val="22"/>
          <w:u w:val="none"/>
        </w:rPr>
        <w:t>in</w:t>
      </w:r>
      <w:r>
        <w:rPr>
          <w:rFonts w:ascii="Calibri"/>
          <w:spacing w:val="-7"/>
          <w:sz w:val="22"/>
          <w:u w:val="none"/>
        </w:rPr>
        <w:t> </w:t>
      </w:r>
      <w:r>
        <w:rPr>
          <w:rFonts w:ascii="Calibri"/>
          <w:sz w:val="22"/>
          <w:u w:val="none"/>
        </w:rPr>
        <w:t>PMC</w:t>
      </w:r>
      <w:r>
        <w:rPr>
          <w:rFonts w:ascii="Calibri"/>
          <w:spacing w:val="-5"/>
          <w:sz w:val="22"/>
          <w:u w:val="none"/>
        </w:rPr>
        <w:t> </w:t>
      </w:r>
      <w:r>
        <w:rPr>
          <w:rFonts w:ascii="Calibri"/>
          <w:sz w:val="22"/>
          <w:u w:val="none"/>
        </w:rPr>
        <w:t>2011</w:t>
      </w:r>
      <w:r>
        <w:rPr>
          <w:rFonts w:ascii="Calibri"/>
          <w:spacing w:val="-5"/>
          <w:sz w:val="22"/>
          <w:u w:val="none"/>
        </w:rPr>
        <w:t> </w:t>
      </w:r>
      <w:r>
        <w:rPr>
          <w:rFonts w:ascii="Calibri"/>
          <w:sz w:val="22"/>
          <w:u w:val="none"/>
        </w:rPr>
        <w:t>May</w:t>
      </w:r>
      <w:r>
        <w:rPr>
          <w:rFonts w:ascii="Calibri"/>
          <w:spacing w:val="-2"/>
          <w:sz w:val="22"/>
          <w:u w:val="none"/>
        </w:rPr>
        <w:t> </w:t>
      </w:r>
      <w:r>
        <w:rPr>
          <w:rFonts w:ascii="Calibri"/>
          <w:spacing w:val="-5"/>
          <w:sz w:val="22"/>
          <w:u w:val="none"/>
        </w:rPr>
        <w:t>27.</w:t>
      </w:r>
    </w:p>
    <w:p>
      <w:pPr>
        <w:spacing w:before="180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Published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final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edited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form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5"/>
          <w:sz w:val="22"/>
        </w:rPr>
        <w:t>as:</w:t>
      </w:r>
    </w:p>
    <w:p>
      <w:pPr>
        <w:spacing w:before="183"/>
        <w:ind w:left="120" w:right="0" w:firstLine="0"/>
        <w:jc w:val="left"/>
        <w:rPr>
          <w:rFonts w:ascii="Calibri" w:hAnsi="Calibri"/>
          <w:sz w:val="22"/>
        </w:rPr>
      </w:pPr>
      <w:hyperlink r:id="rId6">
        <w:r>
          <w:rPr>
            <w:rFonts w:ascii="Calibri" w:hAnsi="Calibri"/>
            <w:color w:val="0000FF"/>
            <w:sz w:val="22"/>
            <w:u w:val="single" w:color="0000FF"/>
          </w:rPr>
          <w:t>Obstet</w:t>
        </w:r>
        <w:r>
          <w:rPr>
            <w:rFonts w:ascii="Calibri" w:hAnsi="Calibri"/>
            <w:color w:val="0000FF"/>
            <w:spacing w:val="-6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Gynecol.</w:t>
        </w:r>
        <w:r>
          <w:rPr>
            <w:rFonts w:ascii="Calibri" w:hAnsi="Calibri"/>
            <w:color w:val="0000FF"/>
            <w:spacing w:val="-6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2010</w:t>
        </w:r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Oct;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116(4):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827–833.</w:t>
        </w:r>
      </w:hyperlink>
    </w:p>
    <w:p>
      <w:pPr>
        <w:spacing w:before="180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doi:</w:t>
      </w:r>
      <w:r>
        <w:rPr>
          <w:rFonts w:ascii="Calibri"/>
          <w:spacing w:val="47"/>
          <w:sz w:val="22"/>
        </w:rPr>
        <w:t> </w:t>
      </w:r>
      <w:hyperlink r:id="rId7">
        <w:r>
          <w:rPr>
            <w:rFonts w:ascii="Calibri"/>
            <w:color w:val="0000FF"/>
            <w:spacing w:val="-2"/>
            <w:sz w:val="22"/>
            <w:u w:val="single" w:color="0000FF"/>
          </w:rPr>
          <w:t>10.1097/AOG.0b013e3181ed8290</w:t>
        </w:r>
      </w:hyperlink>
    </w:p>
    <w:p>
      <w:pPr>
        <w:spacing w:line="403" w:lineRule="auto" w:before="183"/>
        <w:ind w:left="120" w:right="7157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PMCID: PMC3103106 NIHMSID: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NIHMS293537 PMID: </w:t>
      </w:r>
      <w:hyperlink r:id="rId8">
        <w:r>
          <w:rPr>
            <w:rFonts w:ascii="Calibri"/>
            <w:color w:val="0000FF"/>
            <w:sz w:val="22"/>
            <w:u w:val="single" w:color="0000FF"/>
          </w:rPr>
          <w:t>20859145</w:t>
        </w:r>
      </w:hyperlink>
    </w:p>
    <w:p>
      <w:pPr>
        <w:pStyle w:val="Title"/>
        <w:rPr>
          <w:b w:val="0"/>
        </w:rPr>
      </w:pPr>
      <w:r>
        <w:rPr>
          <w:b w:val="0"/>
          <w:color w:val="2E74B5"/>
        </w:rPr>
        <w:t>Screening</w:t>
      </w:r>
      <w:r>
        <w:rPr>
          <w:b w:val="0"/>
          <w:color w:val="2E74B5"/>
          <w:spacing w:val="-13"/>
        </w:rPr>
        <w:t> </w:t>
      </w:r>
      <w:r>
        <w:rPr>
          <w:b w:val="0"/>
          <w:color w:val="2E74B5"/>
        </w:rPr>
        <w:t>for</w:t>
      </w:r>
      <w:r>
        <w:rPr>
          <w:b w:val="0"/>
          <w:color w:val="2E74B5"/>
          <w:spacing w:val="-11"/>
        </w:rPr>
        <w:t> </w:t>
      </w:r>
      <w:r>
        <w:rPr>
          <w:b w:val="0"/>
          <w:color w:val="2E74B5"/>
        </w:rPr>
        <w:t>Prenatal</w:t>
      </w:r>
      <w:r>
        <w:rPr>
          <w:b w:val="0"/>
          <w:color w:val="2E74B5"/>
          <w:spacing w:val="-13"/>
        </w:rPr>
        <w:t> </w:t>
      </w:r>
      <w:r>
        <w:rPr>
          <w:b w:val="0"/>
          <w:color w:val="2E74B5"/>
        </w:rPr>
        <w:t>Substance</w:t>
      </w:r>
      <w:r>
        <w:rPr>
          <w:b w:val="0"/>
          <w:color w:val="2E74B5"/>
          <w:spacing w:val="-11"/>
        </w:rPr>
        <w:t> </w:t>
      </w:r>
      <w:r>
        <w:rPr>
          <w:b w:val="0"/>
          <w:color w:val="2E74B5"/>
          <w:spacing w:val="-5"/>
        </w:rPr>
        <w:t>Use</w:t>
      </w:r>
    </w:p>
    <w:p>
      <w:pPr>
        <w:spacing w:before="31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Development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Substance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Use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Risk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Profile-Pregnancy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Scale</w:t>
      </w:r>
    </w:p>
    <w:p>
      <w:pPr>
        <w:spacing w:line="259" w:lineRule="auto" w:before="181"/>
        <w:ind w:left="120" w:right="0" w:hanging="1"/>
        <w:jc w:val="left"/>
        <w:rPr>
          <w:rFonts w:ascii="Calibri"/>
          <w:sz w:val="22"/>
        </w:rPr>
      </w:pPr>
      <w:hyperlink r:id="rId9">
        <w:r>
          <w:rPr>
            <w:rFonts w:ascii="Calibri"/>
            <w:color w:val="0000FF"/>
            <w:sz w:val="22"/>
            <w:u w:val="single" w:color="0000FF"/>
          </w:rPr>
          <w:t>Kimberly</w:t>
        </w:r>
        <w:r>
          <w:rPr>
            <w:rFonts w:ascii="Calibri"/>
            <w:color w:val="0000FF"/>
            <w:spacing w:val="-1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A.</w:t>
        </w:r>
        <w:r>
          <w:rPr>
            <w:rFonts w:asci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Yonkers</w:t>
        </w:r>
        <w:r>
          <w:rPr>
            <w:rFonts w:ascii="Calibri"/>
            <w:sz w:val="22"/>
            <w:u w:val="none"/>
          </w:rPr>
          <w:t>,</w:t>
        </w:r>
      </w:hyperlink>
      <w:r>
        <w:rPr>
          <w:rFonts w:ascii="Calibri"/>
          <w:spacing w:val="-3"/>
          <w:sz w:val="22"/>
          <w:u w:val="none"/>
        </w:rPr>
        <w:t> </w:t>
      </w:r>
      <w:r>
        <w:rPr>
          <w:rFonts w:ascii="Calibri"/>
          <w:sz w:val="22"/>
          <w:u w:val="none"/>
        </w:rPr>
        <w:t>MD,</w:t>
      </w:r>
      <w:r>
        <w:rPr>
          <w:rFonts w:ascii="Calibri"/>
          <w:spacing w:val="-4"/>
          <w:sz w:val="22"/>
          <w:u w:val="none"/>
        </w:rPr>
        <w:t> </w:t>
      </w:r>
      <w:hyperlink r:id="rId10">
        <w:r>
          <w:rPr>
            <w:rFonts w:ascii="Calibri"/>
            <w:color w:val="0000FF"/>
            <w:sz w:val="22"/>
            <w:u w:val="single" w:color="0000FF"/>
          </w:rPr>
          <w:t>Nathan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Gotman</w:t>
        </w:r>
        <w:r>
          <w:rPr>
            <w:rFonts w:ascii="Calibri"/>
            <w:sz w:val="22"/>
            <w:u w:val="none"/>
          </w:rPr>
          <w:t>,</w:t>
        </w:r>
      </w:hyperlink>
      <w:r>
        <w:rPr>
          <w:rFonts w:ascii="Calibri"/>
          <w:spacing w:val="-3"/>
          <w:sz w:val="22"/>
          <w:u w:val="none"/>
        </w:rPr>
        <w:t> </w:t>
      </w:r>
      <w:r>
        <w:rPr>
          <w:rFonts w:ascii="Calibri"/>
          <w:sz w:val="22"/>
          <w:u w:val="none"/>
        </w:rPr>
        <w:t>MS,</w:t>
      </w:r>
      <w:r>
        <w:rPr>
          <w:rFonts w:ascii="Calibri"/>
          <w:spacing w:val="-4"/>
          <w:sz w:val="22"/>
          <w:u w:val="none"/>
        </w:rPr>
        <w:t> </w:t>
      </w:r>
      <w:hyperlink r:id="rId11">
        <w:r>
          <w:rPr>
            <w:rFonts w:ascii="Calibri"/>
            <w:color w:val="0000FF"/>
            <w:sz w:val="22"/>
            <w:u w:val="single" w:color="0000FF"/>
          </w:rPr>
          <w:t>Trace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Kershaw</w:t>
        </w:r>
        <w:r>
          <w:rPr>
            <w:rFonts w:ascii="Calibri"/>
            <w:sz w:val="22"/>
            <w:u w:val="none"/>
          </w:rPr>
          <w:t>,</w:t>
        </w:r>
      </w:hyperlink>
      <w:r>
        <w:rPr>
          <w:rFonts w:ascii="Calibri"/>
          <w:spacing w:val="-3"/>
          <w:sz w:val="22"/>
          <w:u w:val="none"/>
        </w:rPr>
        <w:t> </w:t>
      </w:r>
      <w:r>
        <w:rPr>
          <w:rFonts w:ascii="Calibri"/>
          <w:sz w:val="22"/>
          <w:u w:val="none"/>
        </w:rPr>
        <w:t>PhD,</w:t>
      </w:r>
      <w:r>
        <w:rPr>
          <w:rFonts w:ascii="Calibri"/>
          <w:spacing w:val="-2"/>
          <w:sz w:val="22"/>
          <w:u w:val="none"/>
        </w:rPr>
        <w:t> </w:t>
      </w:r>
      <w:hyperlink r:id="rId12">
        <w:r>
          <w:rPr>
            <w:rFonts w:ascii="Calibri"/>
            <w:color w:val="0000FF"/>
            <w:sz w:val="22"/>
            <w:u w:val="single" w:color="0000FF"/>
          </w:rPr>
          <w:t>Ariadna</w:t>
        </w:r>
        <w:r>
          <w:rPr>
            <w:rFonts w:asci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Forray</w:t>
        </w:r>
        <w:r>
          <w:rPr>
            <w:rFonts w:ascii="Calibri"/>
            <w:sz w:val="22"/>
            <w:u w:val="none"/>
          </w:rPr>
          <w:t>,</w:t>
        </w:r>
      </w:hyperlink>
      <w:r>
        <w:rPr>
          <w:rFonts w:ascii="Calibri"/>
          <w:spacing w:val="-3"/>
          <w:sz w:val="22"/>
          <w:u w:val="none"/>
        </w:rPr>
        <w:t> </w:t>
      </w:r>
      <w:r>
        <w:rPr>
          <w:rFonts w:ascii="Calibri"/>
          <w:sz w:val="22"/>
          <w:u w:val="none"/>
        </w:rPr>
        <w:t>MD,</w:t>
      </w:r>
      <w:r>
        <w:rPr>
          <w:rFonts w:ascii="Calibri"/>
          <w:spacing w:val="-4"/>
          <w:sz w:val="22"/>
          <w:u w:val="none"/>
        </w:rPr>
        <w:t> </w:t>
      </w:r>
      <w:hyperlink r:id="rId13">
        <w:r>
          <w:rPr>
            <w:rFonts w:ascii="Calibri"/>
            <w:color w:val="0000FF"/>
            <w:sz w:val="22"/>
            <w:u w:val="single" w:color="0000FF"/>
          </w:rPr>
          <w:t>Heather</w:t>
        </w:r>
        <w:r>
          <w:rPr>
            <w:rFonts w:asci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B.</w:t>
        </w:r>
      </w:hyperlink>
      <w:r>
        <w:rPr>
          <w:rFonts w:ascii="Calibri"/>
          <w:color w:val="0000FF"/>
          <w:sz w:val="22"/>
          <w:u w:val="none"/>
        </w:rPr>
        <w:t> </w:t>
      </w:r>
      <w:hyperlink r:id="rId13">
        <w:r>
          <w:rPr>
            <w:rFonts w:ascii="Calibri"/>
            <w:color w:val="0000FF"/>
            <w:sz w:val="22"/>
            <w:u w:val="single" w:color="0000FF"/>
          </w:rPr>
          <w:t>Howell</w:t>
        </w:r>
        <w:r>
          <w:rPr>
            <w:rFonts w:ascii="Calibri"/>
            <w:sz w:val="22"/>
            <w:u w:val="none"/>
          </w:rPr>
          <w:t>,</w:t>
        </w:r>
      </w:hyperlink>
      <w:r>
        <w:rPr>
          <w:rFonts w:ascii="Calibri"/>
          <w:sz w:val="22"/>
          <w:u w:val="none"/>
        </w:rPr>
        <w:t> MSW, and </w:t>
      </w:r>
      <w:hyperlink r:id="rId14">
        <w:r>
          <w:rPr>
            <w:rFonts w:ascii="Calibri"/>
            <w:color w:val="0000FF"/>
            <w:sz w:val="22"/>
            <w:u w:val="single" w:color="0000FF"/>
          </w:rPr>
          <w:t>Bruce J. Rounsaville</w:t>
        </w:r>
        <w:r>
          <w:rPr>
            <w:rFonts w:ascii="Calibri"/>
            <w:sz w:val="22"/>
            <w:u w:val="none"/>
          </w:rPr>
          <w:t>,</w:t>
        </w:r>
      </w:hyperlink>
      <w:r>
        <w:rPr>
          <w:rFonts w:ascii="Calibri"/>
          <w:sz w:val="22"/>
          <w:u w:val="none"/>
        </w:rPr>
        <w:t> MD</w:t>
      </w:r>
    </w:p>
    <w:sectPr>
      <w:type w:val="continuous"/>
      <w:pgSz w:w="12240" w:h="15840"/>
      <w:pgMar w:top="136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20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ncbi.nlm.nih.gov/pmc/articles/PMC3103106/" TargetMode="External"/><Relationship Id="rId6" Type="http://schemas.openxmlformats.org/officeDocument/2006/relationships/hyperlink" Target="https://www.ncbi.nlm.nih.gov/entrez/eutils/elink.fcgi?dbfrom=pubmed&amp;retmode=ref&amp;cmd=prlinks&amp;id=20859145" TargetMode="External"/><Relationship Id="rId7" Type="http://schemas.openxmlformats.org/officeDocument/2006/relationships/hyperlink" Target="https://dx.doi.org/10.1097%2FAOG.0b013e3181ed8290" TargetMode="External"/><Relationship Id="rId8" Type="http://schemas.openxmlformats.org/officeDocument/2006/relationships/hyperlink" Target="https://www.ncbi.nlm.nih.gov/pubmed/20859145" TargetMode="External"/><Relationship Id="rId9" Type="http://schemas.openxmlformats.org/officeDocument/2006/relationships/hyperlink" Target="https://www.ncbi.nlm.nih.gov/pubmed/?term=Yonkers%20KA%5BAuthor%5D&amp;cauthor=true&amp;cauthor_uid=20859145" TargetMode="External"/><Relationship Id="rId10" Type="http://schemas.openxmlformats.org/officeDocument/2006/relationships/hyperlink" Target="https://www.ncbi.nlm.nih.gov/pubmed/?term=Gotman%20N%5BAuthor%5D&amp;cauthor=true&amp;cauthor_uid=20859145" TargetMode="External"/><Relationship Id="rId11" Type="http://schemas.openxmlformats.org/officeDocument/2006/relationships/hyperlink" Target="https://www.ncbi.nlm.nih.gov/pubmed/?term=Kershaw%20T%5BAuthor%5D&amp;cauthor=true&amp;cauthor_uid=20859145" TargetMode="External"/><Relationship Id="rId12" Type="http://schemas.openxmlformats.org/officeDocument/2006/relationships/hyperlink" Target="https://www.ncbi.nlm.nih.gov/pubmed/?term=Forray%20A%5BAuthor%5D&amp;cauthor=true&amp;cauthor_uid=20859145" TargetMode="External"/><Relationship Id="rId13" Type="http://schemas.openxmlformats.org/officeDocument/2006/relationships/hyperlink" Target="https://www.ncbi.nlm.nih.gov/pubmed/?term=Howell%20HB%5BAuthor%5D&amp;cauthor=true&amp;cauthor_uid=20859145" TargetMode="External"/><Relationship Id="rId14" Type="http://schemas.openxmlformats.org/officeDocument/2006/relationships/hyperlink" Target="https://www.ncbi.nlm.nih.gov/pubmed/?term=Rounsaville%20BJ%5BAuthor%5D&amp;cauthor=true&amp;cauthor_uid=2085914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2025-03-29T19:21:31Z</dcterms:created>
  <dcterms:modified xsi:type="dcterms:W3CDTF">2025-03-29T19:21:31Z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2025-03-29T00:00:00Z</vt:filetime>
  </property>
  <property fmtid="{D5CDD505-2E9C-101B-9397-08002B2CF9AE}" pid="5" name="Producer">
    <vt:lpwstr>Adobe PDF Library 15.0</vt:lpwstr>
  </property>
</Properties>
</file>