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8" w:type="dxa"/>
        <w:tblLayout w:type="fixed"/>
        <w:tblLook w:val="0000" w:firstRow="0" w:lastRow="0" w:firstColumn="0" w:lastColumn="0" w:noHBand="0" w:noVBand="0"/>
      </w:tblPr>
      <w:tblGrid>
        <w:gridCol w:w="1317"/>
        <w:gridCol w:w="8223"/>
      </w:tblGrid>
      <w:tr w:rsidR="006B3995">
        <w:tblPrEx>
          <w:tblCellMar>
            <w:top w:w="0" w:type="dxa"/>
            <w:bottom w:w="0" w:type="dxa"/>
          </w:tblCellMar>
        </w:tblPrEx>
        <w:trPr>
          <w:cantSplit/>
          <w:trHeight w:val="1200"/>
        </w:trPr>
        <w:tc>
          <w:tcPr>
            <w:tcW w:w="1317" w:type="dxa"/>
            <w:tcBorders>
              <w:top w:val="nil"/>
              <w:left w:val="nil"/>
              <w:bottom w:val="nil"/>
              <w:right w:val="nil"/>
            </w:tcBorders>
          </w:tcPr>
          <w:bookmarkStart w:id="0" w:name="_GoBack"/>
          <w:bookmarkEnd w:id="0"/>
          <w:p w:rsidR="006B3995" w:rsidRDefault="006B3995" w:rsidP="006B3995">
            <w:pPr>
              <w:ind w:right="-36"/>
              <w:jc w:val="center"/>
            </w:pPr>
            <w:r>
              <w:object w:dxaOrig="10919" w:dyaOrig="11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71.3pt" o:ole="" fillcolor="window">
                  <v:imagedata r:id="rId7" o:title=""/>
                </v:shape>
                <o:OLEObject Type="Embed" ProgID="MSDraw" ShapeID="_x0000_i1025" DrawAspect="Content" ObjectID="_1559108698" r:id="rId8">
                  <o:FieldCodes>\* MERGEFORMAT</o:FieldCodes>
                </o:OLEObject>
              </w:object>
            </w:r>
          </w:p>
        </w:tc>
        <w:tc>
          <w:tcPr>
            <w:tcW w:w="8223" w:type="dxa"/>
            <w:tcBorders>
              <w:top w:val="nil"/>
              <w:left w:val="nil"/>
              <w:bottom w:val="nil"/>
              <w:right w:val="nil"/>
            </w:tcBorders>
          </w:tcPr>
          <w:p w:rsidR="006B3995" w:rsidRDefault="006B3995" w:rsidP="006B3995">
            <w:pPr>
              <w:jc w:val="center"/>
              <w:rPr>
                <w:b/>
                <w:bCs/>
                <w:i/>
                <w:iCs/>
                <w:sz w:val="38"/>
                <w:szCs w:val="38"/>
              </w:rPr>
            </w:pPr>
            <w:r>
              <w:rPr>
                <w:b/>
                <w:bCs/>
                <w:i/>
                <w:iCs/>
                <w:sz w:val="38"/>
                <w:szCs w:val="38"/>
              </w:rPr>
              <w:t xml:space="preserve">The </w:t>
            </w:r>
            <w:smartTag w:uri="urn:schemas-microsoft-com:office:smarttags" w:element="place">
              <w:smartTag w:uri="urn:schemas-microsoft-com:office:smarttags" w:element="PlaceType">
                <w:r>
                  <w:rPr>
                    <w:b/>
                    <w:bCs/>
                    <w:i/>
                    <w:iCs/>
                    <w:sz w:val="38"/>
                    <w:szCs w:val="38"/>
                  </w:rPr>
                  <w:t>Commonwealth</w:t>
                </w:r>
              </w:smartTag>
              <w:r>
                <w:rPr>
                  <w:b/>
                  <w:bCs/>
                  <w:i/>
                  <w:iCs/>
                  <w:sz w:val="38"/>
                  <w:szCs w:val="38"/>
                </w:rPr>
                <w:t xml:space="preserve"> of </w:t>
              </w:r>
              <w:smartTag w:uri="urn:schemas-microsoft-com:office:smarttags" w:element="PlaceName">
                <w:r>
                  <w:rPr>
                    <w:b/>
                    <w:bCs/>
                    <w:i/>
                    <w:iCs/>
                    <w:sz w:val="38"/>
                    <w:szCs w:val="38"/>
                  </w:rPr>
                  <w:t>Massachusetts</w:t>
                </w:r>
              </w:smartTag>
            </w:smartTag>
          </w:p>
          <w:p w:rsidR="006B3995" w:rsidRDefault="006B3995" w:rsidP="006B3995">
            <w:pPr>
              <w:jc w:val="center"/>
              <w:rPr>
                <w:b/>
                <w:bCs/>
                <w:i/>
                <w:iCs/>
                <w:sz w:val="38"/>
                <w:szCs w:val="38"/>
              </w:rPr>
            </w:pPr>
            <w:r>
              <w:rPr>
                <w:b/>
                <w:bCs/>
                <w:i/>
                <w:iCs/>
                <w:sz w:val="38"/>
                <w:szCs w:val="38"/>
              </w:rPr>
              <w:t>Appellate Tax Board</w:t>
            </w:r>
          </w:p>
          <w:p w:rsidR="006B3995" w:rsidRDefault="006B3995" w:rsidP="006B3995">
            <w:pPr>
              <w:jc w:val="center"/>
              <w:rPr>
                <w:i/>
                <w:iCs/>
                <w:sz w:val="22"/>
                <w:szCs w:val="22"/>
              </w:rPr>
            </w:pPr>
            <w:smartTag w:uri="urn:schemas-microsoft-com:office:smarttags" w:element="Street">
              <w:smartTag w:uri="urn:schemas-microsoft-com:office:smarttags" w:element="address">
                <w:r>
                  <w:rPr>
                    <w:i/>
                    <w:iCs/>
                    <w:sz w:val="22"/>
                    <w:szCs w:val="22"/>
                  </w:rPr>
                  <w:t>100 Cambridge Street, Suite 200</w:t>
                </w:r>
              </w:smartTag>
            </w:smartTag>
            <w:r>
              <w:rPr>
                <w:i/>
                <w:iCs/>
                <w:sz w:val="22"/>
                <w:szCs w:val="22"/>
              </w:rPr>
              <w:t>, Second Floor</w:t>
            </w:r>
          </w:p>
          <w:p w:rsidR="006B3995" w:rsidRDefault="006B3995" w:rsidP="006B3995">
            <w:pPr>
              <w:jc w:val="center"/>
            </w:pPr>
            <w:smartTag w:uri="urn:schemas-microsoft-com:office:smarttags" w:element="place">
              <w:smartTag w:uri="urn:schemas-microsoft-com:office:smarttags" w:element="City">
                <w:r>
                  <w:rPr>
                    <w:i/>
                    <w:iCs/>
                    <w:sz w:val="22"/>
                    <w:szCs w:val="22"/>
                  </w:rPr>
                  <w:t>Boston</w:t>
                </w:r>
              </w:smartTag>
              <w:r>
                <w:rPr>
                  <w:i/>
                  <w:iCs/>
                  <w:sz w:val="22"/>
                  <w:szCs w:val="22"/>
                </w:rPr>
                <w:t xml:space="preserve">, </w:t>
              </w:r>
              <w:smartTag w:uri="urn:schemas-microsoft-com:office:smarttags" w:element="State">
                <w:r>
                  <w:rPr>
                    <w:i/>
                    <w:iCs/>
                    <w:sz w:val="22"/>
                    <w:szCs w:val="22"/>
                  </w:rPr>
                  <w:t>Massachusetts</w:t>
                </w:r>
              </w:smartTag>
              <w:r>
                <w:rPr>
                  <w:i/>
                  <w:iCs/>
                  <w:sz w:val="22"/>
                  <w:szCs w:val="22"/>
                </w:rPr>
                <w:t xml:space="preserve">  </w:t>
              </w:r>
              <w:smartTag w:uri="urn:schemas-microsoft-com:office:smarttags" w:element="PostalCode">
                <w:r>
                  <w:rPr>
                    <w:i/>
                    <w:iCs/>
                    <w:sz w:val="22"/>
                    <w:szCs w:val="22"/>
                  </w:rPr>
                  <w:t>02114</w:t>
                </w:r>
              </w:smartTag>
            </w:smartTag>
          </w:p>
        </w:tc>
      </w:tr>
    </w:tbl>
    <w:p w:rsidR="006B3995" w:rsidRDefault="006B3995" w:rsidP="006B3995">
      <w:pPr>
        <w:rPr>
          <w:sz w:val="16"/>
          <w:szCs w:val="16"/>
        </w:rPr>
      </w:pPr>
    </w:p>
    <w:p w:rsidR="006B3995" w:rsidRDefault="006B3995" w:rsidP="006B3995">
      <w:pPr>
        <w:rPr>
          <w:sz w:val="16"/>
          <w:szCs w:val="16"/>
        </w:rPr>
      </w:pPr>
      <w:r>
        <w:rPr>
          <w:sz w:val="16"/>
          <w:szCs w:val="16"/>
        </w:rPr>
        <w:t>(617) 727-3100</w:t>
      </w:r>
    </w:p>
    <w:p w:rsidR="006B3995" w:rsidRDefault="006B3995" w:rsidP="006B3995">
      <w:pPr>
        <w:rPr>
          <w:sz w:val="16"/>
          <w:szCs w:val="16"/>
        </w:rPr>
      </w:pPr>
      <w:r>
        <w:rPr>
          <w:sz w:val="16"/>
          <w:szCs w:val="16"/>
        </w:rPr>
        <w:t>(617) 727-6234 FAX</w:t>
      </w:r>
    </w:p>
    <w:p w:rsidR="006B3995" w:rsidRDefault="006B3995" w:rsidP="006B3995">
      <w:pPr>
        <w:jc w:val="center"/>
        <w:rPr>
          <w:rFonts w:ascii="Arial" w:hAnsi="Arial" w:cs="Arial"/>
          <w:b/>
          <w:bCs/>
          <w:sz w:val="22"/>
          <w:szCs w:val="22"/>
        </w:rPr>
      </w:pPr>
      <w:r>
        <w:rPr>
          <w:rFonts w:ascii="Arial" w:hAnsi="Arial" w:cs="Arial"/>
          <w:b/>
          <w:bCs/>
          <w:sz w:val="22"/>
          <w:szCs w:val="22"/>
        </w:rPr>
        <w:t>SUGGESTIONS TO APPELLANTS ELECTING THE INFORMAL</w:t>
      </w:r>
    </w:p>
    <w:p w:rsidR="006B3995" w:rsidRDefault="006B3995" w:rsidP="006B3995">
      <w:pPr>
        <w:jc w:val="center"/>
        <w:rPr>
          <w:rFonts w:ascii="Arial" w:hAnsi="Arial" w:cs="Arial"/>
          <w:sz w:val="22"/>
          <w:szCs w:val="22"/>
        </w:rPr>
      </w:pPr>
      <w:r>
        <w:rPr>
          <w:rFonts w:ascii="Arial" w:hAnsi="Arial" w:cs="Arial"/>
          <w:b/>
          <w:bCs/>
          <w:sz w:val="22"/>
          <w:szCs w:val="22"/>
        </w:rPr>
        <w:t>PROCEDURE IN APPEALS FROM DECISIONS OF ASSESSORS</w:t>
      </w:r>
    </w:p>
    <w:p w:rsidR="006B3995" w:rsidRDefault="006B3995" w:rsidP="006B3995">
      <w:pPr>
        <w:jc w:val="center"/>
        <w:rPr>
          <w:rFonts w:ascii="Arial" w:hAnsi="Arial" w:cs="Arial"/>
          <w:sz w:val="22"/>
          <w:szCs w:val="22"/>
        </w:rPr>
      </w:pPr>
    </w:p>
    <w:p w:rsidR="006B3995" w:rsidRDefault="006B3995" w:rsidP="006B3995">
      <w:pPr>
        <w:ind w:firstLine="720"/>
        <w:rPr>
          <w:rFonts w:ascii="Arial" w:hAnsi="Arial" w:cs="Arial"/>
          <w:sz w:val="22"/>
          <w:szCs w:val="22"/>
        </w:rPr>
      </w:pPr>
      <w:r>
        <w:rPr>
          <w:rFonts w:ascii="Arial" w:hAnsi="Arial" w:cs="Arial"/>
          <w:sz w:val="22"/>
          <w:szCs w:val="22"/>
        </w:rPr>
        <w:t>In appeals to be heard under the Informal Procedure:</w:t>
      </w:r>
    </w:p>
    <w:p w:rsidR="006B3995" w:rsidRDefault="006B3995" w:rsidP="006B3995">
      <w:pPr>
        <w:ind w:firstLine="720"/>
        <w:rPr>
          <w:rFonts w:ascii="Arial" w:hAnsi="Arial" w:cs="Arial"/>
          <w:sz w:val="22"/>
          <w:szCs w:val="22"/>
        </w:rPr>
      </w:pPr>
    </w:p>
    <w:p w:rsidR="006B3995" w:rsidRDefault="006B3995" w:rsidP="006B3995">
      <w:pPr>
        <w:rPr>
          <w:rFonts w:ascii="Arial" w:hAnsi="Arial" w:cs="Arial"/>
          <w:sz w:val="22"/>
          <w:szCs w:val="22"/>
        </w:rPr>
      </w:pPr>
      <w:r>
        <w:rPr>
          <w:rFonts w:ascii="Arial" w:hAnsi="Arial" w:cs="Arial"/>
          <w:sz w:val="22"/>
          <w:szCs w:val="22"/>
        </w:rPr>
        <w:tab/>
        <w:t>All formal rules of pleading, practice and evidence are eliminated to the extent that this Board may consider practicable.</w:t>
      </w:r>
    </w:p>
    <w:p w:rsidR="006B3995" w:rsidRDefault="006B3995" w:rsidP="006B3995">
      <w:pPr>
        <w:rPr>
          <w:rFonts w:ascii="Arial" w:hAnsi="Arial" w:cs="Arial"/>
          <w:sz w:val="22"/>
          <w:szCs w:val="22"/>
        </w:rPr>
      </w:pPr>
    </w:p>
    <w:p w:rsidR="006B3995" w:rsidRDefault="006B3995" w:rsidP="006B3995">
      <w:pPr>
        <w:rPr>
          <w:rFonts w:ascii="Arial" w:hAnsi="Arial" w:cs="Arial"/>
          <w:sz w:val="22"/>
          <w:szCs w:val="22"/>
        </w:rPr>
      </w:pPr>
      <w:r>
        <w:rPr>
          <w:rFonts w:ascii="Arial" w:hAnsi="Arial" w:cs="Arial"/>
          <w:sz w:val="22"/>
          <w:szCs w:val="22"/>
        </w:rPr>
        <w:tab/>
        <w:t>EVERY NUMBERED PARAGRAPH IN THE STATEMENT UNDER THE INFORMAL PROCEDURE MUST BE COMPLETED LEGIBLY BY PRINTING OR TYPING.  Additional information may be attached on a separate sheet if space is insufficient.</w:t>
      </w:r>
    </w:p>
    <w:p w:rsidR="006B3995" w:rsidRDefault="006B3995" w:rsidP="006B3995">
      <w:pPr>
        <w:rPr>
          <w:rFonts w:ascii="Arial" w:hAnsi="Arial" w:cs="Arial"/>
          <w:sz w:val="22"/>
          <w:szCs w:val="22"/>
        </w:rPr>
      </w:pPr>
    </w:p>
    <w:p w:rsidR="006B3995" w:rsidRDefault="006B3995" w:rsidP="006B3995">
      <w:pPr>
        <w:rPr>
          <w:rFonts w:ascii="Arial" w:hAnsi="Arial" w:cs="Arial"/>
          <w:sz w:val="22"/>
          <w:szCs w:val="22"/>
        </w:rPr>
      </w:pPr>
      <w:r>
        <w:rPr>
          <w:rFonts w:ascii="Arial" w:hAnsi="Arial" w:cs="Arial"/>
          <w:sz w:val="22"/>
          <w:szCs w:val="22"/>
        </w:rPr>
        <w:tab/>
        <w:t>Particular attention should be given to Paragraph 2: location of the property.</w:t>
      </w:r>
    </w:p>
    <w:p w:rsidR="006B3995" w:rsidRDefault="006B3995" w:rsidP="006B3995">
      <w:pPr>
        <w:rPr>
          <w:rFonts w:ascii="Arial" w:hAnsi="Arial" w:cs="Arial"/>
          <w:sz w:val="22"/>
          <w:szCs w:val="22"/>
        </w:rPr>
      </w:pPr>
    </w:p>
    <w:p w:rsidR="006B3995" w:rsidRDefault="006B3995" w:rsidP="006B3995">
      <w:pPr>
        <w:rPr>
          <w:rFonts w:ascii="Arial" w:hAnsi="Arial" w:cs="Arial"/>
          <w:sz w:val="22"/>
          <w:szCs w:val="22"/>
        </w:rPr>
      </w:pPr>
      <w:r>
        <w:rPr>
          <w:rFonts w:ascii="Arial" w:hAnsi="Arial" w:cs="Arial"/>
          <w:sz w:val="22"/>
          <w:szCs w:val="22"/>
        </w:rPr>
        <w:tab/>
        <w:t xml:space="preserve">There are also three conditions, which </w:t>
      </w:r>
      <w:r>
        <w:rPr>
          <w:rFonts w:ascii="Arial" w:hAnsi="Arial" w:cs="Arial"/>
          <w:sz w:val="22"/>
          <w:szCs w:val="22"/>
          <w:u w:val="single"/>
        </w:rPr>
        <w:t>must</w:t>
      </w:r>
      <w:r>
        <w:rPr>
          <w:rFonts w:ascii="Arial" w:hAnsi="Arial" w:cs="Arial"/>
          <w:sz w:val="22"/>
          <w:szCs w:val="22"/>
        </w:rPr>
        <w:t xml:space="preserve"> be strictly complied with in order that your appeal may be effective.</w:t>
      </w:r>
    </w:p>
    <w:p w:rsidR="006B3995" w:rsidRDefault="006B3995" w:rsidP="006B3995">
      <w:pPr>
        <w:rPr>
          <w:rFonts w:ascii="Arial" w:hAnsi="Arial" w:cs="Arial"/>
          <w:sz w:val="22"/>
          <w:szCs w:val="22"/>
        </w:rPr>
      </w:pPr>
    </w:p>
    <w:p w:rsidR="006B3995" w:rsidRDefault="006B3995" w:rsidP="006B3995">
      <w:pPr>
        <w:ind w:left="720" w:hanging="720"/>
        <w:rPr>
          <w:rFonts w:ascii="Arial" w:hAnsi="Arial" w:cs="Arial"/>
          <w:sz w:val="22"/>
          <w:szCs w:val="22"/>
        </w:rPr>
      </w:pPr>
      <w:r>
        <w:rPr>
          <w:rFonts w:ascii="Arial" w:hAnsi="Arial" w:cs="Arial"/>
          <w:sz w:val="22"/>
          <w:szCs w:val="22"/>
        </w:rPr>
        <w:t>(1)</w:t>
      </w:r>
      <w:r>
        <w:rPr>
          <w:rFonts w:ascii="Arial" w:hAnsi="Arial" w:cs="Arial"/>
          <w:sz w:val="22"/>
          <w:szCs w:val="22"/>
        </w:rPr>
        <w:tab/>
        <w:t xml:space="preserve">The Statement Under the Informal Procedure to the Board </w:t>
      </w:r>
      <w:r>
        <w:rPr>
          <w:rFonts w:ascii="Arial" w:hAnsi="Arial" w:cs="Arial"/>
          <w:sz w:val="22"/>
          <w:szCs w:val="22"/>
          <w:u w:val="single"/>
        </w:rPr>
        <w:t>MUST BE</w:t>
      </w:r>
      <w:r>
        <w:rPr>
          <w:rFonts w:ascii="Arial" w:hAnsi="Arial" w:cs="Arial"/>
          <w:sz w:val="22"/>
          <w:szCs w:val="22"/>
        </w:rPr>
        <w:t xml:space="preserve"> filed in triplicate (original and two copies) together with a Waiver of Appeal and Election of Informal Procedure </w:t>
      </w:r>
      <w:r>
        <w:rPr>
          <w:rFonts w:ascii="Arial" w:hAnsi="Arial" w:cs="Arial"/>
          <w:sz w:val="22"/>
          <w:szCs w:val="22"/>
          <w:u w:val="single"/>
        </w:rPr>
        <w:t>not later than three (3) months after the decision of the Board of Assessors on an application for abatement</w:t>
      </w:r>
      <w:r>
        <w:rPr>
          <w:rFonts w:ascii="Arial" w:hAnsi="Arial" w:cs="Arial"/>
          <w:sz w:val="22"/>
          <w:szCs w:val="22"/>
        </w:rPr>
        <w:t>.  If the Assessors fail to act on an application prior to the expiration of the first three (3) months from the date of filing, it is then deemed to be denied by operation of law.</w:t>
      </w:r>
    </w:p>
    <w:p w:rsidR="006B3995" w:rsidRDefault="006B3995" w:rsidP="006B3995">
      <w:pPr>
        <w:rPr>
          <w:rFonts w:ascii="Arial" w:hAnsi="Arial" w:cs="Arial"/>
          <w:sz w:val="22"/>
          <w:szCs w:val="22"/>
        </w:rPr>
      </w:pPr>
    </w:p>
    <w:p w:rsidR="006B3995" w:rsidRDefault="006B3995" w:rsidP="006B3995">
      <w:pPr>
        <w:ind w:left="720" w:hanging="720"/>
        <w:rPr>
          <w:rFonts w:ascii="Arial" w:hAnsi="Arial" w:cs="Arial"/>
          <w:sz w:val="22"/>
          <w:szCs w:val="22"/>
        </w:rPr>
      </w:pPr>
      <w:r>
        <w:rPr>
          <w:rFonts w:ascii="Arial" w:hAnsi="Arial" w:cs="Arial"/>
          <w:sz w:val="22"/>
          <w:szCs w:val="22"/>
        </w:rPr>
        <w:t>(2)</w:t>
      </w:r>
      <w:r>
        <w:rPr>
          <w:rFonts w:ascii="Arial" w:hAnsi="Arial" w:cs="Arial"/>
          <w:sz w:val="22"/>
          <w:szCs w:val="22"/>
        </w:rPr>
        <w:tab/>
        <w:t xml:space="preserve">The Statement </w:t>
      </w:r>
      <w:proofErr w:type="gramStart"/>
      <w:r>
        <w:rPr>
          <w:rFonts w:ascii="Arial" w:hAnsi="Arial" w:cs="Arial"/>
          <w:sz w:val="22"/>
          <w:szCs w:val="22"/>
        </w:rPr>
        <w:t>Under</w:t>
      </w:r>
      <w:proofErr w:type="gramEnd"/>
      <w:r>
        <w:rPr>
          <w:rFonts w:ascii="Arial" w:hAnsi="Arial" w:cs="Arial"/>
          <w:sz w:val="22"/>
          <w:szCs w:val="22"/>
        </w:rPr>
        <w:t xml:space="preserve"> the Informal Procedure </w:t>
      </w:r>
      <w:r>
        <w:rPr>
          <w:rFonts w:ascii="Arial" w:hAnsi="Arial" w:cs="Arial"/>
          <w:sz w:val="22"/>
          <w:szCs w:val="22"/>
          <w:u w:val="single"/>
        </w:rPr>
        <w:t>MUST NOT</w:t>
      </w:r>
      <w:r>
        <w:rPr>
          <w:rFonts w:ascii="Arial" w:hAnsi="Arial" w:cs="Arial"/>
          <w:sz w:val="22"/>
          <w:szCs w:val="22"/>
        </w:rPr>
        <w:t xml:space="preserve"> include more than one (1) assessed parcel of real estate unless the Board specifically permits otherwise.</w:t>
      </w:r>
    </w:p>
    <w:p w:rsidR="006B3995" w:rsidRDefault="006B3995" w:rsidP="006B3995">
      <w:pPr>
        <w:rPr>
          <w:rFonts w:ascii="Arial" w:hAnsi="Arial" w:cs="Arial"/>
          <w:sz w:val="22"/>
          <w:szCs w:val="22"/>
        </w:rPr>
      </w:pPr>
    </w:p>
    <w:p w:rsidR="006B3995" w:rsidRDefault="006B3995" w:rsidP="006B3995">
      <w:pPr>
        <w:pStyle w:val="BodyText2"/>
        <w:rPr>
          <w:rFonts w:ascii="Arial" w:hAnsi="Arial" w:cs="Arial"/>
          <w:sz w:val="22"/>
          <w:szCs w:val="22"/>
        </w:rPr>
      </w:pPr>
      <w:r>
        <w:rPr>
          <w:rFonts w:ascii="Arial" w:hAnsi="Arial" w:cs="Arial"/>
          <w:sz w:val="22"/>
          <w:szCs w:val="22"/>
        </w:rPr>
        <w:t>(3)</w:t>
      </w:r>
      <w:r>
        <w:rPr>
          <w:rFonts w:ascii="Arial" w:hAnsi="Arial" w:cs="Arial"/>
          <w:sz w:val="22"/>
          <w:szCs w:val="22"/>
        </w:rPr>
        <w:tab/>
        <w:t>An entry fee made out to the Appellate Tax Board must be</w:t>
      </w:r>
      <w:r w:rsidR="00C97B1D">
        <w:rPr>
          <w:rFonts w:ascii="Arial" w:hAnsi="Arial" w:cs="Arial"/>
          <w:sz w:val="22"/>
          <w:szCs w:val="22"/>
        </w:rPr>
        <w:t xml:space="preserve"> paid.  Please see </w:t>
      </w:r>
      <w:hyperlink r:id="rId9" w:anchor="10" w:history="1">
        <w:r w:rsidR="00C97B1D" w:rsidRPr="00C97B1D">
          <w:rPr>
            <w:rStyle w:val="Hyperlink"/>
            <w:rFonts w:ascii="Arial" w:hAnsi="Arial" w:cs="Arial"/>
            <w:sz w:val="22"/>
            <w:szCs w:val="22"/>
          </w:rPr>
          <w:t>Fee Schedule</w:t>
        </w:r>
      </w:hyperlink>
      <w:r w:rsidR="00C97B1D">
        <w:rPr>
          <w:rFonts w:ascii="Arial" w:hAnsi="Arial" w:cs="Arial"/>
          <w:sz w:val="22"/>
          <w:szCs w:val="22"/>
        </w:rPr>
        <w:t>.</w:t>
      </w:r>
    </w:p>
    <w:p w:rsidR="006B3995" w:rsidRDefault="006B3995" w:rsidP="006B3995">
      <w:pPr>
        <w:rPr>
          <w:rFonts w:ascii="Arial" w:hAnsi="Arial" w:cs="Arial"/>
          <w:sz w:val="22"/>
          <w:szCs w:val="22"/>
        </w:rPr>
      </w:pPr>
    </w:p>
    <w:p w:rsidR="006B3995" w:rsidRDefault="006B3995" w:rsidP="006B3995">
      <w:pPr>
        <w:rPr>
          <w:rFonts w:ascii="Arial" w:hAnsi="Arial" w:cs="Arial"/>
          <w:sz w:val="22"/>
          <w:szCs w:val="22"/>
        </w:rPr>
      </w:pPr>
      <w:r>
        <w:rPr>
          <w:rFonts w:ascii="Arial" w:hAnsi="Arial" w:cs="Arial"/>
          <w:sz w:val="22"/>
          <w:szCs w:val="22"/>
        </w:rPr>
        <w:tab/>
        <w:t>THE STATEMENT UNDER THE INFORMAL PROCEDURE AND THE WAIVER OF APPEAL AND ELECTION OF INFORMAL PROCEDURE MUST BOTH BE SIGNED.</w:t>
      </w:r>
    </w:p>
    <w:p w:rsidR="006B3995" w:rsidRDefault="006B3995" w:rsidP="006B3995">
      <w:pPr>
        <w:rPr>
          <w:rFonts w:ascii="Arial" w:hAnsi="Arial" w:cs="Arial"/>
          <w:sz w:val="22"/>
          <w:szCs w:val="22"/>
        </w:rPr>
      </w:pPr>
    </w:p>
    <w:p w:rsidR="006B3995" w:rsidRDefault="006B3995" w:rsidP="006B3995">
      <w:pPr>
        <w:ind w:firstLine="720"/>
        <w:rPr>
          <w:rFonts w:ascii="Arial" w:hAnsi="Arial" w:cs="Arial"/>
          <w:sz w:val="22"/>
          <w:szCs w:val="22"/>
        </w:rPr>
      </w:pPr>
      <w:r>
        <w:rPr>
          <w:rFonts w:ascii="Arial" w:hAnsi="Arial" w:cs="Arial"/>
          <w:sz w:val="22"/>
          <w:szCs w:val="22"/>
        </w:rPr>
        <w:t xml:space="preserve">If the tax appealed from is on personal property, at least one-half of the tax </w:t>
      </w:r>
      <w:r>
        <w:rPr>
          <w:rFonts w:ascii="Arial" w:hAnsi="Arial" w:cs="Arial"/>
          <w:sz w:val="22"/>
          <w:szCs w:val="22"/>
          <w:u w:val="single"/>
        </w:rPr>
        <w:t>MUST</w:t>
      </w:r>
      <w:r>
        <w:rPr>
          <w:rFonts w:ascii="Arial" w:hAnsi="Arial" w:cs="Arial"/>
          <w:sz w:val="22"/>
          <w:szCs w:val="22"/>
        </w:rPr>
        <w:t xml:space="preserve"> be paid before an appeal may be filed with this Board.</w:t>
      </w:r>
    </w:p>
    <w:p w:rsidR="006B3995" w:rsidRDefault="006B3995" w:rsidP="006B3995">
      <w:pPr>
        <w:rPr>
          <w:rFonts w:ascii="Arial" w:hAnsi="Arial" w:cs="Arial"/>
          <w:sz w:val="22"/>
          <w:szCs w:val="22"/>
        </w:rPr>
      </w:pPr>
    </w:p>
    <w:p w:rsidR="006B3995" w:rsidRDefault="006B3995" w:rsidP="006B3995">
      <w:pPr>
        <w:rPr>
          <w:rFonts w:ascii="Arial" w:hAnsi="Arial" w:cs="Arial"/>
          <w:sz w:val="22"/>
          <w:szCs w:val="22"/>
        </w:rPr>
      </w:pPr>
      <w:r>
        <w:rPr>
          <w:rFonts w:ascii="Arial" w:hAnsi="Arial" w:cs="Arial"/>
          <w:sz w:val="22"/>
          <w:szCs w:val="22"/>
        </w:rPr>
        <w:tab/>
        <w:t>Insert in Paragraph 11:  your name and address, your telephone number or that of your lawyer or other authorized person to whom you desire any notice or correspondence related to the appeal be sent.</w:t>
      </w:r>
    </w:p>
    <w:p w:rsidR="006B3995" w:rsidRDefault="006B3995" w:rsidP="006B3995">
      <w:pPr>
        <w:rPr>
          <w:rFonts w:ascii="Arial" w:hAnsi="Arial" w:cs="Arial"/>
          <w:sz w:val="22"/>
          <w:szCs w:val="22"/>
        </w:rPr>
      </w:pPr>
    </w:p>
    <w:p w:rsidR="006B3995" w:rsidRDefault="006B3995" w:rsidP="006B3995">
      <w:pPr>
        <w:rPr>
          <w:rFonts w:ascii="Arial" w:hAnsi="Arial" w:cs="Arial"/>
          <w:sz w:val="22"/>
          <w:szCs w:val="22"/>
        </w:rPr>
      </w:pPr>
      <w:r>
        <w:rPr>
          <w:rFonts w:ascii="Arial" w:hAnsi="Arial" w:cs="Arial"/>
          <w:sz w:val="22"/>
          <w:szCs w:val="22"/>
        </w:rPr>
        <w:tab/>
        <w:t xml:space="preserve">Service of a copy of this Statement </w:t>
      </w:r>
      <w:proofErr w:type="gramStart"/>
      <w:r>
        <w:rPr>
          <w:rFonts w:ascii="Arial" w:hAnsi="Arial" w:cs="Arial"/>
          <w:sz w:val="22"/>
          <w:szCs w:val="22"/>
        </w:rPr>
        <w:t>Under</w:t>
      </w:r>
      <w:proofErr w:type="gramEnd"/>
      <w:r>
        <w:rPr>
          <w:rFonts w:ascii="Arial" w:hAnsi="Arial" w:cs="Arial"/>
          <w:sz w:val="22"/>
          <w:szCs w:val="22"/>
        </w:rPr>
        <w:t xml:space="preserve"> the Informal Procedure will be made on the assessors by the Clerk of the Board.</w:t>
      </w:r>
    </w:p>
    <w:p w:rsidR="006B3995" w:rsidRDefault="006B3995" w:rsidP="006B3995">
      <w:pPr>
        <w:rPr>
          <w:rFonts w:ascii="Arial" w:hAnsi="Arial" w:cs="Arial"/>
          <w:sz w:val="22"/>
          <w:szCs w:val="22"/>
        </w:rPr>
      </w:pPr>
    </w:p>
    <w:p w:rsidR="00520658" w:rsidRPr="006B3995" w:rsidRDefault="006B3995">
      <w:pPr>
        <w:rPr>
          <w:rFonts w:ascii="Arial" w:hAnsi="Arial" w:cs="Arial"/>
          <w:sz w:val="22"/>
          <w:szCs w:val="22"/>
        </w:rPr>
      </w:pPr>
      <w:r>
        <w:rPr>
          <w:rFonts w:ascii="Arial" w:hAnsi="Arial" w:cs="Arial"/>
          <w:sz w:val="22"/>
          <w:szCs w:val="22"/>
        </w:rPr>
        <w:tab/>
        <w:t xml:space="preserve">If the assessed value </w:t>
      </w:r>
      <w:r>
        <w:rPr>
          <w:rFonts w:ascii="Arial" w:hAnsi="Arial" w:cs="Arial"/>
          <w:sz w:val="22"/>
          <w:szCs w:val="22"/>
          <w:u w:val="single"/>
        </w:rPr>
        <w:t>does</w:t>
      </w:r>
      <w:r>
        <w:rPr>
          <w:rFonts w:ascii="Arial" w:hAnsi="Arial" w:cs="Arial"/>
          <w:sz w:val="22"/>
          <w:szCs w:val="22"/>
        </w:rPr>
        <w:t xml:space="preserve"> exceed $20,000, the </w:t>
      </w:r>
      <w:r>
        <w:rPr>
          <w:rFonts w:ascii="Arial" w:hAnsi="Arial" w:cs="Arial"/>
          <w:sz w:val="22"/>
          <w:szCs w:val="22"/>
          <w:u w:val="single"/>
        </w:rPr>
        <w:t>Assessors may elect</w:t>
      </w:r>
      <w:r>
        <w:rPr>
          <w:rFonts w:ascii="Arial" w:hAnsi="Arial" w:cs="Arial"/>
          <w:sz w:val="22"/>
          <w:szCs w:val="22"/>
        </w:rPr>
        <w:t xml:space="preserve"> to have the appeal heard under the Formal Procedure by notifying the Clerk of this Board within thirty (30) days of the service of the Statement </w:t>
      </w:r>
      <w:proofErr w:type="gramStart"/>
      <w:r>
        <w:rPr>
          <w:rFonts w:ascii="Arial" w:hAnsi="Arial" w:cs="Arial"/>
          <w:sz w:val="22"/>
          <w:szCs w:val="22"/>
        </w:rPr>
        <w:t>Under</w:t>
      </w:r>
      <w:proofErr w:type="gramEnd"/>
      <w:r>
        <w:rPr>
          <w:rFonts w:ascii="Arial" w:hAnsi="Arial" w:cs="Arial"/>
          <w:sz w:val="22"/>
          <w:szCs w:val="22"/>
        </w:rPr>
        <w:t xml:space="preserve"> the Informal Procedure and paying to the Clerk a transfer fee of sixty-five dollars ($65.00).  The appeal will then be automatically transferred to the Formal Procedure.  No further action will be required by the appellant unless so notified by the Clerk of this Board.  The Board will notify both parties of the date of hearing of the appeal.</w:t>
      </w:r>
    </w:p>
    <w:sectPr w:rsidR="00520658" w:rsidRPr="006B3995">
      <w:headerReference w:type="default" r:id="rId10"/>
      <w:footerReference w:type="default" r:id="rId11"/>
      <w:pgSz w:w="12240" w:h="15840"/>
      <w:pgMar w:top="576" w:right="576" w:bottom="288"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928" w:rsidRDefault="00C27928">
      <w:r>
        <w:separator/>
      </w:r>
    </w:p>
  </w:endnote>
  <w:endnote w:type="continuationSeparator" w:id="0">
    <w:p w:rsidR="00C27928" w:rsidRDefault="00C2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995" w:rsidRDefault="006B3995">
    <w:pPr>
      <w:pStyle w:val="Footer"/>
    </w:pPr>
    <w:r>
      <w:t>S:\Letters\Suggest.doc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928" w:rsidRDefault="00C27928">
      <w:r>
        <w:separator/>
      </w:r>
    </w:p>
  </w:footnote>
  <w:footnote w:type="continuationSeparator" w:id="0">
    <w:p w:rsidR="00C27928" w:rsidRDefault="00C27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995" w:rsidRDefault="006B39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3995"/>
    <w:rsid w:val="00391DCB"/>
    <w:rsid w:val="00460322"/>
    <w:rsid w:val="00520658"/>
    <w:rsid w:val="00552863"/>
    <w:rsid w:val="00590E29"/>
    <w:rsid w:val="00623DF3"/>
    <w:rsid w:val="00625821"/>
    <w:rsid w:val="006B3995"/>
    <w:rsid w:val="00813C0A"/>
    <w:rsid w:val="00AF4F39"/>
    <w:rsid w:val="00BF181D"/>
    <w:rsid w:val="00C27928"/>
    <w:rsid w:val="00C97B1D"/>
    <w:rsid w:val="00E2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995"/>
    <w:pPr>
      <w:autoSpaceDE w:val="0"/>
      <w:autoSpaceDN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6B3995"/>
    <w:pPr>
      <w:ind w:left="720" w:hanging="720"/>
    </w:pPr>
    <w:rPr>
      <w:rFonts w:ascii="Courier New" w:hAnsi="Courier New" w:cs="Courier New"/>
    </w:rPr>
  </w:style>
  <w:style w:type="paragraph" w:styleId="Header">
    <w:name w:val="header"/>
    <w:basedOn w:val="Normal"/>
    <w:rsid w:val="006B3995"/>
    <w:pPr>
      <w:tabs>
        <w:tab w:val="center" w:pos="4320"/>
        <w:tab w:val="right" w:pos="8640"/>
      </w:tabs>
    </w:pPr>
  </w:style>
  <w:style w:type="paragraph" w:styleId="Footer">
    <w:name w:val="footer"/>
    <w:basedOn w:val="Normal"/>
    <w:rsid w:val="006B3995"/>
    <w:pPr>
      <w:tabs>
        <w:tab w:val="center" w:pos="4320"/>
        <w:tab w:val="right" w:pos="8640"/>
      </w:tabs>
    </w:pPr>
  </w:style>
  <w:style w:type="character" w:styleId="Hyperlink">
    <w:name w:val="Hyperlink"/>
    <w:rsid w:val="00C97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ss.gov/anf/hearings-and-appeals/tax-appeals-process/rules-of-practice-and-procedure-of-th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BDBB9-D969-4DF6-9CF5-04FA2087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ATB, Comm of Mass.</Company>
  <LinksUpToDate>false</LinksUpToDate>
  <CharactersWithSpaces>2892</CharactersWithSpaces>
  <SharedDoc>false</SharedDoc>
  <HLinks>
    <vt:vector size="6" baseType="variant">
      <vt:variant>
        <vt:i4>6357092</vt:i4>
      </vt:variant>
      <vt:variant>
        <vt:i4>3</vt:i4>
      </vt:variant>
      <vt:variant>
        <vt:i4>0</vt:i4>
      </vt:variant>
      <vt:variant>
        <vt:i4>5</vt:i4>
      </vt:variant>
      <vt:variant>
        <vt:lpwstr>http://www.mass.gov/anf/hearings-and-appeals/tax-appeals-process/rules-of-practice-and-procedure-of-the.html</vt:lpwstr>
      </vt:variant>
      <vt:variant>
        <vt:lpwstr>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ANF</cp:lastModifiedBy>
  <cp:revision>2</cp:revision>
  <dcterms:created xsi:type="dcterms:W3CDTF">2017-06-16T12:58:00Z</dcterms:created>
  <dcterms:modified xsi:type="dcterms:W3CDTF">2017-06-16T12:58:00Z</dcterms:modified>
</cp:coreProperties>
</file>