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8C10" w14:textId="77777777" w:rsidR="00C4340E" w:rsidRPr="0015306A" w:rsidRDefault="000F151F" w:rsidP="00254E59">
      <w:pPr>
        <w:rPr>
          <w:rFonts w:asciiTheme="minorHAnsi" w:hAnsiTheme="minorHAnsi"/>
        </w:rPr>
      </w:pPr>
      <w:r w:rsidRPr="0015306A">
        <w:rPr>
          <w:rFonts w:asciiTheme="minorHAnsi" w:hAnsiTheme="minorHAnsi"/>
          <w:noProof/>
        </w:rPr>
        <mc:AlternateContent>
          <mc:Choice Requires="wpg">
            <w:drawing>
              <wp:anchor distT="0" distB="0" distL="114300" distR="114300" simplePos="0" relativeHeight="251657728" behindDoc="1" locked="0" layoutInCell="1" allowOverlap="1" wp14:anchorId="30DC5317" wp14:editId="0F6C76F2">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14:paraId="57FD0961" w14:textId="57D3ED79" w:rsidR="001838EA" w:rsidRPr="00AD2D79" w:rsidRDefault="00C3733F" w:rsidP="00401350">
                              <w:pPr>
                                <w:tabs>
                                  <w:tab w:val="right" w:pos="10350"/>
                                </w:tabs>
                                <w:spacing w:before="120"/>
                                <w:ind w:right="1411" w:hanging="90"/>
                                <w:rPr>
                                  <w:rFonts w:ascii="Calibri" w:hAnsi="Calibri"/>
                                  <w:color w:val="194D80"/>
                                  <w:sz w:val="18"/>
                                  <w:szCs w:val="16"/>
                                </w:rPr>
                              </w:pPr>
                              <w:r w:rsidRPr="00B659D6">
                                <w:rPr>
                                  <w:rFonts w:ascii="Calibri" w:hAnsi="Calibri"/>
                                  <w:color w:val="000000" w:themeColor="text1"/>
                                  <w:sz w:val="18"/>
                                  <w:szCs w:val="16"/>
                                </w:rPr>
                                <w:t xml:space="preserve">Occupational Health Surveillance Program, </w:t>
                              </w:r>
                              <w:r w:rsidR="001838EA" w:rsidRPr="00B659D6">
                                <w:rPr>
                                  <w:rFonts w:ascii="Calibri" w:hAnsi="Calibri"/>
                                  <w:color w:val="000000" w:themeColor="text1"/>
                                  <w:sz w:val="18"/>
                                  <w:szCs w:val="16"/>
                                </w:rPr>
                                <w:t>Massachusetts Department of Public Health</w:t>
                              </w:r>
                              <w:r w:rsidR="001838EA" w:rsidRPr="00AD2D79">
                                <w:rPr>
                                  <w:rFonts w:ascii="Calibri" w:hAnsi="Calibri"/>
                                  <w:caps/>
                                  <w:color w:val="194D80"/>
                                  <w:sz w:val="18"/>
                                  <w:szCs w:val="16"/>
                                </w:rPr>
                                <w:tab/>
                              </w:r>
                              <w:r w:rsidR="005B254C">
                                <w:rPr>
                                  <w:rFonts w:ascii="Calibri" w:hAnsi="Calibri"/>
                                  <w:caps/>
                                  <w:color w:val="000000" w:themeColor="text1"/>
                                  <w:sz w:val="18"/>
                                  <w:szCs w:val="16"/>
                                </w:rPr>
                                <w:t>FEBRUARY</w:t>
                              </w:r>
                              <w:r w:rsidR="00EF37C0" w:rsidRPr="00B659D6">
                                <w:rPr>
                                  <w:rFonts w:ascii="Calibri" w:hAnsi="Calibri"/>
                                  <w:caps/>
                                  <w:color w:val="000000" w:themeColor="text1"/>
                                  <w:sz w:val="18"/>
                                  <w:szCs w:val="16"/>
                                </w:rPr>
                                <w:t xml:space="preserve"> 202</w:t>
                              </w:r>
                              <w:r w:rsidR="003652DE">
                                <w:rPr>
                                  <w:rFonts w:ascii="Calibri" w:hAnsi="Calibri"/>
                                  <w:caps/>
                                  <w:color w:val="000000" w:themeColor="text1"/>
                                  <w:sz w:val="18"/>
                                  <w:szCs w:val="16"/>
                                </w:rPr>
                                <w:t>2</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0DC5317" id="Group 2" o:spid="_x0000_s1026" style="position:absolute;margin-left:-.35pt;margin-top:-10.25pt;width:539.95pt;height:124.4pt;z-index:-251658752;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">
                <v:shapetype id="_x0000_t202" coordsize="21600,21600" o:spt="202" path="m,l,21600r21600,l21600,xe">
                  <v:stroke joinstyle="miter"/>
                  <v:path gradientshapeok="t" o:connecttype="rect"/>
                </v:shapetype>
                <v:shape id="Text Box 4" o:spid="_x0000_s1027" type="#_x0000_t202" style="position:absolute;top:11996;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7FD0961" w14:textId="57D3ED79" w:rsidR="001838EA" w:rsidRPr="00AD2D79" w:rsidRDefault="00C3733F" w:rsidP="00401350">
                        <w:pPr>
                          <w:tabs>
                            <w:tab w:val="right" w:pos="10350"/>
                          </w:tabs>
                          <w:spacing w:before="120"/>
                          <w:ind w:right="1411" w:hanging="90"/>
                          <w:rPr>
                            <w:rFonts w:ascii="Calibri" w:hAnsi="Calibri"/>
                            <w:color w:val="194D80"/>
                            <w:sz w:val="18"/>
                            <w:szCs w:val="16"/>
                          </w:rPr>
                        </w:pPr>
                        <w:r w:rsidRPr="00B659D6">
                          <w:rPr>
                            <w:rFonts w:ascii="Calibri" w:hAnsi="Calibri"/>
                            <w:color w:val="000000" w:themeColor="text1"/>
                            <w:sz w:val="18"/>
                            <w:szCs w:val="16"/>
                          </w:rPr>
                          <w:t xml:space="preserve">Occupational Health Surveillance Program, </w:t>
                        </w:r>
                        <w:r w:rsidR="001838EA" w:rsidRPr="00B659D6">
                          <w:rPr>
                            <w:rFonts w:ascii="Calibri" w:hAnsi="Calibri"/>
                            <w:color w:val="000000" w:themeColor="text1"/>
                            <w:sz w:val="18"/>
                            <w:szCs w:val="16"/>
                          </w:rPr>
                          <w:t>Massachusetts Department of Public Health</w:t>
                        </w:r>
                        <w:r w:rsidR="001838EA" w:rsidRPr="00AD2D79">
                          <w:rPr>
                            <w:rFonts w:ascii="Calibri" w:hAnsi="Calibri"/>
                            <w:caps/>
                            <w:color w:val="194D80"/>
                            <w:sz w:val="18"/>
                            <w:szCs w:val="16"/>
                          </w:rPr>
                          <w:tab/>
                        </w:r>
                        <w:r w:rsidR="005B254C">
                          <w:rPr>
                            <w:rFonts w:ascii="Calibri" w:hAnsi="Calibri"/>
                            <w:caps/>
                            <w:color w:val="000000" w:themeColor="text1"/>
                            <w:sz w:val="18"/>
                            <w:szCs w:val="16"/>
                          </w:rPr>
                          <w:t>FEBRUARY</w:t>
                        </w:r>
                        <w:r w:rsidR="00EF37C0" w:rsidRPr="00B659D6">
                          <w:rPr>
                            <w:rFonts w:ascii="Calibri" w:hAnsi="Calibri"/>
                            <w:caps/>
                            <w:color w:val="000000" w:themeColor="text1"/>
                            <w:sz w:val="18"/>
                            <w:szCs w:val="16"/>
                          </w:rPr>
                          <w:t xml:space="preserve"> 202</w:t>
                        </w:r>
                        <w:r w:rsidR="003652DE">
                          <w:rPr>
                            <w:rFonts w:ascii="Calibri" w:hAnsi="Calibri"/>
                            <w:caps/>
                            <w:color w:val="000000" w:themeColor="text1"/>
                            <w:sz w:val="18"/>
                            <w:szCs w:val="16"/>
                          </w:rPr>
                          <w:t>2</w:t>
                        </w:r>
                      </w:p>
                    </w:txbxContent>
                  </v:textbox>
                </v:shape>
                <v:rect id="Rectangle 11" o:spid="_x0000_s1028"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1774B6" w:rsidRPr="0015306A">
        <w:rPr>
          <w:rFonts w:asciiTheme="minorHAnsi" w:hAnsiTheme="minorHAnsi"/>
          <w:noProof/>
        </w:rPr>
        <mc:AlternateContent>
          <mc:Choice Requires="wps">
            <w:drawing>
              <wp:anchor distT="0" distB="0" distL="114300" distR="114300" simplePos="0" relativeHeight="251658752" behindDoc="0" locked="0" layoutInCell="1" allowOverlap="1" wp14:anchorId="4F1BD05E" wp14:editId="791597A9">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14:paraId="21A3F1D4" w14:textId="2EEF4E21" w:rsidR="001838EA" w:rsidRPr="00B659D6" w:rsidRDefault="001838EA" w:rsidP="000D0C2A">
                            <w:pPr>
                              <w:jc w:val="center"/>
                              <w:rPr>
                                <w:b/>
                                <w:color w:val="5F497A"/>
                                <w:sz w:val="48"/>
                                <w:szCs w:val="52"/>
                              </w:rPr>
                            </w:pPr>
                            <w:r w:rsidRPr="00B659D6">
                              <w:rPr>
                                <w:b/>
                                <w:color w:val="5F497A"/>
                                <w:sz w:val="40"/>
                                <w:szCs w:val="40"/>
                              </w:rPr>
                              <w:t>D</w:t>
                            </w:r>
                            <w:r w:rsidR="00F71A56" w:rsidRPr="00B659D6">
                              <w:rPr>
                                <w:b/>
                                <w:color w:val="5F497A"/>
                                <w:sz w:val="40"/>
                                <w:szCs w:val="40"/>
                              </w:rPr>
                              <w:t xml:space="preserve">ATA BRIEF </w:t>
                            </w:r>
                            <w:r w:rsidRPr="00B659D6">
                              <w:rPr>
                                <w:b/>
                                <w:color w:val="5F497A"/>
                                <w:sz w:val="48"/>
                                <w:szCs w:val="52"/>
                              </w:rPr>
                              <w:br/>
                            </w:r>
                            <w:r w:rsidR="00F71A56" w:rsidRPr="009E35C6">
                              <w:rPr>
                                <w:b/>
                                <w:color w:val="5F497A"/>
                                <w:sz w:val="44"/>
                                <w:szCs w:val="48"/>
                              </w:rPr>
                              <w:t>SUICIDES IN MASSACHUSETTS BY INDUSTRY &amp; OCCUPATION</w:t>
                            </w:r>
                            <w:r w:rsidR="009E35C6" w:rsidRPr="009E35C6">
                              <w:rPr>
                                <w:b/>
                                <w:color w:val="5F497A"/>
                                <w:sz w:val="44"/>
                                <w:szCs w:val="48"/>
                              </w:rPr>
                              <w:t>: 2016-2019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1BD05E" id="Text Box 1" o:spid="_x0000_s1029" type="#_x0000_t202" style="position:absolute;margin-left:95.9pt;margin-top:-6.85pt;width:440.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" filled="f" stroked="f">
                <v:textbox>
                  <w:txbxContent>
                    <w:p w14:paraId="21A3F1D4" w14:textId="2EEF4E21" w:rsidR="001838EA" w:rsidRPr="00B659D6" w:rsidRDefault="001838EA" w:rsidP="000D0C2A">
                      <w:pPr>
                        <w:jc w:val="center"/>
                        <w:rPr>
                          <w:b/>
                          <w:color w:val="5F497A"/>
                          <w:sz w:val="48"/>
                          <w:szCs w:val="52"/>
                        </w:rPr>
                      </w:pPr>
                      <w:r w:rsidRPr="00B659D6">
                        <w:rPr>
                          <w:b/>
                          <w:color w:val="5F497A"/>
                          <w:sz w:val="40"/>
                          <w:szCs w:val="40"/>
                        </w:rPr>
                        <w:t>D</w:t>
                      </w:r>
                      <w:r w:rsidR="00F71A56" w:rsidRPr="00B659D6">
                        <w:rPr>
                          <w:b/>
                          <w:color w:val="5F497A"/>
                          <w:sz w:val="40"/>
                          <w:szCs w:val="40"/>
                        </w:rPr>
                        <w:t xml:space="preserve">ATA BRIEF </w:t>
                      </w:r>
                      <w:r w:rsidRPr="00B659D6">
                        <w:rPr>
                          <w:b/>
                          <w:color w:val="5F497A"/>
                          <w:sz w:val="48"/>
                          <w:szCs w:val="52"/>
                        </w:rPr>
                        <w:br/>
                      </w:r>
                      <w:r w:rsidR="00F71A56" w:rsidRPr="009E35C6">
                        <w:rPr>
                          <w:b/>
                          <w:color w:val="5F497A"/>
                          <w:sz w:val="44"/>
                          <w:szCs w:val="48"/>
                        </w:rPr>
                        <w:t>SUICIDES IN MASSACHUSETTS BY INDUSTRY &amp; OCCUPATION</w:t>
                      </w:r>
                      <w:r w:rsidR="009E35C6" w:rsidRPr="009E35C6">
                        <w:rPr>
                          <w:b/>
                          <w:color w:val="5F497A"/>
                          <w:sz w:val="44"/>
                          <w:szCs w:val="48"/>
                        </w:rPr>
                        <w:t>: 2016-2019</w:t>
                      </w:r>
                    </w:p>
                  </w:txbxContent>
                </v:textbox>
              </v:shape>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33E38444">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731A4D54" w14:textId="77777777" w:rsidR="00C4340E" w:rsidRPr="0015306A" w:rsidRDefault="00C4340E" w:rsidP="00920EC9">
      <w:pPr>
        <w:jc w:val="center"/>
        <w:rPr>
          <w:rStyle w:val="TitleChar"/>
          <w:rFonts w:asciiTheme="minorHAnsi" w:eastAsia="Times New Roman" w:hAnsiTheme="minorHAnsi" w:cs="Arial"/>
          <w:b/>
          <w:color w:val="auto"/>
          <w:spacing w:val="0"/>
          <w:kern w:val="0"/>
          <w:sz w:val="22"/>
          <w:szCs w:val="22"/>
        </w:rPr>
      </w:pPr>
    </w:p>
    <w:p w14:paraId="531571BF" w14:textId="68F090C6" w:rsidR="00C4340E" w:rsidRPr="00B659D6" w:rsidRDefault="00F71A56" w:rsidP="003652DE">
      <w:pPr>
        <w:tabs>
          <w:tab w:val="left" w:pos="6497"/>
          <w:tab w:val="left" w:pos="9726"/>
          <w:tab w:val="left" w:pos="9779"/>
        </w:tabs>
        <w:rPr>
          <w:rStyle w:val="TitleChar"/>
          <w:rFonts w:asciiTheme="minorHAnsi" w:hAnsiTheme="minorHAnsi"/>
          <w:color w:val="auto"/>
          <w:sz w:val="20"/>
          <w:szCs w:val="20"/>
        </w:rPr>
      </w:pPr>
      <w:r w:rsidRPr="00B659D6">
        <w:rPr>
          <w:rStyle w:val="TitleChar"/>
          <w:rFonts w:asciiTheme="minorHAnsi" w:hAnsiTheme="minorHAnsi"/>
          <w:color w:val="000000" w:themeColor="text1"/>
          <w:sz w:val="20"/>
          <w:szCs w:val="20"/>
        </w:rPr>
        <w:tab/>
      </w:r>
      <w:r w:rsidR="00B659D6">
        <w:rPr>
          <w:rStyle w:val="TitleChar"/>
          <w:rFonts w:asciiTheme="minorHAnsi" w:hAnsiTheme="minorHAnsi"/>
          <w:color w:val="auto"/>
          <w:sz w:val="20"/>
          <w:szCs w:val="20"/>
        </w:rPr>
        <w:tab/>
      </w:r>
      <w:r w:rsidR="003652DE">
        <w:rPr>
          <w:rStyle w:val="TitleChar"/>
          <w:rFonts w:asciiTheme="minorHAnsi" w:hAnsiTheme="minorHAnsi"/>
          <w:color w:val="auto"/>
          <w:sz w:val="20"/>
          <w:szCs w:val="20"/>
        </w:rPr>
        <w:tab/>
      </w:r>
    </w:p>
    <w:p w14:paraId="78B98B51" w14:textId="77777777" w:rsidR="00C4340E" w:rsidRPr="00B659D6" w:rsidRDefault="00C4340E" w:rsidP="00F3713E">
      <w:pPr>
        <w:rPr>
          <w:rFonts w:asciiTheme="minorHAnsi" w:hAnsiTheme="minorHAnsi"/>
          <w:sz w:val="8"/>
          <w:szCs w:val="8"/>
        </w:rPr>
      </w:pPr>
    </w:p>
    <w:p w14:paraId="0122A7F4" w14:textId="77777777" w:rsidR="0016543E" w:rsidRPr="00B659D6" w:rsidRDefault="0016543E" w:rsidP="0016543E">
      <w:pPr>
        <w:widowControl w:val="0"/>
        <w:rPr>
          <w:rFonts w:ascii="Times New Roman" w:hAnsi="Times New Roman"/>
          <w:b/>
          <w:bCs/>
          <w:sz w:val="12"/>
          <w:szCs w:val="12"/>
        </w:rPr>
      </w:pPr>
    </w:p>
    <w:p w14:paraId="6369AD89" w14:textId="77777777" w:rsidR="00A824B1" w:rsidRPr="0015306A" w:rsidRDefault="00A824B1" w:rsidP="00A824B1">
      <w:pPr>
        <w:widowControl w:val="0"/>
        <w:rPr>
          <w:rFonts w:ascii="Times New Roman" w:hAnsi="Times New Roman"/>
          <w:sz w:val="12"/>
          <w:szCs w:val="12"/>
          <w:highlight w:val="yellow"/>
        </w:rPr>
      </w:pPr>
    </w:p>
    <w:p w14:paraId="7E6D25B3" w14:textId="5C142C54" w:rsidR="00C3733F" w:rsidRPr="00C3733F" w:rsidRDefault="00C3733F" w:rsidP="0016543E">
      <w:pPr>
        <w:widowControl w:val="0"/>
      </w:pPr>
      <w:r>
        <w:t xml:space="preserve">Suicides are a </w:t>
      </w:r>
      <w:r w:rsidR="00A962F2">
        <w:t xml:space="preserve">highly </w:t>
      </w:r>
      <w:r>
        <w:t>significant</w:t>
      </w:r>
      <w:r w:rsidR="00D84D3A">
        <w:t>,</w:t>
      </w:r>
      <w:r>
        <w:t xml:space="preserve"> yet largely preventable public health </w:t>
      </w:r>
      <w:r w:rsidR="00A962F2">
        <w:t>issue</w:t>
      </w:r>
      <w:r>
        <w:t xml:space="preserve">. </w:t>
      </w:r>
      <w:r w:rsidR="02344AF4">
        <w:t xml:space="preserve">Compared to </w:t>
      </w:r>
      <w:r w:rsidR="68C2FCB2">
        <w:t>n</w:t>
      </w:r>
      <w:r w:rsidR="00A962F2">
        <w:t>ationa</w:t>
      </w:r>
      <w:r w:rsidR="004F5228">
        <w:t xml:space="preserve">l </w:t>
      </w:r>
      <w:r w:rsidR="5DCCF077">
        <w:t>rates</w:t>
      </w:r>
      <w:r w:rsidR="00A962F2">
        <w:t xml:space="preserve">, </w:t>
      </w:r>
      <w:r w:rsidR="00EF5475">
        <w:t xml:space="preserve">Massachusetts’ rate of suicide is </w:t>
      </w:r>
      <w:r w:rsidR="00F82F0A">
        <w:t>low</w:t>
      </w:r>
      <w:r w:rsidR="008A29E6">
        <w:t xml:space="preserve"> (14.5 deaths/100,000 </w:t>
      </w:r>
      <w:r w:rsidR="00CA636A">
        <w:t xml:space="preserve">U.S. </w:t>
      </w:r>
      <w:r w:rsidR="008A29E6">
        <w:t>residents compared to 9.3 deaths/100,000 MA residents, in 2019</w:t>
      </w:r>
      <w:r w:rsidR="008A29E6">
        <w:rPr>
          <w:rStyle w:val="FootnoteReference"/>
        </w:rPr>
        <w:footnoteReference w:id="1"/>
      </w:r>
      <w:r w:rsidR="008A29E6">
        <w:t>)</w:t>
      </w:r>
      <w:r w:rsidR="00F82F0A">
        <w:t>,</w:t>
      </w:r>
      <w:r w:rsidR="00EF5475">
        <w:t xml:space="preserve"> but</w:t>
      </w:r>
      <w:r w:rsidR="00A962F2">
        <w:t xml:space="preserve"> it</w:t>
      </w:r>
      <w:r w:rsidR="00EF5475">
        <w:t xml:space="preserve"> has been steadily growing. In </w:t>
      </w:r>
      <w:r w:rsidR="00863FA8">
        <w:t xml:space="preserve">Massachusetts in </w:t>
      </w:r>
      <w:r w:rsidR="00EF5475">
        <w:t>201</w:t>
      </w:r>
      <w:r w:rsidR="004E75C1">
        <w:t>9</w:t>
      </w:r>
      <w:r w:rsidR="00EF5475">
        <w:t xml:space="preserve">, suicide took </w:t>
      </w:r>
      <w:r w:rsidR="004E75C1">
        <w:t>642</w:t>
      </w:r>
      <w:r w:rsidR="00EF5475">
        <w:t xml:space="preserve"> lives (rate: </w:t>
      </w:r>
      <w:r w:rsidR="004E75C1">
        <w:t>9.3</w:t>
      </w:r>
      <w:r w:rsidR="00D144C4">
        <w:t xml:space="preserve"> deaths</w:t>
      </w:r>
      <w:r w:rsidR="00EF5475">
        <w:t>/100,000</w:t>
      </w:r>
      <w:r w:rsidR="00D144C4">
        <w:t xml:space="preserve"> residents</w:t>
      </w:r>
      <w:r w:rsidR="00EF5475">
        <w:t xml:space="preserve">) with rates increasing </w:t>
      </w:r>
      <w:r w:rsidR="004E75C1">
        <w:t>41</w:t>
      </w:r>
      <w:r w:rsidR="00EF5475">
        <w:t>% since 2003.</w:t>
      </w:r>
      <w:r w:rsidR="0049117C">
        <w:rPr>
          <w:rStyle w:val="FootnoteReference"/>
        </w:rPr>
        <w:footnoteReference w:id="2"/>
      </w:r>
      <w:r w:rsidR="00EF5475">
        <w:t xml:space="preserve"> </w:t>
      </w:r>
      <w:r w:rsidR="001A7F63">
        <w:t xml:space="preserve">There are </w:t>
      </w:r>
      <w:r w:rsidR="009D1194">
        <w:t>numerous</w:t>
      </w:r>
      <w:r w:rsidR="001A7F63">
        <w:t xml:space="preserve"> risk factors for suicide</w:t>
      </w:r>
      <w:r w:rsidR="00853BE4">
        <w:t xml:space="preserve">, many </w:t>
      </w:r>
      <w:r w:rsidR="000C0D1E">
        <w:t xml:space="preserve">of </w:t>
      </w:r>
      <w:r w:rsidR="00853BE4">
        <w:t>which relate to work</w:t>
      </w:r>
      <w:r w:rsidR="001A7F63">
        <w:t>. Work</w:t>
      </w:r>
      <w:r w:rsidR="00853BE4">
        <w:t xml:space="preserve"> is </w:t>
      </w:r>
      <w:r w:rsidR="001A7F63">
        <w:t xml:space="preserve">an important social determinant of health, </w:t>
      </w:r>
      <w:r w:rsidR="00853BE4">
        <w:t>and work-related factors such as work-related access to lethal means and job stress (including low job control and high job insecurity) have been found to be associated with increased suicide risk.</w:t>
      </w:r>
      <w:r w:rsidR="0049117C">
        <w:rPr>
          <w:rStyle w:val="FootnoteReference"/>
        </w:rPr>
        <w:footnoteReference w:id="3"/>
      </w:r>
      <w:r w:rsidR="00853BE4">
        <w:t xml:space="preserve"> </w:t>
      </w:r>
      <w:bookmarkStart w:id="0" w:name="_Hlk90038877"/>
      <w:r w:rsidR="00EA78D6">
        <w:t>In recent years in Massachusetts</w:t>
      </w:r>
      <w:r w:rsidR="00863FA8">
        <w:t xml:space="preserve"> (2018-2019)</w:t>
      </w:r>
      <w:r w:rsidR="00EA78D6">
        <w:t xml:space="preserve">, suicide at work has been a leading cause of workplace </w:t>
      </w:r>
      <w:r w:rsidR="007534F4">
        <w:t>fatalities</w:t>
      </w:r>
      <w:r w:rsidR="00EA78D6">
        <w:t>.</w:t>
      </w:r>
      <w:r w:rsidR="00EA78D6">
        <w:rPr>
          <w:rStyle w:val="FootnoteReference"/>
        </w:rPr>
        <w:footnoteReference w:id="4"/>
      </w:r>
      <w:r w:rsidR="00D84D3A">
        <w:t xml:space="preserve"> </w:t>
      </w:r>
      <w:r w:rsidR="00EF5475">
        <w:t xml:space="preserve">The </w:t>
      </w:r>
      <w:r>
        <w:t xml:space="preserve">purpose of this </w:t>
      </w:r>
      <w:r w:rsidR="00EA78D6">
        <w:t>data brief</w:t>
      </w:r>
      <w:r>
        <w:t xml:space="preserve"> is to provide information</w:t>
      </w:r>
      <w:r w:rsidR="001A7F63">
        <w:t xml:space="preserve"> on the magnitude, trends, and risk factors </w:t>
      </w:r>
      <w:r w:rsidR="00D84D3A">
        <w:t xml:space="preserve">for </w:t>
      </w:r>
      <w:r w:rsidR="001A7F63">
        <w:t>suicides in Massachusetts</w:t>
      </w:r>
      <w:r>
        <w:t xml:space="preserve"> for practitioners, suicide prevention specialists, </w:t>
      </w:r>
      <w:r w:rsidR="009D1194">
        <w:t xml:space="preserve">and </w:t>
      </w:r>
      <w:r w:rsidR="00EF5475">
        <w:t xml:space="preserve">employers, and </w:t>
      </w:r>
      <w:r w:rsidR="009D1194">
        <w:t xml:space="preserve">to identify </w:t>
      </w:r>
      <w:r w:rsidR="001A7F63">
        <w:t>occupations</w:t>
      </w:r>
      <w:r w:rsidR="00EA78D6">
        <w:t xml:space="preserve"> and industries</w:t>
      </w:r>
      <w:r w:rsidR="001A7F63">
        <w:t xml:space="preserve"> with high rates </w:t>
      </w:r>
      <w:r w:rsidR="009D1194">
        <w:t xml:space="preserve">and numbers </w:t>
      </w:r>
      <w:r w:rsidR="001A7F63">
        <w:t>of suicides</w:t>
      </w:r>
      <w:r w:rsidRPr="001A1EB0">
        <w:t>.</w:t>
      </w:r>
      <w:r w:rsidR="00D144C4">
        <w:t xml:space="preserve"> </w:t>
      </w:r>
      <w:r w:rsidR="00676BE1">
        <w:t>The r</w:t>
      </w:r>
      <w:r w:rsidR="001A7F63">
        <w:t>ate</w:t>
      </w:r>
      <w:r w:rsidR="00676BE1">
        <w:t xml:space="preserve"> of suicide is not the same for all occupations</w:t>
      </w:r>
      <w:r w:rsidR="00853BE4">
        <w:t xml:space="preserve"> and industries</w:t>
      </w:r>
      <w:r w:rsidR="00676BE1">
        <w:t>, suggesting that work should be considered when planning outreach initiatives and interventions.</w:t>
      </w:r>
      <w:r w:rsidR="00A962F2">
        <w:t xml:space="preserve"> </w:t>
      </w:r>
      <w:r w:rsidR="00853BE4">
        <w:t xml:space="preserve">The workplace also represents an important venue for suicide prevention activities. </w:t>
      </w:r>
      <w:bookmarkEnd w:id="0"/>
      <w:r w:rsidRPr="001A1EB0">
        <w:t>The Massachusetts Department of Public Health’s Suicide Prevention Program works in collaboration with multiple national, state, and local partners</w:t>
      </w:r>
      <w:r w:rsidR="00A962F2">
        <w:t xml:space="preserve"> to</w:t>
      </w:r>
      <w:r w:rsidRPr="001A1EB0">
        <w:t xml:space="preserve"> reduce these deaths</w:t>
      </w:r>
      <w:r w:rsidR="001A1EB0">
        <w:t>.</w:t>
      </w:r>
    </w:p>
    <w:p w14:paraId="3BD7ACC2" w14:textId="5C0B59B4" w:rsidR="00C3733F" w:rsidRDefault="00C3733F" w:rsidP="0016543E">
      <w:pPr>
        <w:widowControl w:val="0"/>
        <w:rPr>
          <w:rFonts w:ascii="Times New Roman" w:hAnsi="Times New Roman"/>
          <w:b/>
          <w:bCs/>
          <w:color w:val="194D80"/>
          <w:sz w:val="12"/>
          <w:szCs w:val="12"/>
        </w:rPr>
      </w:pPr>
    </w:p>
    <w:p w14:paraId="3A7D3651" w14:textId="77777777" w:rsidR="00C3733F" w:rsidRPr="0015306A" w:rsidRDefault="00C3733F" w:rsidP="0016543E">
      <w:pPr>
        <w:widowControl w:val="0"/>
        <w:rPr>
          <w:rFonts w:ascii="Times New Roman" w:hAnsi="Times New Roman"/>
          <w:b/>
          <w:bCs/>
          <w:color w:val="194D80"/>
          <w:sz w:val="12"/>
          <w:szCs w:val="12"/>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692"/>
      </w:tblGrid>
      <w:tr w:rsidR="0016543E" w:rsidRPr="0015306A" w14:paraId="48524E6C" w14:textId="77777777" w:rsidTr="0066103C">
        <w:trPr>
          <w:trHeight w:hRule="exact" w:val="144"/>
        </w:trPr>
        <w:tc>
          <w:tcPr>
            <w:tcW w:w="10692" w:type="dxa"/>
            <w:tcBorders>
              <w:top w:val="single" w:sz="18" w:space="0" w:color="5F497A"/>
              <w:bottom w:val="nil"/>
            </w:tcBorders>
            <w:shd w:val="clear" w:color="auto" w:fill="FFFFFF" w:themeFill="background1"/>
          </w:tcPr>
          <w:p w14:paraId="5CC33843" w14:textId="77777777" w:rsidR="0016543E" w:rsidRPr="0015306A" w:rsidRDefault="0016543E" w:rsidP="0016543E">
            <w:pPr>
              <w:widowControl w:val="0"/>
              <w:rPr>
                <w:rFonts w:ascii="Times New Roman" w:hAnsi="Times New Roman"/>
                <w:b/>
                <w:bCs/>
                <w:color w:val="194D80"/>
                <w:sz w:val="16"/>
                <w:szCs w:val="16"/>
              </w:rPr>
            </w:pPr>
          </w:p>
        </w:tc>
      </w:tr>
    </w:tbl>
    <w:p w14:paraId="492335B2" w14:textId="66A79B3D" w:rsidR="00A824B1" w:rsidRDefault="0066103C" w:rsidP="0016543E">
      <w:pPr>
        <w:widowControl w:val="0"/>
        <w:rPr>
          <w:rFonts w:ascii="Times New Roman" w:hAnsi="Times New Roman"/>
          <w:b/>
          <w:bCs/>
          <w:color w:val="194D80"/>
          <w:sz w:val="28"/>
          <w:szCs w:val="28"/>
        </w:rPr>
      </w:pPr>
      <w:r w:rsidRPr="00726C71">
        <w:rPr>
          <w:noProof/>
        </w:rPr>
        <mc:AlternateContent>
          <mc:Choice Requires="wps">
            <w:drawing>
              <wp:anchor distT="0" distB="0" distL="114300" distR="114300" simplePos="0" relativeHeight="251678208" behindDoc="0" locked="0" layoutInCell="1" allowOverlap="1" wp14:anchorId="46FB68B9" wp14:editId="35ED5AD2">
                <wp:simplePos x="0" y="0"/>
                <wp:positionH relativeFrom="column">
                  <wp:posOffset>0</wp:posOffset>
                </wp:positionH>
                <wp:positionV relativeFrom="paragraph">
                  <wp:posOffset>0</wp:posOffset>
                </wp:positionV>
                <wp:extent cx="6847205" cy="266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4C2FF3C5" w14:textId="18024986" w:rsidR="0066103C" w:rsidRPr="005E14F6" w:rsidRDefault="0066103C" w:rsidP="0066103C">
                            <w:pPr>
                              <w:jc w:val="center"/>
                              <w:rPr>
                                <w:b/>
                              </w:rPr>
                            </w:pPr>
                            <w:r>
                              <w:rPr>
                                <w:b/>
                              </w:rPr>
                              <w:t>Data Highlights and Prevention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FB68B9" id="Text Box 2" o:spid="_x0000_s1030" type="#_x0000_t202" style="position:absolute;margin-left:0;margin-top:0;width:539.15pt;height: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" fillcolor="#ccc1da" stroked="f">
                <v:textbox>
                  <w:txbxContent>
                    <w:p w14:paraId="4C2FF3C5" w14:textId="18024986" w:rsidR="0066103C" w:rsidRPr="005E14F6" w:rsidRDefault="0066103C" w:rsidP="0066103C">
                      <w:pPr>
                        <w:jc w:val="center"/>
                        <w:rPr>
                          <w:b/>
                        </w:rPr>
                      </w:pPr>
                      <w:r>
                        <w:rPr>
                          <w:b/>
                        </w:rPr>
                        <w:t>Data Highlights and Prevention Measures</w:t>
                      </w:r>
                    </w:p>
                  </w:txbxContent>
                </v:textbox>
              </v:shape>
            </w:pict>
          </mc:Fallback>
        </mc:AlternateContent>
      </w:r>
    </w:p>
    <w:p w14:paraId="7177CA93" w14:textId="1BA36CD4" w:rsidR="00F71A56" w:rsidRDefault="00F71A56" w:rsidP="0016543E">
      <w:pPr>
        <w:widowControl w:val="0"/>
        <w:rPr>
          <w:rFonts w:ascii="Times New Roman" w:hAnsi="Times New Roman"/>
          <w:b/>
          <w:bCs/>
          <w:color w:val="194D80"/>
          <w:sz w:val="28"/>
          <w:szCs w:val="28"/>
        </w:rPr>
      </w:pPr>
    </w:p>
    <w:p w14:paraId="0968B0F9" w14:textId="59BDC5FC" w:rsidR="007A20CB" w:rsidRPr="009F675B" w:rsidRDefault="007A20CB" w:rsidP="007A20CB">
      <w:pPr>
        <w:rPr>
          <w:b/>
          <w:color w:val="365F91" w:themeColor="accent1" w:themeShade="BF"/>
        </w:rPr>
      </w:pPr>
      <w:r w:rsidRPr="00BB3004">
        <w:rPr>
          <w:rFonts w:eastAsia="Calibri"/>
        </w:rPr>
        <w:t xml:space="preserve">Massachusetts death certificates were used to analyze </w:t>
      </w:r>
      <w:r>
        <w:rPr>
          <w:rFonts w:eastAsia="Calibri"/>
        </w:rPr>
        <w:t xml:space="preserve">suicide </w:t>
      </w:r>
      <w:r w:rsidRPr="00BB3004">
        <w:rPr>
          <w:rFonts w:eastAsia="Calibri"/>
        </w:rPr>
        <w:t>deaths from 2016 t</w:t>
      </w:r>
      <w:r w:rsidR="001A7F63">
        <w:rPr>
          <w:rFonts w:eastAsia="Calibri"/>
        </w:rPr>
        <w:t>hrough</w:t>
      </w:r>
      <w:r w:rsidRPr="00BB3004">
        <w:rPr>
          <w:rFonts w:eastAsia="Calibri"/>
        </w:rPr>
        <w:t xml:space="preserve"> 201</w:t>
      </w:r>
      <w:r>
        <w:rPr>
          <w:rFonts w:eastAsia="Calibri"/>
        </w:rPr>
        <w:t>9</w:t>
      </w:r>
      <w:r w:rsidRPr="00BB3004">
        <w:rPr>
          <w:rFonts w:eastAsia="Calibri"/>
        </w:rPr>
        <w:t>, by industry and occupation</w:t>
      </w:r>
      <w:r w:rsidR="00F47A72">
        <w:rPr>
          <w:rFonts w:eastAsia="Calibri"/>
        </w:rPr>
        <w:t xml:space="preserve"> among working</w:t>
      </w:r>
      <w:r w:rsidR="00D84D3A">
        <w:rPr>
          <w:rFonts w:eastAsia="Calibri"/>
        </w:rPr>
        <w:t>-</w:t>
      </w:r>
      <w:r w:rsidR="00F47A72">
        <w:rPr>
          <w:rFonts w:eastAsia="Calibri"/>
        </w:rPr>
        <w:t>aged residents (16</w:t>
      </w:r>
      <w:r w:rsidR="00111733">
        <w:rPr>
          <w:rFonts w:eastAsia="Calibri"/>
        </w:rPr>
        <w:t xml:space="preserve"> years or older</w:t>
      </w:r>
      <w:r w:rsidR="00F47A72">
        <w:rPr>
          <w:rFonts w:eastAsia="Calibri"/>
        </w:rPr>
        <w:t>)</w:t>
      </w:r>
      <w:r w:rsidRPr="00BB3004">
        <w:rPr>
          <w:rFonts w:eastAsia="Calibri"/>
        </w:rPr>
        <w:t xml:space="preserve">. </w:t>
      </w:r>
      <w:r w:rsidRPr="000905F5">
        <w:t xml:space="preserve">Occupation describes the kind of work </w:t>
      </w:r>
      <w:r>
        <w:t>an individual</w:t>
      </w:r>
      <w:r w:rsidRPr="000905F5">
        <w:t xml:space="preserve"> does to earn a living (i.e., job title), while industry describes</w:t>
      </w:r>
      <w:r>
        <w:t xml:space="preserve"> the activities</w:t>
      </w:r>
      <w:r w:rsidRPr="000905F5">
        <w:t xml:space="preserve"> the </w:t>
      </w:r>
      <w:r>
        <w:t>individual’s</w:t>
      </w:r>
      <w:r w:rsidRPr="000905F5">
        <w:t xml:space="preserve"> employer </w:t>
      </w:r>
      <w:r>
        <w:t>is engaged in</w:t>
      </w:r>
      <w:r w:rsidRPr="000905F5">
        <w:t>.</w:t>
      </w:r>
      <w:r>
        <w:t xml:space="preserve"> </w:t>
      </w:r>
      <w:r>
        <w:rPr>
          <w:rFonts w:eastAsia="Calibri"/>
        </w:rPr>
        <w:t>Additional factors</w:t>
      </w:r>
      <w:r w:rsidR="00887AF9">
        <w:rPr>
          <w:rFonts w:eastAsia="Calibri"/>
        </w:rPr>
        <w:t xml:space="preserve"> </w:t>
      </w:r>
      <w:r w:rsidR="00F47A72">
        <w:rPr>
          <w:rFonts w:eastAsia="Calibri"/>
        </w:rPr>
        <w:t>(</w:t>
      </w:r>
      <w:r w:rsidR="00887AF9">
        <w:rPr>
          <w:rFonts w:eastAsia="Calibri"/>
        </w:rPr>
        <w:t>such as availability of paid sick leave</w:t>
      </w:r>
      <w:r w:rsidR="00F47A72">
        <w:rPr>
          <w:rFonts w:eastAsia="Calibri"/>
        </w:rPr>
        <w:t>)</w:t>
      </w:r>
      <w:r>
        <w:rPr>
          <w:rFonts w:eastAsia="Calibri"/>
        </w:rPr>
        <w:t xml:space="preserve"> that may contribute to the differences in suicide rates among workers within different industries and occupations were examined.</w:t>
      </w:r>
      <w:r w:rsidRPr="00BB3004">
        <w:rPr>
          <w:rFonts w:eastAsia="Calibri"/>
        </w:rPr>
        <w:t xml:space="preserve"> Key </w:t>
      </w:r>
      <w:r>
        <w:rPr>
          <w:rFonts w:eastAsia="Calibri"/>
        </w:rPr>
        <w:t xml:space="preserve">data highlights and associated prevention measures </w:t>
      </w:r>
      <w:r w:rsidRPr="00BB3004">
        <w:rPr>
          <w:rFonts w:eastAsia="Calibri"/>
        </w:rPr>
        <w:t>are:</w:t>
      </w:r>
    </w:p>
    <w:p w14:paraId="51C0ADAB" w14:textId="77F6A9DA" w:rsidR="007A20CB" w:rsidRDefault="007A20CB" w:rsidP="00052729">
      <w:pPr>
        <w:rPr>
          <w:bCs/>
        </w:rPr>
      </w:pPr>
    </w:p>
    <w:p w14:paraId="4CDF0515" w14:textId="586C5070" w:rsidR="00F863C9" w:rsidRPr="00F863C9" w:rsidRDefault="00F863C9" w:rsidP="00052729">
      <w:pPr>
        <w:rPr>
          <w:b/>
        </w:rPr>
      </w:pPr>
      <w:r w:rsidRPr="00F863C9">
        <w:rPr>
          <w:b/>
        </w:rPr>
        <w:t>Key Data Highlights:</w:t>
      </w:r>
    </w:p>
    <w:p w14:paraId="7BE26448" w14:textId="52FD18BE" w:rsidR="00F47A72" w:rsidRDefault="00F47A72" w:rsidP="003A08A7">
      <w:pPr>
        <w:pStyle w:val="ListParagraph"/>
        <w:numPr>
          <w:ilvl w:val="0"/>
          <w:numId w:val="8"/>
        </w:numPr>
        <w:rPr>
          <w:bCs/>
        </w:rPr>
      </w:pPr>
      <w:r>
        <w:rPr>
          <w:bCs/>
        </w:rPr>
        <w:t xml:space="preserve">Between 2016 and 2019, there were </w:t>
      </w:r>
      <w:r w:rsidRPr="00F47A72">
        <w:rPr>
          <w:bCs/>
        </w:rPr>
        <w:t xml:space="preserve">2,199 suicides </w:t>
      </w:r>
      <w:r>
        <w:rPr>
          <w:bCs/>
        </w:rPr>
        <w:t>among working</w:t>
      </w:r>
      <w:r w:rsidR="00863FA8">
        <w:rPr>
          <w:bCs/>
        </w:rPr>
        <w:t>-</w:t>
      </w:r>
      <w:r>
        <w:rPr>
          <w:bCs/>
        </w:rPr>
        <w:t xml:space="preserve">aged Massachusetts residents. </w:t>
      </w:r>
    </w:p>
    <w:p w14:paraId="456FB4A1" w14:textId="2D8F75D9" w:rsidR="003A08A7" w:rsidRDefault="00724600" w:rsidP="003A08A7">
      <w:pPr>
        <w:pStyle w:val="ListParagraph"/>
        <w:numPr>
          <w:ilvl w:val="0"/>
          <w:numId w:val="8"/>
        </w:numPr>
        <w:rPr>
          <w:bCs/>
        </w:rPr>
      </w:pPr>
      <w:r>
        <w:rPr>
          <w:bCs/>
        </w:rPr>
        <w:t xml:space="preserve">Among </w:t>
      </w:r>
      <w:r>
        <w:rPr>
          <w:bCs/>
          <w:i/>
          <w:iCs/>
        </w:rPr>
        <w:t xml:space="preserve">industry sectors, </w:t>
      </w:r>
      <w:r>
        <w:rPr>
          <w:bCs/>
        </w:rPr>
        <w:t>t</w:t>
      </w:r>
      <w:r w:rsidR="003A08A7" w:rsidRPr="00822B1D">
        <w:rPr>
          <w:bCs/>
        </w:rPr>
        <w:t xml:space="preserve">he Agriculture, Forestry, Fishing, and Hunting </w:t>
      </w:r>
      <w:r w:rsidR="003A08A7" w:rsidRPr="00CA636A">
        <w:rPr>
          <w:bCs/>
        </w:rPr>
        <w:t>sector</w:t>
      </w:r>
      <w:r w:rsidR="003A08A7" w:rsidRPr="00822B1D">
        <w:rPr>
          <w:bCs/>
        </w:rPr>
        <w:t xml:space="preserve"> had the lowest number of suicides (n=25), however </w:t>
      </w:r>
      <w:r w:rsidR="00F47A72">
        <w:rPr>
          <w:bCs/>
        </w:rPr>
        <w:t xml:space="preserve">this sector </w:t>
      </w:r>
      <w:r w:rsidR="003A08A7" w:rsidRPr="00822B1D">
        <w:rPr>
          <w:bCs/>
        </w:rPr>
        <w:t xml:space="preserve">had the </w:t>
      </w:r>
      <w:r w:rsidR="003A08A7" w:rsidRPr="00D51A31">
        <w:rPr>
          <w:bCs/>
        </w:rPr>
        <w:t xml:space="preserve">highest </w:t>
      </w:r>
      <w:r w:rsidR="002A06FE" w:rsidRPr="00D51A31">
        <w:rPr>
          <w:bCs/>
        </w:rPr>
        <w:t>suicide rate</w:t>
      </w:r>
      <w:r w:rsidR="003A08A7" w:rsidRPr="00822B1D">
        <w:rPr>
          <w:bCs/>
        </w:rPr>
        <w:t xml:space="preserve"> (</w:t>
      </w:r>
      <w:r w:rsidR="00BA26B4">
        <w:rPr>
          <w:bCs/>
        </w:rPr>
        <w:t>46.5</w:t>
      </w:r>
      <w:r w:rsidR="00052729">
        <w:rPr>
          <w:bCs/>
        </w:rPr>
        <w:t xml:space="preserve"> deaths</w:t>
      </w:r>
      <w:r w:rsidR="003A08A7" w:rsidRPr="00822B1D">
        <w:rPr>
          <w:bCs/>
        </w:rPr>
        <w:t>/100,000</w:t>
      </w:r>
      <w:r w:rsidR="00676BE1">
        <w:rPr>
          <w:bCs/>
        </w:rPr>
        <w:t xml:space="preserve"> workers</w:t>
      </w:r>
      <w:r w:rsidR="003A08A7" w:rsidRPr="00822B1D">
        <w:rPr>
          <w:bCs/>
        </w:rPr>
        <w:t>).</w:t>
      </w:r>
    </w:p>
    <w:p w14:paraId="3E2283D8" w14:textId="26EC35DE" w:rsidR="003A08A7" w:rsidRPr="00822B1D" w:rsidRDefault="00724600" w:rsidP="003A08A7">
      <w:pPr>
        <w:pStyle w:val="ListParagraph"/>
        <w:numPr>
          <w:ilvl w:val="0"/>
          <w:numId w:val="8"/>
        </w:numPr>
        <w:rPr>
          <w:bCs/>
        </w:rPr>
      </w:pPr>
      <w:r>
        <w:rPr>
          <w:bCs/>
        </w:rPr>
        <w:t xml:space="preserve">Among </w:t>
      </w:r>
      <w:r>
        <w:rPr>
          <w:bCs/>
          <w:i/>
          <w:iCs/>
        </w:rPr>
        <w:t xml:space="preserve">occupation groups, </w:t>
      </w:r>
      <w:r>
        <w:rPr>
          <w:bCs/>
        </w:rPr>
        <w:t>t</w:t>
      </w:r>
      <w:r w:rsidR="003A08A7">
        <w:rPr>
          <w:bCs/>
        </w:rPr>
        <w:t xml:space="preserve">he Construction and Extraction </w:t>
      </w:r>
      <w:r w:rsidR="007A20CB">
        <w:rPr>
          <w:bCs/>
        </w:rPr>
        <w:t xml:space="preserve">group </w:t>
      </w:r>
      <w:r w:rsidR="003A08A7">
        <w:rPr>
          <w:bCs/>
        </w:rPr>
        <w:t xml:space="preserve">had the highest number of suicides (n=316), and the </w:t>
      </w:r>
      <w:r w:rsidR="003A08A7" w:rsidRPr="00D51A31">
        <w:rPr>
          <w:bCs/>
        </w:rPr>
        <w:t xml:space="preserve">highest </w:t>
      </w:r>
      <w:r w:rsidR="002A06FE" w:rsidRPr="00D51A31">
        <w:rPr>
          <w:bCs/>
        </w:rPr>
        <w:t>suicide rate</w:t>
      </w:r>
      <w:r w:rsidR="003A08A7">
        <w:rPr>
          <w:bCs/>
        </w:rPr>
        <w:t xml:space="preserve"> (</w:t>
      </w:r>
      <w:r w:rsidR="00BA26B4">
        <w:rPr>
          <w:bCs/>
        </w:rPr>
        <w:t>49.2</w:t>
      </w:r>
      <w:r w:rsidR="00052729">
        <w:rPr>
          <w:bCs/>
        </w:rPr>
        <w:t xml:space="preserve"> deaths</w:t>
      </w:r>
      <w:r w:rsidR="003A08A7">
        <w:rPr>
          <w:bCs/>
        </w:rPr>
        <w:t>/100,000</w:t>
      </w:r>
      <w:r w:rsidR="00052729">
        <w:rPr>
          <w:bCs/>
        </w:rPr>
        <w:t xml:space="preserve"> workers</w:t>
      </w:r>
      <w:r w:rsidR="003A08A7">
        <w:rPr>
          <w:bCs/>
        </w:rPr>
        <w:t>).</w:t>
      </w:r>
    </w:p>
    <w:p w14:paraId="39996ACC" w14:textId="5CFB048C" w:rsidR="003A08A7" w:rsidRDefault="003A08A7" w:rsidP="003A08A7">
      <w:pPr>
        <w:pStyle w:val="ListParagraph"/>
        <w:numPr>
          <w:ilvl w:val="0"/>
          <w:numId w:val="8"/>
        </w:numPr>
      </w:pPr>
      <w:r>
        <w:t>White, non-Hispanic</w:t>
      </w:r>
      <w:r w:rsidR="003964BC">
        <w:t xml:space="preserve"> workers</w:t>
      </w:r>
      <w:r>
        <w:t xml:space="preserve"> had the highest number of suicides (n=1,923) as well as the highest suicide rate (</w:t>
      </w:r>
      <w:r w:rsidR="00BA26B4">
        <w:t>17.9</w:t>
      </w:r>
      <w:r w:rsidR="00052729">
        <w:t xml:space="preserve"> deaths</w:t>
      </w:r>
      <w:r>
        <w:t>/100,000 workers)</w:t>
      </w:r>
      <w:r w:rsidR="007A20CB">
        <w:t>, as compared to other rac</w:t>
      </w:r>
      <w:r w:rsidR="002A06FE">
        <w:t>ial</w:t>
      </w:r>
      <w:r w:rsidR="007A20CB">
        <w:t>/ethnic groups</w:t>
      </w:r>
      <w:r>
        <w:t>, while Hispanic workers had the lowest suicide rate (</w:t>
      </w:r>
      <w:r w:rsidR="00BA26B4">
        <w:t>7.8</w:t>
      </w:r>
      <w:r w:rsidR="00052729">
        <w:t xml:space="preserve"> deaths</w:t>
      </w:r>
      <w:r>
        <w:t>/100,000 workers) followed by Black, non-Hispanic workers (</w:t>
      </w:r>
      <w:r w:rsidR="00BA26B4">
        <w:t>9.8</w:t>
      </w:r>
      <w:r w:rsidR="00052729">
        <w:t xml:space="preserve"> deaths</w:t>
      </w:r>
      <w:r>
        <w:t>/100,000 workers).</w:t>
      </w:r>
    </w:p>
    <w:p w14:paraId="29061B8F" w14:textId="5060E2A0" w:rsidR="003A08A7" w:rsidRPr="003A08A7" w:rsidRDefault="003A08A7" w:rsidP="00920F03">
      <w:pPr>
        <w:pStyle w:val="ListParagraph"/>
        <w:widowControl w:val="0"/>
        <w:numPr>
          <w:ilvl w:val="0"/>
          <w:numId w:val="8"/>
        </w:numPr>
        <w:rPr>
          <w:rFonts w:ascii="Times New Roman" w:hAnsi="Times New Roman"/>
          <w:bCs/>
          <w:color w:val="194D80"/>
          <w:sz w:val="28"/>
          <w:szCs w:val="28"/>
        </w:rPr>
      </w:pPr>
      <w:r w:rsidRPr="003A08A7">
        <w:rPr>
          <w:bCs/>
        </w:rPr>
        <w:t xml:space="preserve">79.0% of </w:t>
      </w:r>
      <w:r w:rsidR="00F47A72">
        <w:rPr>
          <w:bCs/>
        </w:rPr>
        <w:t xml:space="preserve">people who died by suicide </w:t>
      </w:r>
      <w:r w:rsidR="00452053">
        <w:rPr>
          <w:bCs/>
        </w:rPr>
        <w:t>were</w:t>
      </w:r>
      <w:r w:rsidRPr="003A08A7">
        <w:rPr>
          <w:bCs/>
        </w:rPr>
        <w:t xml:space="preserve"> male</w:t>
      </w:r>
      <w:r w:rsidR="00966D9D">
        <w:rPr>
          <w:bCs/>
        </w:rPr>
        <w:t>,</w:t>
      </w:r>
      <w:r w:rsidRPr="003A08A7">
        <w:rPr>
          <w:bCs/>
        </w:rPr>
        <w:t xml:space="preserve"> while 21.0% </w:t>
      </w:r>
      <w:r w:rsidR="00452053">
        <w:rPr>
          <w:bCs/>
        </w:rPr>
        <w:t>were</w:t>
      </w:r>
      <w:r w:rsidRPr="003A08A7">
        <w:rPr>
          <w:bCs/>
        </w:rPr>
        <w:t xml:space="preserve"> female</w:t>
      </w:r>
      <w:r w:rsidR="00966D9D">
        <w:rPr>
          <w:bCs/>
        </w:rPr>
        <w:t>.</w:t>
      </w:r>
      <w:r w:rsidR="00AB3459">
        <w:rPr>
          <w:rStyle w:val="FootnoteReference"/>
          <w:bCs/>
        </w:rPr>
        <w:footnoteReference w:id="5"/>
      </w:r>
      <w:r>
        <w:rPr>
          <w:bCs/>
        </w:rPr>
        <w:t xml:space="preserve"> </w:t>
      </w:r>
      <w:r w:rsidRPr="003A08A7">
        <w:rPr>
          <w:bCs/>
        </w:rPr>
        <w:t>Among males, the Construction and Extraction occupation</w:t>
      </w:r>
      <w:r w:rsidR="004361AB">
        <w:rPr>
          <w:bCs/>
        </w:rPr>
        <w:t>s</w:t>
      </w:r>
      <w:r w:rsidRPr="003A08A7">
        <w:rPr>
          <w:bCs/>
        </w:rPr>
        <w:t xml:space="preserve"> had the highest </w:t>
      </w:r>
      <w:r w:rsidR="002A06FE">
        <w:rPr>
          <w:bCs/>
        </w:rPr>
        <w:t>suicide rate</w:t>
      </w:r>
      <w:r w:rsidRPr="003A08A7">
        <w:rPr>
          <w:bCs/>
        </w:rPr>
        <w:t xml:space="preserve"> (</w:t>
      </w:r>
      <w:r w:rsidR="00957AF6">
        <w:rPr>
          <w:bCs/>
        </w:rPr>
        <w:t>49.3</w:t>
      </w:r>
      <w:r w:rsidR="00052729">
        <w:rPr>
          <w:bCs/>
        </w:rPr>
        <w:t xml:space="preserve"> deaths</w:t>
      </w:r>
      <w:r w:rsidRPr="003A08A7">
        <w:rPr>
          <w:bCs/>
        </w:rPr>
        <w:t>/100,000 workers)</w:t>
      </w:r>
      <w:r w:rsidR="007A20CB">
        <w:rPr>
          <w:bCs/>
        </w:rPr>
        <w:t xml:space="preserve"> compared to other occupation groups</w:t>
      </w:r>
      <w:r w:rsidRPr="003A08A7">
        <w:rPr>
          <w:bCs/>
        </w:rPr>
        <w:t xml:space="preserve">, while the </w:t>
      </w:r>
      <w:r w:rsidR="00BA26B4">
        <w:rPr>
          <w:bCs/>
        </w:rPr>
        <w:t>Production</w:t>
      </w:r>
      <w:r w:rsidRPr="003A08A7">
        <w:rPr>
          <w:bCs/>
        </w:rPr>
        <w:t xml:space="preserve"> occupation</w:t>
      </w:r>
      <w:r w:rsidR="004361AB">
        <w:rPr>
          <w:bCs/>
        </w:rPr>
        <w:t>s</w:t>
      </w:r>
      <w:r w:rsidRPr="003A08A7">
        <w:rPr>
          <w:bCs/>
        </w:rPr>
        <w:t xml:space="preserve"> had the highest </w:t>
      </w:r>
      <w:r w:rsidR="002A06FE">
        <w:rPr>
          <w:bCs/>
        </w:rPr>
        <w:t>suicide rate</w:t>
      </w:r>
      <w:r w:rsidRPr="003A08A7">
        <w:rPr>
          <w:bCs/>
        </w:rPr>
        <w:t xml:space="preserve"> among women (</w:t>
      </w:r>
      <w:r w:rsidR="00957AF6">
        <w:rPr>
          <w:bCs/>
        </w:rPr>
        <w:t>9.7</w:t>
      </w:r>
      <w:r w:rsidR="00052729">
        <w:rPr>
          <w:bCs/>
        </w:rPr>
        <w:t xml:space="preserve"> deaths</w:t>
      </w:r>
      <w:r w:rsidRPr="003A08A7">
        <w:rPr>
          <w:bCs/>
        </w:rPr>
        <w:t>/100,000 workers)</w:t>
      </w:r>
      <w:r w:rsidR="007A20CB">
        <w:rPr>
          <w:bCs/>
        </w:rPr>
        <w:t xml:space="preserve"> compared to other occupation groups</w:t>
      </w:r>
      <w:r w:rsidRPr="003A08A7">
        <w:rPr>
          <w:bCs/>
        </w:rPr>
        <w:t>.</w:t>
      </w:r>
    </w:p>
    <w:p w14:paraId="6792CB91" w14:textId="1EF3B8DF" w:rsidR="00F71A56" w:rsidRPr="00BE30E6" w:rsidRDefault="00BE30E6" w:rsidP="0066103C">
      <w:pPr>
        <w:pStyle w:val="ListParagraph"/>
        <w:widowControl w:val="0"/>
        <w:numPr>
          <w:ilvl w:val="0"/>
          <w:numId w:val="8"/>
        </w:numPr>
        <w:rPr>
          <w:rFonts w:ascii="Times New Roman" w:hAnsi="Times New Roman"/>
          <w:b/>
          <w:bCs/>
          <w:color w:val="194D80"/>
          <w:sz w:val="28"/>
          <w:szCs w:val="28"/>
        </w:rPr>
      </w:pPr>
      <w:r>
        <w:rPr>
          <w:bCs/>
        </w:rPr>
        <w:t>As the age groups of workers increase</w:t>
      </w:r>
      <w:r w:rsidR="00887AF9">
        <w:rPr>
          <w:bCs/>
        </w:rPr>
        <w:t>d</w:t>
      </w:r>
      <w:r>
        <w:rPr>
          <w:bCs/>
        </w:rPr>
        <w:t>, the suicide rates also increase</w:t>
      </w:r>
      <w:r w:rsidR="00887AF9">
        <w:rPr>
          <w:bCs/>
        </w:rPr>
        <w:t>d</w:t>
      </w:r>
      <w:r w:rsidR="008154BD">
        <w:rPr>
          <w:bCs/>
        </w:rPr>
        <w:t>.</w:t>
      </w:r>
      <w:r w:rsidR="007A20CB">
        <w:rPr>
          <w:bCs/>
        </w:rPr>
        <w:t xml:space="preserve"> </w:t>
      </w:r>
      <w:r w:rsidR="00887AF9">
        <w:rPr>
          <w:bCs/>
        </w:rPr>
        <w:t>F</w:t>
      </w:r>
      <w:r w:rsidR="007A20CB">
        <w:rPr>
          <w:bCs/>
        </w:rPr>
        <w:t xml:space="preserve">or example, the rate among workers </w:t>
      </w:r>
      <w:r w:rsidR="00F7456A">
        <w:rPr>
          <w:bCs/>
        </w:rPr>
        <w:t xml:space="preserve">aged 16-24 years old </w:t>
      </w:r>
      <w:r w:rsidR="007A20CB">
        <w:rPr>
          <w:bCs/>
        </w:rPr>
        <w:t xml:space="preserve">was </w:t>
      </w:r>
      <w:r w:rsidR="00BA26B4">
        <w:rPr>
          <w:bCs/>
        </w:rPr>
        <w:t>7.2</w:t>
      </w:r>
      <w:r w:rsidR="00F7456A">
        <w:rPr>
          <w:bCs/>
        </w:rPr>
        <w:t xml:space="preserve"> deaths</w:t>
      </w:r>
      <w:r w:rsidR="007A20CB">
        <w:rPr>
          <w:bCs/>
        </w:rPr>
        <w:t>/100,000</w:t>
      </w:r>
      <w:r w:rsidR="00F7456A">
        <w:rPr>
          <w:bCs/>
        </w:rPr>
        <w:t xml:space="preserve"> workers</w:t>
      </w:r>
      <w:r w:rsidR="00966D9D">
        <w:rPr>
          <w:bCs/>
        </w:rPr>
        <w:t>,</w:t>
      </w:r>
      <w:r w:rsidR="007A20CB">
        <w:rPr>
          <w:bCs/>
        </w:rPr>
        <w:t xml:space="preserve"> compared to the rate </w:t>
      </w:r>
      <w:r w:rsidR="00887AF9">
        <w:rPr>
          <w:bCs/>
        </w:rPr>
        <w:t xml:space="preserve">of </w:t>
      </w:r>
      <w:r w:rsidR="00BA26B4">
        <w:rPr>
          <w:bCs/>
        </w:rPr>
        <w:t>37.6</w:t>
      </w:r>
      <w:r w:rsidR="00887AF9">
        <w:rPr>
          <w:bCs/>
        </w:rPr>
        <w:t xml:space="preserve"> deaths/100,000 workers </w:t>
      </w:r>
      <w:r w:rsidR="007A20CB">
        <w:rPr>
          <w:bCs/>
        </w:rPr>
        <w:t xml:space="preserve">among </w:t>
      </w:r>
      <w:r w:rsidR="00887AF9">
        <w:rPr>
          <w:bCs/>
        </w:rPr>
        <w:t>those</w:t>
      </w:r>
      <w:r w:rsidR="00F7456A">
        <w:rPr>
          <w:bCs/>
        </w:rPr>
        <w:t xml:space="preserve"> aged 65+</w:t>
      </w:r>
      <w:r>
        <w:rPr>
          <w:bCs/>
        </w:rPr>
        <w:t>.</w:t>
      </w:r>
    </w:p>
    <w:p w14:paraId="143C1B10" w14:textId="11400922" w:rsidR="00B60071" w:rsidRDefault="00BE30E6" w:rsidP="00E03506">
      <w:pPr>
        <w:pStyle w:val="ListParagraph"/>
        <w:widowControl w:val="0"/>
        <w:numPr>
          <w:ilvl w:val="0"/>
          <w:numId w:val="8"/>
        </w:numPr>
        <w:rPr>
          <w:bCs/>
          <w:color w:val="000000" w:themeColor="text1"/>
        </w:rPr>
      </w:pPr>
      <w:r>
        <w:rPr>
          <w:bCs/>
          <w:color w:val="000000" w:themeColor="text1"/>
        </w:rPr>
        <w:t xml:space="preserve">Suicide rates were </w:t>
      </w:r>
      <w:r w:rsidR="00C70BFA">
        <w:rPr>
          <w:bCs/>
          <w:color w:val="000000" w:themeColor="text1"/>
        </w:rPr>
        <w:t>almost two times</w:t>
      </w:r>
      <w:r>
        <w:rPr>
          <w:bCs/>
          <w:color w:val="000000" w:themeColor="text1"/>
        </w:rPr>
        <w:t xml:space="preserve"> higher among workers in occupation groups with low percentages of workers covered by paid sick leave </w:t>
      </w:r>
      <w:r w:rsidR="00D84D3A">
        <w:rPr>
          <w:bCs/>
          <w:color w:val="000000" w:themeColor="text1"/>
        </w:rPr>
        <w:t>compared to</w:t>
      </w:r>
      <w:r>
        <w:rPr>
          <w:bCs/>
          <w:color w:val="000000" w:themeColor="text1"/>
        </w:rPr>
        <w:t xml:space="preserve"> workers in occupation groups with high percentages of workers covered by paid sick leave.</w:t>
      </w:r>
    </w:p>
    <w:p w14:paraId="71619BD0" w14:textId="6E01D300" w:rsidR="00F863C9" w:rsidRDefault="00F863C9" w:rsidP="00F863C9">
      <w:pPr>
        <w:widowControl w:val="0"/>
        <w:rPr>
          <w:bCs/>
          <w:color w:val="000000" w:themeColor="text1"/>
        </w:rPr>
      </w:pPr>
    </w:p>
    <w:p w14:paraId="607A0F4C" w14:textId="77777777" w:rsidR="00EA78D6" w:rsidRDefault="00EA78D6" w:rsidP="00F863C9">
      <w:pPr>
        <w:widowControl w:val="0"/>
        <w:rPr>
          <w:b/>
          <w:color w:val="000000" w:themeColor="text1"/>
        </w:rPr>
      </w:pPr>
    </w:p>
    <w:p w14:paraId="5708ABEC" w14:textId="58AA3E05" w:rsidR="00F863C9" w:rsidRPr="00F863C9" w:rsidRDefault="006C73E7" w:rsidP="00F863C9">
      <w:pPr>
        <w:widowControl w:val="0"/>
        <w:rPr>
          <w:b/>
          <w:color w:val="000000" w:themeColor="text1"/>
        </w:rPr>
      </w:pPr>
      <w:r w:rsidRPr="00F863C9">
        <w:rPr>
          <w:b/>
          <w:color w:val="000000" w:themeColor="text1"/>
        </w:rPr>
        <w:t xml:space="preserve">Workplace </w:t>
      </w:r>
      <w:r w:rsidR="00F863C9" w:rsidRPr="00F863C9">
        <w:rPr>
          <w:b/>
          <w:color w:val="000000" w:themeColor="text1"/>
        </w:rPr>
        <w:t>Strategies to Prevent Suicide:</w:t>
      </w:r>
    </w:p>
    <w:p w14:paraId="3BDA9235" w14:textId="60AB2941" w:rsidR="00F863C9" w:rsidRPr="00047A18" w:rsidRDefault="00F863C9" w:rsidP="00F863C9">
      <w:pPr>
        <w:widowControl w:val="0"/>
        <w:rPr>
          <w:bCs/>
          <w:color w:val="000000" w:themeColor="text1"/>
        </w:rPr>
      </w:pPr>
      <w:r w:rsidRPr="00047A18">
        <w:rPr>
          <w:bCs/>
          <w:color w:val="000000" w:themeColor="text1"/>
        </w:rPr>
        <w:t>The workplace is an important venue for health and safety, which includes concerns related to mental health and suicide prevention. As this data brief demonstrates, certain industry and occupation groups have higher rates of suicide.  Employers, unions, worker groups, practitioners, and suicide prevention specialists can all play an important role in suicide prevention:</w:t>
      </w:r>
    </w:p>
    <w:p w14:paraId="4B27C8F4" w14:textId="77777777" w:rsidR="00F863C9" w:rsidRDefault="00F863C9" w:rsidP="00F863C9">
      <w:pPr>
        <w:pStyle w:val="ListParagraph"/>
        <w:widowControl w:val="0"/>
        <w:numPr>
          <w:ilvl w:val="0"/>
          <w:numId w:val="8"/>
        </w:numPr>
        <w:rPr>
          <w:bCs/>
          <w:color w:val="000000" w:themeColor="text1"/>
        </w:rPr>
      </w:pPr>
      <w:r>
        <w:rPr>
          <w:bCs/>
          <w:color w:val="000000" w:themeColor="text1"/>
        </w:rPr>
        <w:t>Create a work environment that fosters communication, cultivates connectedness, and promotes asking for help.</w:t>
      </w:r>
    </w:p>
    <w:p w14:paraId="50552057" w14:textId="77777777" w:rsidR="00F863C9" w:rsidRDefault="00F863C9" w:rsidP="00F863C9">
      <w:pPr>
        <w:pStyle w:val="ListParagraph"/>
        <w:widowControl w:val="0"/>
        <w:numPr>
          <w:ilvl w:val="0"/>
          <w:numId w:val="8"/>
        </w:numPr>
        <w:rPr>
          <w:bCs/>
          <w:color w:val="000000" w:themeColor="text1"/>
        </w:rPr>
      </w:pPr>
      <w:r w:rsidRPr="00047A18">
        <w:rPr>
          <w:bCs/>
          <w:color w:val="000000" w:themeColor="text1"/>
        </w:rPr>
        <w:t>Increase</w:t>
      </w:r>
      <w:r>
        <w:rPr>
          <w:bCs/>
          <w:color w:val="000000" w:themeColor="text1"/>
        </w:rPr>
        <w:t xml:space="preserve"> access and refer employees to mental health and behavioral health services.</w:t>
      </w:r>
    </w:p>
    <w:p w14:paraId="6CC6926E" w14:textId="161A24FA" w:rsidR="00F863C9" w:rsidRDefault="00F863C9" w:rsidP="00F863C9">
      <w:pPr>
        <w:pStyle w:val="ListParagraph"/>
        <w:widowControl w:val="0"/>
        <w:numPr>
          <w:ilvl w:val="0"/>
          <w:numId w:val="8"/>
        </w:numPr>
        <w:rPr>
          <w:bCs/>
          <w:color w:val="000000" w:themeColor="text1"/>
        </w:rPr>
      </w:pPr>
      <w:r>
        <w:rPr>
          <w:bCs/>
          <w:color w:val="000000" w:themeColor="text1"/>
        </w:rPr>
        <w:t>Offer introductory level training in suicide prevention at workplaces for employers and employees to recognize the signs of suicide and instill confidence in talking about suicide.</w:t>
      </w:r>
    </w:p>
    <w:p w14:paraId="18EC6439" w14:textId="0F0D5848" w:rsidR="00F863C9" w:rsidRDefault="00F863C9" w:rsidP="00F863C9">
      <w:pPr>
        <w:pStyle w:val="ListParagraph"/>
        <w:widowControl w:val="0"/>
        <w:numPr>
          <w:ilvl w:val="0"/>
          <w:numId w:val="8"/>
        </w:numPr>
        <w:rPr>
          <w:bCs/>
          <w:color w:val="000000" w:themeColor="text1"/>
        </w:rPr>
      </w:pPr>
      <w:r>
        <w:rPr>
          <w:bCs/>
          <w:color w:val="000000" w:themeColor="text1"/>
        </w:rPr>
        <w:t xml:space="preserve">Develop suicide prevention campaigns and educational materials for high-risk occupations and industries that raise awareness of the signs </w:t>
      </w:r>
      <w:r w:rsidR="00E27F96">
        <w:rPr>
          <w:bCs/>
          <w:color w:val="000000" w:themeColor="text1"/>
        </w:rPr>
        <w:t>of suicide</w:t>
      </w:r>
      <w:r>
        <w:rPr>
          <w:bCs/>
          <w:color w:val="000000" w:themeColor="text1"/>
        </w:rPr>
        <w:t>, encourage creating a protective environment at the workplace, and promote help-seeking behaviors.</w:t>
      </w:r>
    </w:p>
    <w:p w14:paraId="73048D1F" w14:textId="0829B955" w:rsidR="00F863C9" w:rsidRPr="00F863C9" w:rsidRDefault="00F863C9" w:rsidP="00F863C9">
      <w:pPr>
        <w:jc w:val="both"/>
        <w:rPr>
          <w:b/>
          <w:bCs/>
        </w:rPr>
      </w:pPr>
      <w:r>
        <w:br/>
      </w:r>
      <w:r w:rsidRPr="00F863C9">
        <w:rPr>
          <w:b/>
          <w:bCs/>
        </w:rPr>
        <w:t>Massachusetts Suicide Prevention Program (SPP):</w:t>
      </w:r>
    </w:p>
    <w:p w14:paraId="274D5DEC" w14:textId="435A11C4" w:rsidR="00F863C9" w:rsidRPr="00F863C9" w:rsidRDefault="00291887" w:rsidP="00EA78D6">
      <w:pPr>
        <w:pStyle w:val="ListParagraph"/>
        <w:numPr>
          <w:ilvl w:val="0"/>
          <w:numId w:val="8"/>
        </w:numPr>
        <w:contextualSpacing w:val="0"/>
        <w:rPr>
          <w:szCs w:val="24"/>
        </w:rPr>
      </w:pPr>
      <w:r w:rsidRPr="00291887">
        <w:t xml:space="preserve">The CDC’s five-year </w:t>
      </w:r>
      <w:hyperlink r:id="rId12" w:history="1">
        <w:r w:rsidRPr="00F863C9">
          <w:rPr>
            <w:rStyle w:val="Hyperlink"/>
            <w:rFonts w:cs="Arial"/>
          </w:rPr>
          <w:t>Comprehensive Suicide Prevention Grant</w:t>
        </w:r>
      </w:hyperlink>
      <w:r w:rsidRPr="00291887">
        <w:t xml:space="preserve"> </w:t>
      </w:r>
      <w:r w:rsidR="00F863C9" w:rsidRPr="00291887">
        <w:t>was awarded in September 2020. Massachusetts is one of eleven states and universities to receive this five-year funding. The SPP’s goal within this grant, as required by the CDC, is to reduce the number of suicidal incidents and deaths among populations within the state whose suicide rate is above the state</w:t>
      </w:r>
      <w:r w:rsidR="00212AB8">
        <w:t>’s overall</w:t>
      </w:r>
      <w:r w:rsidR="00F863C9" w:rsidRPr="00291887">
        <w:t xml:space="preserve"> rate</w:t>
      </w:r>
      <w:r w:rsidR="00F863C9">
        <w:t xml:space="preserve">, which was </w:t>
      </w:r>
      <w:r w:rsidR="00F863C9" w:rsidRPr="00291887">
        <w:t>10/100,000</w:t>
      </w:r>
      <w:r w:rsidR="00F863C9">
        <w:t xml:space="preserve"> in 2018</w:t>
      </w:r>
      <w:r w:rsidR="00F863C9" w:rsidRPr="00291887">
        <w:t>. For Massachusetts, this includes working</w:t>
      </w:r>
      <w:r w:rsidR="00212AB8">
        <w:t>-</w:t>
      </w:r>
      <w:r w:rsidR="00F863C9" w:rsidRPr="00291887">
        <w:t>aged males, Hispanic/Latinx</w:t>
      </w:r>
      <w:r w:rsidR="00F863C9" w:rsidRPr="00F863C9">
        <w:rPr>
          <w:rStyle w:val="CommentReference"/>
          <w:rFonts w:cs="Arial"/>
          <w:sz w:val="20"/>
          <w:szCs w:val="20"/>
        </w:rPr>
        <w:t>, veterans/military</w:t>
      </w:r>
      <w:r w:rsidR="00D84D3A">
        <w:rPr>
          <w:rStyle w:val="CommentReference"/>
          <w:rFonts w:cs="Arial"/>
          <w:sz w:val="20"/>
          <w:szCs w:val="20"/>
        </w:rPr>
        <w:t>,</w:t>
      </w:r>
      <w:r w:rsidR="00F863C9" w:rsidRPr="00291887">
        <w:t xml:space="preserve"> and specific occupations. To this end, SPP is working closely with</w:t>
      </w:r>
      <w:r w:rsidR="00F863C9">
        <w:t xml:space="preserve"> DPH’s</w:t>
      </w:r>
      <w:r w:rsidR="00F863C9" w:rsidRPr="00291887">
        <w:t xml:space="preserve"> Occupational Health Surveillance Program to create a cross-analysis to identify the occupations </w:t>
      </w:r>
      <w:r w:rsidR="00EA78D6">
        <w:t xml:space="preserve">and industries </w:t>
      </w:r>
      <w:r w:rsidR="00F863C9" w:rsidRPr="00291887">
        <w:t>with the highest suicide death rates in Massachusetts. Identifying gaps in healthcare and behavioral healthcare systems is also a priority towards the final goal of reducing suicide deaths, suicide attempts</w:t>
      </w:r>
      <w:r w:rsidR="00D84D3A">
        <w:t>,</w:t>
      </w:r>
      <w:r w:rsidR="00F863C9" w:rsidRPr="00291887">
        <w:t xml:space="preserve"> and ideation.</w:t>
      </w:r>
    </w:p>
    <w:p w14:paraId="2605E587" w14:textId="71685482" w:rsidR="00196989" w:rsidRPr="00F863C9" w:rsidRDefault="00F863C9" w:rsidP="00EA78D6">
      <w:pPr>
        <w:pStyle w:val="ListParagraph"/>
        <w:numPr>
          <w:ilvl w:val="0"/>
          <w:numId w:val="8"/>
        </w:numPr>
        <w:contextualSpacing w:val="0"/>
        <w:rPr>
          <w:szCs w:val="24"/>
        </w:rPr>
      </w:pPr>
      <w:r>
        <w:t xml:space="preserve">The SPP offers </w:t>
      </w:r>
      <w:r w:rsidRPr="00F863C9">
        <w:rPr>
          <w:szCs w:val="24"/>
        </w:rPr>
        <w:t xml:space="preserve">trainings to help behavioral health professionals better identify someone who is suicidal and </w:t>
      </w:r>
      <w:r w:rsidR="00D84D3A">
        <w:rPr>
          <w:szCs w:val="24"/>
        </w:rPr>
        <w:t>help with</w:t>
      </w:r>
      <w:r w:rsidR="00D84D3A" w:rsidRPr="00F863C9">
        <w:rPr>
          <w:szCs w:val="24"/>
        </w:rPr>
        <w:t xml:space="preserve"> </w:t>
      </w:r>
      <w:r w:rsidRPr="00F863C9">
        <w:rPr>
          <w:szCs w:val="24"/>
        </w:rPr>
        <w:t xml:space="preserve">their suicidality. Trainings have been offered for over 15+ years and are updated as new evidenced-based practices are identified. The SPP provides education and screening trainings for health professionals </w:t>
      </w:r>
      <w:r w:rsidR="00D84D3A">
        <w:rPr>
          <w:szCs w:val="24"/>
        </w:rPr>
        <w:t>who want</w:t>
      </w:r>
      <w:r w:rsidR="00D84D3A" w:rsidRPr="00F863C9">
        <w:rPr>
          <w:szCs w:val="24"/>
        </w:rPr>
        <w:t xml:space="preserve"> </w:t>
      </w:r>
      <w:r w:rsidRPr="00F863C9">
        <w:rPr>
          <w:szCs w:val="24"/>
        </w:rPr>
        <w:t>to learn how to identify at-risk individuals in their practices. Additionally, instructional trainings such as Safety Planning Intervention</w:t>
      </w:r>
      <w:r w:rsidR="00D84D3A">
        <w:rPr>
          <w:szCs w:val="24"/>
        </w:rPr>
        <w:t>s</w:t>
      </w:r>
      <w:r w:rsidRPr="00F863C9">
        <w:rPr>
          <w:szCs w:val="24"/>
        </w:rPr>
        <w:t xml:space="preserve"> that teach professionals how to create a safety plan with an individual who is in</w:t>
      </w:r>
      <w:r w:rsidR="00D84D3A">
        <w:rPr>
          <w:szCs w:val="24"/>
        </w:rPr>
        <w:t xml:space="preserve"> a</w:t>
      </w:r>
      <w:r w:rsidRPr="00F863C9">
        <w:rPr>
          <w:szCs w:val="24"/>
        </w:rPr>
        <w:t xml:space="preserve"> suicidal crisis are also available. With the onset of COVID-19 and in-person trainings not </w:t>
      </w:r>
      <w:r w:rsidR="00212AB8">
        <w:rPr>
          <w:szCs w:val="24"/>
        </w:rPr>
        <w:t>being possible</w:t>
      </w:r>
      <w:r w:rsidRPr="00F863C9">
        <w:rPr>
          <w:szCs w:val="24"/>
        </w:rPr>
        <w:t>, SPP has continued to offer all trainings virtually. The SPP keeps a robust training calendar which offers courses throughout the year at a nominal fee to ensure availability to anyone looking to learn more about suicide prevention. For more information on trainings offered, please view the</w:t>
      </w:r>
      <w:r w:rsidR="00196989" w:rsidRPr="00F863C9">
        <w:rPr>
          <w:szCs w:val="24"/>
        </w:rPr>
        <w:t xml:space="preserve"> </w:t>
      </w:r>
      <w:hyperlink r:id="rId13" w:history="1">
        <w:r>
          <w:rPr>
            <w:rStyle w:val="Hyperlink"/>
            <w:rFonts w:cs="Arial"/>
          </w:rPr>
          <w:t>MDPH Suicide Prevention Training Calendar</w:t>
        </w:r>
      </w:hyperlink>
      <w:r w:rsidR="00196989" w:rsidRPr="00F863C9">
        <w:rPr>
          <w:szCs w:val="24"/>
        </w:rPr>
        <w:t>.</w:t>
      </w:r>
    </w:p>
    <w:p w14:paraId="7CFFD990" w14:textId="77777777" w:rsidR="00196989" w:rsidRPr="00291887" w:rsidRDefault="00196989" w:rsidP="00F70681">
      <w:pPr>
        <w:pStyle w:val="ListParagraph"/>
        <w:spacing w:after="120"/>
        <w:contextualSpacing w:val="0"/>
        <w:jc w:val="both"/>
      </w:pPr>
    </w:p>
    <w:p w14:paraId="2B2B1166" w14:textId="2E4748A1" w:rsidR="00F71A56" w:rsidRDefault="00F71A56" w:rsidP="0016543E">
      <w:pPr>
        <w:widowControl w:val="0"/>
        <w:rPr>
          <w:rFonts w:ascii="Times New Roman" w:hAnsi="Times New Roman"/>
          <w:b/>
          <w:bCs/>
          <w:color w:val="194D80"/>
          <w:sz w:val="28"/>
          <w:szCs w:val="28"/>
        </w:rPr>
      </w:pPr>
    </w:p>
    <w:p w14:paraId="2387EEAE" w14:textId="327B1514" w:rsidR="00C4340E" w:rsidRDefault="00EA78D6" w:rsidP="00F71A56">
      <w:pPr>
        <w:widowControl w:val="0"/>
        <w:rPr>
          <w:rFonts w:ascii="Times New Roman" w:hAnsi="Times New Roman"/>
          <w:b/>
          <w:color w:val="194D80"/>
          <w:sz w:val="28"/>
          <w:szCs w:val="28"/>
        </w:rPr>
      </w:pPr>
      <w:r>
        <w:rPr>
          <w:noProof/>
        </w:rPr>
        <w:lastRenderedPageBreak/>
        <w:drawing>
          <wp:anchor distT="0" distB="0" distL="114300" distR="114300" simplePos="0" relativeHeight="251659776" behindDoc="1" locked="0" layoutInCell="1" allowOverlap="1" wp14:anchorId="7B13AABB" wp14:editId="04CCF7F0">
            <wp:simplePos x="0" y="0"/>
            <wp:positionH relativeFrom="margin">
              <wp:posOffset>17145</wp:posOffset>
            </wp:positionH>
            <wp:positionV relativeFrom="paragraph">
              <wp:posOffset>311150</wp:posOffset>
            </wp:positionV>
            <wp:extent cx="6797040" cy="3484880"/>
            <wp:effectExtent l="0" t="0" r="3810" b="1270"/>
            <wp:wrapTight wrapText="bothSides">
              <wp:wrapPolygon edited="0">
                <wp:start x="0" y="0"/>
                <wp:lineTo x="0" y="21490"/>
                <wp:lineTo x="21552" y="21490"/>
                <wp:lineTo x="21552" y="0"/>
                <wp:lineTo x="0" y="0"/>
              </wp:wrapPolygon>
            </wp:wrapTight>
            <wp:docPr id="7" name="Chart 7">
              <a:extLst xmlns:a="http://schemas.openxmlformats.org/drawingml/2006/main">
                <a:ext uri="{FF2B5EF4-FFF2-40B4-BE49-F238E27FC236}">
                  <a16:creationId xmlns:a16="http://schemas.microsoft.com/office/drawing/2014/main" id="{5FAE2E6A-5377-45FD-BC7B-0CA94BEBA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2E2F5D" w:rsidRPr="006665F6">
        <w:rPr>
          <w:rFonts w:ascii="Times New Roman" w:hAnsi="Times New Roman"/>
          <w:b/>
          <w:noProof/>
          <w:color w:val="194D80"/>
          <w:sz w:val="28"/>
          <w:szCs w:val="28"/>
        </w:rPr>
        <mc:AlternateContent>
          <mc:Choice Requires="wps">
            <w:drawing>
              <wp:anchor distT="45720" distB="45720" distL="114300" distR="114300" simplePos="0" relativeHeight="251661824" behindDoc="0" locked="0" layoutInCell="1" allowOverlap="1" wp14:anchorId="4F3D1531" wp14:editId="71AC8356">
                <wp:simplePos x="0" y="0"/>
                <wp:positionH relativeFrom="column">
                  <wp:posOffset>513080</wp:posOffset>
                </wp:positionH>
                <wp:positionV relativeFrom="paragraph">
                  <wp:posOffset>3820795</wp:posOffset>
                </wp:positionV>
                <wp:extent cx="6228715" cy="534035"/>
                <wp:effectExtent l="0" t="0" r="635" b="0"/>
                <wp:wrapThrough wrapText="bothSides">
                  <wp:wrapPolygon edited="0">
                    <wp:start x="0" y="0"/>
                    <wp:lineTo x="0" y="20804"/>
                    <wp:lineTo x="21536" y="20804"/>
                    <wp:lineTo x="2153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534035"/>
                        </a:xfrm>
                        <a:prstGeom prst="rect">
                          <a:avLst/>
                        </a:prstGeom>
                        <a:solidFill>
                          <a:srgbClr val="FFFFFF"/>
                        </a:solidFill>
                        <a:ln w="9525">
                          <a:noFill/>
                          <a:miter lim="800000"/>
                          <a:headEnd/>
                          <a:tailEnd/>
                        </a:ln>
                      </wps:spPr>
                      <wps:txbx>
                        <w:txbxContent>
                          <w:p w14:paraId="61BCA8AE" w14:textId="072C0774" w:rsidR="00945C6B" w:rsidRDefault="005337B8" w:rsidP="005337B8">
                            <w:pPr>
                              <w:rPr>
                                <w:sz w:val="14"/>
                                <w:szCs w:val="14"/>
                              </w:rPr>
                            </w:pPr>
                            <w:r w:rsidRPr="0012422F">
                              <w:rPr>
                                <w:sz w:val="14"/>
                                <w:szCs w:val="14"/>
                              </w:rPr>
                              <w:t>*This category excluded 1</w:t>
                            </w:r>
                            <w:r>
                              <w:rPr>
                                <w:sz w:val="14"/>
                                <w:szCs w:val="14"/>
                              </w:rPr>
                              <w:t>1</w:t>
                            </w:r>
                            <w:r w:rsidRPr="0012422F">
                              <w:rPr>
                                <w:sz w:val="14"/>
                                <w:szCs w:val="14"/>
                              </w:rPr>
                              <w:t xml:space="preserve"> suicides among those working in the military or military specific </w:t>
                            </w:r>
                            <w:r>
                              <w:rPr>
                                <w:sz w:val="14"/>
                                <w:szCs w:val="14"/>
                              </w:rPr>
                              <w:t>industries</w:t>
                            </w:r>
                            <w:r w:rsidRPr="0012422F">
                              <w:rPr>
                                <w:sz w:val="14"/>
                                <w:szCs w:val="14"/>
                              </w:rPr>
                              <w:t xml:space="preserve"> due to lack of denominator information and </w:t>
                            </w:r>
                            <w:r>
                              <w:rPr>
                                <w:sz w:val="14"/>
                                <w:szCs w:val="14"/>
                              </w:rPr>
                              <w:t>33</w:t>
                            </w:r>
                            <w:r w:rsidRPr="0012422F">
                              <w:rPr>
                                <w:sz w:val="14"/>
                                <w:szCs w:val="14"/>
                              </w:rPr>
                              <w:t xml:space="preserve"> suicides because the death certificates did not contain enough information to code </w:t>
                            </w:r>
                            <w:r>
                              <w:rPr>
                                <w:sz w:val="14"/>
                                <w:szCs w:val="14"/>
                              </w:rPr>
                              <w:t>industries.</w:t>
                            </w:r>
                          </w:p>
                          <w:p w14:paraId="1BCAA212" w14:textId="785007DB" w:rsidR="005337B8" w:rsidRDefault="005337B8" w:rsidP="005337B8">
                            <w:pPr>
                              <w:rPr>
                                <w:sz w:val="14"/>
                                <w:szCs w:val="14"/>
                              </w:rPr>
                            </w:pPr>
                            <w:r>
                              <w:rPr>
                                <w:sz w:val="14"/>
                                <w:szCs w:val="14"/>
                              </w:rPr>
                              <w:t>Numerator source: MA Violent Death Reporting System, MA Department of Public Health</w:t>
                            </w:r>
                            <w:r w:rsidR="0010631D">
                              <w:rPr>
                                <w:sz w:val="14"/>
                                <w:szCs w:val="14"/>
                              </w:rPr>
                              <w:t>, 2016-2019</w:t>
                            </w:r>
                          </w:p>
                          <w:p w14:paraId="47B8446F" w14:textId="314A605C" w:rsidR="005337B8" w:rsidRPr="0012422F" w:rsidRDefault="005337B8" w:rsidP="005337B8">
                            <w:pPr>
                              <w:rPr>
                                <w:sz w:val="14"/>
                                <w:szCs w:val="14"/>
                              </w:rPr>
                            </w:pPr>
                            <w:r>
                              <w:rPr>
                                <w:sz w:val="14"/>
                                <w:szCs w:val="14"/>
                              </w:rPr>
                              <w:t>Denominator source: American Community Survey</w:t>
                            </w:r>
                            <w:r w:rsidR="0010631D">
                              <w:rPr>
                                <w:sz w:val="14"/>
                                <w:szCs w:val="14"/>
                              </w:rPr>
                              <w:t>,</w:t>
                            </w:r>
                            <w:r>
                              <w:rPr>
                                <w:sz w:val="14"/>
                                <w:szCs w:val="14"/>
                              </w:rPr>
                              <w:t xml:space="preserve"> 2016-2019</w:t>
                            </w:r>
                          </w:p>
                          <w:p w14:paraId="6F560F3E" w14:textId="6AE18010" w:rsidR="006665F6" w:rsidRDefault="00666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3D1531" id="_x0000_s1031" type="#_x0000_t202" style="position:absolute;margin-left:40.4pt;margin-top:300.85pt;width:490.45pt;height:42.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" stroked="f">
                <v:textbox>
                  <w:txbxContent>
                    <w:p w14:paraId="61BCA8AE" w14:textId="072C0774" w:rsidR="00945C6B" w:rsidRDefault="005337B8" w:rsidP="005337B8">
                      <w:pPr>
                        <w:rPr>
                          <w:sz w:val="14"/>
                          <w:szCs w:val="14"/>
                        </w:rPr>
                      </w:pPr>
                      <w:r w:rsidRPr="0012422F">
                        <w:rPr>
                          <w:sz w:val="14"/>
                          <w:szCs w:val="14"/>
                        </w:rPr>
                        <w:t>*This category excluded 1</w:t>
                      </w:r>
                      <w:r>
                        <w:rPr>
                          <w:sz w:val="14"/>
                          <w:szCs w:val="14"/>
                        </w:rPr>
                        <w:t>1</w:t>
                      </w:r>
                      <w:r w:rsidRPr="0012422F">
                        <w:rPr>
                          <w:sz w:val="14"/>
                          <w:szCs w:val="14"/>
                        </w:rPr>
                        <w:t xml:space="preserve"> suicides among those working in the military or military specific </w:t>
                      </w:r>
                      <w:r>
                        <w:rPr>
                          <w:sz w:val="14"/>
                          <w:szCs w:val="14"/>
                        </w:rPr>
                        <w:t>industries</w:t>
                      </w:r>
                      <w:r w:rsidRPr="0012422F">
                        <w:rPr>
                          <w:sz w:val="14"/>
                          <w:szCs w:val="14"/>
                        </w:rPr>
                        <w:t xml:space="preserve"> due to lack of denominator information and </w:t>
                      </w:r>
                      <w:r>
                        <w:rPr>
                          <w:sz w:val="14"/>
                          <w:szCs w:val="14"/>
                        </w:rPr>
                        <w:t>33</w:t>
                      </w:r>
                      <w:r w:rsidRPr="0012422F">
                        <w:rPr>
                          <w:sz w:val="14"/>
                          <w:szCs w:val="14"/>
                        </w:rPr>
                        <w:t xml:space="preserve"> suicides because the death certificates did not contain enough information to code </w:t>
                      </w:r>
                      <w:r>
                        <w:rPr>
                          <w:sz w:val="14"/>
                          <w:szCs w:val="14"/>
                        </w:rPr>
                        <w:t>industries.</w:t>
                      </w:r>
                    </w:p>
                    <w:p w14:paraId="1BCAA212" w14:textId="785007DB" w:rsidR="005337B8" w:rsidRDefault="005337B8" w:rsidP="005337B8">
                      <w:pPr>
                        <w:rPr>
                          <w:sz w:val="14"/>
                          <w:szCs w:val="14"/>
                        </w:rPr>
                      </w:pPr>
                      <w:r>
                        <w:rPr>
                          <w:sz w:val="14"/>
                          <w:szCs w:val="14"/>
                        </w:rPr>
                        <w:t>Numerator source: MA Violent Death Reporting System, MA Department of Public Health</w:t>
                      </w:r>
                      <w:r w:rsidR="0010631D">
                        <w:rPr>
                          <w:sz w:val="14"/>
                          <w:szCs w:val="14"/>
                        </w:rPr>
                        <w:t>, 2016-2019</w:t>
                      </w:r>
                    </w:p>
                    <w:p w14:paraId="47B8446F" w14:textId="314A605C" w:rsidR="005337B8" w:rsidRPr="0012422F" w:rsidRDefault="005337B8" w:rsidP="005337B8">
                      <w:pPr>
                        <w:rPr>
                          <w:sz w:val="14"/>
                          <w:szCs w:val="14"/>
                        </w:rPr>
                      </w:pPr>
                      <w:r>
                        <w:rPr>
                          <w:sz w:val="14"/>
                          <w:szCs w:val="14"/>
                        </w:rPr>
                        <w:t>Denominator source: American Community Survey</w:t>
                      </w:r>
                      <w:r w:rsidR="0010631D">
                        <w:rPr>
                          <w:sz w:val="14"/>
                          <w:szCs w:val="14"/>
                        </w:rPr>
                        <w:t>,</w:t>
                      </w:r>
                      <w:r>
                        <w:rPr>
                          <w:sz w:val="14"/>
                          <w:szCs w:val="14"/>
                        </w:rPr>
                        <w:t xml:space="preserve"> 2016-2019</w:t>
                      </w:r>
                    </w:p>
                    <w:p w14:paraId="6F560F3E" w14:textId="6AE18010" w:rsidR="006665F6" w:rsidRDefault="006665F6"/>
                  </w:txbxContent>
                </v:textbox>
                <w10:wrap type="through"/>
              </v:shape>
            </w:pict>
          </mc:Fallback>
        </mc:AlternateContent>
      </w:r>
      <w:r w:rsidR="00B659D6" w:rsidRPr="00726C71">
        <w:rPr>
          <w:noProof/>
        </w:rPr>
        <mc:AlternateContent>
          <mc:Choice Requires="wps">
            <w:drawing>
              <wp:anchor distT="0" distB="0" distL="114300" distR="114300" simplePos="0" relativeHeight="251672064" behindDoc="0" locked="0" layoutInCell="1" allowOverlap="1" wp14:anchorId="1B8EC375" wp14:editId="76B1523B">
                <wp:simplePos x="0" y="0"/>
                <wp:positionH relativeFrom="column">
                  <wp:posOffset>0</wp:posOffset>
                </wp:positionH>
                <wp:positionV relativeFrom="paragraph">
                  <wp:posOffset>-635</wp:posOffset>
                </wp:positionV>
                <wp:extent cx="6847205"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7B935DDF" w14:textId="0C2FF583" w:rsidR="00B659D6" w:rsidRPr="005E14F6" w:rsidRDefault="00B659D6" w:rsidP="00B659D6">
                            <w:pPr>
                              <w:jc w:val="center"/>
                              <w:rPr>
                                <w:b/>
                              </w:rPr>
                            </w:pPr>
                            <w:r>
                              <w:rPr>
                                <w:b/>
                              </w:rPr>
                              <w:t xml:space="preserve">Suicide Rates by Industry </w:t>
                            </w:r>
                            <w:r w:rsidR="00C44121">
                              <w:rPr>
                                <w:b/>
                              </w:rPr>
                              <w:t>and 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8EC375" id="_x0000_s1032" type="#_x0000_t202" style="position:absolute;margin-left:0;margin-top:-.05pt;width:539.1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" fillcolor="#ccc1da" stroked="f">
                <v:textbox>
                  <w:txbxContent>
                    <w:p w14:paraId="7B935DDF" w14:textId="0C2FF583" w:rsidR="00B659D6" w:rsidRPr="005E14F6" w:rsidRDefault="00B659D6" w:rsidP="00B659D6">
                      <w:pPr>
                        <w:jc w:val="center"/>
                        <w:rPr>
                          <w:b/>
                        </w:rPr>
                      </w:pPr>
                      <w:r>
                        <w:rPr>
                          <w:b/>
                        </w:rPr>
                        <w:t xml:space="preserve">Suicide Rates by Industry </w:t>
                      </w:r>
                      <w:r w:rsidR="00C44121">
                        <w:rPr>
                          <w:b/>
                        </w:rPr>
                        <w:t>and Occupation</w:t>
                      </w:r>
                    </w:p>
                  </w:txbxContent>
                </v:textbox>
              </v:shape>
            </w:pict>
          </mc:Fallback>
        </mc:AlternateContent>
      </w:r>
    </w:p>
    <w:p w14:paraId="103BFCBA" w14:textId="00FB0019" w:rsidR="00B80F30" w:rsidRDefault="00BA6A29" w:rsidP="006665F6">
      <w:pPr>
        <w:pStyle w:val="ListParagraph"/>
        <w:numPr>
          <w:ilvl w:val="0"/>
          <w:numId w:val="7"/>
        </w:numPr>
        <w:rPr>
          <w:bCs/>
        </w:rPr>
      </w:pPr>
      <w:r w:rsidRPr="00822B1D">
        <w:rPr>
          <w:bCs/>
        </w:rPr>
        <w:t>The average suicide rate for all</w:t>
      </w:r>
      <w:r w:rsidR="00134E4C" w:rsidRPr="00822B1D">
        <w:rPr>
          <w:bCs/>
        </w:rPr>
        <w:t xml:space="preserve"> Massachusetts workers across all industry sectors was </w:t>
      </w:r>
      <w:r w:rsidR="00F43F12">
        <w:rPr>
          <w:bCs/>
        </w:rPr>
        <w:t>14.9</w:t>
      </w:r>
      <w:r w:rsidR="008154BD">
        <w:rPr>
          <w:bCs/>
        </w:rPr>
        <w:t xml:space="preserve"> deaths</w:t>
      </w:r>
      <w:r w:rsidR="00134E4C" w:rsidRPr="00822B1D">
        <w:rPr>
          <w:bCs/>
        </w:rPr>
        <w:t xml:space="preserve"> per 100,000 workers</w:t>
      </w:r>
      <w:r w:rsidR="00822B1D" w:rsidRPr="00822B1D">
        <w:rPr>
          <w:bCs/>
        </w:rPr>
        <w:t>.</w:t>
      </w:r>
    </w:p>
    <w:p w14:paraId="07C4CE6D" w14:textId="383F825E" w:rsidR="00822B1D" w:rsidRDefault="00822B1D" w:rsidP="00822B1D">
      <w:pPr>
        <w:pStyle w:val="ListParagraph"/>
        <w:numPr>
          <w:ilvl w:val="0"/>
          <w:numId w:val="7"/>
        </w:numPr>
        <w:rPr>
          <w:bCs/>
        </w:rPr>
      </w:pPr>
      <w:r w:rsidRPr="00822B1D">
        <w:rPr>
          <w:bCs/>
        </w:rPr>
        <w:t>The Agriculture, Forestry, Fishing, and Hunting industry sector had</w:t>
      </w:r>
      <w:r w:rsidR="00737143">
        <w:rPr>
          <w:bCs/>
        </w:rPr>
        <w:t xml:space="preserve"> the</w:t>
      </w:r>
      <w:r w:rsidRPr="00822B1D">
        <w:rPr>
          <w:bCs/>
        </w:rPr>
        <w:t xml:space="preserve"> </w:t>
      </w:r>
      <w:r w:rsidR="00887AF9">
        <w:rPr>
          <w:bCs/>
        </w:rPr>
        <w:t>highest rate of suicides (</w:t>
      </w:r>
      <w:r w:rsidR="00F43F12">
        <w:rPr>
          <w:bCs/>
        </w:rPr>
        <w:t>46.5</w:t>
      </w:r>
      <w:r w:rsidR="00887AF9">
        <w:rPr>
          <w:bCs/>
        </w:rPr>
        <w:t xml:space="preserve"> deaths/100,000 workers) but had the </w:t>
      </w:r>
      <w:r w:rsidRPr="00822B1D">
        <w:rPr>
          <w:bCs/>
        </w:rPr>
        <w:t>lowest number of suicides (n=25)</w:t>
      </w:r>
      <w:r w:rsidR="008B1D34">
        <w:rPr>
          <w:bCs/>
        </w:rPr>
        <w:t>.</w:t>
      </w:r>
    </w:p>
    <w:p w14:paraId="203E0EA7" w14:textId="77792E55" w:rsidR="00822B1D" w:rsidRPr="00822B1D" w:rsidRDefault="00822B1D" w:rsidP="00822B1D">
      <w:pPr>
        <w:pStyle w:val="ListParagraph"/>
        <w:numPr>
          <w:ilvl w:val="0"/>
          <w:numId w:val="7"/>
        </w:numPr>
        <w:rPr>
          <w:bCs/>
        </w:rPr>
      </w:pPr>
      <w:r>
        <w:rPr>
          <w:bCs/>
        </w:rPr>
        <w:t xml:space="preserve">The Construction industry sector had the </w:t>
      </w:r>
      <w:r w:rsidR="008B1D34">
        <w:rPr>
          <w:bCs/>
        </w:rPr>
        <w:t>second highest rate of suicides (</w:t>
      </w:r>
      <w:r w:rsidR="00F43F12">
        <w:rPr>
          <w:bCs/>
        </w:rPr>
        <w:t>42.3</w:t>
      </w:r>
      <w:r w:rsidR="008B1D34">
        <w:rPr>
          <w:bCs/>
        </w:rPr>
        <w:t xml:space="preserve"> deaths/100,000 workers) and the </w:t>
      </w:r>
      <w:r>
        <w:rPr>
          <w:bCs/>
        </w:rPr>
        <w:t>highest number of suicides (n=358)</w:t>
      </w:r>
      <w:r w:rsidR="008B1D34">
        <w:rPr>
          <w:bCs/>
        </w:rPr>
        <w:t>.</w:t>
      </w:r>
    </w:p>
    <w:p w14:paraId="0651CB06" w14:textId="721DC52E" w:rsidR="00822B1D" w:rsidRPr="00822B1D" w:rsidRDefault="00134E4C" w:rsidP="006665F6">
      <w:pPr>
        <w:pStyle w:val="ListParagraph"/>
        <w:numPr>
          <w:ilvl w:val="0"/>
          <w:numId w:val="7"/>
        </w:numPr>
        <w:rPr>
          <w:bCs/>
        </w:rPr>
      </w:pPr>
      <w:r w:rsidRPr="00822B1D">
        <w:rPr>
          <w:bCs/>
        </w:rPr>
        <w:t xml:space="preserve">The following industry sector had </w:t>
      </w:r>
      <w:r w:rsidR="005B254C">
        <w:rPr>
          <w:bCs/>
        </w:rPr>
        <w:t xml:space="preserve">a </w:t>
      </w:r>
      <w:r w:rsidRPr="00822B1D">
        <w:rPr>
          <w:bCs/>
        </w:rPr>
        <w:t xml:space="preserve">suicide rate </w:t>
      </w:r>
      <w:r w:rsidR="004D2A1C">
        <w:rPr>
          <w:bCs/>
        </w:rPr>
        <w:t xml:space="preserve">statistically </w:t>
      </w:r>
      <w:r w:rsidRPr="00822B1D">
        <w:rPr>
          <w:bCs/>
        </w:rPr>
        <w:t xml:space="preserve">significantly higher than the average rate for all workers: </w:t>
      </w:r>
    </w:p>
    <w:p w14:paraId="47E7028C" w14:textId="209EA88B" w:rsidR="00822B1D" w:rsidRPr="00822B1D" w:rsidRDefault="00134E4C" w:rsidP="00822B1D">
      <w:pPr>
        <w:pStyle w:val="ListParagraph"/>
        <w:numPr>
          <w:ilvl w:val="1"/>
          <w:numId w:val="7"/>
        </w:numPr>
        <w:rPr>
          <w:bCs/>
        </w:rPr>
      </w:pPr>
      <w:r w:rsidRPr="00822B1D">
        <w:rPr>
          <w:bCs/>
        </w:rPr>
        <w:t>Construction (</w:t>
      </w:r>
      <w:r w:rsidR="00347B51">
        <w:rPr>
          <w:bCs/>
        </w:rPr>
        <w:t>42.3</w:t>
      </w:r>
      <w:r w:rsidR="00D777AD">
        <w:rPr>
          <w:bCs/>
        </w:rPr>
        <w:t xml:space="preserve"> deaths/100,000 workers</w:t>
      </w:r>
      <w:r w:rsidRPr="00822B1D">
        <w:rPr>
          <w:bCs/>
        </w:rPr>
        <w:t xml:space="preserve">) </w:t>
      </w:r>
    </w:p>
    <w:p w14:paraId="10F9A52F" w14:textId="6C0A71D5" w:rsidR="00503A1E" w:rsidRDefault="00503A1E" w:rsidP="00B80F30">
      <w:pPr>
        <w:widowControl w:val="0"/>
        <w:rPr>
          <w:rFonts w:ascii="Times New Roman" w:hAnsi="Times New Roman"/>
          <w:b/>
          <w:color w:val="194D80"/>
          <w:sz w:val="28"/>
          <w:szCs w:val="28"/>
        </w:rPr>
      </w:pPr>
    </w:p>
    <w:p w14:paraId="7703C04A" w14:textId="7DAED3D6" w:rsidR="005A6337" w:rsidRDefault="002E2F5D" w:rsidP="005A6337">
      <w:pPr>
        <w:widowControl w:val="0"/>
        <w:rPr>
          <w:rFonts w:ascii="Times New Roman" w:hAnsi="Times New Roman"/>
          <w:b/>
          <w:color w:val="194D80"/>
          <w:sz w:val="28"/>
          <w:szCs w:val="28"/>
        </w:rPr>
      </w:pPr>
      <w:r w:rsidRPr="006665F6">
        <w:rPr>
          <w:b/>
          <w:noProof/>
          <w:color w:val="194D80"/>
          <w:sz w:val="28"/>
          <w:szCs w:val="28"/>
        </w:rPr>
        <w:lastRenderedPageBreak/>
        <mc:AlternateContent>
          <mc:Choice Requires="wps">
            <w:drawing>
              <wp:anchor distT="45720" distB="45720" distL="114300" distR="114300" simplePos="0" relativeHeight="251664896" behindDoc="0" locked="0" layoutInCell="1" allowOverlap="1" wp14:anchorId="1218FEE8" wp14:editId="4AB01214">
                <wp:simplePos x="0" y="0"/>
                <wp:positionH relativeFrom="column">
                  <wp:posOffset>311785</wp:posOffset>
                </wp:positionH>
                <wp:positionV relativeFrom="paragraph">
                  <wp:posOffset>3856051</wp:posOffset>
                </wp:positionV>
                <wp:extent cx="6445885" cy="624205"/>
                <wp:effectExtent l="0" t="0" r="0" b="4445"/>
                <wp:wrapThrough wrapText="bothSides">
                  <wp:wrapPolygon edited="0">
                    <wp:start x="0" y="0"/>
                    <wp:lineTo x="0" y="21095"/>
                    <wp:lineTo x="21513" y="21095"/>
                    <wp:lineTo x="21513"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624205"/>
                        </a:xfrm>
                        <a:prstGeom prst="rect">
                          <a:avLst/>
                        </a:prstGeom>
                        <a:solidFill>
                          <a:srgbClr val="FFFFFF"/>
                        </a:solidFill>
                        <a:ln w="9525">
                          <a:noFill/>
                          <a:miter lim="800000"/>
                          <a:headEnd/>
                          <a:tailEnd/>
                        </a:ln>
                      </wps:spPr>
                      <wps:txbx>
                        <w:txbxContent>
                          <w:p w14:paraId="477EC2C9" w14:textId="71142DE8" w:rsidR="005A6337" w:rsidRDefault="0012422F" w:rsidP="005A6337">
                            <w:pPr>
                              <w:rPr>
                                <w:sz w:val="14"/>
                                <w:szCs w:val="14"/>
                              </w:rPr>
                            </w:pP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sidR="005337B8">
                              <w:rPr>
                                <w:sz w:val="14"/>
                                <w:szCs w:val="14"/>
                              </w:rPr>
                              <w:t>.</w:t>
                            </w:r>
                          </w:p>
                          <w:p w14:paraId="78A4FBE4" w14:textId="1E54732A" w:rsidR="005337B8" w:rsidRDefault="005337B8" w:rsidP="005A6337">
                            <w:pPr>
                              <w:rPr>
                                <w:sz w:val="14"/>
                                <w:szCs w:val="14"/>
                              </w:rPr>
                            </w:pPr>
                            <w:r>
                              <w:rPr>
                                <w:sz w:val="14"/>
                                <w:szCs w:val="14"/>
                              </w:rPr>
                              <w:t>Numerator source: MA Violent Death Reporting System, MA Department of Public Health</w:t>
                            </w:r>
                            <w:r w:rsidR="0010631D">
                              <w:rPr>
                                <w:sz w:val="14"/>
                                <w:szCs w:val="14"/>
                              </w:rPr>
                              <w:t>, 2016-2019</w:t>
                            </w:r>
                          </w:p>
                          <w:p w14:paraId="0392968A" w14:textId="28D2D6D2" w:rsidR="005337B8" w:rsidRPr="0012422F" w:rsidRDefault="005337B8" w:rsidP="005A6337">
                            <w:pPr>
                              <w:rPr>
                                <w:sz w:val="14"/>
                                <w:szCs w:val="14"/>
                              </w:rPr>
                            </w:pPr>
                            <w:r>
                              <w:rPr>
                                <w:sz w:val="14"/>
                                <w:szCs w:val="14"/>
                              </w:rPr>
                              <w:t>Denominator source: American Community Survey</w:t>
                            </w:r>
                            <w:r w:rsidR="0010631D">
                              <w:rPr>
                                <w:sz w:val="14"/>
                                <w:szCs w:val="14"/>
                              </w:rPr>
                              <w:t>,</w:t>
                            </w:r>
                            <w:r>
                              <w:rPr>
                                <w:sz w:val="14"/>
                                <w:szCs w:val="14"/>
                              </w:rPr>
                              <w:t xml:space="preserve"> 2016-2019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18FEE8" id="_x0000_s1033" type="#_x0000_t202" style="position:absolute;margin-left:24.55pt;margin-top:303.65pt;width:507.55pt;height:49.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" stroked="f">
                <v:textbox>
                  <w:txbxContent>
                    <w:p w14:paraId="477EC2C9" w14:textId="71142DE8" w:rsidR="005A6337" w:rsidRDefault="0012422F" w:rsidP="005A6337">
                      <w:pPr>
                        <w:rPr>
                          <w:sz w:val="14"/>
                          <w:szCs w:val="14"/>
                        </w:rPr>
                      </w:pP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sidR="005337B8">
                        <w:rPr>
                          <w:sz w:val="14"/>
                          <w:szCs w:val="14"/>
                        </w:rPr>
                        <w:t>.</w:t>
                      </w:r>
                    </w:p>
                    <w:p w14:paraId="78A4FBE4" w14:textId="1E54732A" w:rsidR="005337B8" w:rsidRDefault="005337B8" w:rsidP="005A6337">
                      <w:pPr>
                        <w:rPr>
                          <w:sz w:val="14"/>
                          <w:szCs w:val="14"/>
                        </w:rPr>
                      </w:pPr>
                      <w:r>
                        <w:rPr>
                          <w:sz w:val="14"/>
                          <w:szCs w:val="14"/>
                        </w:rPr>
                        <w:t>Numerator source: MA Violent Death Reporting System, MA Department of Public Health</w:t>
                      </w:r>
                      <w:r w:rsidR="0010631D">
                        <w:rPr>
                          <w:sz w:val="14"/>
                          <w:szCs w:val="14"/>
                        </w:rPr>
                        <w:t>, 2016-2019</w:t>
                      </w:r>
                    </w:p>
                    <w:p w14:paraId="0392968A" w14:textId="28D2D6D2" w:rsidR="005337B8" w:rsidRPr="0012422F" w:rsidRDefault="005337B8" w:rsidP="005A6337">
                      <w:pPr>
                        <w:rPr>
                          <w:sz w:val="14"/>
                          <w:szCs w:val="14"/>
                        </w:rPr>
                      </w:pPr>
                      <w:r>
                        <w:rPr>
                          <w:sz w:val="14"/>
                          <w:szCs w:val="14"/>
                        </w:rPr>
                        <w:t>Denominator source: American Community Survey</w:t>
                      </w:r>
                      <w:r w:rsidR="0010631D">
                        <w:rPr>
                          <w:sz w:val="14"/>
                          <w:szCs w:val="14"/>
                        </w:rPr>
                        <w:t>,</w:t>
                      </w:r>
                      <w:r>
                        <w:rPr>
                          <w:sz w:val="14"/>
                          <w:szCs w:val="14"/>
                        </w:rPr>
                        <w:t xml:space="preserve"> 2016-2019</w:t>
                      </w:r>
                    </w:p>
                  </w:txbxContent>
                </v:textbox>
                <w10:wrap type="through"/>
              </v:shape>
            </w:pict>
          </mc:Fallback>
        </mc:AlternateContent>
      </w:r>
      <w:r>
        <w:rPr>
          <w:noProof/>
        </w:rPr>
        <w:drawing>
          <wp:anchor distT="0" distB="0" distL="114300" distR="114300" simplePos="0" relativeHeight="251662848" behindDoc="0" locked="0" layoutInCell="1" allowOverlap="1" wp14:anchorId="15EDE7D2" wp14:editId="39AB7CE5">
            <wp:simplePos x="0" y="0"/>
            <wp:positionH relativeFrom="margin">
              <wp:align>right</wp:align>
            </wp:positionH>
            <wp:positionV relativeFrom="paragraph">
              <wp:posOffset>205105</wp:posOffset>
            </wp:positionV>
            <wp:extent cx="6833870" cy="3625215"/>
            <wp:effectExtent l="0" t="0" r="5080" b="0"/>
            <wp:wrapThrough wrapText="bothSides">
              <wp:wrapPolygon edited="0">
                <wp:start x="0" y="0"/>
                <wp:lineTo x="0" y="21452"/>
                <wp:lineTo x="21556" y="21452"/>
                <wp:lineTo x="21556" y="0"/>
                <wp:lineTo x="0" y="0"/>
              </wp:wrapPolygon>
            </wp:wrapThrough>
            <wp:docPr id="9" name="Chart 9">
              <a:extLst xmlns:a="http://schemas.openxmlformats.org/drawingml/2006/main">
                <a:ext uri="{FF2B5EF4-FFF2-40B4-BE49-F238E27FC236}">
                  <a16:creationId xmlns:a16="http://schemas.microsoft.com/office/drawing/2014/main" id="{EBF71DFD-A188-42BA-9932-5463740BFE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4F3102B" w14:textId="66F55F2B" w:rsidR="00945C6B" w:rsidRDefault="00945C6B" w:rsidP="00945C6B">
      <w:pPr>
        <w:pStyle w:val="ListParagraph"/>
        <w:numPr>
          <w:ilvl w:val="0"/>
          <w:numId w:val="7"/>
        </w:numPr>
        <w:rPr>
          <w:bCs/>
        </w:rPr>
      </w:pPr>
      <w:r w:rsidRPr="00822B1D">
        <w:rPr>
          <w:bCs/>
        </w:rPr>
        <w:t xml:space="preserve">The average suicide rate for all Massachusetts workers across all </w:t>
      </w:r>
      <w:r>
        <w:rPr>
          <w:bCs/>
        </w:rPr>
        <w:t>occupation</w:t>
      </w:r>
      <w:r w:rsidRPr="00822B1D">
        <w:rPr>
          <w:bCs/>
        </w:rPr>
        <w:t xml:space="preserve"> </w:t>
      </w:r>
      <w:r>
        <w:rPr>
          <w:bCs/>
        </w:rPr>
        <w:t>groups</w:t>
      </w:r>
      <w:r w:rsidRPr="00822B1D">
        <w:rPr>
          <w:bCs/>
        </w:rPr>
        <w:t xml:space="preserve"> was </w:t>
      </w:r>
      <w:r w:rsidR="00F43F12">
        <w:rPr>
          <w:bCs/>
        </w:rPr>
        <w:t>15.0</w:t>
      </w:r>
      <w:r w:rsidR="008154BD">
        <w:rPr>
          <w:bCs/>
        </w:rPr>
        <w:t xml:space="preserve"> deaths</w:t>
      </w:r>
      <w:r w:rsidRPr="00822B1D">
        <w:rPr>
          <w:bCs/>
        </w:rPr>
        <w:t xml:space="preserve"> per 100,000 workers.</w:t>
      </w:r>
    </w:p>
    <w:p w14:paraId="671D8AAE" w14:textId="6E50D19B" w:rsidR="00945C6B" w:rsidRPr="00822B1D" w:rsidRDefault="00945C6B" w:rsidP="00945C6B">
      <w:pPr>
        <w:pStyle w:val="ListParagraph"/>
        <w:numPr>
          <w:ilvl w:val="0"/>
          <w:numId w:val="7"/>
        </w:numPr>
        <w:rPr>
          <w:bCs/>
        </w:rPr>
      </w:pPr>
      <w:r>
        <w:rPr>
          <w:bCs/>
        </w:rPr>
        <w:t>The Construction and Extraction occupation</w:t>
      </w:r>
      <w:r w:rsidR="004361AB">
        <w:rPr>
          <w:bCs/>
        </w:rPr>
        <w:t>s</w:t>
      </w:r>
      <w:r>
        <w:rPr>
          <w:bCs/>
        </w:rPr>
        <w:t xml:space="preserve"> had the </w:t>
      </w:r>
      <w:r w:rsidR="008B1D34">
        <w:rPr>
          <w:bCs/>
        </w:rPr>
        <w:t>highest rate of suicides (</w:t>
      </w:r>
      <w:r w:rsidR="00F43F12">
        <w:rPr>
          <w:bCs/>
        </w:rPr>
        <w:t>49.2</w:t>
      </w:r>
      <w:r w:rsidR="008B1D34">
        <w:rPr>
          <w:bCs/>
        </w:rPr>
        <w:t xml:space="preserve"> deaths/100,000 workers) and the </w:t>
      </w:r>
      <w:r>
        <w:rPr>
          <w:bCs/>
        </w:rPr>
        <w:t>highest number of suicides (n=316)</w:t>
      </w:r>
      <w:r w:rsidR="008B1D34">
        <w:rPr>
          <w:bCs/>
        </w:rPr>
        <w:t>.</w:t>
      </w:r>
    </w:p>
    <w:p w14:paraId="735E1D5C" w14:textId="09585F5D" w:rsidR="00945C6B" w:rsidRPr="00822B1D" w:rsidRDefault="00945C6B" w:rsidP="00945C6B">
      <w:pPr>
        <w:pStyle w:val="ListParagraph"/>
        <w:numPr>
          <w:ilvl w:val="0"/>
          <w:numId w:val="7"/>
        </w:numPr>
        <w:rPr>
          <w:bCs/>
        </w:rPr>
      </w:pPr>
      <w:r w:rsidRPr="00822B1D">
        <w:rPr>
          <w:bCs/>
        </w:rPr>
        <w:t xml:space="preserve">The following </w:t>
      </w:r>
      <w:r>
        <w:rPr>
          <w:bCs/>
        </w:rPr>
        <w:t>occupation groups</w:t>
      </w:r>
      <w:r w:rsidRPr="00822B1D">
        <w:rPr>
          <w:bCs/>
        </w:rPr>
        <w:t xml:space="preserve"> had suicide rates </w:t>
      </w:r>
      <w:r w:rsidR="004D2A1C">
        <w:rPr>
          <w:bCs/>
        </w:rPr>
        <w:t xml:space="preserve">statistically </w:t>
      </w:r>
      <w:r w:rsidRPr="00822B1D">
        <w:rPr>
          <w:bCs/>
        </w:rPr>
        <w:t xml:space="preserve">significantly higher than the average rate for all workers: </w:t>
      </w:r>
    </w:p>
    <w:p w14:paraId="376C61E8" w14:textId="2D86111C" w:rsidR="00945C6B" w:rsidRDefault="000A1478" w:rsidP="00945C6B">
      <w:pPr>
        <w:pStyle w:val="ListParagraph"/>
        <w:numPr>
          <w:ilvl w:val="1"/>
          <w:numId w:val="7"/>
        </w:numPr>
        <w:rPr>
          <w:bCs/>
        </w:rPr>
      </w:pPr>
      <w:r>
        <w:rPr>
          <w:bCs/>
        </w:rPr>
        <w:t>Construction and Extraction (</w:t>
      </w:r>
      <w:r w:rsidR="00F43F12">
        <w:rPr>
          <w:bCs/>
        </w:rPr>
        <w:t>49.2</w:t>
      </w:r>
      <w:r w:rsidR="00A927A1">
        <w:rPr>
          <w:bCs/>
        </w:rPr>
        <w:t xml:space="preserve"> deaths</w:t>
      </w:r>
      <w:r>
        <w:rPr>
          <w:bCs/>
        </w:rPr>
        <w:t>/100,000</w:t>
      </w:r>
      <w:r w:rsidR="00A927A1">
        <w:rPr>
          <w:bCs/>
        </w:rPr>
        <w:t xml:space="preserve"> workers</w:t>
      </w:r>
      <w:r>
        <w:rPr>
          <w:bCs/>
        </w:rPr>
        <w:t>)</w:t>
      </w:r>
    </w:p>
    <w:p w14:paraId="0CE28B19" w14:textId="0B4B24EF" w:rsidR="000A1478" w:rsidRPr="004B5E31" w:rsidRDefault="000A1478" w:rsidP="004B5E31">
      <w:pPr>
        <w:pStyle w:val="ListParagraph"/>
        <w:numPr>
          <w:ilvl w:val="1"/>
          <w:numId w:val="7"/>
        </w:numPr>
        <w:rPr>
          <w:bCs/>
        </w:rPr>
      </w:pPr>
      <w:r>
        <w:rPr>
          <w:bCs/>
        </w:rPr>
        <w:t>Installation, Maintenance, Repair (</w:t>
      </w:r>
      <w:r w:rsidR="00F43F12">
        <w:rPr>
          <w:bCs/>
        </w:rPr>
        <w:t>37.6</w:t>
      </w:r>
      <w:r>
        <w:rPr>
          <w:bCs/>
        </w:rPr>
        <w:t>)</w:t>
      </w:r>
    </w:p>
    <w:p w14:paraId="04DDBE3F" w14:textId="5CD49C6B" w:rsidR="000A1478" w:rsidRDefault="000A1478" w:rsidP="00945C6B">
      <w:pPr>
        <w:pStyle w:val="ListParagraph"/>
        <w:numPr>
          <w:ilvl w:val="1"/>
          <w:numId w:val="7"/>
        </w:numPr>
        <w:rPr>
          <w:bCs/>
        </w:rPr>
      </w:pPr>
      <w:r>
        <w:rPr>
          <w:bCs/>
        </w:rPr>
        <w:t>Production (</w:t>
      </w:r>
      <w:r w:rsidR="00F43F12">
        <w:rPr>
          <w:bCs/>
        </w:rPr>
        <w:t>27.9</w:t>
      </w:r>
      <w:r>
        <w:rPr>
          <w:bCs/>
        </w:rPr>
        <w:t>)</w:t>
      </w:r>
    </w:p>
    <w:p w14:paraId="0DBD24E8" w14:textId="6AE62473" w:rsidR="00F863C9" w:rsidRDefault="00F863C9" w:rsidP="00F863C9">
      <w:pPr>
        <w:rPr>
          <w:bCs/>
        </w:rPr>
      </w:pPr>
    </w:p>
    <w:p w14:paraId="1A113AA1" w14:textId="08ECF21D" w:rsidR="00212AB8" w:rsidRDefault="00212AB8">
      <w:pPr>
        <w:rPr>
          <w:bCs/>
        </w:rPr>
      </w:pPr>
      <w:r>
        <w:rPr>
          <w:bCs/>
        </w:rPr>
        <w:br w:type="page"/>
      </w:r>
    </w:p>
    <w:p w14:paraId="5750775E" w14:textId="4352D270" w:rsidR="005A6337" w:rsidRPr="00CA636A" w:rsidRDefault="005A6337" w:rsidP="00CA636A">
      <w:pPr>
        <w:widowControl w:val="0"/>
        <w:rPr>
          <w:rFonts w:ascii="Times New Roman" w:hAnsi="Times New Roman"/>
          <w:b/>
          <w:color w:val="194D80"/>
          <w:sz w:val="28"/>
          <w:szCs w:val="28"/>
        </w:rPr>
      </w:pPr>
    </w:p>
    <w:p w14:paraId="4847B0CD" w14:textId="60DBA3DB" w:rsidR="00C216CD" w:rsidRPr="00C216CD" w:rsidRDefault="00C44121" w:rsidP="00C216CD">
      <w:pPr>
        <w:pStyle w:val="ListParagraph"/>
        <w:widowControl w:val="0"/>
        <w:rPr>
          <w:rFonts w:ascii="Times New Roman" w:hAnsi="Times New Roman"/>
          <w:b/>
          <w:color w:val="194D80"/>
          <w:sz w:val="28"/>
          <w:szCs w:val="28"/>
        </w:rPr>
      </w:pPr>
      <w:r w:rsidRPr="00726C71">
        <w:rPr>
          <w:noProof/>
        </w:rPr>
        <mc:AlternateContent>
          <mc:Choice Requires="wps">
            <w:drawing>
              <wp:anchor distT="0" distB="0" distL="114300" distR="114300" simplePos="0" relativeHeight="251674112" behindDoc="0" locked="0" layoutInCell="1" allowOverlap="1" wp14:anchorId="6529E0F9" wp14:editId="12A89730">
                <wp:simplePos x="0" y="0"/>
                <wp:positionH relativeFrom="column">
                  <wp:posOffset>0</wp:posOffset>
                </wp:positionH>
                <wp:positionV relativeFrom="paragraph">
                  <wp:posOffset>-635</wp:posOffset>
                </wp:positionV>
                <wp:extent cx="6847205" cy="266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26EA6773" w14:textId="17F224EC" w:rsidR="00C44121" w:rsidRPr="005E14F6" w:rsidRDefault="00C44121" w:rsidP="00C44121">
                            <w:pPr>
                              <w:jc w:val="center"/>
                              <w:rPr>
                                <w:b/>
                              </w:rPr>
                            </w:pPr>
                            <w:r>
                              <w:rPr>
                                <w:b/>
                              </w:rPr>
                              <w:t>Suicides by Race/Ethnicity, Sex, and Age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29E0F9" id="_x0000_s1034" type="#_x0000_t202" style="position:absolute;left:0;text-align:left;margin-left:0;margin-top:-.05pt;width:539.1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" fillcolor="#ccc1da" stroked="f">
                <v:textbox>
                  <w:txbxContent>
                    <w:p w14:paraId="26EA6773" w14:textId="17F224EC" w:rsidR="00C44121" w:rsidRPr="005E14F6" w:rsidRDefault="00C44121" w:rsidP="00C44121">
                      <w:pPr>
                        <w:jc w:val="center"/>
                        <w:rPr>
                          <w:b/>
                        </w:rPr>
                      </w:pPr>
                      <w:r>
                        <w:rPr>
                          <w:b/>
                        </w:rPr>
                        <w:t>Suicides by Race/Ethnicity, Sex, and Age Group</w:t>
                      </w:r>
                    </w:p>
                  </w:txbxContent>
                </v:textbox>
              </v:shape>
            </w:pict>
          </mc:Fallback>
        </mc:AlternateContent>
      </w:r>
    </w:p>
    <w:p w14:paraId="39BCF18E" w14:textId="658C5DEF" w:rsidR="00C44121" w:rsidRDefault="00C44121" w:rsidP="00C216CD">
      <w:pPr>
        <w:widowControl w:val="0"/>
        <w:jc w:val="center"/>
        <w:rPr>
          <w:rFonts w:ascii="Times New Roman" w:hAnsi="Times New Roman"/>
          <w:b/>
          <w:color w:val="194D80"/>
          <w:sz w:val="28"/>
          <w:szCs w:val="28"/>
        </w:rPr>
      </w:pPr>
    </w:p>
    <w:p w14:paraId="6D81B7DD" w14:textId="7A7749DA" w:rsidR="00C216CD" w:rsidRPr="00C216CD" w:rsidRDefault="002D09D6" w:rsidP="00C216CD">
      <w:pPr>
        <w:widowControl w:val="0"/>
        <w:jc w:val="center"/>
        <w:rPr>
          <w:rFonts w:ascii="Times New Roman" w:hAnsi="Times New Roman"/>
          <w:b/>
          <w:color w:val="194D80"/>
          <w:sz w:val="28"/>
          <w:szCs w:val="28"/>
        </w:rPr>
      </w:pPr>
      <w:r w:rsidRPr="006665F6">
        <w:rPr>
          <w:b/>
          <w:noProof/>
          <w:color w:val="194D80"/>
          <w:sz w:val="28"/>
          <w:szCs w:val="28"/>
        </w:rPr>
        <mc:AlternateContent>
          <mc:Choice Requires="wps">
            <w:drawing>
              <wp:anchor distT="45720" distB="45720" distL="114300" distR="114300" simplePos="0" relativeHeight="251680256" behindDoc="1" locked="0" layoutInCell="1" allowOverlap="1" wp14:anchorId="79DECB94" wp14:editId="4216A7DF">
                <wp:simplePos x="0" y="0"/>
                <wp:positionH relativeFrom="margin">
                  <wp:align>left</wp:align>
                </wp:positionH>
                <wp:positionV relativeFrom="paragraph">
                  <wp:posOffset>2127162</wp:posOffset>
                </wp:positionV>
                <wp:extent cx="6445885" cy="887240"/>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887240"/>
                        </a:xfrm>
                        <a:prstGeom prst="rect">
                          <a:avLst/>
                        </a:prstGeom>
                        <a:solidFill>
                          <a:srgbClr val="FFFFFF"/>
                        </a:solidFill>
                        <a:ln w="9525">
                          <a:noFill/>
                          <a:miter lim="800000"/>
                          <a:headEnd/>
                          <a:tailEnd/>
                        </a:ln>
                      </wps:spPr>
                      <wps:txbx>
                        <w:txbxContent>
                          <w:p w14:paraId="52D8C10A" w14:textId="77777777" w:rsidR="00B526A9" w:rsidRDefault="00DF6715" w:rsidP="00DF6715">
                            <w:pPr>
                              <w:rPr>
                                <w:sz w:val="14"/>
                                <w:szCs w:val="14"/>
                              </w:rPr>
                            </w:pPr>
                            <w:r w:rsidRPr="0012422F">
                              <w:rPr>
                                <w:sz w:val="14"/>
                                <w:szCs w:val="14"/>
                              </w:rPr>
                              <w:t>*This category excluded 12 suicides among those working in the military or military specific occupations due to lack of denominator information</w:t>
                            </w:r>
                          </w:p>
                          <w:p w14:paraId="0C084DB9" w14:textId="62528867" w:rsidR="00DF6715" w:rsidRDefault="00B526A9" w:rsidP="00DF6715">
                            <w:pPr>
                              <w:rPr>
                                <w:sz w:val="14"/>
                                <w:szCs w:val="14"/>
                              </w:rPr>
                            </w:pPr>
                            <w:r>
                              <w:rPr>
                                <w:sz w:val="14"/>
                                <w:szCs w:val="14"/>
                              </w:rPr>
                              <w:t>**This category excluded 8 suicides among those working in the military or military specific occupations due to lack of denominator information</w:t>
                            </w:r>
                            <w:r w:rsidR="00DF6715" w:rsidRPr="0012422F">
                              <w:rPr>
                                <w:sz w:val="14"/>
                                <w:szCs w:val="14"/>
                              </w:rPr>
                              <w:t xml:space="preserve"> and 1</w:t>
                            </w:r>
                            <w:r>
                              <w:rPr>
                                <w:sz w:val="14"/>
                                <w:szCs w:val="14"/>
                              </w:rPr>
                              <w:t>1</w:t>
                            </w:r>
                            <w:r w:rsidR="00DF6715" w:rsidRPr="0012422F">
                              <w:rPr>
                                <w:sz w:val="14"/>
                                <w:szCs w:val="14"/>
                              </w:rPr>
                              <w:t xml:space="preserve"> suicides because the death certificates did not contain enough information to code occupation</w:t>
                            </w:r>
                          </w:p>
                          <w:p w14:paraId="1347B335" w14:textId="1F16547B" w:rsidR="00B526A9" w:rsidRDefault="00B526A9" w:rsidP="00DF6715">
                            <w:pPr>
                              <w:rPr>
                                <w:sz w:val="14"/>
                                <w:szCs w:val="14"/>
                              </w:rPr>
                            </w:pPr>
                            <w:r>
                              <w:rPr>
                                <w:sz w:val="14"/>
                                <w:szCs w:val="14"/>
                              </w:rPr>
                              <w:t>***This category excluded 3 suicides among those working in the military or military specific occupations due to lack of denominator information</w:t>
                            </w:r>
                          </w:p>
                          <w:p w14:paraId="36B3AB1B" w14:textId="27928427" w:rsidR="00FF2180" w:rsidRDefault="00FF2180" w:rsidP="00DF6715">
                            <w:pPr>
                              <w:rPr>
                                <w:sz w:val="14"/>
                                <w:szCs w:val="14"/>
                              </w:rPr>
                            </w:pPr>
                            <w:r>
                              <w:rPr>
                                <w:sz w:val="14"/>
                                <w:szCs w:val="14"/>
                              </w:rPr>
                              <w:t>†Other racial and ethnic groups are not included here due to a low number of suicides in the examined time period</w:t>
                            </w:r>
                          </w:p>
                          <w:p w14:paraId="359A7B6A" w14:textId="7319644F" w:rsidR="00DF6715" w:rsidRDefault="00DF6715" w:rsidP="00DF6715">
                            <w:pPr>
                              <w:rPr>
                                <w:sz w:val="14"/>
                                <w:szCs w:val="14"/>
                              </w:rPr>
                            </w:pPr>
                            <w:r>
                              <w:rPr>
                                <w:sz w:val="14"/>
                                <w:szCs w:val="14"/>
                              </w:rPr>
                              <w:t>Numerator source: MA Violent Death Reporting System, MA Department of Public Health</w:t>
                            </w:r>
                            <w:r w:rsidR="00526880">
                              <w:rPr>
                                <w:sz w:val="14"/>
                                <w:szCs w:val="14"/>
                              </w:rPr>
                              <w:t>,</w:t>
                            </w:r>
                            <w:r w:rsidR="00B526A9">
                              <w:rPr>
                                <w:sz w:val="14"/>
                                <w:szCs w:val="14"/>
                              </w:rPr>
                              <w:t xml:space="preserve"> 2016-2019</w:t>
                            </w:r>
                          </w:p>
                          <w:p w14:paraId="027D56BF" w14:textId="12DAAB5C" w:rsidR="00DF6715" w:rsidRDefault="00DF6715" w:rsidP="00DF6715">
                            <w:pPr>
                              <w:rPr>
                                <w:sz w:val="14"/>
                                <w:szCs w:val="14"/>
                              </w:rPr>
                            </w:pPr>
                            <w:r>
                              <w:rPr>
                                <w:sz w:val="14"/>
                                <w:szCs w:val="14"/>
                              </w:rPr>
                              <w:t>Denominator source: American Community Survey</w:t>
                            </w:r>
                            <w:r w:rsidR="00526880">
                              <w:rPr>
                                <w:sz w:val="14"/>
                                <w:szCs w:val="14"/>
                              </w:rPr>
                              <w:t>,</w:t>
                            </w:r>
                            <w:r>
                              <w:rPr>
                                <w:sz w:val="14"/>
                                <w:szCs w:val="14"/>
                              </w:rPr>
                              <w:t xml:space="preserve"> 2016-2019</w:t>
                            </w:r>
                          </w:p>
                          <w:p w14:paraId="69ECA4D0" w14:textId="4108FB73" w:rsidR="003A08A7" w:rsidRPr="0012422F" w:rsidRDefault="003A08A7" w:rsidP="00DF6715">
                            <w:pPr>
                              <w:rPr>
                                <w:sz w:val="14"/>
                                <w:szCs w:val="14"/>
                              </w:rPr>
                            </w:pPr>
                            <w:r>
                              <w:rPr>
                                <w:sz w:val="14"/>
                                <w:szCs w:val="14"/>
                              </w:rPr>
                              <w:br/>
                            </w:r>
                            <w:r>
                              <w:rPr>
                                <w:sz w:val="14"/>
                                <w:szCs w:val="1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DECB94" id="_x0000_s1035" type="#_x0000_t202" style="position:absolute;left:0;text-align:left;margin-left:0;margin-top:167.5pt;width:507.55pt;height:69.85pt;z-index:-251636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" stroked="f">
                <v:textbox>
                  <w:txbxContent>
                    <w:p w14:paraId="52D8C10A" w14:textId="77777777" w:rsidR="00B526A9" w:rsidRDefault="00DF6715" w:rsidP="00DF6715">
                      <w:pPr>
                        <w:rPr>
                          <w:sz w:val="14"/>
                          <w:szCs w:val="14"/>
                        </w:rPr>
                      </w:pPr>
                      <w:r w:rsidRPr="0012422F">
                        <w:rPr>
                          <w:sz w:val="14"/>
                          <w:szCs w:val="14"/>
                        </w:rPr>
                        <w:t>*This category excluded 12 suicides among those working in the military or military specific occupations due to lack of denominator information</w:t>
                      </w:r>
                    </w:p>
                    <w:p w14:paraId="0C084DB9" w14:textId="62528867" w:rsidR="00DF6715" w:rsidRDefault="00B526A9" w:rsidP="00DF6715">
                      <w:pPr>
                        <w:rPr>
                          <w:sz w:val="14"/>
                          <w:szCs w:val="14"/>
                        </w:rPr>
                      </w:pPr>
                      <w:r>
                        <w:rPr>
                          <w:sz w:val="14"/>
                          <w:szCs w:val="14"/>
                        </w:rPr>
                        <w:t>**This category excluded 8 suicides among those working in the military or military specific occupations due to lack of denominator information</w:t>
                      </w:r>
                      <w:r w:rsidR="00DF6715" w:rsidRPr="0012422F">
                        <w:rPr>
                          <w:sz w:val="14"/>
                          <w:szCs w:val="14"/>
                        </w:rPr>
                        <w:t xml:space="preserve"> and 1</w:t>
                      </w:r>
                      <w:r>
                        <w:rPr>
                          <w:sz w:val="14"/>
                          <w:szCs w:val="14"/>
                        </w:rPr>
                        <w:t>1</w:t>
                      </w:r>
                      <w:r w:rsidR="00DF6715" w:rsidRPr="0012422F">
                        <w:rPr>
                          <w:sz w:val="14"/>
                          <w:szCs w:val="14"/>
                        </w:rPr>
                        <w:t xml:space="preserve"> suicides because the death certificates did not contain enough information to code occupation</w:t>
                      </w:r>
                    </w:p>
                    <w:p w14:paraId="1347B335" w14:textId="1F16547B" w:rsidR="00B526A9" w:rsidRDefault="00B526A9" w:rsidP="00DF6715">
                      <w:pPr>
                        <w:rPr>
                          <w:sz w:val="14"/>
                          <w:szCs w:val="14"/>
                        </w:rPr>
                      </w:pPr>
                      <w:r>
                        <w:rPr>
                          <w:sz w:val="14"/>
                          <w:szCs w:val="14"/>
                        </w:rPr>
                        <w:t>***This category excluded 3 suicides among those working in the military or military specific occupations due to lack of denominator information</w:t>
                      </w:r>
                    </w:p>
                    <w:p w14:paraId="36B3AB1B" w14:textId="27928427" w:rsidR="00FF2180" w:rsidRDefault="00FF2180" w:rsidP="00DF6715">
                      <w:pPr>
                        <w:rPr>
                          <w:sz w:val="14"/>
                          <w:szCs w:val="14"/>
                        </w:rPr>
                      </w:pPr>
                      <w:r>
                        <w:rPr>
                          <w:sz w:val="14"/>
                          <w:szCs w:val="14"/>
                        </w:rPr>
                        <w:t>†Other racial and ethnic groups are not included here due to a low number of suicides in the examined time period</w:t>
                      </w:r>
                    </w:p>
                    <w:p w14:paraId="359A7B6A" w14:textId="7319644F" w:rsidR="00DF6715" w:rsidRDefault="00DF6715" w:rsidP="00DF6715">
                      <w:pPr>
                        <w:rPr>
                          <w:sz w:val="14"/>
                          <w:szCs w:val="14"/>
                        </w:rPr>
                      </w:pPr>
                      <w:r>
                        <w:rPr>
                          <w:sz w:val="14"/>
                          <w:szCs w:val="14"/>
                        </w:rPr>
                        <w:t>Numerator source: MA Violent Death Reporting System, MA Department of Public Health</w:t>
                      </w:r>
                      <w:r w:rsidR="00526880">
                        <w:rPr>
                          <w:sz w:val="14"/>
                          <w:szCs w:val="14"/>
                        </w:rPr>
                        <w:t>,</w:t>
                      </w:r>
                      <w:r w:rsidR="00B526A9">
                        <w:rPr>
                          <w:sz w:val="14"/>
                          <w:szCs w:val="14"/>
                        </w:rPr>
                        <w:t xml:space="preserve"> 2016-2019</w:t>
                      </w:r>
                    </w:p>
                    <w:p w14:paraId="027D56BF" w14:textId="12DAAB5C" w:rsidR="00DF6715" w:rsidRDefault="00DF6715" w:rsidP="00DF6715">
                      <w:pPr>
                        <w:rPr>
                          <w:sz w:val="14"/>
                          <w:szCs w:val="14"/>
                        </w:rPr>
                      </w:pPr>
                      <w:r>
                        <w:rPr>
                          <w:sz w:val="14"/>
                          <w:szCs w:val="14"/>
                        </w:rPr>
                        <w:t>Denominator source: American Community Survey</w:t>
                      </w:r>
                      <w:r w:rsidR="00526880">
                        <w:rPr>
                          <w:sz w:val="14"/>
                          <w:szCs w:val="14"/>
                        </w:rPr>
                        <w:t>,</w:t>
                      </w:r>
                      <w:r>
                        <w:rPr>
                          <w:sz w:val="14"/>
                          <w:szCs w:val="14"/>
                        </w:rPr>
                        <w:t xml:space="preserve"> 2016-2019</w:t>
                      </w:r>
                    </w:p>
                    <w:p w14:paraId="69ECA4D0" w14:textId="4108FB73" w:rsidR="003A08A7" w:rsidRPr="0012422F" w:rsidRDefault="003A08A7" w:rsidP="00DF6715">
                      <w:pPr>
                        <w:rPr>
                          <w:sz w:val="14"/>
                          <w:szCs w:val="14"/>
                        </w:rPr>
                      </w:pPr>
                      <w:r>
                        <w:rPr>
                          <w:sz w:val="14"/>
                          <w:szCs w:val="14"/>
                        </w:rPr>
                        <w:br/>
                      </w:r>
                      <w:r>
                        <w:rPr>
                          <w:sz w:val="14"/>
                          <w:szCs w:val="14"/>
                        </w:rPr>
                        <w:br/>
                      </w:r>
                    </w:p>
                  </w:txbxContent>
                </v:textbox>
                <w10:wrap anchorx="margin"/>
              </v:shape>
            </w:pict>
          </mc:Fallback>
        </mc:AlternateContent>
      </w:r>
      <w:r w:rsidR="00C216CD">
        <w:rPr>
          <w:noProof/>
        </w:rPr>
        <w:drawing>
          <wp:inline distT="0" distB="0" distL="0" distR="0" wp14:anchorId="59DCD346" wp14:editId="1A3313DC">
            <wp:extent cx="5965908" cy="2194560"/>
            <wp:effectExtent l="0" t="0" r="0" b="0"/>
            <wp:docPr id="12" name="Chart 12">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24782D" w14:textId="30BA69BD" w:rsidR="00C216CD" w:rsidRPr="00374F12" w:rsidRDefault="00C216CD" w:rsidP="00374F12">
      <w:pPr>
        <w:widowControl w:val="0"/>
        <w:rPr>
          <w:bCs/>
        </w:rPr>
      </w:pPr>
    </w:p>
    <w:p w14:paraId="52D1FE65" w14:textId="1A2EA8D3" w:rsidR="00C216CD" w:rsidRDefault="00C216CD" w:rsidP="00E96AC1">
      <w:pPr>
        <w:widowControl w:val="0"/>
        <w:jc w:val="center"/>
        <w:rPr>
          <w:bCs/>
        </w:rPr>
      </w:pPr>
    </w:p>
    <w:p w14:paraId="537566E1" w14:textId="58185756" w:rsidR="00C216CD" w:rsidRDefault="00C216CD" w:rsidP="00C216CD">
      <w:pPr>
        <w:widowControl w:val="0"/>
        <w:rPr>
          <w:bCs/>
        </w:rPr>
      </w:pPr>
    </w:p>
    <w:p w14:paraId="1D9A87A3" w14:textId="08FF8121" w:rsidR="00B3353C" w:rsidRDefault="00B3353C" w:rsidP="00C216CD">
      <w:pPr>
        <w:widowControl w:val="0"/>
        <w:rPr>
          <w:rFonts w:ascii="Times New Roman" w:hAnsi="Times New Roman" w:cs="Times New Roman"/>
          <w:sz w:val="22"/>
          <w:szCs w:val="22"/>
        </w:rPr>
      </w:pPr>
      <w:r>
        <w:fldChar w:fldCharType="begin"/>
      </w:r>
      <w:r>
        <w:instrText xml:space="preserve"> LINK Excel.Sheet.12 "C:\\Users\\MiReid\\Documents\\Suicide Prevention\\Suicide Prevention Tables_2016-2019.xlsx" "T4. Gender top 5 occupations!R1C1:R10C12" \a \f 4 \h  \* MERGEFORMAT </w:instrText>
      </w:r>
      <w:r>
        <w:fldChar w:fldCharType="separate"/>
      </w:r>
    </w:p>
    <w:p w14:paraId="3FBC7416" w14:textId="77777777" w:rsidR="003A08A7" w:rsidRPr="003A08A7" w:rsidRDefault="00B3353C" w:rsidP="003A08A7">
      <w:pPr>
        <w:pStyle w:val="ListParagraph"/>
        <w:rPr>
          <w:sz w:val="12"/>
          <w:szCs w:val="12"/>
        </w:rPr>
      </w:pPr>
      <w:r>
        <w:fldChar w:fldCharType="end"/>
      </w:r>
    </w:p>
    <w:p w14:paraId="0E1CFBE6" w14:textId="77777777" w:rsidR="00FF2180" w:rsidRDefault="00FF2180" w:rsidP="00FF2180">
      <w:pPr>
        <w:pStyle w:val="ListParagraph"/>
      </w:pPr>
    </w:p>
    <w:p w14:paraId="405BA23C" w14:textId="162C9842" w:rsidR="00605184" w:rsidRDefault="00605184" w:rsidP="002D09D6">
      <w:pPr>
        <w:pStyle w:val="ListParagraph"/>
        <w:numPr>
          <w:ilvl w:val="0"/>
          <w:numId w:val="11"/>
        </w:numPr>
      </w:pPr>
      <w:r>
        <w:t xml:space="preserve">Compared to the </w:t>
      </w:r>
      <w:r w:rsidRPr="00822B1D">
        <w:t xml:space="preserve">average suicide rate for all Massachusetts workers across all </w:t>
      </w:r>
      <w:r>
        <w:t>occupation</w:t>
      </w:r>
      <w:r w:rsidRPr="00822B1D">
        <w:t xml:space="preserve"> </w:t>
      </w:r>
      <w:r>
        <w:t>groups</w:t>
      </w:r>
      <w:r w:rsidR="002D09D6">
        <w:t xml:space="preserve"> and all other racial/ethnic groups</w:t>
      </w:r>
      <w:r>
        <w:t xml:space="preserve">, White, non-Hispanics had the </w:t>
      </w:r>
      <w:r w:rsidR="008B1D34">
        <w:t>highest suicide rate (</w:t>
      </w:r>
      <w:r w:rsidR="00EE6574">
        <w:t>17.9</w:t>
      </w:r>
      <w:r w:rsidR="008B1D34">
        <w:t xml:space="preserve"> deaths/100,000 workers) and the </w:t>
      </w:r>
      <w:r>
        <w:t>highest</w:t>
      </w:r>
      <w:r w:rsidR="00374F12">
        <w:t xml:space="preserve"> number of suicides (n=1,923)</w:t>
      </w:r>
      <w:r w:rsidR="008B1D34">
        <w:t>.</w:t>
      </w:r>
    </w:p>
    <w:p w14:paraId="190951D7" w14:textId="6783FC72" w:rsidR="00DF6715" w:rsidRDefault="00374F12" w:rsidP="00B526A9">
      <w:pPr>
        <w:pStyle w:val="ListParagraph"/>
        <w:widowControl w:val="0"/>
        <w:numPr>
          <w:ilvl w:val="0"/>
          <w:numId w:val="11"/>
        </w:numPr>
        <w:rPr>
          <w:bCs/>
        </w:rPr>
      </w:pPr>
      <w:r>
        <w:rPr>
          <w:bCs/>
        </w:rPr>
        <w:t xml:space="preserve">Hispanic workers had the lowest suicide rate compared </w:t>
      </w:r>
      <w:r w:rsidR="004214D2">
        <w:rPr>
          <w:bCs/>
        </w:rPr>
        <w:t>all other racial/ethnic groups (</w:t>
      </w:r>
      <w:r w:rsidR="00EE6574">
        <w:rPr>
          <w:bCs/>
        </w:rPr>
        <w:t>9.8</w:t>
      </w:r>
      <w:r w:rsidR="00A927A1">
        <w:rPr>
          <w:bCs/>
        </w:rPr>
        <w:t xml:space="preserve"> deaths</w:t>
      </w:r>
      <w:r w:rsidR="004214D2">
        <w:rPr>
          <w:bCs/>
        </w:rPr>
        <w:t>/100,000 workers), followed by Black, non-Hispanic (</w:t>
      </w:r>
      <w:r w:rsidR="00EE6574">
        <w:rPr>
          <w:bCs/>
        </w:rPr>
        <w:t>7.8</w:t>
      </w:r>
      <w:r w:rsidR="00A927A1">
        <w:rPr>
          <w:bCs/>
        </w:rPr>
        <w:t xml:space="preserve"> deaths</w:t>
      </w:r>
      <w:r w:rsidR="004214D2">
        <w:rPr>
          <w:bCs/>
        </w:rPr>
        <w:t>/100,000 workers) – both</w:t>
      </w:r>
      <w:r w:rsidR="006F75FB">
        <w:rPr>
          <w:bCs/>
        </w:rPr>
        <w:t xml:space="preserve"> of</w:t>
      </w:r>
      <w:r w:rsidR="004214D2">
        <w:rPr>
          <w:bCs/>
        </w:rPr>
        <w:t xml:space="preserve"> which are lower than the average suicide rate for all Massachusetts workers.</w:t>
      </w:r>
    </w:p>
    <w:p w14:paraId="45107FA0" w14:textId="751643DA" w:rsidR="0008551B" w:rsidRPr="0008551B" w:rsidRDefault="0019591F" w:rsidP="008F1910">
      <w:pPr>
        <w:pStyle w:val="ListParagraph"/>
        <w:widowControl w:val="0"/>
        <w:numPr>
          <w:ilvl w:val="0"/>
          <w:numId w:val="11"/>
        </w:numPr>
        <w:rPr>
          <w:rFonts w:ascii="Times New Roman" w:hAnsi="Times New Roman" w:cs="Times New Roman"/>
          <w:sz w:val="22"/>
          <w:szCs w:val="22"/>
        </w:rPr>
      </w:pPr>
      <w:r>
        <w:rPr>
          <w:bCs/>
        </w:rPr>
        <w:t>Due to the low number of suicides in other racial and ethnic groups in the examined time period, i</w:t>
      </w:r>
      <w:r w:rsidR="00A927A1" w:rsidRPr="0008551B">
        <w:rPr>
          <w:bCs/>
        </w:rPr>
        <w:t xml:space="preserve">t was not possible to generate detailed findings about the rates of suicides </w:t>
      </w:r>
      <w:r>
        <w:rPr>
          <w:bCs/>
        </w:rPr>
        <w:t xml:space="preserve">in other groups.  </w:t>
      </w:r>
      <w:r w:rsidR="00A927A1" w:rsidRPr="0008551B">
        <w:rPr>
          <w:bCs/>
        </w:rPr>
        <w:t xml:space="preserve"> </w:t>
      </w:r>
    </w:p>
    <w:p w14:paraId="27E072BF" w14:textId="77777777" w:rsidR="005B254C" w:rsidRDefault="005B254C">
      <w:pPr>
        <w:rPr>
          <w:bCs/>
        </w:rPr>
      </w:pPr>
      <w:r>
        <w:rPr>
          <w:bCs/>
        </w:rPr>
        <w:br w:type="page"/>
      </w:r>
    </w:p>
    <w:p w14:paraId="0C3009A0" w14:textId="32349FBA" w:rsidR="00B3353C" w:rsidRPr="0008551B" w:rsidRDefault="00515D58" w:rsidP="0008551B">
      <w:pPr>
        <w:pStyle w:val="ListParagraph"/>
        <w:widowControl w:val="0"/>
        <w:rPr>
          <w:rFonts w:ascii="Times New Roman" w:hAnsi="Times New Roman" w:cs="Times New Roman"/>
          <w:sz w:val="22"/>
          <w:szCs w:val="22"/>
        </w:rPr>
      </w:pPr>
      <w:r w:rsidRPr="006665F6">
        <w:rPr>
          <w:b/>
          <w:noProof/>
          <w:color w:val="194D80"/>
          <w:sz w:val="28"/>
          <w:szCs w:val="28"/>
        </w:rPr>
        <w:lastRenderedPageBreak/>
        <mc:AlternateContent>
          <mc:Choice Requires="wps">
            <w:drawing>
              <wp:anchor distT="45720" distB="45720" distL="114300" distR="114300" simplePos="0" relativeHeight="251682304" behindDoc="1" locked="0" layoutInCell="1" allowOverlap="1" wp14:anchorId="2FE4E6E1" wp14:editId="517A7F00">
                <wp:simplePos x="0" y="0"/>
                <wp:positionH relativeFrom="margin">
                  <wp:posOffset>-337185</wp:posOffset>
                </wp:positionH>
                <wp:positionV relativeFrom="paragraph">
                  <wp:posOffset>3057795</wp:posOffset>
                </wp:positionV>
                <wp:extent cx="6445885" cy="83248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832485"/>
                        </a:xfrm>
                        <a:prstGeom prst="rect">
                          <a:avLst/>
                        </a:prstGeom>
                        <a:solidFill>
                          <a:srgbClr val="FFFFFF"/>
                        </a:solidFill>
                        <a:ln w="9525">
                          <a:noFill/>
                          <a:miter lim="800000"/>
                          <a:headEnd/>
                          <a:tailEnd/>
                        </a:ln>
                      </wps:spPr>
                      <wps:txbx>
                        <w:txbxContent>
                          <w:p w14:paraId="0243AD7F" w14:textId="77777777" w:rsidR="008B1D34" w:rsidRDefault="008B1D34" w:rsidP="00526880">
                            <w:pPr>
                              <w:rPr>
                                <w:sz w:val="14"/>
                                <w:szCs w:val="14"/>
                                <w:vertAlign w:val="superscript"/>
                              </w:rPr>
                            </w:pPr>
                          </w:p>
                          <w:p w14:paraId="27314C49" w14:textId="1048A05B" w:rsidR="003652DE" w:rsidRDefault="003652DE" w:rsidP="008B1D34">
                            <w:pPr>
                              <w:rPr>
                                <w:sz w:val="14"/>
                                <w:szCs w:val="14"/>
                              </w:rPr>
                            </w:pPr>
                            <w:r>
                              <w:rPr>
                                <w:sz w:val="14"/>
                                <w:szCs w:val="14"/>
                              </w:rPr>
                              <w:t xml:space="preserve">* Sex is noted on the death certificate as male, female, unknown.  There were no “unknown” suicide deaths in the examined time period. </w:t>
                            </w:r>
                          </w:p>
                          <w:p w14:paraId="796391B0" w14:textId="00DD5DCC" w:rsidR="008B1D34" w:rsidRDefault="008B1D34" w:rsidP="008B1D34">
                            <w:pPr>
                              <w:rPr>
                                <w:sz w:val="14"/>
                                <w:szCs w:val="14"/>
                              </w:rPr>
                            </w:pPr>
                            <w:r w:rsidRPr="0012422F">
                              <w:rPr>
                                <w:sz w:val="14"/>
                                <w:szCs w:val="14"/>
                              </w:rPr>
                              <w:t>*</w:t>
                            </w:r>
                            <w:r w:rsidR="003652DE">
                              <w:rPr>
                                <w:sz w:val="14"/>
                                <w:szCs w:val="14"/>
                              </w:rPr>
                              <w:t>*</w:t>
                            </w: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Pr>
                                <w:sz w:val="14"/>
                                <w:szCs w:val="14"/>
                              </w:rPr>
                              <w:t>.</w:t>
                            </w:r>
                          </w:p>
                          <w:p w14:paraId="57322D07" w14:textId="646E9B2B" w:rsidR="00526880" w:rsidRPr="00526880" w:rsidRDefault="00526880" w:rsidP="00526880">
                            <w:pPr>
                              <w:rPr>
                                <w:sz w:val="14"/>
                                <w:szCs w:val="14"/>
                              </w:rPr>
                            </w:pPr>
                            <w:r w:rsidRPr="00526880">
                              <w:rPr>
                                <w:sz w:val="14"/>
                                <w:szCs w:val="14"/>
                                <w:vertAlign w:val="superscript"/>
                              </w:rPr>
                              <w:t>1</w:t>
                            </w:r>
                            <w:r>
                              <w:rPr>
                                <w:sz w:val="14"/>
                                <w:szCs w:val="14"/>
                              </w:rPr>
                              <w:t>Rate significantly higher than rate for all occupation categories</w:t>
                            </w:r>
                          </w:p>
                          <w:p w14:paraId="3AF65C74" w14:textId="25899F64" w:rsidR="00526880" w:rsidRDefault="00526880" w:rsidP="00526880">
                            <w:pPr>
                              <w:rPr>
                                <w:sz w:val="14"/>
                                <w:szCs w:val="14"/>
                              </w:rPr>
                            </w:pPr>
                            <w:r>
                              <w:rPr>
                                <w:sz w:val="14"/>
                                <w:szCs w:val="14"/>
                              </w:rPr>
                              <w:t>Numerator source: MA Violent Death Reporting System, MA Department of Public Health, 2016-2019</w:t>
                            </w:r>
                          </w:p>
                          <w:p w14:paraId="1845B219" w14:textId="2EEB3EAC" w:rsidR="00526880" w:rsidRPr="0012422F" w:rsidRDefault="00526880" w:rsidP="00526880">
                            <w:pPr>
                              <w:rPr>
                                <w:sz w:val="14"/>
                                <w:szCs w:val="14"/>
                              </w:rPr>
                            </w:pPr>
                            <w:r>
                              <w:rPr>
                                <w:sz w:val="14"/>
                                <w:szCs w:val="14"/>
                              </w:rPr>
                              <w:t>Denominator source: American Community Survey, 2016-2019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E4E6E1" id="_x0000_s1036" type="#_x0000_t202" style="position:absolute;left:0;text-align:left;margin-left:-26.55pt;margin-top:240.75pt;width:507.55pt;height:65.55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" stroked="f">
                <v:textbox>
                  <w:txbxContent>
                    <w:p w14:paraId="0243AD7F" w14:textId="77777777" w:rsidR="008B1D34" w:rsidRDefault="008B1D34" w:rsidP="00526880">
                      <w:pPr>
                        <w:rPr>
                          <w:sz w:val="14"/>
                          <w:szCs w:val="14"/>
                          <w:vertAlign w:val="superscript"/>
                        </w:rPr>
                      </w:pPr>
                    </w:p>
                    <w:p w14:paraId="27314C49" w14:textId="1048A05B" w:rsidR="003652DE" w:rsidRDefault="003652DE" w:rsidP="008B1D34">
                      <w:pPr>
                        <w:rPr>
                          <w:sz w:val="14"/>
                          <w:szCs w:val="14"/>
                        </w:rPr>
                      </w:pPr>
                      <w:r>
                        <w:rPr>
                          <w:sz w:val="14"/>
                          <w:szCs w:val="14"/>
                        </w:rPr>
                        <w:t xml:space="preserve">* Sex is noted on the death certificate as male, female, unknown.  There were no “unknown” suicide deaths in the examined time period. </w:t>
                      </w:r>
                    </w:p>
                    <w:p w14:paraId="796391B0" w14:textId="00DD5DCC" w:rsidR="008B1D34" w:rsidRDefault="008B1D34" w:rsidP="008B1D34">
                      <w:pPr>
                        <w:rPr>
                          <w:sz w:val="14"/>
                          <w:szCs w:val="14"/>
                        </w:rPr>
                      </w:pPr>
                      <w:r w:rsidRPr="0012422F">
                        <w:rPr>
                          <w:sz w:val="14"/>
                          <w:szCs w:val="14"/>
                        </w:rPr>
                        <w:t>*</w:t>
                      </w:r>
                      <w:r w:rsidR="003652DE">
                        <w:rPr>
                          <w:sz w:val="14"/>
                          <w:szCs w:val="14"/>
                        </w:rPr>
                        <w:t>*</w:t>
                      </w: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Pr>
                          <w:sz w:val="14"/>
                          <w:szCs w:val="14"/>
                        </w:rPr>
                        <w:t>.</w:t>
                      </w:r>
                    </w:p>
                    <w:p w14:paraId="57322D07" w14:textId="646E9B2B" w:rsidR="00526880" w:rsidRPr="00526880" w:rsidRDefault="00526880" w:rsidP="00526880">
                      <w:pPr>
                        <w:rPr>
                          <w:sz w:val="14"/>
                          <w:szCs w:val="14"/>
                        </w:rPr>
                      </w:pPr>
                      <w:r w:rsidRPr="00526880">
                        <w:rPr>
                          <w:sz w:val="14"/>
                          <w:szCs w:val="14"/>
                          <w:vertAlign w:val="superscript"/>
                        </w:rPr>
                        <w:t>1</w:t>
                      </w:r>
                      <w:r>
                        <w:rPr>
                          <w:sz w:val="14"/>
                          <w:szCs w:val="14"/>
                        </w:rPr>
                        <w:t>Rate significantly higher than rate for all occupation categories</w:t>
                      </w:r>
                    </w:p>
                    <w:p w14:paraId="3AF65C74" w14:textId="25899F64" w:rsidR="00526880" w:rsidRDefault="00526880" w:rsidP="00526880">
                      <w:pPr>
                        <w:rPr>
                          <w:sz w:val="14"/>
                          <w:szCs w:val="14"/>
                        </w:rPr>
                      </w:pPr>
                      <w:r>
                        <w:rPr>
                          <w:sz w:val="14"/>
                          <w:szCs w:val="14"/>
                        </w:rPr>
                        <w:t>Numerator source: MA Violent Death Reporting System, MA Department of Public Health, 2016-2019</w:t>
                      </w:r>
                    </w:p>
                    <w:p w14:paraId="1845B219" w14:textId="2EEB3EAC" w:rsidR="00526880" w:rsidRPr="0012422F" w:rsidRDefault="00526880" w:rsidP="00526880">
                      <w:pPr>
                        <w:rPr>
                          <w:sz w:val="14"/>
                          <w:szCs w:val="14"/>
                        </w:rPr>
                      </w:pPr>
                      <w:r>
                        <w:rPr>
                          <w:sz w:val="14"/>
                          <w:szCs w:val="14"/>
                        </w:rPr>
                        <w:t>Denominator source: American Community Survey, 2016-2019</w:t>
                      </w:r>
                    </w:p>
                  </w:txbxContent>
                </v:textbox>
                <w10:wrap anchorx="margin"/>
              </v:shape>
            </w:pict>
          </mc:Fallback>
        </mc:AlternateContent>
      </w:r>
      <w:r w:rsidR="00B3353C">
        <w:rPr>
          <w:bCs/>
        </w:rPr>
        <w:fldChar w:fldCharType="begin"/>
      </w:r>
      <w:r w:rsidR="00B3353C" w:rsidRPr="0008551B">
        <w:rPr>
          <w:bCs/>
        </w:rPr>
        <w:instrText xml:space="preserve"> LINK Excel.Sheet.12 "C:\\Users\\MiReid\\Documents\\Suicide Prevention\\Suicide Prevention Tables_2016-2019.xlsx" "T4. Gender top 5 occupations!R13C1:R22C8" \a \f 5 \h  \* MERGEFORMAT </w:instrText>
      </w:r>
      <w:r w:rsidR="00B3353C">
        <w:rPr>
          <w:bCs/>
        </w:rPr>
        <w:fldChar w:fldCharType="separate"/>
      </w:r>
    </w:p>
    <w:tbl>
      <w:tblPr>
        <w:tblStyle w:val="TableGrid"/>
        <w:tblW w:w="11988" w:type="dxa"/>
        <w:tblInd w:w="-598" w:type="dxa"/>
        <w:tblLook w:val="04A0" w:firstRow="1" w:lastRow="0" w:firstColumn="1" w:lastColumn="0" w:noHBand="0" w:noVBand="1"/>
      </w:tblPr>
      <w:tblGrid>
        <w:gridCol w:w="2407"/>
        <w:gridCol w:w="1966"/>
        <w:gridCol w:w="717"/>
        <w:gridCol w:w="697"/>
        <w:gridCol w:w="2417"/>
        <w:gridCol w:w="1795"/>
        <w:gridCol w:w="994"/>
        <w:gridCol w:w="995"/>
      </w:tblGrid>
      <w:tr w:rsidR="00B3353C" w:rsidRPr="00B3353C" w14:paraId="1C6CFCE7" w14:textId="77777777" w:rsidTr="00CA636A">
        <w:trPr>
          <w:trHeight w:val="270"/>
        </w:trPr>
        <w:tc>
          <w:tcPr>
            <w:tcW w:w="11988" w:type="dxa"/>
            <w:gridSpan w:val="8"/>
            <w:noWrap/>
            <w:hideMark/>
          </w:tcPr>
          <w:p w14:paraId="5A158DDE" w14:textId="77777777" w:rsidR="00227809" w:rsidRDefault="0066103C" w:rsidP="00227809">
            <w:pPr>
              <w:widowControl w:val="0"/>
              <w:jc w:val="center"/>
              <w:rPr>
                <w:b/>
              </w:rPr>
            </w:pPr>
            <w:r w:rsidRPr="00C767E2">
              <w:rPr>
                <w:b/>
              </w:rPr>
              <w:t xml:space="preserve">Table 1. </w:t>
            </w:r>
            <w:r w:rsidR="00B3353C" w:rsidRPr="00C767E2">
              <w:rPr>
                <w:b/>
              </w:rPr>
              <w:t xml:space="preserve">Rate, number, and percent of suicides </w:t>
            </w:r>
            <w:r w:rsidR="008B1D34" w:rsidRPr="00C767E2">
              <w:rPr>
                <w:b/>
              </w:rPr>
              <w:t>for</w:t>
            </w:r>
            <w:r w:rsidR="00B3353C" w:rsidRPr="00C767E2">
              <w:rPr>
                <w:b/>
              </w:rPr>
              <w:t xml:space="preserve"> occupation groups with </w:t>
            </w:r>
            <w:r w:rsidR="008B1D34" w:rsidRPr="00C767E2">
              <w:rPr>
                <w:b/>
              </w:rPr>
              <w:t xml:space="preserve">the </w:t>
            </w:r>
            <w:r w:rsidR="00B3353C" w:rsidRPr="00C767E2">
              <w:rPr>
                <w:b/>
              </w:rPr>
              <w:t xml:space="preserve">five highest rates by </w:t>
            </w:r>
            <w:r w:rsidR="00D228CE">
              <w:rPr>
                <w:b/>
              </w:rPr>
              <w:t>sex</w:t>
            </w:r>
            <w:r w:rsidR="003652DE">
              <w:rPr>
                <w:b/>
              </w:rPr>
              <w:t>*</w:t>
            </w:r>
            <w:r w:rsidR="00B3353C" w:rsidRPr="00C767E2">
              <w:rPr>
                <w:b/>
              </w:rPr>
              <w:t xml:space="preserve">, </w:t>
            </w:r>
          </w:p>
          <w:p w14:paraId="3B8C9CED" w14:textId="0D6A3737" w:rsidR="00B3353C" w:rsidRPr="00B3353C" w:rsidRDefault="00B3353C" w:rsidP="00227809">
            <w:pPr>
              <w:widowControl w:val="0"/>
              <w:jc w:val="center"/>
              <w:rPr>
                <w:bCs/>
              </w:rPr>
            </w:pPr>
            <w:r w:rsidRPr="00C767E2">
              <w:rPr>
                <w:b/>
              </w:rPr>
              <w:t>Massachusetts workers,</w:t>
            </w:r>
            <w:r w:rsidR="00227809">
              <w:rPr>
                <w:b/>
              </w:rPr>
              <w:t xml:space="preserve"> </w:t>
            </w:r>
            <w:r w:rsidRPr="00C767E2">
              <w:rPr>
                <w:b/>
              </w:rPr>
              <w:t xml:space="preserve">2016-2019 </w:t>
            </w:r>
            <w:r w:rsidR="00C45225">
              <w:rPr>
                <w:b/>
              </w:rPr>
              <w:t>n</w:t>
            </w:r>
            <w:r w:rsidRPr="00C767E2">
              <w:rPr>
                <w:b/>
              </w:rPr>
              <w:t>=2,199</w:t>
            </w:r>
            <w:r w:rsidR="008B1D34" w:rsidRPr="00C767E2">
              <w:rPr>
                <w:b/>
              </w:rPr>
              <w:t>*</w:t>
            </w:r>
            <w:r w:rsidR="003652DE">
              <w:rPr>
                <w:b/>
              </w:rPr>
              <w:t>*</w:t>
            </w:r>
          </w:p>
        </w:tc>
      </w:tr>
      <w:tr w:rsidR="00E96AC1" w:rsidRPr="00B3353C" w14:paraId="47036A02" w14:textId="77777777" w:rsidTr="00CA636A">
        <w:trPr>
          <w:trHeight w:val="270"/>
        </w:trPr>
        <w:tc>
          <w:tcPr>
            <w:tcW w:w="5787" w:type="dxa"/>
            <w:gridSpan w:val="4"/>
            <w:noWrap/>
            <w:hideMark/>
          </w:tcPr>
          <w:p w14:paraId="1C2EE45D" w14:textId="77777777" w:rsidR="00B3353C" w:rsidRPr="00B3353C" w:rsidRDefault="00B3353C" w:rsidP="00E96AC1">
            <w:pPr>
              <w:widowControl w:val="0"/>
              <w:jc w:val="center"/>
              <w:rPr>
                <w:b/>
                <w:bCs/>
              </w:rPr>
            </w:pPr>
            <w:r w:rsidRPr="00B3353C">
              <w:rPr>
                <w:b/>
                <w:bCs/>
              </w:rPr>
              <w:t>Males</w:t>
            </w:r>
          </w:p>
        </w:tc>
        <w:tc>
          <w:tcPr>
            <w:tcW w:w="6201" w:type="dxa"/>
            <w:gridSpan w:val="4"/>
            <w:noWrap/>
            <w:hideMark/>
          </w:tcPr>
          <w:p w14:paraId="4DFB9156" w14:textId="77777777" w:rsidR="00B3353C" w:rsidRPr="00B3353C" w:rsidRDefault="00B3353C" w:rsidP="00E96AC1">
            <w:pPr>
              <w:widowControl w:val="0"/>
              <w:jc w:val="center"/>
              <w:rPr>
                <w:b/>
                <w:bCs/>
              </w:rPr>
            </w:pPr>
            <w:r w:rsidRPr="00B3353C">
              <w:rPr>
                <w:b/>
                <w:bCs/>
              </w:rPr>
              <w:t>Females</w:t>
            </w:r>
          </w:p>
        </w:tc>
      </w:tr>
      <w:tr w:rsidR="009E60AA" w:rsidRPr="00B3353C" w14:paraId="5764AF34" w14:textId="77777777" w:rsidTr="009E60AA">
        <w:trPr>
          <w:trHeight w:val="748"/>
        </w:trPr>
        <w:tc>
          <w:tcPr>
            <w:tcW w:w="2407" w:type="dxa"/>
            <w:noWrap/>
            <w:vAlign w:val="center"/>
            <w:hideMark/>
          </w:tcPr>
          <w:p w14:paraId="6906996E" w14:textId="028BA597" w:rsidR="00526880" w:rsidRPr="00B3353C" w:rsidRDefault="00526880" w:rsidP="00E96AC1">
            <w:pPr>
              <w:widowControl w:val="0"/>
              <w:rPr>
                <w:b/>
                <w:bCs/>
              </w:rPr>
            </w:pPr>
            <w:r w:rsidRPr="00B3353C">
              <w:rPr>
                <w:b/>
                <w:bCs/>
              </w:rPr>
              <w:t>Occupation</w:t>
            </w:r>
            <w:r w:rsidR="000D7F37">
              <w:rPr>
                <w:b/>
                <w:bCs/>
              </w:rPr>
              <w:t xml:space="preserve"> Group</w:t>
            </w:r>
          </w:p>
        </w:tc>
        <w:tc>
          <w:tcPr>
            <w:tcW w:w="1966" w:type="dxa"/>
            <w:vMerge w:val="restart"/>
            <w:vAlign w:val="center"/>
            <w:hideMark/>
          </w:tcPr>
          <w:p w14:paraId="499A6D0A" w14:textId="77777777" w:rsidR="00526880" w:rsidRDefault="00526880" w:rsidP="00E96AC1">
            <w:pPr>
              <w:widowControl w:val="0"/>
              <w:jc w:val="center"/>
              <w:rPr>
                <w:b/>
                <w:bCs/>
              </w:rPr>
            </w:pPr>
            <w:r w:rsidRPr="00B3353C">
              <w:rPr>
                <w:b/>
                <w:bCs/>
              </w:rPr>
              <w:t>Rate of suicides/100,000 workers</w:t>
            </w:r>
            <w:r>
              <w:rPr>
                <w:b/>
                <w:bCs/>
              </w:rPr>
              <w:t xml:space="preserve"> </w:t>
            </w:r>
          </w:p>
          <w:p w14:paraId="0736C4E0" w14:textId="77777777" w:rsidR="00526880" w:rsidRPr="00B3353C" w:rsidRDefault="00526880" w:rsidP="00E96AC1">
            <w:pPr>
              <w:widowControl w:val="0"/>
              <w:jc w:val="center"/>
              <w:rPr>
                <w:b/>
                <w:bCs/>
              </w:rPr>
            </w:pPr>
            <w:r>
              <w:rPr>
                <w:b/>
                <w:bCs/>
              </w:rPr>
              <w:t>(95% CI)</w:t>
            </w:r>
          </w:p>
          <w:p w14:paraId="3D38EE79" w14:textId="5B2B7015" w:rsidR="00526880" w:rsidRPr="00B3353C" w:rsidRDefault="00526880" w:rsidP="00E96AC1">
            <w:pPr>
              <w:widowControl w:val="0"/>
              <w:jc w:val="center"/>
              <w:rPr>
                <w:b/>
                <w:bCs/>
              </w:rPr>
            </w:pPr>
            <w:r w:rsidRPr="00B3353C">
              <w:rPr>
                <w:bCs/>
              </w:rPr>
              <w:t>Rate</w:t>
            </w:r>
          </w:p>
        </w:tc>
        <w:tc>
          <w:tcPr>
            <w:tcW w:w="1414" w:type="dxa"/>
            <w:gridSpan w:val="2"/>
            <w:vAlign w:val="center"/>
            <w:hideMark/>
          </w:tcPr>
          <w:p w14:paraId="4C2165CF" w14:textId="77777777" w:rsidR="00526880" w:rsidRPr="00B3353C" w:rsidRDefault="00526880" w:rsidP="00E96AC1">
            <w:pPr>
              <w:widowControl w:val="0"/>
              <w:jc w:val="center"/>
              <w:rPr>
                <w:b/>
                <w:bCs/>
              </w:rPr>
            </w:pPr>
            <w:r w:rsidRPr="00B3353C">
              <w:rPr>
                <w:b/>
                <w:bCs/>
              </w:rPr>
              <w:t>Suicides</w:t>
            </w:r>
          </w:p>
        </w:tc>
        <w:tc>
          <w:tcPr>
            <w:tcW w:w="2417" w:type="dxa"/>
            <w:noWrap/>
            <w:vAlign w:val="center"/>
            <w:hideMark/>
          </w:tcPr>
          <w:p w14:paraId="384B8579" w14:textId="0A7B1542" w:rsidR="00526880" w:rsidRPr="00B3353C" w:rsidRDefault="00526880" w:rsidP="00E96AC1">
            <w:pPr>
              <w:widowControl w:val="0"/>
              <w:rPr>
                <w:b/>
                <w:bCs/>
              </w:rPr>
            </w:pPr>
            <w:r w:rsidRPr="00B3353C">
              <w:rPr>
                <w:b/>
                <w:bCs/>
              </w:rPr>
              <w:t>Occupation</w:t>
            </w:r>
            <w:r w:rsidR="000D7F37">
              <w:rPr>
                <w:b/>
                <w:bCs/>
              </w:rPr>
              <w:t xml:space="preserve"> Group</w:t>
            </w:r>
          </w:p>
        </w:tc>
        <w:tc>
          <w:tcPr>
            <w:tcW w:w="1795" w:type="dxa"/>
            <w:vMerge w:val="restart"/>
            <w:vAlign w:val="center"/>
            <w:hideMark/>
          </w:tcPr>
          <w:p w14:paraId="33435B1A" w14:textId="77777777" w:rsidR="00526880" w:rsidRDefault="00526880" w:rsidP="00E96AC1">
            <w:pPr>
              <w:widowControl w:val="0"/>
              <w:jc w:val="center"/>
              <w:rPr>
                <w:b/>
                <w:bCs/>
              </w:rPr>
            </w:pPr>
            <w:r w:rsidRPr="00B3353C">
              <w:rPr>
                <w:b/>
                <w:bCs/>
              </w:rPr>
              <w:t>Rate of suicides/100,000 workers</w:t>
            </w:r>
          </w:p>
          <w:p w14:paraId="27F51913" w14:textId="77777777" w:rsidR="00526880" w:rsidRPr="00B3353C" w:rsidRDefault="00526880" w:rsidP="00E96AC1">
            <w:pPr>
              <w:widowControl w:val="0"/>
              <w:jc w:val="center"/>
              <w:rPr>
                <w:b/>
                <w:bCs/>
              </w:rPr>
            </w:pPr>
            <w:r>
              <w:rPr>
                <w:b/>
                <w:bCs/>
              </w:rPr>
              <w:t>(95% CI)</w:t>
            </w:r>
          </w:p>
          <w:p w14:paraId="444C538A" w14:textId="00CFA3B4" w:rsidR="00526880" w:rsidRPr="00B3353C" w:rsidRDefault="00526880" w:rsidP="00E96AC1">
            <w:pPr>
              <w:widowControl w:val="0"/>
              <w:jc w:val="center"/>
              <w:rPr>
                <w:b/>
                <w:bCs/>
              </w:rPr>
            </w:pPr>
            <w:r w:rsidRPr="00B3353C">
              <w:rPr>
                <w:bCs/>
              </w:rPr>
              <w:t>Rate</w:t>
            </w:r>
          </w:p>
        </w:tc>
        <w:tc>
          <w:tcPr>
            <w:tcW w:w="1989" w:type="dxa"/>
            <w:gridSpan w:val="2"/>
            <w:vAlign w:val="center"/>
            <w:hideMark/>
          </w:tcPr>
          <w:p w14:paraId="3F2DB424" w14:textId="77777777" w:rsidR="00526880" w:rsidRPr="00B3353C" w:rsidRDefault="00526880" w:rsidP="00E96AC1">
            <w:pPr>
              <w:widowControl w:val="0"/>
              <w:jc w:val="center"/>
              <w:rPr>
                <w:b/>
                <w:bCs/>
              </w:rPr>
            </w:pPr>
            <w:r w:rsidRPr="00B3353C">
              <w:rPr>
                <w:b/>
                <w:bCs/>
              </w:rPr>
              <w:t>Suicides</w:t>
            </w:r>
          </w:p>
        </w:tc>
      </w:tr>
      <w:tr w:rsidR="009E60AA" w:rsidRPr="00B3353C" w14:paraId="056BD149" w14:textId="77777777" w:rsidTr="00CA636A">
        <w:trPr>
          <w:trHeight w:val="270"/>
        </w:trPr>
        <w:tc>
          <w:tcPr>
            <w:tcW w:w="2407" w:type="dxa"/>
            <w:noWrap/>
            <w:hideMark/>
          </w:tcPr>
          <w:p w14:paraId="4CA24DD5" w14:textId="77777777" w:rsidR="00526880" w:rsidRPr="00B3353C" w:rsidRDefault="00526880" w:rsidP="00B3353C">
            <w:pPr>
              <w:widowControl w:val="0"/>
              <w:rPr>
                <w:bCs/>
              </w:rPr>
            </w:pPr>
            <w:r w:rsidRPr="00B3353C">
              <w:rPr>
                <w:bCs/>
              </w:rPr>
              <w:t> </w:t>
            </w:r>
          </w:p>
        </w:tc>
        <w:tc>
          <w:tcPr>
            <w:tcW w:w="1966" w:type="dxa"/>
            <w:vMerge/>
            <w:noWrap/>
            <w:vAlign w:val="center"/>
            <w:hideMark/>
          </w:tcPr>
          <w:p w14:paraId="0990CC75" w14:textId="44BC4F30" w:rsidR="00526880" w:rsidRPr="00B3353C" w:rsidRDefault="00526880" w:rsidP="00E96AC1">
            <w:pPr>
              <w:widowControl w:val="0"/>
              <w:jc w:val="center"/>
              <w:rPr>
                <w:bCs/>
              </w:rPr>
            </w:pPr>
          </w:p>
        </w:tc>
        <w:tc>
          <w:tcPr>
            <w:tcW w:w="717" w:type="dxa"/>
            <w:noWrap/>
            <w:vAlign w:val="center"/>
            <w:hideMark/>
          </w:tcPr>
          <w:p w14:paraId="13006372" w14:textId="77777777" w:rsidR="00526880" w:rsidRPr="00B3353C" w:rsidRDefault="00526880" w:rsidP="00E96AC1">
            <w:pPr>
              <w:widowControl w:val="0"/>
              <w:jc w:val="center"/>
              <w:rPr>
                <w:bCs/>
              </w:rPr>
            </w:pPr>
            <w:r w:rsidRPr="00B3353C">
              <w:rPr>
                <w:bCs/>
              </w:rPr>
              <w:t>N</w:t>
            </w:r>
          </w:p>
        </w:tc>
        <w:tc>
          <w:tcPr>
            <w:tcW w:w="697" w:type="dxa"/>
            <w:noWrap/>
            <w:vAlign w:val="center"/>
            <w:hideMark/>
          </w:tcPr>
          <w:p w14:paraId="10F3D612" w14:textId="77777777" w:rsidR="00526880" w:rsidRPr="00B3353C" w:rsidRDefault="00526880" w:rsidP="00E96AC1">
            <w:pPr>
              <w:widowControl w:val="0"/>
              <w:jc w:val="center"/>
              <w:rPr>
                <w:bCs/>
              </w:rPr>
            </w:pPr>
            <w:r w:rsidRPr="00B3353C">
              <w:rPr>
                <w:bCs/>
              </w:rPr>
              <w:t>%</w:t>
            </w:r>
          </w:p>
        </w:tc>
        <w:tc>
          <w:tcPr>
            <w:tcW w:w="2417" w:type="dxa"/>
            <w:noWrap/>
            <w:hideMark/>
          </w:tcPr>
          <w:p w14:paraId="75683937" w14:textId="77777777" w:rsidR="00526880" w:rsidRPr="00B3353C" w:rsidRDefault="00526880" w:rsidP="00B3353C">
            <w:pPr>
              <w:widowControl w:val="0"/>
              <w:rPr>
                <w:bCs/>
              </w:rPr>
            </w:pPr>
            <w:r w:rsidRPr="00B3353C">
              <w:rPr>
                <w:bCs/>
              </w:rPr>
              <w:t> </w:t>
            </w:r>
          </w:p>
        </w:tc>
        <w:tc>
          <w:tcPr>
            <w:tcW w:w="1795" w:type="dxa"/>
            <w:vMerge/>
            <w:noWrap/>
            <w:vAlign w:val="center"/>
            <w:hideMark/>
          </w:tcPr>
          <w:p w14:paraId="3A67FA87" w14:textId="47A53528" w:rsidR="00526880" w:rsidRPr="00B3353C" w:rsidRDefault="00526880" w:rsidP="00E96AC1">
            <w:pPr>
              <w:widowControl w:val="0"/>
              <w:jc w:val="center"/>
              <w:rPr>
                <w:bCs/>
              </w:rPr>
            </w:pPr>
          </w:p>
        </w:tc>
        <w:tc>
          <w:tcPr>
            <w:tcW w:w="994" w:type="dxa"/>
            <w:noWrap/>
            <w:vAlign w:val="center"/>
            <w:hideMark/>
          </w:tcPr>
          <w:p w14:paraId="4202D726" w14:textId="77777777" w:rsidR="00526880" w:rsidRPr="00B3353C" w:rsidRDefault="00526880" w:rsidP="00E96AC1">
            <w:pPr>
              <w:widowControl w:val="0"/>
              <w:jc w:val="center"/>
              <w:rPr>
                <w:bCs/>
              </w:rPr>
            </w:pPr>
            <w:r w:rsidRPr="00B3353C">
              <w:rPr>
                <w:bCs/>
              </w:rPr>
              <w:t>N</w:t>
            </w:r>
          </w:p>
        </w:tc>
        <w:tc>
          <w:tcPr>
            <w:tcW w:w="995" w:type="dxa"/>
            <w:noWrap/>
            <w:vAlign w:val="center"/>
            <w:hideMark/>
          </w:tcPr>
          <w:p w14:paraId="020498F0" w14:textId="77777777" w:rsidR="00526880" w:rsidRPr="00B3353C" w:rsidRDefault="00526880" w:rsidP="00E96AC1">
            <w:pPr>
              <w:widowControl w:val="0"/>
              <w:jc w:val="center"/>
              <w:rPr>
                <w:bCs/>
              </w:rPr>
            </w:pPr>
            <w:r w:rsidRPr="00B3353C">
              <w:rPr>
                <w:bCs/>
              </w:rPr>
              <w:t>%</w:t>
            </w:r>
          </w:p>
        </w:tc>
      </w:tr>
      <w:tr w:rsidR="00957AF6" w:rsidRPr="00B3353C" w14:paraId="0C245784" w14:textId="77777777" w:rsidTr="00CA636A">
        <w:trPr>
          <w:trHeight w:val="270"/>
        </w:trPr>
        <w:tc>
          <w:tcPr>
            <w:tcW w:w="2407" w:type="dxa"/>
            <w:noWrap/>
            <w:vAlign w:val="center"/>
            <w:hideMark/>
          </w:tcPr>
          <w:p w14:paraId="14488370" w14:textId="77777777" w:rsidR="00957AF6" w:rsidRPr="00B3353C" w:rsidRDefault="00957AF6" w:rsidP="00957AF6">
            <w:pPr>
              <w:widowControl w:val="0"/>
              <w:rPr>
                <w:bCs/>
              </w:rPr>
            </w:pPr>
            <w:r w:rsidRPr="00B3353C">
              <w:rPr>
                <w:bCs/>
              </w:rPr>
              <w:t>Construction and Extraction</w:t>
            </w:r>
          </w:p>
        </w:tc>
        <w:tc>
          <w:tcPr>
            <w:tcW w:w="1966" w:type="dxa"/>
            <w:noWrap/>
            <w:vAlign w:val="center"/>
          </w:tcPr>
          <w:p w14:paraId="3CE726B6" w14:textId="2E997C5F" w:rsidR="00957AF6" w:rsidRPr="00F43F12" w:rsidRDefault="00957AF6" w:rsidP="00957AF6">
            <w:pPr>
              <w:widowControl w:val="0"/>
              <w:jc w:val="center"/>
              <w:rPr>
                <w:bCs/>
              </w:rPr>
            </w:pPr>
            <w:r>
              <w:rPr>
                <w:bCs/>
              </w:rPr>
              <w:t>49.3 (38.3, 60.3)</w:t>
            </w:r>
            <w:r w:rsidRPr="004F1FAF">
              <w:rPr>
                <w:bCs/>
                <w:vertAlign w:val="superscript"/>
              </w:rPr>
              <w:t>1</w:t>
            </w:r>
          </w:p>
        </w:tc>
        <w:tc>
          <w:tcPr>
            <w:tcW w:w="717" w:type="dxa"/>
            <w:noWrap/>
            <w:vAlign w:val="center"/>
            <w:hideMark/>
          </w:tcPr>
          <w:p w14:paraId="0AC4E634" w14:textId="77777777" w:rsidR="00957AF6" w:rsidRPr="00B3353C" w:rsidRDefault="00957AF6" w:rsidP="00957AF6">
            <w:pPr>
              <w:widowControl w:val="0"/>
              <w:jc w:val="center"/>
              <w:rPr>
                <w:bCs/>
              </w:rPr>
            </w:pPr>
            <w:r w:rsidRPr="00B3353C">
              <w:rPr>
                <w:bCs/>
              </w:rPr>
              <w:t>309</w:t>
            </w:r>
          </w:p>
        </w:tc>
        <w:tc>
          <w:tcPr>
            <w:tcW w:w="697" w:type="dxa"/>
            <w:noWrap/>
            <w:vAlign w:val="center"/>
            <w:hideMark/>
          </w:tcPr>
          <w:p w14:paraId="3EC01F06" w14:textId="30DF653E" w:rsidR="00957AF6" w:rsidRPr="00B3353C" w:rsidRDefault="00957AF6" w:rsidP="00957AF6">
            <w:pPr>
              <w:widowControl w:val="0"/>
              <w:jc w:val="center"/>
              <w:rPr>
                <w:bCs/>
              </w:rPr>
            </w:pPr>
            <w:r w:rsidRPr="00B3353C">
              <w:rPr>
                <w:bCs/>
              </w:rPr>
              <w:t>17.8</w:t>
            </w:r>
          </w:p>
        </w:tc>
        <w:tc>
          <w:tcPr>
            <w:tcW w:w="2417" w:type="dxa"/>
            <w:noWrap/>
            <w:vAlign w:val="center"/>
          </w:tcPr>
          <w:p w14:paraId="6B73039E" w14:textId="045511B5" w:rsidR="00957AF6" w:rsidRPr="00B3353C" w:rsidRDefault="00957AF6" w:rsidP="00957AF6">
            <w:pPr>
              <w:widowControl w:val="0"/>
              <w:rPr>
                <w:bCs/>
              </w:rPr>
            </w:pPr>
            <w:r>
              <w:rPr>
                <w:bCs/>
              </w:rPr>
              <w:t>Production</w:t>
            </w:r>
          </w:p>
        </w:tc>
        <w:tc>
          <w:tcPr>
            <w:tcW w:w="1795" w:type="dxa"/>
            <w:noWrap/>
            <w:vAlign w:val="center"/>
          </w:tcPr>
          <w:p w14:paraId="365EA774" w14:textId="5145129D" w:rsidR="00957AF6" w:rsidRPr="00B3353C" w:rsidRDefault="00957AF6" w:rsidP="00957AF6">
            <w:pPr>
              <w:widowControl w:val="0"/>
              <w:jc w:val="center"/>
              <w:rPr>
                <w:bCs/>
              </w:rPr>
            </w:pPr>
            <w:r>
              <w:rPr>
                <w:bCs/>
              </w:rPr>
              <w:t>9.7 (0.5, 19.0)</w:t>
            </w:r>
          </w:p>
        </w:tc>
        <w:tc>
          <w:tcPr>
            <w:tcW w:w="994" w:type="dxa"/>
            <w:noWrap/>
            <w:vAlign w:val="center"/>
          </w:tcPr>
          <w:p w14:paraId="684AEC13" w14:textId="300CA9A9" w:rsidR="00957AF6" w:rsidRPr="00B3353C" w:rsidRDefault="00957AF6" w:rsidP="00957AF6">
            <w:pPr>
              <w:widowControl w:val="0"/>
              <w:jc w:val="center"/>
              <w:rPr>
                <w:bCs/>
              </w:rPr>
            </w:pPr>
            <w:r>
              <w:rPr>
                <w:bCs/>
              </w:rPr>
              <w:t>17</w:t>
            </w:r>
          </w:p>
        </w:tc>
        <w:tc>
          <w:tcPr>
            <w:tcW w:w="995" w:type="dxa"/>
            <w:noWrap/>
            <w:vAlign w:val="center"/>
          </w:tcPr>
          <w:p w14:paraId="1D4F7410" w14:textId="70D590A8" w:rsidR="00957AF6" w:rsidRPr="00B3353C" w:rsidRDefault="00957AF6" w:rsidP="00957AF6">
            <w:pPr>
              <w:widowControl w:val="0"/>
              <w:jc w:val="center"/>
              <w:rPr>
                <w:bCs/>
              </w:rPr>
            </w:pPr>
            <w:r>
              <w:rPr>
                <w:bCs/>
              </w:rPr>
              <w:t>3.7</w:t>
            </w:r>
          </w:p>
        </w:tc>
      </w:tr>
      <w:tr w:rsidR="00957AF6" w:rsidRPr="00B3353C" w14:paraId="3A63C034" w14:textId="77777777" w:rsidTr="00CA636A">
        <w:trPr>
          <w:trHeight w:val="270"/>
        </w:trPr>
        <w:tc>
          <w:tcPr>
            <w:tcW w:w="2407" w:type="dxa"/>
            <w:noWrap/>
            <w:vAlign w:val="center"/>
            <w:hideMark/>
          </w:tcPr>
          <w:p w14:paraId="693E244A" w14:textId="77777777" w:rsidR="00957AF6" w:rsidRPr="00B3353C" w:rsidRDefault="00957AF6" w:rsidP="00957AF6">
            <w:pPr>
              <w:widowControl w:val="0"/>
              <w:rPr>
                <w:bCs/>
              </w:rPr>
            </w:pPr>
            <w:r w:rsidRPr="00B3353C">
              <w:rPr>
                <w:bCs/>
              </w:rPr>
              <w:t>Installation, Maintenance, Repair</w:t>
            </w:r>
          </w:p>
        </w:tc>
        <w:tc>
          <w:tcPr>
            <w:tcW w:w="1966" w:type="dxa"/>
            <w:noWrap/>
            <w:vAlign w:val="center"/>
          </w:tcPr>
          <w:p w14:paraId="100313B6" w14:textId="1CDC1A80" w:rsidR="00957AF6" w:rsidRPr="00F43F12" w:rsidRDefault="00957AF6" w:rsidP="00957AF6">
            <w:pPr>
              <w:widowControl w:val="0"/>
              <w:jc w:val="center"/>
              <w:rPr>
                <w:bCs/>
              </w:rPr>
            </w:pPr>
            <w:r>
              <w:rPr>
                <w:bCs/>
              </w:rPr>
              <w:t>38.6 (24.4, 52.9)</w:t>
            </w:r>
            <w:r w:rsidRPr="00B57973">
              <w:rPr>
                <w:bCs/>
                <w:vertAlign w:val="superscript"/>
              </w:rPr>
              <w:t>1</w:t>
            </w:r>
          </w:p>
        </w:tc>
        <w:tc>
          <w:tcPr>
            <w:tcW w:w="717" w:type="dxa"/>
            <w:noWrap/>
            <w:vAlign w:val="center"/>
            <w:hideMark/>
          </w:tcPr>
          <w:p w14:paraId="6117E503" w14:textId="77777777" w:rsidR="00957AF6" w:rsidRPr="00B3353C" w:rsidRDefault="00957AF6" w:rsidP="00957AF6">
            <w:pPr>
              <w:widowControl w:val="0"/>
              <w:jc w:val="center"/>
              <w:rPr>
                <w:bCs/>
              </w:rPr>
            </w:pPr>
            <w:r w:rsidRPr="00B3353C">
              <w:rPr>
                <w:bCs/>
              </w:rPr>
              <w:t>113</w:t>
            </w:r>
          </w:p>
        </w:tc>
        <w:tc>
          <w:tcPr>
            <w:tcW w:w="697" w:type="dxa"/>
            <w:noWrap/>
            <w:vAlign w:val="center"/>
            <w:hideMark/>
          </w:tcPr>
          <w:p w14:paraId="6CB99142" w14:textId="053BD1A8" w:rsidR="00957AF6" w:rsidRPr="00B3353C" w:rsidRDefault="00957AF6" w:rsidP="00957AF6">
            <w:pPr>
              <w:widowControl w:val="0"/>
              <w:jc w:val="center"/>
              <w:rPr>
                <w:bCs/>
              </w:rPr>
            </w:pPr>
            <w:r w:rsidRPr="00B3353C">
              <w:rPr>
                <w:bCs/>
              </w:rPr>
              <w:t>6.5</w:t>
            </w:r>
          </w:p>
        </w:tc>
        <w:tc>
          <w:tcPr>
            <w:tcW w:w="2417" w:type="dxa"/>
            <w:noWrap/>
            <w:vAlign w:val="center"/>
          </w:tcPr>
          <w:p w14:paraId="260683C5" w14:textId="151B94D4" w:rsidR="00957AF6" w:rsidRPr="00B3353C" w:rsidRDefault="00957AF6" w:rsidP="00957AF6">
            <w:pPr>
              <w:widowControl w:val="0"/>
              <w:rPr>
                <w:bCs/>
              </w:rPr>
            </w:pPr>
            <w:r w:rsidRPr="00B3353C">
              <w:rPr>
                <w:bCs/>
              </w:rPr>
              <w:t>Arts, Design, Entertainment</w:t>
            </w:r>
            <w:r>
              <w:rPr>
                <w:bCs/>
              </w:rPr>
              <w:t>, Sports, and Media</w:t>
            </w:r>
            <w:r w:rsidRPr="00B3353C" w:rsidDel="00347B51">
              <w:rPr>
                <w:bCs/>
              </w:rPr>
              <w:t xml:space="preserve"> </w:t>
            </w:r>
          </w:p>
        </w:tc>
        <w:tc>
          <w:tcPr>
            <w:tcW w:w="1795" w:type="dxa"/>
            <w:noWrap/>
            <w:vAlign w:val="center"/>
          </w:tcPr>
          <w:p w14:paraId="62F9DA88" w14:textId="42F16CC7" w:rsidR="00957AF6" w:rsidRPr="00B3353C" w:rsidRDefault="00957AF6" w:rsidP="00957AF6">
            <w:pPr>
              <w:widowControl w:val="0"/>
              <w:jc w:val="center"/>
              <w:rPr>
                <w:bCs/>
              </w:rPr>
            </w:pPr>
            <w:r>
              <w:rPr>
                <w:bCs/>
              </w:rPr>
              <w:t>9.4 (0.5, 18.4)</w:t>
            </w:r>
          </w:p>
        </w:tc>
        <w:tc>
          <w:tcPr>
            <w:tcW w:w="994" w:type="dxa"/>
            <w:noWrap/>
            <w:vAlign w:val="center"/>
          </w:tcPr>
          <w:p w14:paraId="26417590" w14:textId="315C92D6" w:rsidR="00957AF6" w:rsidRPr="00B3353C" w:rsidRDefault="00957AF6" w:rsidP="00957AF6">
            <w:pPr>
              <w:widowControl w:val="0"/>
              <w:jc w:val="center"/>
              <w:rPr>
                <w:bCs/>
              </w:rPr>
            </w:pPr>
            <w:r>
              <w:rPr>
                <w:bCs/>
              </w:rPr>
              <w:t>17</w:t>
            </w:r>
          </w:p>
        </w:tc>
        <w:tc>
          <w:tcPr>
            <w:tcW w:w="995" w:type="dxa"/>
            <w:noWrap/>
            <w:vAlign w:val="center"/>
          </w:tcPr>
          <w:p w14:paraId="3847ED34" w14:textId="2D7E7EEA" w:rsidR="00957AF6" w:rsidRPr="00B3353C" w:rsidRDefault="00957AF6" w:rsidP="00957AF6">
            <w:pPr>
              <w:widowControl w:val="0"/>
              <w:jc w:val="center"/>
              <w:rPr>
                <w:bCs/>
              </w:rPr>
            </w:pPr>
            <w:r>
              <w:rPr>
                <w:bCs/>
              </w:rPr>
              <w:t>3.7</w:t>
            </w:r>
          </w:p>
        </w:tc>
      </w:tr>
      <w:tr w:rsidR="00957AF6" w:rsidRPr="00B3353C" w14:paraId="7BA43073" w14:textId="77777777" w:rsidTr="00CA636A">
        <w:trPr>
          <w:trHeight w:val="270"/>
        </w:trPr>
        <w:tc>
          <w:tcPr>
            <w:tcW w:w="2407" w:type="dxa"/>
            <w:noWrap/>
            <w:vAlign w:val="center"/>
            <w:hideMark/>
          </w:tcPr>
          <w:p w14:paraId="1FD15C57" w14:textId="04F6E804" w:rsidR="00957AF6" w:rsidRPr="00B3353C" w:rsidRDefault="00957AF6" w:rsidP="00957AF6">
            <w:pPr>
              <w:widowControl w:val="0"/>
              <w:rPr>
                <w:bCs/>
              </w:rPr>
            </w:pPr>
            <w:r w:rsidRPr="00B3353C">
              <w:rPr>
                <w:bCs/>
              </w:rPr>
              <w:t>Production</w:t>
            </w:r>
          </w:p>
        </w:tc>
        <w:tc>
          <w:tcPr>
            <w:tcW w:w="1966" w:type="dxa"/>
            <w:noWrap/>
            <w:vAlign w:val="center"/>
          </w:tcPr>
          <w:p w14:paraId="3DD03A17" w14:textId="2EDFF7F9" w:rsidR="00957AF6" w:rsidRPr="00F43F12" w:rsidRDefault="00957AF6" w:rsidP="00957AF6">
            <w:pPr>
              <w:widowControl w:val="0"/>
              <w:jc w:val="center"/>
              <w:rPr>
                <w:bCs/>
              </w:rPr>
            </w:pPr>
            <w:r>
              <w:rPr>
                <w:bCs/>
              </w:rPr>
              <w:t>36.1 (24.1, 48.1)</w:t>
            </w:r>
            <w:r w:rsidRPr="00B57973">
              <w:rPr>
                <w:bCs/>
                <w:vertAlign w:val="superscript"/>
              </w:rPr>
              <w:t>1</w:t>
            </w:r>
          </w:p>
        </w:tc>
        <w:tc>
          <w:tcPr>
            <w:tcW w:w="717" w:type="dxa"/>
            <w:noWrap/>
            <w:vAlign w:val="center"/>
            <w:hideMark/>
          </w:tcPr>
          <w:p w14:paraId="78515EF1" w14:textId="77777777" w:rsidR="00957AF6" w:rsidRPr="00B3353C" w:rsidRDefault="00957AF6" w:rsidP="00957AF6">
            <w:pPr>
              <w:widowControl w:val="0"/>
              <w:jc w:val="center"/>
              <w:rPr>
                <w:bCs/>
              </w:rPr>
            </w:pPr>
            <w:r w:rsidRPr="00B3353C">
              <w:rPr>
                <w:bCs/>
              </w:rPr>
              <w:t>140</w:t>
            </w:r>
          </w:p>
        </w:tc>
        <w:tc>
          <w:tcPr>
            <w:tcW w:w="697" w:type="dxa"/>
            <w:noWrap/>
            <w:vAlign w:val="center"/>
            <w:hideMark/>
          </w:tcPr>
          <w:p w14:paraId="64B4348A" w14:textId="036E8C59" w:rsidR="00957AF6" w:rsidRPr="00B3353C" w:rsidRDefault="00957AF6" w:rsidP="00957AF6">
            <w:pPr>
              <w:widowControl w:val="0"/>
              <w:jc w:val="center"/>
              <w:rPr>
                <w:bCs/>
              </w:rPr>
            </w:pPr>
            <w:r w:rsidRPr="00B3353C">
              <w:rPr>
                <w:bCs/>
              </w:rPr>
              <w:t>8.</w:t>
            </w:r>
            <w:r>
              <w:rPr>
                <w:bCs/>
              </w:rPr>
              <w:t>1</w:t>
            </w:r>
          </w:p>
        </w:tc>
        <w:tc>
          <w:tcPr>
            <w:tcW w:w="2417" w:type="dxa"/>
            <w:noWrap/>
            <w:vAlign w:val="center"/>
          </w:tcPr>
          <w:p w14:paraId="70508F09" w14:textId="63F681F0" w:rsidR="00957AF6" w:rsidRPr="00B3353C" w:rsidRDefault="00957AF6" w:rsidP="00957AF6">
            <w:pPr>
              <w:widowControl w:val="0"/>
              <w:rPr>
                <w:bCs/>
              </w:rPr>
            </w:pPr>
            <w:r>
              <w:rPr>
                <w:bCs/>
              </w:rPr>
              <w:t>Healthcare Support</w:t>
            </w:r>
          </w:p>
        </w:tc>
        <w:tc>
          <w:tcPr>
            <w:tcW w:w="1795" w:type="dxa"/>
            <w:noWrap/>
            <w:vAlign w:val="center"/>
          </w:tcPr>
          <w:p w14:paraId="5D8C449A" w14:textId="6138E299" w:rsidR="00957AF6" w:rsidRPr="00B3353C" w:rsidRDefault="00957AF6" w:rsidP="00957AF6">
            <w:pPr>
              <w:widowControl w:val="0"/>
              <w:jc w:val="center"/>
              <w:rPr>
                <w:bCs/>
              </w:rPr>
            </w:pPr>
            <w:r>
              <w:rPr>
                <w:bCs/>
              </w:rPr>
              <w:t>9.4 (3.3, 15.5)</w:t>
            </w:r>
          </w:p>
        </w:tc>
        <w:tc>
          <w:tcPr>
            <w:tcW w:w="994" w:type="dxa"/>
            <w:noWrap/>
            <w:vAlign w:val="center"/>
          </w:tcPr>
          <w:p w14:paraId="6930BD5B" w14:textId="0261C852" w:rsidR="00957AF6" w:rsidRPr="00B3353C" w:rsidRDefault="00957AF6" w:rsidP="00957AF6">
            <w:pPr>
              <w:widowControl w:val="0"/>
              <w:jc w:val="center"/>
              <w:rPr>
                <w:bCs/>
              </w:rPr>
            </w:pPr>
            <w:r>
              <w:rPr>
                <w:bCs/>
              </w:rPr>
              <w:t>36</w:t>
            </w:r>
          </w:p>
        </w:tc>
        <w:tc>
          <w:tcPr>
            <w:tcW w:w="995" w:type="dxa"/>
            <w:noWrap/>
            <w:vAlign w:val="center"/>
          </w:tcPr>
          <w:p w14:paraId="0DDD3E1A" w14:textId="71324759" w:rsidR="00957AF6" w:rsidRPr="00B3353C" w:rsidRDefault="00957AF6" w:rsidP="00957AF6">
            <w:pPr>
              <w:widowControl w:val="0"/>
              <w:jc w:val="center"/>
              <w:rPr>
                <w:bCs/>
              </w:rPr>
            </w:pPr>
            <w:r>
              <w:rPr>
                <w:bCs/>
              </w:rPr>
              <w:t>7.7</w:t>
            </w:r>
          </w:p>
        </w:tc>
      </w:tr>
      <w:tr w:rsidR="00957AF6" w:rsidRPr="00B3353C" w14:paraId="45F0DF0D" w14:textId="77777777" w:rsidTr="00CA636A">
        <w:trPr>
          <w:trHeight w:val="270"/>
        </w:trPr>
        <w:tc>
          <w:tcPr>
            <w:tcW w:w="2407" w:type="dxa"/>
            <w:noWrap/>
            <w:vAlign w:val="center"/>
            <w:hideMark/>
          </w:tcPr>
          <w:p w14:paraId="64E3B724" w14:textId="7F2BA912" w:rsidR="00957AF6" w:rsidRPr="00B3353C" w:rsidRDefault="00957AF6" w:rsidP="00957AF6">
            <w:pPr>
              <w:widowControl w:val="0"/>
              <w:rPr>
                <w:bCs/>
              </w:rPr>
            </w:pPr>
            <w:r w:rsidRPr="00B3353C">
              <w:rPr>
                <w:bCs/>
              </w:rPr>
              <w:t>Protective Service</w:t>
            </w:r>
          </w:p>
        </w:tc>
        <w:tc>
          <w:tcPr>
            <w:tcW w:w="1966" w:type="dxa"/>
            <w:noWrap/>
            <w:vAlign w:val="center"/>
          </w:tcPr>
          <w:p w14:paraId="0EF5DA97" w14:textId="5E59EAEF" w:rsidR="00957AF6" w:rsidRPr="00F43F12" w:rsidRDefault="00957AF6" w:rsidP="00957AF6">
            <w:pPr>
              <w:widowControl w:val="0"/>
              <w:jc w:val="center"/>
              <w:rPr>
                <w:bCs/>
              </w:rPr>
            </w:pPr>
            <w:r>
              <w:rPr>
                <w:bCs/>
              </w:rPr>
              <w:t>32.5 (18.0, 46.9)</w:t>
            </w:r>
            <w:r w:rsidRPr="00B57973">
              <w:rPr>
                <w:bCs/>
                <w:vertAlign w:val="superscript"/>
              </w:rPr>
              <w:t>1</w:t>
            </w:r>
          </w:p>
        </w:tc>
        <w:tc>
          <w:tcPr>
            <w:tcW w:w="717" w:type="dxa"/>
            <w:noWrap/>
            <w:vAlign w:val="center"/>
            <w:hideMark/>
          </w:tcPr>
          <w:p w14:paraId="08CF85A9" w14:textId="77777777" w:rsidR="00957AF6" w:rsidRPr="00B3353C" w:rsidRDefault="00957AF6" w:rsidP="00957AF6">
            <w:pPr>
              <w:widowControl w:val="0"/>
              <w:jc w:val="center"/>
              <w:rPr>
                <w:bCs/>
              </w:rPr>
            </w:pPr>
            <w:r w:rsidRPr="00B3353C">
              <w:rPr>
                <w:bCs/>
              </w:rPr>
              <w:t>78</w:t>
            </w:r>
          </w:p>
        </w:tc>
        <w:tc>
          <w:tcPr>
            <w:tcW w:w="697" w:type="dxa"/>
            <w:noWrap/>
            <w:vAlign w:val="center"/>
            <w:hideMark/>
          </w:tcPr>
          <w:p w14:paraId="1C475DB8" w14:textId="77777777" w:rsidR="00957AF6" w:rsidRPr="00B3353C" w:rsidRDefault="00957AF6" w:rsidP="00957AF6">
            <w:pPr>
              <w:widowControl w:val="0"/>
              <w:jc w:val="center"/>
              <w:rPr>
                <w:bCs/>
              </w:rPr>
            </w:pPr>
            <w:r w:rsidRPr="00B3353C">
              <w:rPr>
                <w:bCs/>
              </w:rPr>
              <w:t>4.5</w:t>
            </w:r>
          </w:p>
        </w:tc>
        <w:tc>
          <w:tcPr>
            <w:tcW w:w="2417" w:type="dxa"/>
            <w:noWrap/>
            <w:vAlign w:val="center"/>
          </w:tcPr>
          <w:p w14:paraId="78E30D98" w14:textId="7BB1CB65" w:rsidR="00957AF6" w:rsidRPr="00B3353C" w:rsidRDefault="00957AF6" w:rsidP="00957AF6">
            <w:pPr>
              <w:widowControl w:val="0"/>
              <w:rPr>
                <w:bCs/>
              </w:rPr>
            </w:pPr>
            <w:r>
              <w:rPr>
                <w:bCs/>
              </w:rPr>
              <w:t>Food Preparation and Serving Related</w:t>
            </w:r>
          </w:p>
        </w:tc>
        <w:tc>
          <w:tcPr>
            <w:tcW w:w="1795" w:type="dxa"/>
            <w:noWrap/>
            <w:vAlign w:val="center"/>
          </w:tcPr>
          <w:p w14:paraId="398D7170" w14:textId="3A96CD7C" w:rsidR="00957AF6" w:rsidRPr="00B3353C" w:rsidRDefault="00957AF6" w:rsidP="00957AF6">
            <w:pPr>
              <w:widowControl w:val="0"/>
              <w:jc w:val="center"/>
              <w:rPr>
                <w:bCs/>
              </w:rPr>
            </w:pPr>
            <w:r>
              <w:rPr>
                <w:bCs/>
              </w:rPr>
              <w:t>8.6 (2.9, 14.2)</w:t>
            </w:r>
          </w:p>
        </w:tc>
        <w:tc>
          <w:tcPr>
            <w:tcW w:w="994" w:type="dxa"/>
            <w:noWrap/>
            <w:vAlign w:val="center"/>
          </w:tcPr>
          <w:p w14:paraId="02459ADA" w14:textId="63A40187" w:rsidR="00957AF6" w:rsidRPr="00B3353C" w:rsidRDefault="00957AF6" w:rsidP="00957AF6">
            <w:pPr>
              <w:widowControl w:val="0"/>
              <w:jc w:val="center"/>
              <w:rPr>
                <w:bCs/>
              </w:rPr>
            </w:pPr>
            <w:r>
              <w:rPr>
                <w:bCs/>
              </w:rPr>
              <w:t>35</w:t>
            </w:r>
          </w:p>
        </w:tc>
        <w:tc>
          <w:tcPr>
            <w:tcW w:w="995" w:type="dxa"/>
            <w:noWrap/>
            <w:vAlign w:val="center"/>
          </w:tcPr>
          <w:p w14:paraId="43524369" w14:textId="25DB825E" w:rsidR="00957AF6" w:rsidRPr="00B3353C" w:rsidRDefault="00957AF6" w:rsidP="00957AF6">
            <w:pPr>
              <w:widowControl w:val="0"/>
              <w:jc w:val="center"/>
              <w:rPr>
                <w:bCs/>
              </w:rPr>
            </w:pPr>
            <w:r>
              <w:rPr>
                <w:bCs/>
              </w:rPr>
              <w:t>7.5</w:t>
            </w:r>
          </w:p>
        </w:tc>
      </w:tr>
      <w:tr w:rsidR="00957AF6" w:rsidRPr="00B3353C" w14:paraId="6F8D8302" w14:textId="77777777" w:rsidTr="00CA636A">
        <w:trPr>
          <w:trHeight w:val="270"/>
        </w:trPr>
        <w:tc>
          <w:tcPr>
            <w:tcW w:w="2407" w:type="dxa"/>
            <w:noWrap/>
            <w:vAlign w:val="center"/>
            <w:hideMark/>
          </w:tcPr>
          <w:p w14:paraId="44A9C047" w14:textId="4C9BA1C7" w:rsidR="00957AF6" w:rsidRPr="00B3353C" w:rsidRDefault="00957AF6" w:rsidP="00957AF6">
            <w:pPr>
              <w:widowControl w:val="0"/>
              <w:rPr>
                <w:bCs/>
              </w:rPr>
            </w:pPr>
            <w:r w:rsidRPr="00B3353C">
              <w:rPr>
                <w:bCs/>
              </w:rPr>
              <w:t>Arts, Design, Entertainment</w:t>
            </w:r>
            <w:r>
              <w:rPr>
                <w:bCs/>
              </w:rPr>
              <w:t>, Sports, and Media</w:t>
            </w:r>
          </w:p>
        </w:tc>
        <w:tc>
          <w:tcPr>
            <w:tcW w:w="1966" w:type="dxa"/>
            <w:noWrap/>
            <w:vAlign w:val="center"/>
          </w:tcPr>
          <w:p w14:paraId="3F42335E" w14:textId="526D3EAF" w:rsidR="00957AF6" w:rsidRPr="00347B51" w:rsidRDefault="00957AF6" w:rsidP="00957AF6">
            <w:pPr>
              <w:widowControl w:val="0"/>
              <w:jc w:val="center"/>
              <w:rPr>
                <w:bCs/>
              </w:rPr>
            </w:pPr>
            <w:r>
              <w:rPr>
                <w:bCs/>
              </w:rPr>
              <w:t>29.0 (12.3, 45.8)</w:t>
            </w:r>
          </w:p>
        </w:tc>
        <w:tc>
          <w:tcPr>
            <w:tcW w:w="717" w:type="dxa"/>
            <w:noWrap/>
            <w:vAlign w:val="center"/>
            <w:hideMark/>
          </w:tcPr>
          <w:p w14:paraId="69B9733D" w14:textId="77777777" w:rsidR="00957AF6" w:rsidRPr="00B3353C" w:rsidRDefault="00957AF6" w:rsidP="00957AF6">
            <w:pPr>
              <w:widowControl w:val="0"/>
              <w:jc w:val="center"/>
              <w:rPr>
                <w:bCs/>
              </w:rPr>
            </w:pPr>
            <w:r w:rsidRPr="00B3353C">
              <w:rPr>
                <w:bCs/>
              </w:rPr>
              <w:t>46</w:t>
            </w:r>
          </w:p>
        </w:tc>
        <w:tc>
          <w:tcPr>
            <w:tcW w:w="697" w:type="dxa"/>
            <w:noWrap/>
            <w:vAlign w:val="center"/>
            <w:hideMark/>
          </w:tcPr>
          <w:p w14:paraId="0A86E00D" w14:textId="332E1E95" w:rsidR="00957AF6" w:rsidRPr="00B3353C" w:rsidRDefault="00957AF6" w:rsidP="00957AF6">
            <w:pPr>
              <w:widowControl w:val="0"/>
              <w:jc w:val="center"/>
              <w:rPr>
                <w:bCs/>
              </w:rPr>
            </w:pPr>
            <w:r w:rsidRPr="00B3353C">
              <w:rPr>
                <w:bCs/>
              </w:rPr>
              <w:t>2.</w:t>
            </w:r>
            <w:r>
              <w:rPr>
                <w:bCs/>
              </w:rPr>
              <w:t>7</w:t>
            </w:r>
          </w:p>
        </w:tc>
        <w:tc>
          <w:tcPr>
            <w:tcW w:w="2417" w:type="dxa"/>
            <w:noWrap/>
            <w:vAlign w:val="center"/>
          </w:tcPr>
          <w:p w14:paraId="734E13FB" w14:textId="00EA448B" w:rsidR="00957AF6" w:rsidRPr="00B3353C" w:rsidRDefault="00957AF6" w:rsidP="00957AF6">
            <w:pPr>
              <w:widowControl w:val="0"/>
              <w:rPr>
                <w:bCs/>
              </w:rPr>
            </w:pPr>
            <w:r>
              <w:rPr>
                <w:bCs/>
              </w:rPr>
              <w:t>Sales and Related</w:t>
            </w:r>
          </w:p>
        </w:tc>
        <w:tc>
          <w:tcPr>
            <w:tcW w:w="1795" w:type="dxa"/>
            <w:noWrap/>
            <w:vAlign w:val="center"/>
          </w:tcPr>
          <w:p w14:paraId="15618C68" w14:textId="64EACC75" w:rsidR="00957AF6" w:rsidRPr="00B3353C" w:rsidRDefault="00957AF6" w:rsidP="00957AF6">
            <w:pPr>
              <w:widowControl w:val="0"/>
              <w:jc w:val="center"/>
              <w:rPr>
                <w:bCs/>
              </w:rPr>
            </w:pPr>
            <w:r>
              <w:rPr>
                <w:bCs/>
              </w:rPr>
              <w:t>7.7 (3.5, 12.0)</w:t>
            </w:r>
          </w:p>
        </w:tc>
        <w:tc>
          <w:tcPr>
            <w:tcW w:w="994" w:type="dxa"/>
            <w:noWrap/>
            <w:vAlign w:val="center"/>
          </w:tcPr>
          <w:p w14:paraId="5A542DF3" w14:textId="12F1DD74" w:rsidR="00957AF6" w:rsidRPr="00B3353C" w:rsidRDefault="00957AF6" w:rsidP="00957AF6">
            <w:pPr>
              <w:widowControl w:val="0"/>
              <w:jc w:val="center"/>
              <w:rPr>
                <w:bCs/>
              </w:rPr>
            </w:pPr>
            <w:r>
              <w:rPr>
                <w:bCs/>
              </w:rPr>
              <w:t>50</w:t>
            </w:r>
          </w:p>
        </w:tc>
        <w:tc>
          <w:tcPr>
            <w:tcW w:w="995" w:type="dxa"/>
            <w:noWrap/>
            <w:vAlign w:val="center"/>
          </w:tcPr>
          <w:p w14:paraId="6A7397A5" w14:textId="4033FA14" w:rsidR="00957AF6" w:rsidRPr="00B3353C" w:rsidRDefault="00957AF6" w:rsidP="00957AF6">
            <w:pPr>
              <w:widowControl w:val="0"/>
              <w:jc w:val="center"/>
              <w:rPr>
                <w:bCs/>
              </w:rPr>
            </w:pPr>
            <w:r>
              <w:rPr>
                <w:bCs/>
              </w:rPr>
              <w:t>10.8</w:t>
            </w:r>
          </w:p>
        </w:tc>
      </w:tr>
      <w:tr w:rsidR="00957AF6" w:rsidRPr="00B3353C" w14:paraId="40A43E95" w14:textId="77777777" w:rsidTr="009E60AA">
        <w:trPr>
          <w:trHeight w:val="270"/>
        </w:trPr>
        <w:tc>
          <w:tcPr>
            <w:tcW w:w="2407" w:type="dxa"/>
            <w:noWrap/>
            <w:vAlign w:val="center"/>
            <w:hideMark/>
          </w:tcPr>
          <w:p w14:paraId="22E7DD6A" w14:textId="26F99EA5" w:rsidR="00957AF6" w:rsidRPr="00B3353C" w:rsidRDefault="00957AF6" w:rsidP="00957AF6">
            <w:pPr>
              <w:widowControl w:val="0"/>
              <w:rPr>
                <w:b/>
                <w:bCs/>
              </w:rPr>
            </w:pPr>
            <w:r w:rsidRPr="00B3353C">
              <w:rPr>
                <w:b/>
                <w:bCs/>
              </w:rPr>
              <w:t>All Occupations</w:t>
            </w:r>
          </w:p>
        </w:tc>
        <w:tc>
          <w:tcPr>
            <w:tcW w:w="1966" w:type="dxa"/>
            <w:noWrap/>
            <w:vAlign w:val="center"/>
            <w:hideMark/>
          </w:tcPr>
          <w:p w14:paraId="3425DE63" w14:textId="1EB2A3BC" w:rsidR="00957AF6" w:rsidRPr="00347B51" w:rsidRDefault="00957AF6" w:rsidP="00957AF6">
            <w:pPr>
              <w:widowControl w:val="0"/>
              <w:jc w:val="center"/>
              <w:rPr>
                <w:b/>
              </w:rPr>
            </w:pPr>
            <w:r>
              <w:rPr>
                <w:bCs/>
              </w:rPr>
              <w:t>23.3 (21.1, 25.5)</w:t>
            </w:r>
            <w:r w:rsidRPr="00B57973">
              <w:rPr>
                <w:bCs/>
                <w:vertAlign w:val="superscript"/>
              </w:rPr>
              <w:t>1</w:t>
            </w:r>
          </w:p>
        </w:tc>
        <w:tc>
          <w:tcPr>
            <w:tcW w:w="717" w:type="dxa"/>
            <w:noWrap/>
            <w:vAlign w:val="center"/>
            <w:hideMark/>
          </w:tcPr>
          <w:p w14:paraId="2BD13C41" w14:textId="13EE20F4" w:rsidR="00957AF6" w:rsidRPr="00526880" w:rsidRDefault="00957AF6" w:rsidP="00957AF6">
            <w:pPr>
              <w:widowControl w:val="0"/>
              <w:jc w:val="center"/>
              <w:rPr>
                <w:b/>
              </w:rPr>
            </w:pPr>
            <w:r w:rsidRPr="00526880">
              <w:rPr>
                <w:b/>
              </w:rPr>
              <w:t>1,722</w:t>
            </w:r>
          </w:p>
        </w:tc>
        <w:tc>
          <w:tcPr>
            <w:tcW w:w="697" w:type="dxa"/>
            <w:noWrap/>
            <w:vAlign w:val="center"/>
            <w:hideMark/>
          </w:tcPr>
          <w:p w14:paraId="15015D9C" w14:textId="0B5805A9" w:rsidR="00957AF6" w:rsidRPr="00526880" w:rsidRDefault="00957AF6" w:rsidP="00957AF6">
            <w:pPr>
              <w:widowControl w:val="0"/>
              <w:jc w:val="center"/>
              <w:rPr>
                <w:b/>
              </w:rPr>
            </w:pPr>
            <w:r w:rsidRPr="00526880">
              <w:rPr>
                <w:b/>
              </w:rPr>
              <w:t>79.0</w:t>
            </w:r>
          </w:p>
        </w:tc>
        <w:tc>
          <w:tcPr>
            <w:tcW w:w="2417" w:type="dxa"/>
            <w:noWrap/>
            <w:vAlign w:val="center"/>
            <w:hideMark/>
          </w:tcPr>
          <w:p w14:paraId="7070F4E6" w14:textId="77777777" w:rsidR="00957AF6" w:rsidRPr="00B3353C" w:rsidRDefault="00957AF6" w:rsidP="00957AF6">
            <w:pPr>
              <w:widowControl w:val="0"/>
              <w:rPr>
                <w:b/>
                <w:bCs/>
              </w:rPr>
            </w:pPr>
            <w:r w:rsidRPr="00B3353C">
              <w:rPr>
                <w:b/>
                <w:bCs/>
              </w:rPr>
              <w:t>All Occupations</w:t>
            </w:r>
          </w:p>
        </w:tc>
        <w:tc>
          <w:tcPr>
            <w:tcW w:w="1795" w:type="dxa"/>
            <w:noWrap/>
            <w:vAlign w:val="center"/>
            <w:hideMark/>
          </w:tcPr>
          <w:p w14:paraId="3870037B" w14:textId="4640271B" w:rsidR="00957AF6" w:rsidRPr="00526880" w:rsidRDefault="00957AF6" w:rsidP="00957AF6">
            <w:pPr>
              <w:widowControl w:val="0"/>
              <w:jc w:val="center"/>
              <w:rPr>
                <w:b/>
              </w:rPr>
            </w:pPr>
            <w:r>
              <w:rPr>
                <w:b/>
              </w:rPr>
              <w:t>6.5 (5.3, 7.7)</w:t>
            </w:r>
          </w:p>
        </w:tc>
        <w:tc>
          <w:tcPr>
            <w:tcW w:w="994" w:type="dxa"/>
            <w:noWrap/>
            <w:vAlign w:val="center"/>
            <w:hideMark/>
          </w:tcPr>
          <w:p w14:paraId="3C425D20" w14:textId="77777777" w:rsidR="00957AF6" w:rsidRPr="00526880" w:rsidRDefault="00957AF6" w:rsidP="00957AF6">
            <w:pPr>
              <w:widowControl w:val="0"/>
              <w:jc w:val="center"/>
              <w:rPr>
                <w:b/>
              </w:rPr>
            </w:pPr>
            <w:r w:rsidRPr="00526880">
              <w:rPr>
                <w:b/>
              </w:rPr>
              <w:t>464</w:t>
            </w:r>
          </w:p>
        </w:tc>
        <w:tc>
          <w:tcPr>
            <w:tcW w:w="995" w:type="dxa"/>
            <w:noWrap/>
            <w:vAlign w:val="center"/>
            <w:hideMark/>
          </w:tcPr>
          <w:p w14:paraId="58FB6D7D" w14:textId="6213899B" w:rsidR="00957AF6" w:rsidRPr="00526880" w:rsidRDefault="00957AF6" w:rsidP="00957AF6">
            <w:pPr>
              <w:widowControl w:val="0"/>
              <w:jc w:val="center"/>
              <w:rPr>
                <w:b/>
              </w:rPr>
            </w:pPr>
            <w:r w:rsidRPr="00526880">
              <w:rPr>
                <w:b/>
              </w:rPr>
              <w:t>21.0</w:t>
            </w:r>
          </w:p>
        </w:tc>
      </w:tr>
    </w:tbl>
    <w:p w14:paraId="2EB0EBF3" w14:textId="5C57F564" w:rsidR="00E96AC1" w:rsidRDefault="00B3353C" w:rsidP="00DF6715">
      <w:pPr>
        <w:widowControl w:val="0"/>
        <w:rPr>
          <w:bCs/>
        </w:rPr>
      </w:pPr>
      <w:r>
        <w:rPr>
          <w:bCs/>
        </w:rPr>
        <w:fldChar w:fldCharType="end"/>
      </w:r>
    </w:p>
    <w:p w14:paraId="10BFAD53" w14:textId="5D1DF740" w:rsidR="000A0A89" w:rsidRDefault="000A0A89" w:rsidP="00526880">
      <w:pPr>
        <w:widowControl w:val="0"/>
        <w:rPr>
          <w:rFonts w:ascii="Times New Roman" w:hAnsi="Times New Roman"/>
          <w:b/>
          <w:color w:val="194D80"/>
          <w:sz w:val="28"/>
          <w:szCs w:val="28"/>
        </w:rPr>
      </w:pPr>
    </w:p>
    <w:p w14:paraId="72CC11B4" w14:textId="77777777" w:rsidR="008B1D34" w:rsidRPr="00515D58" w:rsidRDefault="008B1D34" w:rsidP="00515D58">
      <w:pPr>
        <w:pStyle w:val="ListParagraph"/>
        <w:widowControl w:val="0"/>
        <w:rPr>
          <w:rFonts w:ascii="Times New Roman" w:hAnsi="Times New Roman"/>
          <w:bCs/>
          <w:color w:val="194D80"/>
          <w:sz w:val="28"/>
          <w:szCs w:val="28"/>
        </w:rPr>
      </w:pPr>
    </w:p>
    <w:p w14:paraId="5EDBC431" w14:textId="746A1B50" w:rsidR="008B1D34" w:rsidRDefault="008B1D34" w:rsidP="00515D58">
      <w:pPr>
        <w:pStyle w:val="ListParagraph"/>
        <w:widowControl w:val="0"/>
        <w:rPr>
          <w:rFonts w:ascii="Times New Roman" w:hAnsi="Times New Roman"/>
          <w:bCs/>
          <w:color w:val="194D80"/>
          <w:sz w:val="28"/>
          <w:szCs w:val="28"/>
        </w:rPr>
      </w:pPr>
    </w:p>
    <w:p w14:paraId="25A6B27E" w14:textId="77777777" w:rsidR="00D228CE" w:rsidRPr="00515D58" w:rsidRDefault="00D228CE" w:rsidP="00515D58">
      <w:pPr>
        <w:pStyle w:val="ListParagraph"/>
        <w:widowControl w:val="0"/>
        <w:rPr>
          <w:rFonts w:ascii="Times New Roman" w:hAnsi="Times New Roman"/>
          <w:bCs/>
          <w:color w:val="194D80"/>
          <w:sz w:val="28"/>
          <w:szCs w:val="28"/>
        </w:rPr>
      </w:pPr>
    </w:p>
    <w:p w14:paraId="61A3311C" w14:textId="7235EB78" w:rsidR="00526880" w:rsidRPr="002D09D6" w:rsidRDefault="00DA2DA5" w:rsidP="002D09D6">
      <w:pPr>
        <w:pStyle w:val="ListParagraph"/>
        <w:widowControl w:val="0"/>
        <w:numPr>
          <w:ilvl w:val="0"/>
          <w:numId w:val="12"/>
        </w:numPr>
        <w:rPr>
          <w:rFonts w:ascii="Times New Roman" w:hAnsi="Times New Roman"/>
          <w:bCs/>
          <w:color w:val="194D80"/>
          <w:sz w:val="28"/>
          <w:szCs w:val="28"/>
        </w:rPr>
      </w:pPr>
      <w:r>
        <w:rPr>
          <w:bCs/>
        </w:rPr>
        <w:t xml:space="preserve">Among the 2,199 suicides, </w:t>
      </w:r>
      <w:r w:rsidRPr="003A08A7">
        <w:rPr>
          <w:bCs/>
        </w:rPr>
        <w:t xml:space="preserve">79.0% of </w:t>
      </w:r>
      <w:r>
        <w:rPr>
          <w:bCs/>
        </w:rPr>
        <w:t>were</w:t>
      </w:r>
      <w:r w:rsidRPr="003A08A7">
        <w:rPr>
          <w:bCs/>
        </w:rPr>
        <w:t xml:space="preserve"> male </w:t>
      </w:r>
      <w:r w:rsidR="00737143">
        <w:rPr>
          <w:bCs/>
        </w:rPr>
        <w:t>and</w:t>
      </w:r>
      <w:r w:rsidR="00737143" w:rsidRPr="003A08A7">
        <w:rPr>
          <w:bCs/>
        </w:rPr>
        <w:t xml:space="preserve"> </w:t>
      </w:r>
      <w:r w:rsidRPr="003A08A7">
        <w:rPr>
          <w:bCs/>
        </w:rPr>
        <w:t xml:space="preserve">21.0% </w:t>
      </w:r>
      <w:r>
        <w:rPr>
          <w:bCs/>
        </w:rPr>
        <w:t>were</w:t>
      </w:r>
      <w:r w:rsidRPr="003A08A7">
        <w:rPr>
          <w:bCs/>
        </w:rPr>
        <w:t xml:space="preserve"> female.</w:t>
      </w:r>
    </w:p>
    <w:p w14:paraId="0488F748" w14:textId="12A6C881" w:rsidR="002D09D6" w:rsidRPr="00E573B7" w:rsidRDefault="002D09D6" w:rsidP="002D09D6">
      <w:pPr>
        <w:pStyle w:val="ListParagraph"/>
        <w:widowControl w:val="0"/>
        <w:numPr>
          <w:ilvl w:val="0"/>
          <w:numId w:val="12"/>
        </w:numPr>
        <w:rPr>
          <w:rFonts w:ascii="Times New Roman" w:hAnsi="Times New Roman"/>
          <w:bCs/>
          <w:color w:val="194D80"/>
          <w:sz w:val="28"/>
          <w:szCs w:val="28"/>
        </w:rPr>
      </w:pPr>
      <w:r>
        <w:rPr>
          <w:bCs/>
        </w:rPr>
        <w:t xml:space="preserve">Among males, </w:t>
      </w:r>
      <w:r w:rsidR="00E573B7">
        <w:rPr>
          <w:bCs/>
        </w:rPr>
        <w:t>the Construction and Extraction occupation</w:t>
      </w:r>
      <w:r w:rsidR="004361AB">
        <w:rPr>
          <w:bCs/>
        </w:rPr>
        <w:t>s</w:t>
      </w:r>
      <w:r w:rsidR="00E573B7">
        <w:rPr>
          <w:bCs/>
        </w:rPr>
        <w:t xml:space="preserve"> had the highest rate of suicides (</w:t>
      </w:r>
      <w:r w:rsidR="00957AF6">
        <w:rPr>
          <w:bCs/>
        </w:rPr>
        <w:t>49.3</w:t>
      </w:r>
      <w:r w:rsidR="00DA2DA5">
        <w:rPr>
          <w:bCs/>
        </w:rPr>
        <w:t xml:space="preserve"> deaths</w:t>
      </w:r>
      <w:r w:rsidR="00E573B7">
        <w:rPr>
          <w:bCs/>
        </w:rPr>
        <w:t xml:space="preserve">/100,000 workers), while the </w:t>
      </w:r>
      <w:r w:rsidR="00EE6574">
        <w:rPr>
          <w:bCs/>
        </w:rPr>
        <w:t>Production</w:t>
      </w:r>
      <w:r w:rsidR="00E573B7">
        <w:rPr>
          <w:bCs/>
        </w:rPr>
        <w:t xml:space="preserve"> occupation</w:t>
      </w:r>
      <w:r w:rsidR="004361AB">
        <w:rPr>
          <w:bCs/>
        </w:rPr>
        <w:t>s</w:t>
      </w:r>
      <w:r w:rsidR="00E573B7">
        <w:rPr>
          <w:bCs/>
        </w:rPr>
        <w:t xml:space="preserve"> had the highest rate of suicides among </w:t>
      </w:r>
      <w:r w:rsidR="00227809">
        <w:rPr>
          <w:bCs/>
        </w:rPr>
        <w:t xml:space="preserve">females </w:t>
      </w:r>
      <w:r w:rsidR="00E573B7">
        <w:rPr>
          <w:bCs/>
        </w:rPr>
        <w:t>(</w:t>
      </w:r>
      <w:r w:rsidR="00AE6E49">
        <w:rPr>
          <w:bCs/>
        </w:rPr>
        <w:t>9.7</w:t>
      </w:r>
      <w:r w:rsidR="00DA2DA5">
        <w:rPr>
          <w:bCs/>
        </w:rPr>
        <w:t xml:space="preserve"> deaths</w:t>
      </w:r>
      <w:r w:rsidR="00E573B7">
        <w:rPr>
          <w:bCs/>
        </w:rPr>
        <w:t>/100,000 workers).</w:t>
      </w:r>
    </w:p>
    <w:p w14:paraId="3EC2DA6A" w14:textId="440AA853" w:rsidR="00E573B7" w:rsidRDefault="008F522B" w:rsidP="002D09D6">
      <w:pPr>
        <w:pStyle w:val="ListParagraph"/>
        <w:widowControl w:val="0"/>
        <w:numPr>
          <w:ilvl w:val="0"/>
          <w:numId w:val="12"/>
        </w:numPr>
        <w:rPr>
          <w:bCs/>
        </w:rPr>
      </w:pPr>
      <w:r w:rsidRPr="008F522B">
        <w:rPr>
          <w:bCs/>
        </w:rPr>
        <w:t>Am</w:t>
      </w:r>
      <w:r>
        <w:rPr>
          <w:bCs/>
        </w:rPr>
        <w:t xml:space="preserve">ong males, the top </w:t>
      </w:r>
      <w:r w:rsidR="00D777AD">
        <w:rPr>
          <w:bCs/>
        </w:rPr>
        <w:t xml:space="preserve">four </w:t>
      </w:r>
      <w:r>
        <w:rPr>
          <w:bCs/>
        </w:rPr>
        <w:t>occupation groups with the highest rates were all significantly higher than the rate for all occupation categories among all Massachusetts workers (</w:t>
      </w:r>
      <w:r w:rsidR="00EE6574">
        <w:rPr>
          <w:bCs/>
        </w:rPr>
        <w:t>15.0</w:t>
      </w:r>
      <w:r w:rsidR="00DA2DA5">
        <w:rPr>
          <w:bCs/>
        </w:rPr>
        <w:t xml:space="preserve"> deaths </w:t>
      </w:r>
      <w:r>
        <w:rPr>
          <w:bCs/>
        </w:rPr>
        <w:t>/100,000 workers)</w:t>
      </w:r>
      <w:r w:rsidR="00DA0646">
        <w:rPr>
          <w:bCs/>
        </w:rPr>
        <w:t>.</w:t>
      </w:r>
      <w:r>
        <w:rPr>
          <w:bCs/>
        </w:rPr>
        <w:t xml:space="preserve"> </w:t>
      </w:r>
    </w:p>
    <w:p w14:paraId="0E03CB0B" w14:textId="77777777" w:rsidR="004B5E31" w:rsidRPr="008F522B" w:rsidRDefault="004B5E31" w:rsidP="004B5E31">
      <w:pPr>
        <w:pStyle w:val="ListParagraph"/>
        <w:widowControl w:val="0"/>
        <w:rPr>
          <w:bCs/>
        </w:rPr>
      </w:pPr>
    </w:p>
    <w:p w14:paraId="2E667DBF" w14:textId="3AB3CE7A" w:rsidR="000A0A89" w:rsidRPr="000A0A89" w:rsidRDefault="004D6155" w:rsidP="000A0A89">
      <w:pPr>
        <w:widowControl w:val="0"/>
        <w:rPr>
          <w:rFonts w:ascii="Times New Roman" w:hAnsi="Times New Roman"/>
          <w:b/>
          <w:color w:val="194D80"/>
          <w:sz w:val="28"/>
          <w:szCs w:val="28"/>
        </w:rPr>
      </w:pPr>
      <w:r w:rsidRPr="006665F6">
        <w:rPr>
          <w:b/>
          <w:noProof/>
          <w:color w:val="194D80"/>
          <w:sz w:val="28"/>
          <w:szCs w:val="28"/>
        </w:rPr>
        <mc:AlternateContent>
          <mc:Choice Requires="wps">
            <w:drawing>
              <wp:anchor distT="45720" distB="45720" distL="114300" distR="114300" simplePos="0" relativeHeight="251684352" behindDoc="0" locked="0" layoutInCell="1" allowOverlap="1" wp14:anchorId="7941FCFE" wp14:editId="3669BA11">
                <wp:simplePos x="0" y="0"/>
                <wp:positionH relativeFrom="margin">
                  <wp:align>left</wp:align>
                </wp:positionH>
                <wp:positionV relativeFrom="paragraph">
                  <wp:posOffset>2332134</wp:posOffset>
                </wp:positionV>
                <wp:extent cx="6445885" cy="54068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540689"/>
                        </a:xfrm>
                        <a:prstGeom prst="rect">
                          <a:avLst/>
                        </a:prstGeom>
                        <a:solidFill>
                          <a:srgbClr val="FFFFFF"/>
                        </a:solidFill>
                        <a:ln w="9525">
                          <a:noFill/>
                          <a:miter lim="800000"/>
                          <a:headEnd/>
                          <a:tailEnd/>
                        </a:ln>
                      </wps:spPr>
                      <wps:txbx>
                        <w:txbxContent>
                          <w:p w14:paraId="5550FE3E" w14:textId="77777777" w:rsidR="004970C3" w:rsidRDefault="004970C3" w:rsidP="004970C3">
                            <w:pPr>
                              <w:rPr>
                                <w:sz w:val="14"/>
                                <w:szCs w:val="14"/>
                              </w:rPr>
                            </w:pP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Pr>
                                <w:sz w:val="14"/>
                                <w:szCs w:val="14"/>
                              </w:rPr>
                              <w:t>.</w:t>
                            </w:r>
                          </w:p>
                          <w:p w14:paraId="1B8B7280" w14:textId="77777777" w:rsidR="004D6155" w:rsidRDefault="004D6155" w:rsidP="004D6155">
                            <w:pPr>
                              <w:rPr>
                                <w:sz w:val="14"/>
                                <w:szCs w:val="14"/>
                              </w:rPr>
                            </w:pPr>
                            <w:r>
                              <w:rPr>
                                <w:sz w:val="14"/>
                                <w:szCs w:val="14"/>
                              </w:rPr>
                              <w:t>Numerator source: MA Violent Death Reporting System, MA Department of Public Health, 2016-2019</w:t>
                            </w:r>
                          </w:p>
                          <w:p w14:paraId="4FB459D6" w14:textId="77777777" w:rsidR="004D6155" w:rsidRPr="0012422F" w:rsidRDefault="004D6155" w:rsidP="004D6155">
                            <w:pPr>
                              <w:rPr>
                                <w:sz w:val="14"/>
                                <w:szCs w:val="14"/>
                              </w:rPr>
                            </w:pPr>
                            <w:r>
                              <w:rPr>
                                <w:sz w:val="14"/>
                                <w:szCs w:val="14"/>
                              </w:rPr>
                              <w:t>Denominator source: American Community Survey, 2016-2019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41FCFE" id="_x0000_s1037" type="#_x0000_t202" style="position:absolute;margin-left:0;margin-top:183.65pt;width:507.55pt;height:42.55pt;z-index:251684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" stroked="f">
                <v:textbox>
                  <w:txbxContent>
                    <w:p w14:paraId="5550FE3E" w14:textId="77777777" w:rsidR="004970C3" w:rsidRDefault="004970C3" w:rsidP="004970C3">
                      <w:pPr>
                        <w:rPr>
                          <w:sz w:val="14"/>
                          <w:szCs w:val="14"/>
                        </w:rPr>
                      </w:pP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Pr>
                          <w:sz w:val="14"/>
                          <w:szCs w:val="14"/>
                        </w:rPr>
                        <w:t>.</w:t>
                      </w:r>
                    </w:p>
                    <w:p w14:paraId="1B8B7280" w14:textId="77777777" w:rsidR="004D6155" w:rsidRDefault="004D6155" w:rsidP="004D6155">
                      <w:pPr>
                        <w:rPr>
                          <w:sz w:val="14"/>
                          <w:szCs w:val="14"/>
                        </w:rPr>
                      </w:pPr>
                      <w:r>
                        <w:rPr>
                          <w:sz w:val="14"/>
                          <w:szCs w:val="14"/>
                        </w:rPr>
                        <w:t>Numerator source: MA Violent Death Reporting System, MA Department of Public Health, 2016-2019</w:t>
                      </w:r>
                    </w:p>
                    <w:p w14:paraId="4FB459D6" w14:textId="77777777" w:rsidR="004D6155" w:rsidRPr="0012422F" w:rsidRDefault="004D6155" w:rsidP="004D6155">
                      <w:pPr>
                        <w:rPr>
                          <w:sz w:val="14"/>
                          <w:szCs w:val="14"/>
                        </w:rPr>
                      </w:pPr>
                      <w:r>
                        <w:rPr>
                          <w:sz w:val="14"/>
                          <w:szCs w:val="14"/>
                        </w:rPr>
                        <w:t>Denominator source: American Community Survey, 2016-2019</w:t>
                      </w:r>
                    </w:p>
                  </w:txbxContent>
                </v:textbox>
                <w10:wrap anchorx="margin"/>
              </v:shape>
            </w:pict>
          </mc:Fallback>
        </mc:AlternateContent>
      </w:r>
      <w:r w:rsidR="000A0A89">
        <w:rPr>
          <w:noProof/>
        </w:rPr>
        <w:drawing>
          <wp:inline distT="0" distB="0" distL="0" distR="0" wp14:anchorId="1D7776B7" wp14:editId="6133460B">
            <wp:extent cx="6858000" cy="2480807"/>
            <wp:effectExtent l="0" t="0" r="0" b="0"/>
            <wp:docPr id="13" name="Chart 13">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C56BBA" w14:textId="77777777" w:rsidR="004D6155" w:rsidRPr="004D6155" w:rsidRDefault="004D6155" w:rsidP="004D6155">
      <w:pPr>
        <w:pStyle w:val="ListParagraph"/>
        <w:widowControl w:val="0"/>
        <w:rPr>
          <w:rFonts w:ascii="Times New Roman" w:hAnsi="Times New Roman"/>
          <w:b/>
          <w:sz w:val="28"/>
          <w:szCs w:val="28"/>
        </w:rPr>
      </w:pPr>
    </w:p>
    <w:p w14:paraId="63BA6FB7" w14:textId="15CB7E2A" w:rsidR="004D6155" w:rsidRPr="004D6155" w:rsidRDefault="004D6155" w:rsidP="004D6155">
      <w:pPr>
        <w:pStyle w:val="ListParagraph"/>
        <w:widowControl w:val="0"/>
        <w:rPr>
          <w:rFonts w:ascii="Times New Roman" w:hAnsi="Times New Roman"/>
          <w:b/>
          <w:sz w:val="28"/>
          <w:szCs w:val="28"/>
        </w:rPr>
      </w:pPr>
    </w:p>
    <w:p w14:paraId="40127072" w14:textId="3E660346" w:rsidR="00A67659" w:rsidRPr="008154BD" w:rsidRDefault="00A67659" w:rsidP="005A7D1E">
      <w:pPr>
        <w:pStyle w:val="ListParagraph"/>
        <w:widowControl w:val="0"/>
        <w:numPr>
          <w:ilvl w:val="0"/>
          <w:numId w:val="7"/>
        </w:numPr>
        <w:rPr>
          <w:rFonts w:ascii="Times New Roman" w:hAnsi="Times New Roman"/>
          <w:b/>
          <w:sz w:val="28"/>
          <w:szCs w:val="28"/>
        </w:rPr>
      </w:pPr>
      <w:r>
        <w:rPr>
          <w:bCs/>
        </w:rPr>
        <w:t>As the age of workers increase</w:t>
      </w:r>
      <w:r w:rsidR="008F1BE8">
        <w:rPr>
          <w:bCs/>
        </w:rPr>
        <w:t>d</w:t>
      </w:r>
      <w:r>
        <w:rPr>
          <w:bCs/>
        </w:rPr>
        <w:t xml:space="preserve">, the </w:t>
      </w:r>
      <w:r w:rsidR="008F1BE8">
        <w:rPr>
          <w:bCs/>
        </w:rPr>
        <w:t xml:space="preserve">rate of </w:t>
      </w:r>
      <w:r>
        <w:rPr>
          <w:bCs/>
        </w:rPr>
        <w:t>suicide</w:t>
      </w:r>
      <w:r w:rsidR="008F1BE8">
        <w:rPr>
          <w:bCs/>
        </w:rPr>
        <w:t>s</w:t>
      </w:r>
      <w:r>
        <w:rPr>
          <w:bCs/>
        </w:rPr>
        <w:t xml:space="preserve"> also increase</w:t>
      </w:r>
      <w:r w:rsidR="008F1BE8">
        <w:rPr>
          <w:bCs/>
        </w:rPr>
        <w:t>d</w:t>
      </w:r>
      <w:r>
        <w:rPr>
          <w:bCs/>
        </w:rPr>
        <w:t>.</w:t>
      </w:r>
    </w:p>
    <w:p w14:paraId="73D35623" w14:textId="689ECA7F" w:rsidR="00DA0646" w:rsidRPr="005B254C" w:rsidRDefault="00DA0646" w:rsidP="006B036F">
      <w:pPr>
        <w:pStyle w:val="ListParagraph"/>
        <w:widowControl w:val="0"/>
        <w:numPr>
          <w:ilvl w:val="0"/>
          <w:numId w:val="7"/>
        </w:numPr>
        <w:rPr>
          <w:rFonts w:ascii="Times New Roman" w:hAnsi="Times New Roman"/>
          <w:b/>
          <w:sz w:val="28"/>
          <w:szCs w:val="28"/>
        </w:rPr>
      </w:pPr>
      <w:r>
        <w:rPr>
          <w:bCs/>
        </w:rPr>
        <w:t xml:space="preserve">The age group65+ years old had </w:t>
      </w:r>
      <w:r w:rsidR="00D777AD">
        <w:rPr>
          <w:bCs/>
        </w:rPr>
        <w:t xml:space="preserve">a </w:t>
      </w:r>
      <w:r>
        <w:rPr>
          <w:bCs/>
        </w:rPr>
        <w:t>suicide rate statistically higher than the average rate for all Massachusetts workers</w:t>
      </w:r>
      <w:r w:rsidR="00D777AD">
        <w:rPr>
          <w:bCs/>
        </w:rPr>
        <w:t xml:space="preserve"> (</w:t>
      </w:r>
      <w:r w:rsidR="00376491">
        <w:rPr>
          <w:bCs/>
        </w:rPr>
        <w:t>37.6</w:t>
      </w:r>
      <w:r>
        <w:rPr>
          <w:bCs/>
        </w:rPr>
        <w:t xml:space="preserve"> deaths/100,000 workers).</w:t>
      </w:r>
    </w:p>
    <w:p w14:paraId="2ECB646C" w14:textId="77777777" w:rsidR="005B254C" w:rsidRPr="006B036F" w:rsidRDefault="005B254C" w:rsidP="005B254C">
      <w:pPr>
        <w:pStyle w:val="ListParagraph"/>
        <w:widowControl w:val="0"/>
        <w:rPr>
          <w:rFonts w:ascii="Times New Roman" w:hAnsi="Times New Roman"/>
          <w:b/>
          <w:sz w:val="28"/>
          <w:szCs w:val="28"/>
        </w:rPr>
      </w:pPr>
    </w:p>
    <w:p w14:paraId="17248D34" w14:textId="76E454AC" w:rsidR="00503A1E" w:rsidRDefault="00503A1E" w:rsidP="000A0A89">
      <w:pPr>
        <w:widowControl w:val="0"/>
        <w:rPr>
          <w:rFonts w:ascii="Times New Roman" w:hAnsi="Times New Roman"/>
          <w:b/>
          <w:color w:val="194D80"/>
          <w:sz w:val="28"/>
          <w:szCs w:val="28"/>
        </w:rPr>
      </w:pPr>
    </w:p>
    <w:p w14:paraId="17C80496" w14:textId="13972468" w:rsidR="000A0A89" w:rsidRDefault="00C44121" w:rsidP="000A0A89">
      <w:pPr>
        <w:widowControl w:val="0"/>
        <w:rPr>
          <w:rFonts w:ascii="Times New Roman" w:hAnsi="Times New Roman"/>
          <w:b/>
          <w:color w:val="194D80"/>
          <w:sz w:val="28"/>
          <w:szCs w:val="28"/>
        </w:rPr>
      </w:pPr>
      <w:r w:rsidRPr="00726C71">
        <w:rPr>
          <w:noProof/>
        </w:rPr>
        <w:lastRenderedPageBreak/>
        <mc:AlternateContent>
          <mc:Choice Requires="wps">
            <w:drawing>
              <wp:anchor distT="0" distB="0" distL="114300" distR="114300" simplePos="0" relativeHeight="251676160" behindDoc="0" locked="0" layoutInCell="1" allowOverlap="1" wp14:anchorId="285C52B2" wp14:editId="78DD30E1">
                <wp:simplePos x="0" y="0"/>
                <wp:positionH relativeFrom="column">
                  <wp:posOffset>0</wp:posOffset>
                </wp:positionH>
                <wp:positionV relativeFrom="paragraph">
                  <wp:posOffset>-635</wp:posOffset>
                </wp:positionV>
                <wp:extent cx="6847205" cy="2667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3ED1CF46" w14:textId="4F8ADD2E" w:rsidR="00C44121" w:rsidRPr="005E14F6" w:rsidRDefault="00C44121" w:rsidP="00C44121">
                            <w:pPr>
                              <w:jc w:val="center"/>
                              <w:rPr>
                                <w:b/>
                              </w:rPr>
                            </w:pPr>
                            <w:r>
                              <w:rPr>
                                <w:b/>
                              </w:rPr>
                              <w:t>Suicides by Socioeconomic Factor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5C52B2" id="_x0000_s1038" type="#_x0000_t202" style="position:absolute;margin-left:0;margin-top:-.05pt;width:539.15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" fillcolor="#ccc1da" stroked="f">
                <v:textbox>
                  <w:txbxContent>
                    <w:p w14:paraId="3ED1CF46" w14:textId="4F8ADD2E" w:rsidR="00C44121" w:rsidRPr="005E14F6" w:rsidRDefault="00C44121" w:rsidP="00C44121">
                      <w:pPr>
                        <w:jc w:val="center"/>
                        <w:rPr>
                          <w:b/>
                        </w:rPr>
                      </w:pPr>
                      <w:r>
                        <w:rPr>
                          <w:b/>
                        </w:rPr>
                        <w:t>Suicides by Socioeconomic Factor</w:t>
                      </w:r>
                    </w:p>
                  </w:txbxContent>
                </v:textbox>
              </v:shape>
            </w:pict>
          </mc:Fallback>
        </mc:AlternateContent>
      </w:r>
    </w:p>
    <w:p w14:paraId="04ABE17E" w14:textId="50F64510" w:rsidR="000A0A89" w:rsidRDefault="000A0A89" w:rsidP="000A0A89">
      <w:pPr>
        <w:widowControl w:val="0"/>
        <w:rPr>
          <w:rFonts w:ascii="Times New Roman" w:hAnsi="Times New Roman"/>
          <w:b/>
          <w:color w:val="194D80"/>
          <w:sz w:val="28"/>
          <w:szCs w:val="28"/>
        </w:rPr>
      </w:pPr>
    </w:p>
    <w:p w14:paraId="12C449B0" w14:textId="5EF287CE" w:rsidR="000A0A89" w:rsidRPr="000A0A89" w:rsidRDefault="000A0A89" w:rsidP="000A0A89">
      <w:pPr>
        <w:widowControl w:val="0"/>
        <w:rPr>
          <w:rFonts w:ascii="Times New Roman" w:hAnsi="Times New Roman"/>
          <w:b/>
          <w:color w:val="194D80"/>
          <w:sz w:val="28"/>
          <w:szCs w:val="28"/>
        </w:rPr>
      </w:pPr>
      <w:r>
        <w:rPr>
          <w:noProof/>
        </w:rPr>
        <w:drawing>
          <wp:inline distT="0" distB="0" distL="0" distR="0" wp14:anchorId="26560DAC" wp14:editId="576F0406">
            <wp:extent cx="6654800" cy="1971924"/>
            <wp:effectExtent l="0" t="0" r="0" b="0"/>
            <wp:docPr id="14" name="Chart 14">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28AD5D" w14:textId="02F6EDAB" w:rsidR="004E6812" w:rsidRDefault="004E6812" w:rsidP="004E6812">
      <w:pPr>
        <w:pStyle w:val="ListParagraph"/>
        <w:widowControl w:val="0"/>
        <w:rPr>
          <w:bCs/>
          <w:color w:val="000000" w:themeColor="text1"/>
        </w:rPr>
      </w:pPr>
      <w:r w:rsidRPr="006665F6">
        <w:rPr>
          <w:b/>
          <w:noProof/>
          <w:color w:val="194D80"/>
          <w:sz w:val="28"/>
          <w:szCs w:val="28"/>
        </w:rPr>
        <mc:AlternateContent>
          <mc:Choice Requires="wps">
            <w:drawing>
              <wp:anchor distT="45720" distB="45720" distL="114300" distR="114300" simplePos="0" relativeHeight="251686400" behindDoc="0" locked="0" layoutInCell="1" allowOverlap="1" wp14:anchorId="47DC6161" wp14:editId="7688B817">
                <wp:simplePos x="0" y="0"/>
                <wp:positionH relativeFrom="margin">
                  <wp:posOffset>167489</wp:posOffset>
                </wp:positionH>
                <wp:positionV relativeFrom="paragraph">
                  <wp:posOffset>9380</wp:posOffset>
                </wp:positionV>
                <wp:extent cx="6445885" cy="1122630"/>
                <wp:effectExtent l="0" t="0" r="0"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1122630"/>
                        </a:xfrm>
                        <a:prstGeom prst="rect">
                          <a:avLst/>
                        </a:prstGeom>
                        <a:solidFill>
                          <a:srgbClr val="FFFFFF"/>
                        </a:solidFill>
                        <a:ln w="9525">
                          <a:noFill/>
                          <a:miter lim="800000"/>
                          <a:headEnd/>
                          <a:tailEnd/>
                        </a:ln>
                      </wps:spPr>
                      <wps:txbx>
                        <w:txbxContent>
                          <w:p w14:paraId="08534AD3" w14:textId="30261A4F" w:rsidR="00C70BFA" w:rsidRDefault="00C70BFA" w:rsidP="00C70BFA">
                            <w:pPr>
                              <w:rPr>
                                <w:sz w:val="14"/>
                                <w:szCs w:val="14"/>
                              </w:rPr>
                            </w:pP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Pr>
                                <w:sz w:val="14"/>
                                <w:szCs w:val="14"/>
                              </w:rPr>
                              <w:t>. An additional 376 suicides were excluded due to having unknown paid sick leave data.</w:t>
                            </w:r>
                          </w:p>
                          <w:p w14:paraId="40CC22FD" w14:textId="57A63EA9" w:rsidR="00C70BFA" w:rsidRDefault="00C70BFA" w:rsidP="00C70BFA">
                            <w:pPr>
                              <w:rPr>
                                <w:sz w:val="14"/>
                                <w:szCs w:val="14"/>
                              </w:rPr>
                            </w:pPr>
                            <w:r>
                              <w:rPr>
                                <w:sz w:val="14"/>
                                <w:szCs w:val="14"/>
                              </w:rPr>
                              <w:t xml:space="preserve">†Using national data from the </w:t>
                            </w:r>
                            <w:r w:rsidR="008154BD">
                              <w:rPr>
                                <w:sz w:val="14"/>
                                <w:szCs w:val="14"/>
                              </w:rPr>
                              <w:t>U.S. Bureau of Labor Statistics (</w:t>
                            </w:r>
                            <w:r>
                              <w:rPr>
                                <w:sz w:val="14"/>
                                <w:szCs w:val="14"/>
                              </w:rPr>
                              <w:t>BLS</w:t>
                            </w:r>
                            <w:r w:rsidR="008154BD">
                              <w:rPr>
                                <w:sz w:val="14"/>
                                <w:szCs w:val="14"/>
                              </w:rPr>
                              <w:t>)</w:t>
                            </w:r>
                            <w:r>
                              <w:rPr>
                                <w:sz w:val="14"/>
                                <w:szCs w:val="14"/>
                              </w:rPr>
                              <w:t xml:space="preserve"> Employee Benefits Survey from 2019, occupational groups were categorized according to the availability level (high or low) of paid sick leave. An occupation was considered to have high availability of paid sick leave if 70% or more survey respondents within that occupation reported having access to paid sick leave.</w:t>
                            </w:r>
                            <w:r w:rsidR="00DA0646">
                              <w:rPr>
                                <w:sz w:val="14"/>
                                <w:szCs w:val="14"/>
                              </w:rPr>
                              <w:t xml:space="preserve"> An occupation was considered to have low availability of paid sick leave if less than 70% of </w:t>
                            </w:r>
                            <w:r w:rsidR="008154BD">
                              <w:rPr>
                                <w:sz w:val="14"/>
                                <w:szCs w:val="14"/>
                              </w:rPr>
                              <w:t>survey</w:t>
                            </w:r>
                            <w:r w:rsidR="00DA0646">
                              <w:rPr>
                                <w:sz w:val="14"/>
                                <w:szCs w:val="14"/>
                              </w:rPr>
                              <w:t xml:space="preserve"> respondents within that occupation reported having access to paid sick leave.</w:t>
                            </w:r>
                          </w:p>
                          <w:p w14:paraId="0C1DAB8C" w14:textId="77777777" w:rsidR="005A11F3" w:rsidRDefault="005A11F3" w:rsidP="005A11F3">
                            <w:pPr>
                              <w:rPr>
                                <w:sz w:val="14"/>
                                <w:szCs w:val="14"/>
                              </w:rPr>
                            </w:pPr>
                            <w:r>
                              <w:rPr>
                                <w:sz w:val="14"/>
                                <w:szCs w:val="14"/>
                              </w:rPr>
                              <w:t>Numerator source: MA Violent Death Reporting System, MA Department of Public Health, 2016-2019</w:t>
                            </w:r>
                          </w:p>
                          <w:p w14:paraId="694AC88A" w14:textId="77777777" w:rsidR="005A11F3" w:rsidRPr="0012422F" w:rsidRDefault="005A11F3" w:rsidP="005A11F3">
                            <w:pPr>
                              <w:rPr>
                                <w:sz w:val="14"/>
                                <w:szCs w:val="14"/>
                              </w:rPr>
                            </w:pPr>
                            <w:r>
                              <w:rPr>
                                <w:sz w:val="14"/>
                                <w:szCs w:val="14"/>
                              </w:rPr>
                              <w:t>Denominator source: American Community Survey, 2016-2019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DC6161" id="_x0000_s1039" type="#_x0000_t202" style="position:absolute;left:0;text-align:left;margin-left:13.2pt;margin-top:.75pt;width:507.55pt;height:88.4pt;z-index:251686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" stroked="f">
                <v:textbox>
                  <w:txbxContent>
                    <w:p w14:paraId="08534AD3" w14:textId="30261A4F" w:rsidR="00C70BFA" w:rsidRDefault="00C70BFA" w:rsidP="00C70BFA">
                      <w:pPr>
                        <w:rPr>
                          <w:sz w:val="14"/>
                          <w:szCs w:val="14"/>
                        </w:rPr>
                      </w:pPr>
                      <w:r w:rsidRPr="0012422F">
                        <w:rPr>
                          <w:sz w:val="14"/>
                          <w:szCs w:val="14"/>
                        </w:rPr>
                        <w:t>*This category excluded 12 suicides among those working in the military or military specific occupations due to lack of denominator information and 13 suicides because the death certificates did not contain enough information to code occupation</w:t>
                      </w:r>
                      <w:r>
                        <w:rPr>
                          <w:sz w:val="14"/>
                          <w:szCs w:val="14"/>
                        </w:rPr>
                        <w:t>. An additional 376 suicides were excluded due to having unknown paid sick leave data.</w:t>
                      </w:r>
                    </w:p>
                    <w:p w14:paraId="40CC22FD" w14:textId="57A63EA9" w:rsidR="00C70BFA" w:rsidRDefault="00C70BFA" w:rsidP="00C70BFA">
                      <w:pPr>
                        <w:rPr>
                          <w:sz w:val="14"/>
                          <w:szCs w:val="14"/>
                        </w:rPr>
                      </w:pPr>
                      <w:r>
                        <w:rPr>
                          <w:sz w:val="14"/>
                          <w:szCs w:val="14"/>
                        </w:rPr>
                        <w:t xml:space="preserve">†Using national data from the </w:t>
                      </w:r>
                      <w:r w:rsidR="008154BD">
                        <w:rPr>
                          <w:sz w:val="14"/>
                          <w:szCs w:val="14"/>
                        </w:rPr>
                        <w:t>U.S. Bureau of Labor Statistics (</w:t>
                      </w:r>
                      <w:r>
                        <w:rPr>
                          <w:sz w:val="14"/>
                          <w:szCs w:val="14"/>
                        </w:rPr>
                        <w:t>BLS</w:t>
                      </w:r>
                      <w:r w:rsidR="008154BD">
                        <w:rPr>
                          <w:sz w:val="14"/>
                          <w:szCs w:val="14"/>
                        </w:rPr>
                        <w:t>)</w:t>
                      </w:r>
                      <w:r>
                        <w:rPr>
                          <w:sz w:val="14"/>
                          <w:szCs w:val="14"/>
                        </w:rPr>
                        <w:t xml:space="preserve"> Employee Benefits Survey from 2019, occupational groups were categorized according to the availability level (high or low) of paid sick leave. An occupation was considered to have high availability of paid sick leave if 70% or more survey respondents within that occupation reported having access to paid sick leave.</w:t>
                      </w:r>
                      <w:r w:rsidR="00DA0646">
                        <w:rPr>
                          <w:sz w:val="14"/>
                          <w:szCs w:val="14"/>
                        </w:rPr>
                        <w:t xml:space="preserve"> An occupation was considered to have low availability of paid sick leave if less than 70% of </w:t>
                      </w:r>
                      <w:r w:rsidR="008154BD">
                        <w:rPr>
                          <w:sz w:val="14"/>
                          <w:szCs w:val="14"/>
                        </w:rPr>
                        <w:t>survey</w:t>
                      </w:r>
                      <w:r w:rsidR="00DA0646">
                        <w:rPr>
                          <w:sz w:val="14"/>
                          <w:szCs w:val="14"/>
                        </w:rPr>
                        <w:t xml:space="preserve"> respondents within that occupation reported having access to paid sick leave.</w:t>
                      </w:r>
                    </w:p>
                    <w:p w14:paraId="0C1DAB8C" w14:textId="77777777" w:rsidR="005A11F3" w:rsidRDefault="005A11F3" w:rsidP="005A11F3">
                      <w:pPr>
                        <w:rPr>
                          <w:sz w:val="14"/>
                          <w:szCs w:val="14"/>
                        </w:rPr>
                      </w:pPr>
                      <w:r>
                        <w:rPr>
                          <w:sz w:val="14"/>
                          <w:szCs w:val="14"/>
                        </w:rPr>
                        <w:t>Numerator source: MA Violent Death Reporting System, MA Department of Public Health, 2016-2019</w:t>
                      </w:r>
                    </w:p>
                    <w:p w14:paraId="694AC88A" w14:textId="77777777" w:rsidR="005A11F3" w:rsidRPr="0012422F" w:rsidRDefault="005A11F3" w:rsidP="005A11F3">
                      <w:pPr>
                        <w:rPr>
                          <w:sz w:val="14"/>
                          <w:szCs w:val="14"/>
                        </w:rPr>
                      </w:pPr>
                      <w:r>
                        <w:rPr>
                          <w:sz w:val="14"/>
                          <w:szCs w:val="14"/>
                        </w:rPr>
                        <w:t>Denominator source: American Community Survey, 2016-2019</w:t>
                      </w:r>
                    </w:p>
                  </w:txbxContent>
                </v:textbox>
                <w10:wrap anchorx="margin"/>
              </v:shape>
            </w:pict>
          </mc:Fallback>
        </mc:AlternateContent>
      </w:r>
    </w:p>
    <w:p w14:paraId="552B13A2" w14:textId="6191C97C" w:rsidR="004E6812" w:rsidRDefault="004E6812" w:rsidP="004E6812">
      <w:pPr>
        <w:pStyle w:val="ListParagraph"/>
        <w:widowControl w:val="0"/>
        <w:rPr>
          <w:bCs/>
          <w:color w:val="000000" w:themeColor="text1"/>
        </w:rPr>
      </w:pPr>
    </w:p>
    <w:p w14:paraId="5602E307" w14:textId="06361556" w:rsidR="004E6812" w:rsidRDefault="004E6812" w:rsidP="004E6812">
      <w:pPr>
        <w:pStyle w:val="ListParagraph"/>
        <w:widowControl w:val="0"/>
        <w:rPr>
          <w:bCs/>
          <w:color w:val="000000" w:themeColor="text1"/>
        </w:rPr>
      </w:pPr>
    </w:p>
    <w:p w14:paraId="08C7EC04" w14:textId="74AD1C3B" w:rsidR="004E6812" w:rsidRDefault="004E6812" w:rsidP="004E6812">
      <w:pPr>
        <w:pStyle w:val="ListParagraph"/>
        <w:widowControl w:val="0"/>
        <w:rPr>
          <w:bCs/>
          <w:color w:val="000000" w:themeColor="text1"/>
        </w:rPr>
      </w:pPr>
    </w:p>
    <w:p w14:paraId="3020ECDC" w14:textId="230702C5" w:rsidR="004E6812" w:rsidRDefault="004E6812" w:rsidP="004E6812">
      <w:pPr>
        <w:pStyle w:val="ListParagraph"/>
        <w:widowControl w:val="0"/>
        <w:rPr>
          <w:bCs/>
          <w:color w:val="000000" w:themeColor="text1"/>
        </w:rPr>
      </w:pPr>
    </w:p>
    <w:p w14:paraId="65F12B9D" w14:textId="345A302D" w:rsidR="004E6812" w:rsidRDefault="004E6812" w:rsidP="004E6812">
      <w:pPr>
        <w:pStyle w:val="ListParagraph"/>
        <w:widowControl w:val="0"/>
        <w:rPr>
          <w:bCs/>
          <w:color w:val="000000" w:themeColor="text1"/>
        </w:rPr>
      </w:pPr>
    </w:p>
    <w:p w14:paraId="650EB5C3" w14:textId="3FD8348A" w:rsidR="008154BD" w:rsidRDefault="008154BD" w:rsidP="008154BD">
      <w:pPr>
        <w:pStyle w:val="ListParagraph"/>
        <w:widowControl w:val="0"/>
        <w:rPr>
          <w:bCs/>
          <w:color w:val="000000" w:themeColor="text1"/>
        </w:rPr>
      </w:pPr>
    </w:p>
    <w:p w14:paraId="64646A79" w14:textId="77777777" w:rsidR="008154BD" w:rsidRPr="008154BD" w:rsidRDefault="008154BD" w:rsidP="008154BD">
      <w:pPr>
        <w:pStyle w:val="ListParagraph"/>
        <w:widowControl w:val="0"/>
        <w:rPr>
          <w:bCs/>
          <w:color w:val="000000" w:themeColor="text1"/>
        </w:rPr>
      </w:pPr>
    </w:p>
    <w:p w14:paraId="4B68506A" w14:textId="3E24CA9F" w:rsidR="004E6812" w:rsidRDefault="00DA0646" w:rsidP="00503A1E">
      <w:pPr>
        <w:pStyle w:val="ListParagraph"/>
        <w:widowControl w:val="0"/>
        <w:numPr>
          <w:ilvl w:val="0"/>
          <w:numId w:val="6"/>
        </w:numPr>
        <w:rPr>
          <w:bCs/>
          <w:color w:val="000000" w:themeColor="text1"/>
        </w:rPr>
      </w:pPr>
      <w:r>
        <w:rPr>
          <w:bCs/>
          <w:color w:val="000000" w:themeColor="text1"/>
        </w:rPr>
        <w:t>The rate of suicide</w:t>
      </w:r>
      <w:r w:rsidR="004E6812">
        <w:rPr>
          <w:bCs/>
          <w:color w:val="000000" w:themeColor="text1"/>
        </w:rPr>
        <w:t xml:space="preserve"> w</w:t>
      </w:r>
      <w:r>
        <w:rPr>
          <w:bCs/>
          <w:color w:val="000000" w:themeColor="text1"/>
        </w:rPr>
        <w:t>as</w:t>
      </w:r>
      <w:r w:rsidR="00C70BFA">
        <w:rPr>
          <w:bCs/>
          <w:color w:val="000000" w:themeColor="text1"/>
        </w:rPr>
        <w:t xml:space="preserve"> almost two times higher</w:t>
      </w:r>
      <w:r w:rsidR="004E6812">
        <w:rPr>
          <w:bCs/>
          <w:color w:val="000000" w:themeColor="text1"/>
        </w:rPr>
        <w:t xml:space="preserve"> among workers in occupation groups with low percentages of workers covered by paid sick leave </w:t>
      </w:r>
      <w:r w:rsidR="00F5494F">
        <w:rPr>
          <w:bCs/>
          <w:color w:val="000000" w:themeColor="text1"/>
        </w:rPr>
        <w:t>(</w:t>
      </w:r>
      <w:r w:rsidR="00376491">
        <w:rPr>
          <w:bCs/>
          <w:color w:val="000000" w:themeColor="text1"/>
        </w:rPr>
        <w:t>95.2</w:t>
      </w:r>
      <w:r w:rsidR="00F5494F">
        <w:rPr>
          <w:bCs/>
          <w:color w:val="000000" w:themeColor="text1"/>
        </w:rPr>
        <w:t xml:space="preserve"> deaths/100,000 workers) </w:t>
      </w:r>
      <w:r w:rsidR="004E6812">
        <w:rPr>
          <w:bCs/>
          <w:color w:val="000000" w:themeColor="text1"/>
        </w:rPr>
        <w:t>than among workers in occupation groups with high percentages of workers covered by paid sick leave</w:t>
      </w:r>
      <w:r w:rsidR="00F5494F">
        <w:rPr>
          <w:bCs/>
          <w:color w:val="000000" w:themeColor="text1"/>
        </w:rPr>
        <w:t xml:space="preserve"> (</w:t>
      </w:r>
      <w:r w:rsidR="00376491">
        <w:rPr>
          <w:bCs/>
          <w:color w:val="000000" w:themeColor="text1"/>
        </w:rPr>
        <w:t>48.4</w:t>
      </w:r>
      <w:r w:rsidR="00F5494F">
        <w:rPr>
          <w:bCs/>
          <w:color w:val="000000" w:themeColor="text1"/>
        </w:rPr>
        <w:t xml:space="preserve"> deaths/100,000 workers)</w:t>
      </w:r>
      <w:r w:rsidR="004E6812">
        <w:rPr>
          <w:bCs/>
          <w:color w:val="000000" w:themeColor="text1"/>
        </w:rPr>
        <w:t>.</w:t>
      </w:r>
    </w:p>
    <w:p w14:paraId="6E9A84DD" w14:textId="0FD51459" w:rsidR="00CA636A" w:rsidRDefault="004E6812" w:rsidP="00CA636A">
      <w:pPr>
        <w:pStyle w:val="ListParagraph"/>
        <w:widowControl w:val="0"/>
        <w:numPr>
          <w:ilvl w:val="0"/>
          <w:numId w:val="6"/>
        </w:numPr>
        <w:rPr>
          <w:bCs/>
          <w:color w:val="000000" w:themeColor="text1"/>
        </w:rPr>
      </w:pPr>
      <w:r>
        <w:rPr>
          <w:bCs/>
          <w:color w:val="000000" w:themeColor="text1"/>
        </w:rPr>
        <w:t xml:space="preserve">The paid sick leave data </w:t>
      </w:r>
      <w:r w:rsidR="00227809">
        <w:rPr>
          <w:bCs/>
          <w:color w:val="000000" w:themeColor="text1"/>
        </w:rPr>
        <w:t xml:space="preserve">used </w:t>
      </w:r>
      <w:r>
        <w:rPr>
          <w:bCs/>
          <w:color w:val="000000" w:themeColor="text1"/>
        </w:rPr>
        <w:t xml:space="preserve">in Figure 5 represents the United States as a </w:t>
      </w:r>
      <w:proofErr w:type="gramStart"/>
      <w:r>
        <w:rPr>
          <w:bCs/>
          <w:color w:val="000000" w:themeColor="text1"/>
        </w:rPr>
        <w:t>whole</w:t>
      </w:r>
      <w:r w:rsidR="00227809">
        <w:rPr>
          <w:bCs/>
          <w:color w:val="000000" w:themeColor="text1"/>
        </w:rPr>
        <w:t>,</w:t>
      </w:r>
      <w:r>
        <w:rPr>
          <w:bCs/>
          <w:color w:val="000000" w:themeColor="text1"/>
        </w:rPr>
        <w:t xml:space="preserve"> and</w:t>
      </w:r>
      <w:proofErr w:type="gramEnd"/>
      <w:r>
        <w:rPr>
          <w:bCs/>
          <w:color w:val="000000" w:themeColor="text1"/>
        </w:rPr>
        <w:t xml:space="preserve"> is not specific to Massachusetts. To note, the Massachusetts Earned Sick Time Law went into effect in July 2015 and was implemented in 2016. This law covers most</w:t>
      </w:r>
      <w:r w:rsidR="00227809">
        <w:rPr>
          <w:bCs/>
          <w:color w:val="000000" w:themeColor="text1"/>
        </w:rPr>
        <w:t>,</w:t>
      </w:r>
      <w:r>
        <w:rPr>
          <w:bCs/>
          <w:color w:val="000000" w:themeColor="text1"/>
        </w:rPr>
        <w:t xml:space="preserve"> but not all workers in the Commonwealth.</w:t>
      </w:r>
      <w:r w:rsidR="002D635C">
        <w:rPr>
          <w:bCs/>
          <w:color w:val="000000" w:themeColor="text1"/>
        </w:rPr>
        <w:t xml:space="preserve">  Paid sick leave offers workers an opportunity to receive paid time off from work to recover from </w:t>
      </w:r>
      <w:r w:rsidR="002D635C" w:rsidRPr="002D635C">
        <w:rPr>
          <w:bCs/>
          <w:color w:val="000000" w:themeColor="text1"/>
        </w:rPr>
        <w:t>physical</w:t>
      </w:r>
      <w:r w:rsidR="002D635C">
        <w:rPr>
          <w:bCs/>
          <w:color w:val="000000" w:themeColor="text1"/>
        </w:rPr>
        <w:t xml:space="preserve"> as well as </w:t>
      </w:r>
      <w:r w:rsidR="002D635C" w:rsidRPr="002D635C">
        <w:rPr>
          <w:bCs/>
          <w:color w:val="000000" w:themeColor="text1"/>
        </w:rPr>
        <w:t>mental illness or injury</w:t>
      </w:r>
      <w:r w:rsidR="002D635C">
        <w:rPr>
          <w:bCs/>
          <w:color w:val="000000" w:themeColor="text1"/>
        </w:rPr>
        <w:t xml:space="preserve">, and </w:t>
      </w:r>
      <w:r w:rsidR="002D635C" w:rsidRPr="002D635C">
        <w:rPr>
          <w:bCs/>
          <w:color w:val="000000" w:themeColor="text1"/>
        </w:rPr>
        <w:t xml:space="preserve">to seek </w:t>
      </w:r>
      <w:r w:rsidR="002D635C">
        <w:rPr>
          <w:bCs/>
          <w:color w:val="000000" w:themeColor="text1"/>
        </w:rPr>
        <w:t xml:space="preserve">related </w:t>
      </w:r>
      <w:r w:rsidR="002D635C" w:rsidRPr="002D635C">
        <w:rPr>
          <w:bCs/>
          <w:color w:val="000000" w:themeColor="text1"/>
        </w:rPr>
        <w:t>medical diagnosis, treatment, or preventative care</w:t>
      </w:r>
      <w:r w:rsidR="002D635C">
        <w:rPr>
          <w:bCs/>
          <w:color w:val="000000" w:themeColor="text1"/>
        </w:rPr>
        <w:t xml:space="preserve">.  </w:t>
      </w:r>
    </w:p>
    <w:p w14:paraId="7C7A51DA" w14:textId="685FB4F7" w:rsidR="00CA636A" w:rsidRPr="00CA636A" w:rsidRDefault="00CA636A" w:rsidP="00CA636A">
      <w:pPr>
        <w:widowControl w:val="0"/>
        <w:rPr>
          <w:bCs/>
          <w:color w:val="000000" w:themeColor="text1"/>
        </w:rPr>
      </w:pPr>
    </w:p>
    <w:p w14:paraId="25E6330F" w14:textId="3AAE5F18" w:rsidR="00726C71" w:rsidRPr="00726C71" w:rsidRDefault="005B254C" w:rsidP="00726C71">
      <w:pPr>
        <w:widowControl w:val="0"/>
        <w:rPr>
          <w:rFonts w:ascii="Times New Roman" w:hAnsi="Times New Roman"/>
          <w:b/>
          <w:color w:val="194D80"/>
          <w:sz w:val="28"/>
          <w:szCs w:val="28"/>
        </w:rPr>
      </w:pPr>
      <w:bookmarkStart w:id="1" w:name="_GoBack"/>
      <w:bookmarkEnd w:id="1"/>
      <w:r w:rsidRPr="00726C71">
        <w:rPr>
          <w:rFonts w:ascii="Times New Roman" w:hAnsi="Times New Roman"/>
          <w:b/>
          <w:noProof/>
          <w:color w:val="194D80"/>
          <w:sz w:val="28"/>
          <w:szCs w:val="28"/>
        </w:rPr>
        <mc:AlternateContent>
          <mc:Choice Requires="wps">
            <w:drawing>
              <wp:anchor distT="45720" distB="45720" distL="114300" distR="114300" simplePos="0" relativeHeight="251666944" behindDoc="0" locked="0" layoutInCell="1" allowOverlap="1" wp14:anchorId="77087E04" wp14:editId="5AEF9C90">
                <wp:simplePos x="0" y="0"/>
                <wp:positionH relativeFrom="margin">
                  <wp:posOffset>-16510</wp:posOffset>
                </wp:positionH>
                <wp:positionV relativeFrom="paragraph">
                  <wp:posOffset>45720</wp:posOffset>
                </wp:positionV>
                <wp:extent cx="6828311" cy="427512"/>
                <wp:effectExtent l="0" t="0" r="10795" b="10795"/>
                <wp:wrapNone/>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311" cy="427512"/>
                        </a:xfrm>
                        <a:prstGeom prst="rect">
                          <a:avLst/>
                        </a:prstGeom>
                        <a:solidFill>
                          <a:srgbClr val="CCC1DA"/>
                        </a:solidFill>
                        <a:ln w="9525">
                          <a:solidFill>
                            <a:srgbClr val="CCC1DA"/>
                          </a:solidFill>
                          <a:miter lim="800000"/>
                          <a:headEnd/>
                          <a:tailEnd/>
                        </a:ln>
                      </wps:spPr>
                      <wps:txbx>
                        <w:txbxContent>
                          <w:p w14:paraId="52B0A6A4" w14:textId="63AEE327" w:rsidR="00726C71" w:rsidRPr="00BE274A" w:rsidRDefault="00726C71" w:rsidP="00726C71">
                            <w:pPr>
                              <w:rPr>
                                <w:rFonts w:ascii="Georgia" w:hAnsi="Georgia"/>
                                <w:b/>
                              </w:rPr>
                            </w:pPr>
                            <w:r w:rsidRPr="00BE274A">
                              <w:rPr>
                                <w:rFonts w:ascii="Georgia" w:hAnsi="Georgia"/>
                                <w:b/>
                                <w:i/>
                              </w:rPr>
                              <w:t xml:space="preserve">For more information, contact these programs </w:t>
                            </w:r>
                            <w:r w:rsidRPr="0019591F">
                              <w:rPr>
                                <w:rFonts w:ascii="Georgia" w:hAnsi="Georgia"/>
                                <w:b/>
                                <w:iCs/>
                              </w:rPr>
                              <w:t>at</w:t>
                            </w:r>
                            <w:r w:rsidR="005B254C">
                              <w:rPr>
                                <w:rFonts w:ascii="Georgia" w:hAnsi="Georgia"/>
                                <w:b/>
                                <w:iCs/>
                              </w:rPr>
                              <w:t xml:space="preserve"> </w:t>
                            </w:r>
                            <w:r w:rsidR="00737143">
                              <w:rPr>
                                <w:rFonts w:ascii="Georgia" w:hAnsi="Georgia"/>
                                <w:b/>
                              </w:rPr>
                              <w:t xml:space="preserve">The </w:t>
                            </w:r>
                            <w:r w:rsidRPr="00BE274A">
                              <w:rPr>
                                <w:rFonts w:ascii="Georgia" w:hAnsi="Georgia"/>
                                <w:b/>
                              </w:rPr>
                              <w:t>Massachusetts Department of Public Health,</w:t>
                            </w:r>
                          </w:p>
                          <w:p w14:paraId="3B0C1C8A" w14:textId="7AA0300E" w:rsidR="00726C71" w:rsidRPr="00BE274A" w:rsidRDefault="00726C71" w:rsidP="00726C71">
                            <w:pPr>
                              <w:rPr>
                                <w:rFonts w:ascii="Georgia" w:hAnsi="Georgia"/>
                                <w:b/>
                              </w:rPr>
                            </w:pPr>
                            <w:r w:rsidRPr="00BE274A">
                              <w:rPr>
                                <w:rFonts w:ascii="Georgia" w:hAnsi="Georgia"/>
                                <w:b/>
                              </w:rPr>
                              <w:t>250 Washington Street,</w:t>
                            </w:r>
                            <w:r w:rsidR="005B254C">
                              <w:rPr>
                                <w:rFonts w:ascii="Georgia" w:hAnsi="Georgia"/>
                                <w:b/>
                              </w:rPr>
                              <w:t xml:space="preserve"> </w:t>
                            </w:r>
                            <w:r w:rsidRPr="00BE274A">
                              <w:rPr>
                                <w:rFonts w:ascii="Georgia" w:hAnsi="Georgia"/>
                                <w:b/>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87E04" id="_x0000_t202" coordsize="21600,21600" o:spt="202" path="m,l,21600r21600,l21600,xe">
                <v:stroke joinstyle="miter"/>
                <v:path gradientshapeok="t" o:connecttype="rect"/>
              </v:shapetype>
              <v:shape id="_x0000_s1040" type="#_x0000_t202" style="position:absolute;margin-left:-1.3pt;margin-top:3.6pt;width:537.65pt;height:33.6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" fillcolor="#ccc1da" strokecolor="#ccc1da">
                <v:textbox>
                  <w:txbxContent>
                    <w:p w14:paraId="52B0A6A4" w14:textId="63AEE327" w:rsidR="00726C71" w:rsidRPr="00BE274A" w:rsidRDefault="00726C71" w:rsidP="00726C71">
                      <w:pPr>
                        <w:rPr>
                          <w:rFonts w:ascii="Georgia" w:hAnsi="Georgia"/>
                          <w:b/>
                        </w:rPr>
                      </w:pPr>
                      <w:r w:rsidRPr="00BE274A">
                        <w:rPr>
                          <w:rFonts w:ascii="Georgia" w:hAnsi="Georgia"/>
                          <w:b/>
                          <w:i/>
                        </w:rPr>
                        <w:t xml:space="preserve">For more information, contact these programs </w:t>
                      </w:r>
                      <w:r w:rsidRPr="0019591F">
                        <w:rPr>
                          <w:rFonts w:ascii="Georgia" w:hAnsi="Georgia"/>
                          <w:b/>
                          <w:iCs/>
                        </w:rPr>
                        <w:t>at</w:t>
                      </w:r>
                      <w:r w:rsidR="005B254C">
                        <w:rPr>
                          <w:rFonts w:ascii="Georgia" w:hAnsi="Georgia"/>
                          <w:b/>
                          <w:iCs/>
                        </w:rPr>
                        <w:t xml:space="preserve"> </w:t>
                      </w:r>
                      <w:r w:rsidR="00737143">
                        <w:rPr>
                          <w:rFonts w:ascii="Georgia" w:hAnsi="Georgia"/>
                          <w:b/>
                        </w:rPr>
                        <w:t xml:space="preserve">The </w:t>
                      </w:r>
                      <w:r w:rsidRPr="00BE274A">
                        <w:rPr>
                          <w:rFonts w:ascii="Georgia" w:hAnsi="Georgia"/>
                          <w:b/>
                        </w:rPr>
                        <w:t>Massachusetts Department of Public Health,</w:t>
                      </w:r>
                    </w:p>
                    <w:p w14:paraId="3B0C1C8A" w14:textId="7AA0300E" w:rsidR="00726C71" w:rsidRPr="00BE274A" w:rsidRDefault="00726C71" w:rsidP="00726C71">
                      <w:pPr>
                        <w:rPr>
                          <w:rFonts w:ascii="Georgia" w:hAnsi="Georgia"/>
                          <w:b/>
                        </w:rPr>
                      </w:pPr>
                      <w:r w:rsidRPr="00BE274A">
                        <w:rPr>
                          <w:rFonts w:ascii="Georgia" w:hAnsi="Georgia"/>
                          <w:b/>
                        </w:rPr>
                        <w:t>250 Washington Street,</w:t>
                      </w:r>
                      <w:r w:rsidR="005B254C">
                        <w:rPr>
                          <w:rFonts w:ascii="Georgia" w:hAnsi="Georgia"/>
                          <w:b/>
                        </w:rPr>
                        <w:t xml:space="preserve"> </w:t>
                      </w:r>
                      <w:r w:rsidRPr="00BE274A">
                        <w:rPr>
                          <w:rFonts w:ascii="Georgia" w:hAnsi="Georgia"/>
                          <w:b/>
                        </w:rPr>
                        <w:t>Boston, MA 02108</w:t>
                      </w:r>
                    </w:p>
                  </w:txbxContent>
                </v:textbox>
                <w10:wrap anchorx="margin"/>
              </v:shape>
            </w:pict>
          </mc:Fallback>
        </mc:AlternateContent>
      </w:r>
    </w:p>
    <w:p w14:paraId="0496AA84" w14:textId="5C13D4FD" w:rsidR="00503A1E" w:rsidRPr="00726C71" w:rsidRDefault="00503A1E" w:rsidP="00503A1E">
      <w:pPr>
        <w:pStyle w:val="ListParagraph"/>
        <w:widowControl w:val="0"/>
        <w:numPr>
          <w:ilvl w:val="0"/>
          <w:numId w:val="6"/>
        </w:numPr>
        <w:rPr>
          <w:rFonts w:ascii="Times New Roman" w:hAnsi="Times New Roman"/>
          <w:b/>
          <w:color w:val="194D80"/>
          <w:sz w:val="28"/>
          <w:szCs w:val="28"/>
        </w:rPr>
      </w:pPr>
      <w:r>
        <w:rPr>
          <w:rFonts w:ascii="Times New Roman" w:hAnsi="Times New Roman"/>
          <w:b/>
          <w:color w:val="194D80"/>
          <w:sz w:val="22"/>
          <w:szCs w:val="22"/>
        </w:rPr>
        <w:t>Methods/data sources</w:t>
      </w:r>
    </w:p>
    <w:p w14:paraId="34B8692F" w14:textId="0BB25C5D" w:rsidR="00726C71" w:rsidRPr="00726C71" w:rsidRDefault="00726C71" w:rsidP="00196989">
      <w:pPr>
        <w:jc w:val="right"/>
      </w:pPr>
    </w:p>
    <w:p w14:paraId="2AF50993" w14:textId="548E1494" w:rsidR="00726C71" w:rsidRDefault="00EE60F1" w:rsidP="00726C71">
      <w:pPr>
        <w:tabs>
          <w:tab w:val="left" w:pos="6681"/>
        </w:tabs>
        <w:rPr>
          <w:b/>
        </w:rPr>
      </w:pPr>
      <w:r w:rsidRPr="00726C71">
        <w:rPr>
          <w:rFonts w:ascii="Times New Roman" w:hAnsi="Times New Roman"/>
          <w:b/>
          <w:noProof/>
          <w:color w:val="194D80"/>
          <w:sz w:val="28"/>
          <w:szCs w:val="28"/>
        </w:rPr>
        <mc:AlternateContent>
          <mc:Choice Requires="wps">
            <w:drawing>
              <wp:anchor distT="0" distB="0" distL="114300" distR="114300" simplePos="0" relativeHeight="251667968" behindDoc="0" locked="0" layoutInCell="1" allowOverlap="1" wp14:anchorId="2CE5AB2A" wp14:editId="0B434648">
                <wp:simplePos x="0" y="0"/>
                <wp:positionH relativeFrom="column">
                  <wp:posOffset>3544570</wp:posOffset>
                </wp:positionH>
                <wp:positionV relativeFrom="paragraph">
                  <wp:posOffset>28575</wp:posOffset>
                </wp:positionV>
                <wp:extent cx="3238500" cy="2228850"/>
                <wp:effectExtent l="114300" t="57150" r="76200" b="13335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228850"/>
                        </a:xfrm>
                        <a:prstGeom prst="rect">
                          <a:avLst/>
                        </a:prstGeom>
                        <a:solidFill>
                          <a:srgbClr val="FFFFFF"/>
                        </a:solidFill>
                        <a:ln w="50800">
                          <a:solidFill>
                            <a:srgbClr val="CCC1DA"/>
                          </a:solidFill>
                          <a:miter lim="800000"/>
                          <a:headEnd/>
                          <a:tailEnd/>
                        </a:ln>
                        <a:effectLst>
                          <a:outerShdw blurRad="50800" dist="38100" dir="8100000" algn="tr" rotWithShape="0">
                            <a:schemeClr val="accent3">
                              <a:lumMod val="60000"/>
                              <a:lumOff val="40000"/>
                              <a:alpha val="40000"/>
                            </a:schemeClr>
                          </a:outerShdw>
                        </a:effectLst>
                      </wps:spPr>
                      <wps:txbx>
                        <w:txbxContent>
                          <w:p w14:paraId="1F538341" w14:textId="77777777" w:rsidR="00726C71" w:rsidRPr="00C661BF" w:rsidRDefault="00726C71" w:rsidP="00726C71">
                            <w:pPr>
                              <w:jc w:val="center"/>
                              <w:rPr>
                                <w:rFonts w:ascii="Georgia" w:hAnsi="Georgia"/>
                                <w:b/>
                                <w:color w:val="4F6228" w:themeColor="accent3" w:themeShade="80"/>
                                <w:sz w:val="40"/>
                                <w:szCs w:val="40"/>
                              </w:rPr>
                            </w:pPr>
                            <w:r w:rsidRPr="00BE274A">
                              <w:rPr>
                                <w:rFonts w:ascii="Georgia" w:hAnsi="Georgia"/>
                                <w:b/>
                                <w:color w:val="CCC1DA"/>
                                <w:sz w:val="36"/>
                                <w:szCs w:val="36"/>
                              </w:rPr>
                              <w:t>Where to go for</w:t>
                            </w:r>
                            <w:r w:rsidRPr="00E5514E">
                              <w:rPr>
                                <w:rFonts w:ascii="Georgia" w:hAnsi="Georgia"/>
                                <w:b/>
                                <w:color w:val="95B3D7" w:themeColor="accent1" w:themeTint="99"/>
                                <w:sz w:val="40"/>
                                <w:szCs w:val="40"/>
                              </w:rPr>
                              <w:t xml:space="preserve"> </w:t>
                            </w:r>
                            <w:r w:rsidRPr="00BE274A">
                              <w:rPr>
                                <w:rFonts w:ascii="Georgia" w:hAnsi="Georgia"/>
                                <w:b/>
                                <w:i/>
                                <w:color w:val="7030A0"/>
                                <w:sz w:val="52"/>
                                <w:szCs w:val="52"/>
                              </w:rPr>
                              <w:t>help</w:t>
                            </w:r>
                          </w:p>
                          <w:p w14:paraId="35A8B8DD" w14:textId="77777777" w:rsidR="00726C71" w:rsidRPr="00DD12AF" w:rsidRDefault="00726C71" w:rsidP="00726C71">
                            <w:pPr>
                              <w:jc w:val="center"/>
                              <w:rPr>
                                <w:rFonts w:ascii="Georgia" w:hAnsi="Georgia"/>
                                <w:bCs/>
                                <w:sz w:val="10"/>
                                <w:szCs w:val="10"/>
                              </w:rPr>
                            </w:pPr>
                          </w:p>
                          <w:p w14:paraId="24C8B53A" w14:textId="77777777" w:rsidR="00726C71" w:rsidRPr="00DD12AF" w:rsidRDefault="00726C71" w:rsidP="00726C71">
                            <w:pPr>
                              <w:jc w:val="center"/>
                              <w:rPr>
                                <w:rFonts w:ascii="Georgia" w:hAnsi="Georgia"/>
                                <w:bCs/>
                                <w:color w:val="0000FF"/>
                                <w:sz w:val="36"/>
                                <w:szCs w:val="36"/>
                              </w:rPr>
                            </w:pPr>
                            <w:proofErr w:type="gramStart"/>
                            <w:r w:rsidRPr="00BE274A">
                              <w:rPr>
                                <w:rFonts w:ascii="Georgia" w:hAnsi="Georgia"/>
                                <w:b/>
                                <w:i/>
                                <w:color w:val="7030A0"/>
                                <w:sz w:val="52"/>
                                <w:szCs w:val="52"/>
                              </w:rPr>
                              <w:t>24 hour</w:t>
                            </w:r>
                            <w:proofErr w:type="gramEnd"/>
                            <w:r w:rsidRPr="00DD12AF">
                              <w:rPr>
                                <w:rFonts w:ascii="Georgia" w:hAnsi="Georgia"/>
                                <w:b/>
                                <w:i/>
                                <w:color w:val="365F91" w:themeColor="accent1" w:themeShade="BF"/>
                                <w:sz w:val="36"/>
                                <w:szCs w:val="36"/>
                              </w:rPr>
                              <w:t xml:space="preserve"> </w:t>
                            </w:r>
                            <w:r w:rsidRPr="00BE274A">
                              <w:rPr>
                                <w:rFonts w:ascii="Georgia" w:hAnsi="Georgia"/>
                                <w:b/>
                                <w:color w:val="CCC1DA"/>
                                <w:sz w:val="36"/>
                                <w:szCs w:val="36"/>
                              </w:rPr>
                              <w:t>help line</w:t>
                            </w:r>
                          </w:p>
                          <w:p w14:paraId="42DD3BBA" w14:textId="77777777" w:rsidR="00726C71" w:rsidRPr="00DD12AF" w:rsidRDefault="00726C71" w:rsidP="00726C71">
                            <w:pPr>
                              <w:jc w:val="center"/>
                              <w:rPr>
                                <w:rFonts w:ascii="Georgia" w:hAnsi="Georgia"/>
                                <w:b/>
                                <w:i/>
                                <w:color w:val="4F6228" w:themeColor="accent3" w:themeShade="80"/>
                                <w:sz w:val="16"/>
                                <w:szCs w:val="16"/>
                              </w:rPr>
                            </w:pPr>
                          </w:p>
                          <w:p w14:paraId="3C491740" w14:textId="77777777" w:rsidR="00726C71" w:rsidRDefault="00726C71" w:rsidP="00726C71">
                            <w:pPr>
                              <w:jc w:val="center"/>
                              <w:rPr>
                                <w:b/>
                                <w:bCs/>
                                <w:color w:val="7030A0"/>
                              </w:rPr>
                            </w:pPr>
                          </w:p>
                          <w:p w14:paraId="5B0DD36E" w14:textId="77777777" w:rsidR="00726C71" w:rsidRDefault="00726C71" w:rsidP="00726C71">
                            <w:pPr>
                              <w:jc w:val="center"/>
                              <w:rPr>
                                <w:b/>
                                <w:bCs/>
                                <w:color w:val="7030A0"/>
                              </w:rPr>
                            </w:pPr>
                            <w:r w:rsidRPr="00BE274A">
                              <w:rPr>
                                <w:b/>
                                <w:bCs/>
                                <w:color w:val="7030A0"/>
                              </w:rPr>
                              <w:t>NATIONAL LIFELINE</w:t>
                            </w:r>
                          </w:p>
                          <w:p w14:paraId="3C75135B" w14:textId="77777777" w:rsidR="00726C71" w:rsidRPr="00DD12AF" w:rsidRDefault="00EE60F1" w:rsidP="00726C71">
                            <w:pPr>
                              <w:jc w:val="center"/>
                              <w:rPr>
                                <w:b/>
                                <w:bCs/>
                                <w:color w:val="365F91" w:themeColor="accent1" w:themeShade="BF"/>
                              </w:rPr>
                            </w:pPr>
                            <w:hyperlink r:id="rId19" w:history="1">
                              <w:r w:rsidR="00726C71" w:rsidRPr="000C42AE">
                                <w:rPr>
                                  <w:rStyle w:val="Hyperlink"/>
                                  <w:rFonts w:cs="Arial"/>
                                  <w:b/>
                                  <w:bCs/>
                                </w:rPr>
                                <w:t>https://suicidepreventionlifeline.org/</w:t>
                              </w:r>
                            </w:hyperlink>
                          </w:p>
                          <w:p w14:paraId="72744F37" w14:textId="77777777" w:rsidR="00726C71" w:rsidRDefault="00726C71" w:rsidP="00726C71">
                            <w:pPr>
                              <w:jc w:val="center"/>
                              <w:rPr>
                                <w:b/>
                                <w:bCs/>
                              </w:rPr>
                            </w:pPr>
                            <w:r>
                              <w:rPr>
                                <w:b/>
                                <w:bCs/>
                              </w:rPr>
                              <w:t>(800) 273-</w:t>
                            </w:r>
                            <w:r w:rsidRPr="00DD12AF">
                              <w:rPr>
                                <w:b/>
                                <w:bCs/>
                              </w:rPr>
                              <w:t>TALK (8255)</w:t>
                            </w:r>
                          </w:p>
                          <w:p w14:paraId="730FE3EB" w14:textId="77777777" w:rsidR="00726C71" w:rsidRDefault="00726C71" w:rsidP="00726C71">
                            <w:pPr>
                              <w:jc w:val="center"/>
                              <w:rPr>
                                <w:b/>
                                <w:bCs/>
                              </w:rPr>
                            </w:pPr>
                            <w:r>
                              <w:rPr>
                                <w:b/>
                                <w:bCs/>
                              </w:rPr>
                              <w:t>Over 150 languages offered</w:t>
                            </w:r>
                          </w:p>
                          <w:p w14:paraId="43A7A0C9" w14:textId="77777777" w:rsidR="00726C71" w:rsidRPr="00DD12AF" w:rsidRDefault="00726C71" w:rsidP="00726C71">
                            <w:pPr>
                              <w:jc w:val="center"/>
                              <w:rPr>
                                <w:b/>
                                <w:bCs/>
                              </w:rPr>
                            </w:pPr>
                            <w:r>
                              <w:rPr>
                                <w:b/>
                                <w:bCs/>
                              </w:rPr>
                              <w:t>Press 1 for Veterans</w:t>
                            </w:r>
                          </w:p>
                          <w:p w14:paraId="10D026F3" w14:textId="77777777" w:rsidR="00726C71" w:rsidRPr="00EA057A" w:rsidRDefault="00726C71" w:rsidP="00726C71">
                            <w:pPr>
                              <w:jc w:val="center"/>
                              <w:rPr>
                                <w:b/>
                                <w:bCs/>
                              </w:rPr>
                            </w:pPr>
                            <w:r w:rsidRPr="006E2807">
                              <w:rPr>
                                <w:b/>
                                <w:bCs/>
                              </w:rPr>
                              <w:t>TTY</w:t>
                            </w:r>
                            <w:r>
                              <w:rPr>
                                <w:b/>
                                <w:bCs/>
                              </w:rPr>
                              <w:t xml:space="preserve">: </w:t>
                            </w:r>
                            <w:r w:rsidRPr="006E2807">
                              <w:rPr>
                                <w:b/>
                                <w:bCs/>
                              </w:rPr>
                              <w:t>(800) 799-4TTY (4889)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5AB2A" id="_x0000_s1041" type="#_x0000_t202" style="position:absolute;margin-left:279.1pt;margin-top:2.25pt;width:25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" strokecolor="#ccc1da" strokeweight="4pt">
                <v:shadow on="t" color="#c2d69b [1942]" opacity="26214f" origin=".5,-.5" offset="-.74836mm,.74836mm"/>
                <v:textbox>
                  <w:txbxContent>
                    <w:p w14:paraId="1F538341" w14:textId="77777777" w:rsidR="00726C71" w:rsidRPr="00C661BF" w:rsidRDefault="00726C71" w:rsidP="00726C71">
                      <w:pPr>
                        <w:jc w:val="center"/>
                        <w:rPr>
                          <w:rFonts w:ascii="Georgia" w:hAnsi="Georgia"/>
                          <w:b/>
                          <w:color w:val="4F6228" w:themeColor="accent3" w:themeShade="80"/>
                          <w:sz w:val="40"/>
                          <w:szCs w:val="40"/>
                        </w:rPr>
                      </w:pPr>
                      <w:r w:rsidRPr="00BE274A">
                        <w:rPr>
                          <w:rFonts w:ascii="Georgia" w:hAnsi="Georgia"/>
                          <w:b/>
                          <w:color w:val="CCC1DA"/>
                          <w:sz w:val="36"/>
                          <w:szCs w:val="36"/>
                        </w:rPr>
                        <w:t>Where to go for</w:t>
                      </w:r>
                      <w:r w:rsidRPr="00E5514E">
                        <w:rPr>
                          <w:rFonts w:ascii="Georgia" w:hAnsi="Georgia"/>
                          <w:b/>
                          <w:color w:val="95B3D7" w:themeColor="accent1" w:themeTint="99"/>
                          <w:sz w:val="40"/>
                          <w:szCs w:val="40"/>
                        </w:rPr>
                        <w:t xml:space="preserve"> </w:t>
                      </w:r>
                      <w:r w:rsidRPr="00BE274A">
                        <w:rPr>
                          <w:rFonts w:ascii="Georgia" w:hAnsi="Georgia"/>
                          <w:b/>
                          <w:i/>
                          <w:color w:val="7030A0"/>
                          <w:sz w:val="52"/>
                          <w:szCs w:val="52"/>
                        </w:rPr>
                        <w:t>help</w:t>
                      </w:r>
                    </w:p>
                    <w:p w14:paraId="35A8B8DD" w14:textId="77777777" w:rsidR="00726C71" w:rsidRPr="00DD12AF" w:rsidRDefault="00726C71" w:rsidP="00726C71">
                      <w:pPr>
                        <w:jc w:val="center"/>
                        <w:rPr>
                          <w:rFonts w:ascii="Georgia" w:hAnsi="Georgia"/>
                          <w:bCs/>
                          <w:sz w:val="10"/>
                          <w:szCs w:val="10"/>
                        </w:rPr>
                      </w:pPr>
                    </w:p>
                    <w:p w14:paraId="24C8B53A" w14:textId="77777777" w:rsidR="00726C71" w:rsidRPr="00DD12AF" w:rsidRDefault="00726C71" w:rsidP="00726C71">
                      <w:pPr>
                        <w:jc w:val="center"/>
                        <w:rPr>
                          <w:rFonts w:ascii="Georgia" w:hAnsi="Georgia"/>
                          <w:bCs/>
                          <w:color w:val="0000FF"/>
                          <w:sz w:val="36"/>
                          <w:szCs w:val="36"/>
                        </w:rPr>
                      </w:pPr>
                      <w:proofErr w:type="gramStart"/>
                      <w:r w:rsidRPr="00BE274A">
                        <w:rPr>
                          <w:rFonts w:ascii="Georgia" w:hAnsi="Georgia"/>
                          <w:b/>
                          <w:i/>
                          <w:color w:val="7030A0"/>
                          <w:sz w:val="52"/>
                          <w:szCs w:val="52"/>
                        </w:rPr>
                        <w:t>24 hour</w:t>
                      </w:r>
                      <w:proofErr w:type="gramEnd"/>
                      <w:r w:rsidRPr="00DD12AF">
                        <w:rPr>
                          <w:rFonts w:ascii="Georgia" w:hAnsi="Georgia"/>
                          <w:b/>
                          <w:i/>
                          <w:color w:val="365F91" w:themeColor="accent1" w:themeShade="BF"/>
                          <w:sz w:val="36"/>
                          <w:szCs w:val="36"/>
                        </w:rPr>
                        <w:t xml:space="preserve"> </w:t>
                      </w:r>
                      <w:r w:rsidRPr="00BE274A">
                        <w:rPr>
                          <w:rFonts w:ascii="Georgia" w:hAnsi="Georgia"/>
                          <w:b/>
                          <w:color w:val="CCC1DA"/>
                          <w:sz w:val="36"/>
                          <w:szCs w:val="36"/>
                        </w:rPr>
                        <w:t>help line</w:t>
                      </w:r>
                    </w:p>
                    <w:p w14:paraId="42DD3BBA" w14:textId="77777777" w:rsidR="00726C71" w:rsidRPr="00DD12AF" w:rsidRDefault="00726C71" w:rsidP="00726C71">
                      <w:pPr>
                        <w:jc w:val="center"/>
                        <w:rPr>
                          <w:rFonts w:ascii="Georgia" w:hAnsi="Georgia"/>
                          <w:b/>
                          <w:i/>
                          <w:color w:val="4F6228" w:themeColor="accent3" w:themeShade="80"/>
                          <w:sz w:val="16"/>
                          <w:szCs w:val="16"/>
                        </w:rPr>
                      </w:pPr>
                    </w:p>
                    <w:p w14:paraId="3C491740" w14:textId="77777777" w:rsidR="00726C71" w:rsidRDefault="00726C71" w:rsidP="00726C71">
                      <w:pPr>
                        <w:jc w:val="center"/>
                        <w:rPr>
                          <w:b/>
                          <w:bCs/>
                          <w:color w:val="7030A0"/>
                        </w:rPr>
                      </w:pPr>
                    </w:p>
                    <w:p w14:paraId="5B0DD36E" w14:textId="77777777" w:rsidR="00726C71" w:rsidRDefault="00726C71" w:rsidP="00726C71">
                      <w:pPr>
                        <w:jc w:val="center"/>
                        <w:rPr>
                          <w:b/>
                          <w:bCs/>
                          <w:color w:val="7030A0"/>
                        </w:rPr>
                      </w:pPr>
                      <w:r w:rsidRPr="00BE274A">
                        <w:rPr>
                          <w:b/>
                          <w:bCs/>
                          <w:color w:val="7030A0"/>
                        </w:rPr>
                        <w:t>NATIONAL LIFELINE</w:t>
                      </w:r>
                    </w:p>
                    <w:p w14:paraId="3C75135B" w14:textId="77777777" w:rsidR="00726C71" w:rsidRPr="00DD12AF" w:rsidRDefault="00EE60F1" w:rsidP="00726C71">
                      <w:pPr>
                        <w:jc w:val="center"/>
                        <w:rPr>
                          <w:b/>
                          <w:bCs/>
                          <w:color w:val="365F91" w:themeColor="accent1" w:themeShade="BF"/>
                        </w:rPr>
                      </w:pPr>
                      <w:hyperlink r:id="rId20" w:history="1">
                        <w:r w:rsidR="00726C71" w:rsidRPr="000C42AE">
                          <w:rPr>
                            <w:rStyle w:val="Hyperlink"/>
                            <w:rFonts w:cs="Arial"/>
                            <w:b/>
                            <w:bCs/>
                          </w:rPr>
                          <w:t>https://suicidepreventionlifeline.org/</w:t>
                        </w:r>
                      </w:hyperlink>
                    </w:p>
                    <w:p w14:paraId="72744F37" w14:textId="77777777" w:rsidR="00726C71" w:rsidRDefault="00726C71" w:rsidP="00726C71">
                      <w:pPr>
                        <w:jc w:val="center"/>
                        <w:rPr>
                          <w:b/>
                          <w:bCs/>
                        </w:rPr>
                      </w:pPr>
                      <w:r>
                        <w:rPr>
                          <w:b/>
                          <w:bCs/>
                        </w:rPr>
                        <w:t>(800) 273-</w:t>
                      </w:r>
                      <w:r w:rsidRPr="00DD12AF">
                        <w:rPr>
                          <w:b/>
                          <w:bCs/>
                        </w:rPr>
                        <w:t>TALK (8255)</w:t>
                      </w:r>
                    </w:p>
                    <w:p w14:paraId="730FE3EB" w14:textId="77777777" w:rsidR="00726C71" w:rsidRDefault="00726C71" w:rsidP="00726C71">
                      <w:pPr>
                        <w:jc w:val="center"/>
                        <w:rPr>
                          <w:b/>
                          <w:bCs/>
                        </w:rPr>
                      </w:pPr>
                      <w:r>
                        <w:rPr>
                          <w:b/>
                          <w:bCs/>
                        </w:rPr>
                        <w:t>Over 150 languages offered</w:t>
                      </w:r>
                    </w:p>
                    <w:p w14:paraId="43A7A0C9" w14:textId="77777777" w:rsidR="00726C71" w:rsidRPr="00DD12AF" w:rsidRDefault="00726C71" w:rsidP="00726C71">
                      <w:pPr>
                        <w:jc w:val="center"/>
                        <w:rPr>
                          <w:b/>
                          <w:bCs/>
                        </w:rPr>
                      </w:pPr>
                      <w:r>
                        <w:rPr>
                          <w:b/>
                          <w:bCs/>
                        </w:rPr>
                        <w:t>Press 1 for Veterans</w:t>
                      </w:r>
                    </w:p>
                    <w:p w14:paraId="10D026F3" w14:textId="77777777" w:rsidR="00726C71" w:rsidRPr="00EA057A" w:rsidRDefault="00726C71" w:rsidP="00726C71">
                      <w:pPr>
                        <w:jc w:val="center"/>
                        <w:rPr>
                          <w:b/>
                          <w:bCs/>
                        </w:rPr>
                      </w:pPr>
                      <w:r w:rsidRPr="006E2807">
                        <w:rPr>
                          <w:b/>
                          <w:bCs/>
                        </w:rPr>
                        <w:t>TTY</w:t>
                      </w:r>
                      <w:r>
                        <w:rPr>
                          <w:b/>
                          <w:bCs/>
                        </w:rPr>
                        <w:t xml:space="preserve">: </w:t>
                      </w:r>
                      <w:r w:rsidRPr="006E2807">
                        <w:rPr>
                          <w:b/>
                          <w:bCs/>
                        </w:rPr>
                        <w:t>(800) 799-4TTY (4889)</w:t>
                      </w:r>
                    </w:p>
                  </w:txbxContent>
                </v:textbox>
              </v:shape>
            </w:pict>
          </mc:Fallback>
        </mc:AlternateContent>
      </w:r>
      <w:r w:rsidR="00726C71">
        <w:rPr>
          <w:b/>
        </w:rPr>
        <w:t>INJURY SURVEILLANCE PROGRAM (ISP)</w:t>
      </w:r>
    </w:p>
    <w:p w14:paraId="157D0401" w14:textId="12BDE56A" w:rsidR="00726C71" w:rsidRDefault="00726C71" w:rsidP="00726C71">
      <w:pPr>
        <w:tabs>
          <w:tab w:val="left" w:pos="6681"/>
        </w:tabs>
      </w:pPr>
      <w:r>
        <w:t>Bureau of Community Health and Prevention (BCHAP)</w:t>
      </w:r>
    </w:p>
    <w:p w14:paraId="780F454B" w14:textId="07EF02F7" w:rsidR="00726C71" w:rsidRDefault="00726C71" w:rsidP="00726C71">
      <w:pPr>
        <w:tabs>
          <w:tab w:val="left" w:pos="6681"/>
        </w:tabs>
      </w:pPr>
      <w:r>
        <w:t>(617) 624-5664 (MAVDRS)</w:t>
      </w:r>
    </w:p>
    <w:p w14:paraId="7CE25184" w14:textId="19138239" w:rsidR="00726C71" w:rsidRDefault="00726C71" w:rsidP="00726C71">
      <w:pPr>
        <w:tabs>
          <w:tab w:val="left" w:pos="6681"/>
        </w:tabs>
      </w:pPr>
      <w:r>
        <w:t>(617) 624-5648 (General injury information)</w:t>
      </w:r>
    </w:p>
    <w:p w14:paraId="115E3E26" w14:textId="77777777" w:rsidR="00726C71" w:rsidRDefault="00EE60F1" w:rsidP="00726C71">
      <w:pPr>
        <w:tabs>
          <w:tab w:val="left" w:pos="6681"/>
        </w:tabs>
      </w:pPr>
      <w:hyperlink r:id="rId21" w:history="1">
        <w:r w:rsidR="00726C71" w:rsidRPr="000C42AE">
          <w:rPr>
            <w:rStyle w:val="Hyperlink"/>
            <w:rFonts w:cs="Arial"/>
          </w:rPr>
          <w:t>http://mass.gov/injury-surveillance-program</w:t>
        </w:r>
      </w:hyperlink>
    </w:p>
    <w:p w14:paraId="678301C2" w14:textId="77777777" w:rsidR="00726C71" w:rsidRDefault="00726C71" w:rsidP="00726C71">
      <w:pPr>
        <w:tabs>
          <w:tab w:val="left" w:pos="6681"/>
        </w:tabs>
      </w:pPr>
    </w:p>
    <w:p w14:paraId="27E75408" w14:textId="1D88FA48" w:rsidR="00726C71" w:rsidRDefault="00726C71" w:rsidP="00726C71">
      <w:pPr>
        <w:tabs>
          <w:tab w:val="left" w:pos="6681"/>
        </w:tabs>
        <w:rPr>
          <w:b/>
        </w:rPr>
      </w:pPr>
      <w:r>
        <w:rPr>
          <w:b/>
        </w:rPr>
        <w:t>SUICIDE PREVENTION PROGRAM (SPP)</w:t>
      </w:r>
    </w:p>
    <w:p w14:paraId="708F879A" w14:textId="77777777" w:rsidR="00726C71" w:rsidRDefault="00726C71" w:rsidP="00726C71">
      <w:pPr>
        <w:tabs>
          <w:tab w:val="left" w:pos="6681"/>
        </w:tabs>
      </w:pPr>
      <w:r>
        <w:t>Bureau of Community Health and Prevention (BCHAP)</w:t>
      </w:r>
    </w:p>
    <w:p w14:paraId="4D5210D6" w14:textId="77777777" w:rsidR="00726C71" w:rsidRDefault="00726C71" w:rsidP="00726C71">
      <w:pPr>
        <w:tabs>
          <w:tab w:val="left" w:pos="6681"/>
        </w:tabs>
      </w:pPr>
      <w:r>
        <w:t>(617) 624-5460</w:t>
      </w:r>
    </w:p>
    <w:p w14:paraId="605CBF2D" w14:textId="77777777" w:rsidR="00726C71" w:rsidRDefault="00EE60F1" w:rsidP="00726C71">
      <w:pPr>
        <w:tabs>
          <w:tab w:val="left" w:pos="6681"/>
        </w:tabs>
      </w:pPr>
      <w:hyperlink r:id="rId22" w:history="1">
        <w:r w:rsidR="00726C71" w:rsidRPr="000C42AE">
          <w:rPr>
            <w:rStyle w:val="Hyperlink"/>
            <w:rFonts w:cs="Arial"/>
          </w:rPr>
          <w:t>http://mass.gov/suicide-prevention-program</w:t>
        </w:r>
      </w:hyperlink>
    </w:p>
    <w:p w14:paraId="611F0E97" w14:textId="77777777" w:rsidR="00726C71" w:rsidRDefault="00726C71" w:rsidP="00726C71">
      <w:pPr>
        <w:tabs>
          <w:tab w:val="left" w:pos="6681"/>
        </w:tabs>
      </w:pPr>
    </w:p>
    <w:p w14:paraId="7F7FB09C" w14:textId="77777777" w:rsidR="00726C71" w:rsidRDefault="00726C71" w:rsidP="00726C71">
      <w:pPr>
        <w:tabs>
          <w:tab w:val="left" w:pos="6681"/>
        </w:tabs>
        <w:rPr>
          <w:b/>
        </w:rPr>
      </w:pPr>
      <w:r>
        <w:rPr>
          <w:b/>
        </w:rPr>
        <w:t>BUREAU OF SUBSTANCE ADDICTION SERVICES (BSAS)</w:t>
      </w:r>
    </w:p>
    <w:p w14:paraId="60A7573E" w14:textId="77777777" w:rsidR="00726C71" w:rsidRDefault="00726C71" w:rsidP="00726C71">
      <w:pPr>
        <w:tabs>
          <w:tab w:val="left" w:pos="6681"/>
        </w:tabs>
      </w:pPr>
      <w:r>
        <w:t>(800) 327-5050</w:t>
      </w:r>
    </w:p>
    <w:p w14:paraId="0ECAC80F" w14:textId="77777777" w:rsidR="00726C71" w:rsidRDefault="00726C71" w:rsidP="00726C71">
      <w:pPr>
        <w:tabs>
          <w:tab w:val="left" w:pos="6681"/>
        </w:tabs>
      </w:pPr>
      <w:r>
        <w:t>TTY: (888) 448-8321</w:t>
      </w:r>
    </w:p>
    <w:p w14:paraId="14699575" w14:textId="29EBA763" w:rsidR="00726C71" w:rsidRDefault="00EE60F1" w:rsidP="00726C71">
      <w:pPr>
        <w:jc w:val="both"/>
        <w:rPr>
          <w:rStyle w:val="Hyperlink"/>
          <w:rFonts w:cs="Arial"/>
        </w:rPr>
      </w:pPr>
      <w:hyperlink r:id="rId23" w:history="1">
        <w:r w:rsidR="00726C71" w:rsidRPr="000C42AE">
          <w:rPr>
            <w:rStyle w:val="Hyperlink"/>
            <w:rFonts w:cs="Arial"/>
          </w:rPr>
          <w:t>http://mass.gov/orgs/bureau-of-substance-addiction-services</w:t>
        </w:r>
      </w:hyperlink>
    </w:p>
    <w:p w14:paraId="50814633" w14:textId="0A6EE613" w:rsidR="000C6CC4" w:rsidRDefault="000C6CC4" w:rsidP="00726C71">
      <w:pPr>
        <w:jc w:val="both"/>
        <w:rPr>
          <w:rStyle w:val="Hyperlink"/>
          <w:rFonts w:cs="Arial"/>
        </w:rPr>
      </w:pPr>
    </w:p>
    <w:p w14:paraId="6C74C9DC" w14:textId="7EE914D3" w:rsidR="000C6CC4" w:rsidRDefault="000C6CC4" w:rsidP="000C6CC4">
      <w:pPr>
        <w:tabs>
          <w:tab w:val="left" w:pos="6681"/>
        </w:tabs>
        <w:rPr>
          <w:b/>
        </w:rPr>
      </w:pPr>
      <w:r>
        <w:rPr>
          <w:b/>
        </w:rPr>
        <w:t>OCCUPATIONAL HEALTH SURVEILLANCE PROGRAM (OHSP)</w:t>
      </w:r>
    </w:p>
    <w:p w14:paraId="5770F867" w14:textId="77777777" w:rsidR="000C6CC4" w:rsidRDefault="000C6CC4" w:rsidP="000C6CC4">
      <w:pPr>
        <w:tabs>
          <w:tab w:val="left" w:pos="6681"/>
        </w:tabs>
      </w:pPr>
      <w:r>
        <w:t>Bureau of Community Health and Prevention (BCHAP)</w:t>
      </w:r>
    </w:p>
    <w:p w14:paraId="3FF7DBE3" w14:textId="326B2F98" w:rsidR="000C6CC4" w:rsidRDefault="000C6CC4" w:rsidP="000C6CC4">
      <w:pPr>
        <w:tabs>
          <w:tab w:val="left" w:pos="6681"/>
        </w:tabs>
      </w:pPr>
      <w:r w:rsidRPr="000C6CC4">
        <w:t>(617) 624-5632</w:t>
      </w:r>
    </w:p>
    <w:p w14:paraId="550DA3DF" w14:textId="5798EB35" w:rsidR="000C6CC4" w:rsidRDefault="00EE60F1" w:rsidP="000C6CC4">
      <w:pPr>
        <w:tabs>
          <w:tab w:val="left" w:pos="6681"/>
        </w:tabs>
      </w:pPr>
      <w:hyperlink r:id="rId24" w:history="1">
        <w:r w:rsidR="000C6CC4" w:rsidRPr="005E1B26">
          <w:rPr>
            <w:rStyle w:val="Hyperlink"/>
            <w:rFonts w:cs="Arial"/>
          </w:rPr>
          <w:t>https://www.mass.gov/orgs/occupational-health-surveillance-program</w:t>
        </w:r>
      </w:hyperlink>
      <w:r w:rsidR="000C6CC4">
        <w:t xml:space="preserve"> </w:t>
      </w:r>
    </w:p>
    <w:p w14:paraId="208447EB" w14:textId="0DC7B8EC" w:rsidR="00F70681" w:rsidRDefault="00F70681" w:rsidP="000C6CC4">
      <w:pPr>
        <w:tabs>
          <w:tab w:val="left" w:pos="6681"/>
        </w:tabs>
      </w:pPr>
    </w:p>
    <w:p w14:paraId="420DF234" w14:textId="2DDE600C" w:rsidR="00F70681" w:rsidRPr="00F70681" w:rsidRDefault="00F70681" w:rsidP="000C6CC4">
      <w:pPr>
        <w:tabs>
          <w:tab w:val="left" w:pos="6681"/>
        </w:tabs>
        <w:rPr>
          <w:b/>
          <w:bCs/>
        </w:rPr>
      </w:pPr>
      <w:r w:rsidRPr="00F70681">
        <w:rPr>
          <w:b/>
          <w:bCs/>
        </w:rPr>
        <w:t xml:space="preserve">MA </w:t>
      </w:r>
      <w:r>
        <w:rPr>
          <w:b/>
          <w:bCs/>
        </w:rPr>
        <w:t>COALITION FOR SUICIDE PREVENTION</w:t>
      </w:r>
    </w:p>
    <w:p w14:paraId="63CA14BE" w14:textId="720C7090" w:rsidR="00F70681" w:rsidRDefault="00F70681" w:rsidP="000C6CC4">
      <w:pPr>
        <w:tabs>
          <w:tab w:val="left" w:pos="6681"/>
        </w:tabs>
      </w:pPr>
      <w:r>
        <w:t>(617) 297-8774</w:t>
      </w:r>
    </w:p>
    <w:p w14:paraId="62472BF0" w14:textId="4035225E" w:rsidR="00F70681" w:rsidRDefault="00EE60F1" w:rsidP="000C6CC4">
      <w:pPr>
        <w:tabs>
          <w:tab w:val="left" w:pos="6681"/>
        </w:tabs>
      </w:pPr>
      <w:hyperlink r:id="rId25" w:history="1">
        <w:r w:rsidR="00F70681" w:rsidRPr="0001420C">
          <w:rPr>
            <w:rStyle w:val="Hyperlink"/>
            <w:rFonts w:cs="Arial"/>
          </w:rPr>
          <w:t>info@masspreventssuicide.org</w:t>
        </w:r>
      </w:hyperlink>
      <w:r w:rsidR="00F70681">
        <w:t xml:space="preserve"> </w:t>
      </w:r>
    </w:p>
    <w:p w14:paraId="31ADE70E" w14:textId="77777777" w:rsidR="0066103C" w:rsidRDefault="0066103C" w:rsidP="00726C71"/>
    <w:p w14:paraId="499E941E" w14:textId="181B6121" w:rsidR="00726C71" w:rsidRDefault="00726C71" w:rsidP="00726C71">
      <w:r w:rsidRPr="00726C71">
        <w:rPr>
          <w:noProof/>
        </w:rPr>
        <mc:AlternateContent>
          <mc:Choice Requires="wps">
            <w:drawing>
              <wp:anchor distT="0" distB="0" distL="114300" distR="114300" simplePos="0" relativeHeight="251670016" behindDoc="0" locked="0" layoutInCell="1" allowOverlap="1" wp14:anchorId="4839A21A" wp14:editId="660C9FE0">
                <wp:simplePos x="0" y="0"/>
                <wp:positionH relativeFrom="column">
                  <wp:posOffset>0</wp:posOffset>
                </wp:positionH>
                <wp:positionV relativeFrom="paragraph">
                  <wp:posOffset>0</wp:posOffset>
                </wp:positionV>
                <wp:extent cx="6847205" cy="2667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1DA38897" w14:textId="22F009BA" w:rsidR="00726C71" w:rsidRPr="005E14F6" w:rsidRDefault="00726C71" w:rsidP="00726C71">
                            <w:pPr>
                              <w:jc w:val="center"/>
                              <w:rPr>
                                <w:b/>
                              </w:rPr>
                            </w:pPr>
                            <w:r>
                              <w:rPr>
                                <w:b/>
                              </w:rPr>
                              <w:t>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39A21A" id="_x0000_s1042" type="#_x0000_t202" style="position:absolute;margin-left:0;margin-top:0;width:539.1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" fillcolor="#ccc1da" stroked="f">
                <v:textbox>
                  <w:txbxContent>
                    <w:p w14:paraId="1DA38897" w14:textId="22F009BA" w:rsidR="00726C71" w:rsidRPr="005E14F6" w:rsidRDefault="00726C71" w:rsidP="00726C71">
                      <w:pPr>
                        <w:jc w:val="center"/>
                        <w:rPr>
                          <w:b/>
                        </w:rPr>
                      </w:pPr>
                      <w:r>
                        <w:rPr>
                          <w:b/>
                        </w:rPr>
                        <w:t>Methods</w:t>
                      </w:r>
                    </w:p>
                  </w:txbxContent>
                </v:textbox>
              </v:shape>
            </w:pict>
          </mc:Fallback>
        </mc:AlternateContent>
      </w:r>
    </w:p>
    <w:p w14:paraId="66816BA4" w14:textId="0E0B733C" w:rsidR="00D52811" w:rsidRDefault="00D52811" w:rsidP="00D52811">
      <w:pPr>
        <w:jc w:val="right"/>
      </w:pPr>
    </w:p>
    <w:p w14:paraId="6850738D" w14:textId="53861A62" w:rsidR="00D52811" w:rsidRDefault="00D52811" w:rsidP="00D52811">
      <w:bookmarkStart w:id="2" w:name="_Hlk90020310"/>
      <w:r>
        <w:t>All data were ascertained using guidelines</w:t>
      </w:r>
      <w:r w:rsidR="003F1A13">
        <w:rPr>
          <w:rStyle w:val="FootnoteReference"/>
        </w:rPr>
        <w:footnoteReference w:id="6"/>
      </w:r>
      <w:r>
        <w:t xml:space="preserve"> recommended by the Centers for Disease Control and Prevention (CDC) and are based upon the International Classification of Disease codes (ICD-10) for mortality</w:t>
      </w:r>
      <w:bookmarkEnd w:id="2"/>
      <w:r>
        <w:t>.</w:t>
      </w:r>
      <w:r w:rsidR="00933E4D">
        <w:t xml:space="preserve"> </w:t>
      </w:r>
      <w:r w:rsidR="00A962F2" w:rsidRPr="001A1EB0">
        <w:t xml:space="preserve">Suicide refers to those who die by </w:t>
      </w:r>
      <w:r w:rsidR="00737143">
        <w:t>ending their own life</w:t>
      </w:r>
      <w:r w:rsidR="00A962F2" w:rsidRPr="001A1EB0">
        <w:t xml:space="preserve">. </w:t>
      </w:r>
      <w:r w:rsidR="00933E4D">
        <w:t>Occupation describes the kind of work an individual does to earn a living (i.e.</w:t>
      </w:r>
      <w:r w:rsidR="00227809">
        <w:t>,</w:t>
      </w:r>
      <w:r w:rsidR="00933E4D">
        <w:t xml:space="preserve"> job title), while industry describes the activities the individual’s employer is engaged in. Using the National Institute for Occupational Safety and Health Industry and Occupation Computerized Coding System (NIOCCS), industry and occupation were assigned Census Industry Classification (CIC) codes and Census Occupation Classification (COC) codes, respectively, and were further classified by manual review.</w:t>
      </w:r>
    </w:p>
    <w:p w14:paraId="33203848" w14:textId="77777777" w:rsidR="002D635C" w:rsidRDefault="002D635C" w:rsidP="00D52811"/>
    <w:p w14:paraId="3C516B3D" w14:textId="0C1E361F" w:rsidR="00933E4D" w:rsidRDefault="00933E4D" w:rsidP="00D52811">
      <w:r>
        <w:t>The distribution and rate of suicides among Massachusetts residents was presented by industry and occupation and within sex, age, and racial/ethnic grou</w:t>
      </w:r>
      <w:r w:rsidR="00B35A8B">
        <w:t>p</w:t>
      </w:r>
      <w:r w:rsidR="001A1EB0">
        <w:t>s</w:t>
      </w:r>
      <w:r w:rsidR="00B35A8B">
        <w:t>. Analyses focused on deaths occurring in 2016 t</w:t>
      </w:r>
      <w:r w:rsidR="005A7D1E">
        <w:t>hrough</w:t>
      </w:r>
      <w:r w:rsidR="00B35A8B">
        <w:t xml:space="preserve"> 2019, thus,</w:t>
      </w:r>
      <w:r w:rsidR="00D6749C">
        <w:t xml:space="preserve"> the</w:t>
      </w:r>
      <w:r w:rsidR="00B35A8B">
        <w:t xml:space="preserve"> four-year average annual suicide rates among workers were calculated as the number of deaths per 100,000 workers. 95% confidence intervals were calculated for all rates. For brevity, all average annual rates are referred to as just rates. Data on the average annual number of workers employed in Massachusetts between 2016 and 2019 were obtained from the American Community Survey 2016-</w:t>
      </w:r>
      <w:r w:rsidR="00D6749C">
        <w:t>2019</w:t>
      </w:r>
      <w:r w:rsidR="00B35A8B">
        <w:t xml:space="preserve"> and served as the denominator for rates. </w:t>
      </w:r>
      <w:r w:rsidR="00BD1FBA">
        <w:t xml:space="preserve">Using national data from the </w:t>
      </w:r>
      <w:r w:rsidR="005A7D1E">
        <w:t>U.S. Bureau of Labor Statistics (</w:t>
      </w:r>
      <w:r w:rsidR="00BD1FBA">
        <w:t>BLS</w:t>
      </w:r>
      <w:r w:rsidR="005A7D1E">
        <w:t>)</w:t>
      </w:r>
      <w:r w:rsidR="00BD1FBA">
        <w:t xml:space="preserve"> Employee Benefits Survey from 2019, occupation groups were categorized according to the availability level (high or low) of paid sick leave. An occupation was considered to have high availability of paid sick leave if 70% or more survey respondents within that occupation reported having access to paid sick leave.</w:t>
      </w:r>
      <w:r w:rsidR="005A7D1E">
        <w:t xml:space="preserve"> An occupation was considered to have low availability of paid sick leave if less than 70% of survey respondents within that occupation reported having access to paid sick leave.</w:t>
      </w:r>
    </w:p>
    <w:p w14:paraId="1445FE4F" w14:textId="5C39D246" w:rsidR="00BD1FBA" w:rsidRDefault="00BD1FBA" w:rsidP="00D52811"/>
    <w:p w14:paraId="2EEDE7C5" w14:textId="77777777" w:rsidR="00BA26B4" w:rsidRDefault="00BA26B4" w:rsidP="00D52811">
      <w:pPr>
        <w:rPr>
          <w:b/>
          <w:bCs/>
        </w:rPr>
      </w:pPr>
    </w:p>
    <w:p w14:paraId="144FFEBD" w14:textId="77777777" w:rsidR="00BA26B4" w:rsidRDefault="00BA26B4" w:rsidP="00D52811">
      <w:pPr>
        <w:rPr>
          <w:b/>
          <w:bCs/>
        </w:rPr>
      </w:pPr>
    </w:p>
    <w:p w14:paraId="31449C66" w14:textId="77E12B88" w:rsidR="00BD1FBA" w:rsidRDefault="00BD1FBA" w:rsidP="00D52811">
      <w:pPr>
        <w:rPr>
          <w:b/>
          <w:bCs/>
        </w:rPr>
      </w:pPr>
      <w:r>
        <w:rPr>
          <w:b/>
          <w:bCs/>
        </w:rPr>
        <w:t>Data Sources:</w:t>
      </w:r>
    </w:p>
    <w:p w14:paraId="7DE34E0B" w14:textId="1389ECC3" w:rsidR="00BD1FBA" w:rsidRDefault="00BD1FBA" w:rsidP="00BD1FBA">
      <w:pPr>
        <w:pStyle w:val="ListParagraph"/>
        <w:numPr>
          <w:ilvl w:val="0"/>
          <w:numId w:val="7"/>
        </w:numPr>
      </w:pPr>
      <w:r>
        <w:rPr>
          <w:i/>
          <w:iCs/>
        </w:rPr>
        <w:t>Death Data</w:t>
      </w:r>
      <w:r>
        <w:t xml:space="preserve">: MA Violent Death Reporting System (MAVDRS), MA Department of Public Health (DPH). The </w:t>
      </w:r>
      <w:r w:rsidR="00F5494F">
        <w:t xml:space="preserve">MAVDRS is part of the </w:t>
      </w:r>
      <w:r>
        <w:t>National Violent Death Reporting System (NVDRS)</w:t>
      </w:r>
      <w:r w:rsidR="00F5494F">
        <w:t>, which</w:t>
      </w:r>
      <w:r>
        <w:t xml:space="preserve"> is a CDC-funded system in all 50 states, the District of Columbia, and Puerto Rico that links data from death certificates, medical examiner files, and police reports to provide a more complete picture of the circumstances surrounding violent deaths. MAVDRS operates within the Injury Surveillance Program (ISP) at DPH. MAVDRS captures all violent deaths (homicides, suicides, deaths of undetermined intent, and all firearm deaths) occurring in MA, regardless of residency, and has been collecting data since 2003. Data reported were analyzed by ICD-10 code</w:t>
      </w:r>
    </w:p>
    <w:p w14:paraId="7EAE5415" w14:textId="6BE347FD" w:rsidR="00BD1FBA" w:rsidRDefault="00F5494F" w:rsidP="00BD1FBA">
      <w:pPr>
        <w:pStyle w:val="ListParagraph"/>
        <w:numPr>
          <w:ilvl w:val="0"/>
          <w:numId w:val="7"/>
        </w:numPr>
      </w:pPr>
      <w:r>
        <w:rPr>
          <w:i/>
          <w:iCs/>
        </w:rPr>
        <w:t xml:space="preserve">Denominators for rates: </w:t>
      </w:r>
      <w:r w:rsidR="00E54A3F">
        <w:rPr>
          <w:i/>
          <w:iCs/>
        </w:rPr>
        <w:t>American Community Survey (ACS)</w:t>
      </w:r>
      <w:r w:rsidR="001A1EB0">
        <w:t>:</w:t>
      </w:r>
      <w:r w:rsidR="00E54A3F">
        <w:t xml:space="preserve"> United States Census B</w:t>
      </w:r>
      <w:r w:rsidR="00A7055D">
        <w:t>ureau, U.S. Department of Commerce.</w:t>
      </w:r>
    </w:p>
    <w:p w14:paraId="71BBAE7A" w14:textId="35A8613A" w:rsidR="00A7055D" w:rsidRDefault="00F5494F" w:rsidP="00BD1FBA">
      <w:pPr>
        <w:pStyle w:val="ListParagraph"/>
        <w:numPr>
          <w:ilvl w:val="0"/>
          <w:numId w:val="7"/>
        </w:numPr>
      </w:pPr>
      <w:r>
        <w:rPr>
          <w:i/>
          <w:iCs/>
        </w:rPr>
        <w:t xml:space="preserve">Paid sick leave estimates: </w:t>
      </w:r>
      <w:r w:rsidR="00A7055D">
        <w:rPr>
          <w:i/>
          <w:iCs/>
        </w:rPr>
        <w:t>National Compensation Survey: Employee Benefits in the United States, March 2019</w:t>
      </w:r>
      <w:r w:rsidR="001A1EB0">
        <w:t>:</w:t>
      </w:r>
      <w:r w:rsidR="00A7055D">
        <w:t xml:space="preserve"> U.S. Bureau of Labor, U.S. Bureau of Labor Statistics</w:t>
      </w:r>
    </w:p>
    <w:p w14:paraId="38AD4853" w14:textId="2C5E6BFC" w:rsidR="00A7055D" w:rsidRDefault="00A7055D" w:rsidP="00A7055D"/>
    <w:p w14:paraId="3D61726C" w14:textId="5B322618" w:rsidR="00A7055D" w:rsidRPr="00A7055D" w:rsidRDefault="00A7055D" w:rsidP="00A7055D">
      <w:r>
        <w:rPr>
          <w:b/>
          <w:bCs/>
        </w:rPr>
        <w:t>Statistical Significance:</w:t>
      </w:r>
      <w:r>
        <w:t xml:space="preserve"> </w:t>
      </w:r>
      <w:r w:rsidR="00A92A41">
        <w:t>The 95% confidence interval (95% CI) is a range of values determined by the degree of variability of the data within which the true value is likely to lie. The confidence interval indicates the precision of a calculation; the wider the interval</w:t>
      </w:r>
      <w:r w:rsidR="00DE49BD">
        <w:t>,</w:t>
      </w:r>
      <w:r w:rsidR="00A92A41">
        <w:t xml:space="preserve"> the less precision in the estimate. The 95% confidence intervals used in this report for crude rates are the indicators of reliability (or stability) of the estimate. Smaller population subgroups or smaller numbers of </w:t>
      </w:r>
      <w:r w:rsidR="005A7D1E">
        <w:t>respondents yield less precise estimates</w:t>
      </w:r>
    </w:p>
    <w:sectPr w:rsidR="00A7055D" w:rsidRPr="00A7055D" w:rsidSect="0016543E">
      <w:footerReference w:type="default" r:id="rId26"/>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37672" w14:textId="77777777" w:rsidR="007342BB" w:rsidRDefault="007342BB" w:rsidP="007C32A4">
      <w:r>
        <w:separator/>
      </w:r>
    </w:p>
  </w:endnote>
  <w:endnote w:type="continuationSeparator" w:id="0">
    <w:p w14:paraId="4697FFF4" w14:textId="77777777" w:rsidR="007342BB" w:rsidRDefault="007342BB"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996861"/>
      <w:docPartObj>
        <w:docPartGallery w:val="Page Numbers (Bottom of Page)"/>
        <w:docPartUnique/>
      </w:docPartObj>
    </w:sdtPr>
    <w:sdtEndPr>
      <w:rPr>
        <w:noProof/>
        <w:sz w:val="8"/>
        <w:szCs w:val="8"/>
      </w:rPr>
    </w:sdtEndPr>
    <w:sdtContent>
      <w:p w14:paraId="59845B42" w14:textId="77777777" w:rsidR="001838EA" w:rsidRPr="00F51A36" w:rsidRDefault="001838EA" w:rsidP="00F51A36">
        <w:pPr>
          <w:pStyle w:val="Footer"/>
          <w:jc w:val="right"/>
          <w:rPr>
            <w:noProof/>
          </w:rPr>
        </w:pPr>
        <w:r>
          <w:fldChar w:fldCharType="begin"/>
        </w:r>
        <w:r>
          <w:instrText xml:space="preserve"> PAGE   \* MERGEFORMAT </w:instrText>
        </w:r>
        <w:r>
          <w:fldChar w:fldCharType="separate"/>
        </w:r>
        <w:r w:rsidR="003C5BB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0DE0" w14:textId="77777777" w:rsidR="007342BB" w:rsidRDefault="007342BB" w:rsidP="007C32A4">
      <w:r>
        <w:separator/>
      </w:r>
    </w:p>
  </w:footnote>
  <w:footnote w:type="continuationSeparator" w:id="0">
    <w:p w14:paraId="44CF8513" w14:textId="77777777" w:rsidR="007342BB" w:rsidRDefault="007342BB" w:rsidP="007C32A4">
      <w:r>
        <w:continuationSeparator/>
      </w:r>
    </w:p>
  </w:footnote>
  <w:footnote w:id="1">
    <w:p w14:paraId="40115B1B" w14:textId="7ABBFEE1" w:rsidR="008A29E6" w:rsidRDefault="008A29E6">
      <w:pPr>
        <w:pStyle w:val="FootnoteText"/>
      </w:pPr>
      <w:r w:rsidRPr="00CA636A">
        <w:rPr>
          <w:rStyle w:val="FootnoteReference"/>
          <w:sz w:val="16"/>
          <w:szCs w:val="16"/>
        </w:rPr>
        <w:footnoteRef/>
      </w:r>
      <w:r w:rsidRPr="00CA636A">
        <w:rPr>
          <w:sz w:val="16"/>
          <w:szCs w:val="16"/>
        </w:rPr>
        <w:t xml:space="preserve"> Centers for Disease Control and Prevention, WISQARS – Fatal Injuries Report, Nation, Regional and State, 1981-2019.</w:t>
      </w:r>
    </w:p>
  </w:footnote>
  <w:footnote w:id="2">
    <w:p w14:paraId="579C3E81" w14:textId="0DE240C9" w:rsidR="0049117C" w:rsidRPr="00A217FD" w:rsidRDefault="0049117C" w:rsidP="006C6165">
      <w:pPr>
        <w:rPr>
          <w:rFonts w:ascii="Calibri" w:hAnsi="Calibri" w:cs="Calibri"/>
          <w:sz w:val="16"/>
          <w:szCs w:val="16"/>
        </w:rPr>
      </w:pPr>
      <w:r w:rsidRPr="00A217FD">
        <w:rPr>
          <w:rStyle w:val="FootnoteReference"/>
          <w:sz w:val="16"/>
          <w:szCs w:val="16"/>
        </w:rPr>
        <w:footnoteRef/>
      </w:r>
      <w:r w:rsidRPr="00A217FD">
        <w:rPr>
          <w:sz w:val="16"/>
          <w:szCs w:val="16"/>
        </w:rPr>
        <w:t xml:space="preserve"> </w:t>
      </w:r>
      <w:r w:rsidR="006C6165" w:rsidRPr="00A217FD">
        <w:rPr>
          <w:sz w:val="16"/>
          <w:szCs w:val="16"/>
        </w:rPr>
        <w:t>Massachusetts Violent Death Reporting System (MAVDRS), Injury Surveillance Program, Massachusetts Department of Public Health, 2019.</w:t>
      </w:r>
    </w:p>
  </w:footnote>
  <w:footnote w:id="3">
    <w:p w14:paraId="5E6BB6A3" w14:textId="600DB1A0" w:rsidR="0049117C" w:rsidRDefault="0049117C">
      <w:pPr>
        <w:pStyle w:val="FootnoteText"/>
      </w:pPr>
      <w:r w:rsidRPr="00A217FD">
        <w:rPr>
          <w:rStyle w:val="FootnoteReference"/>
          <w:sz w:val="16"/>
          <w:szCs w:val="16"/>
        </w:rPr>
        <w:footnoteRef/>
      </w:r>
      <w:r w:rsidRPr="00A217FD">
        <w:rPr>
          <w:sz w:val="16"/>
          <w:szCs w:val="16"/>
        </w:rPr>
        <w:t xml:space="preserve"> </w:t>
      </w:r>
      <w:r w:rsidR="006C6165" w:rsidRPr="00A217FD">
        <w:rPr>
          <w:sz w:val="16"/>
          <w:szCs w:val="16"/>
        </w:rPr>
        <w:t>Peterson C, Sussell A, Li J, Schumacher PK, Yeoman K, Stone DM. Suicide rates by industry and occupation – national violent death reporting system, 32 states, 2016. MMWR Morb Mortal Wkly Rep 2020; 69:57-62.</w:t>
      </w:r>
    </w:p>
  </w:footnote>
  <w:footnote w:id="4">
    <w:p w14:paraId="2ECBCECD" w14:textId="4EA3E3C8" w:rsidR="00EA78D6" w:rsidRPr="00AB3459" w:rsidRDefault="00EA78D6">
      <w:pPr>
        <w:pStyle w:val="FootnoteText"/>
        <w:rPr>
          <w:sz w:val="16"/>
          <w:szCs w:val="16"/>
        </w:rPr>
      </w:pPr>
      <w:r w:rsidRPr="00EA78D6">
        <w:rPr>
          <w:rStyle w:val="FootnoteReference"/>
          <w:sz w:val="16"/>
          <w:szCs w:val="16"/>
        </w:rPr>
        <w:footnoteRef/>
      </w:r>
      <w:r w:rsidRPr="00EA78D6">
        <w:rPr>
          <w:sz w:val="16"/>
          <w:szCs w:val="16"/>
        </w:rPr>
        <w:t xml:space="preserve"> </w:t>
      </w:r>
      <w:r>
        <w:rPr>
          <w:sz w:val="16"/>
          <w:szCs w:val="16"/>
        </w:rPr>
        <w:t xml:space="preserve">Massachusetts Department of Public Health, Occupational Health Surveillance Program, 2018-2019 Massachusetts Fatal Injuries at Work. </w:t>
      </w:r>
      <w:r w:rsidRPr="00EA78D6">
        <w:rPr>
          <w:sz w:val="16"/>
          <w:szCs w:val="16"/>
        </w:rPr>
        <w:t>https://www.mass.gov/doc/massachusetts-fatal-injuries-at-work-2018-2019-0/download</w:t>
      </w:r>
    </w:p>
  </w:footnote>
  <w:footnote w:id="5">
    <w:p w14:paraId="0BBD78AB" w14:textId="30535B3A" w:rsidR="00AB3459" w:rsidRPr="00AB3459" w:rsidRDefault="00AB3459">
      <w:pPr>
        <w:pStyle w:val="FootnoteText"/>
        <w:rPr>
          <w:sz w:val="16"/>
          <w:szCs w:val="16"/>
        </w:rPr>
      </w:pPr>
      <w:r w:rsidRPr="00AB3459">
        <w:rPr>
          <w:sz w:val="16"/>
          <w:szCs w:val="16"/>
          <w:vertAlign w:val="superscript"/>
        </w:rPr>
        <w:footnoteRef/>
      </w:r>
      <w:r w:rsidRPr="00AB3459">
        <w:rPr>
          <w:sz w:val="16"/>
          <w:szCs w:val="16"/>
        </w:rPr>
        <w:t xml:space="preserve"> Sex is noted on the death certificate as male, female, unknown. There were no “unknown” suicide deaths in the examined time period.</w:t>
      </w:r>
    </w:p>
  </w:footnote>
  <w:footnote w:id="6">
    <w:p w14:paraId="61DBEFFE" w14:textId="37DFC85C" w:rsidR="003F1A13" w:rsidRDefault="003F1A13">
      <w:pPr>
        <w:pStyle w:val="FootnoteText"/>
      </w:pPr>
      <w:r w:rsidRPr="00773E89">
        <w:rPr>
          <w:rStyle w:val="FootnoteReference"/>
          <w:sz w:val="18"/>
          <w:szCs w:val="18"/>
        </w:rPr>
        <w:footnoteRef/>
      </w:r>
      <w:r w:rsidRPr="00773E89">
        <w:rPr>
          <w:sz w:val="18"/>
          <w:szCs w:val="18"/>
        </w:rPr>
        <w:t xml:space="preserve"> </w:t>
      </w:r>
      <w:r w:rsidR="00FF2180" w:rsidRPr="00773E89">
        <w:rPr>
          <w:sz w:val="18"/>
          <w:szCs w:val="18"/>
        </w:rPr>
        <w:t xml:space="preserve">U.S. Department of Health &amp; Human Services. (2021, September 28). </w:t>
      </w:r>
      <w:r w:rsidR="00FF2180" w:rsidRPr="00773E89">
        <w:rPr>
          <w:i/>
          <w:iCs/>
          <w:sz w:val="18"/>
          <w:szCs w:val="18"/>
        </w:rPr>
        <w:t>NVDRS Resources: violence prevention</w:t>
      </w:r>
      <w:r w:rsidR="00FF2180" w:rsidRPr="00773E89">
        <w:rPr>
          <w:sz w:val="18"/>
          <w:szCs w:val="18"/>
        </w:rPr>
        <w:t xml:space="preserve">. Centers for Disease Control and Prevention. Retrieved December 10, 2021, from </w:t>
      </w:r>
      <w:hyperlink r:id="rId1" w:history="1">
        <w:r w:rsidR="00FF2180" w:rsidRPr="00773E89">
          <w:rPr>
            <w:rStyle w:val="Hyperlink"/>
            <w:sz w:val="18"/>
            <w:szCs w:val="18"/>
          </w:rPr>
          <w:t>https://www.cdc.gov/violenceprevention/datasources/nvdrs/resources.html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A50ED"/>
    <w:multiLevelType w:val="hybridMultilevel"/>
    <w:tmpl w:val="D3EEC9D4"/>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A5EC8"/>
    <w:multiLevelType w:val="hybridMultilevel"/>
    <w:tmpl w:val="ACEE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17CA7"/>
    <w:multiLevelType w:val="hybridMultilevel"/>
    <w:tmpl w:val="21D44BE8"/>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A54EA"/>
    <w:multiLevelType w:val="hybridMultilevel"/>
    <w:tmpl w:val="D4043A98"/>
    <w:lvl w:ilvl="0" w:tplc="7CB0F86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D5D14"/>
    <w:multiLevelType w:val="hybridMultilevel"/>
    <w:tmpl w:val="ADC4ED06"/>
    <w:lvl w:ilvl="0" w:tplc="8CECCF84">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32E2C"/>
    <w:multiLevelType w:val="hybridMultilevel"/>
    <w:tmpl w:val="F56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A0980"/>
    <w:multiLevelType w:val="hybridMultilevel"/>
    <w:tmpl w:val="403CCD30"/>
    <w:lvl w:ilvl="0" w:tplc="632623E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B4043"/>
    <w:multiLevelType w:val="hybridMultilevel"/>
    <w:tmpl w:val="226A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1"/>
  </w:num>
  <w:num w:numId="6">
    <w:abstractNumId w:val="11"/>
  </w:num>
  <w:num w:numId="7">
    <w:abstractNumId w:val="9"/>
  </w:num>
  <w:num w:numId="8">
    <w:abstractNumId w:val="7"/>
  </w:num>
  <w:num w:numId="9">
    <w:abstractNumId w:val="10"/>
  </w:num>
  <w:num w:numId="10">
    <w:abstractNumId w:val="4"/>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081"/>
    <w:rsid w:val="000003DD"/>
    <w:rsid w:val="00000B81"/>
    <w:rsid w:val="0000144D"/>
    <w:rsid w:val="000029AD"/>
    <w:rsid w:val="000058BC"/>
    <w:rsid w:val="00010B7A"/>
    <w:rsid w:val="00010C28"/>
    <w:rsid w:val="000117FC"/>
    <w:rsid w:val="00013E13"/>
    <w:rsid w:val="00016E03"/>
    <w:rsid w:val="00022B9A"/>
    <w:rsid w:val="00023276"/>
    <w:rsid w:val="000269BE"/>
    <w:rsid w:val="000269D9"/>
    <w:rsid w:val="000305E4"/>
    <w:rsid w:val="0003225B"/>
    <w:rsid w:val="000322AD"/>
    <w:rsid w:val="00034994"/>
    <w:rsid w:val="00037990"/>
    <w:rsid w:val="0004065B"/>
    <w:rsid w:val="00044FFF"/>
    <w:rsid w:val="00046A3F"/>
    <w:rsid w:val="00046B25"/>
    <w:rsid w:val="00052729"/>
    <w:rsid w:val="00054777"/>
    <w:rsid w:val="00056028"/>
    <w:rsid w:val="000665E3"/>
    <w:rsid w:val="00067A82"/>
    <w:rsid w:val="000701B6"/>
    <w:rsid w:val="000727A2"/>
    <w:rsid w:val="00073248"/>
    <w:rsid w:val="00074594"/>
    <w:rsid w:val="0007643F"/>
    <w:rsid w:val="0007777C"/>
    <w:rsid w:val="00081E61"/>
    <w:rsid w:val="00084B65"/>
    <w:rsid w:val="0008551B"/>
    <w:rsid w:val="000868CC"/>
    <w:rsid w:val="000876AB"/>
    <w:rsid w:val="000909E7"/>
    <w:rsid w:val="0009137E"/>
    <w:rsid w:val="00091641"/>
    <w:rsid w:val="000925A8"/>
    <w:rsid w:val="000933F0"/>
    <w:rsid w:val="000934BB"/>
    <w:rsid w:val="000A0341"/>
    <w:rsid w:val="000A0A89"/>
    <w:rsid w:val="000A1478"/>
    <w:rsid w:val="000A2A9E"/>
    <w:rsid w:val="000A3168"/>
    <w:rsid w:val="000A501B"/>
    <w:rsid w:val="000A6FC2"/>
    <w:rsid w:val="000A7817"/>
    <w:rsid w:val="000B7A65"/>
    <w:rsid w:val="000C052D"/>
    <w:rsid w:val="000C0D1E"/>
    <w:rsid w:val="000C1559"/>
    <w:rsid w:val="000C3592"/>
    <w:rsid w:val="000C56BA"/>
    <w:rsid w:val="000C56F3"/>
    <w:rsid w:val="000C6325"/>
    <w:rsid w:val="000C6CC4"/>
    <w:rsid w:val="000C7465"/>
    <w:rsid w:val="000C7A61"/>
    <w:rsid w:val="000C7CCB"/>
    <w:rsid w:val="000D0567"/>
    <w:rsid w:val="000D05F8"/>
    <w:rsid w:val="000D0C2A"/>
    <w:rsid w:val="000D2679"/>
    <w:rsid w:val="000D3CB0"/>
    <w:rsid w:val="000D6107"/>
    <w:rsid w:val="000D7F37"/>
    <w:rsid w:val="000E1BDC"/>
    <w:rsid w:val="000E36D3"/>
    <w:rsid w:val="000F151F"/>
    <w:rsid w:val="000F157F"/>
    <w:rsid w:val="000F2527"/>
    <w:rsid w:val="000F4674"/>
    <w:rsid w:val="000F4E75"/>
    <w:rsid w:val="00103E73"/>
    <w:rsid w:val="0010631D"/>
    <w:rsid w:val="00107032"/>
    <w:rsid w:val="001072C1"/>
    <w:rsid w:val="00111733"/>
    <w:rsid w:val="0011627D"/>
    <w:rsid w:val="00117562"/>
    <w:rsid w:val="00120DB5"/>
    <w:rsid w:val="0012422F"/>
    <w:rsid w:val="00125CA0"/>
    <w:rsid w:val="00126ED5"/>
    <w:rsid w:val="001279BC"/>
    <w:rsid w:val="00133E7D"/>
    <w:rsid w:val="00134E4C"/>
    <w:rsid w:val="00136AB3"/>
    <w:rsid w:val="0014011C"/>
    <w:rsid w:val="00140AF2"/>
    <w:rsid w:val="001410AA"/>
    <w:rsid w:val="00143407"/>
    <w:rsid w:val="001436FF"/>
    <w:rsid w:val="00143B86"/>
    <w:rsid w:val="001450FB"/>
    <w:rsid w:val="001477F1"/>
    <w:rsid w:val="0015294F"/>
    <w:rsid w:val="0015306A"/>
    <w:rsid w:val="001544F3"/>
    <w:rsid w:val="00160478"/>
    <w:rsid w:val="00161020"/>
    <w:rsid w:val="00163551"/>
    <w:rsid w:val="00164633"/>
    <w:rsid w:val="001653FE"/>
    <w:rsid w:val="0016543E"/>
    <w:rsid w:val="00166097"/>
    <w:rsid w:val="00173675"/>
    <w:rsid w:val="001744F8"/>
    <w:rsid w:val="00175A60"/>
    <w:rsid w:val="00176A73"/>
    <w:rsid w:val="00176B47"/>
    <w:rsid w:val="001774B6"/>
    <w:rsid w:val="00182EC3"/>
    <w:rsid w:val="00183213"/>
    <w:rsid w:val="001835E5"/>
    <w:rsid w:val="001838EA"/>
    <w:rsid w:val="00185A2A"/>
    <w:rsid w:val="0019369B"/>
    <w:rsid w:val="0019456E"/>
    <w:rsid w:val="0019510E"/>
    <w:rsid w:val="0019591F"/>
    <w:rsid w:val="00196989"/>
    <w:rsid w:val="0019714E"/>
    <w:rsid w:val="001A125B"/>
    <w:rsid w:val="001A1EB0"/>
    <w:rsid w:val="001A62B3"/>
    <w:rsid w:val="001A7F63"/>
    <w:rsid w:val="001B1377"/>
    <w:rsid w:val="001B18C7"/>
    <w:rsid w:val="001B2472"/>
    <w:rsid w:val="001B316F"/>
    <w:rsid w:val="001B3CA2"/>
    <w:rsid w:val="001B56F9"/>
    <w:rsid w:val="001B69EE"/>
    <w:rsid w:val="001C0ACE"/>
    <w:rsid w:val="001C105F"/>
    <w:rsid w:val="001D1B24"/>
    <w:rsid w:val="001D7813"/>
    <w:rsid w:val="001D7895"/>
    <w:rsid w:val="001E2E5D"/>
    <w:rsid w:val="001F2213"/>
    <w:rsid w:val="001F2542"/>
    <w:rsid w:val="001F74AA"/>
    <w:rsid w:val="0020067B"/>
    <w:rsid w:val="00203D24"/>
    <w:rsid w:val="00203FE0"/>
    <w:rsid w:val="00204499"/>
    <w:rsid w:val="002078AF"/>
    <w:rsid w:val="00212AB8"/>
    <w:rsid w:val="0021457C"/>
    <w:rsid w:val="00215B95"/>
    <w:rsid w:val="00220530"/>
    <w:rsid w:val="002210B2"/>
    <w:rsid w:val="0022428B"/>
    <w:rsid w:val="00226111"/>
    <w:rsid w:val="002270DF"/>
    <w:rsid w:val="0022742A"/>
    <w:rsid w:val="00227809"/>
    <w:rsid w:val="0023095B"/>
    <w:rsid w:val="00230978"/>
    <w:rsid w:val="00233B01"/>
    <w:rsid w:val="00237FD2"/>
    <w:rsid w:val="002421BB"/>
    <w:rsid w:val="00244BFA"/>
    <w:rsid w:val="00246D0F"/>
    <w:rsid w:val="00247048"/>
    <w:rsid w:val="00250117"/>
    <w:rsid w:val="0025019A"/>
    <w:rsid w:val="0025387F"/>
    <w:rsid w:val="00254E59"/>
    <w:rsid w:val="00261995"/>
    <w:rsid w:val="00262E28"/>
    <w:rsid w:val="00263563"/>
    <w:rsid w:val="00266428"/>
    <w:rsid w:val="002665E3"/>
    <w:rsid w:val="00267AE5"/>
    <w:rsid w:val="00270E37"/>
    <w:rsid w:val="00270E83"/>
    <w:rsid w:val="002752E8"/>
    <w:rsid w:val="002771FA"/>
    <w:rsid w:val="002774F4"/>
    <w:rsid w:val="00277E3B"/>
    <w:rsid w:val="002903EF"/>
    <w:rsid w:val="00291887"/>
    <w:rsid w:val="00295568"/>
    <w:rsid w:val="002A06FE"/>
    <w:rsid w:val="002A14F4"/>
    <w:rsid w:val="002A2A2E"/>
    <w:rsid w:val="002A5447"/>
    <w:rsid w:val="002A700B"/>
    <w:rsid w:val="002B0268"/>
    <w:rsid w:val="002B3060"/>
    <w:rsid w:val="002B32E2"/>
    <w:rsid w:val="002B5069"/>
    <w:rsid w:val="002B7C77"/>
    <w:rsid w:val="002C082B"/>
    <w:rsid w:val="002C4015"/>
    <w:rsid w:val="002C6000"/>
    <w:rsid w:val="002C780F"/>
    <w:rsid w:val="002D0514"/>
    <w:rsid w:val="002D09D6"/>
    <w:rsid w:val="002D198E"/>
    <w:rsid w:val="002D2B4D"/>
    <w:rsid w:val="002D46EE"/>
    <w:rsid w:val="002D635C"/>
    <w:rsid w:val="002D6FDA"/>
    <w:rsid w:val="002E00E2"/>
    <w:rsid w:val="002E1932"/>
    <w:rsid w:val="002E1C0A"/>
    <w:rsid w:val="002E2F5D"/>
    <w:rsid w:val="002E39B5"/>
    <w:rsid w:val="002E57E5"/>
    <w:rsid w:val="002E5F25"/>
    <w:rsid w:val="002E74D6"/>
    <w:rsid w:val="002F0F87"/>
    <w:rsid w:val="002F2C34"/>
    <w:rsid w:val="002F3A80"/>
    <w:rsid w:val="002F7FD4"/>
    <w:rsid w:val="003021AA"/>
    <w:rsid w:val="00304AA2"/>
    <w:rsid w:val="00305F5D"/>
    <w:rsid w:val="0030682F"/>
    <w:rsid w:val="00306DE5"/>
    <w:rsid w:val="00310D0F"/>
    <w:rsid w:val="00311EE6"/>
    <w:rsid w:val="00316641"/>
    <w:rsid w:val="00322588"/>
    <w:rsid w:val="00322ABF"/>
    <w:rsid w:val="00326156"/>
    <w:rsid w:val="00331EB3"/>
    <w:rsid w:val="00335020"/>
    <w:rsid w:val="00340AD9"/>
    <w:rsid w:val="00341DCB"/>
    <w:rsid w:val="0034373B"/>
    <w:rsid w:val="00343CF1"/>
    <w:rsid w:val="0034439A"/>
    <w:rsid w:val="00345A1B"/>
    <w:rsid w:val="00345C20"/>
    <w:rsid w:val="00347B51"/>
    <w:rsid w:val="003522F4"/>
    <w:rsid w:val="003545C6"/>
    <w:rsid w:val="00357E99"/>
    <w:rsid w:val="003605CA"/>
    <w:rsid w:val="00360AA1"/>
    <w:rsid w:val="00362C7D"/>
    <w:rsid w:val="00363060"/>
    <w:rsid w:val="003652DE"/>
    <w:rsid w:val="0036538C"/>
    <w:rsid w:val="00365EB3"/>
    <w:rsid w:val="00366626"/>
    <w:rsid w:val="00372714"/>
    <w:rsid w:val="00372C20"/>
    <w:rsid w:val="0037409E"/>
    <w:rsid w:val="00374F12"/>
    <w:rsid w:val="00376491"/>
    <w:rsid w:val="00380880"/>
    <w:rsid w:val="00382BA9"/>
    <w:rsid w:val="00384B86"/>
    <w:rsid w:val="003854CB"/>
    <w:rsid w:val="003906E3"/>
    <w:rsid w:val="00393F49"/>
    <w:rsid w:val="003964BC"/>
    <w:rsid w:val="003972D7"/>
    <w:rsid w:val="003A08A7"/>
    <w:rsid w:val="003A0A47"/>
    <w:rsid w:val="003A1BDF"/>
    <w:rsid w:val="003A1CEC"/>
    <w:rsid w:val="003A2ABD"/>
    <w:rsid w:val="003A2E3D"/>
    <w:rsid w:val="003A3CFF"/>
    <w:rsid w:val="003A5F9D"/>
    <w:rsid w:val="003B12FC"/>
    <w:rsid w:val="003B3A43"/>
    <w:rsid w:val="003B60D6"/>
    <w:rsid w:val="003C15FB"/>
    <w:rsid w:val="003C20BE"/>
    <w:rsid w:val="003C407D"/>
    <w:rsid w:val="003C5BB7"/>
    <w:rsid w:val="003C7797"/>
    <w:rsid w:val="003D1855"/>
    <w:rsid w:val="003D3013"/>
    <w:rsid w:val="003E0D6E"/>
    <w:rsid w:val="003E1C89"/>
    <w:rsid w:val="003E3079"/>
    <w:rsid w:val="003E5A69"/>
    <w:rsid w:val="003E7FBC"/>
    <w:rsid w:val="003F1A13"/>
    <w:rsid w:val="003F1C5E"/>
    <w:rsid w:val="003F2E98"/>
    <w:rsid w:val="003F3A55"/>
    <w:rsid w:val="003F5FDE"/>
    <w:rsid w:val="00400137"/>
    <w:rsid w:val="00401350"/>
    <w:rsid w:val="00406153"/>
    <w:rsid w:val="00406B6E"/>
    <w:rsid w:val="00407537"/>
    <w:rsid w:val="00414926"/>
    <w:rsid w:val="004162A0"/>
    <w:rsid w:val="004166A2"/>
    <w:rsid w:val="00420380"/>
    <w:rsid w:val="004214D2"/>
    <w:rsid w:val="00425870"/>
    <w:rsid w:val="00425999"/>
    <w:rsid w:val="004269E1"/>
    <w:rsid w:val="00426B4D"/>
    <w:rsid w:val="00427140"/>
    <w:rsid w:val="00427B7B"/>
    <w:rsid w:val="004331A6"/>
    <w:rsid w:val="00434045"/>
    <w:rsid w:val="00435456"/>
    <w:rsid w:val="004361AB"/>
    <w:rsid w:val="004374A2"/>
    <w:rsid w:val="004405B0"/>
    <w:rsid w:val="00441AAB"/>
    <w:rsid w:val="004424BE"/>
    <w:rsid w:val="00450820"/>
    <w:rsid w:val="00452053"/>
    <w:rsid w:val="00454D7D"/>
    <w:rsid w:val="00454D9D"/>
    <w:rsid w:val="0046031A"/>
    <w:rsid w:val="00461688"/>
    <w:rsid w:val="0046198F"/>
    <w:rsid w:val="00461F78"/>
    <w:rsid w:val="00462DA7"/>
    <w:rsid w:val="00462F04"/>
    <w:rsid w:val="004647EC"/>
    <w:rsid w:val="00472DBB"/>
    <w:rsid w:val="004736AE"/>
    <w:rsid w:val="004747BD"/>
    <w:rsid w:val="00474F45"/>
    <w:rsid w:val="00481045"/>
    <w:rsid w:val="004846A7"/>
    <w:rsid w:val="00485D8F"/>
    <w:rsid w:val="0049033D"/>
    <w:rsid w:val="00490408"/>
    <w:rsid w:val="0049117C"/>
    <w:rsid w:val="00491188"/>
    <w:rsid w:val="00492F0B"/>
    <w:rsid w:val="004970C3"/>
    <w:rsid w:val="004A19FA"/>
    <w:rsid w:val="004A1D3B"/>
    <w:rsid w:val="004A1F8D"/>
    <w:rsid w:val="004A5CF7"/>
    <w:rsid w:val="004A5F97"/>
    <w:rsid w:val="004A7378"/>
    <w:rsid w:val="004A738C"/>
    <w:rsid w:val="004B0BFE"/>
    <w:rsid w:val="004B20E8"/>
    <w:rsid w:val="004B2EF6"/>
    <w:rsid w:val="004B5E31"/>
    <w:rsid w:val="004C1390"/>
    <w:rsid w:val="004C171A"/>
    <w:rsid w:val="004D01C9"/>
    <w:rsid w:val="004D2A1C"/>
    <w:rsid w:val="004D5B08"/>
    <w:rsid w:val="004D6155"/>
    <w:rsid w:val="004E060B"/>
    <w:rsid w:val="004E37A0"/>
    <w:rsid w:val="004E59B1"/>
    <w:rsid w:val="004E6812"/>
    <w:rsid w:val="004E75C1"/>
    <w:rsid w:val="004F4852"/>
    <w:rsid w:val="004F5228"/>
    <w:rsid w:val="005003D0"/>
    <w:rsid w:val="00503A1E"/>
    <w:rsid w:val="00504668"/>
    <w:rsid w:val="0050567F"/>
    <w:rsid w:val="00505B00"/>
    <w:rsid w:val="00506251"/>
    <w:rsid w:val="0051017C"/>
    <w:rsid w:val="005153ED"/>
    <w:rsid w:val="00515D58"/>
    <w:rsid w:val="00516975"/>
    <w:rsid w:val="00517CE4"/>
    <w:rsid w:val="00520EFC"/>
    <w:rsid w:val="00522090"/>
    <w:rsid w:val="0052406D"/>
    <w:rsid w:val="00525448"/>
    <w:rsid w:val="00526880"/>
    <w:rsid w:val="00530474"/>
    <w:rsid w:val="00530D9D"/>
    <w:rsid w:val="005337B8"/>
    <w:rsid w:val="00533CF3"/>
    <w:rsid w:val="005366A2"/>
    <w:rsid w:val="00537390"/>
    <w:rsid w:val="0054514B"/>
    <w:rsid w:val="005459BE"/>
    <w:rsid w:val="00545AB8"/>
    <w:rsid w:val="00547260"/>
    <w:rsid w:val="00553139"/>
    <w:rsid w:val="0055594D"/>
    <w:rsid w:val="00561E28"/>
    <w:rsid w:val="00563C4B"/>
    <w:rsid w:val="00563DD5"/>
    <w:rsid w:val="00565751"/>
    <w:rsid w:val="00570FB4"/>
    <w:rsid w:val="0057111F"/>
    <w:rsid w:val="0057183B"/>
    <w:rsid w:val="00571CE5"/>
    <w:rsid w:val="005726E8"/>
    <w:rsid w:val="005733A9"/>
    <w:rsid w:val="00573445"/>
    <w:rsid w:val="005738C1"/>
    <w:rsid w:val="00573EED"/>
    <w:rsid w:val="00574A61"/>
    <w:rsid w:val="00575D59"/>
    <w:rsid w:val="00576FE7"/>
    <w:rsid w:val="00580AB9"/>
    <w:rsid w:val="00581C0B"/>
    <w:rsid w:val="00582985"/>
    <w:rsid w:val="00583647"/>
    <w:rsid w:val="00587034"/>
    <w:rsid w:val="005906F2"/>
    <w:rsid w:val="005916C9"/>
    <w:rsid w:val="00592309"/>
    <w:rsid w:val="0059422F"/>
    <w:rsid w:val="005954E0"/>
    <w:rsid w:val="00595EB1"/>
    <w:rsid w:val="00597400"/>
    <w:rsid w:val="005A00A1"/>
    <w:rsid w:val="005A11F3"/>
    <w:rsid w:val="005A6337"/>
    <w:rsid w:val="005A6B10"/>
    <w:rsid w:val="005A752E"/>
    <w:rsid w:val="005A7D1E"/>
    <w:rsid w:val="005B1035"/>
    <w:rsid w:val="005B2278"/>
    <w:rsid w:val="005B254C"/>
    <w:rsid w:val="005B28C5"/>
    <w:rsid w:val="005B4541"/>
    <w:rsid w:val="005B5287"/>
    <w:rsid w:val="005B7001"/>
    <w:rsid w:val="005B7769"/>
    <w:rsid w:val="005C13D0"/>
    <w:rsid w:val="005D12DC"/>
    <w:rsid w:val="005D7941"/>
    <w:rsid w:val="005E1BD6"/>
    <w:rsid w:val="005E50DB"/>
    <w:rsid w:val="005E7A80"/>
    <w:rsid w:val="005E7B84"/>
    <w:rsid w:val="005F0B7A"/>
    <w:rsid w:val="006010B0"/>
    <w:rsid w:val="006043AF"/>
    <w:rsid w:val="00605184"/>
    <w:rsid w:val="006053A0"/>
    <w:rsid w:val="0061021F"/>
    <w:rsid w:val="00613701"/>
    <w:rsid w:val="0061498C"/>
    <w:rsid w:val="006162B9"/>
    <w:rsid w:val="00617955"/>
    <w:rsid w:val="00621A30"/>
    <w:rsid w:val="006237EF"/>
    <w:rsid w:val="006260CC"/>
    <w:rsid w:val="00626457"/>
    <w:rsid w:val="00627A71"/>
    <w:rsid w:val="00635866"/>
    <w:rsid w:val="00637F27"/>
    <w:rsid w:val="0064290C"/>
    <w:rsid w:val="00643C1F"/>
    <w:rsid w:val="006458EE"/>
    <w:rsid w:val="00645926"/>
    <w:rsid w:val="006509E6"/>
    <w:rsid w:val="00655495"/>
    <w:rsid w:val="00655704"/>
    <w:rsid w:val="006602AF"/>
    <w:rsid w:val="0066103C"/>
    <w:rsid w:val="0066295B"/>
    <w:rsid w:val="0066447D"/>
    <w:rsid w:val="00664FAD"/>
    <w:rsid w:val="006653C8"/>
    <w:rsid w:val="00665C3F"/>
    <w:rsid w:val="006661EA"/>
    <w:rsid w:val="006665F6"/>
    <w:rsid w:val="00670DA0"/>
    <w:rsid w:val="006715C5"/>
    <w:rsid w:val="0067406A"/>
    <w:rsid w:val="00674E41"/>
    <w:rsid w:val="0067580A"/>
    <w:rsid w:val="00676955"/>
    <w:rsid w:val="00676983"/>
    <w:rsid w:val="00676BE1"/>
    <w:rsid w:val="006806E9"/>
    <w:rsid w:val="006861EA"/>
    <w:rsid w:val="006900EF"/>
    <w:rsid w:val="00691BC8"/>
    <w:rsid w:val="00692DD8"/>
    <w:rsid w:val="00696B67"/>
    <w:rsid w:val="00696CE7"/>
    <w:rsid w:val="006A1AD0"/>
    <w:rsid w:val="006A1DBA"/>
    <w:rsid w:val="006A3E0B"/>
    <w:rsid w:val="006A7000"/>
    <w:rsid w:val="006B036F"/>
    <w:rsid w:val="006B615B"/>
    <w:rsid w:val="006B669A"/>
    <w:rsid w:val="006C05B6"/>
    <w:rsid w:val="006C12D1"/>
    <w:rsid w:val="006C157C"/>
    <w:rsid w:val="006C54E4"/>
    <w:rsid w:val="006C54EF"/>
    <w:rsid w:val="006C6165"/>
    <w:rsid w:val="006C73E7"/>
    <w:rsid w:val="006C75A7"/>
    <w:rsid w:val="006D087C"/>
    <w:rsid w:val="006D2758"/>
    <w:rsid w:val="006D4BBF"/>
    <w:rsid w:val="006D4DEC"/>
    <w:rsid w:val="006D525A"/>
    <w:rsid w:val="006E760B"/>
    <w:rsid w:val="006E7826"/>
    <w:rsid w:val="006E7E12"/>
    <w:rsid w:val="006F75FB"/>
    <w:rsid w:val="0070062F"/>
    <w:rsid w:val="00704A88"/>
    <w:rsid w:val="0071170A"/>
    <w:rsid w:val="00713973"/>
    <w:rsid w:val="0071431D"/>
    <w:rsid w:val="007155F4"/>
    <w:rsid w:val="00716BDE"/>
    <w:rsid w:val="00717284"/>
    <w:rsid w:val="00722A70"/>
    <w:rsid w:val="00723A8D"/>
    <w:rsid w:val="00724600"/>
    <w:rsid w:val="00724A24"/>
    <w:rsid w:val="0072694B"/>
    <w:rsid w:val="00726C71"/>
    <w:rsid w:val="007342BB"/>
    <w:rsid w:val="0073527D"/>
    <w:rsid w:val="00736B45"/>
    <w:rsid w:val="00736F32"/>
    <w:rsid w:val="00737143"/>
    <w:rsid w:val="00740F5C"/>
    <w:rsid w:val="00741509"/>
    <w:rsid w:val="007448AE"/>
    <w:rsid w:val="0074717B"/>
    <w:rsid w:val="00750E54"/>
    <w:rsid w:val="00752C22"/>
    <w:rsid w:val="00752E48"/>
    <w:rsid w:val="007534F4"/>
    <w:rsid w:val="00753F66"/>
    <w:rsid w:val="00760820"/>
    <w:rsid w:val="007609EC"/>
    <w:rsid w:val="0076166F"/>
    <w:rsid w:val="00761A3A"/>
    <w:rsid w:val="007637D0"/>
    <w:rsid w:val="0076581B"/>
    <w:rsid w:val="0076615E"/>
    <w:rsid w:val="007669D6"/>
    <w:rsid w:val="00767317"/>
    <w:rsid w:val="007701C2"/>
    <w:rsid w:val="00773E89"/>
    <w:rsid w:val="0078067D"/>
    <w:rsid w:val="00784CAB"/>
    <w:rsid w:val="0079094C"/>
    <w:rsid w:val="0079227C"/>
    <w:rsid w:val="0079319C"/>
    <w:rsid w:val="007A178B"/>
    <w:rsid w:val="007A20CB"/>
    <w:rsid w:val="007A21E7"/>
    <w:rsid w:val="007A37C2"/>
    <w:rsid w:val="007A7C9C"/>
    <w:rsid w:val="007B1DF9"/>
    <w:rsid w:val="007B2C66"/>
    <w:rsid w:val="007B4903"/>
    <w:rsid w:val="007B5659"/>
    <w:rsid w:val="007B684E"/>
    <w:rsid w:val="007C32A4"/>
    <w:rsid w:val="007C62FB"/>
    <w:rsid w:val="007C7F67"/>
    <w:rsid w:val="007D4A92"/>
    <w:rsid w:val="007D710B"/>
    <w:rsid w:val="007E0627"/>
    <w:rsid w:val="007E146C"/>
    <w:rsid w:val="007E28B4"/>
    <w:rsid w:val="007F58F4"/>
    <w:rsid w:val="00812171"/>
    <w:rsid w:val="00815292"/>
    <w:rsid w:val="008154BD"/>
    <w:rsid w:val="008210D8"/>
    <w:rsid w:val="00822510"/>
    <w:rsid w:val="00822B1D"/>
    <w:rsid w:val="00824354"/>
    <w:rsid w:val="00825512"/>
    <w:rsid w:val="00832CB9"/>
    <w:rsid w:val="008363D1"/>
    <w:rsid w:val="00844BA3"/>
    <w:rsid w:val="00845EE3"/>
    <w:rsid w:val="00845F74"/>
    <w:rsid w:val="00853819"/>
    <w:rsid w:val="00853BE4"/>
    <w:rsid w:val="00854BCF"/>
    <w:rsid w:val="0085554E"/>
    <w:rsid w:val="00855FD3"/>
    <w:rsid w:val="0085754E"/>
    <w:rsid w:val="0085765C"/>
    <w:rsid w:val="00860B54"/>
    <w:rsid w:val="0086289A"/>
    <w:rsid w:val="0086306E"/>
    <w:rsid w:val="00863FA8"/>
    <w:rsid w:val="008745F9"/>
    <w:rsid w:val="0087503F"/>
    <w:rsid w:val="00880300"/>
    <w:rsid w:val="00881F64"/>
    <w:rsid w:val="00882B56"/>
    <w:rsid w:val="00887AF9"/>
    <w:rsid w:val="008911A6"/>
    <w:rsid w:val="00892242"/>
    <w:rsid w:val="008931F7"/>
    <w:rsid w:val="0089395C"/>
    <w:rsid w:val="008961EE"/>
    <w:rsid w:val="0089766C"/>
    <w:rsid w:val="008A29E6"/>
    <w:rsid w:val="008A3E46"/>
    <w:rsid w:val="008A62CB"/>
    <w:rsid w:val="008A68A2"/>
    <w:rsid w:val="008B1D34"/>
    <w:rsid w:val="008B5565"/>
    <w:rsid w:val="008B63A4"/>
    <w:rsid w:val="008C766D"/>
    <w:rsid w:val="008D007F"/>
    <w:rsid w:val="008D0385"/>
    <w:rsid w:val="008D24D2"/>
    <w:rsid w:val="008D4BCF"/>
    <w:rsid w:val="008D6C3D"/>
    <w:rsid w:val="008D7FCF"/>
    <w:rsid w:val="008E0377"/>
    <w:rsid w:val="008E0D33"/>
    <w:rsid w:val="008E539D"/>
    <w:rsid w:val="008E59C5"/>
    <w:rsid w:val="008E74EE"/>
    <w:rsid w:val="008E78F4"/>
    <w:rsid w:val="008E7A53"/>
    <w:rsid w:val="008F05DA"/>
    <w:rsid w:val="008F0DE9"/>
    <w:rsid w:val="008F1BE8"/>
    <w:rsid w:val="008F4794"/>
    <w:rsid w:val="008F47FE"/>
    <w:rsid w:val="008F5185"/>
    <w:rsid w:val="008F522B"/>
    <w:rsid w:val="009046AE"/>
    <w:rsid w:val="00910DF1"/>
    <w:rsid w:val="009122FB"/>
    <w:rsid w:val="0091396F"/>
    <w:rsid w:val="00914B0F"/>
    <w:rsid w:val="00914FF6"/>
    <w:rsid w:val="00915381"/>
    <w:rsid w:val="009173B8"/>
    <w:rsid w:val="009178A6"/>
    <w:rsid w:val="009178AF"/>
    <w:rsid w:val="00920EC9"/>
    <w:rsid w:val="00923A90"/>
    <w:rsid w:val="00927D4C"/>
    <w:rsid w:val="00930050"/>
    <w:rsid w:val="00932B2C"/>
    <w:rsid w:val="00933E4D"/>
    <w:rsid w:val="009359EF"/>
    <w:rsid w:val="00935A8B"/>
    <w:rsid w:val="00936006"/>
    <w:rsid w:val="00940179"/>
    <w:rsid w:val="009434D9"/>
    <w:rsid w:val="00943B97"/>
    <w:rsid w:val="00944F14"/>
    <w:rsid w:val="009459AC"/>
    <w:rsid w:val="00945C6B"/>
    <w:rsid w:val="009477DE"/>
    <w:rsid w:val="009505AD"/>
    <w:rsid w:val="00950D5D"/>
    <w:rsid w:val="00952E27"/>
    <w:rsid w:val="00953F2B"/>
    <w:rsid w:val="00953F32"/>
    <w:rsid w:val="00954EE3"/>
    <w:rsid w:val="00955F45"/>
    <w:rsid w:val="00956EC3"/>
    <w:rsid w:val="0095754A"/>
    <w:rsid w:val="00957AF6"/>
    <w:rsid w:val="009624DB"/>
    <w:rsid w:val="0096530D"/>
    <w:rsid w:val="00966D9D"/>
    <w:rsid w:val="00967A99"/>
    <w:rsid w:val="0097192B"/>
    <w:rsid w:val="00972B8D"/>
    <w:rsid w:val="00974D91"/>
    <w:rsid w:val="00980262"/>
    <w:rsid w:val="0098055F"/>
    <w:rsid w:val="009805EF"/>
    <w:rsid w:val="00982E73"/>
    <w:rsid w:val="00984CC0"/>
    <w:rsid w:val="00986BC5"/>
    <w:rsid w:val="00995DE5"/>
    <w:rsid w:val="00996A63"/>
    <w:rsid w:val="00997A9C"/>
    <w:rsid w:val="00997E0D"/>
    <w:rsid w:val="009A0663"/>
    <w:rsid w:val="009A1B84"/>
    <w:rsid w:val="009A225A"/>
    <w:rsid w:val="009A26A5"/>
    <w:rsid w:val="009A49B9"/>
    <w:rsid w:val="009B05C3"/>
    <w:rsid w:val="009B10C2"/>
    <w:rsid w:val="009B130A"/>
    <w:rsid w:val="009B2B34"/>
    <w:rsid w:val="009B6CF4"/>
    <w:rsid w:val="009C02FD"/>
    <w:rsid w:val="009C5C3B"/>
    <w:rsid w:val="009C6788"/>
    <w:rsid w:val="009C7BD4"/>
    <w:rsid w:val="009D0629"/>
    <w:rsid w:val="009D1194"/>
    <w:rsid w:val="009D3556"/>
    <w:rsid w:val="009D6C03"/>
    <w:rsid w:val="009D6EF0"/>
    <w:rsid w:val="009D7175"/>
    <w:rsid w:val="009E1D56"/>
    <w:rsid w:val="009E2EC8"/>
    <w:rsid w:val="009E35C6"/>
    <w:rsid w:val="009E56FD"/>
    <w:rsid w:val="009E60AA"/>
    <w:rsid w:val="009F407C"/>
    <w:rsid w:val="009F6B4F"/>
    <w:rsid w:val="009F6E1D"/>
    <w:rsid w:val="00A02A35"/>
    <w:rsid w:val="00A02AA0"/>
    <w:rsid w:val="00A067F8"/>
    <w:rsid w:val="00A06960"/>
    <w:rsid w:val="00A0766E"/>
    <w:rsid w:val="00A07DE5"/>
    <w:rsid w:val="00A10A6B"/>
    <w:rsid w:val="00A12D22"/>
    <w:rsid w:val="00A13854"/>
    <w:rsid w:val="00A15762"/>
    <w:rsid w:val="00A169E2"/>
    <w:rsid w:val="00A217FD"/>
    <w:rsid w:val="00A2292B"/>
    <w:rsid w:val="00A237B8"/>
    <w:rsid w:val="00A24E83"/>
    <w:rsid w:val="00A25584"/>
    <w:rsid w:val="00A26EC6"/>
    <w:rsid w:val="00A318F0"/>
    <w:rsid w:val="00A33A29"/>
    <w:rsid w:val="00A36E68"/>
    <w:rsid w:val="00A41473"/>
    <w:rsid w:val="00A43916"/>
    <w:rsid w:val="00A446C9"/>
    <w:rsid w:val="00A46737"/>
    <w:rsid w:val="00A567D7"/>
    <w:rsid w:val="00A568BE"/>
    <w:rsid w:val="00A56D60"/>
    <w:rsid w:val="00A64DDD"/>
    <w:rsid w:val="00A67659"/>
    <w:rsid w:val="00A7055D"/>
    <w:rsid w:val="00A75CAB"/>
    <w:rsid w:val="00A815A7"/>
    <w:rsid w:val="00A824B1"/>
    <w:rsid w:val="00A83368"/>
    <w:rsid w:val="00A83FAA"/>
    <w:rsid w:val="00A84E3A"/>
    <w:rsid w:val="00A86325"/>
    <w:rsid w:val="00A87E8E"/>
    <w:rsid w:val="00A9156C"/>
    <w:rsid w:val="00A91A7E"/>
    <w:rsid w:val="00A91B92"/>
    <w:rsid w:val="00A924AD"/>
    <w:rsid w:val="00A92693"/>
    <w:rsid w:val="00A927A1"/>
    <w:rsid w:val="00A92A41"/>
    <w:rsid w:val="00A948EF"/>
    <w:rsid w:val="00A959FE"/>
    <w:rsid w:val="00A95DD6"/>
    <w:rsid w:val="00A962F2"/>
    <w:rsid w:val="00AA09A8"/>
    <w:rsid w:val="00AA2A83"/>
    <w:rsid w:val="00AA6652"/>
    <w:rsid w:val="00AA7497"/>
    <w:rsid w:val="00AA779E"/>
    <w:rsid w:val="00AA7918"/>
    <w:rsid w:val="00AB1FC9"/>
    <w:rsid w:val="00AB22D1"/>
    <w:rsid w:val="00AB2759"/>
    <w:rsid w:val="00AB2A87"/>
    <w:rsid w:val="00AB31B4"/>
    <w:rsid w:val="00AB3459"/>
    <w:rsid w:val="00AB5B9C"/>
    <w:rsid w:val="00AB65B5"/>
    <w:rsid w:val="00AC1554"/>
    <w:rsid w:val="00AC1DEE"/>
    <w:rsid w:val="00AC3B80"/>
    <w:rsid w:val="00AC4A70"/>
    <w:rsid w:val="00AC58DE"/>
    <w:rsid w:val="00AC5F61"/>
    <w:rsid w:val="00AC7DC4"/>
    <w:rsid w:val="00AD1A9B"/>
    <w:rsid w:val="00AD2BB6"/>
    <w:rsid w:val="00AD2D79"/>
    <w:rsid w:val="00AD6095"/>
    <w:rsid w:val="00AE6113"/>
    <w:rsid w:val="00AE6E49"/>
    <w:rsid w:val="00AE6ED7"/>
    <w:rsid w:val="00AE7958"/>
    <w:rsid w:val="00AF1A9A"/>
    <w:rsid w:val="00AF2D52"/>
    <w:rsid w:val="00AF4A01"/>
    <w:rsid w:val="00AF60ED"/>
    <w:rsid w:val="00B00E65"/>
    <w:rsid w:val="00B035F6"/>
    <w:rsid w:val="00B1065A"/>
    <w:rsid w:val="00B10671"/>
    <w:rsid w:val="00B116B2"/>
    <w:rsid w:val="00B1220A"/>
    <w:rsid w:val="00B15E20"/>
    <w:rsid w:val="00B205FB"/>
    <w:rsid w:val="00B255AA"/>
    <w:rsid w:val="00B278CA"/>
    <w:rsid w:val="00B30E3F"/>
    <w:rsid w:val="00B32B2B"/>
    <w:rsid w:val="00B3353C"/>
    <w:rsid w:val="00B34CBE"/>
    <w:rsid w:val="00B35A8B"/>
    <w:rsid w:val="00B37D39"/>
    <w:rsid w:val="00B426FF"/>
    <w:rsid w:val="00B526A9"/>
    <w:rsid w:val="00B546C0"/>
    <w:rsid w:val="00B558CF"/>
    <w:rsid w:val="00B55D01"/>
    <w:rsid w:val="00B56163"/>
    <w:rsid w:val="00B57109"/>
    <w:rsid w:val="00B5753D"/>
    <w:rsid w:val="00B60071"/>
    <w:rsid w:val="00B6321C"/>
    <w:rsid w:val="00B658D1"/>
    <w:rsid w:val="00B659D6"/>
    <w:rsid w:val="00B7196D"/>
    <w:rsid w:val="00B733F2"/>
    <w:rsid w:val="00B73A26"/>
    <w:rsid w:val="00B73BE6"/>
    <w:rsid w:val="00B773D3"/>
    <w:rsid w:val="00B77813"/>
    <w:rsid w:val="00B80827"/>
    <w:rsid w:val="00B80F30"/>
    <w:rsid w:val="00B857E6"/>
    <w:rsid w:val="00B860C2"/>
    <w:rsid w:val="00B90071"/>
    <w:rsid w:val="00B9176C"/>
    <w:rsid w:val="00B946B9"/>
    <w:rsid w:val="00B94E9C"/>
    <w:rsid w:val="00BA2586"/>
    <w:rsid w:val="00BA26B4"/>
    <w:rsid w:val="00BA3F05"/>
    <w:rsid w:val="00BA4BD6"/>
    <w:rsid w:val="00BA6A29"/>
    <w:rsid w:val="00BA7568"/>
    <w:rsid w:val="00BB3D3F"/>
    <w:rsid w:val="00BB538C"/>
    <w:rsid w:val="00BB5733"/>
    <w:rsid w:val="00BC2E6E"/>
    <w:rsid w:val="00BC6B68"/>
    <w:rsid w:val="00BD0EF9"/>
    <w:rsid w:val="00BD1F87"/>
    <w:rsid w:val="00BD1FBA"/>
    <w:rsid w:val="00BD28AE"/>
    <w:rsid w:val="00BD3732"/>
    <w:rsid w:val="00BD4F7A"/>
    <w:rsid w:val="00BD592A"/>
    <w:rsid w:val="00BD715B"/>
    <w:rsid w:val="00BE268A"/>
    <w:rsid w:val="00BE29C6"/>
    <w:rsid w:val="00BE30E6"/>
    <w:rsid w:val="00BE5B15"/>
    <w:rsid w:val="00BE5DC3"/>
    <w:rsid w:val="00BE61AC"/>
    <w:rsid w:val="00BE6A77"/>
    <w:rsid w:val="00BF370B"/>
    <w:rsid w:val="00BF59D8"/>
    <w:rsid w:val="00BF7E0E"/>
    <w:rsid w:val="00C05283"/>
    <w:rsid w:val="00C05391"/>
    <w:rsid w:val="00C11E58"/>
    <w:rsid w:val="00C11E91"/>
    <w:rsid w:val="00C126CC"/>
    <w:rsid w:val="00C142B2"/>
    <w:rsid w:val="00C147CA"/>
    <w:rsid w:val="00C1722B"/>
    <w:rsid w:val="00C173D1"/>
    <w:rsid w:val="00C17FB0"/>
    <w:rsid w:val="00C216CD"/>
    <w:rsid w:val="00C2229E"/>
    <w:rsid w:val="00C27C1F"/>
    <w:rsid w:val="00C32BA6"/>
    <w:rsid w:val="00C347C2"/>
    <w:rsid w:val="00C3480F"/>
    <w:rsid w:val="00C36505"/>
    <w:rsid w:val="00C3733F"/>
    <w:rsid w:val="00C37369"/>
    <w:rsid w:val="00C41FE0"/>
    <w:rsid w:val="00C4340E"/>
    <w:rsid w:val="00C438AE"/>
    <w:rsid w:val="00C44121"/>
    <w:rsid w:val="00C45225"/>
    <w:rsid w:val="00C461EB"/>
    <w:rsid w:val="00C50AA1"/>
    <w:rsid w:val="00C52C29"/>
    <w:rsid w:val="00C53928"/>
    <w:rsid w:val="00C54415"/>
    <w:rsid w:val="00C54AB7"/>
    <w:rsid w:val="00C556D2"/>
    <w:rsid w:val="00C55744"/>
    <w:rsid w:val="00C568F0"/>
    <w:rsid w:val="00C603D3"/>
    <w:rsid w:val="00C62CD2"/>
    <w:rsid w:val="00C67143"/>
    <w:rsid w:val="00C6785B"/>
    <w:rsid w:val="00C67E24"/>
    <w:rsid w:val="00C67EE5"/>
    <w:rsid w:val="00C70BFA"/>
    <w:rsid w:val="00C71219"/>
    <w:rsid w:val="00C71592"/>
    <w:rsid w:val="00C73137"/>
    <w:rsid w:val="00C7402F"/>
    <w:rsid w:val="00C754A4"/>
    <w:rsid w:val="00C75E7F"/>
    <w:rsid w:val="00C76608"/>
    <w:rsid w:val="00C767E2"/>
    <w:rsid w:val="00C83916"/>
    <w:rsid w:val="00C8687E"/>
    <w:rsid w:val="00C876E6"/>
    <w:rsid w:val="00C87B80"/>
    <w:rsid w:val="00C911C4"/>
    <w:rsid w:val="00C92C57"/>
    <w:rsid w:val="00C941E2"/>
    <w:rsid w:val="00C96514"/>
    <w:rsid w:val="00CA04FE"/>
    <w:rsid w:val="00CA12EB"/>
    <w:rsid w:val="00CA2CF4"/>
    <w:rsid w:val="00CA3427"/>
    <w:rsid w:val="00CA3EA6"/>
    <w:rsid w:val="00CA636A"/>
    <w:rsid w:val="00CB019F"/>
    <w:rsid w:val="00CB2857"/>
    <w:rsid w:val="00CB4205"/>
    <w:rsid w:val="00CB4A64"/>
    <w:rsid w:val="00CB4C56"/>
    <w:rsid w:val="00CC08B5"/>
    <w:rsid w:val="00CC0930"/>
    <w:rsid w:val="00CC0964"/>
    <w:rsid w:val="00CC47EE"/>
    <w:rsid w:val="00CC68BC"/>
    <w:rsid w:val="00CD2382"/>
    <w:rsid w:val="00CD27FC"/>
    <w:rsid w:val="00CD2FE2"/>
    <w:rsid w:val="00CD725B"/>
    <w:rsid w:val="00CD7883"/>
    <w:rsid w:val="00CE1532"/>
    <w:rsid w:val="00CE1BD1"/>
    <w:rsid w:val="00CE250A"/>
    <w:rsid w:val="00CE3320"/>
    <w:rsid w:val="00CE64EF"/>
    <w:rsid w:val="00CE6793"/>
    <w:rsid w:val="00CF1663"/>
    <w:rsid w:val="00CF1F49"/>
    <w:rsid w:val="00CF7F75"/>
    <w:rsid w:val="00D00F9C"/>
    <w:rsid w:val="00D023D0"/>
    <w:rsid w:val="00D02F64"/>
    <w:rsid w:val="00D0390E"/>
    <w:rsid w:val="00D05411"/>
    <w:rsid w:val="00D05E50"/>
    <w:rsid w:val="00D06F5F"/>
    <w:rsid w:val="00D10747"/>
    <w:rsid w:val="00D113C0"/>
    <w:rsid w:val="00D11E0E"/>
    <w:rsid w:val="00D127AC"/>
    <w:rsid w:val="00D144C4"/>
    <w:rsid w:val="00D20EC7"/>
    <w:rsid w:val="00D228CE"/>
    <w:rsid w:val="00D22F42"/>
    <w:rsid w:val="00D252FD"/>
    <w:rsid w:val="00D25C0A"/>
    <w:rsid w:val="00D26CBF"/>
    <w:rsid w:val="00D27208"/>
    <w:rsid w:val="00D32FBE"/>
    <w:rsid w:val="00D353C4"/>
    <w:rsid w:val="00D41B0D"/>
    <w:rsid w:val="00D4336A"/>
    <w:rsid w:val="00D46ED3"/>
    <w:rsid w:val="00D471A6"/>
    <w:rsid w:val="00D47344"/>
    <w:rsid w:val="00D51A31"/>
    <w:rsid w:val="00D52811"/>
    <w:rsid w:val="00D52B74"/>
    <w:rsid w:val="00D52F32"/>
    <w:rsid w:val="00D542F2"/>
    <w:rsid w:val="00D55EC8"/>
    <w:rsid w:val="00D6363C"/>
    <w:rsid w:val="00D65743"/>
    <w:rsid w:val="00D671F8"/>
    <w:rsid w:val="00D6749C"/>
    <w:rsid w:val="00D71452"/>
    <w:rsid w:val="00D716FC"/>
    <w:rsid w:val="00D75B36"/>
    <w:rsid w:val="00D777AD"/>
    <w:rsid w:val="00D8262A"/>
    <w:rsid w:val="00D82746"/>
    <w:rsid w:val="00D82808"/>
    <w:rsid w:val="00D833DA"/>
    <w:rsid w:val="00D837F2"/>
    <w:rsid w:val="00D84C6E"/>
    <w:rsid w:val="00D84D3A"/>
    <w:rsid w:val="00D86BE3"/>
    <w:rsid w:val="00D94860"/>
    <w:rsid w:val="00D94CEF"/>
    <w:rsid w:val="00D94F1B"/>
    <w:rsid w:val="00D95389"/>
    <w:rsid w:val="00D96F41"/>
    <w:rsid w:val="00DA0646"/>
    <w:rsid w:val="00DA0670"/>
    <w:rsid w:val="00DA2590"/>
    <w:rsid w:val="00DA2DA5"/>
    <w:rsid w:val="00DA552C"/>
    <w:rsid w:val="00DA71DA"/>
    <w:rsid w:val="00DB01D3"/>
    <w:rsid w:val="00DB49C5"/>
    <w:rsid w:val="00DB6D6B"/>
    <w:rsid w:val="00DC5D37"/>
    <w:rsid w:val="00DC60B0"/>
    <w:rsid w:val="00DC6F71"/>
    <w:rsid w:val="00DC70A7"/>
    <w:rsid w:val="00DD112D"/>
    <w:rsid w:val="00DD1D48"/>
    <w:rsid w:val="00DD2E94"/>
    <w:rsid w:val="00DD4CCC"/>
    <w:rsid w:val="00DD6A94"/>
    <w:rsid w:val="00DD7542"/>
    <w:rsid w:val="00DE2078"/>
    <w:rsid w:val="00DE49BD"/>
    <w:rsid w:val="00DE5C84"/>
    <w:rsid w:val="00DE6569"/>
    <w:rsid w:val="00DF2143"/>
    <w:rsid w:val="00DF2D04"/>
    <w:rsid w:val="00DF3572"/>
    <w:rsid w:val="00DF4A6D"/>
    <w:rsid w:val="00DF4D5C"/>
    <w:rsid w:val="00DF4E54"/>
    <w:rsid w:val="00DF6627"/>
    <w:rsid w:val="00DF6715"/>
    <w:rsid w:val="00DF714E"/>
    <w:rsid w:val="00DF7398"/>
    <w:rsid w:val="00DF7C0E"/>
    <w:rsid w:val="00E0035D"/>
    <w:rsid w:val="00E00C8B"/>
    <w:rsid w:val="00E022D7"/>
    <w:rsid w:val="00E03506"/>
    <w:rsid w:val="00E03AA4"/>
    <w:rsid w:val="00E0716C"/>
    <w:rsid w:val="00E118AA"/>
    <w:rsid w:val="00E13629"/>
    <w:rsid w:val="00E162BF"/>
    <w:rsid w:val="00E16CE5"/>
    <w:rsid w:val="00E200A8"/>
    <w:rsid w:val="00E20CC3"/>
    <w:rsid w:val="00E2404E"/>
    <w:rsid w:val="00E25B30"/>
    <w:rsid w:val="00E27EBE"/>
    <w:rsid w:val="00E27F96"/>
    <w:rsid w:val="00E3090A"/>
    <w:rsid w:val="00E31871"/>
    <w:rsid w:val="00E34AA0"/>
    <w:rsid w:val="00E37291"/>
    <w:rsid w:val="00E3731B"/>
    <w:rsid w:val="00E37A20"/>
    <w:rsid w:val="00E40A07"/>
    <w:rsid w:val="00E40E28"/>
    <w:rsid w:val="00E4512A"/>
    <w:rsid w:val="00E45468"/>
    <w:rsid w:val="00E5287A"/>
    <w:rsid w:val="00E52CA5"/>
    <w:rsid w:val="00E52D2F"/>
    <w:rsid w:val="00E539E7"/>
    <w:rsid w:val="00E53E06"/>
    <w:rsid w:val="00E54A3F"/>
    <w:rsid w:val="00E5518C"/>
    <w:rsid w:val="00E5656F"/>
    <w:rsid w:val="00E565CD"/>
    <w:rsid w:val="00E56FDB"/>
    <w:rsid w:val="00E570A6"/>
    <w:rsid w:val="00E573B7"/>
    <w:rsid w:val="00E614F7"/>
    <w:rsid w:val="00E63AB7"/>
    <w:rsid w:val="00E65BF1"/>
    <w:rsid w:val="00E6732C"/>
    <w:rsid w:val="00E70D55"/>
    <w:rsid w:val="00E72402"/>
    <w:rsid w:val="00E73933"/>
    <w:rsid w:val="00E74B62"/>
    <w:rsid w:val="00E76303"/>
    <w:rsid w:val="00E77ED8"/>
    <w:rsid w:val="00E80D12"/>
    <w:rsid w:val="00E8330B"/>
    <w:rsid w:val="00E845B0"/>
    <w:rsid w:val="00E86F5C"/>
    <w:rsid w:val="00E92043"/>
    <w:rsid w:val="00E95C84"/>
    <w:rsid w:val="00E964AF"/>
    <w:rsid w:val="00E96AC1"/>
    <w:rsid w:val="00EA4BBA"/>
    <w:rsid w:val="00EA50D9"/>
    <w:rsid w:val="00EA54FA"/>
    <w:rsid w:val="00EA5AED"/>
    <w:rsid w:val="00EA6952"/>
    <w:rsid w:val="00EA78D6"/>
    <w:rsid w:val="00EB0101"/>
    <w:rsid w:val="00EB0F6E"/>
    <w:rsid w:val="00EC4AE9"/>
    <w:rsid w:val="00ED0FF1"/>
    <w:rsid w:val="00ED2EFB"/>
    <w:rsid w:val="00ED7714"/>
    <w:rsid w:val="00ED7A99"/>
    <w:rsid w:val="00EE02D5"/>
    <w:rsid w:val="00EE038A"/>
    <w:rsid w:val="00EE06DF"/>
    <w:rsid w:val="00EE20A6"/>
    <w:rsid w:val="00EE29C7"/>
    <w:rsid w:val="00EE34A6"/>
    <w:rsid w:val="00EE60F1"/>
    <w:rsid w:val="00EE6574"/>
    <w:rsid w:val="00EF3234"/>
    <w:rsid w:val="00EF3406"/>
    <w:rsid w:val="00EF37C0"/>
    <w:rsid w:val="00EF5475"/>
    <w:rsid w:val="00EF7221"/>
    <w:rsid w:val="00F00E8D"/>
    <w:rsid w:val="00F00F90"/>
    <w:rsid w:val="00F01788"/>
    <w:rsid w:val="00F04381"/>
    <w:rsid w:val="00F04468"/>
    <w:rsid w:val="00F04906"/>
    <w:rsid w:val="00F0749F"/>
    <w:rsid w:val="00F11E0D"/>
    <w:rsid w:val="00F13629"/>
    <w:rsid w:val="00F15225"/>
    <w:rsid w:val="00F156DA"/>
    <w:rsid w:val="00F176D8"/>
    <w:rsid w:val="00F20EE8"/>
    <w:rsid w:val="00F23A93"/>
    <w:rsid w:val="00F261D5"/>
    <w:rsid w:val="00F279B7"/>
    <w:rsid w:val="00F352C5"/>
    <w:rsid w:val="00F3713E"/>
    <w:rsid w:val="00F41C90"/>
    <w:rsid w:val="00F42075"/>
    <w:rsid w:val="00F43F12"/>
    <w:rsid w:val="00F46AFA"/>
    <w:rsid w:val="00F47A72"/>
    <w:rsid w:val="00F51A36"/>
    <w:rsid w:val="00F528CA"/>
    <w:rsid w:val="00F5494F"/>
    <w:rsid w:val="00F55747"/>
    <w:rsid w:val="00F56995"/>
    <w:rsid w:val="00F56E60"/>
    <w:rsid w:val="00F62E70"/>
    <w:rsid w:val="00F64E80"/>
    <w:rsid w:val="00F65972"/>
    <w:rsid w:val="00F66F09"/>
    <w:rsid w:val="00F70681"/>
    <w:rsid w:val="00F71A56"/>
    <w:rsid w:val="00F72ABE"/>
    <w:rsid w:val="00F7456A"/>
    <w:rsid w:val="00F75102"/>
    <w:rsid w:val="00F76D7A"/>
    <w:rsid w:val="00F77824"/>
    <w:rsid w:val="00F77902"/>
    <w:rsid w:val="00F77F66"/>
    <w:rsid w:val="00F80B0C"/>
    <w:rsid w:val="00F814F2"/>
    <w:rsid w:val="00F8180F"/>
    <w:rsid w:val="00F824A3"/>
    <w:rsid w:val="00F827B9"/>
    <w:rsid w:val="00F82F0A"/>
    <w:rsid w:val="00F85EFA"/>
    <w:rsid w:val="00F8631C"/>
    <w:rsid w:val="00F863C9"/>
    <w:rsid w:val="00F87E45"/>
    <w:rsid w:val="00F92578"/>
    <w:rsid w:val="00F931F5"/>
    <w:rsid w:val="00FA01B3"/>
    <w:rsid w:val="00FA1DD0"/>
    <w:rsid w:val="00FA42C1"/>
    <w:rsid w:val="00FA6D9D"/>
    <w:rsid w:val="00FA6EA3"/>
    <w:rsid w:val="00FA7335"/>
    <w:rsid w:val="00FB0197"/>
    <w:rsid w:val="00FB03B9"/>
    <w:rsid w:val="00FB07CE"/>
    <w:rsid w:val="00FB415E"/>
    <w:rsid w:val="00FB63EB"/>
    <w:rsid w:val="00FB64FD"/>
    <w:rsid w:val="00FB7FD3"/>
    <w:rsid w:val="00FC0E96"/>
    <w:rsid w:val="00FC4CA1"/>
    <w:rsid w:val="00FD0892"/>
    <w:rsid w:val="00FD1BC5"/>
    <w:rsid w:val="00FD5CAD"/>
    <w:rsid w:val="00FD5D15"/>
    <w:rsid w:val="00FD7524"/>
    <w:rsid w:val="00FD7C1A"/>
    <w:rsid w:val="00FE0DD3"/>
    <w:rsid w:val="00FE0DE4"/>
    <w:rsid w:val="00FE355C"/>
    <w:rsid w:val="00FE359E"/>
    <w:rsid w:val="00FE3917"/>
    <w:rsid w:val="00FE4A71"/>
    <w:rsid w:val="00FE66BB"/>
    <w:rsid w:val="00FE72B3"/>
    <w:rsid w:val="00FF08B3"/>
    <w:rsid w:val="00FF1D38"/>
    <w:rsid w:val="00FF2180"/>
    <w:rsid w:val="00FF5AFF"/>
    <w:rsid w:val="00FF5D10"/>
    <w:rsid w:val="00FF6427"/>
    <w:rsid w:val="00FF76B9"/>
    <w:rsid w:val="02344AF4"/>
    <w:rsid w:val="059FE2C3"/>
    <w:rsid w:val="5DCCF077"/>
    <w:rsid w:val="68C2F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EF1126"/>
  <w15:docId w15:val="{647ADC3B-C62F-4E43-A8B4-00EFCAA8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 w:type="paragraph" w:styleId="EndnoteText">
    <w:name w:val="endnote text"/>
    <w:basedOn w:val="Normal"/>
    <w:link w:val="EndnoteTextChar"/>
    <w:uiPriority w:val="99"/>
    <w:unhideWhenUsed/>
    <w:rsid w:val="00D11E0E"/>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11E0E"/>
    <w:rPr>
      <w:rFonts w:asciiTheme="minorHAnsi" w:eastAsiaTheme="minorHAnsi" w:hAnsiTheme="minorHAnsi" w:cstheme="minorBidi"/>
      <w:sz w:val="20"/>
      <w:szCs w:val="20"/>
    </w:rPr>
  </w:style>
  <w:style w:type="character" w:styleId="UnresolvedMention">
    <w:name w:val="Unresolved Mention"/>
    <w:basedOn w:val="DefaultParagraphFont"/>
    <w:uiPriority w:val="99"/>
    <w:semiHidden/>
    <w:unhideWhenUsed/>
    <w:rsid w:val="000C6CC4"/>
    <w:rPr>
      <w:color w:val="605E5C"/>
      <w:shd w:val="clear" w:color="auto" w:fill="E1DFDD"/>
    </w:rPr>
  </w:style>
  <w:style w:type="paragraph" w:styleId="Revision">
    <w:name w:val="Revision"/>
    <w:hidden/>
    <w:uiPriority w:val="99"/>
    <w:semiHidden/>
    <w:rsid w:val="001D7895"/>
    <w:rPr>
      <w:rFonts w:ascii="Arial" w:hAnsi="Arial" w:cs="Arial"/>
      <w:sz w:val="20"/>
      <w:szCs w:val="20"/>
    </w:rPr>
  </w:style>
  <w:style w:type="character" w:styleId="EndnoteReference">
    <w:name w:val="endnote reference"/>
    <w:basedOn w:val="DefaultParagraphFont"/>
    <w:uiPriority w:val="99"/>
    <w:semiHidden/>
    <w:unhideWhenUsed/>
    <w:rsid w:val="008A2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0941">
      <w:bodyDiv w:val="1"/>
      <w:marLeft w:val="0"/>
      <w:marRight w:val="0"/>
      <w:marTop w:val="0"/>
      <w:marBottom w:val="0"/>
      <w:divBdr>
        <w:top w:val="none" w:sz="0" w:space="0" w:color="auto"/>
        <w:left w:val="none" w:sz="0" w:space="0" w:color="auto"/>
        <w:bottom w:val="none" w:sz="0" w:space="0" w:color="auto"/>
        <w:right w:val="none" w:sz="0" w:space="0" w:color="auto"/>
      </w:divBdr>
      <w:divsChild>
        <w:div w:id="1473014351">
          <w:marLeft w:val="0"/>
          <w:marRight w:val="0"/>
          <w:marTop w:val="0"/>
          <w:marBottom w:val="0"/>
          <w:divBdr>
            <w:top w:val="none" w:sz="0" w:space="0" w:color="auto"/>
            <w:left w:val="none" w:sz="0" w:space="0" w:color="auto"/>
            <w:bottom w:val="none" w:sz="0" w:space="0" w:color="auto"/>
            <w:right w:val="none" w:sz="0" w:space="0" w:color="auto"/>
          </w:divBdr>
        </w:div>
      </w:divsChild>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288897223">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800657504">
      <w:bodyDiv w:val="1"/>
      <w:marLeft w:val="0"/>
      <w:marRight w:val="0"/>
      <w:marTop w:val="0"/>
      <w:marBottom w:val="0"/>
      <w:divBdr>
        <w:top w:val="none" w:sz="0" w:space="0" w:color="auto"/>
        <w:left w:val="none" w:sz="0" w:space="0" w:color="auto"/>
        <w:bottom w:val="none" w:sz="0" w:space="0" w:color="auto"/>
        <w:right w:val="none" w:sz="0" w:space="0" w:color="auto"/>
      </w:divBdr>
    </w:div>
    <w:div w:id="856963708">
      <w:bodyDiv w:val="1"/>
      <w:marLeft w:val="0"/>
      <w:marRight w:val="0"/>
      <w:marTop w:val="0"/>
      <w:marBottom w:val="0"/>
      <w:divBdr>
        <w:top w:val="none" w:sz="0" w:space="0" w:color="auto"/>
        <w:left w:val="none" w:sz="0" w:space="0" w:color="auto"/>
        <w:bottom w:val="none" w:sz="0" w:space="0" w:color="auto"/>
        <w:right w:val="none" w:sz="0" w:space="0" w:color="auto"/>
      </w:divBdr>
    </w:div>
    <w:div w:id="884560855">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14422256">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809930971">
      <w:bodyDiv w:val="1"/>
      <w:marLeft w:val="0"/>
      <w:marRight w:val="0"/>
      <w:marTop w:val="0"/>
      <w:marBottom w:val="0"/>
      <w:divBdr>
        <w:top w:val="none" w:sz="0" w:space="0" w:color="auto"/>
        <w:left w:val="none" w:sz="0" w:space="0" w:color="auto"/>
        <w:bottom w:val="none" w:sz="0" w:space="0" w:color="auto"/>
        <w:right w:val="none" w:sz="0" w:space="0" w:color="auto"/>
      </w:divBdr>
    </w:div>
    <w:div w:id="21226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vent.com/c/calendar/0b6613d1-e5ee-46f5-9823-560c6f110967" TargetMode="External"/><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mass.gov/injury-surveillance-program" TargetMode="External"/><Relationship Id="rId7" Type="http://schemas.openxmlformats.org/officeDocument/2006/relationships/settings" Target="settings.xml"/><Relationship Id="rId12" Type="http://schemas.openxmlformats.org/officeDocument/2006/relationships/hyperlink" Target="https://www.cdc.gov/suicide/programs/csp/index.html" TargetMode="External"/><Relationship Id="rId17" Type="http://schemas.openxmlformats.org/officeDocument/2006/relationships/chart" Target="charts/chart4.xml"/><Relationship Id="rId25" Type="http://schemas.openxmlformats.org/officeDocument/2006/relationships/hyperlink" Target="mailto:info@masspreventssuicide.org"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suicidepreventionlifelin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orgs/occupational-health-surveillance-program"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http://mass.gov/orgs/bureau-of-substance-addiction-servi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icidepreventionlifelin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mass.gov/suicide-prevention-progra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violenceprevention/datasources/nvdrs/resources.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iReid\Documents\Suicide%20Prevention\Suicide%20Prevention%20Tables_2016-201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iReid\Documents\Suicide%20Prevention\Suicide%20Prevention%20Tables_2016-201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Reid\Documents\Suicide%20Prevention\Suicide%20Prevention%20Tables_2016-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iReid\Documents\Suicide%20Prevention\Suicide%20Prevention%20Tables_2016-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Reid\Documents\Suicide%20Prevention\Suicide%20Prevention%20Tables_2016-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a:latin typeface="Arial" panose="020B0604020202020204" pitchFamily="34" charset="0"/>
                <a:cs typeface="Arial" panose="020B0604020202020204" pitchFamily="34" charset="0"/>
              </a:defRPr>
            </a:pPr>
            <a:r>
              <a:rPr lang="en-US" sz="1050" baseline="0">
                <a:latin typeface="Arial" panose="020B0604020202020204" pitchFamily="34" charset="0"/>
                <a:cs typeface="Arial" panose="020B0604020202020204" pitchFamily="34" charset="0"/>
              </a:rPr>
              <a:t>Figure 1. Suicide Rates by Industry Sectors, Massachusetts workers, 2016-2019, n=2,199</a:t>
            </a:r>
            <a:endParaRPr lang="en-US" sz="1050">
              <a:latin typeface="Arial" panose="020B0604020202020204" pitchFamily="34" charset="0"/>
              <a:cs typeface="Arial" panose="020B0604020202020204" pitchFamily="34" charset="0"/>
            </a:endParaRPr>
          </a:p>
        </c:rich>
      </c:tx>
      <c:layout>
        <c:manualLayout>
          <c:xMode val="edge"/>
          <c:yMode val="edge"/>
          <c:x val="0.14517145505097312"/>
          <c:y val="2.5364616360177554E-2"/>
        </c:manualLayout>
      </c:layout>
      <c:overlay val="0"/>
    </c:title>
    <c:autoTitleDeleted val="0"/>
    <c:plotArea>
      <c:layout/>
      <c:barChart>
        <c:barDir val="bar"/>
        <c:grouping val="clustered"/>
        <c:varyColors val="0"/>
        <c:ser>
          <c:idx val="0"/>
          <c:order val="0"/>
          <c:spPr>
            <a:solidFill>
              <a:srgbClr val="5F497A"/>
            </a:solidFill>
            <a:ln w="6350">
              <a:solidFill>
                <a:sysClr val="windowText" lastClr="000000"/>
              </a:solidFill>
            </a:ln>
          </c:spPr>
          <c:invertIfNegative val="0"/>
          <c:dPt>
            <c:idx val="0"/>
            <c:invertIfNegative val="0"/>
            <c:bubble3D val="0"/>
            <c:extLst>
              <c:ext xmlns:c16="http://schemas.microsoft.com/office/drawing/2014/chart" uri="{C3380CC4-5D6E-409C-BE32-E72D297353CC}">
                <c16:uniqueId val="{00000001-E64B-40B0-B2BD-E9A681BD79B4}"/>
              </c:ext>
            </c:extLst>
          </c:dPt>
          <c:dPt>
            <c:idx val="1"/>
            <c:invertIfNegative val="0"/>
            <c:bubble3D val="0"/>
            <c:extLst>
              <c:ext xmlns:c16="http://schemas.microsoft.com/office/drawing/2014/chart" uri="{C3380CC4-5D6E-409C-BE32-E72D297353CC}">
                <c16:uniqueId val="{00000003-E64B-40B0-B2BD-E9A681BD79B4}"/>
              </c:ext>
            </c:extLst>
          </c:dPt>
          <c:dPt>
            <c:idx val="2"/>
            <c:invertIfNegative val="0"/>
            <c:bubble3D val="0"/>
            <c:extLst>
              <c:ext xmlns:c16="http://schemas.microsoft.com/office/drawing/2014/chart" uri="{C3380CC4-5D6E-409C-BE32-E72D297353CC}">
                <c16:uniqueId val="{00000005-E64B-40B0-B2BD-E9A681BD79B4}"/>
              </c:ext>
            </c:extLst>
          </c:dPt>
          <c:dPt>
            <c:idx val="3"/>
            <c:invertIfNegative val="0"/>
            <c:bubble3D val="0"/>
            <c:extLst>
              <c:ext xmlns:c16="http://schemas.microsoft.com/office/drawing/2014/chart" uri="{C3380CC4-5D6E-409C-BE32-E72D297353CC}">
                <c16:uniqueId val="{00000007-E64B-40B0-B2BD-E9A681BD79B4}"/>
              </c:ext>
            </c:extLst>
          </c:dPt>
          <c:dPt>
            <c:idx val="4"/>
            <c:invertIfNegative val="0"/>
            <c:bubble3D val="0"/>
            <c:extLst>
              <c:ext xmlns:c16="http://schemas.microsoft.com/office/drawing/2014/chart" uri="{C3380CC4-5D6E-409C-BE32-E72D297353CC}">
                <c16:uniqueId val="{00000009-E64B-40B0-B2BD-E9A681BD79B4}"/>
              </c:ext>
            </c:extLst>
          </c:dPt>
          <c:dPt>
            <c:idx val="5"/>
            <c:invertIfNegative val="0"/>
            <c:bubble3D val="0"/>
            <c:extLst>
              <c:ext xmlns:c16="http://schemas.microsoft.com/office/drawing/2014/chart" uri="{C3380CC4-5D6E-409C-BE32-E72D297353CC}">
                <c16:uniqueId val="{0000000B-E64B-40B0-B2BD-E9A681BD79B4}"/>
              </c:ext>
            </c:extLst>
          </c:dPt>
          <c:dPt>
            <c:idx val="6"/>
            <c:invertIfNegative val="0"/>
            <c:bubble3D val="0"/>
            <c:extLst>
              <c:ext xmlns:c16="http://schemas.microsoft.com/office/drawing/2014/chart" uri="{C3380CC4-5D6E-409C-BE32-E72D297353CC}">
                <c16:uniqueId val="{0000000D-E64B-40B0-B2BD-E9A681BD79B4}"/>
              </c:ext>
            </c:extLst>
          </c:dPt>
          <c:dPt>
            <c:idx val="7"/>
            <c:invertIfNegative val="0"/>
            <c:bubble3D val="0"/>
            <c:extLst>
              <c:ext xmlns:c16="http://schemas.microsoft.com/office/drawing/2014/chart" uri="{C3380CC4-5D6E-409C-BE32-E72D297353CC}">
                <c16:uniqueId val="{0000000F-E64B-40B0-B2BD-E9A681BD79B4}"/>
              </c:ext>
            </c:extLst>
          </c:dPt>
          <c:dPt>
            <c:idx val="8"/>
            <c:invertIfNegative val="0"/>
            <c:bubble3D val="0"/>
            <c:extLst>
              <c:ext xmlns:c16="http://schemas.microsoft.com/office/drawing/2014/chart" uri="{C3380CC4-5D6E-409C-BE32-E72D297353CC}">
                <c16:uniqueId val="{00000011-E64B-40B0-B2BD-E9A681BD79B4}"/>
              </c:ext>
            </c:extLst>
          </c:dPt>
          <c:dPt>
            <c:idx val="18"/>
            <c:invertIfNegative val="0"/>
            <c:bubble3D val="0"/>
            <c:spPr>
              <a:solidFill>
                <a:srgbClr val="8064A2">
                  <a:lumMod val="40000"/>
                  <a:lumOff val="60000"/>
                </a:srgbClr>
              </a:solidFill>
              <a:ln w="6350">
                <a:solidFill>
                  <a:sysClr val="windowText" lastClr="000000"/>
                </a:solidFill>
              </a:ln>
            </c:spPr>
            <c:extLst>
              <c:ext xmlns:c16="http://schemas.microsoft.com/office/drawing/2014/chart" uri="{C3380CC4-5D6E-409C-BE32-E72D297353CC}">
                <c16:uniqueId val="{00000013-E64B-40B0-B2BD-E9A681BD79B4}"/>
              </c:ext>
            </c:extLst>
          </c:dPt>
          <c:errBars>
            <c:errBarType val="both"/>
            <c:errValType val="cust"/>
            <c:noEndCap val="0"/>
            <c:plus>
              <c:numRef>
                <c:f>'T1. Industry Sector'!$E$27:$E$45</c:f>
                <c:numCache>
                  <c:formatCode>General</c:formatCode>
                  <c:ptCount val="19"/>
                  <c:pt idx="0">
                    <c:v>2.3998124664512788</c:v>
                  </c:pt>
                  <c:pt idx="1">
                    <c:v>4.1791775579646009</c:v>
                  </c:pt>
                  <c:pt idx="2">
                    <c:v>2.492548634337163</c:v>
                  </c:pt>
                  <c:pt idx="3">
                    <c:v>7.405892116301656</c:v>
                  </c:pt>
                  <c:pt idx="4">
                    <c:v>3.4836043741185287</c:v>
                  </c:pt>
                  <c:pt idx="5">
                    <c:v>8.9463882905239309</c:v>
                  </c:pt>
                  <c:pt idx="6">
                    <c:v>4.5269711351060407</c:v>
                  </c:pt>
                  <c:pt idx="7">
                    <c:v>3.7569409132941791</c:v>
                  </c:pt>
                  <c:pt idx="8">
                    <c:v>8.3087796098762663</c:v>
                  </c:pt>
                  <c:pt idx="9">
                    <c:v>8.8540474217379526</c:v>
                  </c:pt>
                  <c:pt idx="10">
                    <c:v>6.2519259216921315</c:v>
                  </c:pt>
                  <c:pt idx="11">
                    <c:v>7.0084826708829198</c:v>
                  </c:pt>
                  <c:pt idx="12">
                    <c:v>4.8427727352907857</c:v>
                  </c:pt>
                  <c:pt idx="13">
                    <c:v>7.5646352644379791</c:v>
                  </c:pt>
                  <c:pt idx="14">
                    <c:v>8.9023405805928153</c:v>
                  </c:pt>
                  <c:pt idx="15">
                    <c:v>21.056217355164794</c:v>
                  </c:pt>
                  <c:pt idx="16">
                    <c:v>8.7666072548222989</c:v>
                  </c:pt>
                  <c:pt idx="17">
                    <c:v>36.471223088517149</c:v>
                  </c:pt>
                  <c:pt idx="18">
                    <c:v>1.258499550407461</c:v>
                  </c:pt>
                </c:numCache>
              </c:numRef>
            </c:plus>
            <c:minus>
              <c:numRef>
                <c:f>'T1. Industry Sector'!$E$27:$E$45</c:f>
                <c:numCache>
                  <c:formatCode>General</c:formatCode>
                  <c:ptCount val="19"/>
                  <c:pt idx="0">
                    <c:v>2.3998124664512788</c:v>
                  </c:pt>
                  <c:pt idx="1">
                    <c:v>4.1791775579646009</c:v>
                  </c:pt>
                  <c:pt idx="2">
                    <c:v>2.492548634337163</c:v>
                  </c:pt>
                  <c:pt idx="3">
                    <c:v>7.405892116301656</c:v>
                  </c:pt>
                  <c:pt idx="4">
                    <c:v>3.4836043741185287</c:v>
                  </c:pt>
                  <c:pt idx="5">
                    <c:v>8.9463882905239309</c:v>
                  </c:pt>
                  <c:pt idx="6">
                    <c:v>4.5269711351060407</c:v>
                  </c:pt>
                  <c:pt idx="7">
                    <c:v>3.7569409132941791</c:v>
                  </c:pt>
                  <c:pt idx="8">
                    <c:v>8.3087796098762663</c:v>
                  </c:pt>
                  <c:pt idx="9">
                    <c:v>8.8540474217379526</c:v>
                  </c:pt>
                  <c:pt idx="10">
                    <c:v>6.2519259216921315</c:v>
                  </c:pt>
                  <c:pt idx="11">
                    <c:v>7.0084826708829198</c:v>
                  </c:pt>
                  <c:pt idx="12">
                    <c:v>4.8427727352907857</c:v>
                  </c:pt>
                  <c:pt idx="13">
                    <c:v>7.5646352644379791</c:v>
                  </c:pt>
                  <c:pt idx="14">
                    <c:v>8.9023405805928153</c:v>
                  </c:pt>
                  <c:pt idx="15">
                    <c:v>21.056217355164794</c:v>
                  </c:pt>
                  <c:pt idx="16">
                    <c:v>8.7666072548222989</c:v>
                  </c:pt>
                  <c:pt idx="17">
                    <c:v>36.471223088517149</c:v>
                  </c:pt>
                  <c:pt idx="18">
                    <c:v>1.258499550407461</c:v>
                  </c:pt>
                </c:numCache>
              </c:numRef>
            </c:minus>
          </c:errBars>
          <c:cat>
            <c:strRef>
              <c:f>'T1. Industry Sector'!$A$27:$A$45</c:f>
              <c:strCache>
                <c:ptCount val="19"/>
                <c:pt idx="0">
                  <c:v>Educational Services (n=106)</c:v>
                </c:pt>
                <c:pt idx="1">
                  <c:v>Finance and Insurance (n=74)</c:v>
                </c:pt>
                <c:pt idx="2">
                  <c:v>Health Care and Social Assistance (n=228)</c:v>
                </c:pt>
                <c:pt idx="3">
                  <c:v>Wholesale Trade (n=35)</c:v>
                </c:pt>
                <c:pt idx="4">
                  <c:v>Professional, Scientific, and Technical Services (n=175)</c:v>
                </c:pt>
                <c:pt idx="5">
                  <c:v>Accommodation and Food Services (n=123)</c:v>
                </c:pt>
                <c:pt idx="6">
                  <c:v>Real Estate and Rental and Leasing (n=33)</c:v>
                </c:pt>
                <c:pt idx="7">
                  <c:v>Retail Trade (n=202)</c:v>
                </c:pt>
                <c:pt idx="8">
                  <c:v>Information (n=47)</c:v>
                </c:pt>
                <c:pt idx="9">
                  <c:v>Arts, Entertainment, and Recreation (n=43)</c:v>
                </c:pt>
                <c:pt idx="10">
                  <c:v>Other Services, Except Public Administration (n=106)</c:v>
                </c:pt>
                <c:pt idx="11">
                  <c:v>Administrative and Support Waste Management Services (n=94)</c:v>
                </c:pt>
                <c:pt idx="12">
                  <c:v>Manufacturing (n=244)</c:v>
                </c:pt>
                <c:pt idx="13">
                  <c:v>Public Administration (n=113)</c:v>
                </c:pt>
                <c:pt idx="14">
                  <c:v>Transportation and Warehousing (n=121)</c:v>
                </c:pt>
                <c:pt idx="15">
                  <c:v>Utilities (n=28)</c:v>
                </c:pt>
                <c:pt idx="16">
                  <c:v>Construction (n=358)</c:v>
                </c:pt>
                <c:pt idx="17">
                  <c:v>Agriculture, Forestry, Fishing, and Hunting (n=25)</c:v>
                </c:pt>
                <c:pt idx="18">
                  <c:v>All workers (n=2,199)*</c:v>
                </c:pt>
              </c:strCache>
            </c:strRef>
          </c:cat>
          <c:val>
            <c:numRef>
              <c:f>'T1. Industry Sector'!$B$27:$B$45</c:f>
              <c:numCache>
                <c:formatCode>General</c:formatCode>
                <c:ptCount val="19"/>
                <c:pt idx="0">
                  <c:v>6.3029544801816675</c:v>
                </c:pt>
                <c:pt idx="1">
                  <c:v>9.1710828322286719</c:v>
                </c:pt>
                <c:pt idx="2">
                  <c:v>9.6011885260743863</c:v>
                </c:pt>
                <c:pt idx="3">
                  <c:v>11.177002200272719</c:v>
                </c:pt>
                <c:pt idx="4">
                  <c:v>11.756059744967398</c:v>
                </c:pt>
                <c:pt idx="5">
                  <c:v>12.807790468713067</c:v>
                </c:pt>
                <c:pt idx="6">
                  <c:v>13.11048163142066</c:v>
                </c:pt>
                <c:pt idx="7">
                  <c:v>13.6214701342524</c:v>
                </c:pt>
                <c:pt idx="8">
                  <c:v>14.531153866369037</c:v>
                </c:pt>
                <c:pt idx="9">
                  <c:v>14.811191749821749</c:v>
                </c:pt>
                <c:pt idx="10">
                  <c:v>16.420284938416188</c:v>
                </c:pt>
                <c:pt idx="11">
                  <c:v>17.334122589127819</c:v>
                </c:pt>
                <c:pt idx="12">
                  <c:v>19.297583768517573</c:v>
                </c:pt>
                <c:pt idx="13">
                  <c:v>20.513565275798531</c:v>
                </c:pt>
                <c:pt idx="14">
                  <c:v>24.98105775166351</c:v>
                </c:pt>
                <c:pt idx="15">
                  <c:v>28.423221772187876</c:v>
                </c:pt>
                <c:pt idx="16">
                  <c:v>42.314284025766796</c:v>
                </c:pt>
                <c:pt idx="17">
                  <c:v>46.519417204741259</c:v>
                </c:pt>
                <c:pt idx="18">
                  <c:v>14.903581091940779</c:v>
                </c:pt>
              </c:numCache>
            </c:numRef>
          </c:val>
          <c:extLst>
            <c:ext xmlns:c16="http://schemas.microsoft.com/office/drawing/2014/chart" uri="{C3380CC4-5D6E-409C-BE32-E72D297353CC}">
              <c16:uniqueId val="{00000014-E64B-40B0-B2BD-E9A681BD79B4}"/>
            </c:ext>
          </c:extLst>
        </c:ser>
        <c:dLbls>
          <c:showLegendKey val="0"/>
          <c:showVal val="0"/>
          <c:showCatName val="0"/>
          <c:showSerName val="0"/>
          <c:showPercent val="0"/>
          <c:showBubbleSize val="0"/>
        </c:dLbls>
        <c:gapWidth val="85"/>
        <c:axId val="128190720"/>
        <c:axId val="128196992"/>
      </c:barChart>
      <c:catAx>
        <c:axId val="128190720"/>
        <c:scaling>
          <c:orientation val="minMax"/>
        </c:scaling>
        <c:delete val="0"/>
        <c:axPos val="l"/>
        <c:title>
          <c:tx>
            <c:rich>
              <a:bodyPr/>
              <a:lstStyle/>
              <a:p>
                <a:pPr>
                  <a:defRPr sz="600">
                    <a:latin typeface="Arial" panose="020B0604020202020204" pitchFamily="34" charset="0"/>
                    <a:cs typeface="Arial" panose="020B0604020202020204" pitchFamily="34" charset="0"/>
                  </a:defRPr>
                </a:pPr>
                <a:r>
                  <a:rPr lang="en-US" sz="600">
                    <a:latin typeface="Arial" panose="020B0604020202020204" pitchFamily="34" charset="0"/>
                    <a:cs typeface="Arial" panose="020B0604020202020204" pitchFamily="34" charset="0"/>
                  </a:rPr>
                  <a:t>Industry Sectors</a:t>
                </a:r>
              </a:p>
            </c:rich>
          </c:tx>
          <c:overlay val="0"/>
        </c:title>
        <c:numFmt formatCode="General" sourceLinked="0"/>
        <c:majorTickMark val="out"/>
        <c:minorTickMark val="none"/>
        <c:tickLblPos val="nextTo"/>
        <c:txPr>
          <a:bodyPr/>
          <a:lstStyle/>
          <a:p>
            <a:pPr>
              <a:defRPr sz="700">
                <a:solidFill>
                  <a:schemeClr val="tx1"/>
                </a:solidFill>
                <a:latin typeface="Arial" panose="020B0604020202020204" pitchFamily="34" charset="0"/>
                <a:cs typeface="Arial" panose="020B0604020202020204" pitchFamily="34" charset="0"/>
              </a:defRPr>
            </a:pPr>
            <a:endParaRPr lang="en-US"/>
          </a:p>
        </c:txPr>
        <c:crossAx val="128196992"/>
        <c:crosses val="autoZero"/>
        <c:auto val="1"/>
        <c:lblAlgn val="ctr"/>
        <c:lblOffset val="100"/>
        <c:noMultiLvlLbl val="0"/>
      </c:catAx>
      <c:valAx>
        <c:axId val="128196992"/>
        <c:scaling>
          <c:orientation val="minMax"/>
          <c:max val="120"/>
          <c:min val="0"/>
        </c:scaling>
        <c:delete val="0"/>
        <c:axPos val="b"/>
        <c:majorGridlines>
          <c:spPr>
            <a:ln>
              <a:solidFill>
                <a:srgbClr val="D9D9D9"/>
              </a:solidFill>
            </a:ln>
          </c:spPr>
        </c:majorGridlines>
        <c:title>
          <c:tx>
            <c:rich>
              <a:bodyPr/>
              <a:lstStyle/>
              <a:p>
                <a:pPr>
                  <a:defRPr sz="600">
                    <a:latin typeface="Arial" panose="020B0604020202020204" pitchFamily="34" charset="0"/>
                    <a:cs typeface="Arial" panose="020B0604020202020204" pitchFamily="34" charset="0"/>
                  </a:defRPr>
                </a:pPr>
                <a:r>
                  <a:rPr lang="en-US" sz="600">
                    <a:latin typeface="Arial" panose="020B0604020202020204" pitchFamily="34" charset="0"/>
                    <a:cs typeface="Arial" panose="020B0604020202020204" pitchFamily="34" charset="0"/>
                  </a:rPr>
                  <a:t>Suicides</a:t>
                </a:r>
                <a:r>
                  <a:rPr lang="en-US" sz="600" baseline="0">
                    <a:latin typeface="Arial" panose="020B0604020202020204" pitchFamily="34" charset="0"/>
                    <a:cs typeface="Arial" panose="020B0604020202020204" pitchFamily="34" charset="0"/>
                  </a:rPr>
                  <a:t> per 100,000 workers</a:t>
                </a:r>
                <a:endParaRPr lang="en-US" sz="6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28190720"/>
        <c:crosses val="autoZero"/>
        <c:crossBetween val="between"/>
        <c:majorUnit val="20"/>
        <c:minorUnit val="10"/>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a:latin typeface="Arial" panose="020B0604020202020204" pitchFamily="34" charset="0"/>
                <a:cs typeface="Arial" panose="020B0604020202020204" pitchFamily="34" charset="0"/>
              </a:defRPr>
            </a:pPr>
            <a:r>
              <a:rPr lang="en-US" sz="1050">
                <a:latin typeface="Arial" panose="020B0604020202020204" pitchFamily="34" charset="0"/>
                <a:cs typeface="Arial" panose="020B0604020202020204" pitchFamily="34" charset="0"/>
              </a:rPr>
              <a:t>Figure 2. Suicide Rates by Occupation Groups, Massachusetts workers, 2016-2019, n=2,199*</a:t>
            </a:r>
          </a:p>
        </c:rich>
      </c:tx>
      <c:layout>
        <c:manualLayout>
          <c:xMode val="edge"/>
          <c:yMode val="edge"/>
          <c:x val="0.11029629629629631"/>
          <c:y val="1.1583011583011582E-2"/>
        </c:manualLayout>
      </c:layout>
      <c:overlay val="0"/>
    </c:title>
    <c:autoTitleDeleted val="0"/>
    <c:plotArea>
      <c:layout>
        <c:manualLayout>
          <c:layoutTarget val="inner"/>
          <c:xMode val="edge"/>
          <c:yMode val="edge"/>
          <c:x val="0.36504301545640128"/>
          <c:y val="0.11998084698872102"/>
          <c:w val="0.60376713327500731"/>
          <c:h val="0.79724531055239711"/>
        </c:manualLayout>
      </c:layout>
      <c:barChart>
        <c:barDir val="bar"/>
        <c:grouping val="clustered"/>
        <c:varyColors val="0"/>
        <c:ser>
          <c:idx val="0"/>
          <c:order val="0"/>
          <c:spPr>
            <a:solidFill>
              <a:srgbClr val="5F497A"/>
            </a:solidFill>
            <a:ln w="6350">
              <a:solidFill>
                <a:sysClr val="windowText" lastClr="000000"/>
              </a:solidFill>
            </a:ln>
          </c:spPr>
          <c:invertIfNegative val="0"/>
          <c:dPt>
            <c:idx val="0"/>
            <c:invertIfNegative val="0"/>
            <c:bubble3D val="0"/>
            <c:extLst>
              <c:ext xmlns:c16="http://schemas.microsoft.com/office/drawing/2014/chart" uri="{C3380CC4-5D6E-409C-BE32-E72D297353CC}">
                <c16:uniqueId val="{00000001-C751-406C-AB6A-127BA2DA7835}"/>
              </c:ext>
            </c:extLst>
          </c:dPt>
          <c:dPt>
            <c:idx val="23"/>
            <c:invertIfNegative val="0"/>
            <c:bubble3D val="0"/>
            <c:spPr>
              <a:solidFill>
                <a:srgbClr val="8064A2">
                  <a:lumMod val="40000"/>
                  <a:lumOff val="60000"/>
                </a:srgbClr>
              </a:solidFill>
              <a:ln w="6350">
                <a:solidFill>
                  <a:sysClr val="windowText" lastClr="000000"/>
                </a:solidFill>
              </a:ln>
            </c:spPr>
            <c:extLst>
              <c:ext xmlns:c16="http://schemas.microsoft.com/office/drawing/2014/chart" uri="{C3380CC4-5D6E-409C-BE32-E72D297353CC}">
                <c16:uniqueId val="{00000003-C751-406C-AB6A-127BA2DA7835}"/>
              </c:ext>
            </c:extLst>
          </c:dPt>
          <c:errBars>
            <c:errBarType val="both"/>
            <c:errValType val="cust"/>
            <c:noEndCap val="0"/>
            <c:plus>
              <c:numRef>
                <c:f>'T2. Occupation group - gender'!$D$59:$D$82</c:f>
                <c:numCache>
                  <c:formatCode>General</c:formatCode>
                  <c:ptCount val="24"/>
                  <c:pt idx="0">
                    <c:v>3.0488237038971904</c:v>
                  </c:pt>
                  <c:pt idx="1">
                    <c:v>3.6105267824012013</c:v>
                  </c:pt>
                  <c:pt idx="2">
                    <c:v>6.4294374103876724</c:v>
                  </c:pt>
                  <c:pt idx="3">
                    <c:v>3.6844820315317182</c:v>
                  </c:pt>
                  <c:pt idx="4">
                    <c:v>3.0635588522228225</c:v>
                  </c:pt>
                  <c:pt idx="5">
                    <c:v>7.2100337439853694</c:v>
                  </c:pt>
                  <c:pt idx="6">
                    <c:v>5.8265150616179975</c:v>
                  </c:pt>
                  <c:pt idx="7">
                    <c:v>3.1490505179076766</c:v>
                  </c:pt>
                  <c:pt idx="8">
                    <c:v>5.8120585747735376</c:v>
                  </c:pt>
                  <c:pt idx="9">
                    <c:v>5.2811784999424018</c:v>
                  </c:pt>
                  <c:pt idx="10">
                    <c:v>4.8000315509197735</c:v>
                  </c:pt>
                  <c:pt idx="11">
                    <c:v>9.7089130320688426</c:v>
                  </c:pt>
                  <c:pt idx="12">
                    <c:v>4.0736065654987659</c:v>
                  </c:pt>
                  <c:pt idx="13">
                    <c:v>7.5260098840110379</c:v>
                  </c:pt>
                  <c:pt idx="14">
                    <c:v>9.1934225524673909</c:v>
                  </c:pt>
                  <c:pt idx="15">
                    <c:v>9.8233022415216578</c:v>
                  </c:pt>
                  <c:pt idx="16">
                    <c:v>9.8758154941020262</c:v>
                  </c:pt>
                  <c:pt idx="17">
                    <c:v>9.4519507413402977</c:v>
                  </c:pt>
                  <c:pt idx="18">
                    <c:v>11.990089823717131</c:v>
                  </c:pt>
                  <c:pt idx="19">
                    <c:v>8.732303231701632</c:v>
                  </c:pt>
                  <c:pt idx="20">
                    <c:v>38.786304230886543</c:v>
                  </c:pt>
                  <c:pt idx="21">
                    <c:v>13.801998617616245</c:v>
                  </c:pt>
                  <c:pt idx="22">
                    <c:v>10.850586683113162</c:v>
                  </c:pt>
                  <c:pt idx="23">
                    <c:v>1.2616341025773516</c:v>
                  </c:pt>
                </c:numCache>
              </c:numRef>
            </c:plus>
            <c:minus>
              <c:numRef>
                <c:f>'T2. Occupation group - gender'!$D$59:$D$82</c:f>
                <c:numCache>
                  <c:formatCode>General</c:formatCode>
                  <c:ptCount val="24"/>
                  <c:pt idx="0">
                    <c:v>3.0488237038971904</c:v>
                  </c:pt>
                  <c:pt idx="1">
                    <c:v>3.6105267824012013</c:v>
                  </c:pt>
                  <c:pt idx="2">
                    <c:v>6.4294374103876724</c:v>
                  </c:pt>
                  <c:pt idx="3">
                    <c:v>3.6844820315317182</c:v>
                  </c:pt>
                  <c:pt idx="4">
                    <c:v>3.0635588522228225</c:v>
                  </c:pt>
                  <c:pt idx="5">
                    <c:v>7.2100337439853694</c:v>
                  </c:pt>
                  <c:pt idx="6">
                    <c:v>5.8265150616179975</c:v>
                  </c:pt>
                  <c:pt idx="7">
                    <c:v>3.1490505179076766</c:v>
                  </c:pt>
                  <c:pt idx="8">
                    <c:v>5.8120585747735376</c:v>
                  </c:pt>
                  <c:pt idx="9">
                    <c:v>5.2811784999424018</c:v>
                  </c:pt>
                  <c:pt idx="10">
                    <c:v>4.8000315509197735</c:v>
                  </c:pt>
                  <c:pt idx="11">
                    <c:v>9.7089130320688426</c:v>
                  </c:pt>
                  <c:pt idx="12">
                    <c:v>4.0736065654987659</c:v>
                  </c:pt>
                  <c:pt idx="13">
                    <c:v>7.5260098840110379</c:v>
                  </c:pt>
                  <c:pt idx="14">
                    <c:v>9.1934225524673909</c:v>
                  </c:pt>
                  <c:pt idx="15">
                    <c:v>9.8233022415216578</c:v>
                  </c:pt>
                  <c:pt idx="16">
                    <c:v>9.8758154941020262</c:v>
                  </c:pt>
                  <c:pt idx="17">
                    <c:v>9.4519507413402977</c:v>
                  </c:pt>
                  <c:pt idx="18">
                    <c:v>11.990089823717131</c:v>
                  </c:pt>
                  <c:pt idx="19">
                    <c:v>8.732303231701632</c:v>
                  </c:pt>
                  <c:pt idx="20">
                    <c:v>38.786304230886543</c:v>
                  </c:pt>
                  <c:pt idx="21">
                    <c:v>13.801998617616245</c:v>
                  </c:pt>
                  <c:pt idx="22">
                    <c:v>10.850586683113162</c:v>
                  </c:pt>
                  <c:pt idx="23">
                    <c:v>1.2616341025773516</c:v>
                  </c:pt>
                </c:numCache>
              </c:numRef>
            </c:minus>
            <c:spPr>
              <a:ln w="6350"/>
            </c:spPr>
          </c:errBars>
          <c:cat>
            <c:strRef>
              <c:f>'T2. Occupation group - gender'!$B$59:$B$82</c:f>
              <c:strCache>
                <c:ptCount val="24"/>
                <c:pt idx="0">
                  <c:v>Education, Training, and Library (n=67)</c:v>
                </c:pt>
                <c:pt idx="1">
                  <c:v>Business and Financial Operations (n=71)</c:v>
                </c:pt>
                <c:pt idx="2">
                  <c:v>Community and Social Services (n=26)</c:v>
                </c:pt>
                <c:pt idx="3">
                  <c:v>Healthcare Practitioner and Technical (n=87)</c:v>
                </c:pt>
                <c:pt idx="4">
                  <c:v>Office and Administration Support (n=148)</c:v>
                </c:pt>
                <c:pt idx="5">
                  <c:v>Life, Physical, and Social Science (n= 28)</c:v>
                </c:pt>
                <c:pt idx="6">
                  <c:v>Healthcare Support (n= 44)</c:v>
                </c:pt>
                <c:pt idx="7">
                  <c:v>Management N=191)</c:v>
                </c:pt>
                <c:pt idx="8">
                  <c:v>Personal Care and Service (n= 57)</c:v>
                </c:pt>
                <c:pt idx="9">
                  <c:v>Computer and Mathematical (n= 73)</c:v>
                </c:pt>
                <c:pt idx="10">
                  <c:v>Food Preparation and Serving Related (n =92)</c:v>
                </c:pt>
                <c:pt idx="11">
                  <c:v>Legal (n= 23)</c:v>
                </c:pt>
                <c:pt idx="12">
                  <c:v>Sales and Related  (n=194)</c:v>
                </c:pt>
                <c:pt idx="13">
                  <c:v>Building and Grounds Cleaning and Maintenance (n=86)</c:v>
                </c:pt>
                <c:pt idx="14">
                  <c:v>Arts, Design, Entertainment, Sports and Media (n= 63)</c:v>
                </c:pt>
                <c:pt idx="15">
                  <c:v>Material Moving (n= 59)</c:v>
                </c:pt>
                <c:pt idx="16">
                  <c:v>Architecture and Engineering (n = 77)</c:v>
                </c:pt>
                <c:pt idx="17">
                  <c:v>Transportation (n = 109)</c:v>
                </c:pt>
                <c:pt idx="18">
                  <c:v>Protective Service (n= 81)</c:v>
                </c:pt>
                <c:pt idx="19">
                  <c:v>Production (n =157)</c:v>
                </c:pt>
                <c:pt idx="20">
                  <c:v>Farming, Fishing and Forestry (n = 11)</c:v>
                </c:pt>
                <c:pt idx="21">
                  <c:v>Installation, Maintenance, and Repair (n = 114)</c:v>
                </c:pt>
                <c:pt idx="22">
                  <c:v>Construction and Extraction (n=316)</c:v>
                </c:pt>
                <c:pt idx="23">
                  <c:v>All Occpuations (n=2,199)*</c:v>
                </c:pt>
              </c:strCache>
            </c:strRef>
          </c:cat>
          <c:val>
            <c:numRef>
              <c:f>'T2. Occupation group - gender'!$C$59:$C$82</c:f>
              <c:numCache>
                <c:formatCode>General</c:formatCode>
                <c:ptCount val="24"/>
                <c:pt idx="0">
                  <c:v>6.366249376440126</c:v>
                </c:pt>
                <c:pt idx="1">
                  <c:v>7.7609284256574114</c:v>
                </c:pt>
                <c:pt idx="2">
                  <c:v>8.3632211267832162</c:v>
                </c:pt>
                <c:pt idx="3">
                  <c:v>8.7669797250997625</c:v>
                </c:pt>
                <c:pt idx="4">
                  <c:v>9.5076025488083697</c:v>
                </c:pt>
                <c:pt idx="5">
                  <c:v>9.7326307300863419</c:v>
                </c:pt>
                <c:pt idx="6">
                  <c:v>9.8593695381333522</c:v>
                </c:pt>
                <c:pt idx="7">
                  <c:v>11.102230618324493</c:v>
                </c:pt>
                <c:pt idx="8">
                  <c:v>11.193897950927523</c:v>
                </c:pt>
                <c:pt idx="9">
                  <c:v>11.510818592652628</c:v>
                </c:pt>
                <c:pt idx="10">
                  <c:v>11.74497072693709</c:v>
                </c:pt>
                <c:pt idx="11">
                  <c:v>11.878140606198324</c:v>
                </c:pt>
                <c:pt idx="12">
                  <c:v>14.47417702366155</c:v>
                </c:pt>
                <c:pt idx="13">
                  <c:v>17.80442460654292</c:v>
                </c:pt>
                <c:pt idx="14">
                  <c:v>18.614930947470437</c:v>
                </c:pt>
                <c:pt idx="15">
                  <c:v>19.248524551656189</c:v>
                </c:pt>
                <c:pt idx="16">
                  <c:v>22.10712481051036</c:v>
                </c:pt>
                <c:pt idx="17">
                  <c:v>25.173791542529852</c:v>
                </c:pt>
                <c:pt idx="18">
                  <c:v>27.528267452411782</c:v>
                </c:pt>
                <c:pt idx="19">
                  <c:v>27.912103541459249</c:v>
                </c:pt>
                <c:pt idx="20">
                  <c:v>32.816229116945109</c:v>
                </c:pt>
                <c:pt idx="21">
                  <c:v>37.593117161917512</c:v>
                </c:pt>
                <c:pt idx="22">
                  <c:v>49.205165296655764</c:v>
                </c:pt>
                <c:pt idx="23">
                  <c:v>15.006420870604341</c:v>
                </c:pt>
              </c:numCache>
            </c:numRef>
          </c:val>
          <c:extLst>
            <c:ext xmlns:c16="http://schemas.microsoft.com/office/drawing/2014/chart" uri="{C3380CC4-5D6E-409C-BE32-E72D297353CC}">
              <c16:uniqueId val="{00000004-C751-406C-AB6A-127BA2DA7835}"/>
            </c:ext>
          </c:extLst>
        </c:ser>
        <c:dLbls>
          <c:showLegendKey val="0"/>
          <c:showVal val="0"/>
          <c:showCatName val="0"/>
          <c:showSerName val="0"/>
          <c:showPercent val="0"/>
          <c:showBubbleSize val="0"/>
        </c:dLbls>
        <c:gapWidth val="85"/>
        <c:axId val="128472960"/>
        <c:axId val="128483328"/>
      </c:barChart>
      <c:catAx>
        <c:axId val="128472960"/>
        <c:scaling>
          <c:orientation val="minMax"/>
        </c:scaling>
        <c:delete val="0"/>
        <c:axPos val="l"/>
        <c:title>
          <c:tx>
            <c:rich>
              <a:bodyPr/>
              <a:lstStyle/>
              <a:p>
                <a:pPr>
                  <a:defRPr sz="600">
                    <a:latin typeface="Arial" panose="020B0604020202020204" pitchFamily="34" charset="0"/>
                    <a:cs typeface="Arial" panose="020B0604020202020204" pitchFamily="34" charset="0"/>
                  </a:defRPr>
                </a:pPr>
                <a:r>
                  <a:rPr lang="en-US" sz="600">
                    <a:latin typeface="Arial" panose="020B0604020202020204" pitchFamily="34" charset="0"/>
                    <a:cs typeface="Arial" panose="020B0604020202020204" pitchFamily="34" charset="0"/>
                  </a:rPr>
                  <a:t>Occupation Groups</a:t>
                </a:r>
              </a:p>
            </c:rich>
          </c:tx>
          <c:overlay val="0"/>
        </c:title>
        <c:numFmt formatCode="General" sourceLinked="0"/>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28483328"/>
        <c:crosses val="autoZero"/>
        <c:auto val="1"/>
        <c:lblAlgn val="ctr"/>
        <c:lblOffset val="100"/>
        <c:noMultiLvlLbl val="0"/>
      </c:catAx>
      <c:valAx>
        <c:axId val="128483328"/>
        <c:scaling>
          <c:orientation val="minMax"/>
          <c:max val="100"/>
          <c:min val="0"/>
        </c:scaling>
        <c:delete val="0"/>
        <c:axPos val="b"/>
        <c:majorGridlines>
          <c:spPr>
            <a:ln>
              <a:solidFill>
                <a:srgbClr val="D9D9D9"/>
              </a:solidFill>
            </a:ln>
          </c:spPr>
        </c:majorGridlines>
        <c:title>
          <c:tx>
            <c:rich>
              <a:bodyPr rot="0" vert="horz"/>
              <a:lstStyle/>
              <a:p>
                <a:pPr>
                  <a:defRPr sz="600">
                    <a:latin typeface="Arial" panose="020B0604020202020204" pitchFamily="34" charset="0"/>
                    <a:cs typeface="Arial" panose="020B0604020202020204" pitchFamily="34" charset="0"/>
                  </a:defRPr>
                </a:pPr>
                <a:r>
                  <a:rPr lang="en-US" sz="600">
                    <a:latin typeface="Arial" panose="020B0604020202020204" pitchFamily="34" charset="0"/>
                    <a:cs typeface="Arial" panose="020B0604020202020204" pitchFamily="34" charset="0"/>
                  </a:rPr>
                  <a:t>Suicides per 100,000 workers</a:t>
                </a:r>
              </a:p>
            </c:rich>
          </c:tx>
          <c:overlay val="0"/>
        </c:title>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28472960"/>
        <c:crosses val="autoZero"/>
        <c:crossBetween val="between"/>
        <c:majorUnit val="20"/>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Arial" panose="020B0604020202020204" pitchFamily="34" charset="0"/>
                <a:cs typeface="Arial" panose="020B0604020202020204" pitchFamily="34" charset="0"/>
              </a:defRPr>
            </a:pPr>
            <a:r>
              <a:rPr lang="en-US" sz="1050">
                <a:latin typeface="Arial" panose="020B0604020202020204" pitchFamily="34" charset="0"/>
                <a:cs typeface="Arial" panose="020B0604020202020204" pitchFamily="34" charset="0"/>
              </a:rPr>
              <a:t>Figure 3. Suicide rates for all workers by race/ethnicity, Massachusetts workers, 2016-2019 n=2,199</a:t>
            </a:r>
            <a:r>
              <a:rPr lang="en-US" sz="1050" baseline="30000">
                <a:latin typeface="Arial" panose="020B0604020202020204" pitchFamily="34" charset="0"/>
                <a:cs typeface="Arial" panose="020B0604020202020204" pitchFamily="34" charset="0"/>
              </a:rPr>
              <a:t>*†</a:t>
            </a:r>
          </a:p>
        </c:rich>
      </c:tx>
      <c:layout>
        <c:manualLayout>
          <c:xMode val="edge"/>
          <c:yMode val="edge"/>
          <c:x val="0.11477459362644048"/>
          <c:y val="4.6728971962616819E-3"/>
        </c:manualLayout>
      </c:layout>
      <c:overlay val="0"/>
    </c:title>
    <c:autoTitleDeleted val="0"/>
    <c:plotArea>
      <c:layout>
        <c:manualLayout>
          <c:layoutTarget val="inner"/>
          <c:xMode val="edge"/>
          <c:yMode val="edge"/>
          <c:x val="6.9041570077767594E-2"/>
          <c:y val="0.16575668926800818"/>
          <c:w val="0.93095842992223243"/>
          <c:h val="0.64483495552639258"/>
        </c:manualLayout>
      </c:layout>
      <c:barChart>
        <c:barDir val="col"/>
        <c:grouping val="clustered"/>
        <c:varyColors val="0"/>
        <c:ser>
          <c:idx val="1"/>
          <c:order val="0"/>
          <c:spPr>
            <a:solidFill>
              <a:srgbClr val="5F497A"/>
            </a:solidFill>
            <a:ln>
              <a:solidFill>
                <a:sysClr val="windowText" lastClr="000000"/>
              </a:solidFill>
            </a:ln>
          </c:spPr>
          <c:invertIfNegative val="0"/>
          <c:dPt>
            <c:idx val="0"/>
            <c:invertIfNegative val="0"/>
            <c:bubble3D val="0"/>
            <c:spPr>
              <a:solidFill>
                <a:schemeClr val="accent4">
                  <a:lumMod val="40000"/>
                  <a:lumOff val="60000"/>
                </a:schemeClr>
              </a:solidFill>
              <a:ln>
                <a:solidFill>
                  <a:sysClr val="windowText" lastClr="000000"/>
                </a:solidFill>
              </a:ln>
            </c:spPr>
            <c:extLst>
              <c:ext xmlns:c16="http://schemas.microsoft.com/office/drawing/2014/chart" uri="{C3380CC4-5D6E-409C-BE32-E72D297353CC}">
                <c16:uniqueId val="{00000001-0C01-4F2F-A2A5-F4049958B146}"/>
              </c:ext>
            </c:extLst>
          </c:dPt>
          <c:errBars>
            <c:errBarType val="both"/>
            <c:errValType val="cust"/>
            <c:noEndCap val="0"/>
            <c:plus>
              <c:numRef>
                <c:f>'Figure - race&amp;ethnicity'!$F$2:$F$5</c:f>
                <c:numCache>
                  <c:formatCode>General</c:formatCode>
                  <c:ptCount val="4"/>
                  <c:pt idx="0">
                    <c:v>1.2616341025773516</c:v>
                  </c:pt>
                  <c:pt idx="1">
                    <c:v>1.6055426539746069</c:v>
                  </c:pt>
                  <c:pt idx="2">
                    <c:v>2.8159188466481004</c:v>
                  </c:pt>
                  <c:pt idx="3">
                    <c:v>3.9276641367319876</c:v>
                  </c:pt>
                </c:numCache>
              </c:numRef>
            </c:plus>
            <c:minus>
              <c:numRef>
                <c:f>'Figure - race&amp;ethnicity'!$F$2:$F$5</c:f>
                <c:numCache>
                  <c:formatCode>General</c:formatCode>
                  <c:ptCount val="4"/>
                  <c:pt idx="0">
                    <c:v>1.2616341025773516</c:v>
                  </c:pt>
                  <c:pt idx="1">
                    <c:v>1.6055426539746069</c:v>
                  </c:pt>
                  <c:pt idx="2">
                    <c:v>2.8159188466481004</c:v>
                  </c:pt>
                  <c:pt idx="3">
                    <c:v>3.9276641367319876</c:v>
                  </c:pt>
                </c:numCache>
              </c:numRef>
            </c:minus>
          </c:errBars>
          <c:cat>
            <c:strRef>
              <c:f>'Figure - race&amp;ethnicity'!$A$2:$A$5</c:f>
              <c:strCache>
                <c:ptCount val="4"/>
                <c:pt idx="0">
                  <c:v>All workers                                                                 (n=2,199)*</c:v>
                </c:pt>
                <c:pt idx="1">
                  <c:v>White, non-Hispanic                                      (n=1,923)**</c:v>
                </c:pt>
                <c:pt idx="2">
                  <c:v>Hispanic                                             (n=121)***</c:v>
                </c:pt>
                <c:pt idx="3">
                  <c:v>Black, non-Hispanic                                               (n=96)</c:v>
                </c:pt>
              </c:strCache>
            </c:strRef>
          </c:cat>
          <c:val>
            <c:numRef>
              <c:f>'Figure - race&amp;ethnicity'!$D$2:$D$5</c:f>
              <c:numCache>
                <c:formatCode>General</c:formatCode>
                <c:ptCount val="4"/>
                <c:pt idx="0">
                  <c:v>15.006420870604341</c:v>
                </c:pt>
                <c:pt idx="1">
                  <c:v>17.871839387731811</c:v>
                </c:pt>
                <c:pt idx="2">
                  <c:v>7.8032419163704088</c:v>
                </c:pt>
                <c:pt idx="3">
                  <c:v>9.8171153224717855</c:v>
                </c:pt>
              </c:numCache>
            </c:numRef>
          </c:val>
          <c:extLst>
            <c:ext xmlns:c15="http://schemas.microsoft.com/office/drawing/2012/chart" uri="{02D57815-91ED-43cb-92C2-25804820EDAC}">
              <c15:filteredSeriesTitle>
                <c15:tx>
                  <c:strRef>
                    <c:extLst>
                      <c:ext uri="{02D57815-91ED-43cb-92C2-25804820EDAC}">
                        <c15:formulaRef>
                          <c15:sqref>'Figure - race&amp;ethnicity'!#REF!</c15:sqref>
                        </c15:formulaRef>
                      </c:ext>
                    </c:extLst>
                    <c:strCache>
                      <c:ptCount val="1"/>
                      <c:pt idx="0">
                        <c:v>#REF!</c:v>
                      </c:pt>
                    </c:strCache>
                  </c:strRef>
                </c15:tx>
              </c15:filteredSeriesTitle>
            </c:ext>
            <c:ext xmlns:c16="http://schemas.microsoft.com/office/drawing/2014/chart" uri="{C3380CC4-5D6E-409C-BE32-E72D297353CC}">
              <c16:uniqueId val="{00000002-0C01-4F2F-A2A5-F4049958B146}"/>
            </c:ext>
          </c:extLst>
        </c:ser>
        <c:dLbls>
          <c:showLegendKey val="0"/>
          <c:showVal val="0"/>
          <c:showCatName val="0"/>
          <c:showSerName val="0"/>
          <c:showPercent val="0"/>
          <c:showBubbleSize val="0"/>
        </c:dLbls>
        <c:gapWidth val="150"/>
        <c:axId val="132606976"/>
        <c:axId val="132617344"/>
      </c:barChart>
      <c:catAx>
        <c:axId val="132606976"/>
        <c:scaling>
          <c:orientation val="minMax"/>
        </c:scaling>
        <c:delete val="0"/>
        <c:axPos val="b"/>
        <c:title>
          <c:tx>
            <c:rich>
              <a:bodyPr/>
              <a:lstStyle/>
              <a:p>
                <a:pPr>
                  <a:defRPr sz="600">
                    <a:latin typeface="Arial" panose="020B0604020202020204" pitchFamily="34" charset="0"/>
                    <a:cs typeface="Arial" panose="020B0604020202020204" pitchFamily="34" charset="0"/>
                  </a:defRPr>
                </a:pPr>
                <a:r>
                  <a:rPr lang="en-US" sz="600">
                    <a:latin typeface="Arial" panose="020B0604020202020204" pitchFamily="34" charset="0"/>
                    <a:cs typeface="Arial" panose="020B0604020202020204" pitchFamily="34" charset="0"/>
                  </a:rPr>
                  <a:t>Racial/Ethnic Categories</a:t>
                </a:r>
              </a:p>
            </c:rich>
          </c:tx>
          <c:overlay val="0"/>
        </c:title>
        <c:numFmt formatCode="General" sourceLinked="0"/>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32617344"/>
        <c:crosses val="autoZero"/>
        <c:auto val="1"/>
        <c:lblAlgn val="ctr"/>
        <c:lblOffset val="100"/>
        <c:noMultiLvlLbl val="0"/>
      </c:catAx>
      <c:valAx>
        <c:axId val="132617344"/>
        <c:scaling>
          <c:orientation val="minMax"/>
          <c:max val="25"/>
          <c:min val="0"/>
        </c:scaling>
        <c:delete val="0"/>
        <c:axPos val="l"/>
        <c:majorGridlines>
          <c:spPr>
            <a:ln>
              <a:solidFill>
                <a:srgbClr val="D9D9D9"/>
              </a:solidFill>
            </a:ln>
          </c:spPr>
        </c:majorGridlines>
        <c:title>
          <c:tx>
            <c:rich>
              <a:bodyPr rot="-5400000" vert="horz"/>
              <a:lstStyle/>
              <a:p>
                <a:pPr>
                  <a:defRPr sz="600">
                    <a:latin typeface="Arial" panose="020B0604020202020204" pitchFamily="34" charset="0"/>
                    <a:cs typeface="Arial" panose="020B0604020202020204" pitchFamily="34" charset="0"/>
                  </a:defRPr>
                </a:pPr>
                <a:r>
                  <a:rPr lang="en-US" sz="600">
                    <a:latin typeface="Arial" panose="020B0604020202020204" pitchFamily="34" charset="0"/>
                    <a:cs typeface="Arial" panose="020B0604020202020204" pitchFamily="34" charset="0"/>
                  </a:rPr>
                  <a:t>Suicides per 100,000 workers</a:t>
                </a:r>
              </a:p>
            </c:rich>
          </c:tx>
          <c:overlay val="0"/>
        </c:title>
        <c:numFmt formatCode="General" sourceLinked="1"/>
        <c:majorTickMark val="out"/>
        <c:minorTickMark val="none"/>
        <c:tickLblPos val="nextTo"/>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crossAx val="132606976"/>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a:pPr>
            <a:r>
              <a:rPr lang="en-US" sz="1050" b="1">
                <a:latin typeface="Arial" panose="020B0604020202020204" pitchFamily="34" charset="0"/>
                <a:cs typeface="Arial" panose="020B0604020202020204" pitchFamily="34" charset="0"/>
              </a:rPr>
              <a:t>Figure 4. Suicide</a:t>
            </a:r>
            <a:r>
              <a:rPr lang="en-US" sz="1050" b="1" baseline="0">
                <a:latin typeface="Arial" panose="020B0604020202020204" pitchFamily="34" charset="0"/>
                <a:cs typeface="Arial" panose="020B0604020202020204" pitchFamily="34" charset="0"/>
              </a:rPr>
              <a:t> rate </a:t>
            </a:r>
            <a:r>
              <a:rPr lang="en-US" sz="1050" b="1">
                <a:latin typeface="Arial" panose="020B0604020202020204" pitchFamily="34" charset="0"/>
                <a:cs typeface="Arial" panose="020B0604020202020204" pitchFamily="34" charset="0"/>
              </a:rPr>
              <a:t>for all workers by age group, Massachusetts workers, </a:t>
            </a:r>
          </a:p>
          <a:p>
            <a:pPr>
              <a:defRPr sz="1050" b="1"/>
            </a:pPr>
            <a:r>
              <a:rPr lang="en-US" sz="1050" b="1">
                <a:latin typeface="Arial" panose="020B0604020202020204" pitchFamily="34" charset="0"/>
                <a:cs typeface="Arial" panose="020B0604020202020204" pitchFamily="34" charset="0"/>
              </a:rPr>
              <a:t>2016-2019, n=2,199*</a:t>
            </a:r>
          </a:p>
        </c:rich>
      </c:tx>
      <c:overlay val="0"/>
    </c:title>
    <c:autoTitleDeleted val="0"/>
    <c:plotArea>
      <c:layout/>
      <c:barChart>
        <c:barDir val="col"/>
        <c:grouping val="clustered"/>
        <c:varyColors val="0"/>
        <c:ser>
          <c:idx val="0"/>
          <c:order val="0"/>
          <c:spPr>
            <a:solidFill>
              <a:srgbClr val="5F497A"/>
            </a:solidFill>
            <a:ln>
              <a:solidFill>
                <a:sysClr val="windowText" lastClr="000000"/>
              </a:solidFill>
            </a:ln>
          </c:spPr>
          <c:invertIfNegative val="0"/>
          <c:dPt>
            <c:idx val="0"/>
            <c:invertIfNegative val="0"/>
            <c:bubble3D val="0"/>
            <c:spPr>
              <a:solidFill>
                <a:schemeClr val="accent4">
                  <a:lumMod val="40000"/>
                  <a:lumOff val="60000"/>
                </a:schemeClr>
              </a:solidFill>
              <a:ln>
                <a:solidFill>
                  <a:sysClr val="windowText" lastClr="000000"/>
                </a:solidFill>
              </a:ln>
            </c:spPr>
            <c:extLst>
              <c:ext xmlns:c16="http://schemas.microsoft.com/office/drawing/2014/chart" uri="{C3380CC4-5D6E-409C-BE32-E72D297353CC}">
                <c16:uniqueId val="{00000001-B43B-4420-B5A0-D889FB52EEC0}"/>
              </c:ext>
            </c:extLst>
          </c:dPt>
          <c:errBars>
            <c:errBarType val="both"/>
            <c:errValType val="cust"/>
            <c:noEndCap val="0"/>
            <c:plus>
              <c:numRef>
                <c:f>'Table 6 - Occupation by age'!$F$44:$F$50</c:f>
                <c:numCache>
                  <c:formatCode>General</c:formatCode>
                  <c:ptCount val="7"/>
                  <c:pt idx="0">
                    <c:v>1.2616341025773516</c:v>
                  </c:pt>
                  <c:pt idx="1">
                    <c:v>2.4165149308362137</c:v>
                  </c:pt>
                  <c:pt idx="2">
                    <c:v>1.155846896842837</c:v>
                  </c:pt>
                  <c:pt idx="3">
                    <c:v>2.9230561776209205</c:v>
                  </c:pt>
                  <c:pt idx="4">
                    <c:v>2.7925727136096916</c:v>
                  </c:pt>
                  <c:pt idx="5">
                    <c:v>3.3665173614501951</c:v>
                  </c:pt>
                  <c:pt idx="6">
                    <c:v>7.7029924861774006</c:v>
                  </c:pt>
                </c:numCache>
              </c:numRef>
            </c:plus>
            <c:minus>
              <c:numRef>
                <c:f>'Table 6 - Occupation by age'!$F$44:$F$50</c:f>
                <c:numCache>
                  <c:formatCode>General</c:formatCode>
                  <c:ptCount val="7"/>
                  <c:pt idx="0">
                    <c:v>1.2616341025773516</c:v>
                  </c:pt>
                  <c:pt idx="1">
                    <c:v>2.4165149308362137</c:v>
                  </c:pt>
                  <c:pt idx="2">
                    <c:v>1.155846896842837</c:v>
                  </c:pt>
                  <c:pt idx="3">
                    <c:v>2.9230561776209205</c:v>
                  </c:pt>
                  <c:pt idx="4">
                    <c:v>2.7925727136096916</c:v>
                  </c:pt>
                  <c:pt idx="5">
                    <c:v>3.3665173614501951</c:v>
                  </c:pt>
                  <c:pt idx="6">
                    <c:v>7.7029924861774006</c:v>
                  </c:pt>
                </c:numCache>
              </c:numRef>
            </c:minus>
          </c:errBars>
          <c:cat>
            <c:strRef>
              <c:f>'Table 6 - Occupation by age'!$B$44:$B$50</c:f>
              <c:strCache>
                <c:ptCount val="7"/>
                <c:pt idx="0">
                  <c:v>All workers                                                                 (n=2,199)*</c:v>
                </c:pt>
                <c:pt idx="1">
                  <c:v>16-24 years old                                    (n=136)</c:v>
                </c:pt>
                <c:pt idx="2">
                  <c:v>25-34 years old                                          (n=361)</c:v>
                </c:pt>
                <c:pt idx="3">
                  <c:v>35-44 years old               (n=348)</c:v>
                </c:pt>
                <c:pt idx="4">
                  <c:v>45-54 years old                (n=464)</c:v>
                </c:pt>
                <c:pt idx="5">
                  <c:v>55-64 years old                (n=498)</c:v>
                </c:pt>
                <c:pt idx="6">
                  <c:v>65+ years old                    (n=367)</c:v>
                </c:pt>
              </c:strCache>
            </c:strRef>
          </c:cat>
          <c:val>
            <c:numRef>
              <c:f>'Table 6 - Occupation by age'!$E$44:$E$50</c:f>
              <c:numCache>
                <c:formatCode>General</c:formatCode>
                <c:ptCount val="7"/>
                <c:pt idx="0">
                  <c:v>15.006420870604341</c:v>
                </c:pt>
                <c:pt idx="1">
                  <c:v>7.1890726096333575</c:v>
                </c:pt>
                <c:pt idx="2">
                  <c:v>5.60231914286069</c:v>
                </c:pt>
                <c:pt idx="3">
                  <c:v>13.910435184766955</c:v>
                </c:pt>
                <c:pt idx="4">
                  <c:v>15.34537173336226</c:v>
                </c:pt>
                <c:pt idx="5">
                  <c:v>19.165028210690622</c:v>
                </c:pt>
                <c:pt idx="6">
                  <c:v>37.644925269181726</c:v>
                </c:pt>
              </c:numCache>
            </c:numRef>
          </c:val>
          <c:extLst>
            <c:ext xmlns:c16="http://schemas.microsoft.com/office/drawing/2014/chart" uri="{C3380CC4-5D6E-409C-BE32-E72D297353CC}">
              <c16:uniqueId val="{00000002-B43B-4420-B5A0-D889FB52EEC0}"/>
            </c:ext>
          </c:extLst>
        </c:ser>
        <c:dLbls>
          <c:showLegendKey val="0"/>
          <c:showVal val="0"/>
          <c:showCatName val="0"/>
          <c:showSerName val="0"/>
          <c:showPercent val="0"/>
          <c:showBubbleSize val="0"/>
        </c:dLbls>
        <c:gapWidth val="150"/>
        <c:axId val="131115264"/>
        <c:axId val="131125248"/>
      </c:barChart>
      <c:catAx>
        <c:axId val="131115264"/>
        <c:scaling>
          <c:orientation val="minMax"/>
        </c:scaling>
        <c:delete val="0"/>
        <c:axPos val="b"/>
        <c:title>
          <c:tx>
            <c:rich>
              <a:bodyPr/>
              <a:lstStyle/>
              <a:p>
                <a:pPr>
                  <a:defRPr/>
                </a:pPr>
                <a:r>
                  <a:rPr lang="en-US" sz="600">
                    <a:latin typeface="Arial" panose="020B0604020202020204" pitchFamily="34" charset="0"/>
                    <a:cs typeface="Arial" panose="020B0604020202020204" pitchFamily="34" charset="0"/>
                  </a:rPr>
                  <a:t>Age Group</a:t>
                </a:r>
                <a:endParaRPr lang="en-US">
                  <a:latin typeface="Arial" panose="020B0604020202020204" pitchFamily="34" charset="0"/>
                  <a:cs typeface="Arial" panose="020B0604020202020204" pitchFamily="34" charset="0"/>
                </a:endParaRPr>
              </a:p>
            </c:rich>
          </c:tx>
          <c:overlay val="0"/>
        </c:title>
        <c:numFmt formatCode="General" sourceLinked="0"/>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31125248"/>
        <c:crosses val="autoZero"/>
        <c:auto val="1"/>
        <c:lblAlgn val="ctr"/>
        <c:lblOffset val="100"/>
        <c:noMultiLvlLbl val="0"/>
      </c:catAx>
      <c:valAx>
        <c:axId val="131125248"/>
        <c:scaling>
          <c:orientation val="minMax"/>
        </c:scaling>
        <c:delete val="0"/>
        <c:axPos val="l"/>
        <c:majorGridlines>
          <c:spPr>
            <a:ln>
              <a:solidFill>
                <a:schemeClr val="bg1">
                  <a:lumMod val="75000"/>
                </a:schemeClr>
              </a:solidFill>
            </a:ln>
          </c:spPr>
        </c:majorGridlines>
        <c:title>
          <c:tx>
            <c:rich>
              <a:bodyPr/>
              <a:lstStyle/>
              <a:p>
                <a:pPr>
                  <a:defRPr/>
                </a:pPr>
                <a:r>
                  <a:rPr lang="en-US" sz="600">
                    <a:latin typeface="Arial" panose="020B0604020202020204" pitchFamily="34" charset="0"/>
                    <a:cs typeface="Arial" panose="020B0604020202020204" pitchFamily="34" charset="0"/>
                  </a:rPr>
                  <a:t>Suicides per 100,000 workers</a:t>
                </a:r>
              </a:p>
            </c:rich>
          </c:tx>
          <c:overlay val="0"/>
        </c:title>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31115264"/>
        <c:crosses val="autoZero"/>
        <c:crossBetween val="between"/>
        <c:majorUnit val="10"/>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Arial" panose="020B0604020202020204" pitchFamily="34" charset="0"/>
                <a:cs typeface="Arial" panose="020B0604020202020204" pitchFamily="34" charset="0"/>
              </a:rPr>
              <a:t>Figure 5. Rate of suicides for all workers by availability of paid sick leave, Massachusetts,</a:t>
            </a:r>
            <a:r>
              <a:rPr lang="en-US" sz="1050" baseline="0">
                <a:latin typeface="Arial" panose="020B0604020202020204" pitchFamily="34" charset="0"/>
                <a:cs typeface="Arial" panose="020B0604020202020204" pitchFamily="34" charset="0"/>
              </a:rPr>
              <a:t> 2016-2019, n=2,199*</a:t>
            </a:r>
            <a:endParaRPr lang="en-US" sz="1050">
              <a:latin typeface="Arial" panose="020B0604020202020204" pitchFamily="34" charset="0"/>
              <a:cs typeface="Arial" panose="020B0604020202020204" pitchFamily="34" charset="0"/>
            </a:endParaRPr>
          </a:p>
        </c:rich>
      </c:tx>
      <c:layout>
        <c:manualLayout>
          <c:xMode val="edge"/>
          <c:yMode val="edge"/>
          <c:x val="0.12327311169437154"/>
          <c:y val="0"/>
        </c:manualLayout>
      </c:layout>
      <c:overlay val="0"/>
    </c:title>
    <c:autoTitleDeleted val="0"/>
    <c:plotArea>
      <c:layout>
        <c:manualLayout>
          <c:layoutTarget val="inner"/>
          <c:xMode val="edge"/>
          <c:yMode val="edge"/>
          <c:x val="5.5996937882764657E-2"/>
          <c:y val="0.19429977049970204"/>
          <c:w val="0.93934718576844556"/>
          <c:h val="0.71846424993977198"/>
        </c:manualLayout>
      </c:layout>
      <c:barChart>
        <c:barDir val="col"/>
        <c:grouping val="clustered"/>
        <c:varyColors val="0"/>
        <c:ser>
          <c:idx val="0"/>
          <c:order val="0"/>
          <c:tx>
            <c:strRef>
              <c:f>'Paid sick leave'!$J$1</c:f>
              <c:strCache>
                <c:ptCount val="1"/>
                <c:pt idx="0">
                  <c:v>2018</c:v>
                </c:pt>
              </c:strCache>
            </c:strRef>
          </c:tx>
          <c:spPr>
            <a:solidFill>
              <a:srgbClr val="5F497A"/>
            </a:solidFill>
            <a:ln>
              <a:solidFill>
                <a:sysClr val="windowText" lastClr="000000"/>
              </a:solidFill>
            </a:ln>
          </c:spPr>
          <c:invertIfNegative val="0"/>
          <c:errBars>
            <c:errBarType val="both"/>
            <c:errValType val="cust"/>
            <c:noEndCap val="0"/>
            <c:plus>
              <c:numRef>
                <c:f>('Paid sick leave'!$E$19,'Paid sick leave'!$B$19)</c:f>
                <c:numCache>
                  <c:formatCode>General</c:formatCode>
                  <c:ptCount val="2"/>
                  <c:pt idx="0">
                    <c:v>2.0511583280453256</c:v>
                  </c:pt>
                  <c:pt idx="1">
                    <c:v>4.5489032954209705</c:v>
                  </c:pt>
                </c:numCache>
              </c:numRef>
            </c:plus>
            <c:minus>
              <c:numRef>
                <c:f>('Paid sick leave'!$E$19,'Paid sick leave'!$B$19)</c:f>
                <c:numCache>
                  <c:formatCode>General</c:formatCode>
                  <c:ptCount val="2"/>
                  <c:pt idx="0">
                    <c:v>2.0511583280453256</c:v>
                  </c:pt>
                  <c:pt idx="1">
                    <c:v>4.5489032954209705</c:v>
                  </c:pt>
                </c:numCache>
              </c:numRef>
            </c:minus>
          </c:errBars>
          <c:cat>
            <c:strRef>
              <c:f>('Paid sick leave'!$E$16,'Paid sick leave'!$B$16)</c:f>
              <c:strCache>
                <c:ptCount val="2"/>
                <c:pt idx="0">
                  <c:v>High</c:v>
                </c:pt>
                <c:pt idx="1">
                  <c:v>Low</c:v>
                </c:pt>
              </c:strCache>
            </c:strRef>
          </c:cat>
          <c:val>
            <c:numRef>
              <c:f>('Paid sick leave'!$E$18,'Paid sick leave'!$B$18)</c:f>
              <c:numCache>
                <c:formatCode>General</c:formatCode>
                <c:ptCount val="2"/>
                <c:pt idx="0">
                  <c:v>65.220289756753843</c:v>
                </c:pt>
                <c:pt idx="1">
                  <c:v>125.84161933338184</c:v>
                </c:pt>
              </c:numCache>
            </c:numRef>
          </c:val>
          <c:extLst>
            <c:ext xmlns:c16="http://schemas.microsoft.com/office/drawing/2014/chart" uri="{C3380CC4-5D6E-409C-BE32-E72D297353CC}">
              <c16:uniqueId val="{00000000-EE7B-4A5D-BDB4-561C813EDB42}"/>
            </c:ext>
          </c:extLst>
        </c:ser>
        <c:dLbls>
          <c:showLegendKey val="0"/>
          <c:showVal val="0"/>
          <c:showCatName val="0"/>
          <c:showSerName val="0"/>
          <c:showPercent val="0"/>
          <c:showBubbleSize val="0"/>
        </c:dLbls>
        <c:gapWidth val="150"/>
        <c:axId val="131025536"/>
        <c:axId val="131064576"/>
      </c:barChart>
      <c:catAx>
        <c:axId val="131025536"/>
        <c:scaling>
          <c:orientation val="minMax"/>
        </c:scaling>
        <c:delete val="0"/>
        <c:axPos val="b"/>
        <c:title>
          <c:tx>
            <c:rich>
              <a:bodyPr/>
              <a:lstStyle/>
              <a:p>
                <a:pPr>
                  <a:defRPr/>
                </a:pPr>
                <a:r>
                  <a:rPr lang="en-US" sz="600">
                    <a:latin typeface="Arial" panose="020B0604020202020204" pitchFamily="34" charset="0"/>
                    <a:cs typeface="Arial" panose="020B0604020202020204" pitchFamily="34" charset="0"/>
                  </a:rPr>
                  <a:t>Percent</a:t>
                </a:r>
                <a:r>
                  <a:rPr lang="en-US" sz="600" baseline="0">
                    <a:latin typeface="Arial" panose="020B0604020202020204" pitchFamily="34" charset="0"/>
                    <a:cs typeface="Arial" panose="020B0604020202020204" pitchFamily="34" charset="0"/>
                  </a:rPr>
                  <a:t> of workers with paid sick leave</a:t>
                </a:r>
                <a:endParaRPr lang="en-US" sz="600">
                  <a:latin typeface="Arial" panose="020B0604020202020204" pitchFamily="34" charset="0"/>
                  <a:cs typeface="Arial" panose="020B0604020202020204" pitchFamily="34" charset="0"/>
                </a:endParaRPr>
              </a:p>
            </c:rich>
          </c:tx>
          <c:overlay val="0"/>
        </c:title>
        <c:numFmt formatCode="General" sourceLinked="0"/>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31064576"/>
        <c:crosses val="autoZero"/>
        <c:auto val="1"/>
        <c:lblAlgn val="ctr"/>
        <c:lblOffset val="100"/>
        <c:noMultiLvlLbl val="0"/>
      </c:catAx>
      <c:valAx>
        <c:axId val="131064576"/>
        <c:scaling>
          <c:orientation val="minMax"/>
        </c:scaling>
        <c:delete val="0"/>
        <c:axPos val="l"/>
        <c:majorGridlines>
          <c:spPr>
            <a:ln>
              <a:solidFill>
                <a:srgbClr val="D9D9D9"/>
              </a:solidFill>
            </a:ln>
          </c:spPr>
        </c:majorGridlines>
        <c:title>
          <c:tx>
            <c:rich>
              <a:bodyPr rot="-5400000" vert="horz"/>
              <a:lstStyle/>
              <a:p>
                <a:pPr>
                  <a:defRPr/>
                </a:pPr>
                <a:r>
                  <a:rPr lang="en-US" sz="600" b="1">
                    <a:latin typeface="Arial" panose="020B0604020202020204" pitchFamily="34" charset="0"/>
                    <a:cs typeface="Arial" panose="020B0604020202020204" pitchFamily="34" charset="0"/>
                  </a:rPr>
                  <a:t>Suicides</a:t>
                </a:r>
                <a:r>
                  <a:rPr lang="en-US" sz="600" b="1" baseline="0">
                    <a:latin typeface="Arial" panose="020B0604020202020204" pitchFamily="34" charset="0"/>
                    <a:cs typeface="Arial" panose="020B0604020202020204" pitchFamily="34" charset="0"/>
                  </a:rPr>
                  <a:t> </a:t>
                </a:r>
                <a:r>
                  <a:rPr lang="en-US" sz="600" b="1">
                    <a:latin typeface="Arial" panose="020B0604020202020204" pitchFamily="34" charset="0"/>
                    <a:cs typeface="Arial" panose="020B0604020202020204" pitchFamily="34" charset="0"/>
                  </a:rPr>
                  <a:t>per 100,000 workers</a:t>
                </a:r>
              </a:p>
            </c:rich>
          </c:tx>
          <c:overlay val="0"/>
        </c:title>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13102553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7" ma:contentTypeDescription="Create a new document." ma:contentTypeScope="" ma:versionID="5711a5657ee20a8ecf33e1a88845a05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d930565d4da8f19e2ceec3e5a3a5b4d6"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2.xml><?xml version="1.0" encoding="utf-8"?>
<ds:datastoreItem xmlns:ds="http://schemas.openxmlformats.org/officeDocument/2006/customXml" ds:itemID="{79EE76B8-3D0E-4296-9F56-340E89789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85A15-093F-4759-BA6E-BD7261CF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2230</Words>
  <Characters>14123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dbernson</dc:creator>
  <cp:lastModifiedBy>Tumpney, Matthew (DPH)</cp:lastModifiedBy>
  <cp:revision>4</cp:revision>
  <cp:lastPrinted>2022-02-23T19:31:00Z</cp:lastPrinted>
  <dcterms:created xsi:type="dcterms:W3CDTF">2022-02-23T19:29:00Z</dcterms:created>
  <dcterms:modified xsi:type="dcterms:W3CDTF">2022-02-23T19:31:00Z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