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28C6" w14:textId="2EC234B5" w:rsidR="007D2878" w:rsidRDefault="007D2878" w:rsidP="007D2878">
      <w:pPr>
        <w:pStyle w:val="Title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COMMONWEALTH OF MASSACHUSETTS</w:t>
      </w:r>
    </w:p>
    <w:p w14:paraId="6337F8DD" w14:textId="77777777" w:rsidR="007D2878" w:rsidRDefault="007D2878" w:rsidP="007D2878">
      <w:pPr>
        <w:jc w:val="center"/>
        <w:rPr>
          <w:b/>
          <w:bCs w:val="0"/>
        </w:rPr>
      </w:pPr>
    </w:p>
    <w:p w14:paraId="0F3F660F" w14:textId="3F69E4D0" w:rsidR="007D2878" w:rsidRDefault="007D2878" w:rsidP="00EA1672">
      <w:pPr>
        <w:jc w:val="center"/>
        <w:rPr>
          <w:b/>
          <w:bCs w:val="0"/>
        </w:rPr>
      </w:pPr>
      <w:r>
        <w:rPr>
          <w:b/>
          <w:bCs w:val="0"/>
        </w:rPr>
        <w:t>APPELLATE TAX BOARD</w:t>
      </w:r>
    </w:p>
    <w:p w14:paraId="0E3B0007" w14:textId="77777777" w:rsidR="007D2878" w:rsidRDefault="007D2878" w:rsidP="007D2878">
      <w:pPr>
        <w:rPr>
          <w:b/>
          <w:bCs w:val="0"/>
        </w:rPr>
      </w:pPr>
    </w:p>
    <w:p w14:paraId="1814A28E" w14:textId="77777777" w:rsidR="00200B26" w:rsidRDefault="00200B26" w:rsidP="007D2878">
      <w:pPr>
        <w:rPr>
          <w:b/>
          <w:bCs w:val="0"/>
        </w:rPr>
      </w:pPr>
    </w:p>
    <w:p w14:paraId="087CD753" w14:textId="1DAB0FA0" w:rsidR="007D2878" w:rsidRPr="00047707" w:rsidRDefault="00200B26" w:rsidP="007D2878">
      <w:pPr>
        <w:pStyle w:val="BodyText"/>
        <w:spacing w:line="240" w:lineRule="auto"/>
        <w:ind w:left="3600" w:hanging="360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lang w:val="de-DE"/>
        </w:rPr>
        <w:t>DR.</w:t>
      </w:r>
      <w:r w:rsidR="002B2200">
        <w:rPr>
          <w:rFonts w:ascii="Courier New" w:hAnsi="Courier New" w:cs="Courier New"/>
          <w:b/>
          <w:lang w:val="de-DE"/>
        </w:rPr>
        <w:t xml:space="preserve"> </w:t>
      </w:r>
      <w:r w:rsidR="003C6655">
        <w:rPr>
          <w:rFonts w:ascii="Courier New" w:hAnsi="Courier New" w:cs="Courier New"/>
          <w:b/>
          <w:lang w:val="de-DE"/>
        </w:rPr>
        <w:t>PHILIP R. SULLIVAN</w:t>
      </w:r>
      <w:r w:rsidR="003C6655">
        <w:rPr>
          <w:rFonts w:ascii="Courier New" w:hAnsi="Courier New" w:cs="Courier New"/>
          <w:b/>
          <w:lang w:val="de-DE"/>
        </w:rPr>
        <w:tab/>
      </w:r>
      <w:r w:rsidR="007D2878" w:rsidRPr="00047707">
        <w:rPr>
          <w:rFonts w:ascii="Courier New" w:hAnsi="Courier New" w:cs="Courier New"/>
          <w:b/>
          <w:lang w:val="de-DE"/>
        </w:rPr>
        <w:t xml:space="preserve">  v.      </w:t>
      </w:r>
      <w:r w:rsidR="007D2878">
        <w:rPr>
          <w:rFonts w:ascii="Courier New" w:hAnsi="Courier New" w:cs="Courier New"/>
          <w:b/>
          <w:lang w:val="de-DE"/>
        </w:rPr>
        <w:t>  </w:t>
      </w:r>
      <w:r w:rsidR="007D2878" w:rsidRPr="00047707">
        <w:rPr>
          <w:rFonts w:ascii="Courier New" w:hAnsi="Courier New" w:cs="Courier New"/>
          <w:b/>
        </w:rPr>
        <w:t>BOARD OF ASSESSORS OF</w:t>
      </w:r>
    </w:p>
    <w:p w14:paraId="6AACE000" w14:textId="5C7BC3AC" w:rsidR="00200B26" w:rsidRDefault="007D2878" w:rsidP="007D2878">
      <w:pPr>
        <w:pStyle w:val="BodyText"/>
        <w:spacing w:line="240" w:lineRule="auto"/>
        <w:ind w:left="3600" w:hanging="3600"/>
        <w:rPr>
          <w:rFonts w:ascii="Courier New" w:hAnsi="Courier New" w:cs="Courier New"/>
        </w:rPr>
      </w:pPr>
      <w:r w:rsidRPr="00047707">
        <w:rPr>
          <w:rFonts w:ascii="Courier New" w:hAnsi="Courier New" w:cs="Courier New"/>
          <w:b/>
        </w:rPr>
        <w:tab/>
      </w:r>
      <w:r w:rsidRPr="00047707">
        <w:rPr>
          <w:rFonts w:ascii="Courier New" w:hAnsi="Courier New" w:cs="Courier New"/>
          <w:b/>
        </w:rPr>
        <w:tab/>
      </w:r>
      <w:r w:rsidRPr="0004770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  THE TOWN OF </w:t>
      </w:r>
      <w:r w:rsidR="00D812D8">
        <w:rPr>
          <w:rFonts w:ascii="Courier New" w:hAnsi="Courier New" w:cs="Courier New"/>
          <w:b/>
        </w:rPr>
        <w:t>S</w:t>
      </w:r>
      <w:r w:rsidR="0089580D">
        <w:rPr>
          <w:rFonts w:ascii="Courier New" w:hAnsi="Courier New" w:cs="Courier New"/>
          <w:b/>
        </w:rPr>
        <w:t>HE</w:t>
      </w:r>
      <w:r w:rsidR="00D812D8">
        <w:rPr>
          <w:rFonts w:ascii="Courier New" w:hAnsi="Courier New" w:cs="Courier New"/>
          <w:b/>
        </w:rPr>
        <w:t>RBORN</w:t>
      </w:r>
    </w:p>
    <w:p w14:paraId="6DD0A5CB" w14:textId="77777777" w:rsidR="007D2878" w:rsidRDefault="007D2878" w:rsidP="007D2878">
      <w:pPr>
        <w:pStyle w:val="BodyText"/>
        <w:spacing w:line="240" w:lineRule="auto"/>
        <w:ind w:left="3600" w:hanging="36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87552C1" w14:textId="30F8C256" w:rsidR="007D2878" w:rsidRDefault="007D2878" w:rsidP="007D2878">
      <w:pPr>
        <w:pStyle w:val="BodyText"/>
        <w:spacing w:line="240" w:lineRule="auto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Docket No. F</w:t>
      </w:r>
      <w:r w:rsidR="0089580D">
        <w:rPr>
          <w:rFonts w:ascii="Courier New" w:hAnsi="Courier New" w:cs="Courier New"/>
          <w:bCs/>
        </w:rPr>
        <w:t>32</w:t>
      </w:r>
      <w:r w:rsidR="003C6655">
        <w:rPr>
          <w:rFonts w:ascii="Courier New" w:hAnsi="Courier New" w:cs="Courier New"/>
          <w:bCs/>
        </w:rPr>
        <w:t>8885</w:t>
      </w:r>
      <w:r w:rsidRPr="00047707">
        <w:rPr>
          <w:rFonts w:ascii="Courier New" w:hAnsi="Courier New" w:cs="Courier New"/>
          <w:bCs/>
        </w:rPr>
        <w:t xml:space="preserve"> </w:t>
      </w:r>
      <w:r w:rsidRPr="00047707">
        <w:rPr>
          <w:rFonts w:ascii="Courier New" w:hAnsi="Courier New" w:cs="Courier New"/>
          <w:bCs/>
        </w:rPr>
        <w:tab/>
        <w:t xml:space="preserve">    </w:t>
      </w:r>
      <w:r w:rsidRPr="00047707">
        <w:rPr>
          <w:rFonts w:ascii="Courier New" w:hAnsi="Courier New" w:cs="Courier New"/>
          <w:bCs/>
        </w:rPr>
        <w:tab/>
        <w:t xml:space="preserve">      </w:t>
      </w:r>
      <w:r w:rsidRPr="00047707"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>  </w:t>
      </w:r>
      <w:r w:rsidRPr="00047707">
        <w:rPr>
          <w:rFonts w:ascii="Courier New" w:hAnsi="Courier New" w:cs="Courier New"/>
          <w:bCs/>
        </w:rPr>
        <w:t>Promulgated:</w:t>
      </w:r>
    </w:p>
    <w:p w14:paraId="12818D7C" w14:textId="67C96B59" w:rsidR="007D2878" w:rsidRPr="00047707" w:rsidRDefault="007D2878" w:rsidP="007D2878">
      <w:pPr>
        <w:pStyle w:val="BodyText"/>
        <w:spacing w:line="240" w:lineRule="auto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  <w:t>  </w:t>
      </w:r>
      <w:r w:rsidR="00EA1672">
        <w:rPr>
          <w:rFonts w:ascii="Courier New" w:hAnsi="Courier New" w:cs="Courier New"/>
          <w:bCs/>
        </w:rPr>
        <w:t>November</w:t>
      </w:r>
      <w:r w:rsidR="002C5961">
        <w:rPr>
          <w:rFonts w:ascii="Courier New" w:hAnsi="Courier New" w:cs="Courier New"/>
          <w:bCs/>
        </w:rPr>
        <w:t xml:space="preserve"> 15,</w:t>
      </w:r>
      <w:r w:rsidR="00EA1672">
        <w:rPr>
          <w:rFonts w:ascii="Courier New" w:hAnsi="Courier New" w:cs="Courier New"/>
          <w:bCs/>
        </w:rPr>
        <w:t xml:space="preserve"> 2018</w:t>
      </w:r>
    </w:p>
    <w:p w14:paraId="051A459B" w14:textId="77777777" w:rsidR="00200B26" w:rsidRDefault="00200B26" w:rsidP="007D2878">
      <w:pPr>
        <w:pStyle w:val="BodyText"/>
        <w:spacing w:line="240" w:lineRule="auto"/>
        <w:rPr>
          <w:rFonts w:ascii="Courier New" w:hAnsi="Courier New" w:cs="Courier New"/>
          <w:b/>
          <w:bCs/>
        </w:rPr>
      </w:pPr>
    </w:p>
    <w:p w14:paraId="0F1D9289" w14:textId="77777777" w:rsidR="007D2878" w:rsidRDefault="007D2878" w:rsidP="007D2878">
      <w:pPr>
        <w:pStyle w:val="BodyText"/>
        <w:spacing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  <w:t xml:space="preserve"> </w:t>
      </w:r>
    </w:p>
    <w:p w14:paraId="7C8B45FE" w14:textId="46831C8E" w:rsidR="007D2878" w:rsidRPr="00047707" w:rsidRDefault="007D2878" w:rsidP="00B35B4C">
      <w:pPr>
        <w:pStyle w:val="BodyText"/>
        <w:rPr>
          <w:rFonts w:ascii="Courier New" w:hAnsi="Courier New" w:cs="Courier New"/>
          <w:bCs/>
        </w:rPr>
      </w:pPr>
      <w:r w:rsidRPr="00047707">
        <w:rPr>
          <w:rFonts w:ascii="Courier New" w:hAnsi="Courier New" w:cs="Courier New"/>
          <w:bCs/>
        </w:rPr>
        <w:tab/>
        <w:t>This is an appeal filed under the formal procedure p</w:t>
      </w:r>
      <w:r>
        <w:rPr>
          <w:rFonts w:ascii="Courier New" w:hAnsi="Courier New" w:cs="Courier New"/>
          <w:bCs/>
        </w:rPr>
        <w:t xml:space="preserve">ursuant to G.L. c. 58A, § 7, </w:t>
      </w:r>
      <w:r w:rsidRPr="00047707">
        <w:rPr>
          <w:rFonts w:ascii="Courier New" w:hAnsi="Courier New" w:cs="Courier New"/>
          <w:bCs/>
        </w:rPr>
        <w:t>G.L. c. 59, §§ 64 and 65,</w:t>
      </w:r>
      <w:r>
        <w:rPr>
          <w:rFonts w:ascii="Courier New" w:hAnsi="Courier New" w:cs="Courier New"/>
          <w:bCs/>
        </w:rPr>
        <w:t xml:space="preserve"> and 831 CMR 1.03 and 1.04,</w:t>
      </w:r>
      <w:r w:rsidRPr="00047707">
        <w:rPr>
          <w:rFonts w:ascii="Courier New" w:hAnsi="Courier New" w:cs="Courier New"/>
          <w:bCs/>
        </w:rPr>
        <w:t xml:space="preserve"> from the refusal of the Boa</w:t>
      </w:r>
      <w:r w:rsidR="0089580D">
        <w:rPr>
          <w:rFonts w:ascii="Courier New" w:hAnsi="Courier New" w:cs="Courier New"/>
          <w:bCs/>
        </w:rPr>
        <w:t xml:space="preserve">rd of Assessors of the Town of </w:t>
      </w:r>
      <w:r w:rsidR="00D812D8">
        <w:rPr>
          <w:rFonts w:ascii="Courier New" w:hAnsi="Courier New" w:cs="Courier New"/>
          <w:bCs/>
        </w:rPr>
        <w:t>Sherborn</w:t>
      </w:r>
      <w:r w:rsidRPr="00047707">
        <w:rPr>
          <w:rFonts w:ascii="Courier New" w:hAnsi="Courier New" w:cs="Courier New"/>
          <w:bCs/>
        </w:rPr>
        <w:t xml:space="preserve"> (“assessors” or</w:t>
      </w:r>
      <w:r>
        <w:rPr>
          <w:rFonts w:ascii="Courier New" w:hAnsi="Courier New" w:cs="Courier New"/>
          <w:bCs/>
        </w:rPr>
        <w:t> </w:t>
      </w:r>
      <w:r w:rsidRPr="00047707">
        <w:rPr>
          <w:rFonts w:ascii="Courier New" w:hAnsi="Courier New" w:cs="Courier New"/>
          <w:bCs/>
        </w:rPr>
        <w:t xml:space="preserve">“appellee”) to abate a tax on certain real estate </w:t>
      </w:r>
      <w:r>
        <w:rPr>
          <w:rFonts w:ascii="Courier New" w:hAnsi="Courier New" w:cs="Courier New"/>
          <w:bCs/>
        </w:rPr>
        <w:t xml:space="preserve">in the Town of </w:t>
      </w:r>
      <w:r w:rsidR="000665EF">
        <w:rPr>
          <w:rFonts w:ascii="Courier New" w:hAnsi="Courier New" w:cs="Courier New"/>
          <w:bCs/>
        </w:rPr>
        <w:t>Sherborn</w:t>
      </w:r>
      <w:r w:rsidR="002B2200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</w:t>
      </w:r>
      <w:r w:rsidRPr="00047707">
        <w:rPr>
          <w:rFonts w:ascii="Courier New" w:hAnsi="Courier New" w:cs="Courier New"/>
          <w:bCs/>
        </w:rPr>
        <w:t xml:space="preserve">owned by and assessed to </w:t>
      </w:r>
      <w:r w:rsidR="00200B26">
        <w:rPr>
          <w:rFonts w:ascii="Courier New" w:hAnsi="Courier New" w:cs="Courier New"/>
          <w:bCs/>
        </w:rPr>
        <w:t xml:space="preserve">Dr. </w:t>
      </w:r>
      <w:r w:rsidR="00D812D8" w:rsidRPr="00D812D8">
        <w:rPr>
          <w:rFonts w:ascii="Courier New" w:hAnsi="Courier New" w:cs="Courier New"/>
          <w:bCs/>
        </w:rPr>
        <w:t xml:space="preserve">Philip R. Sullivan </w:t>
      </w:r>
      <w:r w:rsidR="0092473C">
        <w:rPr>
          <w:rFonts w:ascii="Courier New" w:hAnsi="Courier New" w:cs="Courier New"/>
          <w:bCs/>
        </w:rPr>
        <w:t>(</w:t>
      </w:r>
      <w:r w:rsidRPr="00047707">
        <w:rPr>
          <w:rFonts w:ascii="Courier New" w:hAnsi="Courier New" w:cs="Courier New"/>
          <w:bCs/>
        </w:rPr>
        <w:t>“appellant”) under G.L.</w:t>
      </w:r>
      <w:r>
        <w:rPr>
          <w:rFonts w:ascii="Courier New" w:hAnsi="Courier New" w:cs="Courier New"/>
          <w:bCs/>
        </w:rPr>
        <w:t> </w:t>
      </w:r>
      <w:r w:rsidRPr="00047707">
        <w:rPr>
          <w:rFonts w:ascii="Courier New" w:hAnsi="Courier New" w:cs="Courier New"/>
          <w:bCs/>
        </w:rPr>
        <w:t xml:space="preserve">c. 59, </w:t>
      </w:r>
      <w:r w:rsidR="009C10B9">
        <w:rPr>
          <w:rFonts w:ascii="Courier New" w:hAnsi="Courier New" w:cs="Courier New"/>
          <w:bCs/>
        </w:rPr>
        <w:t>§</w:t>
      </w:r>
      <w:r w:rsidRPr="00047707">
        <w:rPr>
          <w:rFonts w:ascii="Courier New" w:hAnsi="Courier New" w:cs="Courier New"/>
          <w:bCs/>
        </w:rPr>
        <w:t>§ 11 and 38, for fiscal year 201</w:t>
      </w:r>
      <w:r w:rsidR="0092473C">
        <w:rPr>
          <w:rFonts w:ascii="Courier New" w:hAnsi="Courier New" w:cs="Courier New"/>
          <w:bCs/>
        </w:rPr>
        <w:t>6</w:t>
      </w:r>
      <w:r w:rsidR="000665EF">
        <w:rPr>
          <w:rFonts w:ascii="Courier New" w:hAnsi="Courier New" w:cs="Courier New"/>
          <w:bCs/>
        </w:rPr>
        <w:t xml:space="preserve"> (“fiscal year at issue”).</w:t>
      </w:r>
    </w:p>
    <w:p w14:paraId="06091245" w14:textId="6258F4F5" w:rsidR="007D2878" w:rsidRPr="003B4F9F" w:rsidRDefault="007D2878" w:rsidP="00B35B4C">
      <w:pPr>
        <w:spacing w:line="480" w:lineRule="auto"/>
        <w:ind w:right="-180"/>
        <w:jc w:val="both"/>
      </w:pPr>
      <w:r>
        <w:rPr>
          <w:b/>
          <w:bCs w:val="0"/>
        </w:rPr>
        <w:tab/>
      </w:r>
      <w:r w:rsidR="003C6655" w:rsidRPr="003C6655">
        <w:rPr>
          <w:bCs w:val="0"/>
        </w:rPr>
        <w:t>Chairman Hammond</w:t>
      </w:r>
      <w:r>
        <w:rPr>
          <w:bCs w:val="0"/>
        </w:rPr>
        <w:t> (“Presiding Commissioner”)</w:t>
      </w:r>
      <w:r w:rsidR="00B35B4C">
        <w:rPr>
          <w:bCs w:val="0"/>
        </w:rPr>
        <w:t xml:space="preserve"> </w:t>
      </w:r>
      <w:r>
        <w:t xml:space="preserve">heard this appeal under G.L. c. 58A, § 1A </w:t>
      </w:r>
      <w:r w:rsidRPr="003B4F9F">
        <w:t>and</w:t>
      </w:r>
      <w:r>
        <w:t xml:space="preserve"> 831 CMR 1.20</w:t>
      </w:r>
      <w:r w:rsidR="00B15374">
        <w:t>, and</w:t>
      </w:r>
      <w:r>
        <w:t xml:space="preserve"> issued a single-member decision for the appell</w:t>
      </w:r>
      <w:r w:rsidR="003C6655">
        <w:t>ee</w:t>
      </w:r>
      <w:r>
        <w:t xml:space="preserve">. </w:t>
      </w:r>
    </w:p>
    <w:p w14:paraId="250E913F" w14:textId="77777777" w:rsidR="007D2878" w:rsidRDefault="007D2878" w:rsidP="00B35B4C">
      <w:pPr>
        <w:spacing w:line="480" w:lineRule="auto"/>
        <w:ind w:firstLine="720"/>
        <w:jc w:val="both"/>
      </w:pPr>
      <w:r w:rsidRPr="003B4F9F">
        <w:t>These findings of fact and report are made pursuant to a request by the appell</w:t>
      </w:r>
      <w:r w:rsidR="0092473C">
        <w:t>ant</w:t>
      </w:r>
      <w:r w:rsidRPr="003B4F9F">
        <w:t xml:space="preserve"> under G.L. c. 58A, § 13 and 831 CMR 1.32.</w:t>
      </w:r>
    </w:p>
    <w:p w14:paraId="130E7B99" w14:textId="77777777" w:rsidR="00EA1672" w:rsidRDefault="00EA1672" w:rsidP="00B35B4C">
      <w:pPr>
        <w:spacing w:line="480" w:lineRule="auto"/>
        <w:ind w:firstLine="720"/>
        <w:jc w:val="both"/>
      </w:pPr>
    </w:p>
    <w:p w14:paraId="2DA85574" w14:textId="52EDE827" w:rsidR="00EA1672" w:rsidRDefault="00EA1672" w:rsidP="00B35B4C">
      <w:pPr>
        <w:spacing w:line="480" w:lineRule="auto"/>
        <w:ind w:firstLine="720"/>
        <w:jc w:val="both"/>
      </w:pPr>
      <w:r w:rsidRPr="00EA1672">
        <w:rPr>
          <w:i/>
        </w:rPr>
        <w:t>Dr. Phillip R. Sullivan</w:t>
      </w:r>
      <w:r>
        <w:t>, pro se, for the appellant.</w:t>
      </w:r>
    </w:p>
    <w:p w14:paraId="56D6127E" w14:textId="0BF014D6" w:rsidR="00EA1672" w:rsidRDefault="00EA1672" w:rsidP="00B35B4C">
      <w:pPr>
        <w:spacing w:line="480" w:lineRule="auto"/>
        <w:ind w:firstLine="720"/>
        <w:jc w:val="both"/>
      </w:pPr>
      <w:r w:rsidRPr="00EA1672">
        <w:rPr>
          <w:i/>
        </w:rPr>
        <w:t xml:space="preserve">Wendy </w:t>
      </w:r>
      <w:proofErr w:type="spellStart"/>
      <w:r w:rsidRPr="00EA1672">
        <w:rPr>
          <w:i/>
        </w:rPr>
        <w:t>Elassy</w:t>
      </w:r>
      <w:proofErr w:type="spellEnd"/>
      <w:r w:rsidRPr="00EA1672">
        <w:rPr>
          <w:i/>
        </w:rPr>
        <w:t>,</w:t>
      </w:r>
      <w:r>
        <w:t xml:space="preserve"> Director of Assessing for the appellee.</w:t>
      </w:r>
    </w:p>
    <w:p w14:paraId="3AE6EFDC" w14:textId="77777777" w:rsidR="007D2878" w:rsidRDefault="007D2878" w:rsidP="00B35B4C">
      <w:pPr>
        <w:ind w:firstLine="720"/>
        <w:jc w:val="both"/>
      </w:pPr>
    </w:p>
    <w:p w14:paraId="6B96732C" w14:textId="77777777" w:rsidR="007D2878" w:rsidRDefault="007D2878" w:rsidP="006852C4">
      <w:pPr>
        <w:spacing w:line="480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FINDINGS OF FACT AND REPORT</w:t>
      </w:r>
    </w:p>
    <w:p w14:paraId="2C1B1B46" w14:textId="730D4E8C" w:rsidR="000665EF" w:rsidRPr="000665EF" w:rsidRDefault="000665EF" w:rsidP="000665EF">
      <w:pPr>
        <w:spacing w:line="480" w:lineRule="auto"/>
        <w:jc w:val="both"/>
      </w:pPr>
      <w:r>
        <w:rPr>
          <w:b/>
        </w:rPr>
        <w:tab/>
      </w:r>
      <w:r w:rsidRPr="000665EF">
        <w:t>Based on the parties’ submissions, the Presiding Commissioner made the following findings of fact.</w:t>
      </w:r>
    </w:p>
    <w:p w14:paraId="05CD48F0" w14:textId="624D32ED" w:rsidR="00330121" w:rsidRDefault="007D2878" w:rsidP="00B35B4C">
      <w:pPr>
        <w:spacing w:line="480" w:lineRule="auto"/>
        <w:ind w:firstLine="720"/>
        <w:jc w:val="both"/>
        <w:rPr>
          <w:color w:val="333333"/>
        </w:rPr>
      </w:pPr>
      <w:r>
        <w:t>On January 1, 201</w:t>
      </w:r>
      <w:r w:rsidR="0092473C">
        <w:t>5</w:t>
      </w:r>
      <w:r w:rsidRPr="009007C9">
        <w:t xml:space="preserve">, </w:t>
      </w:r>
      <w:r w:rsidR="00BC57B7">
        <w:t xml:space="preserve">the relevant valuation and assessment date for </w:t>
      </w:r>
      <w:r w:rsidR="000665EF">
        <w:t>the f</w:t>
      </w:r>
      <w:r w:rsidR="00BC57B7">
        <w:t xml:space="preserve">iscal year </w:t>
      </w:r>
      <w:r w:rsidR="000665EF">
        <w:t>at issue</w:t>
      </w:r>
      <w:r w:rsidR="00BC57B7">
        <w:t xml:space="preserve">, </w:t>
      </w:r>
      <w:r w:rsidRPr="009007C9">
        <w:t>the appellant was the assessed owner of a</w:t>
      </w:r>
      <w:r>
        <w:t xml:space="preserve">n approximately </w:t>
      </w:r>
      <w:r w:rsidR="000665EF">
        <w:t>5.01</w:t>
      </w:r>
      <w:r>
        <w:t xml:space="preserve">-acre </w:t>
      </w:r>
      <w:r w:rsidRPr="009007C9">
        <w:t xml:space="preserve">parcel of land improved with </w:t>
      </w:r>
      <w:r w:rsidR="008B0350">
        <w:t xml:space="preserve">a </w:t>
      </w:r>
      <w:r w:rsidR="00561FE5">
        <w:t>1508-square-foot, Ranch-s</w:t>
      </w:r>
      <w:r w:rsidR="000665EF">
        <w:t>tyle dwelling located at 324 Western Avenue</w:t>
      </w:r>
      <w:r w:rsidR="008B0350">
        <w:t xml:space="preserve"> in </w:t>
      </w:r>
      <w:r w:rsidR="000665EF">
        <w:t>Sherborn</w:t>
      </w:r>
      <w:r w:rsidRPr="008E109D">
        <w:t xml:space="preserve"> (“subject property”). </w:t>
      </w:r>
      <w:r w:rsidR="00330121">
        <w:rPr>
          <w:color w:val="333333"/>
        </w:rPr>
        <w:t xml:space="preserve"> </w:t>
      </w:r>
    </w:p>
    <w:p w14:paraId="2F73CCAC" w14:textId="24F14A08" w:rsidR="007D2878" w:rsidRDefault="000665EF" w:rsidP="005C6FF5">
      <w:pPr>
        <w:spacing w:line="480" w:lineRule="auto"/>
        <w:jc w:val="both"/>
        <w:rPr>
          <w:color w:val="333333"/>
        </w:rPr>
      </w:pPr>
      <w:r>
        <w:t xml:space="preserve">     For the fiscal year at issue, the assessors initially valued the subject property at $502,528</w:t>
      </w:r>
      <w:r w:rsidR="005C6FF5" w:rsidRPr="005C6FF5">
        <w:t xml:space="preserve"> </w:t>
      </w:r>
      <w:r w:rsidR="005C6FF5">
        <w:t>and the</w:t>
      </w:r>
      <w:r w:rsidR="005C6FF5" w:rsidRPr="008E109D">
        <w:rPr>
          <w:color w:val="333333"/>
        </w:rPr>
        <w:t xml:space="preserve"> appellant timely paid the tax due without incurring interest</w:t>
      </w:r>
      <w:r>
        <w:t xml:space="preserve">. </w:t>
      </w:r>
      <w:r w:rsidR="005C6FF5">
        <w:t>T</w:t>
      </w:r>
      <w:r>
        <w:t>he appellant</w:t>
      </w:r>
      <w:r w:rsidR="005C6FF5">
        <w:t xml:space="preserve"> filed an application for abatement, and the assessors reduced the subject property’s assessed value by approximately </w:t>
      </w:r>
      <w:r w:rsidR="00561FE5">
        <w:t>5</w:t>
      </w:r>
      <w:r w:rsidR="005C6FF5">
        <w:t xml:space="preserve"> percent. Not satisfied with this result, the appellant timely</w:t>
      </w:r>
      <w:r>
        <w:t xml:space="preserve"> filed an appeal </w:t>
      </w:r>
      <w:r w:rsidR="005C6FF5">
        <w:t>with the Appellate Tax Board (“</w:t>
      </w:r>
      <w:r>
        <w:t>Board</w:t>
      </w:r>
      <w:r w:rsidR="005C6FF5">
        <w:t>”)</w:t>
      </w:r>
      <w:r>
        <w:t>.</w:t>
      </w:r>
      <w:r w:rsidR="005C6FF5">
        <w:t xml:space="preserve"> </w:t>
      </w:r>
      <w:r w:rsidR="005C6FF5">
        <w:rPr>
          <w:color w:val="333333"/>
        </w:rPr>
        <w:t>Based on</w:t>
      </w:r>
      <w:r w:rsidR="007D2878" w:rsidRPr="00AF3C21">
        <w:rPr>
          <w:color w:val="333333"/>
        </w:rPr>
        <w:t xml:space="preserve"> these facts, the </w:t>
      </w:r>
      <w:r w:rsidR="007D2878">
        <w:rPr>
          <w:color w:val="333333"/>
        </w:rPr>
        <w:t xml:space="preserve">Presiding Commissioner </w:t>
      </w:r>
      <w:r w:rsidR="007D2878" w:rsidRPr="00AF3C21">
        <w:rPr>
          <w:color w:val="333333"/>
        </w:rPr>
        <w:t xml:space="preserve">found and ruled that </w:t>
      </w:r>
      <w:r w:rsidR="007D2878">
        <w:rPr>
          <w:color w:val="333333"/>
        </w:rPr>
        <w:t>the Board</w:t>
      </w:r>
      <w:r w:rsidR="007D2878" w:rsidRPr="00AF3C21">
        <w:rPr>
          <w:color w:val="333333"/>
        </w:rPr>
        <w:t xml:space="preserve"> had</w:t>
      </w:r>
      <w:r w:rsidR="007D2878">
        <w:rPr>
          <w:color w:val="333333"/>
        </w:rPr>
        <w:t xml:space="preserve"> jurisdiction </w:t>
      </w:r>
      <w:r w:rsidR="003960A7">
        <w:rPr>
          <w:color w:val="333333"/>
        </w:rPr>
        <w:t xml:space="preserve">to hear and decide </w:t>
      </w:r>
      <w:r w:rsidR="007D2878" w:rsidRPr="00AF3C21">
        <w:rPr>
          <w:color w:val="333333"/>
        </w:rPr>
        <w:t>th</w:t>
      </w:r>
      <w:r w:rsidR="007D2878">
        <w:rPr>
          <w:color w:val="333333"/>
        </w:rPr>
        <w:t>is</w:t>
      </w:r>
      <w:r w:rsidR="007D2878" w:rsidRPr="00AF3C21">
        <w:rPr>
          <w:color w:val="333333"/>
        </w:rPr>
        <w:t xml:space="preserve"> appeal.</w:t>
      </w:r>
    </w:p>
    <w:p w14:paraId="5793E983" w14:textId="09BC9ED8" w:rsidR="00D538D8" w:rsidRDefault="007D2878" w:rsidP="005C6FF5">
      <w:pPr>
        <w:spacing w:line="480" w:lineRule="auto"/>
        <w:jc w:val="both"/>
      </w:pPr>
      <w:r>
        <w:tab/>
      </w:r>
      <w:r w:rsidR="004A2642">
        <w:t xml:space="preserve">In support of his assertion that the subject property was overvalued for </w:t>
      </w:r>
      <w:r w:rsidR="005C6FF5">
        <w:t xml:space="preserve">the fiscal year at issue, </w:t>
      </w:r>
      <w:r w:rsidR="004A2642">
        <w:t xml:space="preserve">the appellant </w:t>
      </w:r>
      <w:r w:rsidR="005C6FF5">
        <w:t xml:space="preserve">argued that a proposed development </w:t>
      </w:r>
      <w:r w:rsidR="00A954FE">
        <w:t xml:space="preserve">adjoining the subject property </w:t>
      </w:r>
      <w:r w:rsidR="00043E31">
        <w:t xml:space="preserve">would </w:t>
      </w:r>
      <w:r w:rsidR="00A954FE">
        <w:t xml:space="preserve">adversely affect the subject property’s </w:t>
      </w:r>
      <w:r w:rsidR="00A954FE">
        <w:lastRenderedPageBreak/>
        <w:t>value.</w:t>
      </w:r>
      <w:r w:rsidR="00D538D8">
        <w:rPr>
          <w:rStyle w:val="FootnoteReference"/>
        </w:rPr>
        <w:footnoteReference w:id="1"/>
      </w:r>
      <w:r w:rsidR="00A954FE">
        <w:t xml:space="preserve"> In particular, the appellant argued that the development would be inconsistent with the bucolic atmosphere </w:t>
      </w:r>
      <w:r w:rsidR="00CE412B">
        <w:t>in</w:t>
      </w:r>
      <w:r w:rsidR="00A954FE">
        <w:t xml:space="preserve"> Sherborn and that its extended septic systems and large water supply would threaten the subject property’s well and septic system. </w:t>
      </w:r>
      <w:r w:rsidR="005C6FF5">
        <w:t xml:space="preserve">The appellant did not produce any evidence </w:t>
      </w:r>
      <w:r w:rsidR="00CE412B">
        <w:t xml:space="preserve">in support </w:t>
      </w:r>
      <w:r w:rsidR="00D538D8">
        <w:t xml:space="preserve">of his arguments beyond his own </w:t>
      </w:r>
      <w:r w:rsidR="00CE412B">
        <w:t xml:space="preserve">unsubstantiated </w:t>
      </w:r>
      <w:r w:rsidR="00D538D8">
        <w:t xml:space="preserve">speculation. </w:t>
      </w:r>
    </w:p>
    <w:p w14:paraId="23215F19" w14:textId="24578EF9" w:rsidR="0080715D" w:rsidRDefault="005814F9" w:rsidP="00B35B4C">
      <w:pPr>
        <w:spacing w:line="480" w:lineRule="auto"/>
        <w:ind w:firstLine="720"/>
        <w:jc w:val="both"/>
        <w:rPr>
          <w:color w:val="333333"/>
        </w:rPr>
      </w:pPr>
      <w:r>
        <w:rPr>
          <w:color w:val="333333"/>
        </w:rPr>
        <w:t xml:space="preserve">For their part, </w:t>
      </w:r>
      <w:r w:rsidR="007D2878">
        <w:rPr>
          <w:color w:val="333333"/>
        </w:rPr>
        <w:t>the assessors submitted the requisite jurisdictional documents</w:t>
      </w:r>
      <w:r w:rsidR="00D538D8">
        <w:rPr>
          <w:color w:val="333333"/>
        </w:rPr>
        <w:t>,</w:t>
      </w:r>
      <w:r w:rsidR="003772E9">
        <w:rPr>
          <w:color w:val="333333"/>
        </w:rPr>
        <w:t xml:space="preserve"> </w:t>
      </w:r>
      <w:r w:rsidR="007D2878">
        <w:rPr>
          <w:color w:val="333333"/>
        </w:rPr>
        <w:t xml:space="preserve">the property record card for the subject property, </w:t>
      </w:r>
      <w:r w:rsidR="00D538D8">
        <w:rPr>
          <w:color w:val="333333"/>
        </w:rPr>
        <w:t>and</w:t>
      </w:r>
      <w:r w:rsidR="005C6FF5">
        <w:rPr>
          <w:color w:val="333333"/>
        </w:rPr>
        <w:t xml:space="preserve"> </w:t>
      </w:r>
      <w:r>
        <w:rPr>
          <w:color w:val="333333"/>
        </w:rPr>
        <w:t xml:space="preserve">property record cards for </w:t>
      </w:r>
      <w:r w:rsidR="003772E9">
        <w:rPr>
          <w:color w:val="333333"/>
        </w:rPr>
        <w:t>three purportedly comparable</w:t>
      </w:r>
      <w:r>
        <w:rPr>
          <w:color w:val="333333"/>
        </w:rPr>
        <w:t xml:space="preserve"> properties.</w:t>
      </w:r>
      <w:r w:rsidR="0013606F">
        <w:rPr>
          <w:color w:val="333333"/>
        </w:rPr>
        <w:t xml:space="preserve"> The </w:t>
      </w:r>
      <w:r w:rsidR="00D538D8">
        <w:rPr>
          <w:color w:val="333333"/>
        </w:rPr>
        <w:t>purportedly comparable properties</w:t>
      </w:r>
      <w:r w:rsidR="002B2200">
        <w:rPr>
          <w:color w:val="333333"/>
        </w:rPr>
        <w:t>’ parcels</w:t>
      </w:r>
      <w:r w:rsidR="00D538D8">
        <w:rPr>
          <w:color w:val="333333"/>
        </w:rPr>
        <w:t xml:space="preserve"> </w:t>
      </w:r>
      <w:r w:rsidR="003772E9">
        <w:rPr>
          <w:color w:val="333333"/>
        </w:rPr>
        <w:t>varied dramatically in size and the assessors failed to account for differences with the subject property.</w:t>
      </w:r>
      <w:r w:rsidR="00CE412B">
        <w:rPr>
          <w:color w:val="333333"/>
        </w:rPr>
        <w:t xml:space="preserve"> Consequently, the Presiding Commissioner afforded no weight to the assessors’ comparable</w:t>
      </w:r>
      <w:r w:rsidR="00FB6E24">
        <w:rPr>
          <w:color w:val="333333"/>
        </w:rPr>
        <w:t>-</w:t>
      </w:r>
      <w:r w:rsidR="00CE412B">
        <w:rPr>
          <w:color w:val="333333"/>
        </w:rPr>
        <w:t xml:space="preserve">sales </w:t>
      </w:r>
      <w:r w:rsidR="002B2200">
        <w:rPr>
          <w:color w:val="333333"/>
        </w:rPr>
        <w:t>data</w:t>
      </w:r>
      <w:r w:rsidR="00CE412B">
        <w:rPr>
          <w:color w:val="333333"/>
        </w:rPr>
        <w:t>.</w:t>
      </w:r>
    </w:p>
    <w:p w14:paraId="524A18B3" w14:textId="28421A2F" w:rsidR="007D2878" w:rsidRDefault="005C6FF5" w:rsidP="00B35B4C">
      <w:pPr>
        <w:widowControl/>
        <w:autoSpaceDE/>
        <w:autoSpaceDN/>
        <w:adjustRightInd/>
        <w:spacing w:line="480" w:lineRule="auto"/>
        <w:ind w:firstLine="720"/>
        <w:jc w:val="both"/>
        <w:rPr>
          <w:color w:val="333333"/>
        </w:rPr>
      </w:pPr>
      <w:r>
        <w:rPr>
          <w:color w:val="333333"/>
        </w:rPr>
        <w:t>Ultimately</w:t>
      </w:r>
      <w:r w:rsidR="003772E9">
        <w:rPr>
          <w:color w:val="333333"/>
        </w:rPr>
        <w:t xml:space="preserve">, </w:t>
      </w:r>
      <w:r w:rsidR="007D2878" w:rsidRPr="001E37E3">
        <w:rPr>
          <w:color w:val="333333"/>
        </w:rPr>
        <w:t xml:space="preserve">the Presiding Commissioner found that the </w:t>
      </w:r>
      <w:r w:rsidR="003772E9">
        <w:rPr>
          <w:color w:val="333333"/>
        </w:rPr>
        <w:t xml:space="preserve">appellant failed to sustain his burden of demonstrating that the subject property’s fair cash value exceeded its assessed value for the fiscal year at issue. </w:t>
      </w:r>
      <w:r w:rsidR="007D2878">
        <w:rPr>
          <w:color w:val="333333"/>
        </w:rPr>
        <w:t xml:space="preserve">Accordingly, </w:t>
      </w:r>
      <w:r w:rsidR="007D2878" w:rsidRPr="001E37E3">
        <w:rPr>
          <w:color w:val="333333"/>
        </w:rPr>
        <w:t>the Presiding Commissioner decided this appeal for the appell</w:t>
      </w:r>
      <w:r w:rsidR="000665EF">
        <w:rPr>
          <w:color w:val="333333"/>
        </w:rPr>
        <w:t>ee</w:t>
      </w:r>
      <w:r w:rsidR="007D2878" w:rsidRPr="001E37E3">
        <w:rPr>
          <w:color w:val="333333"/>
        </w:rPr>
        <w:t>.</w:t>
      </w:r>
    </w:p>
    <w:p w14:paraId="29AE79E0" w14:textId="77777777" w:rsidR="00D538D8" w:rsidRDefault="007D2878" w:rsidP="007D2878">
      <w:pPr>
        <w:widowControl/>
        <w:autoSpaceDE/>
        <w:autoSpaceDN/>
        <w:adjustRightInd/>
        <w:spacing w:line="480" w:lineRule="auto"/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40EFEBF" w14:textId="3994FEEF" w:rsidR="00D538D8" w:rsidRDefault="00D538D8" w:rsidP="00D538D8">
      <w:pPr>
        <w:widowControl/>
        <w:autoSpaceDE/>
        <w:autoSpaceDN/>
        <w:adjustRightInd/>
        <w:spacing w:line="480" w:lineRule="auto"/>
        <w:ind w:right="864" w:firstLine="720"/>
        <w:jc w:val="center"/>
        <w:rPr>
          <w:b/>
        </w:rPr>
      </w:pPr>
      <w:r>
        <w:rPr>
          <w:b/>
        </w:rPr>
        <w:lastRenderedPageBreak/>
        <w:t>OPINION</w:t>
      </w:r>
    </w:p>
    <w:p w14:paraId="095743EE" w14:textId="62F06D26" w:rsidR="00D538D8" w:rsidRDefault="00F46634" w:rsidP="00D538D8">
      <w:pPr>
        <w:spacing w:line="480" w:lineRule="auto"/>
        <w:ind w:firstLine="720"/>
        <w:jc w:val="both"/>
      </w:pPr>
      <w:r>
        <w:t>A</w:t>
      </w:r>
      <w:r w:rsidR="00D538D8" w:rsidRPr="005A4DB9">
        <w:t xml:space="preserve">ssessors are required to assess real estate at its </w:t>
      </w:r>
      <w:r w:rsidR="00561FE5">
        <w:t>“</w:t>
      </w:r>
      <w:r w:rsidR="00D538D8" w:rsidRPr="005A4DB9">
        <w:t>fair cash value.</w:t>
      </w:r>
      <w:r w:rsidR="00561FE5">
        <w:t>”</w:t>
      </w:r>
      <w:r w:rsidR="00D538D8" w:rsidRPr="005A4DB9">
        <w:t xml:space="preserve"> </w:t>
      </w:r>
      <w:proofErr w:type="gramStart"/>
      <w:r w:rsidR="00D538D8" w:rsidRPr="005A4DB9">
        <w:t>G.L. c. 59, § 38.</w:t>
      </w:r>
      <w:proofErr w:type="gramEnd"/>
      <w:r w:rsidR="00D538D8" w:rsidRPr="005A4DB9">
        <w:t xml:space="preserve">  Fair cash value is defined as the price on which a willing seller and a willing buyer will agree if both of them are fully informed and under no compulsion. </w:t>
      </w:r>
      <w:proofErr w:type="gramStart"/>
      <w:r w:rsidR="00D538D8" w:rsidRPr="005A4DB9">
        <w:rPr>
          <w:b/>
          <w:bCs w:val="0"/>
          <w:i/>
          <w:iCs/>
        </w:rPr>
        <w:t xml:space="preserve">Boston Gas Co. v. Assessors of Boston, </w:t>
      </w:r>
      <w:r w:rsidR="00D538D8" w:rsidRPr="005A4DB9">
        <w:t>334 Mass. 549, 566 (1956).</w:t>
      </w:r>
      <w:proofErr w:type="gramEnd"/>
      <w:r w:rsidR="00D538D8" w:rsidRPr="005A4DB9">
        <w:t xml:space="preserve"> </w:t>
      </w:r>
      <w:r w:rsidR="00D538D8">
        <w:t>However, the appellant has</w:t>
      </w:r>
      <w:r w:rsidR="00D538D8" w:rsidRPr="00D24CE2">
        <w:t xml:space="preserve"> the burden of proving that the</w:t>
      </w:r>
      <w:r w:rsidR="00D538D8">
        <w:t xml:space="preserve"> subject</w:t>
      </w:r>
      <w:r w:rsidR="00D538D8" w:rsidRPr="00D24CE2">
        <w:t xml:space="preserve"> property</w:t>
      </w:r>
      <w:r w:rsidR="00D538D8">
        <w:t xml:space="preserve">’s fair cash value was </w:t>
      </w:r>
      <w:r w:rsidR="00D538D8" w:rsidRPr="00D24CE2">
        <w:t xml:space="preserve">lower than </w:t>
      </w:r>
      <w:r w:rsidR="00D538D8">
        <w:t xml:space="preserve">its </w:t>
      </w:r>
      <w:r w:rsidR="00D538D8" w:rsidRPr="00D24CE2">
        <w:t>assessed</w:t>
      </w:r>
      <w:r w:rsidR="00D538D8">
        <w:t xml:space="preserve"> value</w:t>
      </w:r>
      <w:r w:rsidR="00D538D8" w:rsidRPr="00D24CE2">
        <w:t xml:space="preserve">. “‘The burden of proof is upon the petitioner to make out [his] right as [a] matter of law to [an] abatement of the tax.’”  </w:t>
      </w:r>
      <w:proofErr w:type="spellStart"/>
      <w:r w:rsidR="00D538D8" w:rsidRPr="00D24CE2">
        <w:rPr>
          <w:b/>
          <w:i/>
          <w:iCs/>
        </w:rPr>
        <w:t>Schlaiker</w:t>
      </w:r>
      <w:proofErr w:type="spellEnd"/>
      <w:r w:rsidR="00D538D8" w:rsidRPr="00D24CE2">
        <w:rPr>
          <w:b/>
          <w:i/>
          <w:iCs/>
        </w:rPr>
        <w:t xml:space="preserve"> v. Assessors of Great Barrington</w:t>
      </w:r>
      <w:r w:rsidR="00D538D8" w:rsidRPr="00D24CE2">
        <w:t xml:space="preserve">, 365 </w:t>
      </w:r>
      <w:smartTag w:uri="urn:schemas-microsoft-com:office:smarttags" w:element="State">
        <w:r w:rsidR="00D538D8" w:rsidRPr="00D24CE2">
          <w:t>Mass.</w:t>
        </w:r>
      </w:smartTag>
      <w:r w:rsidR="00D538D8" w:rsidRPr="00D24CE2">
        <w:t xml:space="preserve"> 243, 245 (1974)</w:t>
      </w:r>
      <w:r w:rsidR="00561FE5">
        <w:t xml:space="preserve"> </w:t>
      </w:r>
      <w:r w:rsidR="00D538D8" w:rsidRPr="00D24CE2">
        <w:t xml:space="preserve">(quoting </w:t>
      </w:r>
      <w:r w:rsidR="00D538D8" w:rsidRPr="00D24CE2">
        <w:rPr>
          <w:b/>
          <w:i/>
          <w:iCs/>
        </w:rPr>
        <w:t>Judson Freight Forwarding Co. v. Commonwealth</w:t>
      </w:r>
      <w:r w:rsidR="00D538D8" w:rsidRPr="00D24CE2">
        <w:t>, 242 </w:t>
      </w:r>
      <w:smartTag w:uri="urn:schemas-microsoft-com:office:smarttags" w:element="State">
        <w:smartTag w:uri="urn:schemas-microsoft-com:office:smarttags" w:element="place">
          <w:r w:rsidR="00D538D8" w:rsidRPr="00D24CE2">
            <w:t>Mass.</w:t>
          </w:r>
        </w:smartTag>
      </w:smartTag>
      <w:r w:rsidR="00D538D8" w:rsidRPr="00D24CE2">
        <w:t xml:space="preserve"> 47, 55 (1922)). </w:t>
      </w:r>
    </w:p>
    <w:p w14:paraId="069A60A9" w14:textId="3C9839A0" w:rsidR="00D538D8" w:rsidRDefault="00D538D8" w:rsidP="00D538D8">
      <w:pPr>
        <w:spacing w:line="480" w:lineRule="auto"/>
        <w:ind w:firstLine="720"/>
        <w:jc w:val="both"/>
      </w:pPr>
      <w:r w:rsidRPr="00D24CE2">
        <w:t>In appeals before th</w:t>
      </w:r>
      <w:r>
        <w:t>e</w:t>
      </w:r>
      <w:r w:rsidRPr="00D24CE2">
        <w:t xml:space="preserve"> Board, taxpayers </w:t>
      </w:r>
      <w:r>
        <w:t>“‘</w:t>
      </w:r>
      <w:r w:rsidRPr="00D24CE2">
        <w:t>may present persuasive evidence of overvaluation either by exposing flaws or errors in the assessors’ method of valuation, or by introducing affirmative evidence of value which undermines the assessors’ valuation.</w:t>
      </w:r>
      <w:r>
        <w:t>’</w:t>
      </w:r>
      <w:r w:rsidRPr="00D24CE2">
        <w:t xml:space="preserve">” </w:t>
      </w:r>
      <w:r w:rsidRPr="00D24CE2">
        <w:rPr>
          <w:b/>
          <w:i/>
          <w:iCs/>
        </w:rPr>
        <w:t>General Electric Co.</w:t>
      </w:r>
      <w:r>
        <w:rPr>
          <w:b/>
          <w:i/>
          <w:iCs/>
        </w:rPr>
        <w:t xml:space="preserve"> v. Assessors of Lynn</w:t>
      </w:r>
      <w:r w:rsidRPr="00D24CE2">
        <w:rPr>
          <w:b/>
          <w:i/>
          <w:iCs/>
        </w:rPr>
        <w:t>,</w:t>
      </w:r>
      <w:r>
        <w:rPr>
          <w:b/>
          <w:i/>
          <w:iCs/>
        </w:rPr>
        <w:t xml:space="preserve"> </w:t>
      </w:r>
      <w:r w:rsidRPr="00D24CE2">
        <w:t>393 Mass.</w:t>
      </w:r>
      <w:r>
        <w:t xml:space="preserve"> 591, 600 (1984)</w:t>
      </w:r>
      <w:r w:rsidR="00561FE5">
        <w:t xml:space="preserve"> </w:t>
      </w:r>
      <w:r w:rsidRPr="00D24CE2">
        <w:t xml:space="preserve">(quoting </w:t>
      </w:r>
      <w:proofErr w:type="spellStart"/>
      <w:r w:rsidRPr="00D24CE2">
        <w:rPr>
          <w:b/>
          <w:i/>
          <w:iCs/>
        </w:rPr>
        <w:t>Donlon</w:t>
      </w:r>
      <w:proofErr w:type="spellEnd"/>
      <w:r w:rsidRPr="00D24CE2">
        <w:rPr>
          <w:b/>
          <w:i/>
          <w:iCs/>
        </w:rPr>
        <w:t xml:space="preserve"> v. Assessors of Holliston</w:t>
      </w:r>
      <w:r w:rsidRPr="00D24CE2">
        <w:t xml:space="preserve">, 389 </w:t>
      </w:r>
      <w:smartTag w:uri="urn:schemas-microsoft-com:office:smarttags" w:element="State">
        <w:smartTag w:uri="urn:schemas-microsoft-com:office:smarttags" w:element="place">
          <w:r w:rsidRPr="00D24CE2">
            <w:t>Mass.</w:t>
          </w:r>
        </w:smartTag>
      </w:smartTag>
      <w:r w:rsidRPr="00D24CE2">
        <w:t xml:space="preserve"> 848, 855 (1983)). </w:t>
      </w:r>
    </w:p>
    <w:p w14:paraId="78736059" w14:textId="00730F9C" w:rsidR="007D2878" w:rsidRDefault="002C45C7" w:rsidP="00CE412B">
      <w:pPr>
        <w:spacing w:line="480" w:lineRule="auto"/>
        <w:ind w:firstLine="720"/>
        <w:jc w:val="both"/>
        <w:rPr>
          <w:color w:val="333333"/>
        </w:rPr>
      </w:pPr>
      <w:r>
        <w:t xml:space="preserve">In the present appeal, the appellant based his case on a claimed diminution in value resulting from a proposed </w:t>
      </w:r>
      <w:r>
        <w:lastRenderedPageBreak/>
        <w:t xml:space="preserve">development to be built next to the subject property. As a threshold matter, the property </w:t>
      </w:r>
      <w:r w:rsidR="00F46634">
        <w:t xml:space="preserve">to be developed </w:t>
      </w:r>
      <w:r>
        <w:t>was n</w:t>
      </w:r>
      <w:r w:rsidR="00F46634">
        <w:t>ot</w:t>
      </w:r>
      <w:r>
        <w:t xml:space="preserve"> sold </w:t>
      </w:r>
      <w:r w:rsidR="00F46634">
        <w:t>and the development was not</w:t>
      </w:r>
      <w:r>
        <w:t xml:space="preserve"> approved as of the relevant assessment date, </w:t>
      </w:r>
      <w:r w:rsidR="00CE412B">
        <w:t xml:space="preserve">substantially </w:t>
      </w:r>
      <w:r>
        <w:t xml:space="preserve">undermining the appellant’s argument. Further, the appellant simply speculated about the effect of the </w:t>
      </w:r>
      <w:r w:rsidR="00CE412B">
        <w:t xml:space="preserve">planned </w:t>
      </w:r>
      <w:r>
        <w:t>development on the subject property</w:t>
      </w:r>
      <w:r w:rsidR="00F46634">
        <w:t>,</w:t>
      </w:r>
      <w:r>
        <w:t xml:space="preserve"> without substantiating his claims. Consequently, the Presiding Commissioner found that the appellant failed to </w:t>
      </w:r>
      <w:r w:rsidRPr="002C45C7">
        <w:t>expose flaws in the assessors’ valuation or provide affirmative evidence of the subject property’s fair cash value</w:t>
      </w:r>
      <w:r>
        <w:t xml:space="preserve">. </w:t>
      </w:r>
      <w:r w:rsidR="00B91734">
        <w:t xml:space="preserve">In </w:t>
      </w:r>
      <w:r w:rsidR="00CE412B">
        <w:t xml:space="preserve">turn, the Presiding Commissioner found and ruled that </w:t>
      </w:r>
      <w:r w:rsidR="00F46634" w:rsidRPr="00F46634">
        <w:rPr>
          <w:color w:val="333333"/>
        </w:rPr>
        <w:t xml:space="preserve">the appellant failed to sustain </w:t>
      </w:r>
      <w:r w:rsidR="00CE412B">
        <w:rPr>
          <w:color w:val="333333"/>
        </w:rPr>
        <w:t>his</w:t>
      </w:r>
      <w:r w:rsidR="00F46634" w:rsidRPr="00F46634">
        <w:rPr>
          <w:color w:val="333333"/>
        </w:rPr>
        <w:t xml:space="preserve"> burden of proving that the subject property’s fair cash value was lower tha</w:t>
      </w:r>
      <w:r w:rsidR="00965D55">
        <w:rPr>
          <w:color w:val="333333"/>
        </w:rPr>
        <w:t>n</w:t>
      </w:r>
      <w:r w:rsidR="00F46634" w:rsidRPr="00F46634">
        <w:rPr>
          <w:color w:val="333333"/>
        </w:rPr>
        <w:t xml:space="preserve"> its assessed value for </w:t>
      </w:r>
      <w:r w:rsidR="00CE412B">
        <w:rPr>
          <w:color w:val="333333"/>
        </w:rPr>
        <w:t>the fiscal year at issue</w:t>
      </w:r>
      <w:r w:rsidR="00F46634" w:rsidRPr="00F46634">
        <w:rPr>
          <w:color w:val="333333"/>
        </w:rPr>
        <w:t xml:space="preserve">. </w:t>
      </w:r>
      <w:r w:rsidR="007D2878">
        <w:rPr>
          <w:color w:val="333333"/>
        </w:rPr>
        <w:t>T</w:t>
      </w:r>
      <w:r w:rsidR="007D2878" w:rsidRPr="001E37E3">
        <w:rPr>
          <w:color w:val="333333"/>
        </w:rPr>
        <w:t>he Presiding Commissioner</w:t>
      </w:r>
      <w:r w:rsidR="007D2878">
        <w:rPr>
          <w:color w:val="333333"/>
        </w:rPr>
        <w:t>, therefore,</w:t>
      </w:r>
      <w:r w:rsidR="007D2878" w:rsidRPr="001E37E3">
        <w:rPr>
          <w:color w:val="333333"/>
        </w:rPr>
        <w:t xml:space="preserve"> decided this appeal for the appell</w:t>
      </w:r>
      <w:r w:rsidR="00CE412B">
        <w:rPr>
          <w:color w:val="333333"/>
        </w:rPr>
        <w:t>ee</w:t>
      </w:r>
      <w:r w:rsidR="007D2878" w:rsidRPr="001E37E3">
        <w:rPr>
          <w:color w:val="333333"/>
        </w:rPr>
        <w:t>.</w:t>
      </w:r>
    </w:p>
    <w:p w14:paraId="49DEB7B7" w14:textId="77777777" w:rsidR="00CE412B" w:rsidRDefault="00CE412B" w:rsidP="00B15374">
      <w:pPr>
        <w:spacing w:line="480" w:lineRule="auto"/>
        <w:jc w:val="both"/>
        <w:rPr>
          <w:color w:val="333333"/>
        </w:rPr>
      </w:pPr>
    </w:p>
    <w:p w14:paraId="3E29294A" w14:textId="77777777" w:rsidR="007D2878" w:rsidRDefault="007D2878" w:rsidP="007D2878">
      <w:pPr>
        <w:jc w:val="both"/>
        <w:rPr>
          <w:b/>
          <w:bCs w:val="0"/>
        </w:rPr>
      </w:pPr>
      <w:r>
        <w:rPr>
          <w:b/>
        </w:rPr>
        <w:tab/>
      </w:r>
      <w:r w:rsidRPr="00A150AF">
        <w:rPr>
          <w:b/>
        </w:rPr>
        <w:tab/>
      </w:r>
      <w:r w:rsidRPr="00A150AF">
        <w:rPr>
          <w:b/>
        </w:rPr>
        <w:tab/>
      </w:r>
      <w:r w:rsidRPr="00A150AF">
        <w:rPr>
          <w:b/>
        </w:rPr>
        <w:tab/>
      </w:r>
      <w:r w:rsidRPr="00A150AF">
        <w:rPr>
          <w:b/>
        </w:rPr>
        <w:tab/>
        <w:t xml:space="preserve">THE </w:t>
      </w:r>
      <w:r w:rsidRPr="00A150AF">
        <w:rPr>
          <w:b/>
          <w:bCs w:val="0"/>
        </w:rPr>
        <w:t>APPELLATE TAX BOARD</w:t>
      </w:r>
    </w:p>
    <w:p w14:paraId="704EC3D6" w14:textId="77777777" w:rsidR="00F46634" w:rsidRDefault="00F46634" w:rsidP="007D2878">
      <w:pPr>
        <w:ind w:right="-180"/>
        <w:jc w:val="both"/>
        <w:rPr>
          <w:b/>
          <w:bCs w:val="0"/>
        </w:rPr>
      </w:pPr>
    </w:p>
    <w:p w14:paraId="18BBD6E4" w14:textId="77777777" w:rsidR="00F46634" w:rsidRDefault="00F46634" w:rsidP="007D2878">
      <w:pPr>
        <w:ind w:right="-180"/>
        <w:jc w:val="both"/>
        <w:rPr>
          <w:b/>
          <w:bCs w:val="0"/>
        </w:rPr>
      </w:pPr>
    </w:p>
    <w:p w14:paraId="792F9CC0" w14:textId="77777777" w:rsidR="00F46634" w:rsidRDefault="00F46634" w:rsidP="007D2878">
      <w:pPr>
        <w:ind w:right="-180"/>
        <w:jc w:val="both"/>
        <w:rPr>
          <w:b/>
          <w:bCs w:val="0"/>
        </w:rPr>
      </w:pPr>
    </w:p>
    <w:p w14:paraId="6D8AF51D" w14:textId="77777777" w:rsidR="007D2878" w:rsidRPr="00A150AF" w:rsidRDefault="007D2878" w:rsidP="007D2878">
      <w:pPr>
        <w:ind w:right="-180"/>
        <w:jc w:val="both"/>
        <w:rPr>
          <w:b/>
          <w:bCs w:val="0"/>
        </w:rPr>
      </w:pPr>
      <w:r w:rsidRPr="00A150AF">
        <w:rPr>
          <w:b/>
          <w:bCs w:val="0"/>
        </w:rPr>
        <w:tab/>
      </w:r>
      <w:r w:rsidRPr="00A150AF">
        <w:rPr>
          <w:b/>
          <w:bCs w:val="0"/>
        </w:rPr>
        <w:tab/>
      </w:r>
      <w:r w:rsidRPr="00A150AF">
        <w:rPr>
          <w:b/>
          <w:bCs w:val="0"/>
        </w:rPr>
        <w:tab/>
      </w:r>
      <w:r w:rsidRPr="00A150AF">
        <w:rPr>
          <w:b/>
          <w:bCs w:val="0"/>
        </w:rPr>
        <w:tab/>
      </w:r>
      <w:r>
        <w:rPr>
          <w:b/>
          <w:bCs w:val="0"/>
        </w:rPr>
        <w:t> </w:t>
      </w:r>
      <w:r w:rsidRPr="00A150AF">
        <w:rPr>
          <w:b/>
          <w:bCs w:val="0"/>
        </w:rPr>
        <w:t>By</w:t>
      </w:r>
      <w:r>
        <w:rPr>
          <w:b/>
          <w:bCs w:val="0"/>
        </w:rPr>
        <w:t>:</w:t>
      </w:r>
      <w:r w:rsidRPr="00A150AF">
        <w:rPr>
          <w:b/>
          <w:bCs w:val="0"/>
        </w:rPr>
        <w:t xml:space="preserve"> __________________________________</w:t>
      </w:r>
      <w:r>
        <w:rPr>
          <w:b/>
          <w:bCs w:val="0"/>
        </w:rPr>
        <w:t>__</w:t>
      </w:r>
    </w:p>
    <w:p w14:paraId="45FD1660" w14:textId="0D4B00CE" w:rsidR="006852C4" w:rsidRDefault="006852C4" w:rsidP="006852C4">
      <w:pPr>
        <w:spacing w:line="480" w:lineRule="auto"/>
        <w:jc w:val="both"/>
        <w:rPr>
          <w:b/>
        </w:rPr>
      </w:pPr>
      <w:r>
        <w:rPr>
          <w:b/>
          <w:bCs w:val="0"/>
        </w:rPr>
        <w:tab/>
      </w:r>
      <w:r w:rsidR="007D2878" w:rsidRPr="00A150AF">
        <w:rPr>
          <w:b/>
          <w:bCs w:val="0"/>
        </w:rPr>
        <w:tab/>
      </w:r>
      <w:r w:rsidR="007D2878" w:rsidRPr="00A150AF">
        <w:rPr>
          <w:b/>
          <w:bCs w:val="0"/>
        </w:rPr>
        <w:tab/>
      </w:r>
      <w:r w:rsidR="007D2878" w:rsidRPr="00A150AF">
        <w:rPr>
          <w:b/>
          <w:bCs w:val="0"/>
        </w:rPr>
        <w:tab/>
      </w:r>
      <w:r w:rsidR="007D2878" w:rsidRPr="00A150AF">
        <w:rPr>
          <w:b/>
          <w:bCs w:val="0"/>
        </w:rPr>
        <w:tab/>
      </w:r>
      <w:r>
        <w:rPr>
          <w:b/>
        </w:rPr>
        <w:t>Thomas W. Hammond, Jr., Chairman</w:t>
      </w:r>
    </w:p>
    <w:p w14:paraId="095081F2" w14:textId="77777777" w:rsidR="00322ECA" w:rsidRDefault="00322ECA" w:rsidP="00322ECA">
      <w:pPr>
        <w:ind w:right="-187"/>
        <w:jc w:val="both"/>
        <w:rPr>
          <w:b/>
          <w:bCs w:val="0"/>
        </w:rPr>
      </w:pPr>
      <w:r w:rsidRPr="00A150AF">
        <w:rPr>
          <w:b/>
          <w:bCs w:val="0"/>
        </w:rPr>
        <w:t>A true copy,</w:t>
      </w:r>
    </w:p>
    <w:p w14:paraId="7095DB95" w14:textId="77777777" w:rsidR="00322ECA" w:rsidRDefault="00322ECA" w:rsidP="00322ECA">
      <w:pPr>
        <w:ind w:right="-187"/>
        <w:jc w:val="both"/>
        <w:rPr>
          <w:b/>
          <w:bCs w:val="0"/>
        </w:rPr>
      </w:pPr>
    </w:p>
    <w:p w14:paraId="4015C596" w14:textId="77777777" w:rsidR="00322ECA" w:rsidRPr="00A150AF" w:rsidRDefault="00322ECA" w:rsidP="00322ECA">
      <w:pPr>
        <w:ind w:right="-187"/>
        <w:jc w:val="both"/>
        <w:rPr>
          <w:b/>
          <w:bCs w:val="0"/>
        </w:rPr>
      </w:pPr>
      <w:r>
        <w:rPr>
          <w:b/>
          <w:bCs w:val="0"/>
        </w:rPr>
        <w:t>A</w:t>
      </w:r>
      <w:r w:rsidRPr="00A150AF">
        <w:rPr>
          <w:b/>
          <w:bCs w:val="0"/>
        </w:rPr>
        <w:t>ttest: ________</w:t>
      </w:r>
      <w:r>
        <w:rPr>
          <w:b/>
          <w:bCs w:val="0"/>
        </w:rPr>
        <w:t>___</w:t>
      </w:r>
      <w:r w:rsidRPr="00A150AF">
        <w:rPr>
          <w:b/>
          <w:bCs w:val="0"/>
        </w:rPr>
        <w:t>__</w:t>
      </w:r>
      <w:r>
        <w:rPr>
          <w:b/>
          <w:bCs w:val="0"/>
        </w:rPr>
        <w:t>_____</w:t>
      </w:r>
      <w:r w:rsidRPr="00A150AF">
        <w:rPr>
          <w:b/>
          <w:bCs w:val="0"/>
        </w:rPr>
        <w:t>__________</w:t>
      </w:r>
    </w:p>
    <w:p w14:paraId="1E49D8E5" w14:textId="77777777" w:rsidR="00322ECA" w:rsidRDefault="00322ECA" w:rsidP="00322ECA">
      <w:pPr>
        <w:pStyle w:val="BodyText"/>
        <w:rPr>
          <w:b/>
          <w:bCs/>
        </w:rPr>
      </w:pPr>
      <w:r w:rsidRPr="00252E95">
        <w:tab/>
        <w:t xml:space="preserve">   </w:t>
      </w:r>
      <w:r>
        <w:t xml:space="preserve">            </w:t>
      </w:r>
      <w:r w:rsidRPr="00AE0542">
        <w:rPr>
          <w:rFonts w:ascii="Courier New" w:hAnsi="Courier New" w:cs="Courier New"/>
          <w:b/>
        </w:rPr>
        <w:t>Clerk of the Board</w:t>
      </w:r>
    </w:p>
    <w:p w14:paraId="5C745775" w14:textId="77777777" w:rsidR="00F46634" w:rsidRDefault="00F46634" w:rsidP="0042357F">
      <w:pPr>
        <w:ind w:right="-187"/>
        <w:jc w:val="both"/>
        <w:rPr>
          <w:b/>
          <w:bCs w:val="0"/>
        </w:rPr>
      </w:pPr>
    </w:p>
    <w:sectPr w:rsidR="00F46634" w:rsidSect="00322ECA">
      <w:footerReference w:type="default" r:id="rId9"/>
      <w:pgSz w:w="12240" w:h="15840" w:code="1"/>
      <w:pgMar w:top="1440" w:right="1800" w:bottom="1440" w:left="1800" w:header="720" w:footer="432" w:gutter="0"/>
      <w:pgNumType w:start="6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25384" w14:textId="77777777" w:rsidR="000C4D25" w:rsidRDefault="000C4D25" w:rsidP="007D2878">
      <w:r>
        <w:separator/>
      </w:r>
    </w:p>
  </w:endnote>
  <w:endnote w:type="continuationSeparator" w:id="0">
    <w:p w14:paraId="69B79ADE" w14:textId="77777777" w:rsidR="000C4D25" w:rsidRDefault="000C4D25" w:rsidP="007D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071A0" w14:textId="2C4CD2E1" w:rsidR="0063503D" w:rsidRPr="00EA1672" w:rsidRDefault="00EA1672">
    <w:pPr>
      <w:pStyle w:val="Footer"/>
      <w:jc w:val="center"/>
      <w:rPr>
        <w:b/>
      </w:rPr>
    </w:pPr>
    <w:r w:rsidRPr="00EA1672">
      <w:rPr>
        <w:b/>
      </w:rPr>
      <w:t>ATB 2018-</w:t>
    </w:r>
    <w:r w:rsidR="0063503D" w:rsidRPr="00EA1672">
      <w:rPr>
        <w:b/>
      </w:rPr>
      <w:fldChar w:fldCharType="begin"/>
    </w:r>
    <w:r w:rsidR="0063503D" w:rsidRPr="00EA1672">
      <w:rPr>
        <w:b/>
      </w:rPr>
      <w:instrText xml:space="preserve"> PAGE   \* MERGEFORMAT </w:instrText>
    </w:r>
    <w:r w:rsidR="0063503D" w:rsidRPr="00EA1672">
      <w:rPr>
        <w:b/>
      </w:rPr>
      <w:fldChar w:fldCharType="separate"/>
    </w:r>
    <w:r w:rsidR="00C60284">
      <w:rPr>
        <w:b/>
        <w:noProof/>
      </w:rPr>
      <w:t>618</w:t>
    </w:r>
    <w:r w:rsidR="0063503D" w:rsidRPr="00EA1672">
      <w:rPr>
        <w:b/>
        <w:noProof/>
      </w:rPr>
      <w:fldChar w:fldCharType="end"/>
    </w:r>
  </w:p>
  <w:p w14:paraId="5BD3EDB3" w14:textId="77777777" w:rsidR="0063503D" w:rsidRDefault="00635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C6183" w14:textId="77777777" w:rsidR="000C4D25" w:rsidRDefault="000C4D25" w:rsidP="007D2878">
      <w:r>
        <w:separator/>
      </w:r>
    </w:p>
  </w:footnote>
  <w:footnote w:type="continuationSeparator" w:id="0">
    <w:p w14:paraId="39A1870E" w14:textId="77777777" w:rsidR="000C4D25" w:rsidRDefault="000C4D25" w:rsidP="007D2878">
      <w:r>
        <w:continuationSeparator/>
      </w:r>
    </w:p>
  </w:footnote>
  <w:footnote w:id="1">
    <w:p w14:paraId="6A08DD5B" w14:textId="5C87B01A" w:rsidR="00D538D8" w:rsidRPr="00D538D8" w:rsidRDefault="00D538D8" w:rsidP="00D538D8">
      <w:pPr>
        <w:pStyle w:val="FootnoteText"/>
        <w:jc w:val="both"/>
        <w:rPr>
          <w:rFonts w:ascii="Courier New" w:hAnsi="Courier New" w:cs="Courier New"/>
        </w:rPr>
      </w:pPr>
      <w:r w:rsidRPr="00D538D8">
        <w:rPr>
          <w:rStyle w:val="FootnoteReference"/>
          <w:rFonts w:ascii="Courier New" w:hAnsi="Courier New" w:cs="Courier New"/>
        </w:rPr>
        <w:footnoteRef/>
      </w:r>
      <w:r w:rsidRPr="00D538D8">
        <w:rPr>
          <w:rFonts w:ascii="Courier New" w:hAnsi="Courier New" w:cs="Courier New"/>
        </w:rPr>
        <w:t xml:space="preserve"> The </w:t>
      </w:r>
      <w:r w:rsidR="00C60284">
        <w:rPr>
          <w:rFonts w:ascii="Courier New" w:hAnsi="Courier New" w:cs="Courier New"/>
        </w:rPr>
        <w:t>adjoining</w:t>
      </w:r>
      <w:r w:rsidR="00561FE5">
        <w:rPr>
          <w:rFonts w:ascii="Courier New" w:hAnsi="Courier New" w:cs="Courier New"/>
        </w:rPr>
        <w:t xml:space="preserve"> </w:t>
      </w:r>
      <w:bookmarkStart w:id="0" w:name="_GoBack"/>
      <w:bookmarkEnd w:id="0"/>
      <w:r w:rsidRPr="00D538D8">
        <w:rPr>
          <w:rFonts w:ascii="Courier New" w:hAnsi="Courier New" w:cs="Courier New"/>
        </w:rPr>
        <w:t>property was sold to developers on March 1, 2015 and the development plan was approved by Sherborn during June of 2015.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304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78"/>
    <w:rsid w:val="00043E31"/>
    <w:rsid w:val="00054A02"/>
    <w:rsid w:val="000665EF"/>
    <w:rsid w:val="000C4D25"/>
    <w:rsid w:val="001345F5"/>
    <w:rsid w:val="0013606F"/>
    <w:rsid w:val="0015481C"/>
    <w:rsid w:val="0016152B"/>
    <w:rsid w:val="00177AE6"/>
    <w:rsid w:val="00200B26"/>
    <w:rsid w:val="00217F41"/>
    <w:rsid w:val="0022487E"/>
    <w:rsid w:val="0029481B"/>
    <w:rsid w:val="002B2200"/>
    <w:rsid w:val="002C45C7"/>
    <w:rsid w:val="002C5961"/>
    <w:rsid w:val="00322ECA"/>
    <w:rsid w:val="00330121"/>
    <w:rsid w:val="003772E9"/>
    <w:rsid w:val="003960A7"/>
    <w:rsid w:val="003C6655"/>
    <w:rsid w:val="003C6E53"/>
    <w:rsid w:val="003D4167"/>
    <w:rsid w:val="0042357F"/>
    <w:rsid w:val="00482225"/>
    <w:rsid w:val="004A2642"/>
    <w:rsid w:val="00505E6D"/>
    <w:rsid w:val="00561FE5"/>
    <w:rsid w:val="005814F9"/>
    <w:rsid w:val="005931B0"/>
    <w:rsid w:val="005A462D"/>
    <w:rsid w:val="005C6FF5"/>
    <w:rsid w:val="0063503D"/>
    <w:rsid w:val="00663C54"/>
    <w:rsid w:val="006670DD"/>
    <w:rsid w:val="006852C4"/>
    <w:rsid w:val="006B178D"/>
    <w:rsid w:val="007D2878"/>
    <w:rsid w:val="007F36E2"/>
    <w:rsid w:val="0080715D"/>
    <w:rsid w:val="0082722D"/>
    <w:rsid w:val="0089580D"/>
    <w:rsid w:val="008B0350"/>
    <w:rsid w:val="008D7ED7"/>
    <w:rsid w:val="0092473C"/>
    <w:rsid w:val="00965D55"/>
    <w:rsid w:val="009C10B9"/>
    <w:rsid w:val="00A741D1"/>
    <w:rsid w:val="00A954FE"/>
    <w:rsid w:val="00AD2F96"/>
    <w:rsid w:val="00B15374"/>
    <w:rsid w:val="00B35B4C"/>
    <w:rsid w:val="00B65E62"/>
    <w:rsid w:val="00B91734"/>
    <w:rsid w:val="00BC57B7"/>
    <w:rsid w:val="00C60284"/>
    <w:rsid w:val="00CC0EF4"/>
    <w:rsid w:val="00CE412B"/>
    <w:rsid w:val="00D538D8"/>
    <w:rsid w:val="00D812D8"/>
    <w:rsid w:val="00DE22CC"/>
    <w:rsid w:val="00E019D0"/>
    <w:rsid w:val="00E16AA4"/>
    <w:rsid w:val="00E34C31"/>
    <w:rsid w:val="00EA1672"/>
    <w:rsid w:val="00EC3BAD"/>
    <w:rsid w:val="00EC3E53"/>
    <w:rsid w:val="00F02485"/>
    <w:rsid w:val="00F46634"/>
    <w:rsid w:val="00F84BCF"/>
    <w:rsid w:val="00F9147F"/>
    <w:rsid w:val="00FB5D86"/>
    <w:rsid w:val="00FB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32769"/>
    <o:shapelayout v:ext="edit">
      <o:idmap v:ext="edit" data="1"/>
    </o:shapelayout>
  </w:shapeDefaults>
  <w:decimalSymbol w:val="."/>
  <w:listSeparator w:val=","/>
  <w14:docId w14:val="044DA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7D2878"/>
    <w:pPr>
      <w:widowControl/>
      <w:adjustRightInd/>
    </w:pPr>
    <w:rPr>
      <w:rFonts w:ascii="Times New Roman" w:hAnsi="Times New Roman" w:cs="Times New Roman"/>
      <w:bCs w:val="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287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D2878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7D2878"/>
    <w:pPr>
      <w:widowControl/>
      <w:autoSpaceDE/>
      <w:autoSpaceDN/>
      <w:adjustRightInd/>
      <w:spacing w:line="480" w:lineRule="auto"/>
      <w:jc w:val="both"/>
    </w:pPr>
    <w:rPr>
      <w:rFonts w:ascii="Times New Roman" w:hAnsi="Times New Roman" w:cs="Times New Roman"/>
      <w:bCs w:val="0"/>
      <w:szCs w:val="20"/>
    </w:rPr>
  </w:style>
  <w:style w:type="character" w:customStyle="1" w:styleId="BodyTextChar">
    <w:name w:val="Body Text Char"/>
    <w:link w:val="BodyText"/>
    <w:uiPriority w:val="99"/>
    <w:rsid w:val="007D2878"/>
    <w:rPr>
      <w:rFonts w:ascii="Times New Roman" w:eastAsia="Times New Roman" w:hAnsi="Times New Roman" w:cs="Times New Roman"/>
      <w:sz w:val="24"/>
      <w:szCs w:val="20"/>
    </w:rPr>
  </w:style>
  <w:style w:type="character" w:customStyle="1" w:styleId="term1">
    <w:name w:val="term1"/>
    <w:rsid w:val="007D2878"/>
    <w:rPr>
      <w:b/>
    </w:rPr>
  </w:style>
  <w:style w:type="paragraph" w:styleId="Title">
    <w:name w:val="Title"/>
    <w:basedOn w:val="Normal"/>
    <w:link w:val="TitleChar"/>
    <w:uiPriority w:val="99"/>
    <w:qFormat/>
    <w:rsid w:val="007D287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rsid w:val="007D28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28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2878"/>
    <w:rPr>
      <w:rFonts w:ascii="Courier New" w:eastAsia="Times New Roman" w:hAnsi="Courier New" w:cs="Courier New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22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2225"/>
    <w:rPr>
      <w:rFonts w:ascii="Courier New" w:eastAsia="Times New Roman" w:hAnsi="Courier New" w:cs="Courier New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25"/>
    <w:rPr>
      <w:rFonts w:ascii="Tahoma" w:eastAsia="Times New Roman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7D2878"/>
    <w:pPr>
      <w:widowControl/>
      <w:adjustRightInd/>
    </w:pPr>
    <w:rPr>
      <w:rFonts w:ascii="Times New Roman" w:hAnsi="Times New Roman" w:cs="Times New Roman"/>
      <w:bCs w:val="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287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D2878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7D2878"/>
    <w:pPr>
      <w:widowControl/>
      <w:autoSpaceDE/>
      <w:autoSpaceDN/>
      <w:adjustRightInd/>
      <w:spacing w:line="480" w:lineRule="auto"/>
      <w:jc w:val="both"/>
    </w:pPr>
    <w:rPr>
      <w:rFonts w:ascii="Times New Roman" w:hAnsi="Times New Roman" w:cs="Times New Roman"/>
      <w:bCs w:val="0"/>
      <w:szCs w:val="20"/>
    </w:rPr>
  </w:style>
  <w:style w:type="character" w:customStyle="1" w:styleId="BodyTextChar">
    <w:name w:val="Body Text Char"/>
    <w:link w:val="BodyText"/>
    <w:uiPriority w:val="99"/>
    <w:rsid w:val="007D2878"/>
    <w:rPr>
      <w:rFonts w:ascii="Times New Roman" w:eastAsia="Times New Roman" w:hAnsi="Times New Roman" w:cs="Times New Roman"/>
      <w:sz w:val="24"/>
      <w:szCs w:val="20"/>
    </w:rPr>
  </w:style>
  <w:style w:type="character" w:customStyle="1" w:styleId="term1">
    <w:name w:val="term1"/>
    <w:rsid w:val="007D2878"/>
    <w:rPr>
      <w:b/>
    </w:rPr>
  </w:style>
  <w:style w:type="paragraph" w:styleId="Title">
    <w:name w:val="Title"/>
    <w:basedOn w:val="Normal"/>
    <w:link w:val="TitleChar"/>
    <w:uiPriority w:val="99"/>
    <w:qFormat/>
    <w:rsid w:val="007D287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rsid w:val="007D28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28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2878"/>
    <w:rPr>
      <w:rFonts w:ascii="Courier New" w:eastAsia="Times New Roman" w:hAnsi="Courier New" w:cs="Courier New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22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2225"/>
    <w:rPr>
      <w:rFonts w:ascii="Courier New" w:eastAsia="Times New Roman" w:hAnsi="Courier New" w:cs="Courier New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25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5AA1-4ABF-4EB2-B621-87A2B924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Defrancisco, Mark (ATB)</dc:creator>
  <cp:lastModifiedBy>ANF</cp:lastModifiedBy>
  <cp:revision>10</cp:revision>
  <cp:lastPrinted>2018-11-15T15:06:00Z</cp:lastPrinted>
  <dcterms:created xsi:type="dcterms:W3CDTF">2018-10-18T16:38:00Z</dcterms:created>
  <dcterms:modified xsi:type="dcterms:W3CDTF">2018-11-15T19:33:00Z</dcterms:modified>
</cp:coreProperties>
</file>