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DB6300" w14:textId="35F71967" w:rsidR="00E25999" w:rsidRPr="00BA57F8" w:rsidRDefault="00F60A49" w:rsidP="00E25999">
      <w:pPr>
        <w:spacing w:after="40"/>
        <w:rPr>
          <w:b/>
          <w:color w:val="1F497D" w:themeColor="text2"/>
          <w:sz w:val="32"/>
          <w:szCs w:val="30"/>
        </w:rPr>
      </w:pPr>
      <w:r>
        <w:rPr>
          <w:b/>
          <w:color w:val="1F497D" w:themeColor="text2"/>
          <w:sz w:val="32"/>
          <w:szCs w:val="30"/>
        </w:rPr>
        <w:t>St</w:t>
      </w:r>
      <w:bookmarkStart w:id="0" w:name="_GoBack"/>
      <w:bookmarkEnd w:id="0"/>
      <w:r>
        <w:rPr>
          <w:b/>
          <w:color w:val="1F497D" w:themeColor="text2"/>
          <w:sz w:val="32"/>
          <w:szCs w:val="30"/>
        </w:rPr>
        <w:t>ate</w:t>
      </w:r>
      <w:r w:rsidR="00684793">
        <w:rPr>
          <w:b/>
          <w:color w:val="1F497D" w:themeColor="text2"/>
          <w:sz w:val="32"/>
          <w:szCs w:val="30"/>
        </w:rPr>
        <w:t xml:space="preserve"> Supported </w:t>
      </w:r>
      <w:r w:rsidR="007F29E4" w:rsidRPr="00BA57F8">
        <w:rPr>
          <w:b/>
          <w:color w:val="1F497D" w:themeColor="text2"/>
          <w:sz w:val="32"/>
          <w:szCs w:val="30"/>
        </w:rPr>
        <w:t>Services for Individuals</w:t>
      </w:r>
      <w:r w:rsidR="003D0ABF" w:rsidRPr="00BA57F8">
        <w:rPr>
          <w:b/>
          <w:color w:val="1F497D" w:themeColor="text2"/>
          <w:sz w:val="32"/>
          <w:szCs w:val="30"/>
        </w:rPr>
        <w:t xml:space="preserve"> Living</w:t>
      </w:r>
      <w:r w:rsidR="00E25999" w:rsidRPr="00BA57F8">
        <w:rPr>
          <w:b/>
          <w:color w:val="1F497D" w:themeColor="text2"/>
          <w:sz w:val="32"/>
          <w:szCs w:val="30"/>
        </w:rPr>
        <w:t xml:space="preserve"> with </w:t>
      </w:r>
      <w:r>
        <w:rPr>
          <w:b/>
          <w:color w:val="1F497D" w:themeColor="text2"/>
          <w:sz w:val="32"/>
          <w:szCs w:val="30"/>
        </w:rPr>
        <w:t xml:space="preserve">                              </w:t>
      </w:r>
      <w:r w:rsidR="002F4573" w:rsidRPr="00BA57F8">
        <w:rPr>
          <w:b/>
          <w:color w:val="1F497D" w:themeColor="text2"/>
          <w:sz w:val="32"/>
          <w:szCs w:val="30"/>
        </w:rPr>
        <w:t>Alzheimer’s disease</w:t>
      </w:r>
      <w:r w:rsidR="00E25999" w:rsidRPr="00BA57F8">
        <w:rPr>
          <w:b/>
          <w:color w:val="1F497D" w:themeColor="text2"/>
          <w:sz w:val="32"/>
          <w:szCs w:val="30"/>
        </w:rPr>
        <w:t xml:space="preserve"> or Dementia</w:t>
      </w:r>
    </w:p>
    <w:p w14:paraId="562E423D" w14:textId="77777777" w:rsidR="005F4322" w:rsidRPr="00C9596C" w:rsidRDefault="005F4322" w:rsidP="005F4322">
      <w:pPr>
        <w:spacing w:after="0"/>
        <w:rPr>
          <w:sz w:val="10"/>
          <w:szCs w:val="10"/>
        </w:rPr>
      </w:pPr>
    </w:p>
    <w:tbl>
      <w:tblPr>
        <w:tblStyle w:val="TableGrid"/>
        <w:tblW w:w="10857" w:type="dxa"/>
        <w:tblLook w:val="04A0" w:firstRow="1" w:lastRow="0" w:firstColumn="1" w:lastColumn="0" w:noHBand="0" w:noVBand="1"/>
      </w:tblPr>
      <w:tblGrid>
        <w:gridCol w:w="1131"/>
        <w:gridCol w:w="1728"/>
        <w:gridCol w:w="4896"/>
        <w:gridCol w:w="1551"/>
        <w:gridCol w:w="1551"/>
      </w:tblGrid>
      <w:tr w:rsidR="00822757" w:rsidRPr="00807B7D" w14:paraId="4C957AE8" w14:textId="77777777" w:rsidTr="00B64118">
        <w:trPr>
          <w:trHeight w:val="20"/>
        </w:trPr>
        <w:tc>
          <w:tcPr>
            <w:tcW w:w="1131" w:type="dxa"/>
            <w:tcBorders>
              <w:top w:val="nil"/>
              <w:left w:val="nil"/>
              <w:bottom w:val="single" w:sz="4" w:space="0" w:color="auto"/>
              <w:right w:val="single" w:sz="4" w:space="0" w:color="auto"/>
            </w:tcBorders>
            <w:shd w:val="clear" w:color="auto" w:fill="auto"/>
          </w:tcPr>
          <w:p w14:paraId="2BBB1AAE" w14:textId="77777777" w:rsidR="00757F7D" w:rsidRPr="00BD6CF8" w:rsidRDefault="00757F7D" w:rsidP="007400BD">
            <w:pPr>
              <w:rPr>
                <w:b/>
                <w:color w:val="1F497D" w:themeColor="text2"/>
                <w:sz w:val="21"/>
                <w:szCs w:val="21"/>
              </w:rPr>
            </w:pPr>
          </w:p>
        </w:tc>
        <w:tc>
          <w:tcPr>
            <w:tcW w:w="1728" w:type="dxa"/>
            <w:tcBorders>
              <w:left w:val="single" w:sz="4" w:space="0" w:color="auto"/>
            </w:tcBorders>
            <w:shd w:val="clear" w:color="auto" w:fill="DBE5F1" w:themeFill="accent1" w:themeFillTint="33"/>
            <w:vAlign w:val="center"/>
          </w:tcPr>
          <w:p w14:paraId="47B0130C" w14:textId="618E50B5" w:rsidR="00757F7D" w:rsidRPr="000C6BB0" w:rsidRDefault="00757F7D" w:rsidP="007400BD">
            <w:pPr>
              <w:rPr>
                <w:b/>
                <w:color w:val="1F497D" w:themeColor="text2"/>
                <w:sz w:val="21"/>
                <w:szCs w:val="21"/>
              </w:rPr>
            </w:pPr>
            <w:r w:rsidRPr="000C6BB0">
              <w:rPr>
                <w:b/>
                <w:color w:val="1F497D" w:themeColor="text2"/>
                <w:sz w:val="21"/>
                <w:szCs w:val="21"/>
              </w:rPr>
              <w:t>Program</w:t>
            </w:r>
          </w:p>
        </w:tc>
        <w:tc>
          <w:tcPr>
            <w:tcW w:w="4896" w:type="dxa"/>
            <w:shd w:val="clear" w:color="auto" w:fill="DBE5F1" w:themeFill="accent1" w:themeFillTint="33"/>
            <w:vAlign w:val="center"/>
          </w:tcPr>
          <w:p w14:paraId="48D79AFC" w14:textId="77777777" w:rsidR="00757F7D" w:rsidRPr="000C6BB0" w:rsidRDefault="00757F7D" w:rsidP="007400BD">
            <w:pPr>
              <w:rPr>
                <w:b/>
                <w:color w:val="1F497D" w:themeColor="text2"/>
                <w:sz w:val="21"/>
                <w:szCs w:val="21"/>
              </w:rPr>
            </w:pPr>
            <w:r w:rsidRPr="000C6BB0">
              <w:rPr>
                <w:b/>
                <w:color w:val="1F497D" w:themeColor="text2"/>
                <w:sz w:val="21"/>
                <w:szCs w:val="21"/>
              </w:rPr>
              <w:t>Description</w:t>
            </w:r>
          </w:p>
        </w:tc>
        <w:tc>
          <w:tcPr>
            <w:tcW w:w="1551" w:type="dxa"/>
            <w:shd w:val="clear" w:color="auto" w:fill="DBE5F1" w:themeFill="accent1" w:themeFillTint="33"/>
            <w:vAlign w:val="center"/>
          </w:tcPr>
          <w:p w14:paraId="12619768" w14:textId="15C79B17" w:rsidR="00757F7D" w:rsidRPr="000C6BB0" w:rsidRDefault="00757F7D" w:rsidP="007400BD">
            <w:pPr>
              <w:rPr>
                <w:b/>
                <w:color w:val="1F497D" w:themeColor="text2"/>
                <w:sz w:val="21"/>
                <w:szCs w:val="21"/>
              </w:rPr>
            </w:pPr>
            <w:r w:rsidRPr="000C6BB0">
              <w:rPr>
                <w:b/>
                <w:color w:val="1F497D" w:themeColor="text2"/>
                <w:sz w:val="21"/>
                <w:szCs w:val="21"/>
              </w:rPr>
              <w:t xml:space="preserve">Eligibility if </w:t>
            </w:r>
            <w:r w:rsidR="00492122">
              <w:rPr>
                <w:b/>
                <w:color w:val="1F497D" w:themeColor="text2"/>
                <w:sz w:val="21"/>
                <w:szCs w:val="21"/>
              </w:rPr>
              <w:t xml:space="preserve">      </w:t>
            </w:r>
            <w:r w:rsidRPr="000C6BB0">
              <w:rPr>
                <w:b/>
                <w:color w:val="1F497D" w:themeColor="text2"/>
                <w:sz w:val="21"/>
                <w:szCs w:val="21"/>
              </w:rPr>
              <w:t>&lt; 60 years old</w:t>
            </w:r>
          </w:p>
        </w:tc>
        <w:tc>
          <w:tcPr>
            <w:tcW w:w="1551" w:type="dxa"/>
            <w:shd w:val="clear" w:color="auto" w:fill="DBE5F1" w:themeFill="accent1" w:themeFillTint="33"/>
            <w:vAlign w:val="center"/>
          </w:tcPr>
          <w:p w14:paraId="44FA2CCD" w14:textId="6771DA11" w:rsidR="00757F7D" w:rsidRPr="000C6BB0" w:rsidRDefault="00757F7D" w:rsidP="007400BD">
            <w:pPr>
              <w:rPr>
                <w:b/>
                <w:color w:val="1F497D" w:themeColor="text2"/>
                <w:sz w:val="21"/>
                <w:szCs w:val="21"/>
              </w:rPr>
            </w:pPr>
            <w:r w:rsidRPr="000C6BB0">
              <w:rPr>
                <w:b/>
                <w:color w:val="1F497D" w:themeColor="text2"/>
                <w:sz w:val="21"/>
                <w:szCs w:val="21"/>
              </w:rPr>
              <w:t xml:space="preserve">Eligibility if </w:t>
            </w:r>
            <w:r w:rsidR="00492122">
              <w:rPr>
                <w:b/>
                <w:color w:val="1F497D" w:themeColor="text2"/>
                <w:sz w:val="21"/>
                <w:szCs w:val="21"/>
              </w:rPr>
              <w:t xml:space="preserve">      </w:t>
            </w:r>
            <w:r w:rsidRPr="000C6BB0">
              <w:rPr>
                <w:b/>
                <w:color w:val="1F497D" w:themeColor="text2"/>
                <w:sz w:val="21"/>
                <w:szCs w:val="21"/>
              </w:rPr>
              <w:t>&gt; 60 years old</w:t>
            </w:r>
          </w:p>
        </w:tc>
      </w:tr>
      <w:tr w:rsidR="00822757" w:rsidRPr="00807B7D" w14:paraId="5C561FF3" w14:textId="77777777" w:rsidTr="00B64118">
        <w:trPr>
          <w:trHeight w:val="1152"/>
        </w:trPr>
        <w:tc>
          <w:tcPr>
            <w:tcW w:w="1131" w:type="dxa"/>
            <w:vMerge w:val="restart"/>
            <w:shd w:val="clear" w:color="auto" w:fill="EAF1DD" w:themeFill="accent3" w:themeFillTint="33"/>
            <w:vAlign w:val="center"/>
          </w:tcPr>
          <w:p w14:paraId="3B231BEC" w14:textId="7CE820BA" w:rsidR="00757F7D" w:rsidRPr="00822757" w:rsidRDefault="00757F7D" w:rsidP="00492122">
            <w:pPr>
              <w:jc w:val="center"/>
              <w:rPr>
                <w:b/>
                <w:color w:val="1F497D" w:themeColor="text2"/>
                <w:sz w:val="20"/>
                <w:szCs w:val="20"/>
              </w:rPr>
            </w:pPr>
            <w:r w:rsidRPr="00822757">
              <w:rPr>
                <w:b/>
                <w:color w:val="1F497D" w:themeColor="text2"/>
                <w:sz w:val="20"/>
                <w:szCs w:val="20"/>
              </w:rPr>
              <w:t>Navigation and Counseling</w:t>
            </w:r>
          </w:p>
        </w:tc>
        <w:tc>
          <w:tcPr>
            <w:tcW w:w="1728" w:type="dxa"/>
            <w:shd w:val="clear" w:color="auto" w:fill="F2F2F2" w:themeFill="background1" w:themeFillShade="F2"/>
            <w:vAlign w:val="center"/>
          </w:tcPr>
          <w:p w14:paraId="17ECEA0B" w14:textId="489299CD" w:rsidR="00757F7D" w:rsidRPr="00822757" w:rsidRDefault="001C7C59" w:rsidP="007400BD">
            <w:pPr>
              <w:rPr>
                <w:b/>
                <w:i/>
                <w:sz w:val="20"/>
                <w:szCs w:val="21"/>
              </w:rPr>
            </w:pPr>
            <w:hyperlink r:id="rId9" w:history="1">
              <w:r w:rsidR="00757F7D" w:rsidRPr="00822757">
                <w:rPr>
                  <w:rStyle w:val="Hyperlink"/>
                  <w:b/>
                  <w:i/>
                  <w:sz w:val="20"/>
                  <w:szCs w:val="21"/>
                </w:rPr>
                <w:t>Massachusetts Family Caregiver Support Program</w:t>
              </w:r>
            </w:hyperlink>
          </w:p>
        </w:tc>
        <w:tc>
          <w:tcPr>
            <w:tcW w:w="4896" w:type="dxa"/>
            <w:shd w:val="clear" w:color="auto" w:fill="F2F2F2" w:themeFill="background1" w:themeFillShade="F2"/>
            <w:vAlign w:val="center"/>
          </w:tcPr>
          <w:p w14:paraId="76DB7445" w14:textId="54D74056" w:rsidR="00757F7D" w:rsidRPr="00807B7D" w:rsidRDefault="00922D0D" w:rsidP="00922D0D">
            <w:pPr>
              <w:rPr>
                <w:sz w:val="21"/>
                <w:szCs w:val="21"/>
              </w:rPr>
            </w:pPr>
            <w:r>
              <w:rPr>
                <w:sz w:val="21"/>
                <w:szCs w:val="21"/>
              </w:rPr>
              <w:t>A</w:t>
            </w:r>
            <w:r w:rsidR="00757F7D" w:rsidRPr="00807B7D">
              <w:rPr>
                <w:sz w:val="21"/>
                <w:szCs w:val="21"/>
              </w:rPr>
              <w:t xml:space="preserve">ssist </w:t>
            </w:r>
            <w:r>
              <w:rPr>
                <w:sz w:val="21"/>
                <w:szCs w:val="21"/>
              </w:rPr>
              <w:t>with</w:t>
            </w:r>
            <w:r w:rsidR="00757F7D" w:rsidRPr="00807B7D">
              <w:rPr>
                <w:sz w:val="21"/>
                <w:szCs w:val="21"/>
              </w:rPr>
              <w:t xml:space="preserve"> navigation to resources and counseling, as well as some direct service assistance. </w:t>
            </w:r>
          </w:p>
        </w:tc>
        <w:tc>
          <w:tcPr>
            <w:tcW w:w="1551" w:type="dxa"/>
            <w:shd w:val="clear" w:color="auto" w:fill="F2F2F2" w:themeFill="background1" w:themeFillShade="F2"/>
            <w:vAlign w:val="center"/>
          </w:tcPr>
          <w:p w14:paraId="5C0877D2" w14:textId="6A2F7039" w:rsidR="00757F7D" w:rsidRPr="00807B7D" w:rsidRDefault="00757F7D" w:rsidP="007400BD">
            <w:pPr>
              <w:rPr>
                <w:sz w:val="21"/>
                <w:szCs w:val="21"/>
              </w:rPr>
            </w:pPr>
            <w:r w:rsidRPr="00807B7D">
              <w:rPr>
                <w:sz w:val="21"/>
                <w:szCs w:val="21"/>
              </w:rPr>
              <w:t xml:space="preserve">If diagnosed with </w:t>
            </w:r>
            <w:r w:rsidR="00822757">
              <w:rPr>
                <w:b/>
                <w:sz w:val="21"/>
                <w:szCs w:val="21"/>
              </w:rPr>
              <w:t>dementia</w:t>
            </w:r>
          </w:p>
        </w:tc>
        <w:tc>
          <w:tcPr>
            <w:tcW w:w="1551" w:type="dxa"/>
            <w:shd w:val="clear" w:color="auto" w:fill="F2F2F2" w:themeFill="background1" w:themeFillShade="F2"/>
            <w:vAlign w:val="center"/>
          </w:tcPr>
          <w:p w14:paraId="4BE99DC3" w14:textId="5E95E975" w:rsidR="00757F7D" w:rsidRPr="00807B7D" w:rsidRDefault="00757F7D" w:rsidP="007400BD">
            <w:pPr>
              <w:rPr>
                <w:b/>
                <w:sz w:val="21"/>
                <w:szCs w:val="21"/>
              </w:rPr>
            </w:pPr>
            <w:r w:rsidRPr="00807B7D">
              <w:rPr>
                <w:sz w:val="21"/>
                <w:szCs w:val="21"/>
              </w:rPr>
              <w:t xml:space="preserve">Available to </w:t>
            </w:r>
            <w:r w:rsidRPr="00807B7D">
              <w:rPr>
                <w:b/>
                <w:sz w:val="21"/>
                <w:szCs w:val="21"/>
              </w:rPr>
              <w:t>all caregivers</w:t>
            </w:r>
            <w:r w:rsidRPr="00807B7D">
              <w:rPr>
                <w:sz w:val="21"/>
                <w:szCs w:val="21"/>
              </w:rPr>
              <w:t xml:space="preserve"> of someone over the age of </w:t>
            </w:r>
            <w:r w:rsidRPr="00807B7D">
              <w:rPr>
                <w:b/>
                <w:sz w:val="21"/>
                <w:szCs w:val="21"/>
              </w:rPr>
              <w:t>60</w:t>
            </w:r>
          </w:p>
        </w:tc>
      </w:tr>
      <w:tr w:rsidR="00822757" w:rsidRPr="00807B7D" w14:paraId="4BD17ABB" w14:textId="77777777" w:rsidTr="00B64118">
        <w:trPr>
          <w:trHeight w:val="1152"/>
        </w:trPr>
        <w:tc>
          <w:tcPr>
            <w:tcW w:w="1131" w:type="dxa"/>
            <w:vMerge/>
            <w:shd w:val="clear" w:color="auto" w:fill="EAF1DD" w:themeFill="accent3" w:themeFillTint="33"/>
            <w:vAlign w:val="center"/>
          </w:tcPr>
          <w:p w14:paraId="23559B4F" w14:textId="77777777" w:rsidR="00757F7D" w:rsidRPr="00822757" w:rsidRDefault="00757F7D" w:rsidP="00492122">
            <w:pPr>
              <w:jc w:val="center"/>
              <w:rPr>
                <w:b/>
                <w:color w:val="1F497D" w:themeColor="text2"/>
                <w:sz w:val="20"/>
                <w:szCs w:val="20"/>
              </w:rPr>
            </w:pPr>
          </w:p>
        </w:tc>
        <w:tc>
          <w:tcPr>
            <w:tcW w:w="1728" w:type="dxa"/>
            <w:vAlign w:val="center"/>
          </w:tcPr>
          <w:p w14:paraId="0D1468C4" w14:textId="4CF30D64" w:rsidR="00757F7D" w:rsidRPr="00822757" w:rsidRDefault="001C7C59" w:rsidP="007400BD">
            <w:pPr>
              <w:rPr>
                <w:b/>
                <w:i/>
                <w:sz w:val="20"/>
                <w:szCs w:val="21"/>
              </w:rPr>
            </w:pPr>
            <w:hyperlink r:id="rId10" w:history="1">
              <w:r w:rsidR="00757F7D" w:rsidRPr="00822757">
                <w:rPr>
                  <w:rStyle w:val="Hyperlink"/>
                  <w:b/>
                  <w:i/>
                  <w:sz w:val="20"/>
                  <w:szCs w:val="21"/>
                </w:rPr>
                <w:t>Options Counseling</w:t>
              </w:r>
            </w:hyperlink>
          </w:p>
        </w:tc>
        <w:tc>
          <w:tcPr>
            <w:tcW w:w="4896" w:type="dxa"/>
            <w:vAlign w:val="center"/>
          </w:tcPr>
          <w:p w14:paraId="6303DE46" w14:textId="60CC01A6" w:rsidR="00757F7D" w:rsidRPr="00807B7D" w:rsidRDefault="00757F7D" w:rsidP="00922D0D">
            <w:pPr>
              <w:rPr>
                <w:sz w:val="21"/>
                <w:szCs w:val="21"/>
              </w:rPr>
            </w:pPr>
            <w:r w:rsidRPr="00807B7D">
              <w:rPr>
                <w:sz w:val="21"/>
                <w:szCs w:val="21"/>
              </w:rPr>
              <w:t>Provides information about public and private long term services and supports; most counselors are designated Dementia Friends and have completed dementia training.</w:t>
            </w:r>
          </w:p>
        </w:tc>
        <w:tc>
          <w:tcPr>
            <w:tcW w:w="1551" w:type="dxa"/>
            <w:vAlign w:val="center"/>
          </w:tcPr>
          <w:p w14:paraId="267310AD" w14:textId="726565EC" w:rsidR="00757F7D" w:rsidRPr="00807B7D" w:rsidRDefault="00757F7D" w:rsidP="007400BD">
            <w:pPr>
              <w:rPr>
                <w:sz w:val="21"/>
                <w:szCs w:val="21"/>
              </w:rPr>
            </w:pPr>
            <w:r w:rsidRPr="00807B7D">
              <w:rPr>
                <w:sz w:val="21"/>
                <w:szCs w:val="21"/>
              </w:rPr>
              <w:t xml:space="preserve">If diagnosed with </w:t>
            </w:r>
            <w:r w:rsidRPr="00807B7D">
              <w:rPr>
                <w:b/>
                <w:sz w:val="21"/>
                <w:szCs w:val="21"/>
              </w:rPr>
              <w:t>dementia</w:t>
            </w:r>
          </w:p>
        </w:tc>
        <w:tc>
          <w:tcPr>
            <w:tcW w:w="1551" w:type="dxa"/>
            <w:vAlign w:val="center"/>
          </w:tcPr>
          <w:p w14:paraId="2753903F" w14:textId="3703F324" w:rsidR="00757F7D" w:rsidRPr="00807B7D" w:rsidRDefault="00757F7D" w:rsidP="007400BD">
            <w:pPr>
              <w:rPr>
                <w:b/>
                <w:sz w:val="21"/>
                <w:szCs w:val="21"/>
              </w:rPr>
            </w:pPr>
            <w:r w:rsidRPr="00807B7D">
              <w:rPr>
                <w:sz w:val="21"/>
                <w:szCs w:val="21"/>
              </w:rPr>
              <w:t xml:space="preserve">Available to all </w:t>
            </w:r>
            <w:r w:rsidRPr="00807B7D">
              <w:rPr>
                <w:b/>
                <w:sz w:val="21"/>
                <w:szCs w:val="21"/>
              </w:rPr>
              <w:t xml:space="preserve">60 </w:t>
            </w:r>
            <w:r w:rsidRPr="00807B7D">
              <w:rPr>
                <w:sz w:val="21"/>
                <w:szCs w:val="21"/>
              </w:rPr>
              <w:t>and over</w:t>
            </w:r>
          </w:p>
        </w:tc>
      </w:tr>
      <w:tr w:rsidR="00822757" w:rsidRPr="00807B7D" w14:paraId="633DC44C" w14:textId="77777777" w:rsidTr="00B64118">
        <w:trPr>
          <w:cantSplit/>
          <w:trHeight w:val="1152"/>
        </w:trPr>
        <w:tc>
          <w:tcPr>
            <w:tcW w:w="1131" w:type="dxa"/>
            <w:shd w:val="clear" w:color="auto" w:fill="EAF1DD" w:themeFill="accent3" w:themeFillTint="33"/>
            <w:vAlign w:val="center"/>
          </w:tcPr>
          <w:p w14:paraId="2F58B6ED" w14:textId="2B0AA6D9" w:rsidR="00757F7D" w:rsidRPr="00822757" w:rsidRDefault="00757F7D" w:rsidP="00492122">
            <w:pPr>
              <w:jc w:val="center"/>
              <w:rPr>
                <w:b/>
                <w:color w:val="1F497D" w:themeColor="text2"/>
                <w:sz w:val="20"/>
                <w:szCs w:val="20"/>
              </w:rPr>
            </w:pPr>
            <w:r w:rsidRPr="00822757">
              <w:rPr>
                <w:b/>
                <w:color w:val="1F497D" w:themeColor="text2"/>
                <w:sz w:val="20"/>
                <w:szCs w:val="20"/>
              </w:rPr>
              <w:t>Nutrition</w:t>
            </w:r>
          </w:p>
        </w:tc>
        <w:tc>
          <w:tcPr>
            <w:tcW w:w="1728" w:type="dxa"/>
            <w:shd w:val="clear" w:color="auto" w:fill="F2F2F2" w:themeFill="background1" w:themeFillShade="F2"/>
            <w:vAlign w:val="center"/>
          </w:tcPr>
          <w:p w14:paraId="1D98E63B" w14:textId="2633E158" w:rsidR="00757F7D" w:rsidRPr="00822757" w:rsidRDefault="00757F7D" w:rsidP="007400BD">
            <w:pPr>
              <w:rPr>
                <w:b/>
                <w:i/>
                <w:sz w:val="20"/>
                <w:szCs w:val="21"/>
              </w:rPr>
            </w:pPr>
            <w:r w:rsidRPr="00822757">
              <w:rPr>
                <w:b/>
                <w:i/>
                <w:sz w:val="20"/>
                <w:szCs w:val="21"/>
              </w:rPr>
              <w:t>Nutrition</w:t>
            </w:r>
          </w:p>
        </w:tc>
        <w:tc>
          <w:tcPr>
            <w:tcW w:w="4896" w:type="dxa"/>
            <w:shd w:val="clear" w:color="auto" w:fill="F2F2F2" w:themeFill="background1" w:themeFillShade="F2"/>
            <w:vAlign w:val="center"/>
          </w:tcPr>
          <w:p w14:paraId="0DC53802" w14:textId="7324B16C" w:rsidR="00757F7D" w:rsidRPr="00807B7D" w:rsidRDefault="00922D0D" w:rsidP="007400BD">
            <w:pPr>
              <w:rPr>
                <w:sz w:val="21"/>
                <w:szCs w:val="21"/>
              </w:rPr>
            </w:pPr>
            <w:r>
              <w:rPr>
                <w:sz w:val="21"/>
                <w:szCs w:val="21"/>
              </w:rPr>
              <w:t>Addresses</w:t>
            </w:r>
            <w:r w:rsidR="00757F7D" w:rsidRPr="00807B7D">
              <w:rPr>
                <w:sz w:val="21"/>
                <w:szCs w:val="21"/>
              </w:rPr>
              <w:t xml:space="preserve"> nutrition, food insecurity, chronic disease, and social isolation through congregate and home-delivered meals.</w:t>
            </w:r>
          </w:p>
        </w:tc>
        <w:tc>
          <w:tcPr>
            <w:tcW w:w="1551" w:type="dxa"/>
            <w:shd w:val="clear" w:color="auto" w:fill="F2F2F2" w:themeFill="background1" w:themeFillShade="F2"/>
            <w:vAlign w:val="center"/>
          </w:tcPr>
          <w:p w14:paraId="62025EA5" w14:textId="5CBEB391" w:rsidR="00757F7D" w:rsidRPr="00807B7D" w:rsidRDefault="00822757" w:rsidP="007400BD">
            <w:pPr>
              <w:rPr>
                <w:sz w:val="21"/>
                <w:szCs w:val="21"/>
              </w:rPr>
            </w:pPr>
            <w:r>
              <w:rPr>
                <w:sz w:val="21"/>
                <w:szCs w:val="21"/>
              </w:rPr>
              <w:t>Not eligible</w:t>
            </w:r>
          </w:p>
        </w:tc>
        <w:tc>
          <w:tcPr>
            <w:tcW w:w="1551" w:type="dxa"/>
            <w:shd w:val="clear" w:color="auto" w:fill="F2F2F2" w:themeFill="background1" w:themeFillShade="F2"/>
            <w:vAlign w:val="center"/>
          </w:tcPr>
          <w:p w14:paraId="0FF5C972" w14:textId="375184FC" w:rsidR="00757F7D" w:rsidRPr="00807B7D" w:rsidRDefault="00757F7D" w:rsidP="007400BD">
            <w:pPr>
              <w:rPr>
                <w:sz w:val="21"/>
                <w:szCs w:val="21"/>
              </w:rPr>
            </w:pPr>
            <w:r w:rsidRPr="00807B7D">
              <w:rPr>
                <w:b/>
                <w:sz w:val="21"/>
                <w:szCs w:val="21"/>
              </w:rPr>
              <w:t>Clinical</w:t>
            </w:r>
            <w:r w:rsidRPr="00807B7D">
              <w:rPr>
                <w:sz w:val="21"/>
                <w:szCs w:val="21"/>
              </w:rPr>
              <w:t xml:space="preserve"> eligibility</w:t>
            </w:r>
          </w:p>
        </w:tc>
      </w:tr>
      <w:tr w:rsidR="00822757" w:rsidRPr="00807B7D" w14:paraId="429D8D0F" w14:textId="77777777" w:rsidTr="00B64118">
        <w:trPr>
          <w:trHeight w:val="1152"/>
        </w:trPr>
        <w:tc>
          <w:tcPr>
            <w:tcW w:w="1131" w:type="dxa"/>
            <w:vMerge w:val="restart"/>
            <w:shd w:val="clear" w:color="auto" w:fill="EAF1DD" w:themeFill="accent3" w:themeFillTint="33"/>
            <w:vAlign w:val="center"/>
          </w:tcPr>
          <w:p w14:paraId="1A70C795" w14:textId="63E4F584" w:rsidR="00822757" w:rsidRPr="00822757" w:rsidRDefault="00822757" w:rsidP="00492122">
            <w:pPr>
              <w:jc w:val="center"/>
              <w:rPr>
                <w:b/>
                <w:color w:val="1F497D" w:themeColor="text2"/>
                <w:sz w:val="20"/>
                <w:szCs w:val="20"/>
              </w:rPr>
            </w:pPr>
            <w:r w:rsidRPr="00822757">
              <w:rPr>
                <w:b/>
                <w:color w:val="1F497D" w:themeColor="text2"/>
                <w:sz w:val="20"/>
                <w:szCs w:val="20"/>
              </w:rPr>
              <w:t>Elder Abuse Prevention</w:t>
            </w:r>
          </w:p>
        </w:tc>
        <w:tc>
          <w:tcPr>
            <w:tcW w:w="1728" w:type="dxa"/>
            <w:vAlign w:val="center"/>
          </w:tcPr>
          <w:p w14:paraId="53A0860E" w14:textId="796E6049" w:rsidR="00822757" w:rsidRPr="00822757" w:rsidRDefault="00822757" w:rsidP="007400BD">
            <w:pPr>
              <w:rPr>
                <w:b/>
                <w:i/>
                <w:sz w:val="20"/>
                <w:szCs w:val="21"/>
              </w:rPr>
            </w:pPr>
            <w:r w:rsidRPr="00822757">
              <w:rPr>
                <w:b/>
                <w:i/>
                <w:sz w:val="20"/>
                <w:szCs w:val="21"/>
              </w:rPr>
              <w:t>Protective Services Program</w:t>
            </w:r>
          </w:p>
        </w:tc>
        <w:tc>
          <w:tcPr>
            <w:tcW w:w="4896" w:type="dxa"/>
            <w:vAlign w:val="center"/>
          </w:tcPr>
          <w:p w14:paraId="504396E2" w14:textId="6F9B46A4" w:rsidR="00822757" w:rsidRPr="00807B7D" w:rsidRDefault="00922D0D" w:rsidP="00922D0D">
            <w:pPr>
              <w:rPr>
                <w:sz w:val="21"/>
                <w:szCs w:val="21"/>
              </w:rPr>
            </w:pPr>
            <w:r>
              <w:rPr>
                <w:sz w:val="21"/>
                <w:szCs w:val="21"/>
              </w:rPr>
              <w:t xml:space="preserve">Statewide </w:t>
            </w:r>
            <w:r w:rsidR="00822757" w:rsidRPr="00807B7D">
              <w:rPr>
                <w:sz w:val="21"/>
                <w:szCs w:val="21"/>
              </w:rPr>
              <w:t xml:space="preserve">system for receiving and investigating reports of elder abuse and for providing protective services to </w:t>
            </w:r>
            <w:r>
              <w:rPr>
                <w:sz w:val="21"/>
                <w:szCs w:val="21"/>
              </w:rPr>
              <w:t>older adults.</w:t>
            </w:r>
          </w:p>
        </w:tc>
        <w:tc>
          <w:tcPr>
            <w:tcW w:w="1551" w:type="dxa"/>
            <w:vAlign w:val="center"/>
          </w:tcPr>
          <w:p w14:paraId="4C004719" w14:textId="60DBBB3A" w:rsidR="00822757" w:rsidRPr="00807B7D" w:rsidRDefault="00822757" w:rsidP="007400BD">
            <w:pPr>
              <w:rPr>
                <w:sz w:val="21"/>
                <w:szCs w:val="21"/>
              </w:rPr>
            </w:pPr>
            <w:r>
              <w:rPr>
                <w:sz w:val="21"/>
                <w:szCs w:val="21"/>
              </w:rPr>
              <w:t>Not eligible</w:t>
            </w:r>
          </w:p>
        </w:tc>
        <w:tc>
          <w:tcPr>
            <w:tcW w:w="1551" w:type="dxa"/>
            <w:vAlign w:val="center"/>
          </w:tcPr>
          <w:p w14:paraId="41B4729B" w14:textId="5B46B6BC" w:rsidR="00822757" w:rsidRPr="00807B7D" w:rsidRDefault="00822757" w:rsidP="007400BD">
            <w:pPr>
              <w:rPr>
                <w:sz w:val="21"/>
                <w:szCs w:val="21"/>
              </w:rPr>
            </w:pPr>
            <w:r w:rsidRPr="00807B7D">
              <w:rPr>
                <w:b/>
                <w:sz w:val="21"/>
                <w:szCs w:val="21"/>
              </w:rPr>
              <w:t>Clinical</w:t>
            </w:r>
            <w:r w:rsidRPr="00807B7D">
              <w:rPr>
                <w:sz w:val="21"/>
                <w:szCs w:val="21"/>
              </w:rPr>
              <w:t xml:space="preserve"> eligibility</w:t>
            </w:r>
          </w:p>
        </w:tc>
      </w:tr>
      <w:tr w:rsidR="00822757" w:rsidRPr="00807B7D" w14:paraId="5D228883" w14:textId="77777777" w:rsidTr="00B64118">
        <w:trPr>
          <w:trHeight w:val="1152"/>
        </w:trPr>
        <w:tc>
          <w:tcPr>
            <w:tcW w:w="1131" w:type="dxa"/>
            <w:vMerge/>
            <w:shd w:val="clear" w:color="auto" w:fill="EAF1DD" w:themeFill="accent3" w:themeFillTint="33"/>
            <w:vAlign w:val="center"/>
          </w:tcPr>
          <w:p w14:paraId="2BFC6C57" w14:textId="77777777" w:rsidR="00822757" w:rsidRPr="00822757" w:rsidRDefault="00822757" w:rsidP="00492122">
            <w:pPr>
              <w:jc w:val="center"/>
              <w:rPr>
                <w:b/>
                <w:color w:val="1F497D" w:themeColor="text2"/>
                <w:sz w:val="20"/>
                <w:szCs w:val="20"/>
              </w:rPr>
            </w:pPr>
          </w:p>
        </w:tc>
        <w:tc>
          <w:tcPr>
            <w:tcW w:w="1728" w:type="dxa"/>
            <w:shd w:val="clear" w:color="auto" w:fill="F2F2F2" w:themeFill="background1" w:themeFillShade="F2"/>
            <w:vAlign w:val="center"/>
          </w:tcPr>
          <w:p w14:paraId="31394FBE" w14:textId="73A56ABB" w:rsidR="00822757" w:rsidRPr="00822757" w:rsidRDefault="00822757" w:rsidP="007400BD">
            <w:pPr>
              <w:rPr>
                <w:b/>
                <w:i/>
                <w:sz w:val="20"/>
                <w:szCs w:val="21"/>
              </w:rPr>
            </w:pPr>
            <w:r w:rsidRPr="00822757">
              <w:rPr>
                <w:b/>
                <w:i/>
                <w:sz w:val="20"/>
                <w:szCs w:val="21"/>
              </w:rPr>
              <w:t>Money Management</w:t>
            </w:r>
          </w:p>
        </w:tc>
        <w:tc>
          <w:tcPr>
            <w:tcW w:w="4896" w:type="dxa"/>
            <w:shd w:val="clear" w:color="auto" w:fill="F2F2F2" w:themeFill="background1" w:themeFillShade="F2"/>
            <w:vAlign w:val="center"/>
          </w:tcPr>
          <w:p w14:paraId="7EB4F6F3" w14:textId="05CF578E" w:rsidR="00822757" w:rsidRPr="008A201A" w:rsidRDefault="008A201A" w:rsidP="008A201A">
            <w:pPr>
              <w:rPr>
                <w:sz w:val="21"/>
                <w:szCs w:val="21"/>
              </w:rPr>
            </w:pPr>
            <w:r w:rsidRPr="008A201A">
              <w:rPr>
                <w:sz w:val="21"/>
                <w:szCs w:val="21"/>
              </w:rPr>
              <w:t>Assists those who have difficulty managing personal household budgets, paying bills, keeping track of banking records, intervening with creditors and handling other issues related to personal finances.</w:t>
            </w:r>
          </w:p>
        </w:tc>
        <w:tc>
          <w:tcPr>
            <w:tcW w:w="1551" w:type="dxa"/>
            <w:shd w:val="clear" w:color="auto" w:fill="F2F2F2" w:themeFill="background1" w:themeFillShade="F2"/>
            <w:vAlign w:val="center"/>
          </w:tcPr>
          <w:p w14:paraId="7F72BAB0" w14:textId="327DAA27" w:rsidR="00822757" w:rsidRPr="00807B7D" w:rsidRDefault="00822757" w:rsidP="007400BD">
            <w:pPr>
              <w:rPr>
                <w:sz w:val="21"/>
                <w:szCs w:val="21"/>
              </w:rPr>
            </w:pPr>
            <w:r>
              <w:rPr>
                <w:sz w:val="21"/>
                <w:szCs w:val="21"/>
              </w:rPr>
              <w:t>Not eligible</w:t>
            </w:r>
          </w:p>
        </w:tc>
        <w:tc>
          <w:tcPr>
            <w:tcW w:w="1551" w:type="dxa"/>
            <w:shd w:val="clear" w:color="auto" w:fill="F2F2F2" w:themeFill="background1" w:themeFillShade="F2"/>
            <w:vAlign w:val="center"/>
          </w:tcPr>
          <w:p w14:paraId="6F710039" w14:textId="4499C2A2" w:rsidR="00822757" w:rsidRPr="00807B7D" w:rsidRDefault="00822757" w:rsidP="007400BD">
            <w:pPr>
              <w:rPr>
                <w:sz w:val="21"/>
                <w:szCs w:val="21"/>
              </w:rPr>
            </w:pPr>
            <w:r w:rsidRPr="00807B7D">
              <w:rPr>
                <w:b/>
                <w:sz w:val="21"/>
                <w:szCs w:val="21"/>
              </w:rPr>
              <w:t>Income</w:t>
            </w:r>
            <w:r w:rsidRPr="00807B7D">
              <w:rPr>
                <w:sz w:val="21"/>
                <w:szCs w:val="21"/>
              </w:rPr>
              <w:t xml:space="preserve"> and </w:t>
            </w:r>
            <w:r w:rsidRPr="00807B7D">
              <w:rPr>
                <w:b/>
                <w:sz w:val="21"/>
                <w:szCs w:val="21"/>
              </w:rPr>
              <w:t>clinical</w:t>
            </w:r>
            <w:r w:rsidRPr="00807B7D">
              <w:rPr>
                <w:sz w:val="21"/>
                <w:szCs w:val="21"/>
              </w:rPr>
              <w:t xml:space="preserve"> eligibility</w:t>
            </w:r>
          </w:p>
        </w:tc>
      </w:tr>
      <w:tr w:rsidR="00822757" w:rsidRPr="00807B7D" w14:paraId="1B60A9CD" w14:textId="77777777" w:rsidTr="00B64118">
        <w:trPr>
          <w:trHeight w:val="1152"/>
        </w:trPr>
        <w:tc>
          <w:tcPr>
            <w:tcW w:w="1131" w:type="dxa"/>
            <w:vMerge w:val="restart"/>
            <w:shd w:val="clear" w:color="auto" w:fill="EAF1DD" w:themeFill="accent3" w:themeFillTint="33"/>
            <w:vAlign w:val="center"/>
          </w:tcPr>
          <w:p w14:paraId="40AED1EB" w14:textId="296C78F2" w:rsidR="00822757" w:rsidRPr="00822757" w:rsidRDefault="00822757" w:rsidP="00492122">
            <w:pPr>
              <w:jc w:val="center"/>
              <w:rPr>
                <w:b/>
                <w:color w:val="1F497D" w:themeColor="text2"/>
                <w:sz w:val="20"/>
                <w:szCs w:val="20"/>
              </w:rPr>
            </w:pPr>
            <w:r w:rsidRPr="00822757">
              <w:rPr>
                <w:b/>
                <w:color w:val="1F497D" w:themeColor="text2"/>
                <w:sz w:val="20"/>
                <w:szCs w:val="20"/>
              </w:rPr>
              <w:t>Insurance Navigation and Support</w:t>
            </w:r>
          </w:p>
        </w:tc>
        <w:tc>
          <w:tcPr>
            <w:tcW w:w="1728" w:type="dxa"/>
            <w:vAlign w:val="center"/>
          </w:tcPr>
          <w:p w14:paraId="4932D4CF" w14:textId="0DD5085F" w:rsidR="00822757" w:rsidRPr="00822757" w:rsidRDefault="001C7C59" w:rsidP="007400BD">
            <w:pPr>
              <w:rPr>
                <w:b/>
                <w:sz w:val="20"/>
              </w:rPr>
            </w:pPr>
            <w:hyperlink r:id="rId11" w:history="1">
              <w:r w:rsidR="00822757" w:rsidRPr="00822757">
                <w:rPr>
                  <w:rStyle w:val="Hyperlink"/>
                  <w:b/>
                  <w:i/>
                  <w:sz w:val="20"/>
                  <w:szCs w:val="21"/>
                </w:rPr>
                <w:t>Serving the Health Insurance Needs of Everyone (SHINE)</w:t>
              </w:r>
            </w:hyperlink>
          </w:p>
        </w:tc>
        <w:tc>
          <w:tcPr>
            <w:tcW w:w="4896" w:type="dxa"/>
            <w:vAlign w:val="center"/>
          </w:tcPr>
          <w:p w14:paraId="3E1AE895" w14:textId="170A1809" w:rsidR="00822757" w:rsidRPr="00807B7D" w:rsidRDefault="00822757" w:rsidP="007400BD">
            <w:pPr>
              <w:rPr>
                <w:sz w:val="21"/>
                <w:szCs w:val="21"/>
              </w:rPr>
            </w:pPr>
            <w:r w:rsidRPr="00807B7D">
              <w:rPr>
                <w:sz w:val="21"/>
                <w:szCs w:val="21"/>
              </w:rPr>
              <w:t xml:space="preserve">A state health insurance assistance program that provides free health insurance information, counseling and assistance to Massachusetts residents with Medicare and their caregivers. </w:t>
            </w:r>
          </w:p>
        </w:tc>
        <w:tc>
          <w:tcPr>
            <w:tcW w:w="1551" w:type="dxa"/>
            <w:vAlign w:val="center"/>
          </w:tcPr>
          <w:p w14:paraId="29597EBC" w14:textId="3FB89BF8" w:rsidR="00822757" w:rsidRDefault="00822757" w:rsidP="00B24D5A">
            <w:pPr>
              <w:rPr>
                <w:sz w:val="21"/>
                <w:szCs w:val="21"/>
              </w:rPr>
            </w:pPr>
            <w:r>
              <w:rPr>
                <w:sz w:val="21"/>
                <w:szCs w:val="21"/>
              </w:rPr>
              <w:t>Not eligible</w:t>
            </w:r>
          </w:p>
        </w:tc>
        <w:tc>
          <w:tcPr>
            <w:tcW w:w="1551" w:type="dxa"/>
            <w:vAlign w:val="center"/>
          </w:tcPr>
          <w:p w14:paraId="695FCDA2" w14:textId="78F85650" w:rsidR="00822757" w:rsidRPr="00807B7D" w:rsidRDefault="00822757" w:rsidP="007400BD">
            <w:pPr>
              <w:rPr>
                <w:sz w:val="21"/>
                <w:szCs w:val="21"/>
              </w:rPr>
            </w:pPr>
            <w:r w:rsidRPr="00807B7D">
              <w:rPr>
                <w:sz w:val="21"/>
                <w:szCs w:val="21"/>
              </w:rPr>
              <w:t xml:space="preserve">Available to all </w:t>
            </w:r>
            <w:r w:rsidRPr="00807B7D">
              <w:rPr>
                <w:b/>
                <w:sz w:val="21"/>
                <w:szCs w:val="21"/>
              </w:rPr>
              <w:t>65</w:t>
            </w:r>
            <w:r w:rsidRPr="00807B7D">
              <w:rPr>
                <w:sz w:val="21"/>
                <w:szCs w:val="21"/>
              </w:rPr>
              <w:t xml:space="preserve"> and over</w:t>
            </w:r>
          </w:p>
        </w:tc>
      </w:tr>
      <w:tr w:rsidR="00822757" w:rsidRPr="00807B7D" w14:paraId="01902514" w14:textId="77777777" w:rsidTr="00B64118">
        <w:trPr>
          <w:trHeight w:val="1152"/>
        </w:trPr>
        <w:tc>
          <w:tcPr>
            <w:tcW w:w="1131" w:type="dxa"/>
            <w:vMerge/>
            <w:shd w:val="clear" w:color="auto" w:fill="EAF1DD" w:themeFill="accent3" w:themeFillTint="33"/>
            <w:vAlign w:val="center"/>
          </w:tcPr>
          <w:p w14:paraId="670D6A5F" w14:textId="77777777" w:rsidR="00757F7D" w:rsidRPr="00822757" w:rsidRDefault="00757F7D" w:rsidP="00492122">
            <w:pPr>
              <w:jc w:val="center"/>
              <w:rPr>
                <w:b/>
                <w:color w:val="1F497D" w:themeColor="text2"/>
                <w:sz w:val="20"/>
                <w:szCs w:val="20"/>
              </w:rPr>
            </w:pPr>
          </w:p>
        </w:tc>
        <w:tc>
          <w:tcPr>
            <w:tcW w:w="1728" w:type="dxa"/>
            <w:shd w:val="clear" w:color="auto" w:fill="F2F2F2" w:themeFill="background1" w:themeFillShade="F2"/>
            <w:vAlign w:val="center"/>
          </w:tcPr>
          <w:p w14:paraId="10DBE288" w14:textId="0DB80110" w:rsidR="00757F7D" w:rsidRPr="00822757" w:rsidRDefault="001C7C59" w:rsidP="007400BD">
            <w:pPr>
              <w:rPr>
                <w:b/>
                <w:i/>
                <w:sz w:val="20"/>
                <w:szCs w:val="21"/>
              </w:rPr>
            </w:pPr>
            <w:hyperlink r:id="rId12" w:history="1">
              <w:r w:rsidR="00757F7D" w:rsidRPr="00822757">
                <w:rPr>
                  <w:rStyle w:val="Hyperlink"/>
                  <w:b/>
                  <w:i/>
                  <w:sz w:val="20"/>
                  <w:szCs w:val="21"/>
                </w:rPr>
                <w:t>Prescription Advantage</w:t>
              </w:r>
            </w:hyperlink>
          </w:p>
        </w:tc>
        <w:tc>
          <w:tcPr>
            <w:tcW w:w="4896" w:type="dxa"/>
            <w:shd w:val="clear" w:color="auto" w:fill="F2F2F2" w:themeFill="background1" w:themeFillShade="F2"/>
            <w:vAlign w:val="center"/>
          </w:tcPr>
          <w:p w14:paraId="5E8E462F" w14:textId="77777777" w:rsidR="00757F7D" w:rsidRPr="00807B7D" w:rsidRDefault="00757F7D" w:rsidP="007400BD">
            <w:pPr>
              <w:rPr>
                <w:sz w:val="21"/>
                <w:szCs w:val="21"/>
              </w:rPr>
            </w:pPr>
            <w:r w:rsidRPr="00807B7D">
              <w:rPr>
                <w:sz w:val="21"/>
                <w:szCs w:val="21"/>
              </w:rPr>
              <w:t>Provides supplemental assistance, based on income, for its members with Medicare prescription drug coverage, and primary prescription insurance coverage comparable to Medicare Part D for those not eligible for Medicare.</w:t>
            </w:r>
          </w:p>
        </w:tc>
        <w:tc>
          <w:tcPr>
            <w:tcW w:w="1551" w:type="dxa"/>
            <w:shd w:val="clear" w:color="auto" w:fill="F2F2F2" w:themeFill="background1" w:themeFillShade="F2"/>
            <w:vAlign w:val="center"/>
          </w:tcPr>
          <w:p w14:paraId="3185FDC5" w14:textId="47BAF9B2" w:rsidR="00757F7D" w:rsidRDefault="00757F7D" w:rsidP="00B24D5A">
            <w:pPr>
              <w:rPr>
                <w:sz w:val="21"/>
                <w:szCs w:val="21"/>
              </w:rPr>
            </w:pPr>
            <w:r>
              <w:rPr>
                <w:sz w:val="21"/>
                <w:szCs w:val="21"/>
              </w:rPr>
              <w:t xml:space="preserve">If meeting MassHealth </w:t>
            </w:r>
            <w:r w:rsidRPr="005D3CAC">
              <w:rPr>
                <w:b/>
                <w:sz w:val="21"/>
                <w:szCs w:val="21"/>
              </w:rPr>
              <w:t>disability guidelines</w:t>
            </w:r>
            <w:r>
              <w:rPr>
                <w:sz w:val="21"/>
                <w:szCs w:val="21"/>
              </w:rPr>
              <w:t xml:space="preserve"> and income </w:t>
            </w:r>
            <w:r w:rsidRPr="005D3CAC">
              <w:rPr>
                <w:b/>
                <w:sz w:val="21"/>
                <w:szCs w:val="21"/>
              </w:rPr>
              <w:t>eligibility</w:t>
            </w:r>
            <w:r>
              <w:rPr>
                <w:sz w:val="21"/>
                <w:szCs w:val="21"/>
              </w:rPr>
              <w:t xml:space="preserve">. </w:t>
            </w:r>
          </w:p>
          <w:p w14:paraId="5075BF0B" w14:textId="77777777" w:rsidR="00757F7D" w:rsidRPr="00B24D5A" w:rsidRDefault="00757F7D" w:rsidP="00B24D5A">
            <w:pPr>
              <w:rPr>
                <w:sz w:val="21"/>
                <w:szCs w:val="21"/>
              </w:rPr>
            </w:pPr>
          </w:p>
        </w:tc>
        <w:tc>
          <w:tcPr>
            <w:tcW w:w="1551" w:type="dxa"/>
            <w:shd w:val="clear" w:color="auto" w:fill="F2F2F2" w:themeFill="background1" w:themeFillShade="F2"/>
            <w:vAlign w:val="center"/>
          </w:tcPr>
          <w:p w14:paraId="683CDA50" w14:textId="77777777" w:rsidR="00757F7D" w:rsidRPr="00807B7D" w:rsidRDefault="00757F7D" w:rsidP="007400BD">
            <w:pPr>
              <w:rPr>
                <w:sz w:val="21"/>
                <w:szCs w:val="21"/>
              </w:rPr>
            </w:pPr>
            <w:r w:rsidRPr="00807B7D">
              <w:rPr>
                <w:sz w:val="21"/>
                <w:szCs w:val="21"/>
              </w:rPr>
              <w:t xml:space="preserve">Income eligibility for those </w:t>
            </w:r>
            <w:r w:rsidRPr="00807B7D">
              <w:rPr>
                <w:b/>
                <w:sz w:val="21"/>
                <w:szCs w:val="21"/>
              </w:rPr>
              <w:t>65</w:t>
            </w:r>
            <w:r w:rsidRPr="00807B7D">
              <w:rPr>
                <w:sz w:val="21"/>
                <w:szCs w:val="21"/>
              </w:rPr>
              <w:t xml:space="preserve"> and over</w:t>
            </w:r>
          </w:p>
        </w:tc>
      </w:tr>
      <w:tr w:rsidR="001B01FA" w:rsidRPr="00807B7D" w14:paraId="2F9FA83D" w14:textId="77777777" w:rsidTr="00B64118">
        <w:trPr>
          <w:cantSplit/>
          <w:trHeight w:val="1152"/>
        </w:trPr>
        <w:tc>
          <w:tcPr>
            <w:tcW w:w="1131" w:type="dxa"/>
            <w:tcBorders>
              <w:top w:val="single" w:sz="4" w:space="0" w:color="auto"/>
            </w:tcBorders>
            <w:shd w:val="clear" w:color="auto" w:fill="EAF1DD" w:themeFill="accent3" w:themeFillTint="33"/>
            <w:vAlign w:val="center"/>
          </w:tcPr>
          <w:p w14:paraId="4FE6AB63" w14:textId="77777777" w:rsidR="001B01FA" w:rsidRPr="00822757" w:rsidRDefault="001B01FA" w:rsidP="00982120">
            <w:pPr>
              <w:jc w:val="center"/>
              <w:rPr>
                <w:b/>
                <w:color w:val="1F497D" w:themeColor="text2"/>
                <w:sz w:val="20"/>
                <w:szCs w:val="20"/>
              </w:rPr>
            </w:pPr>
            <w:r w:rsidRPr="00822757">
              <w:rPr>
                <w:b/>
                <w:color w:val="1F497D" w:themeColor="text2"/>
                <w:sz w:val="20"/>
                <w:szCs w:val="20"/>
              </w:rPr>
              <w:t>In-Home supports</w:t>
            </w:r>
          </w:p>
        </w:tc>
        <w:tc>
          <w:tcPr>
            <w:tcW w:w="1728" w:type="dxa"/>
            <w:vAlign w:val="center"/>
          </w:tcPr>
          <w:p w14:paraId="5F49E402" w14:textId="77777777" w:rsidR="001B01FA" w:rsidRPr="00822757" w:rsidRDefault="001C7C59" w:rsidP="00982120">
            <w:pPr>
              <w:rPr>
                <w:b/>
                <w:i/>
                <w:sz w:val="20"/>
                <w:szCs w:val="21"/>
              </w:rPr>
            </w:pPr>
            <w:hyperlink r:id="rId13" w:history="1">
              <w:r w:rsidR="001B01FA" w:rsidRPr="00822757">
                <w:rPr>
                  <w:rStyle w:val="Hyperlink"/>
                  <w:b/>
                  <w:i/>
                  <w:sz w:val="20"/>
                  <w:szCs w:val="21"/>
                </w:rPr>
                <w:t>State Home Care Program</w:t>
              </w:r>
            </w:hyperlink>
          </w:p>
          <w:p w14:paraId="30BD01E9" w14:textId="77777777" w:rsidR="001B01FA" w:rsidRPr="00822757" w:rsidRDefault="001B01FA" w:rsidP="00982120">
            <w:pPr>
              <w:rPr>
                <w:i/>
                <w:sz w:val="20"/>
                <w:szCs w:val="21"/>
              </w:rPr>
            </w:pPr>
            <w:r w:rsidRPr="00822757">
              <w:rPr>
                <w:b/>
                <w:i/>
                <w:sz w:val="20"/>
                <w:szCs w:val="21"/>
              </w:rPr>
              <w:t xml:space="preserve"> </w:t>
            </w:r>
            <w:r w:rsidRPr="00822757">
              <w:rPr>
                <w:i/>
                <w:sz w:val="20"/>
                <w:szCs w:val="21"/>
              </w:rPr>
              <w:t>(See Appendix B for more information)</w:t>
            </w:r>
          </w:p>
        </w:tc>
        <w:tc>
          <w:tcPr>
            <w:tcW w:w="4896" w:type="dxa"/>
            <w:vAlign w:val="center"/>
          </w:tcPr>
          <w:p w14:paraId="5DFF11AC" w14:textId="77777777" w:rsidR="001B01FA" w:rsidRPr="00F01D0D" w:rsidRDefault="001B01FA" w:rsidP="00982120">
            <w:pPr>
              <w:rPr>
                <w:sz w:val="21"/>
                <w:szCs w:val="21"/>
              </w:rPr>
            </w:pPr>
            <w:r w:rsidRPr="00F01D0D">
              <w:rPr>
                <w:sz w:val="21"/>
                <w:szCs w:val="21"/>
              </w:rPr>
              <w:t xml:space="preserve">Provides in-home </w:t>
            </w:r>
            <w:r>
              <w:rPr>
                <w:sz w:val="21"/>
                <w:szCs w:val="21"/>
              </w:rPr>
              <w:t xml:space="preserve">and community </w:t>
            </w:r>
            <w:r w:rsidRPr="00F01D0D">
              <w:rPr>
                <w:sz w:val="21"/>
                <w:szCs w:val="21"/>
              </w:rPr>
              <w:t>supports and services, including personal care, companionship, meal preparation</w:t>
            </w:r>
            <w:r>
              <w:rPr>
                <w:sz w:val="21"/>
                <w:szCs w:val="21"/>
              </w:rPr>
              <w:t>, laundry</w:t>
            </w:r>
            <w:r w:rsidRPr="00F01D0D">
              <w:rPr>
                <w:sz w:val="21"/>
                <w:szCs w:val="21"/>
              </w:rPr>
              <w:t xml:space="preserve"> and assistance with activities of daily living </w:t>
            </w:r>
            <w:r>
              <w:rPr>
                <w:sz w:val="21"/>
                <w:szCs w:val="21"/>
              </w:rPr>
              <w:t>and instrumental activities of daily living</w:t>
            </w:r>
            <w:r w:rsidRPr="00F01D0D">
              <w:rPr>
                <w:sz w:val="21"/>
                <w:szCs w:val="21"/>
              </w:rPr>
              <w:t>.</w:t>
            </w:r>
          </w:p>
        </w:tc>
        <w:tc>
          <w:tcPr>
            <w:tcW w:w="1551" w:type="dxa"/>
            <w:vAlign w:val="center"/>
          </w:tcPr>
          <w:p w14:paraId="1D55DF02" w14:textId="7FA83431" w:rsidR="001B01FA" w:rsidRPr="00F01D0D" w:rsidRDefault="001B01FA" w:rsidP="00982120">
            <w:pPr>
              <w:rPr>
                <w:sz w:val="21"/>
                <w:szCs w:val="21"/>
              </w:rPr>
            </w:pPr>
            <w:r w:rsidRPr="00F01D0D">
              <w:rPr>
                <w:sz w:val="21"/>
                <w:szCs w:val="21"/>
              </w:rPr>
              <w:t xml:space="preserve">If diagnosed with </w:t>
            </w:r>
            <w:r w:rsidRPr="00F01D0D">
              <w:rPr>
                <w:b/>
                <w:sz w:val="21"/>
                <w:szCs w:val="21"/>
              </w:rPr>
              <w:t>dementia</w:t>
            </w:r>
            <w:r w:rsidRPr="00F01D0D">
              <w:rPr>
                <w:sz w:val="21"/>
                <w:szCs w:val="21"/>
              </w:rPr>
              <w:t xml:space="preserve">, as well as </w:t>
            </w:r>
            <w:r w:rsidR="00922D0D" w:rsidRPr="00922D0D">
              <w:rPr>
                <w:b/>
                <w:sz w:val="21"/>
                <w:szCs w:val="21"/>
              </w:rPr>
              <w:t>income</w:t>
            </w:r>
            <w:r w:rsidR="00922D0D">
              <w:rPr>
                <w:sz w:val="21"/>
                <w:szCs w:val="21"/>
              </w:rPr>
              <w:t xml:space="preserve"> and </w:t>
            </w:r>
            <w:r w:rsidRPr="00F01D0D">
              <w:rPr>
                <w:b/>
                <w:sz w:val="21"/>
                <w:szCs w:val="21"/>
              </w:rPr>
              <w:t>clinical</w:t>
            </w:r>
            <w:r w:rsidRPr="00F01D0D">
              <w:rPr>
                <w:sz w:val="21"/>
                <w:szCs w:val="21"/>
              </w:rPr>
              <w:t xml:space="preserve"> </w:t>
            </w:r>
            <w:r w:rsidRPr="00822757">
              <w:rPr>
                <w:b/>
                <w:sz w:val="21"/>
                <w:szCs w:val="21"/>
              </w:rPr>
              <w:t>eligibility</w:t>
            </w:r>
          </w:p>
        </w:tc>
        <w:tc>
          <w:tcPr>
            <w:tcW w:w="1551" w:type="dxa"/>
            <w:vAlign w:val="center"/>
          </w:tcPr>
          <w:p w14:paraId="02591C4F" w14:textId="77777777" w:rsidR="001B01FA" w:rsidRPr="00F01D0D" w:rsidRDefault="001B01FA" w:rsidP="00982120">
            <w:pPr>
              <w:rPr>
                <w:b/>
                <w:sz w:val="21"/>
                <w:szCs w:val="21"/>
              </w:rPr>
            </w:pPr>
            <w:r w:rsidRPr="00F01D0D">
              <w:rPr>
                <w:b/>
                <w:sz w:val="21"/>
                <w:szCs w:val="21"/>
              </w:rPr>
              <w:t>Clinical</w:t>
            </w:r>
            <w:r w:rsidRPr="00F01D0D">
              <w:rPr>
                <w:sz w:val="21"/>
                <w:szCs w:val="21"/>
              </w:rPr>
              <w:t xml:space="preserve"> </w:t>
            </w:r>
            <w:r w:rsidRPr="00822757">
              <w:rPr>
                <w:b/>
                <w:sz w:val="21"/>
                <w:szCs w:val="21"/>
              </w:rPr>
              <w:t>eligibility</w:t>
            </w:r>
          </w:p>
        </w:tc>
      </w:tr>
      <w:tr w:rsidR="00822757" w:rsidRPr="00807B7D" w14:paraId="1CD6420B" w14:textId="77777777" w:rsidTr="00B64118">
        <w:trPr>
          <w:cantSplit/>
          <w:trHeight w:val="1152"/>
        </w:trPr>
        <w:tc>
          <w:tcPr>
            <w:tcW w:w="1131" w:type="dxa"/>
            <w:shd w:val="clear" w:color="auto" w:fill="EAF1DD" w:themeFill="accent3" w:themeFillTint="33"/>
            <w:vAlign w:val="center"/>
          </w:tcPr>
          <w:p w14:paraId="65354A5C" w14:textId="57EB1DD6" w:rsidR="00757F7D" w:rsidRPr="00822757" w:rsidRDefault="00822757" w:rsidP="00492122">
            <w:pPr>
              <w:jc w:val="center"/>
              <w:rPr>
                <w:b/>
                <w:color w:val="1F497D" w:themeColor="text2"/>
                <w:sz w:val="20"/>
                <w:szCs w:val="20"/>
              </w:rPr>
            </w:pPr>
            <w:r w:rsidRPr="00822757">
              <w:rPr>
                <w:b/>
                <w:color w:val="1F497D" w:themeColor="text2"/>
                <w:sz w:val="20"/>
                <w:szCs w:val="20"/>
              </w:rPr>
              <w:t>Evidence</w:t>
            </w:r>
            <w:r w:rsidR="00757F7D" w:rsidRPr="00822757">
              <w:rPr>
                <w:b/>
                <w:color w:val="1F497D" w:themeColor="text2"/>
                <w:sz w:val="20"/>
                <w:szCs w:val="20"/>
              </w:rPr>
              <w:t>-Based Programs</w:t>
            </w:r>
          </w:p>
        </w:tc>
        <w:tc>
          <w:tcPr>
            <w:tcW w:w="1728" w:type="dxa"/>
            <w:shd w:val="clear" w:color="auto" w:fill="F2F2F2" w:themeFill="background1" w:themeFillShade="F2"/>
            <w:vAlign w:val="center"/>
          </w:tcPr>
          <w:p w14:paraId="0EE057F1" w14:textId="08B6BB1F" w:rsidR="00757F7D" w:rsidRPr="00822757" w:rsidRDefault="00757F7D" w:rsidP="007400BD">
            <w:pPr>
              <w:rPr>
                <w:b/>
                <w:i/>
                <w:sz w:val="20"/>
                <w:szCs w:val="21"/>
              </w:rPr>
            </w:pPr>
            <w:r w:rsidRPr="00822757">
              <w:rPr>
                <w:b/>
                <w:i/>
                <w:sz w:val="20"/>
                <w:szCs w:val="21"/>
              </w:rPr>
              <w:t>Savvy Caregiver Training</w:t>
            </w:r>
          </w:p>
        </w:tc>
        <w:tc>
          <w:tcPr>
            <w:tcW w:w="4896" w:type="dxa"/>
            <w:shd w:val="clear" w:color="auto" w:fill="F2F2F2" w:themeFill="background1" w:themeFillShade="F2"/>
            <w:vAlign w:val="center"/>
          </w:tcPr>
          <w:p w14:paraId="4F9A8487" w14:textId="77777777" w:rsidR="00757F7D" w:rsidRPr="00807B7D" w:rsidRDefault="00757F7D" w:rsidP="007400BD">
            <w:pPr>
              <w:rPr>
                <w:sz w:val="21"/>
                <w:szCs w:val="21"/>
              </w:rPr>
            </w:pPr>
            <w:r w:rsidRPr="00807B7D">
              <w:rPr>
                <w:sz w:val="21"/>
                <w:szCs w:val="21"/>
              </w:rPr>
              <w:t xml:space="preserve">A series of six evidence-based training sessions for family caregivers of persons with dementia. </w:t>
            </w:r>
          </w:p>
        </w:tc>
        <w:tc>
          <w:tcPr>
            <w:tcW w:w="1551" w:type="dxa"/>
            <w:shd w:val="clear" w:color="auto" w:fill="F2F2F2" w:themeFill="background1" w:themeFillShade="F2"/>
            <w:vAlign w:val="center"/>
          </w:tcPr>
          <w:p w14:paraId="75DB0FEC" w14:textId="77777777" w:rsidR="00757F7D" w:rsidRPr="00807B7D" w:rsidRDefault="00757F7D" w:rsidP="007400BD">
            <w:pPr>
              <w:rPr>
                <w:sz w:val="21"/>
                <w:szCs w:val="21"/>
              </w:rPr>
            </w:pPr>
            <w:r w:rsidRPr="00807B7D">
              <w:rPr>
                <w:sz w:val="21"/>
                <w:szCs w:val="21"/>
              </w:rPr>
              <w:t xml:space="preserve">If diagnosed with </w:t>
            </w:r>
            <w:r w:rsidRPr="00807B7D">
              <w:rPr>
                <w:b/>
                <w:sz w:val="21"/>
                <w:szCs w:val="21"/>
              </w:rPr>
              <w:t>dementia</w:t>
            </w:r>
          </w:p>
        </w:tc>
        <w:tc>
          <w:tcPr>
            <w:tcW w:w="1551" w:type="dxa"/>
            <w:shd w:val="clear" w:color="auto" w:fill="F2F2F2" w:themeFill="background1" w:themeFillShade="F2"/>
            <w:vAlign w:val="center"/>
          </w:tcPr>
          <w:p w14:paraId="6FFECB9D" w14:textId="77777777" w:rsidR="00757F7D" w:rsidRPr="00807B7D" w:rsidRDefault="00757F7D" w:rsidP="007400BD">
            <w:pPr>
              <w:rPr>
                <w:sz w:val="21"/>
                <w:szCs w:val="21"/>
              </w:rPr>
            </w:pPr>
            <w:r w:rsidRPr="00807B7D">
              <w:rPr>
                <w:sz w:val="21"/>
                <w:szCs w:val="21"/>
              </w:rPr>
              <w:t xml:space="preserve">If diagnosed with </w:t>
            </w:r>
            <w:r w:rsidRPr="00807B7D">
              <w:rPr>
                <w:b/>
                <w:sz w:val="21"/>
                <w:szCs w:val="21"/>
              </w:rPr>
              <w:t>dementia</w:t>
            </w:r>
          </w:p>
        </w:tc>
      </w:tr>
    </w:tbl>
    <w:p w14:paraId="4738513B" w14:textId="77777777" w:rsidR="008535EB" w:rsidRDefault="008535EB" w:rsidP="005F4322">
      <w:pPr>
        <w:rPr>
          <w:b/>
          <w:color w:val="1F497D" w:themeColor="text2"/>
          <w:sz w:val="28"/>
          <w:szCs w:val="28"/>
        </w:rPr>
      </w:pPr>
    </w:p>
    <w:p w14:paraId="67B9DDA7" w14:textId="28A69370" w:rsidR="00F60A49" w:rsidRPr="00F60A49" w:rsidRDefault="00F60A49" w:rsidP="005F4322">
      <w:pPr>
        <w:rPr>
          <w:i/>
        </w:rPr>
      </w:pPr>
      <w:r w:rsidRPr="008D4F48">
        <w:rPr>
          <w:i/>
        </w:rPr>
        <w:lastRenderedPageBreak/>
        <w:t xml:space="preserve">There are additional supports available in the community to help individuals and families navigate care. </w:t>
      </w:r>
    </w:p>
    <w:p w14:paraId="639654D0" w14:textId="219BA0BE" w:rsidR="00F60A49" w:rsidRDefault="00F60A49" w:rsidP="005F4322">
      <w:pPr>
        <w:rPr>
          <w:b/>
          <w:color w:val="1F497D" w:themeColor="text2"/>
          <w:sz w:val="28"/>
          <w:szCs w:val="28"/>
        </w:rPr>
      </w:pPr>
      <w:r w:rsidRPr="002313E2">
        <w:rPr>
          <w:noProof/>
          <w:color w:val="1F497D" w:themeColor="text2"/>
        </w:rPr>
        <mc:AlternateContent>
          <mc:Choice Requires="wps">
            <w:drawing>
              <wp:anchor distT="0" distB="0" distL="114300" distR="114300" simplePos="0" relativeHeight="251669504" behindDoc="0" locked="0" layoutInCell="1" allowOverlap="1" wp14:anchorId="4AB2CB22" wp14:editId="6A725198">
                <wp:simplePos x="0" y="0"/>
                <wp:positionH relativeFrom="column">
                  <wp:posOffset>1308100</wp:posOffset>
                </wp:positionH>
                <wp:positionV relativeFrom="paragraph">
                  <wp:posOffset>137795</wp:posOffset>
                </wp:positionV>
                <wp:extent cx="4905375" cy="8890"/>
                <wp:effectExtent l="0" t="0" r="9525" b="29210"/>
                <wp:wrapNone/>
                <wp:docPr id="1" name="Straight Connector 1"/>
                <wp:cNvGraphicFramePr/>
                <a:graphic xmlns:a="http://schemas.openxmlformats.org/drawingml/2006/main">
                  <a:graphicData uri="http://schemas.microsoft.com/office/word/2010/wordprocessingShape">
                    <wps:wsp>
                      <wps:cNvCnPr/>
                      <wps:spPr>
                        <a:xfrm flipH="1">
                          <a:off x="0" y="0"/>
                          <a:ext cx="4905375" cy="8890"/>
                        </a:xfrm>
                        <a:prstGeom prst="line">
                          <a:avLst/>
                        </a:prstGeom>
                        <a:ln>
                          <a:solidFill>
                            <a:schemeClr val="tx2"/>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 o:spid="_x0000_s1026" style="position:absolute;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3pt,10.85pt" to="489.2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" strokecolor="#1f497d [3215]" strokeweight="2pt"/>
            </w:pict>
          </mc:Fallback>
        </mc:AlternateContent>
      </w:r>
      <w:r>
        <w:rPr>
          <w:b/>
          <w:color w:val="1F497D" w:themeColor="text2"/>
          <w:sz w:val="28"/>
          <w:szCs w:val="28"/>
        </w:rPr>
        <w:t>Local Resources</w:t>
      </w:r>
    </w:p>
    <w:p w14:paraId="241D560C" w14:textId="3AE3EF94" w:rsidR="00F60A49" w:rsidRPr="00286B8E" w:rsidRDefault="001C7C59" w:rsidP="00F60A49">
      <w:pPr>
        <w:pStyle w:val="ListParagraph"/>
        <w:numPr>
          <w:ilvl w:val="0"/>
          <w:numId w:val="12"/>
        </w:numPr>
        <w:rPr>
          <w:b/>
        </w:rPr>
      </w:pPr>
      <w:hyperlink r:id="rId14" w:history="1">
        <w:r w:rsidR="00F60A49" w:rsidRPr="00286B8E">
          <w:rPr>
            <w:rStyle w:val="Hyperlink"/>
            <w:b/>
          </w:rPr>
          <w:t xml:space="preserve">The </w:t>
        </w:r>
        <w:r w:rsidR="00DB685B">
          <w:rPr>
            <w:rStyle w:val="Hyperlink"/>
            <w:b/>
          </w:rPr>
          <w:t xml:space="preserve">Boston </w:t>
        </w:r>
        <w:r w:rsidR="00F60A49" w:rsidRPr="00286B8E">
          <w:rPr>
            <w:rStyle w:val="Hyperlink"/>
            <w:b/>
          </w:rPr>
          <w:t>Veterans Independence Plus Program (VIP)</w:t>
        </w:r>
      </w:hyperlink>
      <w:r w:rsidR="00F60A49" w:rsidRPr="00286B8E">
        <w:t>:</w:t>
      </w:r>
      <w:r w:rsidR="00F60A49" w:rsidRPr="00286B8E">
        <w:rPr>
          <w:b/>
        </w:rPr>
        <w:t xml:space="preserve"> </w:t>
      </w:r>
      <w:r w:rsidR="00F60A49" w:rsidRPr="00286B8E">
        <w:t>Provides Veterans enrolled in the VA Boston Healthcare System, who are in need of nursing home level of care, a budget to buy services and goods to support them in their homes, including:</w:t>
      </w:r>
    </w:p>
    <w:p w14:paraId="147ACED9" w14:textId="77777777" w:rsidR="00F60A49" w:rsidRPr="00286B8E" w:rsidRDefault="00F60A49" w:rsidP="00F60A49">
      <w:pPr>
        <w:pStyle w:val="ListParagraph"/>
        <w:numPr>
          <w:ilvl w:val="0"/>
          <w:numId w:val="13"/>
        </w:numPr>
        <w:rPr>
          <w:i/>
        </w:rPr>
      </w:pPr>
      <w:r w:rsidRPr="00286B8E">
        <w:rPr>
          <w:i/>
        </w:rPr>
        <w:t>Private caregivers to complete activities of daily living (ADLs)</w:t>
      </w:r>
    </w:p>
    <w:p w14:paraId="465E0F0F" w14:textId="77777777" w:rsidR="00F60A49" w:rsidRPr="00286B8E" w:rsidRDefault="00F60A49" w:rsidP="00F60A49">
      <w:pPr>
        <w:pStyle w:val="ListParagraph"/>
        <w:numPr>
          <w:ilvl w:val="0"/>
          <w:numId w:val="13"/>
        </w:numPr>
        <w:rPr>
          <w:i/>
        </w:rPr>
      </w:pPr>
      <w:r w:rsidRPr="00286B8E">
        <w:rPr>
          <w:i/>
        </w:rPr>
        <w:t xml:space="preserve">Adult Day Health </w:t>
      </w:r>
    </w:p>
    <w:p w14:paraId="21747D14" w14:textId="77777777" w:rsidR="00F60A49" w:rsidRDefault="00F60A49" w:rsidP="00F60A49">
      <w:pPr>
        <w:pStyle w:val="ListParagraph"/>
        <w:numPr>
          <w:ilvl w:val="0"/>
          <w:numId w:val="13"/>
        </w:numPr>
        <w:rPr>
          <w:i/>
        </w:rPr>
      </w:pPr>
      <w:r w:rsidRPr="00286B8E">
        <w:rPr>
          <w:i/>
        </w:rPr>
        <w:t>In-home respite services</w:t>
      </w:r>
    </w:p>
    <w:p w14:paraId="479F213B" w14:textId="77777777" w:rsidR="00F60A49" w:rsidRDefault="00F60A49" w:rsidP="00F60A49">
      <w:pPr>
        <w:pStyle w:val="ListParagraph"/>
        <w:ind w:left="1440"/>
        <w:rPr>
          <w:i/>
        </w:rPr>
      </w:pPr>
    </w:p>
    <w:p w14:paraId="1725784B" w14:textId="092B2EBB" w:rsidR="00F60A49" w:rsidRPr="00F60A49" w:rsidRDefault="00F60A49" w:rsidP="005F4322">
      <w:pPr>
        <w:pStyle w:val="ListParagraph"/>
        <w:numPr>
          <w:ilvl w:val="0"/>
          <w:numId w:val="12"/>
        </w:numPr>
        <w:rPr>
          <w:b/>
        </w:rPr>
      </w:pPr>
      <w:r>
        <w:t xml:space="preserve">Municipal/local </w:t>
      </w:r>
      <w:hyperlink r:id="rId15" w:history="1">
        <w:r w:rsidRPr="00286B8E">
          <w:rPr>
            <w:rStyle w:val="Hyperlink"/>
            <w:b/>
          </w:rPr>
          <w:t>Councils on Aging</w:t>
        </w:r>
      </w:hyperlink>
      <w:r w:rsidRPr="00286B8E">
        <w:rPr>
          <w:b/>
        </w:rPr>
        <w:t xml:space="preserve">: </w:t>
      </w:r>
      <w:r w:rsidRPr="00286B8E">
        <w:t>350 municipal agencies that provide local outreach, social and health services, advocacy, information and referral for older adults, their families and caregivers.</w:t>
      </w:r>
    </w:p>
    <w:p w14:paraId="78B25F47" w14:textId="77777777" w:rsidR="00991684" w:rsidRDefault="00991684" w:rsidP="005F4322">
      <w:pPr>
        <w:rPr>
          <w:b/>
          <w:color w:val="1F497D" w:themeColor="text2"/>
          <w:sz w:val="28"/>
          <w:szCs w:val="28"/>
        </w:rPr>
      </w:pPr>
    </w:p>
    <w:p w14:paraId="1200E764" w14:textId="4799B311" w:rsidR="005F4322" w:rsidRPr="002313E2" w:rsidRDefault="005F4322" w:rsidP="005F4322">
      <w:pPr>
        <w:rPr>
          <w:b/>
          <w:color w:val="1F497D" w:themeColor="text2"/>
          <w:sz w:val="28"/>
          <w:szCs w:val="28"/>
        </w:rPr>
      </w:pPr>
      <w:r w:rsidRPr="002313E2">
        <w:rPr>
          <w:noProof/>
          <w:color w:val="1F497D" w:themeColor="text2"/>
        </w:rPr>
        <mc:AlternateContent>
          <mc:Choice Requires="wps">
            <w:drawing>
              <wp:anchor distT="0" distB="0" distL="114300" distR="114300" simplePos="0" relativeHeight="251667456" behindDoc="0" locked="0" layoutInCell="1" allowOverlap="1" wp14:anchorId="47B9AA77" wp14:editId="64926B08">
                <wp:simplePos x="0" y="0"/>
                <wp:positionH relativeFrom="column">
                  <wp:posOffset>1309421</wp:posOffset>
                </wp:positionH>
                <wp:positionV relativeFrom="paragraph">
                  <wp:posOffset>117805</wp:posOffset>
                </wp:positionV>
                <wp:extent cx="4905884" cy="8890"/>
                <wp:effectExtent l="0" t="0" r="9525" b="29210"/>
                <wp:wrapNone/>
                <wp:docPr id="3" name="Straight Connector 3"/>
                <wp:cNvGraphicFramePr/>
                <a:graphic xmlns:a="http://schemas.openxmlformats.org/drawingml/2006/main">
                  <a:graphicData uri="http://schemas.microsoft.com/office/word/2010/wordprocessingShape">
                    <wps:wsp>
                      <wps:cNvCnPr/>
                      <wps:spPr>
                        <a:xfrm flipH="1">
                          <a:off x="0" y="0"/>
                          <a:ext cx="4905884" cy="8890"/>
                        </a:xfrm>
                        <a:prstGeom prst="line">
                          <a:avLst/>
                        </a:prstGeom>
                        <a:ln>
                          <a:solidFill>
                            <a:schemeClr val="tx2"/>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B0F048B" id="Straight Connector 3" o:spid="_x0000_s1026" style="position:absolute;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3.1pt,9.3pt" to="489.4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" strokecolor="#1f497d [3215]" strokeweight="2pt"/>
            </w:pict>
          </mc:Fallback>
        </mc:AlternateContent>
      </w:r>
      <w:r>
        <w:rPr>
          <w:b/>
          <w:color w:val="1F497D" w:themeColor="text2"/>
          <w:sz w:val="28"/>
          <w:szCs w:val="28"/>
        </w:rPr>
        <w:t>Other Resources</w:t>
      </w:r>
      <w:r w:rsidRPr="002313E2">
        <w:rPr>
          <w:b/>
          <w:color w:val="1F497D" w:themeColor="text2"/>
          <w:sz w:val="28"/>
          <w:szCs w:val="28"/>
        </w:rPr>
        <w:t xml:space="preserve"> </w:t>
      </w:r>
    </w:p>
    <w:p w14:paraId="57CDFDC9" w14:textId="175BD4D0" w:rsidR="00983982" w:rsidRDefault="001C7C59" w:rsidP="00B24D5A">
      <w:pPr>
        <w:pStyle w:val="ListParagraph"/>
        <w:numPr>
          <w:ilvl w:val="0"/>
          <w:numId w:val="12"/>
        </w:numPr>
      </w:pPr>
      <w:hyperlink r:id="rId16" w:history="1">
        <w:r w:rsidR="00983982" w:rsidRPr="00286B8E">
          <w:rPr>
            <w:rStyle w:val="Hyperlink"/>
            <w:b/>
          </w:rPr>
          <w:t>The Ombudsman Program</w:t>
        </w:r>
      </w:hyperlink>
      <w:r w:rsidR="00B24D5A" w:rsidRPr="00286B8E">
        <w:rPr>
          <w:b/>
        </w:rPr>
        <w:t xml:space="preserve">: </w:t>
      </w:r>
      <w:r w:rsidR="00B24D5A" w:rsidRPr="00286B8E">
        <w:t>The ombudsman service offers a way for older adults to voice their complaints and have concerns addressed</w:t>
      </w:r>
      <w:r w:rsidR="002C4D16" w:rsidRPr="00286B8E">
        <w:t xml:space="preserve"> by an advocate</w:t>
      </w:r>
      <w:r w:rsidR="00B24D5A" w:rsidRPr="00286B8E">
        <w:t xml:space="preserve">. </w:t>
      </w:r>
    </w:p>
    <w:p w14:paraId="7BCC1781" w14:textId="77777777" w:rsidR="00C4172C" w:rsidRDefault="00C4172C" w:rsidP="00C4172C">
      <w:pPr>
        <w:pStyle w:val="ListParagraph"/>
      </w:pPr>
    </w:p>
    <w:tbl>
      <w:tblPr>
        <w:tblStyle w:val="TableGrid"/>
        <w:tblW w:w="10800" w:type="dxa"/>
        <w:tblInd w:w="18" w:type="dxa"/>
        <w:tblLook w:val="04A0" w:firstRow="1" w:lastRow="0" w:firstColumn="1" w:lastColumn="0" w:noHBand="0" w:noVBand="1"/>
      </w:tblPr>
      <w:tblGrid>
        <w:gridCol w:w="1800"/>
        <w:gridCol w:w="7416"/>
        <w:gridCol w:w="1584"/>
      </w:tblGrid>
      <w:tr w:rsidR="007E1B6D" w14:paraId="36D4269F" w14:textId="77777777" w:rsidTr="00A7634D">
        <w:trPr>
          <w:trHeight w:val="144"/>
        </w:trPr>
        <w:tc>
          <w:tcPr>
            <w:tcW w:w="1800" w:type="dxa"/>
            <w:shd w:val="clear" w:color="auto" w:fill="F2F2F2" w:themeFill="background1" w:themeFillShade="F2"/>
            <w:vAlign w:val="center"/>
          </w:tcPr>
          <w:p w14:paraId="3D27F162" w14:textId="03DA638E" w:rsidR="007E1B6D" w:rsidRPr="007E1B6D" w:rsidRDefault="007E1B6D" w:rsidP="00C4172C">
            <w:pPr>
              <w:pStyle w:val="ListParagraph"/>
              <w:ind w:left="0"/>
              <w:rPr>
                <w:b/>
              </w:rPr>
            </w:pPr>
            <w:r w:rsidRPr="007E1B6D">
              <w:rPr>
                <w:b/>
              </w:rPr>
              <w:t>Service</w:t>
            </w:r>
          </w:p>
        </w:tc>
        <w:tc>
          <w:tcPr>
            <w:tcW w:w="7416" w:type="dxa"/>
            <w:shd w:val="clear" w:color="auto" w:fill="F2F2F2" w:themeFill="background1" w:themeFillShade="F2"/>
            <w:vAlign w:val="center"/>
          </w:tcPr>
          <w:p w14:paraId="4064049C" w14:textId="6C29DE21" w:rsidR="007E1B6D" w:rsidRPr="007E1B6D" w:rsidRDefault="007E1B6D" w:rsidP="00C4172C">
            <w:pPr>
              <w:rPr>
                <w:b/>
              </w:rPr>
            </w:pPr>
            <w:r w:rsidRPr="007E1B6D">
              <w:rPr>
                <w:b/>
              </w:rPr>
              <w:t>Description</w:t>
            </w:r>
          </w:p>
        </w:tc>
        <w:tc>
          <w:tcPr>
            <w:tcW w:w="1584" w:type="dxa"/>
            <w:shd w:val="clear" w:color="auto" w:fill="F2F2F2" w:themeFill="background1" w:themeFillShade="F2"/>
            <w:vAlign w:val="center"/>
          </w:tcPr>
          <w:p w14:paraId="58119D80" w14:textId="0F3F6486" w:rsidR="007E1B6D" w:rsidRPr="007E1B6D" w:rsidRDefault="007E1B6D" w:rsidP="00C4172C">
            <w:pPr>
              <w:rPr>
                <w:b/>
              </w:rPr>
            </w:pPr>
            <w:r w:rsidRPr="007E1B6D">
              <w:rPr>
                <w:b/>
              </w:rPr>
              <w:t>Contact</w:t>
            </w:r>
          </w:p>
        </w:tc>
      </w:tr>
      <w:tr w:rsidR="00C4172C" w14:paraId="46332086" w14:textId="77777777" w:rsidTr="007067E2">
        <w:trPr>
          <w:trHeight w:val="1008"/>
        </w:trPr>
        <w:tc>
          <w:tcPr>
            <w:tcW w:w="1800" w:type="dxa"/>
            <w:shd w:val="clear" w:color="auto" w:fill="F2F2F2" w:themeFill="background1" w:themeFillShade="F2"/>
            <w:vAlign w:val="center"/>
          </w:tcPr>
          <w:p w14:paraId="65050AF2" w14:textId="12275468" w:rsidR="00C4172C" w:rsidRDefault="00C4172C" w:rsidP="00C4172C">
            <w:pPr>
              <w:pStyle w:val="ListParagraph"/>
              <w:ind w:left="0"/>
            </w:pPr>
            <w:r w:rsidRPr="007E1B6D">
              <w:rPr>
                <w:b/>
                <w:i/>
              </w:rPr>
              <w:t>Community Care</w:t>
            </w:r>
            <w:r w:rsidRPr="00286B8E">
              <w:rPr>
                <w:i/>
              </w:rPr>
              <w:t xml:space="preserve"> Ombudsman</w:t>
            </w:r>
          </w:p>
        </w:tc>
        <w:tc>
          <w:tcPr>
            <w:tcW w:w="7416" w:type="dxa"/>
            <w:vAlign w:val="center"/>
          </w:tcPr>
          <w:p w14:paraId="0D81C946" w14:textId="2482F689" w:rsidR="00C4172C" w:rsidRDefault="00C4172C" w:rsidP="00C4172C">
            <w:r>
              <w:t>Helps elders who live in the community address concerns with home health care, community-based MassHealth programs, home care funded programs, and  federal private pay elder care programs.</w:t>
            </w:r>
          </w:p>
        </w:tc>
        <w:tc>
          <w:tcPr>
            <w:tcW w:w="1584" w:type="dxa"/>
            <w:vAlign w:val="center"/>
          </w:tcPr>
          <w:p w14:paraId="4713305C" w14:textId="539FF0FC" w:rsidR="00C4172C" w:rsidRDefault="00C4172C" w:rsidP="00C4172C">
            <w:r>
              <w:t>(</w:t>
            </w:r>
            <w:r w:rsidRPr="00286B8E">
              <w:t>617) 727-7750</w:t>
            </w:r>
          </w:p>
        </w:tc>
      </w:tr>
      <w:tr w:rsidR="00C4172C" w14:paraId="63DBE5B5" w14:textId="77777777" w:rsidTr="007067E2">
        <w:trPr>
          <w:trHeight w:val="1008"/>
        </w:trPr>
        <w:tc>
          <w:tcPr>
            <w:tcW w:w="1800" w:type="dxa"/>
            <w:shd w:val="clear" w:color="auto" w:fill="F2F2F2" w:themeFill="background1" w:themeFillShade="F2"/>
            <w:vAlign w:val="center"/>
          </w:tcPr>
          <w:p w14:paraId="32738C1F" w14:textId="1DEBEAFD" w:rsidR="00C4172C" w:rsidRDefault="00C4172C" w:rsidP="00C4172C">
            <w:pPr>
              <w:pStyle w:val="ListParagraph"/>
              <w:ind w:left="0"/>
            </w:pPr>
            <w:r w:rsidRPr="007E1B6D">
              <w:rPr>
                <w:b/>
                <w:i/>
              </w:rPr>
              <w:t xml:space="preserve">Assisted Living </w:t>
            </w:r>
            <w:r w:rsidRPr="00286B8E">
              <w:rPr>
                <w:i/>
              </w:rPr>
              <w:t>Ombudsman</w:t>
            </w:r>
          </w:p>
        </w:tc>
        <w:tc>
          <w:tcPr>
            <w:tcW w:w="7416" w:type="dxa"/>
            <w:vAlign w:val="center"/>
          </w:tcPr>
          <w:p w14:paraId="15D35A21" w14:textId="5CBEF327" w:rsidR="00C4172C" w:rsidRDefault="00C4172C" w:rsidP="00C4172C">
            <w:r>
              <w:t>Helps address complaints lodged on</w:t>
            </w:r>
            <w:r w:rsidRPr="006C2935">
              <w:t xml:space="preserve"> behalf of a specific resident or on beh</w:t>
            </w:r>
            <w:r>
              <w:t>alf of residents as a group. This</w:t>
            </w:r>
            <w:r w:rsidRPr="006C2935">
              <w:t xml:space="preserve"> ombudsman can </w:t>
            </w:r>
            <w:r>
              <w:t xml:space="preserve">also </w:t>
            </w:r>
            <w:r w:rsidRPr="006C2935">
              <w:t>provide you with information and concerns that have been filed against a residence</w:t>
            </w:r>
            <w:r>
              <w:t>.</w:t>
            </w:r>
          </w:p>
        </w:tc>
        <w:tc>
          <w:tcPr>
            <w:tcW w:w="1584" w:type="dxa"/>
            <w:vAlign w:val="center"/>
          </w:tcPr>
          <w:p w14:paraId="683567CC" w14:textId="39ECC48C" w:rsidR="00C4172C" w:rsidRDefault="00C4172C" w:rsidP="00C4172C">
            <w:r w:rsidRPr="00286B8E">
              <w:t>(617) 727-7750</w:t>
            </w:r>
          </w:p>
        </w:tc>
      </w:tr>
      <w:tr w:rsidR="00C4172C" w14:paraId="53F04BC7" w14:textId="77777777" w:rsidTr="007067E2">
        <w:trPr>
          <w:trHeight w:val="1008"/>
        </w:trPr>
        <w:tc>
          <w:tcPr>
            <w:tcW w:w="1800" w:type="dxa"/>
            <w:shd w:val="clear" w:color="auto" w:fill="F2F2F2" w:themeFill="background1" w:themeFillShade="F2"/>
            <w:vAlign w:val="center"/>
          </w:tcPr>
          <w:p w14:paraId="0608407A" w14:textId="1192840A" w:rsidR="00C4172C" w:rsidRDefault="00C4172C" w:rsidP="00C4172C">
            <w:pPr>
              <w:pStyle w:val="ListParagraph"/>
              <w:ind w:left="0"/>
            </w:pPr>
            <w:r w:rsidRPr="007E1B6D">
              <w:rPr>
                <w:b/>
                <w:i/>
              </w:rPr>
              <w:t>Long Term Care</w:t>
            </w:r>
            <w:r w:rsidRPr="00286B8E">
              <w:rPr>
                <w:i/>
              </w:rPr>
              <w:t xml:space="preserve"> Ombudsman</w:t>
            </w:r>
          </w:p>
        </w:tc>
        <w:tc>
          <w:tcPr>
            <w:tcW w:w="7416" w:type="dxa"/>
            <w:vAlign w:val="center"/>
          </w:tcPr>
          <w:p w14:paraId="059E3522" w14:textId="4DEAE30D" w:rsidR="00C4172C" w:rsidRDefault="00C4172C" w:rsidP="00C4172C">
            <w:pPr>
              <w:pStyle w:val="ListParagraph"/>
              <w:ind w:left="0"/>
            </w:pPr>
            <w:r>
              <w:t>Helps resolve problems related to the health, welfare, and rights of individuals living in nursing or rest homes.</w:t>
            </w:r>
          </w:p>
        </w:tc>
        <w:tc>
          <w:tcPr>
            <w:tcW w:w="1584" w:type="dxa"/>
            <w:vAlign w:val="center"/>
          </w:tcPr>
          <w:p w14:paraId="2168FE4B" w14:textId="4B3CEFE6" w:rsidR="00C4172C" w:rsidRDefault="00C4172C" w:rsidP="00C4172C">
            <w:r w:rsidRPr="00286B8E">
              <w:t>(800) 243-4636</w:t>
            </w:r>
          </w:p>
        </w:tc>
      </w:tr>
    </w:tbl>
    <w:p w14:paraId="09D3F38E" w14:textId="77777777" w:rsidR="006C2935" w:rsidRPr="00286B8E" w:rsidRDefault="006C2935" w:rsidP="006C2935">
      <w:pPr>
        <w:pStyle w:val="ListParagraph"/>
      </w:pPr>
    </w:p>
    <w:p w14:paraId="6E90DE78" w14:textId="77777777" w:rsidR="00286B8E" w:rsidRPr="00286B8E" w:rsidRDefault="00286B8E" w:rsidP="00286B8E">
      <w:pPr>
        <w:pStyle w:val="ListParagraph"/>
        <w:ind w:left="1440"/>
        <w:rPr>
          <w:i/>
        </w:rPr>
      </w:pPr>
    </w:p>
    <w:p w14:paraId="611CD0FD" w14:textId="435205C5" w:rsidR="00BA57F8" w:rsidRPr="00EF1290" w:rsidRDefault="006F1AB2" w:rsidP="005D3CAC">
      <w:pPr>
        <w:pStyle w:val="ListParagraph"/>
        <w:numPr>
          <w:ilvl w:val="0"/>
          <w:numId w:val="12"/>
        </w:numPr>
      </w:pPr>
      <w:r w:rsidRPr="00286B8E">
        <w:rPr>
          <w:b/>
        </w:rPr>
        <w:t>Intake and Referral</w:t>
      </w:r>
      <w:r w:rsidR="00EF1290">
        <w:rPr>
          <w:b/>
        </w:rPr>
        <w:t xml:space="preserve">: </w:t>
      </w:r>
      <w:r w:rsidR="00EF1290" w:rsidRPr="00EF1290">
        <w:t xml:space="preserve">No-wrong-door systems to help navigate to resources and programs that fit </w:t>
      </w:r>
      <w:r w:rsidR="00EF1290">
        <w:t>an individual’s</w:t>
      </w:r>
      <w:r w:rsidR="00EF1290" w:rsidRPr="00EF1290">
        <w:t xml:space="preserve"> unique needs.</w:t>
      </w:r>
    </w:p>
    <w:p w14:paraId="1BC5B25B" w14:textId="1AD4B747" w:rsidR="004F59BA" w:rsidRPr="00FE040B" w:rsidRDefault="001C7C59" w:rsidP="005D3CAC">
      <w:pPr>
        <w:pStyle w:val="ListParagraph"/>
        <w:numPr>
          <w:ilvl w:val="1"/>
          <w:numId w:val="12"/>
        </w:numPr>
      </w:pPr>
      <w:hyperlink r:id="rId17" w:history="1">
        <w:proofErr w:type="spellStart"/>
        <w:r w:rsidR="006F1AB2" w:rsidRPr="00FE040B">
          <w:rPr>
            <w:rStyle w:val="Hyperlink"/>
          </w:rPr>
          <w:t>MassOptions</w:t>
        </w:r>
        <w:proofErr w:type="spellEnd"/>
      </w:hyperlink>
      <w:r w:rsidR="005D3CAC" w:rsidRPr="00FE040B">
        <w:t xml:space="preserve">: </w:t>
      </w:r>
      <w:r w:rsidR="00B24D5A" w:rsidRPr="00FE040B">
        <w:t>(844) 422-6277</w:t>
      </w:r>
    </w:p>
    <w:p w14:paraId="7FA632B4" w14:textId="3087BB2A" w:rsidR="005D3CAC" w:rsidRPr="00FE040B" w:rsidRDefault="001C7C59" w:rsidP="005D3CAC">
      <w:pPr>
        <w:pStyle w:val="ListParagraph"/>
        <w:numPr>
          <w:ilvl w:val="1"/>
          <w:numId w:val="12"/>
        </w:numPr>
      </w:pPr>
      <w:hyperlink r:id="rId18" w:history="1">
        <w:r w:rsidR="005D3CAC" w:rsidRPr="00FE040B">
          <w:rPr>
            <w:rStyle w:val="Hyperlink"/>
          </w:rPr>
          <w:t>1-800 Age Info</w:t>
        </w:r>
      </w:hyperlink>
      <w:r w:rsidR="005D3CAC" w:rsidRPr="00FE040B">
        <w:t>: (800) 243-4636</w:t>
      </w:r>
    </w:p>
    <w:p w14:paraId="5C8980F7" w14:textId="77777777" w:rsidR="004F59BA" w:rsidRDefault="004F59BA">
      <w:pPr>
        <w:rPr>
          <w:b/>
          <w:color w:val="1F497D" w:themeColor="text2"/>
          <w:sz w:val="30"/>
          <w:szCs w:val="30"/>
        </w:rPr>
      </w:pPr>
    </w:p>
    <w:p w14:paraId="22257819" w14:textId="77777777" w:rsidR="004F59BA" w:rsidRDefault="004F59BA">
      <w:pPr>
        <w:rPr>
          <w:b/>
          <w:color w:val="1F497D" w:themeColor="text2"/>
          <w:sz w:val="30"/>
          <w:szCs w:val="30"/>
        </w:rPr>
      </w:pPr>
    </w:p>
    <w:p w14:paraId="14B4307B" w14:textId="77777777" w:rsidR="007067E2" w:rsidRDefault="007067E2" w:rsidP="00C33851">
      <w:pPr>
        <w:spacing w:after="0"/>
        <w:rPr>
          <w:b/>
          <w:color w:val="1F497D" w:themeColor="text2"/>
          <w:sz w:val="30"/>
          <w:szCs w:val="30"/>
        </w:rPr>
      </w:pPr>
    </w:p>
    <w:p w14:paraId="0842B00A" w14:textId="2D203AD1" w:rsidR="005F4322" w:rsidRDefault="00033F8D" w:rsidP="00C33851">
      <w:pPr>
        <w:spacing w:after="0"/>
        <w:rPr>
          <w:b/>
          <w:color w:val="1F497D" w:themeColor="text2"/>
          <w:sz w:val="32"/>
          <w:szCs w:val="30"/>
        </w:rPr>
      </w:pPr>
      <w:r>
        <w:rPr>
          <w:b/>
          <w:color w:val="1F497D" w:themeColor="text2"/>
          <w:sz w:val="32"/>
          <w:szCs w:val="30"/>
        </w:rPr>
        <w:lastRenderedPageBreak/>
        <w:t>Additional Services A</w:t>
      </w:r>
      <w:r w:rsidR="004F59BA" w:rsidRPr="00BA57F8">
        <w:rPr>
          <w:b/>
          <w:color w:val="1F497D" w:themeColor="text2"/>
          <w:sz w:val="32"/>
          <w:szCs w:val="30"/>
        </w:rPr>
        <w:t>vailable by Insurance Type</w:t>
      </w:r>
    </w:p>
    <w:p w14:paraId="7FE07229" w14:textId="77777777" w:rsidR="00C33851" w:rsidRPr="00C33851" w:rsidRDefault="00C33851" w:rsidP="00C33851">
      <w:pPr>
        <w:spacing w:after="0"/>
        <w:rPr>
          <w:color w:val="FF0000"/>
          <w:sz w:val="12"/>
          <w:szCs w:val="12"/>
        </w:rPr>
      </w:pPr>
    </w:p>
    <w:p w14:paraId="7A9EF765" w14:textId="09FE9CAD" w:rsidR="005F4322" w:rsidRPr="002C4D16" w:rsidRDefault="004F59BA" w:rsidP="00C33851">
      <w:pPr>
        <w:spacing w:after="0"/>
        <w:rPr>
          <w:i/>
        </w:rPr>
      </w:pPr>
      <w:r w:rsidRPr="002C4D16">
        <w:rPr>
          <w:i/>
        </w:rPr>
        <w:t xml:space="preserve">In addition to the state-supported programs listed above, </w:t>
      </w:r>
      <w:r w:rsidR="00A85333">
        <w:rPr>
          <w:i/>
        </w:rPr>
        <w:t xml:space="preserve">some </w:t>
      </w:r>
      <w:r w:rsidR="009C05B0">
        <w:rPr>
          <w:i/>
        </w:rPr>
        <w:t>s</w:t>
      </w:r>
      <w:r w:rsidR="008D4F48">
        <w:rPr>
          <w:i/>
        </w:rPr>
        <w:t xml:space="preserve">ervices are </w:t>
      </w:r>
      <w:r w:rsidR="00BB1CE3">
        <w:rPr>
          <w:i/>
        </w:rPr>
        <w:t>covered by</w:t>
      </w:r>
      <w:r w:rsidR="008D4F48">
        <w:rPr>
          <w:i/>
        </w:rPr>
        <w:t xml:space="preserve"> </w:t>
      </w:r>
      <w:r w:rsidR="008D4F48" w:rsidRPr="002C4D16">
        <w:rPr>
          <w:i/>
        </w:rPr>
        <w:t>insurance</w:t>
      </w:r>
      <w:r w:rsidR="009C05B0">
        <w:rPr>
          <w:i/>
        </w:rPr>
        <w:t>.</w:t>
      </w:r>
      <w:r w:rsidR="00BB1CE3">
        <w:rPr>
          <w:i/>
        </w:rPr>
        <w:t xml:space="preserve"> They </w:t>
      </w:r>
      <w:r w:rsidR="008D4F48">
        <w:rPr>
          <w:i/>
        </w:rPr>
        <w:t xml:space="preserve">vary depending on the type of </w:t>
      </w:r>
      <w:r w:rsidR="001472BF">
        <w:rPr>
          <w:i/>
        </w:rPr>
        <w:t>insurance</w:t>
      </w:r>
      <w:r w:rsidR="008D4F48">
        <w:rPr>
          <w:i/>
        </w:rPr>
        <w:t xml:space="preserve"> someone has.</w:t>
      </w:r>
    </w:p>
    <w:p w14:paraId="60889CE2" w14:textId="77777777" w:rsidR="00C33851" w:rsidRPr="00C33851" w:rsidRDefault="00C33851" w:rsidP="00C33851">
      <w:pPr>
        <w:spacing w:after="0"/>
        <w:rPr>
          <w:b/>
          <w:color w:val="1F497D" w:themeColor="text2"/>
          <w:sz w:val="12"/>
          <w:szCs w:val="12"/>
        </w:rPr>
      </w:pPr>
    </w:p>
    <w:p w14:paraId="4C31A9CF" w14:textId="4B5C554D" w:rsidR="00E25999" w:rsidRPr="002313E2" w:rsidRDefault="00483D21" w:rsidP="00C33851">
      <w:pPr>
        <w:spacing w:after="0"/>
        <w:rPr>
          <w:b/>
          <w:color w:val="1F497D" w:themeColor="text2"/>
          <w:sz w:val="28"/>
          <w:szCs w:val="28"/>
        </w:rPr>
      </w:pPr>
      <w:r w:rsidRPr="002313E2">
        <w:rPr>
          <w:noProof/>
          <w:color w:val="1F497D" w:themeColor="text2"/>
        </w:rPr>
        <mc:AlternateContent>
          <mc:Choice Requires="wps">
            <w:drawing>
              <wp:anchor distT="0" distB="0" distL="114300" distR="114300" simplePos="0" relativeHeight="251661312" behindDoc="0" locked="0" layoutInCell="1" allowOverlap="1" wp14:anchorId="0D3C1BFC" wp14:editId="51627013">
                <wp:simplePos x="0" y="0"/>
                <wp:positionH relativeFrom="column">
                  <wp:posOffset>1033670</wp:posOffset>
                </wp:positionH>
                <wp:positionV relativeFrom="paragraph">
                  <wp:posOffset>117613</wp:posOffset>
                </wp:positionV>
                <wp:extent cx="5184250" cy="8890"/>
                <wp:effectExtent l="0" t="0" r="16510" b="29210"/>
                <wp:wrapNone/>
                <wp:docPr id="4" name="Straight Connector 4"/>
                <wp:cNvGraphicFramePr/>
                <a:graphic xmlns:a="http://schemas.openxmlformats.org/drawingml/2006/main">
                  <a:graphicData uri="http://schemas.microsoft.com/office/word/2010/wordprocessingShape">
                    <wps:wsp>
                      <wps:cNvCnPr/>
                      <wps:spPr>
                        <a:xfrm flipH="1">
                          <a:off x="0" y="0"/>
                          <a:ext cx="5184250" cy="8890"/>
                        </a:xfrm>
                        <a:prstGeom prst="line">
                          <a:avLst/>
                        </a:prstGeom>
                        <a:ln>
                          <a:solidFill>
                            <a:schemeClr val="tx2"/>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76B30A2" id="Straight Connector 4" o:spid="_x0000_s1026" style="position:absolute;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1.4pt,9.25pt" to="489.6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" strokecolor="#1f497d [3215]" strokeweight="2pt"/>
            </w:pict>
          </mc:Fallback>
        </mc:AlternateContent>
      </w:r>
      <w:r w:rsidR="00CA3106" w:rsidRPr="002313E2">
        <w:rPr>
          <w:b/>
          <w:color w:val="1F497D" w:themeColor="text2"/>
          <w:sz w:val="28"/>
          <w:szCs w:val="28"/>
        </w:rPr>
        <w:t>MassHealth</w:t>
      </w:r>
      <w:r w:rsidRPr="002313E2">
        <w:rPr>
          <w:b/>
          <w:color w:val="1F497D" w:themeColor="text2"/>
          <w:sz w:val="28"/>
          <w:szCs w:val="28"/>
        </w:rPr>
        <w:t xml:space="preserve"> </w:t>
      </w:r>
    </w:p>
    <w:p w14:paraId="75B96A24" w14:textId="77777777" w:rsidR="00C33851" w:rsidRPr="00C33851" w:rsidRDefault="00C33851" w:rsidP="007F29E4">
      <w:pPr>
        <w:spacing w:after="0"/>
        <w:rPr>
          <w:b/>
          <w:sz w:val="10"/>
          <w:szCs w:val="10"/>
        </w:rPr>
      </w:pPr>
    </w:p>
    <w:p w14:paraId="284C42C4" w14:textId="77777777" w:rsidR="007F29E4" w:rsidRPr="008073A3" w:rsidRDefault="007F29E4" w:rsidP="007F29E4">
      <w:pPr>
        <w:spacing w:after="0"/>
        <w:rPr>
          <w:b/>
          <w:color w:val="1F497D" w:themeColor="text2"/>
        </w:rPr>
      </w:pPr>
      <w:r w:rsidRPr="008073A3">
        <w:rPr>
          <w:b/>
          <w:color w:val="1F497D" w:themeColor="text2"/>
        </w:rPr>
        <w:t>Eligibility</w:t>
      </w:r>
    </w:p>
    <w:p w14:paraId="10AA2782" w14:textId="70B096A9" w:rsidR="00E25999" w:rsidRPr="008073A3" w:rsidRDefault="007F29E4" w:rsidP="007F29E4">
      <w:pPr>
        <w:spacing w:after="0"/>
      </w:pPr>
      <w:r w:rsidRPr="008073A3">
        <w:t>Applicants must demonstrate</w:t>
      </w:r>
      <w:r w:rsidR="0083610E" w:rsidRPr="008073A3">
        <w:t xml:space="preserve"> </w:t>
      </w:r>
      <w:r w:rsidR="00C33851" w:rsidRPr="008073A3">
        <w:t>MA</w:t>
      </w:r>
      <w:r w:rsidR="0083610E" w:rsidRPr="008073A3">
        <w:t xml:space="preserve"> residency, verified citizenship or immigration status, and </w:t>
      </w:r>
      <w:hyperlink r:id="rId19" w:history="1">
        <w:r w:rsidR="0083610E" w:rsidRPr="008073A3">
          <w:rPr>
            <w:rStyle w:val="Hyperlink"/>
          </w:rPr>
          <w:t>financial eligibility</w:t>
        </w:r>
        <w:r w:rsidRPr="008073A3">
          <w:rPr>
            <w:rStyle w:val="Hyperlink"/>
          </w:rPr>
          <w:t>.</w:t>
        </w:r>
      </w:hyperlink>
      <w:r w:rsidRPr="008073A3">
        <w:t xml:space="preserve"> </w:t>
      </w:r>
      <w:r w:rsidR="00C33851" w:rsidRPr="008073A3">
        <w:t>A</w:t>
      </w:r>
      <w:r w:rsidR="0037212C" w:rsidRPr="008073A3">
        <w:t xml:space="preserve">dditional </w:t>
      </w:r>
      <w:r w:rsidRPr="008073A3">
        <w:t xml:space="preserve">eligibility rules for </w:t>
      </w:r>
      <w:r w:rsidRPr="008073A3">
        <w:rPr>
          <w:b/>
        </w:rPr>
        <w:t>Long Term Services and Supports (LTSS)</w:t>
      </w:r>
      <w:r w:rsidRPr="008073A3">
        <w:t xml:space="preserve"> include an asset test</w:t>
      </w:r>
      <w:r w:rsidR="003D0ABF" w:rsidRPr="008073A3">
        <w:t xml:space="preserve"> and clinical eligibility</w:t>
      </w:r>
      <w:r w:rsidRPr="008073A3">
        <w:t>.</w:t>
      </w:r>
    </w:p>
    <w:p w14:paraId="6D6F08DC" w14:textId="77777777" w:rsidR="00201E0C" w:rsidRPr="008073A3" w:rsidRDefault="00201E0C" w:rsidP="007F29E4">
      <w:pPr>
        <w:spacing w:after="0"/>
      </w:pPr>
    </w:p>
    <w:p w14:paraId="08FF0C5A" w14:textId="16E87986" w:rsidR="007F29E4" w:rsidRPr="008073A3" w:rsidRDefault="0029406A" w:rsidP="007F29E4">
      <w:pPr>
        <w:spacing w:after="0"/>
        <w:rPr>
          <w:b/>
          <w:color w:val="1F497D" w:themeColor="text2"/>
        </w:rPr>
      </w:pPr>
      <w:r w:rsidRPr="008073A3">
        <w:rPr>
          <w:b/>
          <w:color w:val="1F497D" w:themeColor="text2"/>
        </w:rPr>
        <w:t>MassHealth</w:t>
      </w:r>
      <w:r w:rsidR="00C9596C" w:rsidRPr="008073A3">
        <w:rPr>
          <w:b/>
          <w:color w:val="1F497D" w:themeColor="text2"/>
        </w:rPr>
        <w:t xml:space="preserve"> </w:t>
      </w:r>
      <w:r w:rsidR="00734366" w:rsidRPr="008073A3">
        <w:rPr>
          <w:b/>
          <w:color w:val="1F497D" w:themeColor="text2"/>
        </w:rPr>
        <w:t xml:space="preserve">members living with </w:t>
      </w:r>
      <w:r w:rsidR="007F29E4" w:rsidRPr="008073A3">
        <w:rPr>
          <w:b/>
          <w:color w:val="1F497D" w:themeColor="text2"/>
        </w:rPr>
        <w:t>Alzheimer’</w:t>
      </w:r>
      <w:r w:rsidR="00A43ED5" w:rsidRPr="008073A3">
        <w:rPr>
          <w:b/>
          <w:color w:val="1F497D" w:themeColor="text2"/>
        </w:rPr>
        <w:t>s disease or d</w:t>
      </w:r>
      <w:r w:rsidR="0037212C" w:rsidRPr="008073A3">
        <w:rPr>
          <w:b/>
          <w:color w:val="1F497D" w:themeColor="text2"/>
        </w:rPr>
        <w:t>ementia</w:t>
      </w:r>
      <w:r w:rsidR="0058614E" w:rsidRPr="008073A3">
        <w:rPr>
          <w:b/>
          <w:color w:val="1F497D" w:themeColor="text2"/>
        </w:rPr>
        <w:t xml:space="preserve"> </w:t>
      </w:r>
      <w:r w:rsidR="00734366" w:rsidRPr="008073A3">
        <w:rPr>
          <w:b/>
          <w:color w:val="1F497D" w:themeColor="text2"/>
        </w:rPr>
        <w:t xml:space="preserve">have access to a wide range of services: </w:t>
      </w:r>
    </w:p>
    <w:p w14:paraId="52EF2C6C" w14:textId="77777777" w:rsidR="003B5497" w:rsidRPr="008A3910" w:rsidRDefault="003B5497" w:rsidP="0029406A">
      <w:pPr>
        <w:spacing w:after="0"/>
        <w:rPr>
          <w:i/>
          <w:sz w:val="16"/>
          <w:szCs w:val="16"/>
        </w:rPr>
      </w:pPr>
    </w:p>
    <w:p w14:paraId="6AE73913" w14:textId="3ACA6B29" w:rsidR="0029406A" w:rsidRPr="008073A3" w:rsidRDefault="0083610E" w:rsidP="00734366">
      <w:pPr>
        <w:spacing w:after="0"/>
        <w:ind w:left="720"/>
        <w:rPr>
          <w:b/>
          <w:i/>
        </w:rPr>
      </w:pPr>
      <w:r w:rsidRPr="008073A3">
        <w:rPr>
          <w:b/>
          <w:i/>
        </w:rPr>
        <w:t>Community-Based Long-Term Services and Supports</w:t>
      </w:r>
      <w:r w:rsidR="00B2642B" w:rsidRPr="008073A3">
        <w:rPr>
          <w:b/>
          <w:i/>
        </w:rPr>
        <w:t xml:space="preserve"> (LTSS)</w:t>
      </w:r>
    </w:p>
    <w:p w14:paraId="27EFD8DB" w14:textId="43857F92" w:rsidR="0083610E" w:rsidRPr="008073A3" w:rsidRDefault="00C9596C" w:rsidP="00734366">
      <w:pPr>
        <w:pStyle w:val="ListParagraph"/>
        <w:spacing w:after="0"/>
        <w:rPr>
          <w:b/>
        </w:rPr>
      </w:pPr>
      <w:r w:rsidRPr="008073A3">
        <w:t>Supports intended</w:t>
      </w:r>
      <w:r w:rsidR="001B2D14" w:rsidRPr="008073A3">
        <w:t xml:space="preserve"> to enable </w:t>
      </w:r>
      <w:r w:rsidRPr="008073A3">
        <w:t>individuals</w:t>
      </w:r>
      <w:r w:rsidR="001B2D14" w:rsidRPr="008073A3">
        <w:t xml:space="preserve"> to live with independence and dignity in their </w:t>
      </w:r>
      <w:r w:rsidRPr="008073A3">
        <w:t>c</w:t>
      </w:r>
      <w:r w:rsidR="001B2D14" w:rsidRPr="008073A3">
        <w:t xml:space="preserve">ommunities. These services include: </w:t>
      </w:r>
      <w:r w:rsidR="0083610E" w:rsidRPr="008073A3">
        <w:t xml:space="preserve">Adult Day Health, Adult Foster Care, Continuous Skilled Nursing, Day Habilitation, </w:t>
      </w:r>
      <w:r w:rsidR="00714664" w:rsidRPr="008073A3">
        <w:t xml:space="preserve">and the </w:t>
      </w:r>
      <w:r w:rsidR="0083610E" w:rsidRPr="008073A3">
        <w:t xml:space="preserve">Personal Care Attendant </w:t>
      </w:r>
      <w:r w:rsidR="00714664" w:rsidRPr="008073A3">
        <w:t>(PCA)</w:t>
      </w:r>
      <w:r w:rsidR="00714664" w:rsidRPr="008073A3">
        <w:rPr>
          <w:i/>
        </w:rPr>
        <w:t xml:space="preserve"> </w:t>
      </w:r>
      <w:r w:rsidR="0083610E" w:rsidRPr="008073A3">
        <w:t>Program</w:t>
      </w:r>
      <w:r w:rsidR="00F42CDD" w:rsidRPr="008073A3">
        <w:t>.</w:t>
      </w:r>
      <w:r w:rsidR="0083610E" w:rsidRPr="008073A3">
        <w:t xml:space="preserve"> </w:t>
      </w:r>
      <w:r w:rsidR="007F29E4" w:rsidRPr="008073A3">
        <w:rPr>
          <w:i/>
        </w:rPr>
        <w:t>(See A</w:t>
      </w:r>
      <w:r w:rsidR="00F42CDD" w:rsidRPr="008073A3">
        <w:rPr>
          <w:i/>
        </w:rPr>
        <w:t xml:space="preserve">ppendix </w:t>
      </w:r>
      <w:r w:rsidR="00201E0C" w:rsidRPr="008073A3">
        <w:rPr>
          <w:i/>
        </w:rPr>
        <w:t>A</w:t>
      </w:r>
      <w:r w:rsidR="00201E0C" w:rsidRPr="008073A3">
        <w:rPr>
          <w:b/>
          <w:i/>
        </w:rPr>
        <w:t xml:space="preserve"> </w:t>
      </w:r>
      <w:r w:rsidR="00F42CDD" w:rsidRPr="008073A3">
        <w:rPr>
          <w:i/>
        </w:rPr>
        <w:t>for more information)</w:t>
      </w:r>
    </w:p>
    <w:p w14:paraId="375F0A99" w14:textId="77777777" w:rsidR="0083610E" w:rsidRPr="008A3910" w:rsidRDefault="0083610E" w:rsidP="00734366">
      <w:pPr>
        <w:pStyle w:val="ListParagraph"/>
        <w:spacing w:after="0"/>
        <w:ind w:left="1440"/>
        <w:rPr>
          <w:sz w:val="16"/>
          <w:szCs w:val="16"/>
        </w:rPr>
      </w:pPr>
    </w:p>
    <w:p w14:paraId="52D34A6F" w14:textId="254C79A1" w:rsidR="0029406A" w:rsidRPr="008073A3" w:rsidRDefault="0083610E" w:rsidP="00734366">
      <w:pPr>
        <w:spacing w:after="0"/>
        <w:ind w:left="720"/>
        <w:rPr>
          <w:b/>
          <w:i/>
        </w:rPr>
      </w:pPr>
      <w:r w:rsidRPr="008073A3">
        <w:rPr>
          <w:b/>
          <w:i/>
        </w:rPr>
        <w:t xml:space="preserve">Facility-Based </w:t>
      </w:r>
      <w:r w:rsidR="0029406A" w:rsidRPr="008073A3">
        <w:rPr>
          <w:b/>
          <w:i/>
        </w:rPr>
        <w:t>Long-term Services and Supports</w:t>
      </w:r>
      <w:r w:rsidR="00B2642B" w:rsidRPr="008073A3">
        <w:rPr>
          <w:b/>
          <w:i/>
        </w:rPr>
        <w:t xml:space="preserve"> (LTSS)</w:t>
      </w:r>
    </w:p>
    <w:p w14:paraId="3A07C7D6" w14:textId="3682B5E6" w:rsidR="001B2D14" w:rsidRPr="008073A3" w:rsidRDefault="0083610E" w:rsidP="00734366">
      <w:pPr>
        <w:spacing w:after="0"/>
        <w:ind w:left="720"/>
      </w:pPr>
      <w:r w:rsidRPr="008073A3">
        <w:t>Nursing Facility Services (</w:t>
      </w:r>
      <w:r w:rsidR="003C5C10">
        <w:t>&gt;</w:t>
      </w:r>
      <w:r w:rsidRPr="008073A3">
        <w:t>100 days), and Chronic Disease Rehabilitation Hospital Services (</w:t>
      </w:r>
      <w:r w:rsidR="003C5C10">
        <w:t>&gt;</w:t>
      </w:r>
      <w:r w:rsidRPr="008073A3">
        <w:t>100 days)</w:t>
      </w:r>
      <w:r w:rsidR="007F29E4" w:rsidRPr="008073A3">
        <w:t xml:space="preserve"> </w:t>
      </w:r>
    </w:p>
    <w:p w14:paraId="6B4BB871" w14:textId="77777777" w:rsidR="0029406A" w:rsidRPr="008A3910" w:rsidRDefault="0029406A" w:rsidP="00734366">
      <w:pPr>
        <w:spacing w:after="0"/>
        <w:ind w:left="720"/>
        <w:rPr>
          <w:sz w:val="16"/>
          <w:szCs w:val="16"/>
        </w:rPr>
      </w:pPr>
    </w:p>
    <w:p w14:paraId="594FF455" w14:textId="77777777" w:rsidR="0029406A" w:rsidRPr="008073A3" w:rsidRDefault="0029406A" w:rsidP="00734366">
      <w:pPr>
        <w:spacing w:after="0"/>
        <w:ind w:left="720"/>
        <w:rPr>
          <w:b/>
          <w:i/>
        </w:rPr>
      </w:pPr>
      <w:r w:rsidRPr="008073A3">
        <w:rPr>
          <w:b/>
          <w:i/>
        </w:rPr>
        <w:t>Other Covered Services</w:t>
      </w:r>
    </w:p>
    <w:p w14:paraId="14DB9721" w14:textId="6B5D4E59" w:rsidR="004F50D3" w:rsidRPr="008073A3" w:rsidRDefault="001B2D14" w:rsidP="00734366">
      <w:pPr>
        <w:spacing w:after="0"/>
        <w:ind w:left="720"/>
      </w:pPr>
      <w:r w:rsidRPr="008073A3">
        <w:t xml:space="preserve">Durable Medical Equipment, Oxygen and Respiratory Therapy, </w:t>
      </w:r>
      <w:r w:rsidR="00714664" w:rsidRPr="008073A3">
        <w:t xml:space="preserve">Home Health Agency, </w:t>
      </w:r>
      <w:r w:rsidRPr="008073A3">
        <w:t>Hospice Services, Therapy Services (Physical Therapy, Occupational Therapy, Speech Therapy)</w:t>
      </w:r>
    </w:p>
    <w:p w14:paraId="2E3C8781" w14:textId="77777777" w:rsidR="005F4322" w:rsidRPr="008A3910" w:rsidRDefault="005F4322" w:rsidP="004F59BA">
      <w:pPr>
        <w:spacing w:after="0"/>
        <w:rPr>
          <w:sz w:val="16"/>
          <w:szCs w:val="16"/>
        </w:rPr>
      </w:pPr>
    </w:p>
    <w:p w14:paraId="0A80686B" w14:textId="4F5B15AD" w:rsidR="008A3910" w:rsidRPr="008073A3" w:rsidRDefault="004F59BA" w:rsidP="008A3910">
      <w:r w:rsidRPr="008073A3">
        <w:rPr>
          <w:b/>
          <w:color w:val="1F497D" w:themeColor="text2"/>
        </w:rPr>
        <w:t xml:space="preserve">MassHealth </w:t>
      </w:r>
      <w:r w:rsidR="00734366" w:rsidRPr="008073A3">
        <w:rPr>
          <w:b/>
          <w:color w:val="1F497D" w:themeColor="text2"/>
        </w:rPr>
        <w:t>members may be able to enroll in a s</w:t>
      </w:r>
      <w:r w:rsidRPr="008073A3">
        <w:rPr>
          <w:b/>
          <w:color w:val="1F497D" w:themeColor="text2"/>
        </w:rPr>
        <w:t>pecial health plan</w:t>
      </w:r>
      <w:r w:rsidR="00734366" w:rsidRPr="008073A3">
        <w:rPr>
          <w:b/>
          <w:color w:val="1F497D" w:themeColor="text2"/>
        </w:rPr>
        <w:t xml:space="preserve"> or a </w:t>
      </w:r>
      <w:r w:rsidRPr="008073A3">
        <w:rPr>
          <w:b/>
          <w:color w:val="1F497D" w:themeColor="text2"/>
        </w:rPr>
        <w:t>home- and community-based services (HCBS)</w:t>
      </w:r>
      <w:r w:rsidRPr="008073A3">
        <w:rPr>
          <w:color w:val="1F497D" w:themeColor="text2"/>
        </w:rPr>
        <w:t xml:space="preserve"> </w:t>
      </w:r>
      <w:r w:rsidRPr="008073A3">
        <w:rPr>
          <w:b/>
          <w:color w:val="1F497D" w:themeColor="text2"/>
        </w:rPr>
        <w:t>waiver</w:t>
      </w:r>
      <w:r w:rsidR="00734366" w:rsidRPr="008073A3">
        <w:rPr>
          <w:b/>
          <w:color w:val="1F497D" w:themeColor="text2"/>
        </w:rPr>
        <w:t xml:space="preserve"> program. These programs are offer care coordination and case management services. </w:t>
      </w:r>
    </w:p>
    <w:p w14:paraId="34DEFB93" w14:textId="7C76DE30" w:rsidR="00EC7A4F" w:rsidRDefault="001C7C59" w:rsidP="008A3910">
      <w:pPr>
        <w:pStyle w:val="ListParagraph"/>
        <w:numPr>
          <w:ilvl w:val="0"/>
          <w:numId w:val="12"/>
        </w:numPr>
      </w:pPr>
      <w:hyperlink r:id="rId20" w:history="1">
        <w:r w:rsidR="004F59BA" w:rsidRPr="008073A3">
          <w:rPr>
            <w:rStyle w:val="Hyperlink"/>
            <w:b/>
          </w:rPr>
          <w:t>Senior Care Options (SCO)</w:t>
        </w:r>
      </w:hyperlink>
      <w:r w:rsidR="00747E42" w:rsidRPr="008073A3">
        <w:rPr>
          <w:b/>
        </w:rPr>
        <w:t>:</w:t>
      </w:r>
      <w:r w:rsidR="00747E42" w:rsidRPr="008073A3">
        <w:t xml:space="preserve"> For dual-eligible (MassHealth and Medicare) individuals over 65</w:t>
      </w:r>
      <w:r w:rsidR="00734366" w:rsidRPr="008073A3">
        <w:t xml:space="preserve">. SCO combines health services with social support services. SCO provides care coordination and specialized geriatric support services, along with respite care for families and caregivers. </w:t>
      </w:r>
    </w:p>
    <w:p w14:paraId="027B16C3" w14:textId="77777777" w:rsidR="008A3910" w:rsidRPr="008A3910" w:rsidRDefault="008A3910" w:rsidP="008A3910">
      <w:pPr>
        <w:pStyle w:val="ListParagraph"/>
        <w:rPr>
          <w:sz w:val="16"/>
          <w:szCs w:val="16"/>
        </w:rPr>
      </w:pPr>
    </w:p>
    <w:p w14:paraId="4724EA51" w14:textId="73F2BDCC" w:rsidR="008A3910" w:rsidRDefault="001C7C59" w:rsidP="008A3910">
      <w:pPr>
        <w:pStyle w:val="ListParagraph"/>
        <w:numPr>
          <w:ilvl w:val="0"/>
          <w:numId w:val="12"/>
        </w:numPr>
        <w:spacing w:after="0"/>
      </w:pPr>
      <w:hyperlink r:id="rId21" w:history="1">
        <w:r w:rsidR="004F59BA" w:rsidRPr="008073A3">
          <w:rPr>
            <w:rStyle w:val="Hyperlink"/>
            <w:b/>
          </w:rPr>
          <w:t>One Care</w:t>
        </w:r>
      </w:hyperlink>
      <w:r w:rsidR="00747E42" w:rsidRPr="008073A3">
        <w:rPr>
          <w:b/>
        </w:rPr>
        <w:t>:</w:t>
      </w:r>
      <w:r w:rsidR="00747E42" w:rsidRPr="008073A3">
        <w:t xml:space="preserve"> For dual-eligible (MassHealth and Medicare) individuals under 65</w:t>
      </w:r>
      <w:r w:rsidR="00734366" w:rsidRPr="008073A3">
        <w:t xml:space="preserve">. One Care provides members with a care coordinator, one care plan, and </w:t>
      </w:r>
      <w:r w:rsidR="0012553E">
        <w:t>prescription</w:t>
      </w:r>
      <w:r w:rsidR="00734366" w:rsidRPr="008073A3">
        <w:t xml:space="preserve"> </w:t>
      </w:r>
      <w:r w:rsidR="0012553E">
        <w:t xml:space="preserve">coverage </w:t>
      </w:r>
      <w:r w:rsidR="00734366" w:rsidRPr="008073A3">
        <w:t xml:space="preserve">through one plan. </w:t>
      </w:r>
    </w:p>
    <w:p w14:paraId="2E4D4049" w14:textId="77777777" w:rsidR="008A3910" w:rsidRPr="008A3910" w:rsidRDefault="008A3910" w:rsidP="008A3910">
      <w:pPr>
        <w:spacing w:after="0"/>
        <w:rPr>
          <w:sz w:val="16"/>
          <w:szCs w:val="16"/>
        </w:rPr>
      </w:pPr>
    </w:p>
    <w:p w14:paraId="6CDEAA59" w14:textId="38867765" w:rsidR="00EC7A4F" w:rsidRDefault="001C7C59" w:rsidP="008A3910">
      <w:pPr>
        <w:pStyle w:val="ListParagraph"/>
        <w:numPr>
          <w:ilvl w:val="0"/>
          <w:numId w:val="12"/>
        </w:numPr>
        <w:spacing w:after="0"/>
      </w:pPr>
      <w:hyperlink r:id="rId22" w:history="1">
        <w:r w:rsidR="004F59BA" w:rsidRPr="008073A3">
          <w:rPr>
            <w:rStyle w:val="Hyperlink"/>
            <w:b/>
          </w:rPr>
          <w:t>Program of All Inclusive Care for the Elderly (PACE)</w:t>
        </w:r>
      </w:hyperlink>
      <w:r w:rsidR="00734366" w:rsidRPr="008073A3">
        <w:rPr>
          <w:rStyle w:val="Hyperlink"/>
          <w:b/>
        </w:rPr>
        <w:t>:</w:t>
      </w:r>
      <w:r w:rsidR="00680866" w:rsidRPr="008073A3">
        <w:t xml:space="preserve"> </w:t>
      </w:r>
      <w:r w:rsidR="008B3DEB" w:rsidRPr="008073A3">
        <w:t>For individuals 55 or older who meet the level of care for a nursing facility but prefer to remain in the community. PACE provides a wide range of medical, social, recreational, and wellness services to eligible participants.</w:t>
      </w:r>
    </w:p>
    <w:p w14:paraId="67B14B67" w14:textId="77777777" w:rsidR="008A3910" w:rsidRPr="008A3910" w:rsidRDefault="008A3910" w:rsidP="008A3910">
      <w:pPr>
        <w:spacing w:after="0"/>
        <w:rPr>
          <w:sz w:val="16"/>
          <w:szCs w:val="16"/>
        </w:rPr>
      </w:pPr>
    </w:p>
    <w:p w14:paraId="1455A282" w14:textId="12338FDE" w:rsidR="00EC7A4F" w:rsidRPr="008A3910" w:rsidRDefault="001C7C59" w:rsidP="008A3910">
      <w:pPr>
        <w:pStyle w:val="ListParagraph"/>
        <w:numPr>
          <w:ilvl w:val="0"/>
          <w:numId w:val="12"/>
        </w:numPr>
        <w:spacing w:after="0"/>
        <w:rPr>
          <w:i/>
        </w:rPr>
      </w:pPr>
      <w:hyperlink r:id="rId23" w:history="1">
        <w:r w:rsidR="004F59BA" w:rsidRPr="008073A3">
          <w:rPr>
            <w:rStyle w:val="Hyperlink"/>
            <w:b/>
          </w:rPr>
          <w:t>The Frail Elder Waiver</w:t>
        </w:r>
      </w:hyperlink>
      <w:r w:rsidR="001B01FA" w:rsidRPr="008073A3">
        <w:rPr>
          <w:rStyle w:val="Hyperlink"/>
          <w:b/>
        </w:rPr>
        <w:t xml:space="preserve"> (FEW)</w:t>
      </w:r>
      <w:r w:rsidR="008B3DEB" w:rsidRPr="008073A3">
        <w:rPr>
          <w:b/>
        </w:rPr>
        <w:t>:</w:t>
      </w:r>
      <w:r w:rsidR="008B3DEB" w:rsidRPr="008073A3">
        <w:t xml:space="preserve"> For individuals 60 and older who meet the level of care for a nursing facility but prefer to remain in the community. </w:t>
      </w:r>
      <w:r w:rsidR="00BB1CE3">
        <w:t xml:space="preserve">Services are based upon a </w:t>
      </w:r>
      <w:r w:rsidR="008B3DEB" w:rsidRPr="008073A3">
        <w:t>Service Plan.</w:t>
      </w:r>
      <w:r w:rsidR="00EC04BA" w:rsidRPr="008073A3">
        <w:t xml:space="preserve"> </w:t>
      </w:r>
      <w:r w:rsidR="001B01FA" w:rsidRPr="008073A3">
        <w:t xml:space="preserve">Examples of services include: Alzheimer’s/Dementia Coaching, chore, companion, home delivered meals, laundry, respite, </w:t>
      </w:r>
      <w:r w:rsidR="00680866" w:rsidRPr="008073A3">
        <w:t xml:space="preserve">and </w:t>
      </w:r>
      <w:r w:rsidR="001B01FA" w:rsidRPr="008073A3">
        <w:t xml:space="preserve">transportation. </w:t>
      </w:r>
    </w:p>
    <w:p w14:paraId="47D3A53C" w14:textId="77777777" w:rsidR="008A3910" w:rsidRDefault="008A3910" w:rsidP="008A3910">
      <w:pPr>
        <w:spacing w:after="0"/>
        <w:rPr>
          <w:i/>
          <w:sz w:val="16"/>
          <w:szCs w:val="16"/>
        </w:rPr>
      </w:pPr>
    </w:p>
    <w:p w14:paraId="5F22EE0B" w14:textId="77777777" w:rsidR="00BB1CE3" w:rsidRPr="008A3910" w:rsidRDefault="00BB1CE3" w:rsidP="008A3910">
      <w:pPr>
        <w:spacing w:after="0"/>
        <w:rPr>
          <w:i/>
          <w:sz w:val="16"/>
          <w:szCs w:val="16"/>
        </w:rPr>
      </w:pPr>
    </w:p>
    <w:p w14:paraId="6B65FCF0" w14:textId="341E38AD" w:rsidR="004F59BA" w:rsidRDefault="001C7C59" w:rsidP="008A3910">
      <w:pPr>
        <w:pStyle w:val="ListParagraph"/>
        <w:numPr>
          <w:ilvl w:val="0"/>
          <w:numId w:val="12"/>
        </w:numPr>
        <w:spacing w:after="0"/>
      </w:pPr>
      <w:hyperlink r:id="rId24" w:anchor="about-the-program-" w:history="1">
        <w:r w:rsidR="004F59BA" w:rsidRPr="008073A3">
          <w:rPr>
            <w:rStyle w:val="Hyperlink"/>
            <w:b/>
          </w:rPr>
          <w:t>The Moving Forward Plan (MFP) Waivers</w:t>
        </w:r>
      </w:hyperlink>
      <w:r w:rsidR="008B3DEB" w:rsidRPr="008073A3">
        <w:rPr>
          <w:rStyle w:val="Hyperlink"/>
          <w:u w:val="none"/>
        </w:rPr>
        <w:t>:</w:t>
      </w:r>
      <w:r w:rsidR="00EC04BA" w:rsidRPr="008073A3">
        <w:t xml:space="preserve"> </w:t>
      </w:r>
      <w:r w:rsidR="001B01FA" w:rsidRPr="008073A3">
        <w:t xml:space="preserve">For individuals living in a nursing facility or chronic disease, rehabilitation, or psychiatric hospital.  MFP participants are eligible for supports and services </w:t>
      </w:r>
      <w:r w:rsidR="005B2BE3" w:rsidRPr="008073A3">
        <w:t>d</w:t>
      </w:r>
      <w:r w:rsidR="004F59BA" w:rsidRPr="008073A3">
        <w:t xml:space="preserve">esigned to help </w:t>
      </w:r>
      <w:r w:rsidR="001B01FA" w:rsidRPr="008073A3">
        <w:t>them move</w:t>
      </w:r>
      <w:r w:rsidR="00EC04BA" w:rsidRPr="008073A3">
        <w:t xml:space="preserve"> back to their community</w:t>
      </w:r>
      <w:r w:rsidR="008B3DEB" w:rsidRPr="008073A3">
        <w:t xml:space="preserve">. </w:t>
      </w:r>
      <w:r w:rsidR="004F59BA" w:rsidRPr="008073A3">
        <w:t xml:space="preserve">There are two </w:t>
      </w:r>
      <w:r w:rsidR="00CB3682" w:rsidRPr="008073A3">
        <w:t>versions of this waiver program</w:t>
      </w:r>
      <w:r w:rsidR="00C33851" w:rsidRPr="008073A3">
        <w:t>:</w:t>
      </w:r>
    </w:p>
    <w:p w14:paraId="602558EC" w14:textId="77777777" w:rsidR="008A3910" w:rsidRPr="008A3910" w:rsidRDefault="008A3910" w:rsidP="008A3910">
      <w:pPr>
        <w:spacing w:after="0"/>
        <w:rPr>
          <w:sz w:val="10"/>
          <w:szCs w:val="10"/>
        </w:rPr>
      </w:pPr>
    </w:p>
    <w:p w14:paraId="42A583B1" w14:textId="029756E5" w:rsidR="004F59BA" w:rsidRDefault="004F59BA" w:rsidP="008A3910">
      <w:pPr>
        <w:pStyle w:val="ListParagraph"/>
        <w:numPr>
          <w:ilvl w:val="1"/>
          <w:numId w:val="23"/>
        </w:numPr>
        <w:spacing w:after="0"/>
        <w:rPr>
          <w:i/>
        </w:rPr>
      </w:pPr>
      <w:r w:rsidRPr="008073A3">
        <w:rPr>
          <w:i/>
          <w:u w:val="single"/>
        </w:rPr>
        <w:t>MFP Residential Supports (MFP-RS)</w:t>
      </w:r>
      <w:r w:rsidR="001B01FA" w:rsidRPr="008073A3">
        <w:rPr>
          <w:i/>
          <w:u w:val="single"/>
        </w:rPr>
        <w:t>:</w:t>
      </w:r>
      <w:r w:rsidR="001B01FA" w:rsidRPr="008073A3">
        <w:rPr>
          <w:i/>
        </w:rPr>
        <w:t xml:space="preserve"> individual must need residential support services with staff supervision 24 hours a day, 7 days a week.</w:t>
      </w:r>
    </w:p>
    <w:p w14:paraId="6A1884EA" w14:textId="77777777" w:rsidR="008A3910" w:rsidRPr="008A3910" w:rsidRDefault="008A3910" w:rsidP="008A3910">
      <w:pPr>
        <w:pStyle w:val="ListParagraph"/>
        <w:spacing w:after="0"/>
        <w:ind w:left="1440"/>
        <w:rPr>
          <w:i/>
          <w:sz w:val="10"/>
          <w:szCs w:val="10"/>
        </w:rPr>
      </w:pPr>
    </w:p>
    <w:p w14:paraId="1C036B35" w14:textId="3EAB519F" w:rsidR="008B3DEB" w:rsidRPr="008073A3" w:rsidRDefault="004F59BA" w:rsidP="008A3910">
      <w:pPr>
        <w:pStyle w:val="ListParagraph"/>
        <w:numPr>
          <w:ilvl w:val="1"/>
          <w:numId w:val="23"/>
        </w:numPr>
        <w:spacing w:after="0"/>
        <w:rPr>
          <w:i/>
        </w:rPr>
      </w:pPr>
      <w:r w:rsidRPr="008073A3">
        <w:rPr>
          <w:i/>
          <w:u w:val="single"/>
        </w:rPr>
        <w:t>MFP Community Living (MFP-CL)</w:t>
      </w:r>
      <w:r w:rsidR="001B01FA" w:rsidRPr="008073A3">
        <w:rPr>
          <w:i/>
          <w:u w:val="single"/>
        </w:rPr>
        <w:t>:</w:t>
      </w:r>
      <w:r w:rsidR="001B01FA" w:rsidRPr="008073A3">
        <w:rPr>
          <w:i/>
        </w:rPr>
        <w:t xml:space="preserve"> individual must be able to move to their own home or apartment or to the home of someone else and receive services in the community.</w:t>
      </w:r>
    </w:p>
    <w:p w14:paraId="73681BF9" w14:textId="71D53948" w:rsidR="00E25999" w:rsidRPr="002313E2" w:rsidRDefault="00483D21">
      <w:pPr>
        <w:rPr>
          <w:b/>
          <w:color w:val="1F497D" w:themeColor="text2"/>
          <w:sz w:val="28"/>
          <w:szCs w:val="28"/>
        </w:rPr>
      </w:pPr>
      <w:r w:rsidRPr="002313E2">
        <w:rPr>
          <w:noProof/>
          <w:color w:val="1F497D" w:themeColor="text2"/>
        </w:rPr>
        <mc:AlternateContent>
          <mc:Choice Requires="wps">
            <w:drawing>
              <wp:anchor distT="0" distB="0" distL="114300" distR="114300" simplePos="0" relativeHeight="251663360" behindDoc="0" locked="0" layoutInCell="1" allowOverlap="1" wp14:anchorId="4DB57A1B" wp14:editId="48726B5C">
                <wp:simplePos x="0" y="0"/>
                <wp:positionH relativeFrom="column">
                  <wp:posOffset>763325</wp:posOffset>
                </wp:positionH>
                <wp:positionV relativeFrom="paragraph">
                  <wp:posOffset>119270</wp:posOffset>
                </wp:positionV>
                <wp:extent cx="5343277" cy="8890"/>
                <wp:effectExtent l="0" t="0" r="10160" b="29210"/>
                <wp:wrapNone/>
                <wp:docPr id="5" name="Straight Connector 5"/>
                <wp:cNvGraphicFramePr/>
                <a:graphic xmlns:a="http://schemas.openxmlformats.org/drawingml/2006/main">
                  <a:graphicData uri="http://schemas.microsoft.com/office/word/2010/wordprocessingShape">
                    <wps:wsp>
                      <wps:cNvCnPr/>
                      <wps:spPr>
                        <a:xfrm flipH="1">
                          <a:off x="0" y="0"/>
                          <a:ext cx="5343277" cy="8890"/>
                        </a:xfrm>
                        <a:prstGeom prst="line">
                          <a:avLst/>
                        </a:prstGeom>
                        <a:ln>
                          <a:solidFill>
                            <a:schemeClr val="tx2"/>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5445361" id="Straight Connector 5" o:spid="_x0000_s1026" style="position:absolute;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0.1pt,9.4pt" to="480.85pt,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" strokecolor="#1f497d [3215]" strokeweight="2pt"/>
            </w:pict>
          </mc:Fallback>
        </mc:AlternateContent>
      </w:r>
      <w:r w:rsidR="0037212C" w:rsidRPr="002313E2">
        <w:rPr>
          <w:b/>
          <w:color w:val="1F497D" w:themeColor="text2"/>
          <w:sz w:val="28"/>
          <w:szCs w:val="28"/>
        </w:rPr>
        <w:t>Medicare</w:t>
      </w:r>
    </w:p>
    <w:p w14:paraId="7C0606B4" w14:textId="77777777" w:rsidR="007F29E4" w:rsidRPr="00C33851" w:rsidRDefault="007F29E4" w:rsidP="007F29E4">
      <w:pPr>
        <w:spacing w:after="0"/>
        <w:rPr>
          <w:b/>
          <w:color w:val="1F497D" w:themeColor="text2"/>
        </w:rPr>
      </w:pPr>
      <w:r w:rsidRPr="00C33851">
        <w:rPr>
          <w:b/>
          <w:color w:val="1F497D" w:themeColor="text2"/>
        </w:rPr>
        <w:t>Eligibility</w:t>
      </w:r>
    </w:p>
    <w:p w14:paraId="0E3C3349" w14:textId="77777777" w:rsidR="00E67EEF" w:rsidRPr="00E67EEF" w:rsidRDefault="00E67EEF" w:rsidP="007F29E4">
      <w:pPr>
        <w:spacing w:after="0"/>
      </w:pPr>
      <w:r>
        <w:t>Individuals</w:t>
      </w:r>
      <w:r w:rsidR="00350F91">
        <w:t xml:space="preserve"> qualify for Medicare at age 65, or if they are under 65 and have been receiving Social Security disability benefits for at least 24 months (need not be consecutive).</w:t>
      </w:r>
    </w:p>
    <w:p w14:paraId="36882FCB" w14:textId="77777777" w:rsidR="007F29E4" w:rsidRPr="004F59BA" w:rsidRDefault="007F29E4" w:rsidP="007F29E4">
      <w:pPr>
        <w:spacing w:after="0"/>
        <w:rPr>
          <w:b/>
          <w:sz w:val="16"/>
          <w:szCs w:val="16"/>
        </w:rPr>
      </w:pPr>
    </w:p>
    <w:p w14:paraId="219E4209" w14:textId="77777777" w:rsidR="00A43ED5" w:rsidRPr="00C33851" w:rsidRDefault="00A43ED5" w:rsidP="00A43ED5">
      <w:pPr>
        <w:spacing w:after="0"/>
        <w:rPr>
          <w:b/>
          <w:color w:val="1F497D" w:themeColor="text2"/>
        </w:rPr>
      </w:pPr>
      <w:r w:rsidRPr="00C33851">
        <w:rPr>
          <w:b/>
          <w:color w:val="1F497D" w:themeColor="text2"/>
        </w:rPr>
        <w:t>Specialty care options for individuals with Alzheimer’s disease or dementia</w:t>
      </w:r>
    </w:p>
    <w:p w14:paraId="4F716D7F" w14:textId="0B3E6E99" w:rsidR="00B32C12" w:rsidRDefault="00B32C12" w:rsidP="00B32C12">
      <w:pPr>
        <w:spacing w:after="0"/>
      </w:pPr>
      <w:r w:rsidRPr="00B32C12">
        <w:t>Medicare will pay fo</w:t>
      </w:r>
      <w:r>
        <w:t>r some, but not all, care costs associated with Alzheimer’s or dementia</w:t>
      </w:r>
      <w:r w:rsidR="00196A00">
        <w:rPr>
          <w:rStyle w:val="FootnoteReference"/>
        </w:rPr>
        <w:footnoteReference w:id="1"/>
      </w:r>
      <w:r>
        <w:t>:</w:t>
      </w:r>
    </w:p>
    <w:p w14:paraId="7A40ED86" w14:textId="7DB0A776" w:rsidR="00B32C12" w:rsidRDefault="00B32C12" w:rsidP="00B32C12">
      <w:pPr>
        <w:pStyle w:val="ListParagraph"/>
        <w:numPr>
          <w:ilvl w:val="0"/>
          <w:numId w:val="6"/>
        </w:numPr>
        <w:spacing w:after="0"/>
      </w:pPr>
      <w:r>
        <w:t>Medicare covers inpatient hospital care and some of the doctors' fees and other medical items for people with Alzheimer's or dementia who are age 65 or older</w:t>
      </w:r>
    </w:p>
    <w:p w14:paraId="42721151" w14:textId="77777777" w:rsidR="00B32C12" w:rsidRDefault="00B32C12" w:rsidP="00B32C12">
      <w:pPr>
        <w:pStyle w:val="ListParagraph"/>
        <w:numPr>
          <w:ilvl w:val="0"/>
          <w:numId w:val="6"/>
        </w:numPr>
        <w:spacing w:after="0"/>
      </w:pPr>
      <w:r>
        <w:t>Medicare Part D covers many prescription drugs</w:t>
      </w:r>
    </w:p>
    <w:p w14:paraId="4DAA3B51" w14:textId="46F49C8E" w:rsidR="00B32C12" w:rsidRDefault="00B32C12" w:rsidP="00B32C12">
      <w:pPr>
        <w:pStyle w:val="ListParagraph"/>
        <w:numPr>
          <w:ilvl w:val="0"/>
          <w:numId w:val="6"/>
        </w:numPr>
        <w:spacing w:after="0"/>
      </w:pPr>
      <w:r>
        <w:t>Medicare will pay for up to 100 days of skilled nursing home ca</w:t>
      </w:r>
      <w:r w:rsidR="00EA3D9F">
        <w:t>re under limited circumstances (</w:t>
      </w:r>
      <w:r>
        <w:t>custodial long-term nursing home care is not covered</w:t>
      </w:r>
      <w:r w:rsidR="00EA3D9F">
        <w:t>)</w:t>
      </w:r>
    </w:p>
    <w:p w14:paraId="25D1177D" w14:textId="381F0A35" w:rsidR="00B32C12" w:rsidRDefault="00B32C12" w:rsidP="00A43ED5">
      <w:pPr>
        <w:pStyle w:val="ListParagraph"/>
        <w:numPr>
          <w:ilvl w:val="0"/>
          <w:numId w:val="6"/>
        </w:numPr>
        <w:spacing w:after="0"/>
      </w:pPr>
      <w:r>
        <w:t xml:space="preserve">Medicare will pay for hospice care delivered in the home, a nursing facility or an inpatient hospice facility for </w:t>
      </w:r>
      <w:r w:rsidR="00EA3D9F">
        <w:t>those</w:t>
      </w:r>
      <w:r>
        <w:t xml:space="preserve"> with dementia who are determ</w:t>
      </w:r>
      <w:r w:rsidR="00C9596C">
        <w:t>ined to be near the end of life</w:t>
      </w:r>
    </w:p>
    <w:p w14:paraId="39B05876" w14:textId="10F223FA" w:rsidR="0069206A" w:rsidRDefault="0069206A" w:rsidP="0069206A">
      <w:pPr>
        <w:pStyle w:val="ListParagraph"/>
        <w:numPr>
          <w:ilvl w:val="0"/>
          <w:numId w:val="6"/>
        </w:numPr>
        <w:spacing w:after="0"/>
      </w:pPr>
      <w:r w:rsidRPr="0069206A">
        <w:t>Medicare will pay for cognitive assessment and care planning services for individuals diagnosed with Alzheimer’s disease, other dementias</w:t>
      </w:r>
      <w:r w:rsidR="00C9596C">
        <w:t xml:space="preserve"> or mild cognitive impairment</w:t>
      </w:r>
    </w:p>
    <w:p w14:paraId="61C50DA3" w14:textId="77777777" w:rsidR="00B32C12" w:rsidRPr="004F59BA" w:rsidRDefault="00B32C12" w:rsidP="00B32C12">
      <w:pPr>
        <w:pStyle w:val="ListParagraph"/>
        <w:spacing w:after="0"/>
        <w:rPr>
          <w:sz w:val="16"/>
          <w:szCs w:val="16"/>
        </w:rPr>
      </w:pPr>
    </w:p>
    <w:p w14:paraId="7FAE578E" w14:textId="13C33E9F" w:rsidR="00E67EEF" w:rsidRDefault="00524FBD" w:rsidP="00E67EEF">
      <w:pPr>
        <w:spacing w:after="0"/>
      </w:pPr>
      <w:r w:rsidRPr="00524FBD">
        <w:t xml:space="preserve">There are </w:t>
      </w:r>
      <w:r w:rsidR="00B32C12">
        <w:t xml:space="preserve">also </w:t>
      </w:r>
      <w:r w:rsidRPr="00524FBD">
        <w:t>Medicare Special Needs Plans</w:t>
      </w:r>
      <w:r w:rsidR="00B32C12">
        <w:t xml:space="preserve"> (SNPs)</w:t>
      </w:r>
      <w:r w:rsidRPr="00524FBD">
        <w:t xml:space="preserve"> nationally that cater to </w:t>
      </w:r>
      <w:r w:rsidR="00AC7366">
        <w:t>individuals with certain diagnoses,</w:t>
      </w:r>
      <w:r w:rsidRPr="00524FBD">
        <w:t xml:space="preserve"> </w:t>
      </w:r>
      <w:r w:rsidR="0069206A">
        <w:t xml:space="preserve">such as Alzheimer’s or dementia, </w:t>
      </w:r>
      <w:r w:rsidRPr="00524FBD">
        <w:t>but there are currently no such plans in Massachusetts.</w:t>
      </w:r>
      <w:r w:rsidR="00CD5788">
        <w:rPr>
          <w:rStyle w:val="FootnoteReference"/>
        </w:rPr>
        <w:footnoteReference w:id="2"/>
      </w:r>
    </w:p>
    <w:p w14:paraId="2E3F3424" w14:textId="77777777" w:rsidR="00524FBD" w:rsidRPr="004F59BA" w:rsidRDefault="00524FBD" w:rsidP="00E67EEF">
      <w:pPr>
        <w:spacing w:after="0"/>
        <w:rPr>
          <w:sz w:val="10"/>
          <w:szCs w:val="10"/>
        </w:rPr>
      </w:pPr>
    </w:p>
    <w:p w14:paraId="5E61D97F" w14:textId="08FBB26A" w:rsidR="007F29E4" w:rsidRPr="002313E2" w:rsidRDefault="00483D21" w:rsidP="00E67EEF">
      <w:pPr>
        <w:rPr>
          <w:b/>
          <w:color w:val="1F497D" w:themeColor="text2"/>
          <w:sz w:val="28"/>
          <w:szCs w:val="28"/>
        </w:rPr>
      </w:pPr>
      <w:r w:rsidRPr="002313E2">
        <w:rPr>
          <w:noProof/>
          <w:color w:val="1F497D" w:themeColor="text2"/>
        </w:rPr>
        <mc:AlternateContent>
          <mc:Choice Requires="wps">
            <w:drawing>
              <wp:anchor distT="0" distB="0" distL="114300" distR="114300" simplePos="0" relativeHeight="251665408" behindDoc="0" locked="0" layoutInCell="1" allowOverlap="1" wp14:anchorId="7291A0EC" wp14:editId="688D75D2">
                <wp:simplePos x="0" y="0"/>
                <wp:positionH relativeFrom="column">
                  <wp:posOffset>1661823</wp:posOffset>
                </wp:positionH>
                <wp:positionV relativeFrom="paragraph">
                  <wp:posOffset>121699</wp:posOffset>
                </wp:positionV>
                <wp:extent cx="4707172" cy="8890"/>
                <wp:effectExtent l="0" t="0" r="17780" b="29210"/>
                <wp:wrapNone/>
                <wp:docPr id="6" name="Straight Connector 6"/>
                <wp:cNvGraphicFramePr/>
                <a:graphic xmlns:a="http://schemas.openxmlformats.org/drawingml/2006/main">
                  <a:graphicData uri="http://schemas.microsoft.com/office/word/2010/wordprocessingShape">
                    <wps:wsp>
                      <wps:cNvCnPr/>
                      <wps:spPr>
                        <a:xfrm flipH="1">
                          <a:off x="0" y="0"/>
                          <a:ext cx="4707172" cy="8890"/>
                        </a:xfrm>
                        <a:prstGeom prst="line">
                          <a:avLst/>
                        </a:prstGeom>
                        <a:ln>
                          <a:solidFill>
                            <a:schemeClr val="tx2"/>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F22DE7D" id="Straight Connector 6" o:spid="_x0000_s1026" style="position:absolute;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0.85pt,9.6pt" to="501.5pt,1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" strokecolor="#1f497d [3215]" strokeweight="2pt"/>
            </w:pict>
          </mc:Fallback>
        </mc:AlternateContent>
      </w:r>
      <w:r w:rsidR="007F29E4" w:rsidRPr="002313E2">
        <w:rPr>
          <w:b/>
          <w:color w:val="1F497D" w:themeColor="text2"/>
          <w:sz w:val="28"/>
          <w:szCs w:val="28"/>
        </w:rPr>
        <w:t>Commercial Coverage</w:t>
      </w:r>
    </w:p>
    <w:p w14:paraId="6AE1C12A" w14:textId="77777777" w:rsidR="00A43ED5" w:rsidRPr="00C33851" w:rsidRDefault="00A43ED5" w:rsidP="00A43ED5">
      <w:pPr>
        <w:spacing w:after="0"/>
        <w:rPr>
          <w:b/>
          <w:color w:val="1F497D" w:themeColor="text2"/>
        </w:rPr>
      </w:pPr>
      <w:r w:rsidRPr="00C33851">
        <w:rPr>
          <w:b/>
          <w:color w:val="1F497D" w:themeColor="text2"/>
        </w:rPr>
        <w:t>Specialty care options for individuals with Alzheimer’s disease or dementia</w:t>
      </w:r>
    </w:p>
    <w:p w14:paraId="71BC54E7" w14:textId="77777777" w:rsidR="00E67EEF" w:rsidRDefault="00E67EEF" w:rsidP="007F29E4">
      <w:pPr>
        <w:spacing w:after="0"/>
      </w:pPr>
      <w:r>
        <w:t>Commercial plans in Massachusetts typically cover:</w:t>
      </w:r>
    </w:p>
    <w:p w14:paraId="61120A71" w14:textId="77777777" w:rsidR="00E67EEF" w:rsidRDefault="00E67EEF" w:rsidP="00E67EEF">
      <w:pPr>
        <w:pStyle w:val="ListParagraph"/>
        <w:numPr>
          <w:ilvl w:val="0"/>
          <w:numId w:val="5"/>
        </w:numPr>
        <w:spacing w:after="0"/>
      </w:pPr>
      <w:r>
        <w:t>Home health care</w:t>
      </w:r>
    </w:p>
    <w:p w14:paraId="75127F46" w14:textId="77777777" w:rsidR="0056379D" w:rsidRDefault="00807B7D" w:rsidP="00E67EEF">
      <w:pPr>
        <w:pStyle w:val="ListParagraph"/>
        <w:numPr>
          <w:ilvl w:val="0"/>
          <w:numId w:val="5"/>
        </w:numPr>
        <w:spacing w:after="0"/>
      </w:pPr>
      <w:r>
        <w:t>Occupational</w:t>
      </w:r>
      <w:r w:rsidR="0056379D">
        <w:t xml:space="preserve"> Therapy</w:t>
      </w:r>
      <w:r>
        <w:t xml:space="preserve"> (OT)</w:t>
      </w:r>
    </w:p>
    <w:p w14:paraId="0E9DB510" w14:textId="77777777" w:rsidR="0056379D" w:rsidRDefault="00807B7D" w:rsidP="00E67EEF">
      <w:pPr>
        <w:pStyle w:val="ListParagraph"/>
        <w:numPr>
          <w:ilvl w:val="0"/>
          <w:numId w:val="5"/>
        </w:numPr>
        <w:spacing w:after="0"/>
      </w:pPr>
      <w:r>
        <w:t xml:space="preserve">Physical </w:t>
      </w:r>
      <w:r w:rsidR="0056379D">
        <w:t xml:space="preserve">Therapy </w:t>
      </w:r>
      <w:r>
        <w:t>(PT)</w:t>
      </w:r>
    </w:p>
    <w:p w14:paraId="0C2779E1" w14:textId="5337CD40" w:rsidR="00E67EEF" w:rsidRDefault="00807B7D" w:rsidP="00E67EEF">
      <w:pPr>
        <w:pStyle w:val="ListParagraph"/>
        <w:numPr>
          <w:ilvl w:val="0"/>
          <w:numId w:val="5"/>
        </w:numPr>
        <w:spacing w:after="0"/>
      </w:pPr>
      <w:r>
        <w:t>S</w:t>
      </w:r>
      <w:r w:rsidR="00E67EEF">
        <w:t>peech</w:t>
      </w:r>
      <w:r>
        <w:t xml:space="preserve"> </w:t>
      </w:r>
      <w:r w:rsidR="0056379D">
        <w:t xml:space="preserve">Therapy </w:t>
      </w:r>
      <w:r>
        <w:t>(ST)</w:t>
      </w:r>
    </w:p>
    <w:p w14:paraId="57F9307B" w14:textId="77777777" w:rsidR="008A3910" w:rsidRDefault="00E67EEF" w:rsidP="002F6445">
      <w:pPr>
        <w:pStyle w:val="ListParagraph"/>
        <w:numPr>
          <w:ilvl w:val="0"/>
          <w:numId w:val="5"/>
        </w:numPr>
        <w:spacing w:after="0"/>
      </w:pPr>
      <w:r>
        <w:t>Durable Medical Equipment (DME)</w:t>
      </w:r>
    </w:p>
    <w:p w14:paraId="3141CCA6" w14:textId="77777777" w:rsidR="008A3910" w:rsidRDefault="008A3910" w:rsidP="008A3910">
      <w:pPr>
        <w:spacing w:after="0"/>
        <w:ind w:left="360"/>
      </w:pPr>
    </w:p>
    <w:p w14:paraId="6BD33DCA" w14:textId="77777777" w:rsidR="003C5C10" w:rsidRDefault="00FC7B37" w:rsidP="002F6445">
      <w:pPr>
        <w:spacing w:after="0"/>
      </w:pPr>
      <w:r>
        <w:t>Additionally, s</w:t>
      </w:r>
      <w:r w:rsidR="0086137B">
        <w:t xml:space="preserve">ome commercial insurance plans in Massachusetts have partnered with the </w:t>
      </w:r>
      <w:hyperlink r:id="rId25" w:history="1">
        <w:r w:rsidR="0086137B" w:rsidRPr="00B24D5A">
          <w:rPr>
            <w:rStyle w:val="Hyperlink"/>
          </w:rPr>
          <w:t>Alzheimer’s Association MA/NH chapter</w:t>
        </w:r>
      </w:hyperlink>
      <w:r w:rsidR="0086137B">
        <w:t xml:space="preserve"> to provide Dementia Care Consultants.</w:t>
      </w:r>
    </w:p>
    <w:p w14:paraId="4D517BB8" w14:textId="77777777" w:rsidR="00D6465B" w:rsidRDefault="00D6465B" w:rsidP="002F6445">
      <w:pPr>
        <w:spacing w:after="0"/>
        <w:rPr>
          <w:b/>
          <w:color w:val="1F497D" w:themeColor="text2"/>
          <w:sz w:val="28"/>
          <w:szCs w:val="28"/>
        </w:rPr>
      </w:pPr>
    </w:p>
    <w:p w14:paraId="76EF6634" w14:textId="21F668E5" w:rsidR="007F29E4" w:rsidRPr="002F6445" w:rsidRDefault="007D3BC2" w:rsidP="002F6445">
      <w:pPr>
        <w:spacing w:after="0"/>
      </w:pPr>
      <w:r w:rsidRPr="002313E2">
        <w:rPr>
          <w:b/>
          <w:color w:val="1F497D" w:themeColor="text2"/>
          <w:sz w:val="28"/>
          <w:szCs w:val="28"/>
        </w:rPr>
        <w:lastRenderedPageBreak/>
        <w:t>Appendices</w:t>
      </w:r>
    </w:p>
    <w:p w14:paraId="02F66747" w14:textId="77777777" w:rsidR="0056620A" w:rsidRPr="0056620A" w:rsidRDefault="0056620A" w:rsidP="0056620A">
      <w:pPr>
        <w:spacing w:after="0"/>
        <w:rPr>
          <w:sz w:val="16"/>
          <w:szCs w:val="16"/>
        </w:rPr>
      </w:pPr>
    </w:p>
    <w:p w14:paraId="5930C4A3" w14:textId="77777777" w:rsidR="00C15851" w:rsidRDefault="00C15851" w:rsidP="0056620A">
      <w:pPr>
        <w:spacing w:after="0"/>
      </w:pPr>
      <w:r w:rsidRPr="00714664">
        <w:t xml:space="preserve">Key acronyms: </w:t>
      </w:r>
    </w:p>
    <w:p w14:paraId="482EB472" w14:textId="77777777" w:rsidR="0056620A" w:rsidRPr="0056620A" w:rsidRDefault="0056620A" w:rsidP="0056620A">
      <w:pPr>
        <w:spacing w:after="0"/>
        <w:rPr>
          <w:sz w:val="10"/>
          <w:szCs w:val="10"/>
        </w:rPr>
      </w:pPr>
    </w:p>
    <w:p w14:paraId="3EF482D9" w14:textId="77777777" w:rsidR="00C15851" w:rsidRDefault="00C15851" w:rsidP="00C15851">
      <w:r w:rsidRPr="0069653E">
        <w:rPr>
          <w:b/>
        </w:rPr>
        <w:t>Activities of daily living (ADLs)</w:t>
      </w:r>
      <w:r w:rsidRPr="0069653E">
        <w:t>—</w:t>
      </w:r>
      <w:r w:rsidR="007F1F8A">
        <w:t>I</w:t>
      </w:r>
      <w:r>
        <w:t>nclude bathing and showering, personal hygiene and grooming, dressing, toilet hygiene, functional mobility, and self-feeding</w:t>
      </w:r>
    </w:p>
    <w:p w14:paraId="5EC95FFF" w14:textId="2DCD9729" w:rsidR="00EA0737" w:rsidRDefault="00C15851" w:rsidP="00EA0737">
      <w:r w:rsidRPr="0069653E">
        <w:rPr>
          <w:b/>
        </w:rPr>
        <w:t>Instrumental activities of daily living (IADLs)</w:t>
      </w:r>
      <w:r w:rsidRPr="0069653E">
        <w:t>—</w:t>
      </w:r>
      <w:r w:rsidR="007F1F8A" w:rsidRPr="0069653E">
        <w:t>I</w:t>
      </w:r>
      <w:r w:rsidRPr="0069653E">
        <w:t xml:space="preserve">nclude </w:t>
      </w:r>
      <w:r>
        <w:t>cleaning and maintaining a home, managing money, preparing meals, shopping for groceries and necessities, taking prescribed medications,</w:t>
      </w:r>
      <w:r w:rsidR="007F1F8A">
        <w:t xml:space="preserve"> and</w:t>
      </w:r>
      <w:r>
        <w:t xml:space="preserve"> using the telephone</w:t>
      </w:r>
    </w:p>
    <w:p w14:paraId="277697D4" w14:textId="77777777" w:rsidR="00DE6EE2" w:rsidRPr="00C15851" w:rsidRDefault="00DE6EE2" w:rsidP="00DE6EE2">
      <w:pPr>
        <w:spacing w:after="0"/>
      </w:pPr>
    </w:p>
    <w:p w14:paraId="24AF857F" w14:textId="77777777" w:rsidR="00714664" w:rsidRPr="002313E2" w:rsidRDefault="007D3BC2" w:rsidP="00922510">
      <w:pPr>
        <w:spacing w:after="0"/>
        <w:rPr>
          <w:b/>
          <w:i/>
          <w:color w:val="1F497D" w:themeColor="text2"/>
        </w:rPr>
      </w:pPr>
      <w:r w:rsidRPr="002313E2">
        <w:rPr>
          <w:b/>
          <w:i/>
          <w:color w:val="1F497D" w:themeColor="text2"/>
        </w:rPr>
        <w:t>Appendix A: MassHealth Community-Based Long Term Services and Supports</w:t>
      </w:r>
    </w:p>
    <w:tbl>
      <w:tblPr>
        <w:tblStyle w:val="TableGrid"/>
        <w:tblW w:w="0" w:type="auto"/>
        <w:tblLook w:val="04A0" w:firstRow="1" w:lastRow="0" w:firstColumn="1" w:lastColumn="0" w:noHBand="0" w:noVBand="1"/>
      </w:tblPr>
      <w:tblGrid>
        <w:gridCol w:w="1908"/>
        <w:gridCol w:w="5040"/>
        <w:gridCol w:w="3600"/>
      </w:tblGrid>
      <w:tr w:rsidR="007D3BC2" w:rsidRPr="00807B7D" w14:paraId="0C655C8D" w14:textId="77777777" w:rsidTr="00492122">
        <w:trPr>
          <w:trHeight w:val="432"/>
        </w:trPr>
        <w:tc>
          <w:tcPr>
            <w:tcW w:w="1908" w:type="dxa"/>
            <w:shd w:val="clear" w:color="auto" w:fill="DBE5F1" w:themeFill="accent1" w:themeFillTint="33"/>
            <w:vAlign w:val="center"/>
          </w:tcPr>
          <w:p w14:paraId="7CA127F5" w14:textId="77777777" w:rsidR="007D3BC2" w:rsidRPr="00BD6CF8" w:rsidRDefault="007D3BC2" w:rsidP="000B2CC8">
            <w:pPr>
              <w:rPr>
                <w:b/>
                <w:color w:val="1F497D" w:themeColor="text2"/>
                <w:sz w:val="21"/>
                <w:szCs w:val="21"/>
              </w:rPr>
            </w:pPr>
            <w:r w:rsidRPr="00BD6CF8">
              <w:rPr>
                <w:b/>
                <w:color w:val="1F497D" w:themeColor="text2"/>
                <w:sz w:val="21"/>
                <w:szCs w:val="21"/>
              </w:rPr>
              <w:t>Program</w:t>
            </w:r>
          </w:p>
        </w:tc>
        <w:tc>
          <w:tcPr>
            <w:tcW w:w="5040" w:type="dxa"/>
            <w:shd w:val="clear" w:color="auto" w:fill="DBE5F1" w:themeFill="accent1" w:themeFillTint="33"/>
            <w:vAlign w:val="center"/>
          </w:tcPr>
          <w:p w14:paraId="4D86E581" w14:textId="77777777" w:rsidR="007D3BC2" w:rsidRPr="00BD6CF8" w:rsidRDefault="007D3BC2" w:rsidP="000B2CC8">
            <w:pPr>
              <w:rPr>
                <w:b/>
                <w:color w:val="1F497D" w:themeColor="text2"/>
                <w:sz w:val="21"/>
                <w:szCs w:val="21"/>
              </w:rPr>
            </w:pPr>
            <w:r w:rsidRPr="00BD6CF8">
              <w:rPr>
                <w:b/>
                <w:color w:val="1F497D" w:themeColor="text2"/>
                <w:sz w:val="21"/>
                <w:szCs w:val="21"/>
              </w:rPr>
              <w:t>Description</w:t>
            </w:r>
          </w:p>
        </w:tc>
        <w:tc>
          <w:tcPr>
            <w:tcW w:w="3600" w:type="dxa"/>
            <w:shd w:val="clear" w:color="auto" w:fill="DBE5F1" w:themeFill="accent1" w:themeFillTint="33"/>
            <w:vAlign w:val="center"/>
          </w:tcPr>
          <w:p w14:paraId="4B1F574F" w14:textId="77777777" w:rsidR="007D3BC2" w:rsidRPr="00BD6CF8" w:rsidRDefault="007D3BC2" w:rsidP="000B2CC8">
            <w:pPr>
              <w:rPr>
                <w:b/>
                <w:color w:val="1F497D" w:themeColor="text2"/>
                <w:sz w:val="21"/>
                <w:szCs w:val="21"/>
              </w:rPr>
            </w:pPr>
            <w:r w:rsidRPr="00BD6CF8">
              <w:rPr>
                <w:b/>
                <w:color w:val="1F497D" w:themeColor="text2"/>
                <w:sz w:val="21"/>
                <w:szCs w:val="21"/>
              </w:rPr>
              <w:t>Eligibility</w:t>
            </w:r>
          </w:p>
        </w:tc>
      </w:tr>
      <w:tr w:rsidR="007D3BC2" w:rsidRPr="00807B7D" w14:paraId="074A7921" w14:textId="77777777" w:rsidTr="00492122">
        <w:trPr>
          <w:trHeight w:val="1538"/>
        </w:trPr>
        <w:tc>
          <w:tcPr>
            <w:tcW w:w="1908" w:type="dxa"/>
            <w:vAlign w:val="center"/>
          </w:tcPr>
          <w:p w14:paraId="279C4173" w14:textId="77777777" w:rsidR="007D3BC2" w:rsidRPr="000C6BB0" w:rsidRDefault="007D3BC2" w:rsidP="007D3BC2">
            <w:pPr>
              <w:rPr>
                <w:b/>
                <w:i/>
                <w:sz w:val="21"/>
                <w:szCs w:val="21"/>
              </w:rPr>
            </w:pPr>
            <w:r w:rsidRPr="000C6BB0">
              <w:rPr>
                <w:b/>
                <w:i/>
                <w:sz w:val="21"/>
                <w:szCs w:val="21"/>
              </w:rPr>
              <w:t>Adult Day Health</w:t>
            </w:r>
            <w:r w:rsidR="002000B9" w:rsidRPr="000C6BB0">
              <w:rPr>
                <w:b/>
                <w:i/>
                <w:sz w:val="21"/>
                <w:szCs w:val="21"/>
              </w:rPr>
              <w:t xml:space="preserve"> (ADH)</w:t>
            </w:r>
          </w:p>
        </w:tc>
        <w:tc>
          <w:tcPr>
            <w:tcW w:w="5040" w:type="dxa"/>
            <w:vAlign w:val="center"/>
          </w:tcPr>
          <w:p w14:paraId="3087A368" w14:textId="77777777" w:rsidR="007D3BC2" w:rsidRPr="00807B7D" w:rsidRDefault="00714664" w:rsidP="00714664">
            <w:pPr>
              <w:rPr>
                <w:sz w:val="21"/>
                <w:szCs w:val="21"/>
              </w:rPr>
            </w:pPr>
            <w:r w:rsidRPr="00807B7D">
              <w:rPr>
                <w:sz w:val="21"/>
                <w:szCs w:val="21"/>
              </w:rPr>
              <w:t>Services for individuals with cognitive impairment and their caregiver; a day program providing nursing and therapeutic services and oversight, including therapy, nutrition, dietary counseling, case management, activities, and assistance with ADLs.</w:t>
            </w:r>
          </w:p>
        </w:tc>
        <w:tc>
          <w:tcPr>
            <w:tcW w:w="3600" w:type="dxa"/>
            <w:vAlign w:val="center"/>
          </w:tcPr>
          <w:p w14:paraId="5E94A352" w14:textId="77777777" w:rsidR="007D3BC2" w:rsidRPr="00807B7D" w:rsidRDefault="00714664" w:rsidP="00714664">
            <w:pPr>
              <w:rPr>
                <w:sz w:val="21"/>
                <w:szCs w:val="21"/>
              </w:rPr>
            </w:pPr>
            <w:r w:rsidRPr="00807B7D">
              <w:rPr>
                <w:sz w:val="21"/>
                <w:szCs w:val="21"/>
              </w:rPr>
              <w:t xml:space="preserve">Over the age of </w:t>
            </w:r>
            <w:r w:rsidRPr="00807B7D">
              <w:rPr>
                <w:b/>
                <w:sz w:val="21"/>
                <w:szCs w:val="21"/>
              </w:rPr>
              <w:t>60</w:t>
            </w:r>
            <w:r w:rsidRPr="00807B7D">
              <w:rPr>
                <w:sz w:val="21"/>
                <w:szCs w:val="21"/>
              </w:rPr>
              <w:t xml:space="preserve"> or a diagnosis of </w:t>
            </w:r>
            <w:r w:rsidRPr="00807B7D">
              <w:rPr>
                <w:b/>
                <w:sz w:val="21"/>
                <w:szCs w:val="21"/>
              </w:rPr>
              <w:t>early onset Alzheimer's</w:t>
            </w:r>
            <w:r w:rsidRPr="00807B7D">
              <w:rPr>
                <w:sz w:val="21"/>
                <w:szCs w:val="21"/>
              </w:rPr>
              <w:t xml:space="preserve"> and needs assist</w:t>
            </w:r>
            <w:r w:rsidR="002000B9" w:rsidRPr="00807B7D">
              <w:rPr>
                <w:sz w:val="21"/>
                <w:szCs w:val="21"/>
              </w:rPr>
              <w:t>ance</w:t>
            </w:r>
            <w:r w:rsidRPr="00807B7D">
              <w:rPr>
                <w:sz w:val="21"/>
                <w:szCs w:val="21"/>
              </w:rPr>
              <w:t xml:space="preserve"> with a minimum of </w:t>
            </w:r>
            <w:r w:rsidRPr="00807B7D">
              <w:rPr>
                <w:b/>
                <w:sz w:val="21"/>
                <w:szCs w:val="21"/>
              </w:rPr>
              <w:t>4 IADLs</w:t>
            </w:r>
          </w:p>
        </w:tc>
      </w:tr>
      <w:tr w:rsidR="007D3BC2" w:rsidRPr="00807B7D" w14:paraId="4CC276FA" w14:textId="77777777" w:rsidTr="00492122">
        <w:trPr>
          <w:trHeight w:val="1538"/>
        </w:trPr>
        <w:tc>
          <w:tcPr>
            <w:tcW w:w="1908" w:type="dxa"/>
            <w:shd w:val="clear" w:color="auto" w:fill="F2F2F2" w:themeFill="background1" w:themeFillShade="F2"/>
            <w:vAlign w:val="center"/>
          </w:tcPr>
          <w:p w14:paraId="4F158F86" w14:textId="77777777" w:rsidR="007D3BC2" w:rsidRPr="000C6BB0" w:rsidRDefault="007D3BC2" w:rsidP="007D3BC2">
            <w:pPr>
              <w:rPr>
                <w:b/>
                <w:i/>
                <w:sz w:val="21"/>
                <w:szCs w:val="21"/>
              </w:rPr>
            </w:pPr>
            <w:r w:rsidRPr="000C6BB0">
              <w:rPr>
                <w:b/>
                <w:i/>
                <w:sz w:val="21"/>
                <w:szCs w:val="21"/>
              </w:rPr>
              <w:t>Adult Foster Care</w:t>
            </w:r>
            <w:r w:rsidR="00714664" w:rsidRPr="000C6BB0">
              <w:rPr>
                <w:b/>
                <w:i/>
                <w:sz w:val="21"/>
                <w:szCs w:val="21"/>
              </w:rPr>
              <w:t xml:space="preserve"> (AFC)</w:t>
            </w:r>
          </w:p>
        </w:tc>
        <w:tc>
          <w:tcPr>
            <w:tcW w:w="5040" w:type="dxa"/>
            <w:shd w:val="clear" w:color="auto" w:fill="F2F2F2" w:themeFill="background1" w:themeFillShade="F2"/>
            <w:vAlign w:val="center"/>
          </w:tcPr>
          <w:p w14:paraId="092FEBCA" w14:textId="77777777" w:rsidR="007D3BC2" w:rsidRPr="00807B7D" w:rsidRDefault="00714664" w:rsidP="00714664">
            <w:pPr>
              <w:rPr>
                <w:sz w:val="21"/>
                <w:szCs w:val="21"/>
              </w:rPr>
            </w:pPr>
            <w:r w:rsidRPr="00807B7D">
              <w:rPr>
                <w:sz w:val="21"/>
                <w:szCs w:val="21"/>
              </w:rPr>
              <w:t>Designed to assist with ADLs and IADLs. Persons receiving AFC services live with an AFC caregiver, who is responsible for the person's care 24 hours a day. AFC service recipients also receive visits from a multidisciplinary team consisting of, at a minimum, a registered nurse and a care manager.</w:t>
            </w:r>
          </w:p>
        </w:tc>
        <w:tc>
          <w:tcPr>
            <w:tcW w:w="3600" w:type="dxa"/>
            <w:shd w:val="clear" w:color="auto" w:fill="F2F2F2" w:themeFill="background1" w:themeFillShade="F2"/>
            <w:vAlign w:val="center"/>
          </w:tcPr>
          <w:p w14:paraId="44D57A52" w14:textId="637E446C" w:rsidR="007D3BC2" w:rsidRPr="00807B7D" w:rsidRDefault="002000B9" w:rsidP="00714664">
            <w:pPr>
              <w:rPr>
                <w:rFonts w:ascii="Calibri" w:hAnsi="Calibri"/>
                <w:sz w:val="21"/>
                <w:szCs w:val="21"/>
              </w:rPr>
            </w:pPr>
            <w:r w:rsidRPr="00807B7D">
              <w:rPr>
                <w:rFonts w:ascii="Calibri" w:hAnsi="Calibri"/>
                <w:sz w:val="21"/>
                <w:szCs w:val="21"/>
              </w:rPr>
              <w:t xml:space="preserve">Requires </w:t>
            </w:r>
            <w:r w:rsidR="00714664" w:rsidRPr="00807B7D">
              <w:rPr>
                <w:rFonts w:ascii="Calibri" w:hAnsi="Calibri"/>
                <w:sz w:val="21"/>
                <w:szCs w:val="21"/>
              </w:rPr>
              <w:t xml:space="preserve">assistance with at least </w:t>
            </w:r>
            <w:r w:rsidR="000474E3" w:rsidRPr="00807B7D">
              <w:rPr>
                <w:rFonts w:ascii="Calibri" w:hAnsi="Calibri"/>
                <w:b/>
                <w:sz w:val="21"/>
                <w:szCs w:val="21"/>
              </w:rPr>
              <w:t>1</w:t>
            </w:r>
            <w:r w:rsidR="00714664" w:rsidRPr="00807B7D">
              <w:rPr>
                <w:rFonts w:ascii="Calibri" w:hAnsi="Calibri"/>
                <w:b/>
                <w:sz w:val="21"/>
                <w:szCs w:val="21"/>
              </w:rPr>
              <w:t xml:space="preserve"> ADL</w:t>
            </w:r>
          </w:p>
        </w:tc>
      </w:tr>
      <w:tr w:rsidR="007D3BC2" w:rsidRPr="00807B7D" w14:paraId="2763CB73" w14:textId="77777777" w:rsidTr="00492122">
        <w:trPr>
          <w:trHeight w:val="1538"/>
        </w:trPr>
        <w:tc>
          <w:tcPr>
            <w:tcW w:w="1908" w:type="dxa"/>
            <w:vAlign w:val="center"/>
          </w:tcPr>
          <w:p w14:paraId="5B5B30D5" w14:textId="77777777" w:rsidR="007D3BC2" w:rsidRPr="000C6BB0" w:rsidRDefault="007D3BC2" w:rsidP="007D3BC2">
            <w:pPr>
              <w:rPr>
                <w:b/>
                <w:i/>
                <w:sz w:val="21"/>
                <w:szCs w:val="21"/>
              </w:rPr>
            </w:pPr>
            <w:r w:rsidRPr="000C6BB0">
              <w:rPr>
                <w:b/>
                <w:i/>
                <w:sz w:val="21"/>
                <w:szCs w:val="21"/>
              </w:rPr>
              <w:t>Continuous Skilled Nursing</w:t>
            </w:r>
            <w:r w:rsidR="00714664" w:rsidRPr="000C6BB0">
              <w:rPr>
                <w:b/>
                <w:i/>
                <w:sz w:val="21"/>
                <w:szCs w:val="21"/>
              </w:rPr>
              <w:t xml:space="preserve"> (CSN)</w:t>
            </w:r>
          </w:p>
        </w:tc>
        <w:tc>
          <w:tcPr>
            <w:tcW w:w="5040" w:type="dxa"/>
            <w:vAlign w:val="center"/>
          </w:tcPr>
          <w:p w14:paraId="546D3751" w14:textId="77777777" w:rsidR="00714664" w:rsidRPr="00807B7D" w:rsidRDefault="00714664" w:rsidP="00714664">
            <w:pPr>
              <w:rPr>
                <w:sz w:val="21"/>
                <w:szCs w:val="21"/>
              </w:rPr>
            </w:pPr>
            <w:r w:rsidRPr="00807B7D">
              <w:rPr>
                <w:sz w:val="21"/>
                <w:szCs w:val="21"/>
              </w:rPr>
              <w:t>As nurse visit of more than 2 consecutive</w:t>
            </w:r>
          </w:p>
          <w:p w14:paraId="7CEFF364" w14:textId="77777777" w:rsidR="007D3BC2" w:rsidRPr="00807B7D" w:rsidRDefault="00714664" w:rsidP="002000B9">
            <w:pPr>
              <w:rPr>
                <w:i/>
                <w:sz w:val="21"/>
                <w:szCs w:val="21"/>
              </w:rPr>
            </w:pPr>
            <w:r w:rsidRPr="00807B7D">
              <w:rPr>
                <w:sz w:val="21"/>
                <w:szCs w:val="21"/>
              </w:rPr>
              <w:t>hours per visit pro</w:t>
            </w:r>
            <w:r w:rsidR="002000B9" w:rsidRPr="00807B7D">
              <w:rPr>
                <w:sz w:val="21"/>
                <w:szCs w:val="21"/>
              </w:rPr>
              <w:t xml:space="preserve">vided to members in their home. </w:t>
            </w:r>
            <w:r w:rsidRPr="00807B7D">
              <w:rPr>
                <w:sz w:val="21"/>
                <w:szCs w:val="21"/>
              </w:rPr>
              <w:t>Members who need C</w:t>
            </w:r>
            <w:r w:rsidR="002000B9" w:rsidRPr="00807B7D">
              <w:rPr>
                <w:sz w:val="21"/>
                <w:szCs w:val="21"/>
              </w:rPr>
              <w:t>SN also receive care management.</w:t>
            </w:r>
          </w:p>
        </w:tc>
        <w:tc>
          <w:tcPr>
            <w:tcW w:w="3600" w:type="dxa"/>
            <w:vAlign w:val="center"/>
          </w:tcPr>
          <w:p w14:paraId="1C5942C9" w14:textId="4B58B4D2" w:rsidR="007D3BC2" w:rsidRPr="00807B7D" w:rsidRDefault="002000B9" w:rsidP="002000B9">
            <w:pPr>
              <w:rPr>
                <w:sz w:val="21"/>
                <w:szCs w:val="21"/>
              </w:rPr>
            </w:pPr>
            <w:r w:rsidRPr="00807B7D">
              <w:rPr>
                <w:sz w:val="21"/>
                <w:szCs w:val="21"/>
              </w:rPr>
              <w:t>Requires medically necessary skille</w:t>
            </w:r>
            <w:r w:rsidR="000474E3" w:rsidRPr="00807B7D">
              <w:rPr>
                <w:sz w:val="21"/>
                <w:szCs w:val="21"/>
              </w:rPr>
              <w:t xml:space="preserve">d </w:t>
            </w:r>
            <w:r w:rsidR="008C156F" w:rsidRPr="00807B7D">
              <w:rPr>
                <w:sz w:val="21"/>
                <w:szCs w:val="21"/>
              </w:rPr>
              <w:t>need</w:t>
            </w:r>
            <w:r w:rsidR="000474E3" w:rsidRPr="00807B7D">
              <w:rPr>
                <w:sz w:val="21"/>
                <w:szCs w:val="21"/>
              </w:rPr>
              <w:t xml:space="preserve"> of </w:t>
            </w:r>
            <w:r w:rsidR="000474E3" w:rsidRPr="00807B7D">
              <w:rPr>
                <w:b/>
                <w:sz w:val="21"/>
                <w:szCs w:val="21"/>
              </w:rPr>
              <w:t xml:space="preserve">more than </w:t>
            </w:r>
            <w:r w:rsidRPr="00807B7D">
              <w:rPr>
                <w:b/>
                <w:sz w:val="21"/>
                <w:szCs w:val="21"/>
              </w:rPr>
              <w:t>two continuous hours</w:t>
            </w:r>
            <w:r w:rsidRPr="00807B7D">
              <w:rPr>
                <w:sz w:val="21"/>
                <w:szCs w:val="21"/>
              </w:rPr>
              <w:t xml:space="preserve"> per visit</w:t>
            </w:r>
            <w:r w:rsidRPr="00807B7D">
              <w:rPr>
                <w:i/>
                <w:sz w:val="21"/>
                <w:szCs w:val="21"/>
              </w:rPr>
              <w:t xml:space="preserve"> </w:t>
            </w:r>
          </w:p>
        </w:tc>
      </w:tr>
      <w:tr w:rsidR="007D3BC2" w:rsidRPr="00807B7D" w14:paraId="73929B0E" w14:textId="77777777" w:rsidTr="00492122">
        <w:trPr>
          <w:trHeight w:val="1538"/>
        </w:trPr>
        <w:tc>
          <w:tcPr>
            <w:tcW w:w="1908" w:type="dxa"/>
            <w:shd w:val="clear" w:color="auto" w:fill="F2F2F2" w:themeFill="background1" w:themeFillShade="F2"/>
            <w:vAlign w:val="center"/>
          </w:tcPr>
          <w:p w14:paraId="289C461D" w14:textId="7064AFCA" w:rsidR="007D3BC2" w:rsidRPr="000C6BB0" w:rsidRDefault="001C7C59" w:rsidP="007D3BC2">
            <w:pPr>
              <w:rPr>
                <w:b/>
                <w:i/>
                <w:sz w:val="21"/>
                <w:szCs w:val="21"/>
              </w:rPr>
            </w:pPr>
            <w:hyperlink r:id="rId26" w:history="1">
              <w:r w:rsidR="007D3BC2" w:rsidRPr="000C6BB0">
                <w:rPr>
                  <w:rStyle w:val="Hyperlink"/>
                  <w:b/>
                  <w:i/>
                  <w:sz w:val="21"/>
                  <w:szCs w:val="21"/>
                </w:rPr>
                <w:t>Personal Care Attendant Program (PCA)</w:t>
              </w:r>
            </w:hyperlink>
          </w:p>
        </w:tc>
        <w:tc>
          <w:tcPr>
            <w:tcW w:w="5040" w:type="dxa"/>
            <w:shd w:val="clear" w:color="auto" w:fill="F2F2F2" w:themeFill="background1" w:themeFillShade="F2"/>
            <w:vAlign w:val="center"/>
          </w:tcPr>
          <w:p w14:paraId="0E3A8601" w14:textId="77777777" w:rsidR="002000B9" w:rsidRPr="00807B7D" w:rsidRDefault="002000B9" w:rsidP="002000B9">
            <w:pPr>
              <w:rPr>
                <w:sz w:val="21"/>
                <w:szCs w:val="21"/>
              </w:rPr>
            </w:pPr>
            <w:r w:rsidRPr="00807B7D">
              <w:rPr>
                <w:sz w:val="21"/>
                <w:szCs w:val="21"/>
              </w:rPr>
              <w:t>A self-directed personal care</w:t>
            </w:r>
          </w:p>
          <w:p w14:paraId="76338211" w14:textId="77777777" w:rsidR="002000B9" w:rsidRPr="00807B7D" w:rsidRDefault="002000B9" w:rsidP="002000B9">
            <w:pPr>
              <w:rPr>
                <w:sz w:val="21"/>
                <w:szCs w:val="21"/>
              </w:rPr>
            </w:pPr>
            <w:r w:rsidRPr="00807B7D">
              <w:rPr>
                <w:sz w:val="21"/>
                <w:szCs w:val="21"/>
              </w:rPr>
              <w:t>program that provides assistance with personal care needs (i.e. assistance with</w:t>
            </w:r>
          </w:p>
          <w:p w14:paraId="3111BEBD" w14:textId="77777777" w:rsidR="007D3BC2" w:rsidRPr="00807B7D" w:rsidRDefault="002000B9" w:rsidP="002000B9">
            <w:pPr>
              <w:rPr>
                <w:sz w:val="21"/>
                <w:szCs w:val="21"/>
              </w:rPr>
            </w:pPr>
            <w:r w:rsidRPr="00807B7D">
              <w:rPr>
                <w:sz w:val="21"/>
                <w:szCs w:val="21"/>
              </w:rPr>
              <w:t xml:space="preserve">ADLs and IADLs) </w:t>
            </w:r>
          </w:p>
        </w:tc>
        <w:tc>
          <w:tcPr>
            <w:tcW w:w="3600" w:type="dxa"/>
            <w:shd w:val="clear" w:color="auto" w:fill="F2F2F2" w:themeFill="background1" w:themeFillShade="F2"/>
            <w:vAlign w:val="center"/>
          </w:tcPr>
          <w:p w14:paraId="10CF162E" w14:textId="77777777" w:rsidR="007D3BC2" w:rsidRPr="00807B7D" w:rsidRDefault="00714664" w:rsidP="00714664">
            <w:pPr>
              <w:rPr>
                <w:rFonts w:ascii="Calibri" w:hAnsi="Calibri"/>
                <w:color w:val="000000"/>
                <w:sz w:val="21"/>
                <w:szCs w:val="21"/>
              </w:rPr>
            </w:pPr>
            <w:r w:rsidRPr="00807B7D">
              <w:rPr>
                <w:rFonts w:ascii="Calibri" w:hAnsi="Calibri"/>
                <w:color w:val="000000"/>
                <w:sz w:val="21"/>
                <w:szCs w:val="21"/>
              </w:rPr>
              <w:t xml:space="preserve">Persons with </w:t>
            </w:r>
            <w:r w:rsidRPr="00807B7D">
              <w:rPr>
                <w:rFonts w:ascii="Calibri" w:hAnsi="Calibri"/>
                <w:b/>
                <w:color w:val="000000"/>
                <w:sz w:val="21"/>
                <w:szCs w:val="21"/>
              </w:rPr>
              <w:t xml:space="preserve">permanent </w:t>
            </w:r>
            <w:r w:rsidRPr="00807B7D">
              <w:rPr>
                <w:rFonts w:ascii="Calibri" w:hAnsi="Calibri"/>
                <w:color w:val="000000"/>
                <w:sz w:val="21"/>
                <w:szCs w:val="21"/>
              </w:rPr>
              <w:t>or</w:t>
            </w:r>
            <w:r w:rsidRPr="00807B7D">
              <w:rPr>
                <w:rFonts w:ascii="Calibri" w:hAnsi="Calibri"/>
                <w:b/>
                <w:color w:val="000000"/>
                <w:sz w:val="21"/>
                <w:szCs w:val="21"/>
              </w:rPr>
              <w:t xml:space="preserve"> chronic disabilities</w:t>
            </w:r>
            <w:r w:rsidRPr="00807B7D">
              <w:rPr>
                <w:rFonts w:ascii="Calibri" w:hAnsi="Calibri"/>
                <w:color w:val="000000"/>
                <w:sz w:val="21"/>
                <w:szCs w:val="21"/>
              </w:rPr>
              <w:t xml:space="preserve"> (including eligible individuals living with </w:t>
            </w:r>
            <w:r w:rsidRPr="00807B7D">
              <w:rPr>
                <w:rFonts w:ascii="Calibri" w:hAnsi="Calibri"/>
                <w:b/>
                <w:color w:val="000000"/>
                <w:sz w:val="21"/>
                <w:szCs w:val="21"/>
              </w:rPr>
              <w:t>dementia</w:t>
            </w:r>
            <w:r w:rsidRPr="00807B7D">
              <w:rPr>
                <w:rFonts w:ascii="Calibri" w:hAnsi="Calibri"/>
                <w:color w:val="000000"/>
                <w:sz w:val="21"/>
                <w:szCs w:val="21"/>
              </w:rPr>
              <w:t>)</w:t>
            </w:r>
            <w:r w:rsidR="002000B9" w:rsidRPr="00807B7D">
              <w:rPr>
                <w:rFonts w:ascii="Calibri" w:hAnsi="Calibri"/>
                <w:color w:val="000000"/>
                <w:sz w:val="21"/>
                <w:szCs w:val="21"/>
              </w:rPr>
              <w:t xml:space="preserve"> who require assistance with </w:t>
            </w:r>
            <w:r w:rsidR="002000B9" w:rsidRPr="00807B7D">
              <w:rPr>
                <w:rFonts w:ascii="Calibri" w:hAnsi="Calibri"/>
                <w:b/>
                <w:color w:val="000000"/>
                <w:sz w:val="21"/>
                <w:szCs w:val="21"/>
              </w:rPr>
              <w:t>2 or more ADLs</w:t>
            </w:r>
          </w:p>
        </w:tc>
      </w:tr>
      <w:tr w:rsidR="005F4322" w:rsidRPr="00807B7D" w14:paraId="18F49CA1" w14:textId="77777777" w:rsidTr="00492122">
        <w:trPr>
          <w:trHeight w:val="1538"/>
        </w:trPr>
        <w:tc>
          <w:tcPr>
            <w:tcW w:w="1908" w:type="dxa"/>
            <w:vAlign w:val="center"/>
          </w:tcPr>
          <w:p w14:paraId="58442309" w14:textId="2F07CF20" w:rsidR="005F4322" w:rsidRPr="004C686E" w:rsidRDefault="005F4322" w:rsidP="007D3BC2">
            <w:pPr>
              <w:rPr>
                <w:b/>
                <w:i/>
                <w:sz w:val="21"/>
                <w:szCs w:val="21"/>
              </w:rPr>
            </w:pPr>
            <w:r w:rsidRPr="004C686E">
              <w:rPr>
                <w:b/>
                <w:i/>
                <w:sz w:val="21"/>
                <w:szCs w:val="21"/>
              </w:rPr>
              <w:t>Home Health Services</w:t>
            </w:r>
          </w:p>
        </w:tc>
        <w:tc>
          <w:tcPr>
            <w:tcW w:w="5040" w:type="dxa"/>
            <w:vAlign w:val="center"/>
          </w:tcPr>
          <w:p w14:paraId="4900EE61" w14:textId="1C085ACE" w:rsidR="005F4322" w:rsidRPr="004C686E" w:rsidRDefault="00C10CB7" w:rsidP="002000B9">
            <w:pPr>
              <w:rPr>
                <w:sz w:val="21"/>
                <w:szCs w:val="21"/>
              </w:rPr>
            </w:pPr>
            <w:r w:rsidRPr="004C686E">
              <w:rPr>
                <w:sz w:val="21"/>
                <w:szCs w:val="21"/>
              </w:rPr>
              <w:t xml:space="preserve">Provides nursing visits, home health aide services, and physical, speech, and occupational therapy to members in their homes and communities. </w:t>
            </w:r>
            <w:r w:rsidR="005F4322" w:rsidRPr="004C686E">
              <w:rPr>
                <w:sz w:val="21"/>
                <w:szCs w:val="21"/>
              </w:rPr>
              <w:t xml:space="preserve"> </w:t>
            </w:r>
          </w:p>
        </w:tc>
        <w:tc>
          <w:tcPr>
            <w:tcW w:w="3600" w:type="dxa"/>
            <w:vAlign w:val="center"/>
          </w:tcPr>
          <w:p w14:paraId="43C5DE79" w14:textId="2CB2CD78" w:rsidR="005F4322" w:rsidRPr="004C686E" w:rsidRDefault="00C10CB7" w:rsidP="004C686E">
            <w:pPr>
              <w:rPr>
                <w:rFonts w:ascii="Calibri" w:hAnsi="Calibri"/>
                <w:sz w:val="21"/>
                <w:szCs w:val="21"/>
              </w:rPr>
            </w:pPr>
            <w:r w:rsidRPr="004C686E">
              <w:rPr>
                <w:rFonts w:ascii="Calibri" w:hAnsi="Calibri"/>
                <w:sz w:val="21"/>
                <w:szCs w:val="21"/>
              </w:rPr>
              <w:t>Requ</w:t>
            </w:r>
            <w:r w:rsidR="004C686E" w:rsidRPr="004C686E">
              <w:rPr>
                <w:rFonts w:ascii="Calibri" w:hAnsi="Calibri"/>
                <w:sz w:val="21"/>
                <w:szCs w:val="21"/>
              </w:rPr>
              <w:t xml:space="preserve">ires a need for skilled nursing, </w:t>
            </w:r>
            <w:r w:rsidRPr="004C686E">
              <w:rPr>
                <w:rFonts w:ascii="Calibri" w:hAnsi="Calibri"/>
                <w:sz w:val="21"/>
                <w:szCs w:val="21"/>
              </w:rPr>
              <w:t xml:space="preserve">therapy services, </w:t>
            </w:r>
            <w:r w:rsidR="004C686E" w:rsidRPr="004C686E">
              <w:rPr>
                <w:rFonts w:ascii="Calibri" w:hAnsi="Calibri"/>
                <w:sz w:val="21"/>
                <w:szCs w:val="21"/>
              </w:rPr>
              <w:t xml:space="preserve">or </w:t>
            </w:r>
            <w:r w:rsidRPr="004C686E">
              <w:rPr>
                <w:rFonts w:ascii="Calibri" w:hAnsi="Calibri"/>
                <w:sz w:val="21"/>
                <w:szCs w:val="21"/>
              </w:rPr>
              <w:t>assistance with ADLs.</w:t>
            </w:r>
          </w:p>
        </w:tc>
      </w:tr>
    </w:tbl>
    <w:p w14:paraId="5283961C" w14:textId="77777777" w:rsidR="00E427EC" w:rsidRDefault="00E427EC">
      <w:pPr>
        <w:rPr>
          <w:b/>
        </w:rPr>
      </w:pPr>
    </w:p>
    <w:p w14:paraId="4EF0F337" w14:textId="77777777" w:rsidR="00BB1CE3" w:rsidRDefault="00BB1CE3">
      <w:pPr>
        <w:rPr>
          <w:b/>
        </w:rPr>
      </w:pPr>
    </w:p>
    <w:p w14:paraId="0CAF52FC" w14:textId="77777777" w:rsidR="00BB1CE3" w:rsidRDefault="00BB1CE3">
      <w:pPr>
        <w:rPr>
          <w:b/>
        </w:rPr>
      </w:pPr>
    </w:p>
    <w:p w14:paraId="432CC461" w14:textId="77777777" w:rsidR="00DE6EE2" w:rsidRDefault="00DE6EE2">
      <w:pPr>
        <w:rPr>
          <w:b/>
        </w:rPr>
      </w:pPr>
    </w:p>
    <w:p w14:paraId="261F24B1" w14:textId="32863053" w:rsidR="008A201A" w:rsidRPr="00713FBC" w:rsidRDefault="007D3BC2">
      <w:pPr>
        <w:rPr>
          <w:b/>
          <w:i/>
          <w:color w:val="1F497D" w:themeColor="text2"/>
        </w:rPr>
      </w:pPr>
      <w:r w:rsidRPr="00713FBC">
        <w:rPr>
          <w:b/>
          <w:i/>
          <w:color w:val="1F497D" w:themeColor="text2"/>
        </w:rPr>
        <w:lastRenderedPageBreak/>
        <w:t xml:space="preserve">Appendix B: </w:t>
      </w:r>
      <w:r w:rsidR="00BF3508" w:rsidRPr="00713FBC">
        <w:rPr>
          <w:b/>
          <w:i/>
          <w:color w:val="1F497D" w:themeColor="text2"/>
        </w:rPr>
        <w:t>Executive Office of Elder Affairs</w:t>
      </w:r>
      <w:r w:rsidR="002C4D16" w:rsidRPr="00713FBC">
        <w:rPr>
          <w:b/>
          <w:i/>
          <w:color w:val="1F497D" w:themeColor="text2"/>
        </w:rPr>
        <w:t xml:space="preserve"> (EOEA)</w:t>
      </w:r>
      <w:r w:rsidR="00BF3508" w:rsidRPr="00713FBC">
        <w:rPr>
          <w:b/>
          <w:i/>
          <w:color w:val="1F497D" w:themeColor="text2"/>
        </w:rPr>
        <w:t xml:space="preserve"> </w:t>
      </w:r>
      <w:r w:rsidRPr="00713FBC">
        <w:rPr>
          <w:b/>
          <w:i/>
          <w:color w:val="1F497D" w:themeColor="text2"/>
        </w:rPr>
        <w:t>Home Care Program</w:t>
      </w:r>
    </w:p>
    <w:p w14:paraId="04CE665C" w14:textId="753665A3" w:rsidR="007546EC" w:rsidRPr="00713FBC" w:rsidRDefault="001C7C59" w:rsidP="008A201A">
      <w:pPr>
        <w:spacing w:after="0"/>
      </w:pPr>
      <w:hyperlink r:id="rId27" w:history="1">
        <w:r w:rsidR="007546EC" w:rsidRPr="00713FBC">
          <w:rPr>
            <w:rStyle w:val="Hyperlink"/>
            <w:b/>
          </w:rPr>
          <w:t>The Home Care Program</w:t>
        </w:r>
      </w:hyperlink>
      <w:r w:rsidR="007546EC" w:rsidRPr="00713FBC">
        <w:t xml:space="preserve"> provides care management and in-home support services to help eligible elders or those living with dementia successfully </w:t>
      </w:r>
      <w:r w:rsidR="0064649E">
        <w:t>live at home</w:t>
      </w:r>
      <w:r w:rsidR="007546EC" w:rsidRPr="00713FBC">
        <w:t xml:space="preserve">. </w:t>
      </w:r>
      <w:r w:rsidR="00171639" w:rsidRPr="00713FBC">
        <w:t xml:space="preserve">Fee-for-service </w:t>
      </w:r>
      <w:r w:rsidR="00E33DA3">
        <w:t>resources</w:t>
      </w:r>
      <w:r w:rsidR="00171639" w:rsidRPr="00713FBC">
        <w:t xml:space="preserve">, based on income level, </w:t>
      </w:r>
      <w:r w:rsidR="00E33DA3">
        <w:t>are</w:t>
      </w:r>
      <w:r w:rsidR="00171639" w:rsidRPr="00713FBC">
        <w:t xml:space="preserve"> available </w:t>
      </w:r>
      <w:r w:rsidR="008A201A" w:rsidRPr="00713FBC">
        <w:t xml:space="preserve">to </w:t>
      </w:r>
      <w:r w:rsidR="00E33DA3">
        <w:t>assist</w:t>
      </w:r>
      <w:r w:rsidR="008A201A" w:rsidRPr="00713FBC">
        <w:t xml:space="preserve"> with personal care and other activities such as housekeeping, grocery shopping and meal preparation. </w:t>
      </w:r>
    </w:p>
    <w:p w14:paraId="22DA7381" w14:textId="77777777" w:rsidR="007546EC" w:rsidRPr="000C387F" w:rsidRDefault="007546EC" w:rsidP="008A201A">
      <w:pPr>
        <w:spacing w:after="0"/>
        <w:rPr>
          <w:sz w:val="18"/>
          <w:szCs w:val="18"/>
        </w:rPr>
      </w:pPr>
    </w:p>
    <w:p w14:paraId="7A877150" w14:textId="2A4FA685" w:rsidR="007546EC" w:rsidRPr="00713FBC" w:rsidRDefault="007546EC" w:rsidP="008A201A">
      <w:pPr>
        <w:spacing w:after="0"/>
        <w:rPr>
          <w:b/>
          <w:color w:val="1F497D" w:themeColor="text2"/>
        </w:rPr>
      </w:pPr>
      <w:r w:rsidRPr="00713FBC">
        <w:rPr>
          <w:b/>
          <w:color w:val="1F497D" w:themeColor="text2"/>
        </w:rPr>
        <w:t>Eligibility</w:t>
      </w:r>
    </w:p>
    <w:p w14:paraId="6984C8A1" w14:textId="0DBFAF09" w:rsidR="00171639" w:rsidRPr="00713FBC" w:rsidRDefault="007546EC" w:rsidP="008A201A">
      <w:pPr>
        <w:spacing w:after="0"/>
      </w:pPr>
      <w:proofErr w:type="gramStart"/>
      <w:r w:rsidRPr="00713FBC">
        <w:t>Anyone who needs in-home care.</w:t>
      </w:r>
      <w:proofErr w:type="gramEnd"/>
      <w:r w:rsidR="0069795E">
        <w:t xml:space="preserve"> </w:t>
      </w:r>
      <w:r w:rsidRPr="00713FBC">
        <w:t xml:space="preserve">Eligibility is based on age, residence, income, and ability to carry out daily tasks such as bathing, dressing and meal preparation. </w:t>
      </w:r>
      <w:r w:rsidR="00171639" w:rsidRPr="00713FBC">
        <w:t xml:space="preserve">Program navigators help individuals and families determine which version of the program is the best fit. There is no </w:t>
      </w:r>
      <w:r w:rsidR="00EA0737">
        <w:t>ceiling</w:t>
      </w:r>
      <w:r w:rsidR="00171639" w:rsidRPr="00713FBC">
        <w:t xml:space="preserve"> to income eligibility; everyone is eligible for services based on a </w:t>
      </w:r>
      <w:hyperlink r:id="rId28" w:history="1">
        <w:r w:rsidR="00171639" w:rsidRPr="00713FBC">
          <w:rPr>
            <w:rStyle w:val="Hyperlink"/>
          </w:rPr>
          <w:t>cost-sharing scale</w:t>
        </w:r>
      </w:hyperlink>
      <w:r w:rsidR="00171639" w:rsidRPr="00713FBC">
        <w:t xml:space="preserve">. </w:t>
      </w:r>
    </w:p>
    <w:p w14:paraId="00FE80B0" w14:textId="77777777" w:rsidR="00171639" w:rsidRPr="004772A2" w:rsidRDefault="00171639" w:rsidP="008A201A">
      <w:pPr>
        <w:spacing w:after="0"/>
        <w:rPr>
          <w:i/>
          <w:sz w:val="14"/>
          <w:szCs w:val="14"/>
        </w:rPr>
      </w:pPr>
    </w:p>
    <w:p w14:paraId="14071009" w14:textId="28F755FB" w:rsidR="008A201A" w:rsidRPr="00713FBC" w:rsidRDefault="00171639" w:rsidP="008A201A">
      <w:pPr>
        <w:spacing w:after="0"/>
        <w:rPr>
          <w:b/>
        </w:rPr>
      </w:pPr>
      <w:r w:rsidRPr="00713FBC">
        <w:t>To speak to someone about EOEA home care programs</w:t>
      </w:r>
      <w:r w:rsidR="001D7907">
        <w:t>, call</w:t>
      </w:r>
      <w:r w:rsidRPr="00713FBC">
        <w:t xml:space="preserve"> </w:t>
      </w:r>
      <w:r w:rsidR="008A201A" w:rsidRPr="00713FBC">
        <w:rPr>
          <w:b/>
        </w:rPr>
        <w:t>(800) 243-4636</w:t>
      </w:r>
      <w:r w:rsidR="001D7907">
        <w:rPr>
          <w:b/>
        </w:rPr>
        <w:t>.</w:t>
      </w:r>
    </w:p>
    <w:p w14:paraId="2AADDF15" w14:textId="77777777" w:rsidR="00171639" w:rsidRPr="000C387F" w:rsidRDefault="00171639" w:rsidP="008A201A">
      <w:pPr>
        <w:spacing w:after="0"/>
        <w:rPr>
          <w:sz w:val="18"/>
          <w:szCs w:val="18"/>
        </w:rPr>
      </w:pPr>
    </w:p>
    <w:p w14:paraId="1B1B484F" w14:textId="3977287A" w:rsidR="007546EC" w:rsidRPr="00713FBC" w:rsidRDefault="00C3673F" w:rsidP="008A201A">
      <w:pPr>
        <w:spacing w:after="0"/>
        <w:rPr>
          <w:b/>
          <w:color w:val="1F497D" w:themeColor="text2"/>
        </w:rPr>
      </w:pPr>
      <w:r>
        <w:rPr>
          <w:b/>
          <w:color w:val="1F497D" w:themeColor="text2"/>
        </w:rPr>
        <w:t xml:space="preserve">Programs </w:t>
      </w:r>
    </w:p>
    <w:p w14:paraId="4B5873B6" w14:textId="601865E3" w:rsidR="007546EC" w:rsidRPr="00713FBC" w:rsidRDefault="007546EC" w:rsidP="008A201A">
      <w:pPr>
        <w:spacing w:after="0"/>
      </w:pPr>
      <w:r w:rsidRPr="00713FBC">
        <w:t>There are four versions of the home care program that are available to all Massachusetts residents</w:t>
      </w:r>
      <w:r w:rsidR="00E33DA3">
        <w:t xml:space="preserve">, including those </w:t>
      </w:r>
      <w:r w:rsidR="00E33DA3" w:rsidRPr="00713FBC">
        <w:t>under 60 who are diagnosed with dementia</w:t>
      </w:r>
      <w:r w:rsidRPr="00713FBC">
        <w:t>, based on clinical and income eligibility</w:t>
      </w:r>
      <w:r w:rsidR="00713FBC" w:rsidRPr="00713FBC">
        <w:t xml:space="preserve">. </w:t>
      </w:r>
    </w:p>
    <w:p w14:paraId="1EA38F70" w14:textId="77777777" w:rsidR="007546EC" w:rsidRPr="004772A2" w:rsidRDefault="007546EC" w:rsidP="008A201A">
      <w:pPr>
        <w:spacing w:after="0"/>
        <w:rPr>
          <w:sz w:val="14"/>
          <w:szCs w:val="14"/>
        </w:rPr>
      </w:pPr>
    </w:p>
    <w:p w14:paraId="03192313" w14:textId="5F058DD3" w:rsidR="007546EC" w:rsidRPr="00713FBC" w:rsidRDefault="007546EC" w:rsidP="007546EC">
      <w:pPr>
        <w:pStyle w:val="ListParagraph"/>
        <w:numPr>
          <w:ilvl w:val="0"/>
          <w:numId w:val="24"/>
        </w:numPr>
        <w:spacing w:after="0"/>
      </w:pPr>
      <w:r w:rsidRPr="00713FBC">
        <w:rPr>
          <w:b/>
          <w:i/>
        </w:rPr>
        <w:t>Enhanced Community Options Program</w:t>
      </w:r>
      <w:r w:rsidRPr="00713FBC">
        <w:rPr>
          <w:i/>
        </w:rPr>
        <w:t xml:space="preserve"> </w:t>
      </w:r>
      <w:r w:rsidRPr="00713FBC">
        <w:rPr>
          <w:b/>
          <w:i/>
        </w:rPr>
        <w:t xml:space="preserve">(ECOP): </w:t>
      </w:r>
      <w:r w:rsidRPr="00713FBC">
        <w:t xml:space="preserve">Supports </w:t>
      </w:r>
      <w:r w:rsidR="000E4728">
        <w:t>those</w:t>
      </w:r>
      <w:r w:rsidRPr="00713FBC">
        <w:t xml:space="preserve"> who meet the clinical eligibility for nursing homes but who are ineligible for MassHealth Standard. The goal of the program is to delay or prevent nursing home placement with supports for IADLS and ADLS. </w:t>
      </w:r>
    </w:p>
    <w:p w14:paraId="67D3B448" w14:textId="77777777" w:rsidR="00713FBC" w:rsidRPr="00713FBC" w:rsidRDefault="00713FBC" w:rsidP="00713FBC">
      <w:pPr>
        <w:pStyle w:val="ListParagraph"/>
        <w:spacing w:after="0"/>
        <w:rPr>
          <w:sz w:val="10"/>
          <w:szCs w:val="10"/>
        </w:rPr>
      </w:pPr>
    </w:p>
    <w:p w14:paraId="201B817F" w14:textId="52E885C0" w:rsidR="007546EC" w:rsidRPr="00713FBC" w:rsidRDefault="007546EC" w:rsidP="007546EC">
      <w:pPr>
        <w:pStyle w:val="ListParagraph"/>
        <w:numPr>
          <w:ilvl w:val="0"/>
          <w:numId w:val="24"/>
        </w:numPr>
        <w:spacing w:after="0"/>
      </w:pPr>
      <w:r w:rsidRPr="00713FBC">
        <w:rPr>
          <w:b/>
          <w:i/>
        </w:rPr>
        <w:t xml:space="preserve">Home Care Basic: </w:t>
      </w:r>
      <w:r w:rsidRPr="00713FBC">
        <w:t xml:space="preserve">Supports </w:t>
      </w:r>
      <w:r w:rsidR="000E4728">
        <w:t>individuals</w:t>
      </w:r>
      <w:r w:rsidRPr="00713FBC">
        <w:t xml:space="preserve"> for their needs in ADLs and IADLs, enabling them to remain at home in the community.  </w:t>
      </w:r>
    </w:p>
    <w:p w14:paraId="3FB82418" w14:textId="77777777" w:rsidR="00713FBC" w:rsidRPr="00713FBC" w:rsidRDefault="00713FBC" w:rsidP="00713FBC">
      <w:pPr>
        <w:spacing w:after="0"/>
        <w:rPr>
          <w:sz w:val="10"/>
          <w:szCs w:val="10"/>
        </w:rPr>
      </w:pPr>
    </w:p>
    <w:p w14:paraId="65F618A0" w14:textId="0D6007F8" w:rsidR="007546EC" w:rsidRPr="00713FBC" w:rsidRDefault="007546EC" w:rsidP="007546EC">
      <w:pPr>
        <w:pStyle w:val="ListParagraph"/>
        <w:numPr>
          <w:ilvl w:val="0"/>
          <w:numId w:val="24"/>
        </w:numPr>
        <w:spacing w:after="0"/>
      </w:pPr>
      <w:r w:rsidRPr="00713FBC">
        <w:rPr>
          <w:b/>
          <w:i/>
        </w:rPr>
        <w:t xml:space="preserve">Home Care </w:t>
      </w:r>
      <w:proofErr w:type="gramStart"/>
      <w:r w:rsidRPr="00713FBC">
        <w:rPr>
          <w:b/>
          <w:i/>
        </w:rPr>
        <w:t>Over</w:t>
      </w:r>
      <w:proofErr w:type="gramEnd"/>
      <w:r w:rsidRPr="00713FBC">
        <w:rPr>
          <w:b/>
          <w:i/>
        </w:rPr>
        <w:t xml:space="preserve"> Income: </w:t>
      </w:r>
      <w:r w:rsidR="00713FBC" w:rsidRPr="00713FBC">
        <w:t>Same as Home Care Basic, but t</w:t>
      </w:r>
      <w:r w:rsidRPr="00713FBC">
        <w:t>hese consumers pay an income-based percentage of the cost of services.</w:t>
      </w:r>
      <w:r w:rsidRPr="00713FBC">
        <w:rPr>
          <w:b/>
          <w:i/>
        </w:rPr>
        <w:t xml:space="preserve"> </w:t>
      </w:r>
    </w:p>
    <w:p w14:paraId="076A9129" w14:textId="77777777" w:rsidR="00713FBC" w:rsidRPr="00713FBC" w:rsidRDefault="00713FBC" w:rsidP="00713FBC">
      <w:pPr>
        <w:spacing w:after="0"/>
        <w:rPr>
          <w:sz w:val="10"/>
          <w:szCs w:val="10"/>
        </w:rPr>
      </w:pPr>
    </w:p>
    <w:p w14:paraId="23965442" w14:textId="77777777" w:rsidR="009B1E36" w:rsidRPr="009B1E36" w:rsidRDefault="007546EC" w:rsidP="009B1E36">
      <w:pPr>
        <w:pStyle w:val="ListParagraph"/>
        <w:numPr>
          <w:ilvl w:val="0"/>
          <w:numId w:val="24"/>
        </w:numPr>
        <w:rPr>
          <w:b/>
          <w:i/>
        </w:rPr>
      </w:pPr>
      <w:r w:rsidRPr="00713FBC">
        <w:rPr>
          <w:b/>
          <w:i/>
        </w:rPr>
        <w:t xml:space="preserve">Respite </w:t>
      </w:r>
      <w:proofErr w:type="gramStart"/>
      <w:r w:rsidRPr="00713FBC">
        <w:rPr>
          <w:b/>
          <w:i/>
        </w:rPr>
        <w:t>Over</w:t>
      </w:r>
      <w:proofErr w:type="gramEnd"/>
      <w:r w:rsidRPr="00713FBC">
        <w:rPr>
          <w:b/>
          <w:i/>
        </w:rPr>
        <w:t xml:space="preserve"> Income: </w:t>
      </w:r>
      <w:r w:rsidRPr="00713FBC">
        <w:t>Services that support caregivers in meeting needs of function impaired adults who are in need of home care services. These consumers pay an income-based percentage of the cost of services. This program is for individuals who have a family caregiver or non-family caregiver living at home with t</w:t>
      </w:r>
      <w:r w:rsidR="00713FBC" w:rsidRPr="00713FBC">
        <w:t>hem.</w:t>
      </w:r>
    </w:p>
    <w:p w14:paraId="66729B2E" w14:textId="77777777" w:rsidR="009B1E36" w:rsidRPr="000C387F" w:rsidRDefault="009B1E36" w:rsidP="009B1E36">
      <w:pPr>
        <w:pStyle w:val="ListParagraph"/>
        <w:spacing w:after="0"/>
        <w:rPr>
          <w:b/>
          <w:color w:val="1F497D" w:themeColor="text2"/>
          <w:sz w:val="18"/>
          <w:szCs w:val="18"/>
        </w:rPr>
      </w:pPr>
    </w:p>
    <w:p w14:paraId="39E3B949" w14:textId="77777777" w:rsidR="009B1E36" w:rsidRDefault="009B1E36" w:rsidP="009B1E36">
      <w:pPr>
        <w:spacing w:after="0"/>
        <w:rPr>
          <w:b/>
          <w:i/>
        </w:rPr>
      </w:pPr>
      <w:r w:rsidRPr="009B1E36">
        <w:rPr>
          <w:b/>
          <w:color w:val="1F497D" w:themeColor="text2"/>
        </w:rPr>
        <w:t>Services</w:t>
      </w:r>
    </w:p>
    <w:p w14:paraId="13CF5546" w14:textId="70480B7F" w:rsidR="008A201A" w:rsidRPr="009B1E36" w:rsidRDefault="00171639" w:rsidP="009B1E36">
      <w:pPr>
        <w:spacing w:after="0"/>
        <w:rPr>
          <w:b/>
          <w:i/>
        </w:rPr>
      </w:pPr>
      <w:r w:rsidRPr="00713FBC">
        <w:t xml:space="preserve">While enrolled in an EOEA home care program, a range of services are available </w:t>
      </w:r>
      <w:r w:rsidRPr="00C3673F">
        <w:t xml:space="preserve">to </w:t>
      </w:r>
      <w:r w:rsidR="000E4728" w:rsidRPr="00C3673F">
        <w:t>consumers</w:t>
      </w:r>
      <w:r w:rsidRPr="00C3673F">
        <w:t>, based on additional eligibility criteria.  There are 49 home care services available, including:</w:t>
      </w:r>
    </w:p>
    <w:p w14:paraId="12331E53" w14:textId="77777777" w:rsidR="009B1E36" w:rsidRPr="000C387F" w:rsidRDefault="009B1E36" w:rsidP="009B1E36">
      <w:pPr>
        <w:spacing w:after="0"/>
        <w:rPr>
          <w:i/>
          <w:sz w:val="10"/>
          <w:szCs w:val="10"/>
        </w:rPr>
      </w:pPr>
    </w:p>
    <w:p w14:paraId="0C7C9177" w14:textId="77777777" w:rsidR="009B1E36" w:rsidRPr="000C387F" w:rsidRDefault="009B1E36" w:rsidP="009B1E36">
      <w:pPr>
        <w:spacing w:after="0"/>
        <w:rPr>
          <w:i/>
          <w:sz w:val="10"/>
          <w:szCs w:val="10"/>
        </w:rPr>
        <w:sectPr w:rsidR="009B1E36" w:rsidRPr="000C387F" w:rsidSect="00492122">
          <w:headerReference w:type="default" r:id="rId29"/>
          <w:footerReference w:type="default" r:id="rId30"/>
          <w:pgSz w:w="12240" w:h="15840"/>
          <w:pgMar w:top="936" w:right="936" w:bottom="936" w:left="936" w:header="720" w:footer="720" w:gutter="0"/>
          <w:cols w:space="720"/>
          <w:docGrid w:linePitch="360"/>
        </w:sectPr>
      </w:pPr>
    </w:p>
    <w:p w14:paraId="1C711DF1" w14:textId="5E6F9C27" w:rsidR="00171639" w:rsidRPr="00713FBC" w:rsidRDefault="00171639" w:rsidP="00713FBC">
      <w:pPr>
        <w:pStyle w:val="ListParagraph"/>
        <w:numPr>
          <w:ilvl w:val="0"/>
          <w:numId w:val="22"/>
        </w:numPr>
        <w:rPr>
          <w:i/>
        </w:rPr>
      </w:pPr>
      <w:r w:rsidRPr="00713FBC">
        <w:rPr>
          <w:i/>
        </w:rPr>
        <w:lastRenderedPageBreak/>
        <w:t>Adult Day Health Program</w:t>
      </w:r>
    </w:p>
    <w:p w14:paraId="3A96717B" w14:textId="77777777" w:rsidR="00171639" w:rsidRPr="00713FBC" w:rsidRDefault="00171639" w:rsidP="00713FBC">
      <w:pPr>
        <w:pStyle w:val="ListParagraph"/>
        <w:numPr>
          <w:ilvl w:val="0"/>
          <w:numId w:val="22"/>
        </w:numPr>
        <w:rPr>
          <w:i/>
        </w:rPr>
      </w:pPr>
      <w:r w:rsidRPr="00713FBC">
        <w:rPr>
          <w:i/>
        </w:rPr>
        <w:t>Alzheimer’s Day Program</w:t>
      </w:r>
    </w:p>
    <w:p w14:paraId="388C47BD" w14:textId="77777777" w:rsidR="00171639" w:rsidRPr="00713FBC" w:rsidRDefault="00171639" w:rsidP="00713FBC">
      <w:pPr>
        <w:pStyle w:val="ListParagraph"/>
        <w:numPr>
          <w:ilvl w:val="0"/>
          <w:numId w:val="22"/>
        </w:numPr>
        <w:rPr>
          <w:i/>
        </w:rPr>
      </w:pPr>
      <w:r w:rsidRPr="00713FBC">
        <w:rPr>
          <w:i/>
        </w:rPr>
        <w:t xml:space="preserve">Alzheimer’s/Dementia Coaching                                            </w:t>
      </w:r>
    </w:p>
    <w:p w14:paraId="78A8DF25" w14:textId="77777777" w:rsidR="00171639" w:rsidRPr="00713FBC" w:rsidRDefault="00171639" w:rsidP="00713FBC">
      <w:pPr>
        <w:pStyle w:val="ListParagraph"/>
        <w:numPr>
          <w:ilvl w:val="0"/>
          <w:numId w:val="22"/>
        </w:numPr>
        <w:rPr>
          <w:i/>
        </w:rPr>
      </w:pPr>
      <w:r w:rsidRPr="00713FBC">
        <w:rPr>
          <w:i/>
        </w:rPr>
        <w:t xml:space="preserve">Enhanced Technology/Cellular Personal Emergency Response System (PERS) </w:t>
      </w:r>
    </w:p>
    <w:p w14:paraId="01858535" w14:textId="77777777" w:rsidR="00171639" w:rsidRPr="00713FBC" w:rsidRDefault="00171639" w:rsidP="00713FBC">
      <w:pPr>
        <w:pStyle w:val="ListParagraph"/>
        <w:numPr>
          <w:ilvl w:val="0"/>
          <w:numId w:val="22"/>
        </w:numPr>
        <w:rPr>
          <w:i/>
        </w:rPr>
      </w:pPr>
      <w:r w:rsidRPr="00713FBC">
        <w:rPr>
          <w:i/>
        </w:rPr>
        <w:t>Grocery Shopping and Delivery</w:t>
      </w:r>
    </w:p>
    <w:p w14:paraId="73EEEE45" w14:textId="77777777" w:rsidR="00171639" w:rsidRPr="00713FBC" w:rsidRDefault="00171639" w:rsidP="00713FBC">
      <w:pPr>
        <w:pStyle w:val="ListParagraph"/>
        <w:numPr>
          <w:ilvl w:val="0"/>
          <w:numId w:val="22"/>
        </w:numPr>
        <w:rPr>
          <w:i/>
        </w:rPr>
      </w:pPr>
      <w:r w:rsidRPr="00713FBC">
        <w:rPr>
          <w:i/>
        </w:rPr>
        <w:t>Home Based Wandering Response Systems</w:t>
      </w:r>
    </w:p>
    <w:p w14:paraId="4FDAEADE" w14:textId="3037BC56" w:rsidR="00171639" w:rsidRPr="00713FBC" w:rsidRDefault="00171639" w:rsidP="00713FBC">
      <w:pPr>
        <w:pStyle w:val="ListParagraph"/>
        <w:numPr>
          <w:ilvl w:val="0"/>
          <w:numId w:val="22"/>
        </w:numPr>
        <w:rPr>
          <w:i/>
        </w:rPr>
      </w:pPr>
      <w:r w:rsidRPr="00713FBC">
        <w:rPr>
          <w:i/>
        </w:rPr>
        <w:t>Medication Dispensing Systems</w:t>
      </w:r>
    </w:p>
    <w:p w14:paraId="1204D3C6" w14:textId="77777777" w:rsidR="00171639" w:rsidRPr="00713FBC" w:rsidRDefault="00171639" w:rsidP="00713FBC">
      <w:pPr>
        <w:pStyle w:val="ListParagraph"/>
        <w:numPr>
          <w:ilvl w:val="0"/>
          <w:numId w:val="22"/>
        </w:numPr>
        <w:rPr>
          <w:i/>
        </w:rPr>
      </w:pPr>
      <w:r w:rsidRPr="00713FBC">
        <w:rPr>
          <w:i/>
        </w:rPr>
        <w:lastRenderedPageBreak/>
        <w:t>Home Delivered Meals</w:t>
      </w:r>
    </w:p>
    <w:p w14:paraId="5E3CFFBD" w14:textId="77777777" w:rsidR="00171639" w:rsidRPr="00713FBC" w:rsidRDefault="00171639" w:rsidP="00713FBC">
      <w:pPr>
        <w:pStyle w:val="ListParagraph"/>
        <w:numPr>
          <w:ilvl w:val="0"/>
          <w:numId w:val="22"/>
        </w:numPr>
        <w:rPr>
          <w:i/>
        </w:rPr>
      </w:pPr>
      <w:r w:rsidRPr="00713FBC">
        <w:rPr>
          <w:i/>
        </w:rPr>
        <w:t>Homemaker  (assists with IADLs)</w:t>
      </w:r>
    </w:p>
    <w:p w14:paraId="652BCC76" w14:textId="77777777" w:rsidR="00171639" w:rsidRPr="00713FBC" w:rsidRDefault="00171639" w:rsidP="00713FBC">
      <w:pPr>
        <w:pStyle w:val="ListParagraph"/>
        <w:numPr>
          <w:ilvl w:val="0"/>
          <w:numId w:val="22"/>
        </w:numPr>
        <w:rPr>
          <w:i/>
        </w:rPr>
      </w:pPr>
      <w:r w:rsidRPr="00713FBC">
        <w:rPr>
          <w:i/>
        </w:rPr>
        <w:t>Personal Care</w:t>
      </w:r>
    </w:p>
    <w:p w14:paraId="5C4FC872" w14:textId="77777777" w:rsidR="00171639" w:rsidRPr="00713FBC" w:rsidRDefault="00171639" w:rsidP="00713FBC">
      <w:pPr>
        <w:pStyle w:val="ListParagraph"/>
        <w:numPr>
          <w:ilvl w:val="0"/>
          <w:numId w:val="22"/>
        </w:numPr>
        <w:rPr>
          <w:i/>
        </w:rPr>
      </w:pPr>
      <w:r w:rsidRPr="00713FBC">
        <w:rPr>
          <w:i/>
        </w:rPr>
        <w:t>Respite Care</w:t>
      </w:r>
    </w:p>
    <w:p w14:paraId="7BC9A7BC" w14:textId="77777777" w:rsidR="00171639" w:rsidRPr="00713FBC" w:rsidRDefault="00171639" w:rsidP="00713FBC">
      <w:pPr>
        <w:pStyle w:val="ListParagraph"/>
        <w:numPr>
          <w:ilvl w:val="0"/>
          <w:numId w:val="22"/>
        </w:numPr>
        <w:rPr>
          <w:i/>
        </w:rPr>
      </w:pPr>
      <w:r w:rsidRPr="00713FBC">
        <w:rPr>
          <w:i/>
        </w:rPr>
        <w:t>Supportive Day Program</w:t>
      </w:r>
    </w:p>
    <w:p w14:paraId="0234CDD6" w14:textId="77777777" w:rsidR="00171639" w:rsidRPr="00713FBC" w:rsidRDefault="00171639" w:rsidP="00713FBC">
      <w:pPr>
        <w:pStyle w:val="ListParagraph"/>
        <w:numPr>
          <w:ilvl w:val="0"/>
          <w:numId w:val="22"/>
        </w:numPr>
        <w:rPr>
          <w:i/>
        </w:rPr>
      </w:pPr>
      <w:r w:rsidRPr="00713FBC">
        <w:rPr>
          <w:i/>
        </w:rPr>
        <w:t xml:space="preserve">Supportive Home Care Aide </w:t>
      </w:r>
    </w:p>
    <w:p w14:paraId="3EC94BDB" w14:textId="77777777" w:rsidR="00171639" w:rsidRPr="00713FBC" w:rsidRDefault="00171639" w:rsidP="00713FBC">
      <w:pPr>
        <w:pStyle w:val="ListParagraph"/>
        <w:numPr>
          <w:ilvl w:val="0"/>
          <w:numId w:val="22"/>
        </w:numPr>
        <w:rPr>
          <w:i/>
        </w:rPr>
      </w:pPr>
      <w:r w:rsidRPr="00713FBC">
        <w:rPr>
          <w:i/>
        </w:rPr>
        <w:t xml:space="preserve">Transportation </w:t>
      </w:r>
    </w:p>
    <w:p w14:paraId="4B6FE47B" w14:textId="77777777" w:rsidR="00171639" w:rsidRPr="00713FBC" w:rsidRDefault="00171639" w:rsidP="00713FBC">
      <w:pPr>
        <w:pStyle w:val="ListParagraph"/>
        <w:numPr>
          <w:ilvl w:val="0"/>
          <w:numId w:val="22"/>
        </w:numPr>
        <w:rPr>
          <w:i/>
        </w:rPr>
      </w:pPr>
      <w:r w:rsidRPr="00713FBC">
        <w:rPr>
          <w:i/>
        </w:rPr>
        <w:t>Wanderer Locator</w:t>
      </w:r>
    </w:p>
    <w:p w14:paraId="3906AA3A" w14:textId="4F5AE2D6" w:rsidR="00171639" w:rsidRPr="00713FBC" w:rsidRDefault="009B1E36" w:rsidP="00563210">
      <w:pPr>
        <w:pStyle w:val="ListParagraph"/>
        <w:numPr>
          <w:ilvl w:val="0"/>
          <w:numId w:val="22"/>
        </w:numPr>
        <w:rPr>
          <w:i/>
        </w:rPr>
        <w:sectPr w:rsidR="00171639" w:rsidRPr="00713FBC" w:rsidSect="00171639">
          <w:type w:val="continuous"/>
          <w:pgSz w:w="12240" w:h="15840"/>
          <w:pgMar w:top="936" w:right="936" w:bottom="936" w:left="936" w:header="720" w:footer="720" w:gutter="0"/>
          <w:cols w:num="2" w:space="720"/>
          <w:docGrid w:linePitch="360"/>
        </w:sectPr>
      </w:pPr>
      <w:r>
        <w:rPr>
          <w:i/>
        </w:rPr>
        <w:t>Laundry Car</w:t>
      </w:r>
      <w:r w:rsidR="000C387F">
        <w:rPr>
          <w:i/>
        </w:rPr>
        <w:t>e</w:t>
      </w:r>
    </w:p>
    <w:p w14:paraId="6DF096F6" w14:textId="77777777" w:rsidR="00ED7D95" w:rsidRPr="00E25999" w:rsidRDefault="00ED7D95">
      <w:pPr>
        <w:rPr>
          <w:i/>
        </w:rPr>
      </w:pPr>
    </w:p>
    <w:sectPr w:rsidR="00ED7D95" w:rsidRPr="00E25999" w:rsidSect="00171639">
      <w:type w:val="continuous"/>
      <w:pgSz w:w="12240" w:h="15840"/>
      <w:pgMar w:top="936" w:right="936" w:bottom="936" w:left="936"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876734" w14:textId="77777777" w:rsidR="00D7698C" w:rsidRDefault="00D7698C" w:rsidP="007F29E4">
      <w:pPr>
        <w:spacing w:after="0" w:line="240" w:lineRule="auto"/>
      </w:pPr>
      <w:r>
        <w:separator/>
      </w:r>
    </w:p>
  </w:endnote>
  <w:endnote w:type="continuationSeparator" w:id="0">
    <w:p w14:paraId="43074077" w14:textId="77777777" w:rsidR="00D7698C" w:rsidRDefault="00D7698C" w:rsidP="007F29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1CA9E7" w14:textId="79AE46FD" w:rsidR="007D3BC2" w:rsidRDefault="006C2935">
    <w:pPr>
      <w:pStyle w:val="Footer"/>
      <w:jc w:val="right"/>
    </w:pPr>
    <w:r>
      <w:t>Fall</w:t>
    </w:r>
    <w:r w:rsidR="007D3BC2">
      <w:t xml:space="preserve"> 2019               </w:t>
    </w:r>
    <w:sdt>
      <w:sdtPr>
        <w:id w:val="1332868430"/>
        <w:docPartObj>
          <w:docPartGallery w:val="Page Numbers (Bottom of Page)"/>
          <w:docPartUnique/>
        </w:docPartObj>
      </w:sdtPr>
      <w:sdtEndPr>
        <w:rPr>
          <w:noProof/>
        </w:rPr>
      </w:sdtEndPr>
      <w:sdtContent>
        <w:r w:rsidR="007D3BC2">
          <w:fldChar w:fldCharType="begin"/>
        </w:r>
        <w:r w:rsidR="007D3BC2">
          <w:instrText xml:space="preserve"> PAGE   \* MERGEFORMAT </w:instrText>
        </w:r>
        <w:r w:rsidR="007D3BC2">
          <w:fldChar w:fldCharType="separate"/>
        </w:r>
        <w:r w:rsidR="001C7C59">
          <w:rPr>
            <w:noProof/>
          </w:rPr>
          <w:t>6</w:t>
        </w:r>
        <w:r w:rsidR="007D3BC2">
          <w:rPr>
            <w:noProof/>
          </w:rPr>
          <w:fldChar w:fldCharType="end"/>
        </w:r>
      </w:sdtContent>
    </w:sdt>
  </w:p>
  <w:p w14:paraId="5DAEE958" w14:textId="77777777" w:rsidR="007F29E4" w:rsidRDefault="007F29E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0ED2E1" w14:textId="77777777" w:rsidR="00D7698C" w:rsidRDefault="00D7698C" w:rsidP="007F29E4">
      <w:pPr>
        <w:spacing w:after="0" w:line="240" w:lineRule="auto"/>
      </w:pPr>
      <w:r>
        <w:separator/>
      </w:r>
    </w:p>
  </w:footnote>
  <w:footnote w:type="continuationSeparator" w:id="0">
    <w:p w14:paraId="06C6FA53" w14:textId="77777777" w:rsidR="00D7698C" w:rsidRDefault="00D7698C" w:rsidP="007F29E4">
      <w:pPr>
        <w:spacing w:after="0" w:line="240" w:lineRule="auto"/>
      </w:pPr>
      <w:r>
        <w:continuationSeparator/>
      </w:r>
    </w:p>
  </w:footnote>
  <w:footnote w:id="1">
    <w:p w14:paraId="7525A644" w14:textId="06CC3E86" w:rsidR="00196A00" w:rsidRDefault="00196A00">
      <w:pPr>
        <w:pStyle w:val="FootnoteText"/>
      </w:pPr>
      <w:r>
        <w:rPr>
          <w:rStyle w:val="FootnoteReference"/>
        </w:rPr>
        <w:footnoteRef/>
      </w:r>
      <w:r>
        <w:t xml:space="preserve"> </w:t>
      </w:r>
      <w:r w:rsidRPr="00196A00">
        <w:t>https://www.alz.org/help-support/caregiving/financial-legal-planning/medicare</w:t>
      </w:r>
    </w:p>
  </w:footnote>
  <w:footnote w:id="2">
    <w:p w14:paraId="167CF642" w14:textId="18205E7A" w:rsidR="00CD5788" w:rsidRDefault="00CD5788">
      <w:pPr>
        <w:pStyle w:val="FootnoteText"/>
      </w:pPr>
      <w:r>
        <w:rPr>
          <w:rStyle w:val="FootnoteReference"/>
        </w:rPr>
        <w:footnoteRef/>
      </w:r>
      <w:r>
        <w:t xml:space="preserve"> </w:t>
      </w:r>
      <w:r w:rsidRPr="00CD5788">
        <w:t>https://www.medicare.gov/sign-up-change-plans/types-of-medicare-health-plans/special-needs-plans-snp</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43955D" w14:textId="77777777" w:rsidR="001C7C59" w:rsidRDefault="001C7C5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41A60"/>
    <w:multiLevelType w:val="hybridMultilevel"/>
    <w:tmpl w:val="0D5256E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57E3F33"/>
    <w:multiLevelType w:val="hybridMultilevel"/>
    <w:tmpl w:val="55865BC6"/>
    <w:lvl w:ilvl="0" w:tplc="8C285964">
      <w:start w:val="1"/>
      <w:numFmt w:val="bullet"/>
      <w:lvlText w:val="‒"/>
      <w:lvlJc w:val="left"/>
      <w:pPr>
        <w:ind w:left="1440" w:hanging="360"/>
      </w:pPr>
      <w:rPr>
        <w:rFonts w:ascii="Courier New" w:hAnsi="Courier New" w:hint="default"/>
      </w:rPr>
    </w:lvl>
    <w:lvl w:ilvl="1" w:tplc="04090005">
      <w:start w:val="1"/>
      <w:numFmt w:val="bullet"/>
      <w:lvlText w:val=""/>
      <w:lvlJc w:val="left"/>
      <w:pPr>
        <w:ind w:left="216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81B66D6"/>
    <w:multiLevelType w:val="hybridMultilevel"/>
    <w:tmpl w:val="B366BE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92B2CA6"/>
    <w:multiLevelType w:val="hybridMultilevel"/>
    <w:tmpl w:val="2402EC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E1A0547"/>
    <w:multiLevelType w:val="hybridMultilevel"/>
    <w:tmpl w:val="359E39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2557290E"/>
    <w:multiLevelType w:val="hybridMultilevel"/>
    <w:tmpl w:val="808E6BB4"/>
    <w:lvl w:ilvl="0" w:tplc="8C28596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D055D4D"/>
    <w:multiLevelType w:val="hybridMultilevel"/>
    <w:tmpl w:val="0464BC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304168A7"/>
    <w:multiLevelType w:val="hybridMultilevel"/>
    <w:tmpl w:val="26A6F3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2507175"/>
    <w:multiLevelType w:val="hybridMultilevel"/>
    <w:tmpl w:val="DB722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2AB1152"/>
    <w:multiLevelType w:val="hybridMultilevel"/>
    <w:tmpl w:val="129E7600"/>
    <w:lvl w:ilvl="0" w:tplc="04090001">
      <w:start w:val="1"/>
      <w:numFmt w:val="bullet"/>
      <w:lvlText w:val=""/>
      <w:lvlJc w:val="left"/>
      <w:pPr>
        <w:ind w:left="720" w:hanging="360"/>
      </w:pPr>
      <w:rPr>
        <w:rFonts w:ascii="Symbol" w:hAnsi="Symbol" w:hint="default"/>
      </w:rPr>
    </w:lvl>
    <w:lvl w:ilvl="1" w:tplc="8C285964">
      <w:start w:val="1"/>
      <w:numFmt w:val="bullet"/>
      <w:lvlText w:val="‒"/>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3F2781D"/>
    <w:multiLevelType w:val="hybridMultilevel"/>
    <w:tmpl w:val="8E8889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F16793C"/>
    <w:multiLevelType w:val="hybridMultilevel"/>
    <w:tmpl w:val="84D2F800"/>
    <w:lvl w:ilvl="0" w:tplc="A99C3336">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05B19DC"/>
    <w:multiLevelType w:val="hybridMultilevel"/>
    <w:tmpl w:val="86C0F930"/>
    <w:lvl w:ilvl="0" w:tplc="04090001">
      <w:start w:val="1"/>
      <w:numFmt w:val="bullet"/>
      <w:lvlText w:val=""/>
      <w:lvlJc w:val="left"/>
      <w:pPr>
        <w:ind w:left="720" w:hanging="360"/>
      </w:pPr>
      <w:rPr>
        <w:rFonts w:ascii="Symbol" w:hAnsi="Symbol" w:hint="default"/>
      </w:rPr>
    </w:lvl>
    <w:lvl w:ilvl="1" w:tplc="8C285964">
      <w:start w:val="1"/>
      <w:numFmt w:val="bullet"/>
      <w:lvlText w:val="‒"/>
      <w:lvlJc w:val="left"/>
      <w:pPr>
        <w:ind w:left="1440" w:hanging="360"/>
      </w:pPr>
      <w:rPr>
        <w:rFonts w:ascii="Courier New" w:hAnsi="Courier New" w:hint="default"/>
      </w:rPr>
    </w:lvl>
    <w:lvl w:ilvl="2" w:tplc="8C285964">
      <w:start w:val="1"/>
      <w:numFmt w:val="bullet"/>
      <w:lvlText w:val="‒"/>
      <w:lvlJc w:val="left"/>
      <w:pPr>
        <w:ind w:left="2160" w:hanging="360"/>
      </w:pPr>
      <w:rPr>
        <w:rFonts w:ascii="Courier New" w:hAnsi="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4761A7B"/>
    <w:multiLevelType w:val="hybridMultilevel"/>
    <w:tmpl w:val="53F09B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4F07FC8"/>
    <w:multiLevelType w:val="hybridMultilevel"/>
    <w:tmpl w:val="FD32FC7E"/>
    <w:lvl w:ilvl="0" w:tplc="8C28596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10F0149"/>
    <w:multiLevelType w:val="hybridMultilevel"/>
    <w:tmpl w:val="0D1C6D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B813CB4"/>
    <w:multiLevelType w:val="hybridMultilevel"/>
    <w:tmpl w:val="FCD291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8C285964">
      <w:start w:val="1"/>
      <w:numFmt w:val="bullet"/>
      <w:lvlText w:val="‒"/>
      <w:lvlJc w:val="left"/>
      <w:pPr>
        <w:ind w:left="2160" w:hanging="360"/>
      </w:pPr>
      <w:rPr>
        <w:rFonts w:ascii="Courier New" w:hAnsi="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4B77D2C"/>
    <w:multiLevelType w:val="hybridMultilevel"/>
    <w:tmpl w:val="8934FE28"/>
    <w:lvl w:ilvl="0" w:tplc="0409000F">
      <w:start w:val="1"/>
      <w:numFmt w:val="decimal"/>
      <w:lvlText w:val="%1."/>
      <w:lvlJc w:val="left"/>
      <w:pPr>
        <w:ind w:left="720" w:hanging="360"/>
      </w:pPr>
    </w:lvl>
    <w:lvl w:ilvl="1" w:tplc="CE44C6F8">
      <w:start w:val="1"/>
      <w:numFmt w:val="decimal"/>
      <w:lvlText w:val="%2."/>
      <w:lvlJc w:val="left"/>
      <w:pPr>
        <w:ind w:left="1440" w:hanging="360"/>
      </w:pPr>
      <w:rPr>
        <w:rFonts w:asciiTheme="minorHAnsi" w:eastAsiaTheme="minorHAnsi" w:hAnsiTheme="minorHAnsi" w:cstheme="minorBidi"/>
        <w:i w:val="0"/>
        <w:sz w:val="22"/>
        <w:szCs w:val="22"/>
        <w:vertAlign w:val="baseline"/>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6B8621C"/>
    <w:multiLevelType w:val="hybridMultilevel"/>
    <w:tmpl w:val="3E104D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8EA14EA"/>
    <w:multiLevelType w:val="hybridMultilevel"/>
    <w:tmpl w:val="F5600F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F">
      <w:start w:val="1"/>
      <w:numFmt w:val="decimal"/>
      <w:lvlText w:val="%3."/>
      <w:lvlJc w:val="left"/>
      <w:pPr>
        <w:ind w:left="2160" w:hanging="360"/>
      </w:pPr>
      <w:rPr>
        <w:rFont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739056B"/>
    <w:multiLevelType w:val="hybridMultilevel"/>
    <w:tmpl w:val="2CA2BD9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B83335C"/>
    <w:multiLevelType w:val="hybridMultilevel"/>
    <w:tmpl w:val="1FD8FA06"/>
    <w:lvl w:ilvl="0" w:tplc="8C285964">
      <w:start w:val="1"/>
      <w:numFmt w:val="bullet"/>
      <w:lvlText w:val="‒"/>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7F0D5FCE"/>
    <w:multiLevelType w:val="hybridMultilevel"/>
    <w:tmpl w:val="33DAA7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F8D0927"/>
    <w:multiLevelType w:val="hybridMultilevel"/>
    <w:tmpl w:val="B0E48B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8"/>
  </w:num>
  <w:num w:numId="3">
    <w:abstractNumId w:val="10"/>
  </w:num>
  <w:num w:numId="4">
    <w:abstractNumId w:val="16"/>
  </w:num>
  <w:num w:numId="5">
    <w:abstractNumId w:val="2"/>
  </w:num>
  <w:num w:numId="6">
    <w:abstractNumId w:val="23"/>
  </w:num>
  <w:num w:numId="7">
    <w:abstractNumId w:val="13"/>
  </w:num>
  <w:num w:numId="8">
    <w:abstractNumId w:val="15"/>
  </w:num>
  <w:num w:numId="9">
    <w:abstractNumId w:val="20"/>
  </w:num>
  <w:num w:numId="10">
    <w:abstractNumId w:val="17"/>
  </w:num>
  <w:num w:numId="11">
    <w:abstractNumId w:val="5"/>
  </w:num>
  <w:num w:numId="12">
    <w:abstractNumId w:val="9"/>
  </w:num>
  <w:num w:numId="13">
    <w:abstractNumId w:val="1"/>
  </w:num>
  <w:num w:numId="14">
    <w:abstractNumId w:val="12"/>
  </w:num>
  <w:num w:numId="15">
    <w:abstractNumId w:val="22"/>
  </w:num>
  <w:num w:numId="16">
    <w:abstractNumId w:val="19"/>
  </w:num>
  <w:num w:numId="17">
    <w:abstractNumId w:val="0"/>
  </w:num>
  <w:num w:numId="18">
    <w:abstractNumId w:val="3"/>
  </w:num>
  <w:num w:numId="19">
    <w:abstractNumId w:val="14"/>
  </w:num>
  <w:num w:numId="20">
    <w:abstractNumId w:val="21"/>
  </w:num>
  <w:num w:numId="21">
    <w:abstractNumId w:val="6"/>
  </w:num>
  <w:num w:numId="22">
    <w:abstractNumId w:val="4"/>
  </w:num>
  <w:num w:numId="23">
    <w:abstractNumId w:val="7"/>
  </w:num>
  <w:num w:numId="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0F2C"/>
    <w:rsid w:val="0001219B"/>
    <w:rsid w:val="0003329D"/>
    <w:rsid w:val="00033F8D"/>
    <w:rsid w:val="000474E3"/>
    <w:rsid w:val="00050A5E"/>
    <w:rsid w:val="00050F2C"/>
    <w:rsid w:val="00067A0F"/>
    <w:rsid w:val="00080BE2"/>
    <w:rsid w:val="000C387F"/>
    <w:rsid w:val="000C6BB0"/>
    <w:rsid w:val="000E4728"/>
    <w:rsid w:val="0012553E"/>
    <w:rsid w:val="00132E98"/>
    <w:rsid w:val="001472BF"/>
    <w:rsid w:val="00171639"/>
    <w:rsid w:val="001816C9"/>
    <w:rsid w:val="00196A00"/>
    <w:rsid w:val="001A3825"/>
    <w:rsid w:val="001B01FA"/>
    <w:rsid w:val="001B2D14"/>
    <w:rsid w:val="001B4ED2"/>
    <w:rsid w:val="001C7C59"/>
    <w:rsid w:val="001D0AA7"/>
    <w:rsid w:val="001D1F0E"/>
    <w:rsid w:val="001D7907"/>
    <w:rsid w:val="001E5A13"/>
    <w:rsid w:val="001E7EA0"/>
    <w:rsid w:val="001F1B33"/>
    <w:rsid w:val="001F7124"/>
    <w:rsid w:val="002000B9"/>
    <w:rsid w:val="00201E0C"/>
    <w:rsid w:val="002313E2"/>
    <w:rsid w:val="00244D09"/>
    <w:rsid w:val="002762DD"/>
    <w:rsid w:val="00280B90"/>
    <w:rsid w:val="00282E7D"/>
    <w:rsid w:val="00286B8E"/>
    <w:rsid w:val="0029406A"/>
    <w:rsid w:val="002B2503"/>
    <w:rsid w:val="002C07A2"/>
    <w:rsid w:val="002C4D16"/>
    <w:rsid w:val="002D63A0"/>
    <w:rsid w:val="002F4573"/>
    <w:rsid w:val="002F6445"/>
    <w:rsid w:val="00330461"/>
    <w:rsid w:val="00350CB4"/>
    <w:rsid w:val="00350F91"/>
    <w:rsid w:val="0037212C"/>
    <w:rsid w:val="00375D98"/>
    <w:rsid w:val="00387594"/>
    <w:rsid w:val="003B5497"/>
    <w:rsid w:val="003C5C10"/>
    <w:rsid w:val="003C6742"/>
    <w:rsid w:val="003D0ABF"/>
    <w:rsid w:val="00414097"/>
    <w:rsid w:val="004772A2"/>
    <w:rsid w:val="00483A9A"/>
    <w:rsid w:val="00483D21"/>
    <w:rsid w:val="00492122"/>
    <w:rsid w:val="004A6B6E"/>
    <w:rsid w:val="004C22D8"/>
    <w:rsid w:val="004C686E"/>
    <w:rsid w:val="004F50D3"/>
    <w:rsid w:val="004F59BA"/>
    <w:rsid w:val="004F5C87"/>
    <w:rsid w:val="00524FBD"/>
    <w:rsid w:val="005529FA"/>
    <w:rsid w:val="00562C3F"/>
    <w:rsid w:val="0056379D"/>
    <w:rsid w:val="0056620A"/>
    <w:rsid w:val="0058280C"/>
    <w:rsid w:val="0058614E"/>
    <w:rsid w:val="005A7EEB"/>
    <w:rsid w:val="005B2BE3"/>
    <w:rsid w:val="005D3CAC"/>
    <w:rsid w:val="005F4322"/>
    <w:rsid w:val="0061254A"/>
    <w:rsid w:val="00626341"/>
    <w:rsid w:val="0064649E"/>
    <w:rsid w:val="00661BB9"/>
    <w:rsid w:val="00663A14"/>
    <w:rsid w:val="00680866"/>
    <w:rsid w:val="00684793"/>
    <w:rsid w:val="0069206A"/>
    <w:rsid w:val="00693020"/>
    <w:rsid w:val="0069653E"/>
    <w:rsid w:val="00696DBD"/>
    <w:rsid w:val="0069795E"/>
    <w:rsid w:val="006A3EC0"/>
    <w:rsid w:val="006B0D6A"/>
    <w:rsid w:val="006B4B95"/>
    <w:rsid w:val="006C2935"/>
    <w:rsid w:val="006C77A3"/>
    <w:rsid w:val="006D1A21"/>
    <w:rsid w:val="006E2D93"/>
    <w:rsid w:val="006E40F1"/>
    <w:rsid w:val="006F1AB2"/>
    <w:rsid w:val="007067E2"/>
    <w:rsid w:val="00713FBC"/>
    <w:rsid w:val="00714664"/>
    <w:rsid w:val="00734366"/>
    <w:rsid w:val="0073710A"/>
    <w:rsid w:val="0074492C"/>
    <w:rsid w:val="00747E42"/>
    <w:rsid w:val="007546EC"/>
    <w:rsid w:val="00757F7D"/>
    <w:rsid w:val="00795151"/>
    <w:rsid w:val="007B609C"/>
    <w:rsid w:val="007C2138"/>
    <w:rsid w:val="007C7A2D"/>
    <w:rsid w:val="007D3BC2"/>
    <w:rsid w:val="007E1B6D"/>
    <w:rsid w:val="007F1F8A"/>
    <w:rsid w:val="007F2887"/>
    <w:rsid w:val="007F29E4"/>
    <w:rsid w:val="007F5474"/>
    <w:rsid w:val="0080044F"/>
    <w:rsid w:val="00804A83"/>
    <w:rsid w:val="008073A3"/>
    <w:rsid w:val="00807B7D"/>
    <w:rsid w:val="008155F3"/>
    <w:rsid w:val="00822757"/>
    <w:rsid w:val="00824F2F"/>
    <w:rsid w:val="0083179E"/>
    <w:rsid w:val="008328F4"/>
    <w:rsid w:val="0083610E"/>
    <w:rsid w:val="00844CBC"/>
    <w:rsid w:val="0085183C"/>
    <w:rsid w:val="008535EB"/>
    <w:rsid w:val="00854084"/>
    <w:rsid w:val="0086137B"/>
    <w:rsid w:val="008614BE"/>
    <w:rsid w:val="00880392"/>
    <w:rsid w:val="0088247D"/>
    <w:rsid w:val="008A201A"/>
    <w:rsid w:val="008A3910"/>
    <w:rsid w:val="008A744D"/>
    <w:rsid w:val="008B3DEB"/>
    <w:rsid w:val="008C156F"/>
    <w:rsid w:val="008D4F48"/>
    <w:rsid w:val="008F4CD9"/>
    <w:rsid w:val="00922510"/>
    <w:rsid w:val="00922D0D"/>
    <w:rsid w:val="00927F2F"/>
    <w:rsid w:val="009406DE"/>
    <w:rsid w:val="00941FAE"/>
    <w:rsid w:val="00961AD9"/>
    <w:rsid w:val="00966A3A"/>
    <w:rsid w:val="009673E1"/>
    <w:rsid w:val="00983982"/>
    <w:rsid w:val="00991684"/>
    <w:rsid w:val="009B1E36"/>
    <w:rsid w:val="009C05B0"/>
    <w:rsid w:val="009E710C"/>
    <w:rsid w:val="00A2574A"/>
    <w:rsid w:val="00A34BB0"/>
    <w:rsid w:val="00A43ED5"/>
    <w:rsid w:val="00A6001C"/>
    <w:rsid w:val="00A7634D"/>
    <w:rsid w:val="00A82885"/>
    <w:rsid w:val="00A85333"/>
    <w:rsid w:val="00A866B3"/>
    <w:rsid w:val="00AA785B"/>
    <w:rsid w:val="00AB0DCD"/>
    <w:rsid w:val="00AC7366"/>
    <w:rsid w:val="00AC7AA9"/>
    <w:rsid w:val="00AD73DF"/>
    <w:rsid w:val="00AE2290"/>
    <w:rsid w:val="00AE5F29"/>
    <w:rsid w:val="00B24D5A"/>
    <w:rsid w:val="00B2642B"/>
    <w:rsid w:val="00B32C12"/>
    <w:rsid w:val="00B51ED8"/>
    <w:rsid w:val="00B64118"/>
    <w:rsid w:val="00B9226C"/>
    <w:rsid w:val="00BA57F8"/>
    <w:rsid w:val="00BA61F7"/>
    <w:rsid w:val="00BB1CE3"/>
    <w:rsid w:val="00BB44FB"/>
    <w:rsid w:val="00BB51D6"/>
    <w:rsid w:val="00BB6B62"/>
    <w:rsid w:val="00BC3FF9"/>
    <w:rsid w:val="00BD6CF8"/>
    <w:rsid w:val="00BE7115"/>
    <w:rsid w:val="00BE7875"/>
    <w:rsid w:val="00BF3508"/>
    <w:rsid w:val="00BF40B3"/>
    <w:rsid w:val="00C000FE"/>
    <w:rsid w:val="00C10CB7"/>
    <w:rsid w:val="00C15851"/>
    <w:rsid w:val="00C33851"/>
    <w:rsid w:val="00C3669F"/>
    <w:rsid w:val="00C3673F"/>
    <w:rsid w:val="00C4172C"/>
    <w:rsid w:val="00C454C8"/>
    <w:rsid w:val="00C5542C"/>
    <w:rsid w:val="00C9596C"/>
    <w:rsid w:val="00CA3106"/>
    <w:rsid w:val="00CB3682"/>
    <w:rsid w:val="00CC799D"/>
    <w:rsid w:val="00CD5788"/>
    <w:rsid w:val="00D06AFE"/>
    <w:rsid w:val="00D20397"/>
    <w:rsid w:val="00D34663"/>
    <w:rsid w:val="00D6465B"/>
    <w:rsid w:val="00D7698C"/>
    <w:rsid w:val="00D931D9"/>
    <w:rsid w:val="00DB685B"/>
    <w:rsid w:val="00DC1ED2"/>
    <w:rsid w:val="00DD1EF0"/>
    <w:rsid w:val="00DE6EE2"/>
    <w:rsid w:val="00E043AA"/>
    <w:rsid w:val="00E25999"/>
    <w:rsid w:val="00E33DA3"/>
    <w:rsid w:val="00E372B0"/>
    <w:rsid w:val="00E427EC"/>
    <w:rsid w:val="00E53B17"/>
    <w:rsid w:val="00E67EEF"/>
    <w:rsid w:val="00E67F11"/>
    <w:rsid w:val="00E822D1"/>
    <w:rsid w:val="00EA0737"/>
    <w:rsid w:val="00EA39B8"/>
    <w:rsid w:val="00EA3D9F"/>
    <w:rsid w:val="00EB0FAE"/>
    <w:rsid w:val="00EC04BA"/>
    <w:rsid w:val="00EC7A4F"/>
    <w:rsid w:val="00ED26DE"/>
    <w:rsid w:val="00ED7D95"/>
    <w:rsid w:val="00EF1290"/>
    <w:rsid w:val="00F010D7"/>
    <w:rsid w:val="00F01D0D"/>
    <w:rsid w:val="00F37DC6"/>
    <w:rsid w:val="00F42CDD"/>
    <w:rsid w:val="00F55E00"/>
    <w:rsid w:val="00F60A49"/>
    <w:rsid w:val="00F60B42"/>
    <w:rsid w:val="00F77C5F"/>
    <w:rsid w:val="00FC7B37"/>
    <w:rsid w:val="00FD1EED"/>
    <w:rsid w:val="00FE040B"/>
    <w:rsid w:val="00FF24D0"/>
    <w:rsid w:val="00FF46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B5ED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25999"/>
    <w:pPr>
      <w:ind w:left="720"/>
      <w:contextualSpacing/>
    </w:pPr>
  </w:style>
  <w:style w:type="table" w:styleId="TableGrid">
    <w:name w:val="Table Grid"/>
    <w:basedOn w:val="TableNormal"/>
    <w:uiPriority w:val="59"/>
    <w:rsid w:val="00E259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A61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61F7"/>
    <w:rPr>
      <w:rFonts w:ascii="Tahoma" w:hAnsi="Tahoma" w:cs="Tahoma"/>
      <w:sz w:val="16"/>
      <w:szCs w:val="16"/>
    </w:rPr>
  </w:style>
  <w:style w:type="character" w:styleId="CommentReference">
    <w:name w:val="annotation reference"/>
    <w:basedOn w:val="DefaultParagraphFont"/>
    <w:uiPriority w:val="99"/>
    <w:semiHidden/>
    <w:unhideWhenUsed/>
    <w:rsid w:val="002D63A0"/>
    <w:rPr>
      <w:sz w:val="16"/>
      <w:szCs w:val="16"/>
    </w:rPr>
  </w:style>
  <w:style w:type="paragraph" w:styleId="CommentText">
    <w:name w:val="annotation text"/>
    <w:basedOn w:val="Normal"/>
    <w:link w:val="CommentTextChar"/>
    <w:uiPriority w:val="99"/>
    <w:semiHidden/>
    <w:unhideWhenUsed/>
    <w:rsid w:val="002D63A0"/>
    <w:pPr>
      <w:spacing w:line="240" w:lineRule="auto"/>
    </w:pPr>
    <w:rPr>
      <w:sz w:val="20"/>
      <w:szCs w:val="20"/>
    </w:rPr>
  </w:style>
  <w:style w:type="character" w:customStyle="1" w:styleId="CommentTextChar">
    <w:name w:val="Comment Text Char"/>
    <w:basedOn w:val="DefaultParagraphFont"/>
    <w:link w:val="CommentText"/>
    <w:uiPriority w:val="99"/>
    <w:semiHidden/>
    <w:rsid w:val="002D63A0"/>
    <w:rPr>
      <w:sz w:val="20"/>
      <w:szCs w:val="20"/>
    </w:rPr>
  </w:style>
  <w:style w:type="paragraph" w:styleId="CommentSubject">
    <w:name w:val="annotation subject"/>
    <w:basedOn w:val="CommentText"/>
    <w:next w:val="CommentText"/>
    <w:link w:val="CommentSubjectChar"/>
    <w:uiPriority w:val="99"/>
    <w:semiHidden/>
    <w:unhideWhenUsed/>
    <w:rsid w:val="002D63A0"/>
    <w:rPr>
      <w:b/>
      <w:bCs/>
    </w:rPr>
  </w:style>
  <w:style w:type="character" w:customStyle="1" w:styleId="CommentSubjectChar">
    <w:name w:val="Comment Subject Char"/>
    <w:basedOn w:val="CommentTextChar"/>
    <w:link w:val="CommentSubject"/>
    <w:uiPriority w:val="99"/>
    <w:semiHidden/>
    <w:rsid w:val="002D63A0"/>
    <w:rPr>
      <w:b/>
      <w:bCs/>
      <w:sz w:val="20"/>
      <w:szCs w:val="20"/>
    </w:rPr>
  </w:style>
  <w:style w:type="paragraph" w:styleId="Header">
    <w:name w:val="header"/>
    <w:basedOn w:val="Normal"/>
    <w:link w:val="HeaderChar"/>
    <w:uiPriority w:val="99"/>
    <w:unhideWhenUsed/>
    <w:rsid w:val="007F29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29E4"/>
  </w:style>
  <w:style w:type="paragraph" w:styleId="Footer">
    <w:name w:val="footer"/>
    <w:basedOn w:val="Normal"/>
    <w:link w:val="FooterChar"/>
    <w:uiPriority w:val="99"/>
    <w:unhideWhenUsed/>
    <w:rsid w:val="007F29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29E4"/>
  </w:style>
  <w:style w:type="character" w:styleId="Hyperlink">
    <w:name w:val="Hyperlink"/>
    <w:basedOn w:val="DefaultParagraphFont"/>
    <w:uiPriority w:val="99"/>
    <w:unhideWhenUsed/>
    <w:rsid w:val="007F29E4"/>
    <w:rPr>
      <w:color w:val="0000FF" w:themeColor="hyperlink"/>
      <w:u w:val="single"/>
    </w:rPr>
  </w:style>
  <w:style w:type="paragraph" w:styleId="EndnoteText">
    <w:name w:val="endnote text"/>
    <w:basedOn w:val="Normal"/>
    <w:link w:val="EndnoteTextChar"/>
    <w:uiPriority w:val="99"/>
    <w:semiHidden/>
    <w:unhideWhenUsed/>
    <w:rsid w:val="0058280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8280C"/>
    <w:rPr>
      <w:sz w:val="20"/>
      <w:szCs w:val="20"/>
    </w:rPr>
  </w:style>
  <w:style w:type="character" w:styleId="EndnoteReference">
    <w:name w:val="endnote reference"/>
    <w:basedOn w:val="DefaultParagraphFont"/>
    <w:uiPriority w:val="99"/>
    <w:semiHidden/>
    <w:unhideWhenUsed/>
    <w:rsid w:val="0058280C"/>
    <w:rPr>
      <w:vertAlign w:val="superscript"/>
    </w:rPr>
  </w:style>
  <w:style w:type="paragraph" w:styleId="FootnoteText">
    <w:name w:val="footnote text"/>
    <w:basedOn w:val="Normal"/>
    <w:link w:val="FootnoteTextChar"/>
    <w:uiPriority w:val="99"/>
    <w:semiHidden/>
    <w:unhideWhenUsed/>
    <w:rsid w:val="00196A0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96A00"/>
    <w:rPr>
      <w:sz w:val="20"/>
      <w:szCs w:val="20"/>
    </w:rPr>
  </w:style>
  <w:style w:type="character" w:styleId="FootnoteReference">
    <w:name w:val="footnote reference"/>
    <w:basedOn w:val="DefaultParagraphFont"/>
    <w:uiPriority w:val="99"/>
    <w:semiHidden/>
    <w:unhideWhenUsed/>
    <w:rsid w:val="00196A00"/>
    <w:rPr>
      <w:vertAlign w:val="superscript"/>
    </w:rPr>
  </w:style>
  <w:style w:type="character" w:styleId="FollowedHyperlink">
    <w:name w:val="FollowedHyperlink"/>
    <w:basedOn w:val="DefaultParagraphFont"/>
    <w:uiPriority w:val="99"/>
    <w:semiHidden/>
    <w:unhideWhenUsed/>
    <w:rsid w:val="008328F4"/>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25999"/>
    <w:pPr>
      <w:ind w:left="720"/>
      <w:contextualSpacing/>
    </w:pPr>
  </w:style>
  <w:style w:type="table" w:styleId="TableGrid">
    <w:name w:val="Table Grid"/>
    <w:basedOn w:val="TableNormal"/>
    <w:uiPriority w:val="59"/>
    <w:rsid w:val="00E259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A61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61F7"/>
    <w:rPr>
      <w:rFonts w:ascii="Tahoma" w:hAnsi="Tahoma" w:cs="Tahoma"/>
      <w:sz w:val="16"/>
      <w:szCs w:val="16"/>
    </w:rPr>
  </w:style>
  <w:style w:type="character" w:styleId="CommentReference">
    <w:name w:val="annotation reference"/>
    <w:basedOn w:val="DefaultParagraphFont"/>
    <w:uiPriority w:val="99"/>
    <w:semiHidden/>
    <w:unhideWhenUsed/>
    <w:rsid w:val="002D63A0"/>
    <w:rPr>
      <w:sz w:val="16"/>
      <w:szCs w:val="16"/>
    </w:rPr>
  </w:style>
  <w:style w:type="paragraph" w:styleId="CommentText">
    <w:name w:val="annotation text"/>
    <w:basedOn w:val="Normal"/>
    <w:link w:val="CommentTextChar"/>
    <w:uiPriority w:val="99"/>
    <w:semiHidden/>
    <w:unhideWhenUsed/>
    <w:rsid w:val="002D63A0"/>
    <w:pPr>
      <w:spacing w:line="240" w:lineRule="auto"/>
    </w:pPr>
    <w:rPr>
      <w:sz w:val="20"/>
      <w:szCs w:val="20"/>
    </w:rPr>
  </w:style>
  <w:style w:type="character" w:customStyle="1" w:styleId="CommentTextChar">
    <w:name w:val="Comment Text Char"/>
    <w:basedOn w:val="DefaultParagraphFont"/>
    <w:link w:val="CommentText"/>
    <w:uiPriority w:val="99"/>
    <w:semiHidden/>
    <w:rsid w:val="002D63A0"/>
    <w:rPr>
      <w:sz w:val="20"/>
      <w:szCs w:val="20"/>
    </w:rPr>
  </w:style>
  <w:style w:type="paragraph" w:styleId="CommentSubject">
    <w:name w:val="annotation subject"/>
    <w:basedOn w:val="CommentText"/>
    <w:next w:val="CommentText"/>
    <w:link w:val="CommentSubjectChar"/>
    <w:uiPriority w:val="99"/>
    <w:semiHidden/>
    <w:unhideWhenUsed/>
    <w:rsid w:val="002D63A0"/>
    <w:rPr>
      <w:b/>
      <w:bCs/>
    </w:rPr>
  </w:style>
  <w:style w:type="character" w:customStyle="1" w:styleId="CommentSubjectChar">
    <w:name w:val="Comment Subject Char"/>
    <w:basedOn w:val="CommentTextChar"/>
    <w:link w:val="CommentSubject"/>
    <w:uiPriority w:val="99"/>
    <w:semiHidden/>
    <w:rsid w:val="002D63A0"/>
    <w:rPr>
      <w:b/>
      <w:bCs/>
      <w:sz w:val="20"/>
      <w:szCs w:val="20"/>
    </w:rPr>
  </w:style>
  <w:style w:type="paragraph" w:styleId="Header">
    <w:name w:val="header"/>
    <w:basedOn w:val="Normal"/>
    <w:link w:val="HeaderChar"/>
    <w:uiPriority w:val="99"/>
    <w:unhideWhenUsed/>
    <w:rsid w:val="007F29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29E4"/>
  </w:style>
  <w:style w:type="paragraph" w:styleId="Footer">
    <w:name w:val="footer"/>
    <w:basedOn w:val="Normal"/>
    <w:link w:val="FooterChar"/>
    <w:uiPriority w:val="99"/>
    <w:unhideWhenUsed/>
    <w:rsid w:val="007F29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29E4"/>
  </w:style>
  <w:style w:type="character" w:styleId="Hyperlink">
    <w:name w:val="Hyperlink"/>
    <w:basedOn w:val="DefaultParagraphFont"/>
    <w:uiPriority w:val="99"/>
    <w:unhideWhenUsed/>
    <w:rsid w:val="007F29E4"/>
    <w:rPr>
      <w:color w:val="0000FF" w:themeColor="hyperlink"/>
      <w:u w:val="single"/>
    </w:rPr>
  </w:style>
  <w:style w:type="paragraph" w:styleId="EndnoteText">
    <w:name w:val="endnote text"/>
    <w:basedOn w:val="Normal"/>
    <w:link w:val="EndnoteTextChar"/>
    <w:uiPriority w:val="99"/>
    <w:semiHidden/>
    <w:unhideWhenUsed/>
    <w:rsid w:val="0058280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8280C"/>
    <w:rPr>
      <w:sz w:val="20"/>
      <w:szCs w:val="20"/>
    </w:rPr>
  </w:style>
  <w:style w:type="character" w:styleId="EndnoteReference">
    <w:name w:val="endnote reference"/>
    <w:basedOn w:val="DefaultParagraphFont"/>
    <w:uiPriority w:val="99"/>
    <w:semiHidden/>
    <w:unhideWhenUsed/>
    <w:rsid w:val="0058280C"/>
    <w:rPr>
      <w:vertAlign w:val="superscript"/>
    </w:rPr>
  </w:style>
  <w:style w:type="paragraph" w:styleId="FootnoteText">
    <w:name w:val="footnote text"/>
    <w:basedOn w:val="Normal"/>
    <w:link w:val="FootnoteTextChar"/>
    <w:uiPriority w:val="99"/>
    <w:semiHidden/>
    <w:unhideWhenUsed/>
    <w:rsid w:val="00196A0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96A00"/>
    <w:rPr>
      <w:sz w:val="20"/>
      <w:szCs w:val="20"/>
    </w:rPr>
  </w:style>
  <w:style w:type="character" w:styleId="FootnoteReference">
    <w:name w:val="footnote reference"/>
    <w:basedOn w:val="DefaultParagraphFont"/>
    <w:uiPriority w:val="99"/>
    <w:semiHidden/>
    <w:unhideWhenUsed/>
    <w:rsid w:val="00196A00"/>
    <w:rPr>
      <w:vertAlign w:val="superscript"/>
    </w:rPr>
  </w:style>
  <w:style w:type="character" w:styleId="FollowedHyperlink">
    <w:name w:val="FollowedHyperlink"/>
    <w:basedOn w:val="DefaultParagraphFont"/>
    <w:uiPriority w:val="99"/>
    <w:semiHidden/>
    <w:unhideWhenUsed/>
    <w:rsid w:val="008328F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4220226">
      <w:bodyDiv w:val="1"/>
      <w:marLeft w:val="0"/>
      <w:marRight w:val="0"/>
      <w:marTop w:val="0"/>
      <w:marBottom w:val="0"/>
      <w:divBdr>
        <w:top w:val="none" w:sz="0" w:space="0" w:color="auto"/>
        <w:left w:val="none" w:sz="0" w:space="0" w:color="auto"/>
        <w:bottom w:val="none" w:sz="0" w:space="0" w:color="auto"/>
        <w:right w:val="none" w:sz="0" w:space="0" w:color="auto"/>
      </w:divBdr>
    </w:div>
    <w:div w:id="362680098">
      <w:bodyDiv w:val="1"/>
      <w:marLeft w:val="0"/>
      <w:marRight w:val="0"/>
      <w:marTop w:val="0"/>
      <w:marBottom w:val="0"/>
      <w:divBdr>
        <w:top w:val="none" w:sz="0" w:space="0" w:color="auto"/>
        <w:left w:val="none" w:sz="0" w:space="0" w:color="auto"/>
        <w:bottom w:val="none" w:sz="0" w:space="0" w:color="auto"/>
        <w:right w:val="none" w:sz="0" w:space="0" w:color="auto"/>
      </w:divBdr>
    </w:div>
    <w:div w:id="421804440">
      <w:bodyDiv w:val="1"/>
      <w:marLeft w:val="0"/>
      <w:marRight w:val="0"/>
      <w:marTop w:val="0"/>
      <w:marBottom w:val="0"/>
      <w:divBdr>
        <w:top w:val="none" w:sz="0" w:space="0" w:color="auto"/>
        <w:left w:val="none" w:sz="0" w:space="0" w:color="auto"/>
        <w:bottom w:val="none" w:sz="0" w:space="0" w:color="auto"/>
        <w:right w:val="none" w:sz="0" w:space="0" w:color="auto"/>
      </w:divBdr>
      <w:divsChild>
        <w:div w:id="1274559740">
          <w:marLeft w:val="0"/>
          <w:marRight w:val="0"/>
          <w:marTop w:val="675"/>
          <w:marBottom w:val="0"/>
          <w:divBdr>
            <w:top w:val="none" w:sz="0" w:space="0" w:color="auto"/>
            <w:left w:val="none" w:sz="0" w:space="0" w:color="auto"/>
            <w:bottom w:val="none" w:sz="0" w:space="0" w:color="auto"/>
            <w:right w:val="none" w:sz="0" w:space="0" w:color="auto"/>
          </w:divBdr>
          <w:divsChild>
            <w:div w:id="1720520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899488">
      <w:bodyDiv w:val="1"/>
      <w:marLeft w:val="0"/>
      <w:marRight w:val="0"/>
      <w:marTop w:val="0"/>
      <w:marBottom w:val="0"/>
      <w:divBdr>
        <w:top w:val="none" w:sz="0" w:space="0" w:color="auto"/>
        <w:left w:val="none" w:sz="0" w:space="0" w:color="auto"/>
        <w:bottom w:val="none" w:sz="0" w:space="0" w:color="auto"/>
        <w:right w:val="none" w:sz="0" w:space="0" w:color="auto"/>
      </w:divBdr>
    </w:div>
    <w:div w:id="1711496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mass.gov/in-home-services" TargetMode="External"/><Relationship Id="rId18" Type="http://schemas.openxmlformats.org/officeDocument/2006/relationships/hyperlink" Target="https://contactus.800ageinfo.com/FindAgency.aspx" TargetMode="External"/><Relationship Id="rId26" Type="http://schemas.openxmlformats.org/officeDocument/2006/relationships/hyperlink" Target="https://www.mass.gov/masshealth-personal-care-attendant-pca-program" TargetMode="External"/><Relationship Id="rId3" Type="http://schemas.openxmlformats.org/officeDocument/2006/relationships/styles" Target="styles.xml"/><Relationship Id="rId21" Type="http://schemas.openxmlformats.org/officeDocument/2006/relationships/hyperlink" Target="https://www.mass.gov/one-care" TargetMode="External"/><Relationship Id="rId7" Type="http://schemas.openxmlformats.org/officeDocument/2006/relationships/footnotes" Target="footnotes.xml"/><Relationship Id="rId12" Type="http://schemas.openxmlformats.org/officeDocument/2006/relationships/hyperlink" Target="https://www.mass.gov/prescription-drug-assistance" TargetMode="External"/><Relationship Id="rId17" Type="http://schemas.openxmlformats.org/officeDocument/2006/relationships/hyperlink" Target="https://www.massoptions.org/massoptions/" TargetMode="External"/><Relationship Id="rId25" Type="http://schemas.openxmlformats.org/officeDocument/2006/relationships/hyperlink" Target="https://www.alz.org/manh"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mass.gov/service-details/ombudsman-programs" TargetMode="External"/><Relationship Id="rId20" Type="http://schemas.openxmlformats.org/officeDocument/2006/relationships/hyperlink" Target="https://www.mass.gov/senior-care-options-sco"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shinema.org/" TargetMode="External"/><Relationship Id="rId24" Type="http://schemas.openxmlformats.org/officeDocument/2006/relationships/hyperlink" Target="https://www.mass.gov/info-details/moving-forward-plan-mfp-waivers" TargetMode="External"/><Relationship Id="rId32" Type="http://schemas.openxmlformats.org/officeDocument/2006/relationships/glossaryDocument" Target="glossary/document.xml"/><Relationship Id="rId5" Type="http://schemas.openxmlformats.org/officeDocument/2006/relationships/settings" Target="settings.xml"/><Relationship Id="rId15" Type="http://schemas.openxmlformats.org/officeDocument/2006/relationships/hyperlink" Target="https://www.mass.gov/councils-on-aging-senior-centers" TargetMode="External"/><Relationship Id="rId23" Type="http://schemas.openxmlformats.org/officeDocument/2006/relationships/hyperlink" Target="https://www.mass.gov/info-details/frail-elder-waiver-information-for-applicants-and-participants" TargetMode="External"/><Relationship Id="rId28" Type="http://schemas.openxmlformats.org/officeDocument/2006/relationships/hyperlink" Target="https://www.mass.gov/service-details/check-eligibility-guidelines-for-home-care" TargetMode="External"/><Relationship Id="rId10" Type="http://schemas.openxmlformats.org/officeDocument/2006/relationships/hyperlink" Target="https://www.mass.gov/service-details/options-counseling-program" TargetMode="External"/><Relationship Id="rId19" Type="http://schemas.openxmlformats.org/officeDocument/2006/relationships/hyperlink" Target="https://www.mass.gov/service-details/eligibility-for-health-care-benefits-for-masshealth-the-health-safety-net-and" TargetMode="External"/><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www.mass.gov/family-caregiver-support-program" TargetMode="External"/><Relationship Id="rId14" Type="http://schemas.openxmlformats.org/officeDocument/2006/relationships/hyperlink" Target="https://www.boston.va.gov/services/20191VAVIPBrochure.pdf" TargetMode="External"/><Relationship Id="rId22" Type="http://schemas.openxmlformats.org/officeDocument/2006/relationships/hyperlink" Target="https://www.mass.gov/program-of-all-inclusive-care-for-the-elderly-pace" TargetMode="External"/><Relationship Id="rId27" Type="http://schemas.openxmlformats.org/officeDocument/2006/relationships/hyperlink" Target="https://www.mass.gov/in-home-services" TargetMode="External"/><Relationship Id="rId30"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775D"/>
    <w:rsid w:val="000E77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C8C925921C444CF836B6DE2FD1C0345">
    <w:name w:val="6C8C925921C444CF836B6DE2FD1C0345"/>
    <w:rsid w:val="000E775D"/>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C8C925921C444CF836B6DE2FD1C0345">
    <w:name w:val="6C8C925921C444CF836B6DE2FD1C0345"/>
    <w:rsid w:val="000E775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BB5AFE-4A58-422C-B51D-1F29928524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6</Pages>
  <Words>2285</Words>
  <Characters>13031</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15286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Brumby, Christopher (ELD)</dc:creator>
  <cp:lastModifiedBy> </cp:lastModifiedBy>
  <cp:revision>25</cp:revision>
  <cp:lastPrinted>2019-08-07T15:58:00Z</cp:lastPrinted>
  <dcterms:created xsi:type="dcterms:W3CDTF">2019-09-20T19:41:00Z</dcterms:created>
  <dcterms:modified xsi:type="dcterms:W3CDTF">2019-09-24T16:12:00Z</dcterms:modified>
</cp:coreProperties>
</file>