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6D97676A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C45337">
        <w:rPr>
          <w:rFonts w:ascii="Arial" w:hAnsi="Arial" w:cs="Arial"/>
          <w:b/>
          <w:bCs/>
          <w:sz w:val="20"/>
          <w:szCs w:val="20"/>
        </w:rPr>
        <w:t>Essex County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>, Massachusetts, 202</w:t>
      </w:r>
      <w:r w:rsidR="007D5912">
        <w:rPr>
          <w:rFonts w:ascii="Arial" w:hAnsi="Arial" w:cs="Arial"/>
          <w:b/>
          <w:bCs/>
          <w:sz w:val="20"/>
          <w:szCs w:val="20"/>
        </w:rPr>
        <w:t>2</w:t>
      </w:r>
    </w:p>
    <w:p w14:paraId="7305978E" w14:textId="508E545D" w:rsidR="006E4764" w:rsidRPr="00E858B3" w:rsidRDefault="006E4764">
      <w:pPr>
        <w:rPr>
          <w:rFonts w:ascii="Arial" w:hAnsi="Arial" w:cs="Arial"/>
          <w:sz w:val="20"/>
          <w:szCs w:val="20"/>
        </w:rPr>
      </w:pPr>
      <w:r w:rsidRPr="008D2612">
        <w:rPr>
          <w:rFonts w:ascii="Arial" w:hAnsi="Arial" w:cs="Arial"/>
          <w:sz w:val="20"/>
          <w:szCs w:val="20"/>
        </w:rPr>
        <w:t>Essex County is a county in the Commonwealth of Massachusetts, established in 1685. In 2020, the population was 809,829 making it the third-largest county in terms of population in Massachusetts (U.S. Census Bureau, 2020*).</w:t>
      </w:r>
    </w:p>
    <w:p w14:paraId="61D4B778" w14:textId="77777777" w:rsidR="000220DC" w:rsidRPr="00FC5164" w:rsidRDefault="000220DC">
      <w:pPr>
        <w:rPr>
          <w:rFonts w:ascii="Arial" w:hAnsi="Arial" w:cs="Arial"/>
        </w:rPr>
      </w:pPr>
    </w:p>
    <w:p w14:paraId="73F18A86" w14:textId="4561B12F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  <w:r w:rsidR="00EB7C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3B0587B" w14:textId="141D245D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6F4CD9BF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6872B69E" w14:textId="59F60143" w:rsidR="003443C5" w:rsidRDefault="007D1923" w:rsidP="003443C5">
      <w:pPr>
        <w:rPr>
          <w:rFonts w:ascii="Arial" w:hAnsi="Arial" w:cs="Arial"/>
          <w:sz w:val="20"/>
          <w:szCs w:val="20"/>
          <w:vertAlign w:val="superscript"/>
        </w:rPr>
      </w:pPr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37220D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DF2063" w:rsidRPr="009F4501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6A5E3C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6A5E3C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in 2022. </w:t>
      </w:r>
      <w:r w:rsidR="0037220D" w:rsidRPr="0037220D">
        <w:rPr>
          <w:rFonts w:ascii="Arial" w:hAnsi="Arial" w:cs="Arial"/>
          <w:sz w:val="20"/>
          <w:szCs w:val="20"/>
        </w:rPr>
        <w:t xml:space="preserve">Essex County also experienced an overall increase in reported chlamydia cases, ranging </w:t>
      </w:r>
      <w:r w:rsidR="0037220D" w:rsidRPr="00DE6DCC">
        <w:rPr>
          <w:rFonts w:ascii="Arial" w:hAnsi="Arial" w:cs="Arial"/>
          <w:sz w:val="20"/>
          <w:szCs w:val="20"/>
        </w:rPr>
        <w:t>from 2</w:t>
      </w:r>
      <w:r w:rsidR="006A5E3C" w:rsidRPr="00DE6DCC">
        <w:rPr>
          <w:rFonts w:ascii="Arial" w:hAnsi="Arial" w:cs="Arial"/>
          <w:sz w:val="20"/>
          <w:szCs w:val="20"/>
        </w:rPr>
        <w:t>,</w:t>
      </w:r>
      <w:r w:rsidR="0037220D" w:rsidRPr="00DE6DCC">
        <w:rPr>
          <w:rFonts w:ascii="Arial" w:hAnsi="Arial" w:cs="Arial"/>
          <w:sz w:val="20"/>
          <w:szCs w:val="20"/>
        </w:rPr>
        <w:t>728 in 2012 to 3</w:t>
      </w:r>
      <w:r w:rsidR="006A5E3C" w:rsidRPr="00DE6DCC">
        <w:rPr>
          <w:rFonts w:ascii="Arial" w:hAnsi="Arial" w:cs="Arial"/>
          <w:sz w:val="20"/>
          <w:szCs w:val="20"/>
        </w:rPr>
        <w:t>,</w:t>
      </w:r>
      <w:r w:rsidR="0037220D" w:rsidRPr="00DE6DCC">
        <w:rPr>
          <w:rFonts w:ascii="Arial" w:hAnsi="Arial" w:cs="Arial"/>
          <w:sz w:val="20"/>
          <w:szCs w:val="20"/>
        </w:rPr>
        <w:t>462 in 2022</w:t>
      </w:r>
      <w:r w:rsidR="0037220D" w:rsidRPr="00DE6DCC">
        <w:rPr>
          <w:rFonts w:ascii="Arial" w:hAnsi="Arial" w:cs="Arial"/>
          <w:b/>
          <w:bCs/>
          <w:sz w:val="20"/>
          <w:szCs w:val="20"/>
        </w:rPr>
        <w:t xml:space="preserve">. </w:t>
      </w:r>
      <w:r w:rsidR="006E4764" w:rsidRPr="00DE6DCC">
        <w:rPr>
          <w:rFonts w:ascii="Arial" w:hAnsi="Arial" w:cs="Arial"/>
          <w:sz w:val="20"/>
          <w:szCs w:val="20"/>
        </w:rPr>
        <w:t>In</w:t>
      </w:r>
      <w:r w:rsidR="006E4764" w:rsidRPr="008D2612">
        <w:rPr>
          <w:rFonts w:ascii="Arial" w:hAnsi="Arial" w:cs="Arial"/>
          <w:sz w:val="20"/>
          <w:szCs w:val="20"/>
        </w:rPr>
        <w:t xml:space="preserve"> 202</w:t>
      </w:r>
      <w:r w:rsidR="00D932F1">
        <w:rPr>
          <w:rFonts w:ascii="Arial" w:hAnsi="Arial" w:cs="Arial"/>
          <w:sz w:val="20"/>
          <w:szCs w:val="20"/>
        </w:rPr>
        <w:t>2</w:t>
      </w:r>
      <w:r w:rsidR="006E4764" w:rsidRPr="008D2612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>the</w:t>
      </w:r>
      <w:r w:rsidR="006A5E3C">
        <w:rPr>
          <w:rFonts w:ascii="Arial" w:hAnsi="Arial" w:cs="Arial"/>
          <w:sz w:val="20"/>
          <w:szCs w:val="20"/>
        </w:rPr>
        <w:t xml:space="preserve"> </w:t>
      </w:r>
      <w:r w:rsidR="001B3438">
        <w:rPr>
          <w:rFonts w:ascii="Arial" w:hAnsi="Arial" w:cs="Arial"/>
          <w:sz w:val="20"/>
          <w:szCs w:val="20"/>
        </w:rPr>
        <w:t xml:space="preserve">county </w:t>
      </w:r>
      <w:r w:rsidR="006A5E3C">
        <w:rPr>
          <w:rFonts w:ascii="Arial" w:hAnsi="Arial" w:cs="Arial"/>
          <w:sz w:val="20"/>
          <w:szCs w:val="20"/>
        </w:rPr>
        <w:t>incidence</w:t>
      </w:r>
      <w:r w:rsidRPr="00A95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rate of chlamydia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D932F1" w:rsidRPr="00D932F1">
        <w:rPr>
          <w:rFonts w:ascii="Arial" w:hAnsi="Arial" w:cs="Arial"/>
          <w:sz w:val="20"/>
          <w:szCs w:val="20"/>
        </w:rPr>
        <w:t>427.5</w:t>
      </w:r>
      <w:r w:rsidR="00D932F1">
        <w:rPr>
          <w:rFonts w:ascii="Arial" w:hAnsi="Arial" w:cs="Arial"/>
          <w:sz w:val="20"/>
          <w:szCs w:val="20"/>
        </w:rPr>
        <w:t xml:space="preserve"> </w:t>
      </w:r>
      <w:r w:rsidR="006E4764" w:rsidRPr="008D2612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D932F1" w:rsidRPr="00D932F1">
        <w:rPr>
          <w:rFonts w:ascii="Arial" w:hAnsi="Arial" w:cs="Arial"/>
          <w:sz w:val="20"/>
          <w:szCs w:val="20"/>
        </w:rPr>
        <w:t>403.8</w:t>
      </w:r>
      <w:r w:rsidR="00D932F1">
        <w:rPr>
          <w:rFonts w:ascii="Arial" w:hAnsi="Arial" w:cs="Arial"/>
          <w:sz w:val="20"/>
          <w:szCs w:val="20"/>
        </w:rPr>
        <w:t xml:space="preserve"> </w:t>
      </w:r>
      <w:r w:rsidR="006E4764" w:rsidRPr="008D2612">
        <w:rPr>
          <w:rFonts w:ascii="Arial" w:hAnsi="Arial" w:cs="Arial"/>
          <w:sz w:val="20"/>
          <w:szCs w:val="20"/>
        </w:rPr>
        <w:t xml:space="preserve">per 100,000. </w:t>
      </w:r>
      <w:r w:rsidR="002622C3">
        <w:rPr>
          <w:rFonts w:ascii="Arial" w:hAnsi="Arial" w:cs="Arial"/>
          <w:sz w:val="20"/>
          <w:szCs w:val="20"/>
        </w:rPr>
        <w:t xml:space="preserve">These can be compared to the national rate of 495.0 per </w:t>
      </w:r>
      <w:proofErr w:type="gramStart"/>
      <w:r w:rsidR="002622C3">
        <w:rPr>
          <w:rFonts w:ascii="Arial" w:hAnsi="Arial" w:cs="Arial"/>
          <w:sz w:val="20"/>
          <w:szCs w:val="20"/>
        </w:rPr>
        <w:t>100,000.</w:t>
      </w:r>
      <w:r w:rsidR="002622C3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23FF6398" w14:textId="77777777" w:rsidR="00DF2063" w:rsidRPr="003443C5" w:rsidRDefault="00DF2063" w:rsidP="003443C5">
      <w:pPr>
        <w:rPr>
          <w:rFonts w:ascii="Arial" w:hAnsi="Arial" w:cs="Arial"/>
          <w:sz w:val="20"/>
          <w:szCs w:val="20"/>
        </w:rPr>
      </w:pPr>
    </w:p>
    <w:p w14:paraId="0FF894C8" w14:textId="4D9B41C7" w:rsidR="00794F6B" w:rsidRDefault="00794F6B" w:rsidP="009F45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9B2035" wp14:editId="1A49F3FB">
            <wp:extent cx="5326380" cy="3069590"/>
            <wp:effectExtent l="0" t="0" r="7620" b="0"/>
            <wp:docPr id="894698708" name="Picture 1" descr="Incidence rate of reported chlamydia cases per 100,000 population by sex, Essex County, MA, 2012–2022.&#10;&#10;Graph above depicts chlamydia rates (per 100,000) in MA and Essex County by sex between 2012 and 2022. There are four lines: (1) MA rates begins at 358.5 and finishes at 403.8; (2) Essex County rates begins at 359.5 and finishes at 427.5; (3) Essex female rates begin at 508.9 and finishes at 566.9; (4) Essex male rates begin at 196.4 and finish at 275.5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98708" name="Picture 1" descr="Incidence rate of reported chlamydia cases per 100,000 population by sex, Essex County, MA, 2012–2022.&#10;&#10;Graph above depicts chlamydia rates (per 100,000) in MA and Essex County by sex between 2012 and 2022. There are four lines: (1) MA rates begins at 358.5 and finishes at 403.8; (2) Essex County rates begins at 359.5 and finishes at 427.5; (3) Essex female rates begin at 508.9 and finishes at 566.9; (4) Essex male rates begin at 196.4 and finish at 275.5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C966" w14:textId="77777777" w:rsidR="00DF2063" w:rsidRPr="00A95970" w:rsidRDefault="00DF2063" w:rsidP="00DF206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782D13E2" w14:textId="77777777" w:rsidR="00DF2063" w:rsidRPr="00A95970" w:rsidRDefault="00DF2063" w:rsidP="00DF206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03C9C749" w14:textId="72AC379D" w:rsidR="00794F6B" w:rsidRDefault="00DF2063" w:rsidP="003443C5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5CEF067B" w14:textId="77777777" w:rsidR="00794F6B" w:rsidRDefault="00794F6B" w:rsidP="003443C5">
      <w:pPr>
        <w:rPr>
          <w:rFonts w:ascii="Arial" w:hAnsi="Arial" w:cs="Arial"/>
          <w:b/>
          <w:bCs/>
          <w:sz w:val="20"/>
          <w:szCs w:val="20"/>
        </w:rPr>
      </w:pPr>
    </w:p>
    <w:p w14:paraId="446CE059" w14:textId="7E7E3E8B" w:rsidR="00A83E04" w:rsidRDefault="006E4764" w:rsidP="003443C5">
      <w:pPr>
        <w:rPr>
          <w:rFonts w:ascii="Arial" w:hAnsi="Arial" w:cs="Arial"/>
          <w:b/>
          <w:bCs/>
          <w:sz w:val="20"/>
          <w:szCs w:val="20"/>
        </w:rPr>
      </w:pPr>
      <w:r w:rsidRPr="008D2612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E858B3">
        <w:rPr>
          <w:rFonts w:ascii="Arial" w:hAnsi="Arial" w:cs="Arial"/>
          <w:b/>
          <w:bCs/>
          <w:sz w:val="20"/>
          <w:szCs w:val="20"/>
        </w:rPr>
        <w:t>females</w:t>
      </w:r>
      <w:r w:rsidRPr="008D2612">
        <w:rPr>
          <w:rFonts w:ascii="Arial" w:hAnsi="Arial" w:cs="Arial"/>
          <w:b/>
          <w:bCs/>
          <w:sz w:val="20"/>
          <w:szCs w:val="20"/>
        </w:rPr>
        <w:t xml:space="preserve"> remained higher compared to </w:t>
      </w:r>
      <w:r w:rsidR="00E858B3">
        <w:rPr>
          <w:rFonts w:ascii="Arial" w:hAnsi="Arial" w:cs="Arial"/>
          <w:b/>
          <w:bCs/>
          <w:sz w:val="20"/>
          <w:szCs w:val="20"/>
        </w:rPr>
        <w:t>males</w:t>
      </w:r>
      <w:r w:rsidRPr="008D261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D2612">
        <w:rPr>
          <w:rFonts w:ascii="Arial" w:hAnsi="Arial" w:cs="Arial"/>
          <w:sz w:val="20"/>
          <w:szCs w:val="20"/>
        </w:rPr>
        <w:t>In 202</w:t>
      </w:r>
      <w:r w:rsidR="00D932F1">
        <w:rPr>
          <w:rFonts w:ascii="Arial" w:hAnsi="Arial" w:cs="Arial"/>
          <w:sz w:val="20"/>
          <w:szCs w:val="20"/>
        </w:rPr>
        <w:t>2</w:t>
      </w:r>
      <w:r w:rsidRPr="008D2612">
        <w:rPr>
          <w:rFonts w:ascii="Arial" w:hAnsi="Arial" w:cs="Arial"/>
          <w:sz w:val="20"/>
          <w:szCs w:val="20"/>
        </w:rPr>
        <w:t xml:space="preserve">, the incidence rate of chlamydia among </w:t>
      </w:r>
      <w:r w:rsidR="00E858B3">
        <w:rPr>
          <w:rFonts w:ascii="Arial" w:hAnsi="Arial" w:cs="Arial"/>
          <w:sz w:val="20"/>
          <w:szCs w:val="20"/>
        </w:rPr>
        <w:t>females</w:t>
      </w:r>
      <w:r w:rsidRPr="008D2612">
        <w:rPr>
          <w:rFonts w:ascii="Arial" w:hAnsi="Arial" w:cs="Arial"/>
          <w:sz w:val="20"/>
          <w:szCs w:val="20"/>
        </w:rPr>
        <w:t xml:space="preserve"> in Essex County was </w:t>
      </w:r>
      <w:r w:rsidR="00D932F1" w:rsidRPr="00D932F1">
        <w:rPr>
          <w:rFonts w:ascii="Arial" w:hAnsi="Arial" w:cs="Arial"/>
          <w:sz w:val="20"/>
          <w:szCs w:val="20"/>
        </w:rPr>
        <w:t>566.9</w:t>
      </w:r>
      <w:r w:rsidR="00D932F1">
        <w:rPr>
          <w:rFonts w:ascii="Arial" w:hAnsi="Arial" w:cs="Arial"/>
          <w:sz w:val="20"/>
          <w:szCs w:val="20"/>
        </w:rPr>
        <w:t xml:space="preserve"> </w:t>
      </w:r>
      <w:r w:rsidRPr="008D2612">
        <w:rPr>
          <w:rFonts w:ascii="Arial" w:hAnsi="Arial" w:cs="Arial"/>
          <w:sz w:val="20"/>
          <w:szCs w:val="20"/>
        </w:rPr>
        <w:t xml:space="preserve">per 100,000, nearly double that of </w:t>
      </w:r>
      <w:r w:rsidR="00E858B3">
        <w:rPr>
          <w:rFonts w:ascii="Arial" w:hAnsi="Arial" w:cs="Arial"/>
          <w:sz w:val="20"/>
          <w:szCs w:val="20"/>
        </w:rPr>
        <w:t>males</w:t>
      </w:r>
      <w:r w:rsidRPr="008D2612">
        <w:rPr>
          <w:rFonts w:ascii="Arial" w:hAnsi="Arial" w:cs="Arial"/>
          <w:sz w:val="20"/>
          <w:szCs w:val="20"/>
        </w:rPr>
        <w:t xml:space="preserve"> (</w:t>
      </w:r>
      <w:r w:rsidR="00D932F1" w:rsidRPr="00D932F1">
        <w:rPr>
          <w:rFonts w:ascii="Arial" w:hAnsi="Arial" w:cs="Arial"/>
          <w:sz w:val="20"/>
          <w:szCs w:val="20"/>
        </w:rPr>
        <w:t>275.5</w:t>
      </w:r>
      <w:r w:rsidR="00D932F1">
        <w:rPr>
          <w:rFonts w:ascii="Arial" w:hAnsi="Arial" w:cs="Arial"/>
          <w:sz w:val="20"/>
          <w:szCs w:val="20"/>
        </w:rPr>
        <w:t xml:space="preserve"> </w:t>
      </w:r>
      <w:r w:rsidRPr="008D2612">
        <w:rPr>
          <w:rFonts w:ascii="Arial" w:hAnsi="Arial" w:cs="Arial"/>
          <w:sz w:val="20"/>
          <w:szCs w:val="20"/>
        </w:rPr>
        <w:t>per 100,000).</w:t>
      </w:r>
    </w:p>
    <w:p w14:paraId="5758A9A4" w14:textId="51393822" w:rsidR="006E4764" w:rsidRPr="006E4764" w:rsidRDefault="006E4764" w:rsidP="003443C5">
      <w:pPr>
        <w:rPr>
          <w:rFonts w:ascii="Arial" w:hAnsi="Arial" w:cs="Arial"/>
          <w:b/>
          <w:bCs/>
          <w:sz w:val="20"/>
          <w:szCs w:val="20"/>
        </w:rPr>
      </w:pPr>
    </w:p>
    <w:p w14:paraId="086CBF21" w14:textId="1AE4FDEB" w:rsidR="006E4764" w:rsidRPr="008D2612" w:rsidRDefault="006E4764" w:rsidP="006E4764">
      <w:pPr>
        <w:rPr>
          <w:rFonts w:ascii="Arial" w:hAnsi="Arial" w:cs="Arial"/>
          <w:sz w:val="20"/>
          <w:szCs w:val="20"/>
        </w:rPr>
      </w:pPr>
      <w:r w:rsidRPr="00D932F1" w:rsidDel="006E4764">
        <w:rPr>
          <w:rFonts w:ascii="Arial" w:hAnsi="Arial" w:cs="Arial"/>
          <w:sz w:val="20"/>
          <w:szCs w:val="20"/>
        </w:rPr>
        <w:t>S</w:t>
      </w:r>
      <w:r w:rsidRPr="29E60AEE" w:rsidDel="006E4764">
        <w:rPr>
          <w:rFonts w:ascii="Arial" w:hAnsi="Arial" w:cs="Arial"/>
          <w:sz w:val="20"/>
          <w:szCs w:val="20"/>
        </w:rPr>
        <w:t>ince 201</w:t>
      </w:r>
      <w:r w:rsidR="00D932F1">
        <w:rPr>
          <w:rFonts w:ascii="Arial" w:hAnsi="Arial" w:cs="Arial"/>
          <w:sz w:val="20"/>
          <w:szCs w:val="20"/>
        </w:rPr>
        <w:t>2</w:t>
      </w:r>
      <w:r w:rsidRPr="29E60AEE" w:rsidDel="006E4764">
        <w:rPr>
          <w:rFonts w:ascii="Arial" w:hAnsi="Arial" w:cs="Arial"/>
          <w:sz w:val="20"/>
          <w:szCs w:val="20"/>
        </w:rPr>
        <w:t xml:space="preserve">, the county incidence rate of chlamydia among </w:t>
      </w:r>
      <w:r w:rsidR="00E858B3">
        <w:rPr>
          <w:rFonts w:ascii="Arial" w:hAnsi="Arial" w:cs="Arial"/>
          <w:sz w:val="20"/>
          <w:szCs w:val="20"/>
        </w:rPr>
        <w:t>females</w:t>
      </w:r>
      <w:r w:rsidRPr="29E60AEE" w:rsidDel="006E4764">
        <w:rPr>
          <w:rFonts w:ascii="Arial" w:hAnsi="Arial" w:cs="Arial"/>
          <w:sz w:val="20"/>
          <w:szCs w:val="20"/>
        </w:rPr>
        <w:t xml:space="preserve"> in Essex County was consistently higher than the overall statewide incidence rate.</w:t>
      </w:r>
    </w:p>
    <w:p w14:paraId="4EED0DA2" w14:textId="4522ABEC" w:rsidR="006E4764" w:rsidRPr="00C26615" w:rsidRDefault="006E4764" w:rsidP="006E4764">
      <w:pPr>
        <w:rPr>
          <w:rFonts w:ascii="Arial" w:hAnsi="Arial" w:cs="Arial"/>
          <w:sz w:val="22"/>
        </w:rPr>
      </w:pPr>
    </w:p>
    <w:p w14:paraId="31D31E6A" w14:textId="1AD4A8DA" w:rsidR="006E4764" w:rsidRPr="006E4764" w:rsidRDefault="006E4764" w:rsidP="0016162E">
      <w:pPr>
        <w:rPr>
          <w:rFonts w:ascii="Arial" w:hAnsi="Arial" w:cs="Arial"/>
          <w:sz w:val="22"/>
          <w:szCs w:val="20"/>
        </w:rPr>
      </w:pPr>
      <w:r w:rsidRPr="76A5A0EA">
        <w:rPr>
          <w:rFonts w:ascii="Arial" w:hAnsi="Arial" w:cs="Arial"/>
          <w:b/>
          <w:bCs/>
          <w:sz w:val="20"/>
          <w:szCs w:val="20"/>
        </w:rPr>
        <w:t xml:space="preserve">The chlamydia statewide and county incidence rate is highest among young adults. </w:t>
      </w:r>
      <w:r w:rsidRPr="76A5A0EA">
        <w:rPr>
          <w:rFonts w:ascii="Arial" w:hAnsi="Arial" w:cs="Arial"/>
          <w:sz w:val="20"/>
          <w:szCs w:val="20"/>
        </w:rPr>
        <w:t>In 202</w:t>
      </w:r>
      <w:r w:rsidR="007D5912">
        <w:rPr>
          <w:rFonts w:ascii="Arial" w:hAnsi="Arial" w:cs="Arial"/>
          <w:sz w:val="20"/>
          <w:szCs w:val="20"/>
        </w:rPr>
        <w:t>2</w:t>
      </w:r>
      <w:r w:rsidRPr="76A5A0EA">
        <w:rPr>
          <w:rFonts w:ascii="Arial" w:hAnsi="Arial" w:cs="Arial"/>
          <w:sz w:val="20"/>
          <w:szCs w:val="20"/>
        </w:rPr>
        <w:t>, the number of cases and the incidence rate of chlamydia in Essex County</w:t>
      </w:r>
      <w:r w:rsidR="00166705">
        <w:rPr>
          <w:rFonts w:ascii="Arial" w:hAnsi="Arial" w:cs="Arial"/>
          <w:sz w:val="20"/>
          <w:szCs w:val="20"/>
        </w:rPr>
        <w:t xml:space="preserve"> </w:t>
      </w:r>
      <w:r w:rsidRPr="76A5A0EA">
        <w:rPr>
          <w:rFonts w:ascii="Arial" w:hAnsi="Arial" w:cs="Arial"/>
          <w:sz w:val="20"/>
          <w:szCs w:val="20"/>
        </w:rPr>
        <w:t>was highest among 20</w:t>
      </w:r>
      <w:r w:rsidR="00DF2063">
        <w:rPr>
          <w:rFonts w:ascii="Arial" w:hAnsi="Arial" w:cs="Arial"/>
          <w:sz w:val="20"/>
          <w:szCs w:val="20"/>
        </w:rPr>
        <w:t>-</w:t>
      </w:r>
      <w:r w:rsidRPr="76A5A0EA">
        <w:rPr>
          <w:rFonts w:ascii="Arial" w:hAnsi="Arial" w:cs="Arial"/>
          <w:sz w:val="20"/>
          <w:szCs w:val="20"/>
        </w:rPr>
        <w:t>to</w:t>
      </w:r>
      <w:r w:rsidR="00DF2063">
        <w:rPr>
          <w:rFonts w:ascii="Arial" w:hAnsi="Arial" w:cs="Arial"/>
          <w:sz w:val="20"/>
          <w:szCs w:val="20"/>
        </w:rPr>
        <w:t>-</w:t>
      </w:r>
      <w:r w:rsidR="007903FD" w:rsidRPr="76A5A0EA">
        <w:rPr>
          <w:rFonts w:ascii="Arial" w:hAnsi="Arial" w:cs="Arial"/>
          <w:sz w:val="20"/>
          <w:szCs w:val="20"/>
        </w:rPr>
        <w:t>24</w:t>
      </w:r>
      <w:r w:rsidR="007903FD">
        <w:rPr>
          <w:rFonts w:ascii="Arial" w:hAnsi="Arial" w:cs="Arial"/>
          <w:sz w:val="20"/>
          <w:szCs w:val="20"/>
        </w:rPr>
        <w:t>-</w:t>
      </w:r>
      <w:r w:rsidRPr="76A5A0EA">
        <w:rPr>
          <w:rFonts w:ascii="Arial" w:hAnsi="Arial" w:cs="Arial"/>
          <w:sz w:val="20"/>
          <w:szCs w:val="20"/>
        </w:rPr>
        <w:t>year-olds (</w:t>
      </w:r>
      <w:r w:rsidR="00D932F1" w:rsidRPr="00D932F1">
        <w:rPr>
          <w:rFonts w:ascii="Arial" w:hAnsi="Arial" w:cs="Arial"/>
          <w:sz w:val="20"/>
          <w:szCs w:val="20"/>
        </w:rPr>
        <w:t>2</w:t>
      </w:r>
      <w:r w:rsidR="00D932F1">
        <w:rPr>
          <w:rFonts w:ascii="Arial" w:hAnsi="Arial" w:cs="Arial"/>
          <w:sz w:val="20"/>
          <w:szCs w:val="20"/>
        </w:rPr>
        <w:t>,</w:t>
      </w:r>
      <w:r w:rsidR="00D932F1" w:rsidRPr="00D932F1">
        <w:rPr>
          <w:rFonts w:ascii="Arial" w:hAnsi="Arial" w:cs="Arial"/>
          <w:sz w:val="20"/>
          <w:szCs w:val="20"/>
        </w:rPr>
        <w:t>502.3</w:t>
      </w:r>
      <w:r w:rsidR="00D932F1">
        <w:rPr>
          <w:rFonts w:ascii="Arial" w:hAnsi="Arial" w:cs="Arial"/>
          <w:sz w:val="20"/>
          <w:szCs w:val="20"/>
        </w:rPr>
        <w:t xml:space="preserve"> </w:t>
      </w:r>
      <w:r w:rsidRPr="76A5A0EA">
        <w:rPr>
          <w:rFonts w:ascii="Arial" w:hAnsi="Arial" w:cs="Arial"/>
          <w:sz w:val="20"/>
          <w:szCs w:val="20"/>
        </w:rPr>
        <w:t>per 100,000).</w:t>
      </w:r>
    </w:p>
    <w:p w14:paraId="6EC7C80C" w14:textId="740FA4A5" w:rsidR="00A83E04" w:rsidRDefault="00A83E04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30B763" w14:textId="202E7C65" w:rsidR="0016162E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6735A5C1" w:rsidR="00173387" w:rsidRPr="0018731B" w:rsidRDefault="00173387" w:rsidP="00173387">
      <w:pPr>
        <w:rPr>
          <w:rFonts w:ascii="Arial" w:hAnsi="Arial" w:cs="Arial"/>
          <w:sz w:val="22"/>
        </w:rPr>
      </w:pPr>
      <w:r w:rsidRPr="00173387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313A1209" w:rsidR="00173387" w:rsidRPr="0018731B" w:rsidRDefault="00173387" w:rsidP="00173387">
      <w:pPr>
        <w:rPr>
          <w:rFonts w:ascii="Arial" w:hAnsi="Arial" w:cs="Arial"/>
          <w:sz w:val="22"/>
        </w:rPr>
      </w:pPr>
    </w:p>
    <w:p w14:paraId="0C5EC859" w14:textId="774E518E" w:rsidR="006E4764" w:rsidRPr="00173387" w:rsidRDefault="007D1923" w:rsidP="006E4764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6A5E3C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6A5E3C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r>
        <w:rPr>
          <w:rFonts w:ascii="Arial" w:hAnsi="Arial" w:cs="Arial"/>
          <w:sz w:val="20"/>
          <w:szCs w:val="20"/>
        </w:rPr>
        <w:t>. Essex County also experienced an overall increase of reported gonorrhea cases</w:t>
      </w:r>
      <w:r w:rsidRPr="00DE6DCC">
        <w:rPr>
          <w:rFonts w:ascii="Arial" w:hAnsi="Arial" w:cs="Arial"/>
          <w:sz w:val="20"/>
          <w:szCs w:val="20"/>
        </w:rPr>
        <w:t xml:space="preserve">, ranging from </w:t>
      </w:r>
      <w:r w:rsidR="00DE6DCC" w:rsidRPr="00DE6DCC">
        <w:rPr>
          <w:rFonts w:ascii="Arial" w:hAnsi="Arial" w:cs="Arial"/>
          <w:sz w:val="20"/>
          <w:szCs w:val="20"/>
        </w:rPr>
        <w:t>175</w:t>
      </w:r>
      <w:r w:rsidRPr="00DE6DCC">
        <w:rPr>
          <w:rFonts w:ascii="Arial" w:hAnsi="Arial" w:cs="Arial"/>
          <w:sz w:val="20"/>
          <w:szCs w:val="20"/>
        </w:rPr>
        <w:t xml:space="preserve"> in 2012 to </w:t>
      </w:r>
      <w:r w:rsidR="00DE6DCC" w:rsidRPr="00DE6DCC">
        <w:rPr>
          <w:rFonts w:ascii="Arial" w:hAnsi="Arial" w:cs="Arial"/>
          <w:sz w:val="20"/>
          <w:szCs w:val="20"/>
        </w:rPr>
        <w:t>711</w:t>
      </w:r>
      <w:r w:rsidRPr="00DE6DCC">
        <w:rPr>
          <w:rFonts w:ascii="Arial" w:hAnsi="Arial" w:cs="Arial"/>
          <w:sz w:val="20"/>
          <w:szCs w:val="20"/>
        </w:rPr>
        <w:t xml:space="preserve"> in 2022</w:t>
      </w:r>
      <w:r>
        <w:rPr>
          <w:rFonts w:ascii="Arial" w:hAnsi="Arial" w:cs="Arial"/>
          <w:sz w:val="20"/>
          <w:szCs w:val="20"/>
        </w:rPr>
        <w:t xml:space="preserve">. </w:t>
      </w:r>
      <w:r w:rsidR="006E4764" w:rsidRPr="00E80AD2">
        <w:rPr>
          <w:rFonts w:ascii="Arial" w:hAnsi="Arial" w:cs="Arial"/>
          <w:sz w:val="20"/>
          <w:szCs w:val="20"/>
        </w:rPr>
        <w:t>In 202</w:t>
      </w:r>
      <w:r w:rsidR="003007E0">
        <w:rPr>
          <w:rFonts w:ascii="Arial" w:hAnsi="Arial" w:cs="Arial"/>
          <w:sz w:val="20"/>
          <w:szCs w:val="20"/>
        </w:rPr>
        <w:t>2</w:t>
      </w:r>
      <w:r w:rsidR="006E4764" w:rsidRPr="00E80AD2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 xml:space="preserve">the </w:t>
      </w:r>
      <w:r w:rsidR="001251B0">
        <w:rPr>
          <w:rFonts w:ascii="Arial" w:hAnsi="Arial" w:cs="Arial"/>
          <w:sz w:val="20"/>
          <w:szCs w:val="20"/>
        </w:rPr>
        <w:t xml:space="preserve">county </w:t>
      </w:r>
      <w:r w:rsidR="006A5E3C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3007E0" w:rsidRPr="003007E0">
        <w:rPr>
          <w:rFonts w:ascii="Arial" w:hAnsi="Arial" w:cs="Arial"/>
          <w:sz w:val="20"/>
          <w:szCs w:val="20"/>
        </w:rPr>
        <w:t>87.8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="006E4764" w:rsidRPr="00E80AD2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3007E0" w:rsidRPr="003007E0">
        <w:rPr>
          <w:rFonts w:ascii="Arial" w:hAnsi="Arial" w:cs="Arial"/>
          <w:sz w:val="20"/>
          <w:szCs w:val="20"/>
        </w:rPr>
        <w:t>129.9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="006E4764" w:rsidRPr="00E80AD2">
        <w:rPr>
          <w:rFonts w:ascii="Arial" w:hAnsi="Arial" w:cs="Arial"/>
          <w:sz w:val="20"/>
          <w:szCs w:val="20"/>
        </w:rPr>
        <w:t xml:space="preserve">per 100,000. </w:t>
      </w:r>
      <w:r w:rsidR="002622C3">
        <w:rPr>
          <w:rFonts w:ascii="Arial" w:hAnsi="Arial" w:cs="Arial"/>
          <w:sz w:val="20"/>
          <w:szCs w:val="20"/>
        </w:rPr>
        <w:t xml:space="preserve">These can be compared to the national rate of 194.4 per </w:t>
      </w:r>
      <w:proofErr w:type="gramStart"/>
      <w:r w:rsidR="002622C3">
        <w:rPr>
          <w:rFonts w:ascii="Arial" w:hAnsi="Arial" w:cs="Arial"/>
          <w:sz w:val="20"/>
          <w:szCs w:val="20"/>
        </w:rPr>
        <w:t>100,000.</w:t>
      </w:r>
      <w:r w:rsidR="002622C3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2B38A838" w14:textId="00385383" w:rsidR="006E4764" w:rsidRDefault="006E4764" w:rsidP="006E476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BD21392" w14:textId="666B1DE1" w:rsidR="00794F6B" w:rsidRPr="004371F4" w:rsidRDefault="004371F4" w:rsidP="006E4764">
      <w:pPr>
        <w:rPr>
          <w:rFonts w:ascii="Arial" w:hAnsi="Arial" w:cs="Arial"/>
          <w:sz w:val="20"/>
          <w:szCs w:val="20"/>
        </w:rPr>
      </w:pPr>
      <w:r w:rsidRPr="00E80AD2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E80AD2">
        <w:rPr>
          <w:rFonts w:ascii="Arial" w:hAnsi="Arial" w:cs="Arial"/>
          <w:b/>
          <w:bCs/>
          <w:sz w:val="20"/>
          <w:szCs w:val="20"/>
        </w:rPr>
        <w:t xml:space="preserve"> remained higher </w:t>
      </w:r>
      <w:r w:rsidRPr="00E80AD2">
        <w:rPr>
          <w:rFonts w:ascii="Arial" w:hAnsi="Arial" w:cs="Arial"/>
          <w:sz w:val="20"/>
          <w:szCs w:val="20"/>
        </w:rPr>
        <w:t xml:space="preserve">compared to </w:t>
      </w:r>
      <w:r>
        <w:rPr>
          <w:rFonts w:ascii="Arial" w:hAnsi="Arial" w:cs="Arial"/>
          <w:sz w:val="20"/>
          <w:szCs w:val="20"/>
        </w:rPr>
        <w:t>females</w:t>
      </w:r>
      <w:r w:rsidRPr="00E80AD2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E80AD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E80AD2">
        <w:rPr>
          <w:rFonts w:ascii="Arial" w:hAnsi="Arial" w:cs="Arial"/>
          <w:sz w:val="20"/>
          <w:szCs w:val="20"/>
        </w:rPr>
        <w:t xml:space="preserve"> accounted for 6</w:t>
      </w:r>
      <w:r>
        <w:rPr>
          <w:rFonts w:ascii="Arial" w:hAnsi="Arial" w:cs="Arial"/>
          <w:sz w:val="20"/>
          <w:szCs w:val="20"/>
        </w:rPr>
        <w:t>0.6</w:t>
      </w:r>
      <w:r w:rsidRPr="00E80AD2">
        <w:rPr>
          <w:rFonts w:ascii="Arial" w:hAnsi="Arial" w:cs="Arial"/>
          <w:sz w:val="20"/>
          <w:szCs w:val="20"/>
        </w:rPr>
        <w:t xml:space="preserve">% of all gonorrhea cases in Essex County with a rate of </w:t>
      </w:r>
      <w:r w:rsidRPr="003007E0">
        <w:rPr>
          <w:rFonts w:ascii="Arial" w:hAnsi="Arial" w:cs="Arial"/>
          <w:sz w:val="20"/>
          <w:szCs w:val="20"/>
        </w:rPr>
        <w:t>110.2</w:t>
      </w:r>
      <w:r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 xml:space="preserve">per 100,000 that was nearly double that of </w:t>
      </w:r>
      <w:r>
        <w:rPr>
          <w:rFonts w:ascii="Arial" w:hAnsi="Arial" w:cs="Arial"/>
          <w:sz w:val="20"/>
          <w:szCs w:val="20"/>
        </w:rPr>
        <w:t>females</w:t>
      </w:r>
      <w:r w:rsidRPr="00E80AD2">
        <w:rPr>
          <w:rFonts w:ascii="Arial" w:hAnsi="Arial" w:cs="Arial"/>
          <w:sz w:val="20"/>
          <w:szCs w:val="20"/>
        </w:rPr>
        <w:t xml:space="preserve"> (</w:t>
      </w:r>
      <w:r w:rsidRPr="003007E0">
        <w:rPr>
          <w:rFonts w:ascii="Arial" w:hAnsi="Arial" w:cs="Arial"/>
          <w:sz w:val="20"/>
          <w:szCs w:val="20"/>
        </w:rPr>
        <w:t>66.7</w:t>
      </w:r>
      <w:r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>per 100,000).</w:t>
      </w:r>
    </w:p>
    <w:p w14:paraId="34AAB591" w14:textId="10ADFBD8" w:rsidR="00794F6B" w:rsidRDefault="00EE5BB8" w:rsidP="009F45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9E7C7CA" wp14:editId="0BFDEFBD">
            <wp:extent cx="5321300" cy="3072130"/>
            <wp:effectExtent l="0" t="0" r="0" b="0"/>
            <wp:docPr id="792738883" name="Picture 2" descr="Incidence rate of reported gonorrhea cases per 100,000 population by sex, Essex County, MA, 2012–2022.&#10;&#10;Graph above depicts gonorrhea rates (per 100,000) in MA and Essex County by sex between 2012 and 2022. There are four lines: (1) MA rates begins at 39.9 and finishes at 129.9; (2) Essex County rates begins at 23.1 and finishes at 87.8; (3) Essex female rates begin at 19.8 and finishes at 66.7; (4) Essex male rates begin at 26.6 and finish at 110.2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38883" name="Picture 2" descr="Incidence rate of reported gonorrhea cases per 100,000 population by sex, Essex County, MA, 2012–2022.&#10;&#10;Graph above depicts gonorrhea rates (per 100,000) in MA and Essex County by sex between 2012 and 2022. There are four lines: (1) MA rates begins at 39.9 and finishes at 129.9; (2) Essex County rates begins at 23.1 and finishes at 87.8; (3) Essex female rates begin at 19.8 and finishes at 66.7; (4) Essex male rates begin at 26.6 and finish at 110.2.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07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389D5" w14:textId="77777777" w:rsidR="00DF2063" w:rsidRPr="00A95970" w:rsidRDefault="00DF2063" w:rsidP="00DF206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569B8712" w14:textId="77777777" w:rsidR="00DF2063" w:rsidRPr="00A95970" w:rsidRDefault="00DF2063" w:rsidP="00DF206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4228E903" w14:textId="296E2FA1" w:rsidR="004371F4" w:rsidRDefault="00DF2063" w:rsidP="006E4764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05C84FD3" w14:textId="77777777" w:rsidR="004371F4" w:rsidRPr="00E80AD2" w:rsidRDefault="004371F4" w:rsidP="006E4764">
      <w:pPr>
        <w:rPr>
          <w:rFonts w:ascii="Arial" w:hAnsi="Arial" w:cs="Arial"/>
          <w:b/>
          <w:bCs/>
          <w:sz w:val="20"/>
          <w:szCs w:val="20"/>
        </w:rPr>
      </w:pPr>
    </w:p>
    <w:p w14:paraId="354AD692" w14:textId="35CDFB0D" w:rsidR="0093586C" w:rsidRPr="0093586C" w:rsidRDefault="006E476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29E60AEE" w:rsidDel="006E4764">
        <w:rPr>
          <w:rFonts w:ascii="Arial" w:hAnsi="Arial" w:cs="Arial"/>
          <w:b/>
          <w:bCs/>
          <w:sz w:val="20"/>
          <w:szCs w:val="20"/>
        </w:rPr>
        <w:t xml:space="preserve">The gonorrhea county and statewide incidence rate is highest among young adults. </w:t>
      </w:r>
      <w:r w:rsidRPr="29E60AEE" w:rsidDel="006E4764">
        <w:rPr>
          <w:rFonts w:ascii="Arial" w:hAnsi="Arial" w:cs="Arial"/>
          <w:sz w:val="20"/>
          <w:szCs w:val="20"/>
        </w:rPr>
        <w:t>In 202</w:t>
      </w:r>
      <w:r w:rsidR="007D5912">
        <w:rPr>
          <w:rFonts w:ascii="Arial" w:hAnsi="Arial" w:cs="Arial"/>
          <w:sz w:val="20"/>
          <w:szCs w:val="20"/>
        </w:rPr>
        <w:t>2</w:t>
      </w:r>
      <w:r w:rsidRPr="29E60AEE" w:rsidDel="006E4764">
        <w:rPr>
          <w:rFonts w:ascii="Arial" w:hAnsi="Arial" w:cs="Arial"/>
          <w:sz w:val="20"/>
          <w:szCs w:val="20"/>
        </w:rPr>
        <w:t>, the number of cases and incidence rate in Essex County was highest among 20</w:t>
      </w:r>
      <w:r w:rsidR="00DF2063">
        <w:rPr>
          <w:rFonts w:ascii="Arial" w:hAnsi="Arial" w:cs="Arial"/>
          <w:sz w:val="20"/>
          <w:szCs w:val="20"/>
        </w:rPr>
        <w:t>-</w:t>
      </w:r>
      <w:r w:rsidRPr="29E60AEE" w:rsidDel="006E4764">
        <w:rPr>
          <w:rFonts w:ascii="Arial" w:hAnsi="Arial" w:cs="Arial"/>
          <w:sz w:val="20"/>
          <w:szCs w:val="20"/>
        </w:rPr>
        <w:t>to</w:t>
      </w:r>
      <w:r w:rsidR="00DF2063">
        <w:rPr>
          <w:rFonts w:ascii="Arial" w:hAnsi="Arial" w:cs="Arial"/>
          <w:sz w:val="20"/>
          <w:szCs w:val="20"/>
        </w:rPr>
        <w:t>-</w:t>
      </w:r>
      <w:r w:rsidR="007903FD" w:rsidRPr="29E60AEE" w:rsidDel="006E4764">
        <w:rPr>
          <w:rFonts w:ascii="Arial" w:hAnsi="Arial" w:cs="Arial"/>
          <w:sz w:val="20"/>
          <w:szCs w:val="20"/>
        </w:rPr>
        <w:t>24</w:t>
      </w:r>
      <w:r w:rsidR="007903FD">
        <w:rPr>
          <w:rFonts w:ascii="Arial" w:hAnsi="Arial" w:cs="Arial"/>
          <w:sz w:val="20"/>
          <w:szCs w:val="20"/>
        </w:rPr>
        <w:t>-</w:t>
      </w:r>
      <w:r w:rsidRPr="29E60AEE" w:rsidDel="006E4764">
        <w:rPr>
          <w:rFonts w:ascii="Arial" w:hAnsi="Arial" w:cs="Arial"/>
          <w:sz w:val="20"/>
          <w:szCs w:val="20"/>
        </w:rPr>
        <w:t>year-olds (</w:t>
      </w:r>
      <w:r w:rsidR="003007E0" w:rsidRPr="003007E0">
        <w:rPr>
          <w:rFonts w:ascii="Arial" w:hAnsi="Arial" w:cs="Arial"/>
          <w:sz w:val="20"/>
          <w:szCs w:val="20"/>
        </w:rPr>
        <w:t>320.0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Pr="29E60AEE" w:rsidDel="006E4764">
        <w:rPr>
          <w:rFonts w:ascii="Arial" w:hAnsi="Arial" w:cs="Arial"/>
          <w:sz w:val="20"/>
          <w:szCs w:val="20"/>
        </w:rPr>
        <w:t>per 100,000)</w:t>
      </w:r>
      <w:r w:rsidRPr="006A5E3C" w:rsidDel="006E4764">
        <w:rPr>
          <w:rFonts w:ascii="Arial" w:hAnsi="Arial" w:cs="Arial"/>
          <w:sz w:val="20"/>
          <w:szCs w:val="20"/>
        </w:rPr>
        <w:t>.</w:t>
      </w:r>
    </w:p>
    <w:p w14:paraId="7CBB6B44" w14:textId="7E7E7A50" w:rsidR="00EB7C60" w:rsidRDefault="00EB7C60">
      <w:pPr>
        <w:rPr>
          <w:rFonts w:ascii="Arial" w:hAnsi="Arial" w:cs="Arial"/>
          <w:noProof/>
        </w:rPr>
      </w:pPr>
    </w:p>
    <w:p w14:paraId="74725BAF" w14:textId="2AB7E81F" w:rsidR="00EB7C60" w:rsidRDefault="005D467C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10D70923" wp14:editId="3F1614B0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 &#10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4D2A7" w14:textId="32D47107" w:rsidR="003007E0" w:rsidRPr="00A95970" w:rsidRDefault="003007E0" w:rsidP="003007E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64320351" w14:textId="77777777" w:rsidR="003007E0" w:rsidRPr="00A95970" w:rsidRDefault="003007E0" w:rsidP="003007E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7A6F9B01" w14:textId="0773C96C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DF2063">
        <w:rPr>
          <w:rFonts w:ascii="Arial" w:hAnsi="Arial" w:cs="Arial"/>
          <w:sz w:val="16"/>
          <w:szCs w:val="16"/>
        </w:rPr>
        <w:t>.</w:t>
      </w:r>
    </w:p>
    <w:p w14:paraId="4702FFBD" w14:textId="5D7F0E6C" w:rsidR="0016162E" w:rsidRDefault="0016162E" w:rsidP="0016162E">
      <w:pPr>
        <w:rPr>
          <w:rFonts w:ascii="Arial" w:hAnsi="Arial" w:cs="Arial"/>
          <w:sz w:val="20"/>
          <w:szCs w:val="20"/>
        </w:rPr>
      </w:pPr>
    </w:p>
    <w:p w14:paraId="757F413A" w14:textId="6AB551A4" w:rsidR="00755AD7" w:rsidRPr="00173387" w:rsidRDefault="00C50C59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45B530" w14:textId="5047951C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DF2063" w:rsidRPr="009F4501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44BC5E84" w14:textId="2E6A980A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0982B49D" w14:textId="540929CF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</w:p>
    <w:p w14:paraId="76DD9B77" w14:textId="4E38B734" w:rsidR="00A14A42" w:rsidRPr="00C66B1B" w:rsidRDefault="00A14A42" w:rsidP="00A14A42">
      <w:pPr>
        <w:rPr>
          <w:rFonts w:ascii="Arial" w:hAnsi="Arial" w:cs="Arial"/>
          <w:sz w:val="20"/>
          <w:szCs w:val="20"/>
        </w:rPr>
      </w:pPr>
      <w:r w:rsidRPr="00E80AD2">
        <w:rPr>
          <w:rFonts w:ascii="Arial" w:hAnsi="Arial" w:cs="Arial"/>
          <w:b/>
          <w:bCs/>
          <w:sz w:val="20"/>
          <w:szCs w:val="20"/>
        </w:rPr>
        <w:t>Since 201</w:t>
      </w:r>
      <w:r w:rsidR="003007E0">
        <w:rPr>
          <w:rFonts w:ascii="Arial" w:hAnsi="Arial" w:cs="Arial"/>
          <w:b/>
          <w:bCs/>
          <w:sz w:val="20"/>
          <w:szCs w:val="20"/>
        </w:rPr>
        <w:t>2</w:t>
      </w:r>
      <w:r w:rsidRPr="00E80AD2">
        <w:rPr>
          <w:rFonts w:ascii="Arial" w:hAnsi="Arial" w:cs="Arial"/>
          <w:b/>
          <w:bCs/>
          <w:sz w:val="20"/>
          <w:szCs w:val="20"/>
        </w:rPr>
        <w:t>, the rate of reported syphilis in Essex County has seen an overall increase, with peaks in 2016</w:t>
      </w:r>
      <w:r w:rsidR="003007E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80AD2">
        <w:rPr>
          <w:rFonts w:ascii="Arial" w:hAnsi="Arial" w:cs="Arial"/>
          <w:b/>
          <w:bCs/>
          <w:sz w:val="20"/>
          <w:szCs w:val="20"/>
        </w:rPr>
        <w:t>2019</w:t>
      </w:r>
      <w:r w:rsidR="003007E0">
        <w:rPr>
          <w:rFonts w:ascii="Arial" w:hAnsi="Arial" w:cs="Arial"/>
          <w:b/>
          <w:bCs/>
          <w:sz w:val="20"/>
          <w:szCs w:val="20"/>
        </w:rPr>
        <w:t>, and 2022</w:t>
      </w:r>
      <w:r w:rsidRPr="00E80AD2">
        <w:rPr>
          <w:rFonts w:ascii="Arial" w:hAnsi="Arial" w:cs="Arial"/>
          <w:sz w:val="20"/>
          <w:szCs w:val="20"/>
        </w:rPr>
        <w:t>. In 202</w:t>
      </w:r>
      <w:r w:rsidR="003007E0">
        <w:rPr>
          <w:rFonts w:ascii="Arial" w:hAnsi="Arial" w:cs="Arial"/>
          <w:sz w:val="20"/>
          <w:szCs w:val="20"/>
        </w:rPr>
        <w:t>2</w:t>
      </w:r>
      <w:r w:rsidRPr="00E80AD2">
        <w:rPr>
          <w:rFonts w:ascii="Arial" w:hAnsi="Arial" w:cs="Arial"/>
          <w:sz w:val="20"/>
          <w:szCs w:val="20"/>
        </w:rPr>
        <w:t xml:space="preserve">, </w:t>
      </w:r>
      <w:r w:rsidR="007D1923" w:rsidRPr="00A95970">
        <w:rPr>
          <w:rFonts w:ascii="Arial" w:hAnsi="Arial" w:cs="Arial"/>
          <w:sz w:val="20"/>
          <w:szCs w:val="20"/>
        </w:rPr>
        <w:t>the</w:t>
      </w:r>
      <w:r w:rsidR="0063616B" w:rsidRPr="0063616B">
        <w:rPr>
          <w:rFonts w:ascii="Arial" w:hAnsi="Arial" w:cs="Arial"/>
          <w:sz w:val="20"/>
          <w:szCs w:val="20"/>
        </w:rPr>
        <w:t xml:space="preserve"> </w:t>
      </w:r>
      <w:r w:rsidR="0055657C">
        <w:rPr>
          <w:rFonts w:ascii="Arial" w:hAnsi="Arial" w:cs="Arial"/>
          <w:sz w:val="20"/>
          <w:szCs w:val="20"/>
        </w:rPr>
        <w:t xml:space="preserve">county </w:t>
      </w:r>
      <w:r w:rsidR="0063616B">
        <w:rPr>
          <w:rFonts w:ascii="Arial" w:hAnsi="Arial" w:cs="Arial"/>
          <w:sz w:val="20"/>
          <w:szCs w:val="20"/>
        </w:rPr>
        <w:t>incidence</w:t>
      </w:r>
      <w:r w:rsidR="007D1923" w:rsidRPr="00A95970">
        <w:rPr>
          <w:rFonts w:ascii="Arial" w:hAnsi="Arial" w:cs="Arial"/>
          <w:sz w:val="20"/>
          <w:szCs w:val="20"/>
        </w:rPr>
        <w:t xml:space="preserve"> </w:t>
      </w:r>
      <w:r w:rsidR="007D1923">
        <w:rPr>
          <w:rFonts w:ascii="Arial" w:hAnsi="Arial" w:cs="Arial"/>
          <w:sz w:val="20"/>
          <w:szCs w:val="20"/>
        </w:rPr>
        <w:t xml:space="preserve">rate of </w:t>
      </w:r>
      <w:r w:rsidR="0037220D">
        <w:rPr>
          <w:rFonts w:ascii="Arial" w:hAnsi="Arial" w:cs="Arial"/>
          <w:sz w:val="20"/>
          <w:szCs w:val="20"/>
        </w:rPr>
        <w:t xml:space="preserve">reported </w:t>
      </w:r>
      <w:r w:rsidR="007D1923">
        <w:rPr>
          <w:rFonts w:ascii="Arial" w:hAnsi="Arial" w:cs="Arial"/>
          <w:sz w:val="20"/>
          <w:szCs w:val="20"/>
        </w:rPr>
        <w:t xml:space="preserve">early syphilis infection </w:t>
      </w:r>
      <w:r w:rsidR="007D1923" w:rsidRPr="00173387">
        <w:rPr>
          <w:rFonts w:ascii="Arial" w:hAnsi="Arial" w:cs="Arial"/>
          <w:sz w:val="20"/>
          <w:szCs w:val="20"/>
        </w:rPr>
        <w:t xml:space="preserve">was </w:t>
      </w:r>
      <w:r w:rsidR="003007E0" w:rsidRPr="003007E0">
        <w:rPr>
          <w:rFonts w:ascii="Arial" w:hAnsi="Arial" w:cs="Arial"/>
          <w:sz w:val="20"/>
          <w:szCs w:val="20"/>
        </w:rPr>
        <w:t>17.9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3007E0" w:rsidRPr="003007E0">
        <w:rPr>
          <w:rFonts w:ascii="Arial" w:hAnsi="Arial" w:cs="Arial"/>
          <w:sz w:val="20"/>
          <w:szCs w:val="20"/>
        </w:rPr>
        <w:t>22.7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>per 100,000</w:t>
      </w:r>
      <w:r w:rsidRPr="00D2362D">
        <w:rPr>
          <w:rFonts w:ascii="Arial" w:hAnsi="Arial" w:cs="Arial"/>
          <w:sz w:val="20"/>
          <w:szCs w:val="20"/>
        </w:rPr>
        <w:t xml:space="preserve">. </w:t>
      </w:r>
      <w:r w:rsidR="002622C3">
        <w:rPr>
          <w:rFonts w:ascii="Arial" w:hAnsi="Arial" w:cs="Arial"/>
          <w:sz w:val="20"/>
          <w:szCs w:val="20"/>
        </w:rPr>
        <w:t>These can be compared to the national rate of 41.2 per</w:t>
      </w:r>
      <w:r w:rsidR="002622C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2622C3">
        <w:rPr>
          <w:rFonts w:ascii="Arial" w:hAnsi="Arial" w:cs="Arial"/>
          <w:sz w:val="20"/>
          <w:szCs w:val="20"/>
        </w:rPr>
        <w:t>100,000.</w:t>
      </w:r>
      <w:r w:rsidR="002622C3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2EA21DFE" w14:textId="77777777" w:rsidR="00A14A42" w:rsidRPr="00C66B1B" w:rsidRDefault="00A14A42" w:rsidP="00A14A42">
      <w:pPr>
        <w:rPr>
          <w:rFonts w:ascii="Arial" w:hAnsi="Arial" w:cs="Arial"/>
          <w:sz w:val="20"/>
          <w:szCs w:val="20"/>
        </w:rPr>
      </w:pPr>
    </w:p>
    <w:p w14:paraId="676CCE4B" w14:textId="77777777" w:rsidR="004371F4" w:rsidRDefault="004371F4" w:rsidP="004371F4">
      <w:pPr>
        <w:rPr>
          <w:rFonts w:ascii="Arial" w:hAnsi="Arial" w:cs="Arial"/>
          <w:sz w:val="20"/>
          <w:szCs w:val="20"/>
        </w:rPr>
      </w:pPr>
      <w:r w:rsidRPr="00E80AD2">
        <w:rPr>
          <w:rFonts w:ascii="Arial" w:hAnsi="Arial" w:cs="Arial"/>
          <w:b/>
          <w:bCs/>
          <w:sz w:val="20"/>
          <w:szCs w:val="20"/>
        </w:rPr>
        <w:t xml:space="preserve">The county incidence rate of 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E80AD2">
        <w:rPr>
          <w:rFonts w:ascii="Arial" w:hAnsi="Arial" w:cs="Arial"/>
          <w:b/>
          <w:bCs/>
          <w:sz w:val="20"/>
          <w:szCs w:val="20"/>
        </w:rPr>
        <w:t xml:space="preserve"> was much higher </w:t>
      </w:r>
      <w:r w:rsidRPr="00E80AD2">
        <w:rPr>
          <w:rFonts w:ascii="Arial" w:hAnsi="Arial" w:cs="Arial"/>
          <w:sz w:val="20"/>
          <w:szCs w:val="20"/>
        </w:rPr>
        <w:t xml:space="preserve">compared to the rate among </w:t>
      </w:r>
      <w:r>
        <w:rPr>
          <w:rFonts w:ascii="Arial" w:hAnsi="Arial" w:cs="Arial"/>
          <w:sz w:val="20"/>
          <w:szCs w:val="20"/>
        </w:rPr>
        <w:t>females</w:t>
      </w:r>
      <w:r w:rsidRPr="00E80AD2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E80AD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E80AD2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>85.5</w:t>
      </w:r>
      <w:r w:rsidRPr="00E80AD2">
        <w:rPr>
          <w:rFonts w:ascii="Arial" w:hAnsi="Arial" w:cs="Arial"/>
          <w:sz w:val="20"/>
          <w:szCs w:val="20"/>
        </w:rPr>
        <w:t xml:space="preserve">% of all early syphilis cases in Essex County, with a rate of </w:t>
      </w:r>
      <w:r w:rsidRPr="003007E0">
        <w:rPr>
          <w:rFonts w:ascii="Arial" w:hAnsi="Arial" w:cs="Arial"/>
          <w:sz w:val="20"/>
          <w:szCs w:val="20"/>
        </w:rPr>
        <w:t>31.8</w:t>
      </w:r>
      <w:r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 xml:space="preserve">per 100,000 that was </w:t>
      </w:r>
      <w:r>
        <w:rPr>
          <w:rFonts w:ascii="Arial" w:hAnsi="Arial" w:cs="Arial"/>
          <w:sz w:val="20"/>
          <w:szCs w:val="20"/>
        </w:rPr>
        <w:t>six</w:t>
      </w:r>
      <w:r w:rsidRPr="00E80AD2">
        <w:rPr>
          <w:rFonts w:ascii="Arial" w:hAnsi="Arial" w:cs="Arial"/>
          <w:sz w:val="20"/>
          <w:szCs w:val="20"/>
        </w:rPr>
        <w:t xml:space="preserve"> times that of </w:t>
      </w:r>
      <w:r>
        <w:rPr>
          <w:rFonts w:ascii="Arial" w:hAnsi="Arial" w:cs="Arial"/>
          <w:sz w:val="20"/>
          <w:szCs w:val="20"/>
        </w:rPr>
        <w:t>females</w:t>
      </w:r>
      <w:r w:rsidRPr="00E80AD2">
        <w:rPr>
          <w:rFonts w:ascii="Arial" w:hAnsi="Arial" w:cs="Arial"/>
          <w:sz w:val="20"/>
          <w:szCs w:val="20"/>
        </w:rPr>
        <w:t xml:space="preserve"> (</w:t>
      </w:r>
      <w:r w:rsidRPr="003007E0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>per 100,000).</w:t>
      </w:r>
    </w:p>
    <w:p w14:paraId="0D6B9ABA" w14:textId="77777777" w:rsidR="00794F6B" w:rsidRDefault="00794F6B" w:rsidP="00A14A42">
      <w:pPr>
        <w:rPr>
          <w:rFonts w:ascii="Arial" w:hAnsi="Arial" w:cs="Arial"/>
          <w:b/>
          <w:bCs/>
          <w:sz w:val="20"/>
          <w:szCs w:val="20"/>
        </w:rPr>
      </w:pPr>
    </w:p>
    <w:p w14:paraId="5DAC7BF6" w14:textId="77777777" w:rsidR="00794F6B" w:rsidRDefault="00794F6B" w:rsidP="00A14A42">
      <w:pPr>
        <w:rPr>
          <w:rFonts w:ascii="Arial" w:hAnsi="Arial" w:cs="Arial"/>
          <w:b/>
          <w:bCs/>
          <w:sz w:val="20"/>
          <w:szCs w:val="20"/>
        </w:rPr>
      </w:pPr>
    </w:p>
    <w:p w14:paraId="09C2A04E" w14:textId="267CDACA" w:rsidR="00794F6B" w:rsidRDefault="00794F6B" w:rsidP="009F45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EE24E3A" wp14:editId="5C798040">
            <wp:extent cx="5321300" cy="3060700"/>
            <wp:effectExtent l="0" t="0" r="0" b="6350"/>
            <wp:docPr id="1307243058" name="Picture 3" descr="Incidence rate of early syphilis cases per 100,000 population by sex, Essex County, MA, 2012–2022.&#10;&#10;Graph above depicts syphilis rates (per 100,000) in MA and Essex County by sex between 2012 and 2022. There are four lines: (1) MA rates begins at 8.4&#10;and finishes at 22.7; (2) Essex County rates begins at 5.4 and finishes at 17.9; (3) Essex female rates begin at 0.0 and finishes at 5.0; (4) Essex male rates begin at 11.2 and finish at 31.8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43058" name="Picture 3" descr="Incidence rate of early syphilis cases per 100,000 population by sex, Essex County, MA, 2012–2022.&#10;&#10;Graph above depicts syphilis rates (per 100,000) in MA and Essex County by sex between 2012 and 2022. There are four lines: (1) MA rates begins at 8.4&#10;and finishes at 22.7; (2) Essex County rates begins at 5.4 and finishes at 17.9; (3) Essex female rates begin at 0.0 and finishes at 5.0; (4) Essex male rates begin at 11.2 and finish at 31.8.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DC4E5" w14:textId="77777777" w:rsidR="00794F6B" w:rsidRDefault="00794F6B" w:rsidP="00A14A42">
      <w:pPr>
        <w:rPr>
          <w:rFonts w:ascii="Arial" w:hAnsi="Arial" w:cs="Arial"/>
          <w:b/>
          <w:bCs/>
          <w:sz w:val="20"/>
          <w:szCs w:val="20"/>
        </w:rPr>
      </w:pPr>
    </w:p>
    <w:p w14:paraId="0955EFBE" w14:textId="77777777" w:rsidR="00E103E7" w:rsidRPr="00A95970" w:rsidRDefault="00E103E7" w:rsidP="00E103E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0DB0173" w14:textId="77777777" w:rsidR="00E103E7" w:rsidRPr="00A95970" w:rsidRDefault="00E103E7" w:rsidP="00E103E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210465B4" w14:textId="3D4A424C" w:rsidR="00794F6B" w:rsidRDefault="00E103E7" w:rsidP="00A14A42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56B48C07" w14:textId="77777777" w:rsidR="004371F4" w:rsidRDefault="004371F4" w:rsidP="00A14A42">
      <w:pPr>
        <w:rPr>
          <w:rFonts w:ascii="Arial" w:hAnsi="Arial" w:cs="Arial"/>
          <w:sz w:val="20"/>
          <w:szCs w:val="20"/>
        </w:rPr>
      </w:pPr>
    </w:p>
    <w:p w14:paraId="6CBC0D54" w14:textId="290EC1BA" w:rsidR="00E858B3" w:rsidRDefault="00A14A42" w:rsidP="0016162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E80AD2">
        <w:rPr>
          <w:rFonts w:ascii="Arial" w:hAnsi="Arial" w:cs="Arial"/>
          <w:b/>
          <w:bCs/>
          <w:sz w:val="20"/>
          <w:szCs w:val="20"/>
        </w:rPr>
        <w:t>n 202</w:t>
      </w:r>
      <w:r w:rsidR="003007E0">
        <w:rPr>
          <w:rFonts w:ascii="Arial" w:hAnsi="Arial" w:cs="Arial"/>
          <w:b/>
          <w:bCs/>
          <w:sz w:val="20"/>
          <w:szCs w:val="20"/>
        </w:rPr>
        <w:t>2</w:t>
      </w:r>
      <w:r w:rsidRPr="00E80AD2">
        <w:rPr>
          <w:rFonts w:ascii="Arial" w:hAnsi="Arial" w:cs="Arial"/>
          <w:b/>
          <w:bCs/>
          <w:sz w:val="20"/>
          <w:szCs w:val="20"/>
        </w:rPr>
        <w:t xml:space="preserve">, the highest incidence rate of early syphilis in Essex County was reported among </w:t>
      </w:r>
      <w:r w:rsidR="003007E0">
        <w:rPr>
          <w:rFonts w:ascii="Arial" w:hAnsi="Arial" w:cs="Arial"/>
          <w:b/>
          <w:bCs/>
          <w:sz w:val="20"/>
          <w:szCs w:val="20"/>
        </w:rPr>
        <w:t>30</w:t>
      </w:r>
      <w:r w:rsidR="00E103E7">
        <w:rPr>
          <w:rFonts w:ascii="Arial" w:hAnsi="Arial" w:cs="Arial"/>
          <w:b/>
          <w:bCs/>
          <w:sz w:val="20"/>
          <w:szCs w:val="20"/>
        </w:rPr>
        <w:t>-</w:t>
      </w:r>
      <w:r w:rsidRPr="00E80AD2">
        <w:rPr>
          <w:rFonts w:ascii="Arial" w:hAnsi="Arial" w:cs="Arial"/>
          <w:b/>
          <w:bCs/>
          <w:sz w:val="20"/>
          <w:szCs w:val="20"/>
        </w:rPr>
        <w:t>to</w:t>
      </w:r>
      <w:r w:rsidR="00E103E7">
        <w:rPr>
          <w:rFonts w:ascii="Arial" w:hAnsi="Arial" w:cs="Arial"/>
          <w:b/>
          <w:bCs/>
          <w:sz w:val="20"/>
          <w:szCs w:val="20"/>
        </w:rPr>
        <w:t>-</w:t>
      </w:r>
      <w:r w:rsidR="007903FD">
        <w:rPr>
          <w:rFonts w:ascii="Arial" w:hAnsi="Arial" w:cs="Arial"/>
          <w:b/>
          <w:bCs/>
          <w:sz w:val="20"/>
          <w:szCs w:val="20"/>
        </w:rPr>
        <w:t>34</w:t>
      </w:r>
      <w:r w:rsidR="007903FD">
        <w:rPr>
          <w:rFonts w:ascii="Arial" w:hAnsi="Arial" w:cs="Arial"/>
          <w:b/>
          <w:bCs/>
          <w:sz w:val="20"/>
          <w:szCs w:val="20"/>
        </w:rPr>
        <w:t>-</w:t>
      </w:r>
      <w:r w:rsidRPr="00E80AD2">
        <w:rPr>
          <w:rFonts w:ascii="Arial" w:hAnsi="Arial" w:cs="Arial"/>
          <w:b/>
          <w:bCs/>
          <w:sz w:val="20"/>
          <w:szCs w:val="20"/>
        </w:rPr>
        <w:t>year-olds</w:t>
      </w:r>
      <w:r w:rsidRPr="00E80AD2">
        <w:rPr>
          <w:rFonts w:ascii="Arial" w:hAnsi="Arial" w:cs="Arial"/>
          <w:sz w:val="20"/>
          <w:szCs w:val="20"/>
        </w:rPr>
        <w:t xml:space="preserve"> (</w:t>
      </w:r>
      <w:r w:rsidR="003007E0" w:rsidRPr="003007E0">
        <w:rPr>
          <w:rFonts w:ascii="Arial" w:hAnsi="Arial" w:cs="Arial"/>
          <w:sz w:val="20"/>
          <w:szCs w:val="20"/>
        </w:rPr>
        <w:t>62.7</w:t>
      </w:r>
      <w:r w:rsidR="003007E0">
        <w:rPr>
          <w:rFonts w:ascii="Arial" w:hAnsi="Arial" w:cs="Arial"/>
          <w:sz w:val="20"/>
          <w:szCs w:val="20"/>
        </w:rPr>
        <w:t xml:space="preserve"> </w:t>
      </w:r>
      <w:r w:rsidRPr="00E80AD2">
        <w:rPr>
          <w:rFonts w:ascii="Arial" w:hAnsi="Arial" w:cs="Arial"/>
          <w:sz w:val="20"/>
          <w:szCs w:val="20"/>
        </w:rPr>
        <w:t>per 100,000).</w:t>
      </w:r>
    </w:p>
    <w:p w14:paraId="6A274CEE" w14:textId="77777777" w:rsidR="00794F6B" w:rsidRDefault="00794F6B" w:rsidP="0016162E">
      <w:pPr>
        <w:rPr>
          <w:rFonts w:ascii="Arial" w:hAnsi="Arial" w:cs="Arial"/>
          <w:b/>
          <w:bCs/>
          <w:sz w:val="20"/>
          <w:szCs w:val="20"/>
        </w:rPr>
      </w:pPr>
    </w:p>
    <w:p w14:paraId="73A9F6E3" w14:textId="57E89F82" w:rsidR="00D2362D" w:rsidRDefault="005D467C" w:rsidP="00367446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23C2508" wp14:editId="17599A50">
            <wp:extent cx="6785610" cy="1856740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–29-year-old age group, which shifted to the 35–39-year-old age group by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–29-year-old age group, which shifted to the 35–39-year-old age group by 2022. &#10;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8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BB239" w14:textId="77777777" w:rsidR="003007E0" w:rsidRPr="00A95970" w:rsidRDefault="003007E0" w:rsidP="003007E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66911A15" w14:textId="77777777" w:rsidR="003007E0" w:rsidRPr="00A95970" w:rsidRDefault="003007E0" w:rsidP="003007E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2F118072" w14:textId="2DF0DA11" w:rsidR="000220DC" w:rsidRDefault="002622C3" w:rsidP="002622C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E103E7">
        <w:rPr>
          <w:rFonts w:ascii="Arial" w:hAnsi="Arial" w:cs="Arial"/>
          <w:sz w:val="16"/>
          <w:szCs w:val="16"/>
        </w:rPr>
        <w:t>.</w:t>
      </w:r>
    </w:p>
    <w:p w14:paraId="171E30BA" w14:textId="77777777" w:rsidR="0037220D" w:rsidRDefault="0037220D" w:rsidP="002622C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A0730A5" w14:textId="71B71143" w:rsidR="002622C3" w:rsidRDefault="002622C3" w:rsidP="002622C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360D5439" w14:textId="77777777" w:rsidR="00394B0E" w:rsidRDefault="00394B0E" w:rsidP="00394B0E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re-opened following the end of the COVID-19 public health emergency.</w:t>
      </w:r>
    </w:p>
    <w:p w14:paraId="5B784D27" w14:textId="77777777" w:rsidR="002622C3" w:rsidRDefault="002622C3" w:rsidP="002622C3">
      <w:pPr>
        <w:rPr>
          <w:rFonts w:ascii="Arial" w:hAnsi="Arial" w:cs="Arial"/>
          <w:sz w:val="20"/>
          <w:szCs w:val="20"/>
        </w:rPr>
      </w:pPr>
    </w:p>
    <w:p w14:paraId="3134B3DA" w14:textId="0395678C" w:rsidR="002622C3" w:rsidRDefault="002622C3" w:rsidP="002622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E858B3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DE46E23" w14:textId="77777777" w:rsidR="002622C3" w:rsidRDefault="002622C3" w:rsidP="002622C3">
      <w:pPr>
        <w:rPr>
          <w:rFonts w:ascii="Arial" w:hAnsi="Arial" w:cs="Arial"/>
          <w:sz w:val="20"/>
          <w:szCs w:val="20"/>
        </w:rPr>
      </w:pPr>
    </w:p>
    <w:p w14:paraId="4F621A8B" w14:textId="2DA592B6" w:rsidR="002622C3" w:rsidRDefault="008644E3" w:rsidP="002622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</w:t>
      </w:r>
      <w:r>
        <w:rPr>
          <w:rFonts w:ascii="Arial" w:hAnsi="Arial" w:cs="Arial"/>
          <w:sz w:val="20"/>
          <w:szCs w:val="20"/>
        </w:rPr>
        <w:t>. From 2017 to 2022, a range of 25% (in 2022) to 37% (in 2017) of early syphilis cases were co-infected with HIV. In 2020, 2021, and 2022 congenital syphilis cases numbered 10, 9, and 11, respectively, after remaining between 0 and 4 from 2011 to 2018.</w:t>
      </w:r>
    </w:p>
    <w:p w14:paraId="23B9450A" w14:textId="77777777" w:rsidR="0093586C" w:rsidRDefault="0093586C" w:rsidP="007D1923">
      <w:pPr>
        <w:spacing w:after="120"/>
        <w:rPr>
          <w:rFonts w:ascii="Arial" w:hAnsi="Arial" w:cs="Arial"/>
          <w:sz w:val="16"/>
          <w:szCs w:val="16"/>
        </w:rPr>
      </w:pPr>
    </w:p>
    <w:p w14:paraId="140313E3" w14:textId="01689218" w:rsidR="007D1923" w:rsidRDefault="007D1923" w:rsidP="007D1923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</w:p>
    <w:p w14:paraId="551EA289" w14:textId="114F318B" w:rsidR="007D1923" w:rsidRDefault="007D1923" w:rsidP="007D19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01CA754B" w14:textId="3BAE6490" w:rsidR="00DF2063" w:rsidRPr="004371F4" w:rsidRDefault="00DF2063" w:rsidP="00DF2063">
      <w:pPr>
        <w:rPr>
          <w:rFonts w:ascii="Arial" w:hAnsi="Arial" w:cs="Arial"/>
          <w:sz w:val="16"/>
          <w:szCs w:val="16"/>
        </w:rPr>
      </w:pPr>
      <w:r w:rsidRPr="00DF2063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134E4F05" w14:textId="262C5EB7" w:rsidR="007D1923" w:rsidRDefault="007D1923" w:rsidP="007D19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6F5D72AB" w14:textId="7D1838A3" w:rsidR="00367446" w:rsidRPr="004371F4" w:rsidRDefault="00DF2063" w:rsidP="0016162E">
      <w:pPr>
        <w:rPr>
          <w:rFonts w:ascii="Arial" w:hAnsi="Arial" w:cs="Arial"/>
          <w:sz w:val="16"/>
          <w:szCs w:val="16"/>
        </w:rPr>
      </w:pPr>
      <w:r w:rsidRPr="00DF2063">
        <w:rPr>
          <w:rFonts w:ascii="Arial" w:hAnsi="Arial" w:cs="Arial"/>
          <w:sz w:val="16"/>
          <w:szCs w:val="16"/>
          <w:vertAlign w:val="superscript"/>
        </w:rPr>
        <w:t>¶</w:t>
      </w:r>
      <w:r w:rsidR="007D1923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4371F4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6624B" w14:textId="77777777" w:rsidR="00384AA1" w:rsidRDefault="00384AA1" w:rsidP="0018731B">
      <w:r>
        <w:separator/>
      </w:r>
    </w:p>
  </w:endnote>
  <w:endnote w:type="continuationSeparator" w:id="0">
    <w:p w14:paraId="2414F885" w14:textId="77777777" w:rsidR="00384AA1" w:rsidRDefault="00384AA1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A477" w14:textId="77777777" w:rsidR="00384AA1" w:rsidRDefault="00384AA1" w:rsidP="0018731B">
      <w:r>
        <w:separator/>
      </w:r>
    </w:p>
  </w:footnote>
  <w:footnote w:type="continuationSeparator" w:id="0">
    <w:p w14:paraId="4D96821F" w14:textId="77777777" w:rsidR="00384AA1" w:rsidRDefault="00384AA1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6021778">
    <w:abstractNumId w:val="0"/>
  </w:num>
  <w:num w:numId="2" w16cid:durableId="409815664">
    <w:abstractNumId w:val="3"/>
  </w:num>
  <w:num w:numId="3" w16cid:durableId="78910727">
    <w:abstractNumId w:val="2"/>
  </w:num>
  <w:num w:numId="4" w16cid:durableId="171083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220DC"/>
    <w:rsid w:val="000F2A7E"/>
    <w:rsid w:val="000F3605"/>
    <w:rsid w:val="00116316"/>
    <w:rsid w:val="00124A2B"/>
    <w:rsid w:val="001251B0"/>
    <w:rsid w:val="0016162E"/>
    <w:rsid w:val="00166705"/>
    <w:rsid w:val="00173387"/>
    <w:rsid w:val="0018731B"/>
    <w:rsid w:val="001A4145"/>
    <w:rsid w:val="001B3438"/>
    <w:rsid w:val="001B6AC3"/>
    <w:rsid w:val="001D11CE"/>
    <w:rsid w:val="002622C3"/>
    <w:rsid w:val="00285826"/>
    <w:rsid w:val="002D2AA8"/>
    <w:rsid w:val="002F1258"/>
    <w:rsid w:val="003007E0"/>
    <w:rsid w:val="003443C5"/>
    <w:rsid w:val="003662DB"/>
    <w:rsid w:val="00367446"/>
    <w:rsid w:val="0037220D"/>
    <w:rsid w:val="00384AA1"/>
    <w:rsid w:val="00394B0E"/>
    <w:rsid w:val="003F0556"/>
    <w:rsid w:val="004371F4"/>
    <w:rsid w:val="00447A9E"/>
    <w:rsid w:val="004849AC"/>
    <w:rsid w:val="004926E5"/>
    <w:rsid w:val="004A5D68"/>
    <w:rsid w:val="0055657C"/>
    <w:rsid w:val="005A30DC"/>
    <w:rsid w:val="005D467C"/>
    <w:rsid w:val="005F5600"/>
    <w:rsid w:val="006217EB"/>
    <w:rsid w:val="0063616B"/>
    <w:rsid w:val="00661836"/>
    <w:rsid w:val="00680249"/>
    <w:rsid w:val="006A5E3C"/>
    <w:rsid w:val="006E4764"/>
    <w:rsid w:val="0070539D"/>
    <w:rsid w:val="00755AD7"/>
    <w:rsid w:val="007903FD"/>
    <w:rsid w:val="00794F6B"/>
    <w:rsid w:val="007A72A6"/>
    <w:rsid w:val="007B58A6"/>
    <w:rsid w:val="007D1923"/>
    <w:rsid w:val="007D5912"/>
    <w:rsid w:val="00821FA8"/>
    <w:rsid w:val="008644E3"/>
    <w:rsid w:val="0092297C"/>
    <w:rsid w:val="0093586C"/>
    <w:rsid w:val="009A04F1"/>
    <w:rsid w:val="009C77CD"/>
    <w:rsid w:val="009F4501"/>
    <w:rsid w:val="00A00EE2"/>
    <w:rsid w:val="00A14A42"/>
    <w:rsid w:val="00A15DDF"/>
    <w:rsid w:val="00A70502"/>
    <w:rsid w:val="00A82668"/>
    <w:rsid w:val="00A83E04"/>
    <w:rsid w:val="00A95970"/>
    <w:rsid w:val="00AC7150"/>
    <w:rsid w:val="00B714FC"/>
    <w:rsid w:val="00B842B5"/>
    <w:rsid w:val="00B97BC5"/>
    <w:rsid w:val="00BD767B"/>
    <w:rsid w:val="00BF22BE"/>
    <w:rsid w:val="00C012A8"/>
    <w:rsid w:val="00C33851"/>
    <w:rsid w:val="00C45337"/>
    <w:rsid w:val="00C50C59"/>
    <w:rsid w:val="00C66B1B"/>
    <w:rsid w:val="00CE455E"/>
    <w:rsid w:val="00D05411"/>
    <w:rsid w:val="00D2362D"/>
    <w:rsid w:val="00D3255A"/>
    <w:rsid w:val="00D932F1"/>
    <w:rsid w:val="00DB39FA"/>
    <w:rsid w:val="00DE6DCC"/>
    <w:rsid w:val="00DF2063"/>
    <w:rsid w:val="00E07ABD"/>
    <w:rsid w:val="00E103E7"/>
    <w:rsid w:val="00E20CB4"/>
    <w:rsid w:val="00E7337F"/>
    <w:rsid w:val="00E858B3"/>
    <w:rsid w:val="00EB295A"/>
    <w:rsid w:val="00EB762B"/>
    <w:rsid w:val="00EB7C60"/>
    <w:rsid w:val="00ED7C90"/>
    <w:rsid w:val="00EE5BB8"/>
    <w:rsid w:val="00F15743"/>
    <w:rsid w:val="00F4464D"/>
    <w:rsid w:val="00F522FB"/>
    <w:rsid w:val="00FC4D39"/>
    <w:rsid w:val="00FC5164"/>
    <w:rsid w:val="00FD4EBC"/>
    <w:rsid w:val="00FE3788"/>
    <w:rsid w:val="0241D09D"/>
    <w:rsid w:val="0D45E238"/>
    <w:rsid w:val="1571893B"/>
    <w:rsid w:val="1796C510"/>
    <w:rsid w:val="196D027B"/>
    <w:rsid w:val="2318BBF4"/>
    <w:rsid w:val="29E60AEE"/>
    <w:rsid w:val="3AE6B61D"/>
    <w:rsid w:val="42844AF5"/>
    <w:rsid w:val="5015620C"/>
    <w:rsid w:val="5492335D"/>
    <w:rsid w:val="55764DEE"/>
    <w:rsid w:val="57B0ABC2"/>
    <w:rsid w:val="5EC82D85"/>
    <w:rsid w:val="739DA425"/>
    <w:rsid w:val="76A5A0EA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2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Essex County; 2022</cp:keywords>
  <dc:description/>
  <cp:lastModifiedBy>Prior, David A (DPH)</cp:lastModifiedBy>
  <cp:revision>18</cp:revision>
  <dcterms:created xsi:type="dcterms:W3CDTF">2024-08-02T19:54:00Z</dcterms:created>
  <dcterms:modified xsi:type="dcterms:W3CDTF">2024-09-13T17:32:00Z</dcterms:modified>
</cp:coreProperties>
</file>