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C6BB2" w14:textId="77777777" w:rsidR="008B1C57" w:rsidRPr="007A1843" w:rsidRDefault="008B1C57" w:rsidP="007A1843">
      <w:pPr>
        <w:pStyle w:val="Title"/>
      </w:pPr>
      <w:r w:rsidRPr="007A1843">
        <w:t>Massachusetts Department of Public Health, Bureau of Infectious Disease and Laboratory Sciences</w:t>
      </w:r>
    </w:p>
    <w:p w14:paraId="32CC832D" w14:textId="642648DB" w:rsidR="008B1C57" w:rsidRPr="007A1843" w:rsidRDefault="008B1C57" w:rsidP="007A1843">
      <w:pPr>
        <w:pStyle w:val="Subtitle"/>
      </w:pPr>
      <w:r w:rsidRPr="007A1843">
        <w:t>Summary for Essex County, Massachusetts, 2024</w:t>
      </w:r>
    </w:p>
    <w:p w14:paraId="746E28BB" w14:textId="6C16BFF1" w:rsidR="008B1C57" w:rsidRDefault="00CA21FB" w:rsidP="008B1C57">
      <w:pPr>
        <w:rPr>
          <w:rFonts w:ascii="Arial" w:hAnsi="Arial" w:cs="Arial"/>
          <w:sz w:val="20"/>
          <w:szCs w:val="20"/>
        </w:rPr>
      </w:pPr>
      <w:r w:rsidRPr="00CA21FB">
        <w:rPr>
          <w:rFonts w:ascii="Arial" w:hAnsi="Arial" w:cs="Arial"/>
          <w:sz w:val="20"/>
          <w:szCs w:val="20"/>
        </w:rPr>
        <w:t xml:space="preserve">Essex County, located in northeastern Massachusetts, was established in 1643 and encompasses urban, suburban, and coastal communities from the Merrimack Valley to Cape Ann. As of July 1, 2024, it has an estimated population of 823,938, up from 809,940 at the 2020 Census. </w:t>
      </w:r>
      <w:r w:rsidR="003711D2">
        <w:rPr>
          <w:rFonts w:ascii="Arial" w:hAnsi="Arial" w:cs="Arial"/>
          <w:sz w:val="20"/>
          <w:szCs w:val="20"/>
        </w:rPr>
        <w:t>As of 2024, t</w:t>
      </w:r>
      <w:r w:rsidRPr="00CA21FB">
        <w:rPr>
          <w:rFonts w:ascii="Arial" w:hAnsi="Arial" w:cs="Arial"/>
          <w:sz w:val="20"/>
          <w:szCs w:val="20"/>
        </w:rPr>
        <w:t>he population is predominantly White, with 82.7% identifying as White alone. Other racial and ethnic groups include Black or African American alone (8.5%), Asian alone (4.3%), American Indian and Alaska Native alone (1.2%), Native Hawaiian and Other Pacific Islander alone (0.2%), and individuals reporting two or more races (3.2%). Hispanic or Latino residents make up about 25.7% of the population. In the county, 20.6% of residents are under 18 years old and 19.4% are 65 years and over. In comparison, Massachusetts’ population has 19.0% under 18 years old and 18.7% aged 65 and over. The county also exhibits a slightly higher proportion of females compared to males, with approximately 51.4% of the population identifying as female.¹ </w:t>
      </w:r>
    </w:p>
    <w:p w14:paraId="20DFBE23" w14:textId="77777777" w:rsidR="00CA21FB" w:rsidRDefault="00CA21FB" w:rsidP="008B1C57">
      <w:pPr>
        <w:rPr>
          <w:rFonts w:ascii="Arial" w:hAnsi="Arial" w:cs="Arial"/>
          <w:sz w:val="20"/>
          <w:szCs w:val="20"/>
        </w:rPr>
      </w:pPr>
    </w:p>
    <w:p w14:paraId="1F2EB367" w14:textId="20596E99" w:rsidR="008B1C57" w:rsidRPr="007A1843" w:rsidRDefault="008B1C57" w:rsidP="007A1843">
      <w:pPr>
        <w:pStyle w:val="Heading1"/>
      </w:pPr>
      <w:r w:rsidRPr="007A1843">
        <w:t>Quick Stats</w:t>
      </w:r>
    </w:p>
    <w:p w14:paraId="4233AAF7" w14:textId="3C11F9FE" w:rsidR="00FA78F9" w:rsidRPr="00517A50" w:rsidRDefault="00FA78F9" w:rsidP="008B1C57">
      <w:pPr>
        <w:rPr>
          <w:rFonts w:ascii="Arial" w:hAnsi="Arial" w:cs="Arial"/>
          <w:b/>
          <w:bCs/>
          <w:sz w:val="20"/>
          <w:szCs w:val="20"/>
          <w:u w:val="single"/>
        </w:rPr>
      </w:pPr>
      <w:r>
        <w:rPr>
          <w:noProof/>
        </w:rPr>
        <w:drawing>
          <wp:inline distT="0" distB="0" distL="0" distR="0" wp14:anchorId="6E424EC1" wp14:editId="154356F7">
            <wp:extent cx="6858000" cy="1050925"/>
            <wp:effectExtent l="0" t="0" r="0" b="0"/>
            <wp:docPr id="254078716" name="Picture 1" descr="Table shows counts and rates per 100,000 of chlamydia, gonorrhea, and infectious syphilis cases in Essex County for 2015, 2023, and 2024, as well as counts and rates statewide and nationally for 2024. Additionally, the table includes percent change calculations for all three STIs comparing rates from 2023 to 2024 and 2015 to 2024 in Essex County. From 2023 to 2024, Essex County saw a 3.5% decrease in chlamydia rate, a 11.4% decrease in gonorrhea rate, and a 7.9% increase in infectious syphilis rate. From 2015 to 2024, Essex County saw a 5.5% increase in chlamydia rate, a 186.7% increase in gonorrhea rate, and a 192.9% increase in infectious syphilis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50925"/>
                    </a:xfrm>
                    <a:prstGeom prst="rect">
                      <a:avLst/>
                    </a:prstGeom>
                    <a:noFill/>
                    <a:ln>
                      <a:noFill/>
                    </a:ln>
                  </pic:spPr>
                </pic:pic>
              </a:graphicData>
            </a:graphic>
          </wp:inline>
        </w:drawing>
      </w:r>
    </w:p>
    <w:p w14:paraId="5DA54C36" w14:textId="77777777" w:rsidR="008B1C57" w:rsidRPr="00364785" w:rsidRDefault="008B1C57" w:rsidP="008B1C57">
      <w:pPr>
        <w:rPr>
          <w:rFonts w:ascii="Arial" w:hAnsi="Arial" w:cs="Arial"/>
          <w:sz w:val="12"/>
          <w:szCs w:val="12"/>
        </w:rPr>
      </w:pPr>
      <w:r w:rsidRPr="00364785">
        <w:rPr>
          <w:rFonts w:ascii="Arial" w:hAnsi="Arial" w:cs="Arial"/>
          <w:sz w:val="12"/>
          <w:szCs w:val="12"/>
        </w:rPr>
        <w:t xml:space="preserve">Data are current as of </w:t>
      </w:r>
      <w:r>
        <w:rPr>
          <w:rFonts w:ascii="Arial" w:hAnsi="Arial" w:cs="Arial"/>
          <w:sz w:val="12"/>
          <w:szCs w:val="12"/>
        </w:rPr>
        <w:t>6</w:t>
      </w:r>
      <w:r w:rsidRPr="00364785">
        <w:rPr>
          <w:rFonts w:ascii="Arial" w:hAnsi="Arial" w:cs="Arial"/>
          <w:sz w:val="12"/>
          <w:szCs w:val="12"/>
        </w:rPr>
        <w:t>/</w:t>
      </w:r>
      <w:r>
        <w:rPr>
          <w:rFonts w:ascii="Arial" w:hAnsi="Arial" w:cs="Arial"/>
          <w:sz w:val="12"/>
          <w:szCs w:val="12"/>
        </w:rPr>
        <w:t>02</w:t>
      </w:r>
      <w:r w:rsidRPr="00364785">
        <w:rPr>
          <w:rFonts w:ascii="Arial" w:hAnsi="Arial" w:cs="Arial"/>
          <w:sz w:val="12"/>
          <w:szCs w:val="12"/>
        </w:rPr>
        <w:t>/202</w:t>
      </w:r>
      <w:r>
        <w:rPr>
          <w:rFonts w:ascii="Arial" w:hAnsi="Arial" w:cs="Arial"/>
          <w:sz w:val="12"/>
          <w:szCs w:val="12"/>
        </w:rPr>
        <w:t>5</w:t>
      </w:r>
      <w:r w:rsidRPr="00364785">
        <w:rPr>
          <w:rFonts w:ascii="Arial" w:hAnsi="Arial" w:cs="Arial"/>
          <w:sz w:val="12"/>
          <w:szCs w:val="12"/>
        </w:rPr>
        <w:t xml:space="preserve"> and are subject to change. </w:t>
      </w:r>
    </w:p>
    <w:p w14:paraId="29698CA2" w14:textId="77777777" w:rsidR="008B1C57" w:rsidRPr="00364785" w:rsidRDefault="008B1C57" w:rsidP="008B1C57">
      <w:pPr>
        <w:rPr>
          <w:rFonts w:ascii="Arial" w:hAnsi="Arial" w:cs="Arial"/>
          <w:sz w:val="12"/>
          <w:szCs w:val="12"/>
        </w:rPr>
      </w:pPr>
      <w:r w:rsidRPr="00364785">
        <w:rPr>
          <w:rFonts w:ascii="Arial" w:hAnsi="Arial" w:cs="Arial"/>
          <w:sz w:val="12"/>
          <w:szCs w:val="12"/>
        </w:rPr>
        <w:t>Population denominators: Strate S, et al. Small Area Population Estimates for 2011 through 2020 report, Oct 2016.</w:t>
      </w:r>
    </w:p>
    <w:p w14:paraId="5144F499" w14:textId="77777777" w:rsidR="008B1C57" w:rsidRPr="00292807" w:rsidRDefault="008B1C57" w:rsidP="008B1C57">
      <w:pPr>
        <w:rPr>
          <w:rFonts w:ascii="Arial" w:hAnsi="Arial" w:cs="Arial"/>
          <w:sz w:val="12"/>
          <w:szCs w:val="12"/>
        </w:rPr>
      </w:pPr>
      <w:r w:rsidRPr="00364785">
        <w:rPr>
          <w:rFonts w:ascii="Arial" w:hAnsi="Arial" w:cs="Arial"/>
          <w:sz w:val="12"/>
          <w:szCs w:val="12"/>
        </w:rPr>
        <w:t>Data source: Massachusetts Department of Public Health/Bureau of Infectious Disease and Laboratory Sciences/Division of STD Prevention.</w:t>
      </w:r>
    </w:p>
    <w:p w14:paraId="5D6871F0" w14:textId="77777777" w:rsidR="008B1C57" w:rsidRPr="00FC5164" w:rsidRDefault="008B1C57" w:rsidP="008B1C57">
      <w:pPr>
        <w:rPr>
          <w:rFonts w:ascii="Arial" w:hAnsi="Arial" w:cs="Arial"/>
        </w:rPr>
      </w:pPr>
    </w:p>
    <w:p w14:paraId="3FA6325D" w14:textId="77777777" w:rsidR="00813D80" w:rsidRPr="00E07ABD" w:rsidRDefault="00813D80" w:rsidP="007A1843">
      <w:pPr>
        <w:pStyle w:val="Heading1"/>
      </w:pPr>
      <w:r w:rsidRPr="00E07ABD">
        <w:t>Chlamydia</w:t>
      </w:r>
      <w:r>
        <w:t xml:space="preserve"> </w:t>
      </w:r>
    </w:p>
    <w:p w14:paraId="65E6FCB0" w14:textId="3B8860C2" w:rsidR="00813D80" w:rsidRPr="00403834" w:rsidRDefault="00813D80" w:rsidP="47853717">
      <w:pPr>
        <w:rPr>
          <w:rFonts w:ascii="Arial" w:hAnsi="Arial" w:cs="Arial"/>
          <w:sz w:val="20"/>
          <w:szCs w:val="20"/>
          <w:vertAlign w:val="superscript"/>
        </w:rPr>
      </w:pPr>
      <w:r w:rsidRPr="47853717">
        <w:rPr>
          <w:rFonts w:ascii="Arial" w:hAnsi="Arial" w:cs="Arial"/>
          <w:sz w:val="20"/>
          <w:szCs w:val="20"/>
        </w:rPr>
        <w:t>Chlamydia has the highest reported incidence among STIs in Massachusetts and nationally</w:t>
      </w:r>
      <w:r w:rsidR="00195EBB" w:rsidRPr="47853717">
        <w:rPr>
          <w:rFonts w:ascii="Arial" w:hAnsi="Arial" w:cs="Arial"/>
          <w:sz w:val="20"/>
          <w:szCs w:val="20"/>
        </w:rPr>
        <w:t>.</w:t>
      </w:r>
      <w:r w:rsidRPr="47853717">
        <w:rPr>
          <w:rFonts w:ascii="Arial" w:hAnsi="Arial" w:cs="Arial"/>
          <w:sz w:val="20"/>
          <w:szCs w:val="20"/>
        </w:rPr>
        <w:t> It is a bacterial infection that can spread through vaginal, anal, or oral sexual contact with an infected partner and from pregnant person to child during birth. While most people with chlamydia have no signs or symptoms, some may experience dysuria; vaginal, penile, or anal discharge; or irregular bleeding. Chlamydia is easily treated</w:t>
      </w:r>
      <w:r w:rsidR="236BCE1E" w:rsidRPr="47853717">
        <w:rPr>
          <w:rFonts w:ascii="Arial" w:hAnsi="Arial" w:cs="Arial"/>
          <w:sz w:val="20"/>
          <w:szCs w:val="20"/>
        </w:rPr>
        <w:t xml:space="preserve"> </w:t>
      </w:r>
      <w:r w:rsidR="236BCE1E" w:rsidRPr="47853717">
        <w:rPr>
          <w:rFonts w:ascii="Arial" w:eastAsia="Arial" w:hAnsi="Arial" w:cs="Arial"/>
          <w:sz w:val="20"/>
          <w:szCs w:val="20"/>
        </w:rPr>
        <w:t>with medication from a medical provider</w:t>
      </w:r>
      <w:r w:rsidRPr="47853717">
        <w:rPr>
          <w:rFonts w:ascii="Arial" w:hAnsi="Arial" w:cs="Arial"/>
          <w:sz w:val="20"/>
          <w:szCs w:val="20"/>
        </w:rPr>
        <w:t>, but repeated infections are common. Women are at a greater risk of complications from repeated infections</w:t>
      </w:r>
      <w:r w:rsidR="00403834" w:rsidRPr="47853717">
        <w:rPr>
          <w:rFonts w:ascii="Arial" w:hAnsi="Arial" w:cs="Arial"/>
          <w:sz w:val="20"/>
          <w:szCs w:val="20"/>
        </w:rPr>
        <w:t>.</w:t>
      </w:r>
      <w:r w:rsidR="00403834" w:rsidRPr="47853717">
        <w:rPr>
          <w:rFonts w:ascii="Arial" w:hAnsi="Arial" w:cs="Arial"/>
          <w:sz w:val="20"/>
          <w:szCs w:val="20"/>
          <w:vertAlign w:val="superscript"/>
        </w:rPr>
        <w:t>2</w:t>
      </w:r>
    </w:p>
    <w:p w14:paraId="7616F659" w14:textId="77777777" w:rsidR="008B1C57" w:rsidRDefault="008B1C57" w:rsidP="008B1C57">
      <w:pPr>
        <w:rPr>
          <w:rFonts w:ascii="Arial" w:hAnsi="Arial" w:cs="Arial"/>
          <w:sz w:val="20"/>
          <w:szCs w:val="20"/>
        </w:rPr>
      </w:pPr>
    </w:p>
    <w:p w14:paraId="69F5A70C" w14:textId="3FEFF371" w:rsidR="008B1C57" w:rsidRDefault="00171B2F" w:rsidP="00F968C2">
      <w:pPr>
        <w:rPr>
          <w:rFonts w:ascii="Arial" w:hAnsi="Arial" w:cs="Arial"/>
          <w:sz w:val="20"/>
          <w:szCs w:val="20"/>
        </w:rPr>
      </w:pPr>
      <w:bookmarkStart w:id="0" w:name="_Hlk173233589"/>
      <w:r w:rsidRPr="00107995">
        <w:rPr>
          <w:rFonts w:ascii="Arial" w:hAnsi="Arial" w:cs="Arial"/>
          <w:b/>
          <w:bCs/>
          <w:sz w:val="20"/>
          <w:szCs w:val="20"/>
        </w:rPr>
        <w:t>Since 2015, there has been an overall increase in reported chlamydia cases statewide, except for 2020, when case counts temporarily dropped due to the impacts of the COVID-19 pandemic</w:t>
      </w:r>
      <w:r w:rsidR="00403834">
        <w:rPr>
          <w:rFonts w:ascii="Arial" w:hAnsi="Arial" w:cs="Arial"/>
          <w:b/>
          <w:bCs/>
          <w:sz w:val="20"/>
          <w:szCs w:val="20"/>
          <w:vertAlign w:val="superscript"/>
        </w:rPr>
        <w:t>3</w:t>
      </w:r>
      <w:r>
        <w:rPr>
          <w:rFonts w:ascii="Arial" w:hAnsi="Arial" w:cs="Arial"/>
          <w:b/>
          <w:bCs/>
          <w:sz w:val="20"/>
          <w:szCs w:val="20"/>
        </w:rPr>
        <w:t xml:space="preserve">. </w:t>
      </w:r>
      <w:r w:rsidRPr="005336F6">
        <w:rPr>
          <w:rFonts w:ascii="Arial" w:hAnsi="Arial" w:cs="Arial"/>
          <w:b/>
          <w:bCs/>
          <w:sz w:val="20"/>
          <w:szCs w:val="20"/>
        </w:rPr>
        <w:t>During this period, statewide case counts ranged from 23,944 cases in 2015 to 26,623 cases in 2024</w:t>
      </w:r>
      <w:r w:rsidRPr="00A7422D">
        <w:rPr>
          <w:rFonts w:ascii="Arial" w:hAnsi="Arial" w:cs="Arial"/>
          <w:b/>
          <w:bCs/>
          <w:sz w:val="20"/>
          <w:szCs w:val="20"/>
        </w:rPr>
        <w:t>.</w:t>
      </w:r>
      <w:bookmarkEnd w:id="0"/>
      <w:r w:rsidR="00337AC7">
        <w:rPr>
          <w:rFonts w:ascii="Arial" w:hAnsi="Arial" w:cs="Arial"/>
          <w:sz w:val="20"/>
          <w:szCs w:val="20"/>
        </w:rPr>
        <w:t xml:space="preserve"> </w:t>
      </w:r>
      <w:r w:rsidR="00F3702E" w:rsidRPr="00F3702E">
        <w:rPr>
          <w:rFonts w:ascii="Arial" w:hAnsi="Arial" w:cs="Arial"/>
          <w:sz w:val="20"/>
          <w:szCs w:val="20"/>
        </w:rPr>
        <w:t>After a dip in 2020, Essex County saw a rebound in reported chlamydia cases that stayed relatively constant through 2024</w:t>
      </w:r>
      <w:r w:rsidR="00317D82">
        <w:rPr>
          <w:rFonts w:ascii="Arial" w:hAnsi="Arial" w:cs="Arial"/>
          <w:sz w:val="20"/>
          <w:szCs w:val="20"/>
        </w:rPr>
        <w:t xml:space="preserve">. </w:t>
      </w:r>
      <w:r w:rsidR="008B1C57" w:rsidRPr="00A95970">
        <w:rPr>
          <w:rFonts w:ascii="Arial" w:hAnsi="Arial" w:cs="Arial"/>
          <w:sz w:val="20"/>
          <w:szCs w:val="20"/>
        </w:rPr>
        <w:t>In 202</w:t>
      </w:r>
      <w:r w:rsidR="008B1C57">
        <w:rPr>
          <w:rFonts w:ascii="Arial" w:hAnsi="Arial" w:cs="Arial"/>
          <w:sz w:val="20"/>
          <w:szCs w:val="20"/>
        </w:rPr>
        <w:t>4</w:t>
      </w:r>
      <w:r w:rsidR="008B1C57" w:rsidRPr="00A95970">
        <w:rPr>
          <w:rFonts w:ascii="Arial" w:hAnsi="Arial" w:cs="Arial"/>
          <w:sz w:val="20"/>
          <w:szCs w:val="20"/>
        </w:rPr>
        <w:t>,</w:t>
      </w:r>
      <w:r w:rsidR="008B1C57">
        <w:rPr>
          <w:rFonts w:ascii="Arial" w:hAnsi="Arial" w:cs="Arial"/>
          <w:sz w:val="20"/>
          <w:szCs w:val="20"/>
        </w:rPr>
        <w:t xml:space="preserve"> </w:t>
      </w:r>
      <w:r w:rsidR="008B1C57" w:rsidRPr="00A95970">
        <w:rPr>
          <w:rFonts w:ascii="Arial" w:hAnsi="Arial" w:cs="Arial"/>
          <w:sz w:val="20"/>
          <w:szCs w:val="20"/>
        </w:rPr>
        <w:t>the</w:t>
      </w:r>
      <w:r w:rsidR="008B1C57">
        <w:rPr>
          <w:rFonts w:ascii="Arial" w:hAnsi="Arial" w:cs="Arial"/>
          <w:sz w:val="20"/>
          <w:szCs w:val="20"/>
        </w:rPr>
        <w:t xml:space="preserve"> county</w:t>
      </w:r>
      <w:r w:rsidR="008B1C57" w:rsidRPr="00A95970">
        <w:rPr>
          <w:rFonts w:ascii="Arial" w:hAnsi="Arial" w:cs="Arial"/>
          <w:sz w:val="20"/>
          <w:szCs w:val="20"/>
        </w:rPr>
        <w:t xml:space="preserve"> </w:t>
      </w:r>
      <w:r w:rsidR="008B1C57">
        <w:rPr>
          <w:rFonts w:ascii="Arial" w:hAnsi="Arial" w:cs="Arial"/>
          <w:sz w:val="20"/>
          <w:szCs w:val="20"/>
        </w:rPr>
        <w:t xml:space="preserve">incidence rate of chlamydia infection </w:t>
      </w:r>
      <w:r w:rsidR="008B1C57" w:rsidRPr="000E2B4A">
        <w:rPr>
          <w:rFonts w:ascii="Arial" w:hAnsi="Arial" w:cs="Arial"/>
          <w:sz w:val="20"/>
          <w:szCs w:val="20"/>
        </w:rPr>
        <w:t xml:space="preserve">was </w:t>
      </w:r>
      <w:r w:rsidR="00124B12" w:rsidRPr="00124B12">
        <w:rPr>
          <w:rFonts w:ascii="Arial" w:hAnsi="Arial" w:cs="Arial"/>
          <w:sz w:val="20"/>
          <w:szCs w:val="20"/>
        </w:rPr>
        <w:t xml:space="preserve">404.9 </w:t>
      </w:r>
      <w:r w:rsidR="008B1C57" w:rsidRPr="000E2B4A">
        <w:rPr>
          <w:rFonts w:ascii="Arial" w:hAnsi="Arial" w:cs="Arial"/>
          <w:sz w:val="20"/>
          <w:szCs w:val="20"/>
        </w:rPr>
        <w:t>per 100,000</w:t>
      </w:r>
      <w:bookmarkStart w:id="1" w:name="_Hlk206982137"/>
      <w:r w:rsidR="008B1C57">
        <w:rPr>
          <w:rFonts w:ascii="Arial" w:hAnsi="Arial" w:cs="Arial"/>
          <w:sz w:val="20"/>
          <w:szCs w:val="20"/>
        </w:rPr>
        <w:t>,</w:t>
      </w:r>
      <w:r w:rsidR="008B1C57" w:rsidRPr="00FA75CA">
        <w:rPr>
          <w:rFonts w:ascii="Arial" w:hAnsi="Arial" w:cs="Arial"/>
          <w:sz w:val="20"/>
          <w:szCs w:val="20"/>
        </w:rPr>
        <w:t xml:space="preserve"> </w:t>
      </w:r>
      <w:bookmarkStart w:id="2" w:name="_Hlk206983909"/>
      <w:bookmarkStart w:id="3" w:name="_Hlk206980171"/>
      <w:r w:rsidR="008B1C57" w:rsidRPr="00A95970">
        <w:rPr>
          <w:rFonts w:ascii="Arial" w:hAnsi="Arial" w:cs="Arial"/>
          <w:sz w:val="20"/>
          <w:szCs w:val="20"/>
        </w:rPr>
        <w:t xml:space="preserve">while the statewide rate was </w:t>
      </w:r>
      <w:r w:rsidR="008B1C57">
        <w:rPr>
          <w:rFonts w:ascii="Arial" w:hAnsi="Arial" w:cs="Arial"/>
          <w:sz w:val="20"/>
          <w:szCs w:val="20"/>
        </w:rPr>
        <w:t>378.7</w:t>
      </w:r>
      <w:r w:rsidR="008B1C57" w:rsidRPr="00A95970">
        <w:rPr>
          <w:rFonts w:ascii="Arial" w:hAnsi="Arial" w:cs="Arial"/>
          <w:sz w:val="20"/>
          <w:szCs w:val="20"/>
        </w:rPr>
        <w:t xml:space="preserve"> per 100,000. </w:t>
      </w:r>
      <w:bookmarkStart w:id="4" w:name="_Hlk220025774"/>
      <w:bookmarkEnd w:id="2"/>
      <w:r w:rsidR="00403834" w:rsidRPr="00F46157">
        <w:rPr>
          <w:rFonts w:ascii="Arial" w:hAnsi="Arial" w:cs="Arial"/>
          <w:sz w:val="20"/>
          <w:szCs w:val="20"/>
        </w:rPr>
        <w:t>These rates </w:t>
      </w:r>
      <w:r w:rsidR="001B7395">
        <w:rPr>
          <w:rFonts w:ascii="Arial" w:hAnsi="Arial" w:cs="Arial"/>
          <w:sz w:val="20"/>
          <w:szCs w:val="20"/>
        </w:rPr>
        <w:t>are lower</w:t>
      </w:r>
      <w:r w:rsidR="00403834" w:rsidRPr="00F46157">
        <w:rPr>
          <w:rFonts w:ascii="Arial" w:hAnsi="Arial" w:cs="Arial"/>
          <w:sz w:val="20"/>
          <w:szCs w:val="20"/>
        </w:rPr>
        <w:t xml:space="preserve"> compared to the national rate of 445.7 per 100,000</w:t>
      </w:r>
      <w:r w:rsidR="00403834">
        <w:rPr>
          <w:rFonts w:ascii="Arial" w:hAnsi="Arial" w:cs="Arial"/>
          <w:sz w:val="20"/>
          <w:szCs w:val="20"/>
        </w:rPr>
        <w:t>.</w:t>
      </w:r>
      <w:r w:rsidR="00403834">
        <w:rPr>
          <w:rFonts w:ascii="Arial" w:hAnsi="Arial" w:cs="Arial"/>
          <w:sz w:val="20"/>
          <w:szCs w:val="20"/>
          <w:vertAlign w:val="superscript"/>
        </w:rPr>
        <w:t>4</w:t>
      </w:r>
      <w:bookmarkEnd w:id="4"/>
    </w:p>
    <w:bookmarkEnd w:id="1"/>
    <w:p w14:paraId="101654CC" w14:textId="77777777" w:rsidR="008B1C57" w:rsidRDefault="008B1C57" w:rsidP="008B1C57">
      <w:pPr>
        <w:rPr>
          <w:rFonts w:ascii="Arial" w:hAnsi="Arial" w:cs="Arial"/>
          <w:sz w:val="20"/>
          <w:szCs w:val="20"/>
        </w:rPr>
      </w:pPr>
    </w:p>
    <w:p w14:paraId="328DCFAB" w14:textId="221D9993" w:rsidR="008B1C57" w:rsidRPr="00517A50" w:rsidRDefault="00646E39" w:rsidP="00517A50">
      <w:pPr>
        <w:rPr>
          <w:rFonts w:ascii="Arial" w:hAnsi="Arial" w:cs="Arial"/>
          <w:b/>
          <w:bCs/>
          <w:sz w:val="20"/>
          <w:szCs w:val="20"/>
        </w:rPr>
      </w:pPr>
      <w:bookmarkStart w:id="5" w:name="_Hlk206980252"/>
      <w:bookmarkEnd w:id="3"/>
      <w:r>
        <w:rPr>
          <w:rFonts w:ascii="Arial" w:hAnsi="Arial" w:cs="Arial"/>
          <w:b/>
          <w:bCs/>
          <w:sz w:val="20"/>
          <w:szCs w:val="20"/>
        </w:rPr>
        <w:t>Between 2015 and 2024, t</w:t>
      </w:r>
      <w:r w:rsidR="008B1C57" w:rsidRPr="40CCF988">
        <w:rPr>
          <w:rFonts w:ascii="Arial" w:hAnsi="Arial" w:cs="Arial"/>
          <w:b/>
          <w:bCs/>
          <w:sz w:val="20"/>
          <w:szCs w:val="20"/>
        </w:rPr>
        <w:t xml:space="preserve">he county incidence rate among </w:t>
      </w:r>
      <w:r w:rsidR="008B1C57">
        <w:rPr>
          <w:rFonts w:ascii="Arial" w:hAnsi="Arial" w:cs="Arial"/>
          <w:b/>
          <w:bCs/>
          <w:sz w:val="20"/>
          <w:szCs w:val="20"/>
        </w:rPr>
        <w:t>females</w:t>
      </w:r>
      <w:r w:rsidR="008B1C57" w:rsidRPr="40CCF988">
        <w:rPr>
          <w:rFonts w:ascii="Arial" w:hAnsi="Arial" w:cs="Arial"/>
          <w:b/>
          <w:bCs/>
          <w:sz w:val="20"/>
          <w:szCs w:val="20"/>
        </w:rPr>
        <w:t xml:space="preserve"> remained </w:t>
      </w:r>
      <w:r>
        <w:rPr>
          <w:rFonts w:ascii="Arial" w:hAnsi="Arial" w:cs="Arial"/>
          <w:b/>
          <w:bCs/>
          <w:sz w:val="20"/>
          <w:szCs w:val="20"/>
        </w:rPr>
        <w:t xml:space="preserve">approximately twice as </w:t>
      </w:r>
      <w:r w:rsidR="008B1C57" w:rsidRPr="40CCF988">
        <w:rPr>
          <w:rFonts w:ascii="Arial" w:hAnsi="Arial" w:cs="Arial"/>
          <w:b/>
          <w:bCs/>
          <w:sz w:val="20"/>
          <w:szCs w:val="20"/>
        </w:rPr>
        <w:t xml:space="preserve">high </w:t>
      </w:r>
      <w:r w:rsidR="00337AC7">
        <w:rPr>
          <w:rFonts w:ascii="Arial" w:hAnsi="Arial" w:cs="Arial"/>
          <w:sz w:val="20"/>
          <w:szCs w:val="20"/>
        </w:rPr>
        <w:t>as the rate among</w:t>
      </w:r>
      <w:r w:rsidR="008B1C57" w:rsidRPr="008B3DBC">
        <w:rPr>
          <w:rFonts w:ascii="Arial" w:hAnsi="Arial" w:cs="Arial"/>
          <w:sz w:val="20"/>
          <w:szCs w:val="20"/>
        </w:rPr>
        <w:t xml:space="preserve"> males.</w:t>
      </w:r>
      <w:bookmarkEnd w:id="5"/>
      <w:r w:rsidR="008B1C57" w:rsidRPr="40CCF988">
        <w:rPr>
          <w:rFonts w:ascii="Arial" w:hAnsi="Arial" w:cs="Arial"/>
          <w:b/>
          <w:bCs/>
          <w:sz w:val="20"/>
          <w:szCs w:val="20"/>
        </w:rPr>
        <w:t xml:space="preserve"> </w:t>
      </w:r>
      <w:r w:rsidR="008B1C57" w:rsidRPr="40CCF988">
        <w:rPr>
          <w:rFonts w:ascii="Arial" w:hAnsi="Arial" w:cs="Arial"/>
          <w:sz w:val="20"/>
          <w:szCs w:val="20"/>
        </w:rPr>
        <w:t>In 202</w:t>
      </w:r>
      <w:r w:rsidR="008B1C57">
        <w:rPr>
          <w:rFonts w:ascii="Arial" w:hAnsi="Arial" w:cs="Arial"/>
          <w:sz w:val="20"/>
          <w:szCs w:val="20"/>
        </w:rPr>
        <w:t>4</w:t>
      </w:r>
      <w:r w:rsidR="008B1C57" w:rsidRPr="40CCF988">
        <w:rPr>
          <w:rFonts w:ascii="Arial" w:hAnsi="Arial" w:cs="Arial"/>
          <w:sz w:val="20"/>
          <w:szCs w:val="20"/>
        </w:rPr>
        <w:t xml:space="preserve">, the incidence rate of chlamydia among </w:t>
      </w:r>
      <w:r w:rsidR="008B1C57">
        <w:rPr>
          <w:rFonts w:ascii="Arial" w:hAnsi="Arial" w:cs="Arial"/>
          <w:sz w:val="20"/>
          <w:szCs w:val="20"/>
        </w:rPr>
        <w:t>females</w:t>
      </w:r>
      <w:r w:rsidR="008B1C57" w:rsidRPr="40CCF988">
        <w:rPr>
          <w:rFonts w:ascii="Arial" w:hAnsi="Arial" w:cs="Arial"/>
          <w:sz w:val="20"/>
          <w:szCs w:val="20"/>
        </w:rPr>
        <w:t xml:space="preserve"> in </w:t>
      </w:r>
      <w:r w:rsidR="008B1C57">
        <w:rPr>
          <w:rFonts w:ascii="Arial" w:hAnsi="Arial" w:cs="Arial"/>
          <w:sz w:val="20"/>
          <w:szCs w:val="20"/>
        </w:rPr>
        <w:t>Essex</w:t>
      </w:r>
      <w:r w:rsidR="008B1C57" w:rsidRPr="40CCF988">
        <w:rPr>
          <w:rFonts w:ascii="Arial" w:hAnsi="Arial" w:cs="Arial"/>
          <w:sz w:val="20"/>
          <w:szCs w:val="20"/>
        </w:rPr>
        <w:t xml:space="preserve"> County was </w:t>
      </w:r>
      <w:r w:rsidR="009258EC" w:rsidRPr="009258EC">
        <w:rPr>
          <w:rFonts w:ascii="Arial" w:hAnsi="Arial" w:cs="Arial"/>
          <w:sz w:val="20"/>
          <w:szCs w:val="20"/>
        </w:rPr>
        <w:t>532.5</w:t>
      </w:r>
      <w:r w:rsidR="009258EC">
        <w:rPr>
          <w:rFonts w:ascii="Arial" w:hAnsi="Arial" w:cs="Arial"/>
          <w:sz w:val="20"/>
          <w:szCs w:val="20"/>
        </w:rPr>
        <w:t xml:space="preserve"> </w:t>
      </w:r>
      <w:r w:rsidR="008B1C57" w:rsidRPr="40CCF988">
        <w:rPr>
          <w:rFonts w:ascii="Arial" w:hAnsi="Arial" w:cs="Arial"/>
          <w:sz w:val="20"/>
          <w:szCs w:val="20"/>
        </w:rPr>
        <w:t xml:space="preserve">per 100,000 while </w:t>
      </w:r>
      <w:r w:rsidR="008B1C57">
        <w:rPr>
          <w:rFonts w:ascii="Arial" w:hAnsi="Arial" w:cs="Arial"/>
          <w:sz w:val="20"/>
          <w:szCs w:val="20"/>
        </w:rPr>
        <w:t>males</w:t>
      </w:r>
      <w:r w:rsidR="008B1C57" w:rsidRPr="40CCF988">
        <w:rPr>
          <w:rFonts w:ascii="Arial" w:hAnsi="Arial" w:cs="Arial"/>
          <w:sz w:val="20"/>
          <w:szCs w:val="20"/>
        </w:rPr>
        <w:t xml:space="preserve"> had a rate that was nearly half that (</w:t>
      </w:r>
      <w:r w:rsidR="009258EC" w:rsidRPr="009258EC">
        <w:rPr>
          <w:rFonts w:ascii="Arial" w:hAnsi="Arial" w:cs="Arial"/>
          <w:sz w:val="20"/>
          <w:szCs w:val="20"/>
        </w:rPr>
        <w:t>266.8</w:t>
      </w:r>
      <w:r w:rsidR="009258EC">
        <w:rPr>
          <w:rFonts w:ascii="Arial" w:hAnsi="Arial" w:cs="Arial"/>
          <w:sz w:val="20"/>
          <w:szCs w:val="20"/>
        </w:rPr>
        <w:t xml:space="preserve"> </w:t>
      </w:r>
      <w:r w:rsidR="008B1C57" w:rsidRPr="40CCF988">
        <w:rPr>
          <w:rFonts w:ascii="Arial" w:hAnsi="Arial" w:cs="Arial"/>
          <w:sz w:val="20"/>
          <w:szCs w:val="20"/>
        </w:rPr>
        <w:t>per 100,000)</w:t>
      </w:r>
      <w:r w:rsidR="008B1C57" w:rsidRPr="001257E5">
        <w:rPr>
          <w:rFonts w:ascii="Arial" w:hAnsi="Arial" w:cs="Arial"/>
          <w:sz w:val="20"/>
          <w:szCs w:val="20"/>
        </w:rPr>
        <w:t>.</w:t>
      </w:r>
      <w:r w:rsidR="008B1C57" w:rsidRPr="40CCF988">
        <w:rPr>
          <w:rFonts w:ascii="Arial" w:hAnsi="Arial" w:cs="Arial"/>
          <w:sz w:val="20"/>
          <w:szCs w:val="20"/>
        </w:rPr>
        <w:t xml:space="preserve"> </w:t>
      </w:r>
      <w:bookmarkStart w:id="6" w:name="_Hlk200554452"/>
    </w:p>
    <w:bookmarkEnd w:id="6"/>
    <w:p w14:paraId="5C8A4657" w14:textId="5E5A5DB0" w:rsidR="00103FEE" w:rsidRDefault="00103FEE" w:rsidP="006622F2">
      <w:pPr>
        <w:rPr>
          <w:rFonts w:ascii="Arial" w:hAnsi="Arial" w:cs="Arial"/>
          <w:b/>
          <w:bCs/>
          <w:sz w:val="20"/>
          <w:szCs w:val="20"/>
        </w:rPr>
      </w:pPr>
    </w:p>
    <w:p w14:paraId="4F71E67E" w14:textId="0366D13E" w:rsidR="003D22DA" w:rsidRDefault="003D22DA" w:rsidP="006622F2">
      <w:pPr>
        <w:rPr>
          <w:rFonts w:ascii="Arial" w:hAnsi="Arial" w:cs="Arial"/>
          <w:b/>
          <w:bCs/>
          <w:sz w:val="20"/>
          <w:szCs w:val="20"/>
        </w:rPr>
      </w:pPr>
      <w:r>
        <w:rPr>
          <w:rFonts w:ascii="Arial" w:hAnsi="Arial" w:cs="Arial"/>
          <w:b/>
          <w:bCs/>
          <w:noProof/>
          <w:sz w:val="20"/>
          <w:szCs w:val="20"/>
        </w:rPr>
        <w:drawing>
          <wp:inline distT="0" distB="0" distL="0" distR="0" wp14:anchorId="4C5F2D20" wp14:editId="36866275">
            <wp:extent cx="6912864" cy="2276856"/>
            <wp:effectExtent l="0" t="0" r="0" b="9525"/>
            <wp:docPr id="55165600" name="Picture 1" descr="Graph depicts the rates per 100,000 population of chlamydia in Massachusetts statewide, in Essex County overall, and by gender in Essex County between 2015 and 2024. The line showing statewide rate begins at 350.4 in 2015 and ends at 378.7 in 2024, with a peak of 454.1 in 2019. The line showing Essex County overall rate begins at 383.8 in 2015 and ends at 404.9 in 2024, with a peak of 471.6 in 2019. The line showing the rate among females in Essex County begins at 505.0 in 2015 and ends at 532.5 in 2024, with a peak of 607.5 in 2019. The line showing the rate among males in Essex County begins at 251.8 in 2015 and ends at 266.8 in 2024, with a peak of 325.3 in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65600" name="Picture 1" descr="Graph depicts the rates per 100,000 population of chlamydia in Massachusetts statewide, in Essex County overall, and by gender in Essex County between 2015 and 2024. The line showing statewide rate begins at 350.4 in 2015 and ends at 378.7 in 2024, with a peak of 454.1 in 2019. The line showing Essex County overall rate begins at 383.8 in 2015 and ends at 404.9 in 2024, with a peak of 471.6 in 2019. The line showing the rate among females in Essex County begins at 505.0 in 2015 and ends at 532.5 in 2024, with a peak of 607.5 in 2019. The line showing the rate among males in Essex County begins at 251.8 in 2015 and ends at 266.8 in 2024, with a peak of 325.3 in 20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12864" cy="2276856"/>
                    </a:xfrm>
                    <a:prstGeom prst="rect">
                      <a:avLst/>
                    </a:prstGeom>
                    <a:noFill/>
                  </pic:spPr>
                </pic:pic>
              </a:graphicData>
            </a:graphic>
          </wp:inline>
        </w:drawing>
      </w:r>
    </w:p>
    <w:p w14:paraId="6B7C678F" w14:textId="77777777" w:rsidR="007447E5" w:rsidRPr="0038297E" w:rsidRDefault="007447E5" w:rsidP="007447E5">
      <w:pPr>
        <w:rPr>
          <w:rFonts w:ascii="Arial" w:hAnsi="Arial" w:cs="Arial"/>
          <w:sz w:val="12"/>
          <w:szCs w:val="12"/>
        </w:rPr>
      </w:pPr>
      <w:r w:rsidRPr="0038297E">
        <w:rPr>
          <w:rFonts w:ascii="Arial" w:hAnsi="Arial" w:cs="Arial"/>
          <w:sz w:val="12"/>
          <w:szCs w:val="12"/>
        </w:rPr>
        <w:t xml:space="preserve">Data are current as of </w:t>
      </w:r>
      <w:r>
        <w:rPr>
          <w:rFonts w:ascii="Arial" w:hAnsi="Arial" w:cs="Arial"/>
          <w:sz w:val="12"/>
          <w:szCs w:val="12"/>
        </w:rPr>
        <w:t>6</w:t>
      </w:r>
      <w:r w:rsidRPr="0038297E">
        <w:rPr>
          <w:rFonts w:ascii="Arial" w:hAnsi="Arial" w:cs="Arial"/>
          <w:sz w:val="12"/>
          <w:szCs w:val="12"/>
        </w:rPr>
        <w:t>/</w:t>
      </w:r>
      <w:r>
        <w:rPr>
          <w:rFonts w:ascii="Arial" w:hAnsi="Arial" w:cs="Arial"/>
          <w:sz w:val="12"/>
          <w:szCs w:val="12"/>
        </w:rPr>
        <w:t>02</w:t>
      </w:r>
      <w:r w:rsidRPr="0038297E">
        <w:rPr>
          <w:rFonts w:ascii="Arial" w:hAnsi="Arial" w:cs="Arial"/>
          <w:sz w:val="12"/>
          <w:szCs w:val="12"/>
        </w:rPr>
        <w:t>/202</w:t>
      </w:r>
      <w:r>
        <w:rPr>
          <w:rFonts w:ascii="Arial" w:hAnsi="Arial" w:cs="Arial"/>
          <w:sz w:val="12"/>
          <w:szCs w:val="12"/>
        </w:rPr>
        <w:t>5</w:t>
      </w:r>
      <w:r w:rsidRPr="0038297E">
        <w:rPr>
          <w:rFonts w:ascii="Arial" w:hAnsi="Arial" w:cs="Arial"/>
          <w:sz w:val="12"/>
          <w:szCs w:val="12"/>
        </w:rPr>
        <w:t xml:space="preserve"> and are subject to change. </w:t>
      </w:r>
    </w:p>
    <w:p w14:paraId="1E9DC8F8" w14:textId="77777777" w:rsidR="007447E5" w:rsidRPr="0038297E" w:rsidRDefault="007447E5" w:rsidP="007447E5">
      <w:pPr>
        <w:rPr>
          <w:rFonts w:ascii="Arial" w:hAnsi="Arial" w:cs="Arial"/>
          <w:sz w:val="12"/>
          <w:szCs w:val="12"/>
        </w:rPr>
      </w:pPr>
      <w:r w:rsidRPr="0038297E">
        <w:rPr>
          <w:rFonts w:ascii="Arial" w:hAnsi="Arial" w:cs="Arial"/>
          <w:sz w:val="12"/>
          <w:szCs w:val="12"/>
        </w:rPr>
        <w:t>Population denominators: Strate S, et al. Small Area Population Estimates for 2011 through 2020 report, Oct 2016.</w:t>
      </w:r>
    </w:p>
    <w:p w14:paraId="26339ADA" w14:textId="77777777" w:rsidR="007447E5" w:rsidRPr="0038297E" w:rsidRDefault="007447E5" w:rsidP="007447E5">
      <w:pPr>
        <w:rPr>
          <w:rFonts w:ascii="Arial" w:hAnsi="Arial" w:cs="Arial"/>
          <w:sz w:val="12"/>
          <w:szCs w:val="12"/>
        </w:rPr>
      </w:pPr>
      <w:r w:rsidRPr="0038297E">
        <w:rPr>
          <w:rFonts w:ascii="Arial" w:hAnsi="Arial" w:cs="Arial"/>
          <w:sz w:val="12"/>
          <w:szCs w:val="12"/>
        </w:rPr>
        <w:t>Data source: Massachusetts Department of Public Health/Bureau of Infectious Disease and Laboratory Sciences/Division of STD Prevention.</w:t>
      </w:r>
    </w:p>
    <w:p w14:paraId="2C235958" w14:textId="77777777" w:rsidR="007447E5" w:rsidRDefault="007447E5" w:rsidP="006622F2">
      <w:pPr>
        <w:rPr>
          <w:rFonts w:ascii="Arial" w:hAnsi="Arial" w:cs="Arial"/>
          <w:b/>
          <w:bCs/>
          <w:sz w:val="20"/>
          <w:szCs w:val="20"/>
        </w:rPr>
      </w:pPr>
    </w:p>
    <w:p w14:paraId="42D83B33" w14:textId="77777777" w:rsidR="00103FEE" w:rsidRDefault="00103FEE" w:rsidP="006622F2">
      <w:pPr>
        <w:rPr>
          <w:rFonts w:ascii="Arial" w:hAnsi="Arial" w:cs="Arial"/>
          <w:b/>
          <w:bCs/>
          <w:sz w:val="20"/>
          <w:szCs w:val="20"/>
        </w:rPr>
      </w:pPr>
    </w:p>
    <w:p w14:paraId="21766AEB" w14:textId="77777777" w:rsidR="007447E5" w:rsidRDefault="007447E5" w:rsidP="006622F2">
      <w:pPr>
        <w:rPr>
          <w:rFonts w:ascii="Arial" w:hAnsi="Arial" w:cs="Arial"/>
          <w:b/>
          <w:bCs/>
          <w:sz w:val="20"/>
          <w:szCs w:val="20"/>
        </w:rPr>
      </w:pPr>
    </w:p>
    <w:p w14:paraId="66FDDD4A" w14:textId="619F28C7" w:rsidR="008B1C57" w:rsidRDefault="006622F2" w:rsidP="008B1C57">
      <w:pPr>
        <w:rPr>
          <w:rFonts w:ascii="Arial" w:hAnsi="Arial" w:cs="Arial"/>
          <w:sz w:val="20"/>
          <w:szCs w:val="20"/>
        </w:rPr>
      </w:pPr>
      <w:r w:rsidRPr="00A83E04">
        <w:rPr>
          <w:rFonts w:ascii="Arial" w:hAnsi="Arial" w:cs="Arial"/>
          <w:b/>
          <w:bCs/>
          <w:sz w:val="20"/>
          <w:szCs w:val="20"/>
        </w:rPr>
        <w:lastRenderedPageBreak/>
        <w:t>The statewide</w:t>
      </w:r>
      <w:r>
        <w:rPr>
          <w:rFonts w:ascii="Arial" w:hAnsi="Arial" w:cs="Arial"/>
          <w:b/>
          <w:bCs/>
          <w:sz w:val="20"/>
          <w:szCs w:val="20"/>
        </w:rPr>
        <w:t xml:space="preserve"> and county</w:t>
      </w:r>
      <w:r w:rsidRPr="00A83E04">
        <w:rPr>
          <w:rFonts w:ascii="Arial" w:hAnsi="Arial" w:cs="Arial"/>
          <w:b/>
          <w:bCs/>
          <w:sz w:val="20"/>
          <w:szCs w:val="20"/>
        </w:rPr>
        <w:t xml:space="preserve"> incidence rate</w:t>
      </w:r>
      <w:r w:rsidR="0064750B">
        <w:rPr>
          <w:rFonts w:ascii="Arial" w:hAnsi="Arial" w:cs="Arial"/>
          <w:b/>
          <w:bCs/>
          <w:sz w:val="20"/>
          <w:szCs w:val="20"/>
        </w:rPr>
        <w:t>s</w:t>
      </w:r>
      <w:r w:rsidRPr="00A83E04">
        <w:rPr>
          <w:rFonts w:ascii="Arial" w:hAnsi="Arial" w:cs="Arial"/>
          <w:b/>
          <w:bCs/>
          <w:sz w:val="20"/>
          <w:szCs w:val="20"/>
        </w:rPr>
        <w:t xml:space="preserve"> of chlamydia </w:t>
      </w:r>
      <w:r w:rsidR="0064750B">
        <w:rPr>
          <w:rFonts w:ascii="Arial" w:hAnsi="Arial" w:cs="Arial"/>
          <w:b/>
          <w:bCs/>
          <w:sz w:val="20"/>
          <w:szCs w:val="20"/>
        </w:rPr>
        <w:t>are</w:t>
      </w:r>
      <w:r w:rsidR="0064750B" w:rsidRPr="00A83E04">
        <w:rPr>
          <w:rFonts w:ascii="Arial" w:hAnsi="Arial" w:cs="Arial"/>
          <w:b/>
          <w:bCs/>
          <w:sz w:val="20"/>
          <w:szCs w:val="20"/>
        </w:rPr>
        <w:t xml:space="preserve"> </w:t>
      </w:r>
      <w:r w:rsidRPr="00A83E04">
        <w:rPr>
          <w:rFonts w:ascii="Arial" w:hAnsi="Arial" w:cs="Arial"/>
          <w:b/>
          <w:bCs/>
          <w:sz w:val="20"/>
          <w:szCs w:val="20"/>
        </w:rPr>
        <w:t>highest among young adults</w:t>
      </w:r>
      <w:r w:rsidRPr="00A83E04">
        <w:rPr>
          <w:rFonts w:ascii="Arial" w:hAnsi="Arial" w:cs="Arial"/>
          <w:sz w:val="20"/>
          <w:szCs w:val="20"/>
        </w:rPr>
        <w:t xml:space="preserve">. </w:t>
      </w:r>
      <w:r w:rsidRPr="00337AC7">
        <w:rPr>
          <w:rFonts w:ascii="Arial" w:hAnsi="Arial" w:cs="Arial"/>
          <w:b/>
          <w:bCs/>
          <w:sz w:val="20"/>
          <w:szCs w:val="20"/>
        </w:rPr>
        <w:t>In</w:t>
      </w:r>
      <w:r w:rsidRPr="005A47A6">
        <w:rPr>
          <w:rFonts w:ascii="Arial" w:hAnsi="Arial" w:cs="Arial"/>
          <w:b/>
          <w:bCs/>
          <w:sz w:val="20"/>
          <w:szCs w:val="20"/>
        </w:rPr>
        <w:t xml:space="preserve"> 2024,</w:t>
      </w:r>
      <w:r>
        <w:rPr>
          <w:rFonts w:ascii="Arial" w:hAnsi="Arial" w:cs="Arial"/>
          <w:b/>
          <w:bCs/>
          <w:sz w:val="20"/>
          <w:szCs w:val="20"/>
        </w:rPr>
        <w:t xml:space="preserve"> </w:t>
      </w:r>
      <w:r w:rsidR="00B626F1" w:rsidRPr="00B626F1">
        <w:rPr>
          <w:rFonts w:ascii="Arial" w:hAnsi="Arial" w:cs="Arial"/>
          <w:b/>
          <w:bCs/>
          <w:sz w:val="20"/>
          <w:szCs w:val="20"/>
        </w:rPr>
        <w:t>1</w:t>
      </w:r>
      <w:r w:rsidR="00B626F1">
        <w:rPr>
          <w:rFonts w:ascii="Arial" w:hAnsi="Arial" w:cs="Arial"/>
          <w:b/>
          <w:bCs/>
          <w:sz w:val="20"/>
          <w:szCs w:val="20"/>
        </w:rPr>
        <w:t>,</w:t>
      </w:r>
      <w:r w:rsidR="00B626F1" w:rsidRPr="00B626F1">
        <w:rPr>
          <w:rFonts w:ascii="Arial" w:hAnsi="Arial" w:cs="Arial"/>
          <w:b/>
          <w:bCs/>
          <w:sz w:val="20"/>
          <w:szCs w:val="20"/>
        </w:rPr>
        <w:t>757</w:t>
      </w:r>
      <w:r w:rsidRPr="005A47A6">
        <w:rPr>
          <w:rFonts w:ascii="Arial" w:hAnsi="Arial" w:cs="Arial"/>
          <w:b/>
          <w:bCs/>
          <w:sz w:val="20"/>
          <w:szCs w:val="20"/>
        </w:rPr>
        <w:t xml:space="preserve"> chlamydia cases were reported among 20–29-year-olds, </w:t>
      </w:r>
      <w:r w:rsidR="003D22DA">
        <w:rPr>
          <w:rFonts w:ascii="Arial" w:hAnsi="Arial" w:cs="Arial"/>
          <w:b/>
          <w:bCs/>
          <w:sz w:val="20"/>
          <w:szCs w:val="20"/>
        </w:rPr>
        <w:t xml:space="preserve">at a rate of </w:t>
      </w:r>
      <w:r w:rsidR="003D22DA" w:rsidRPr="003D22DA">
        <w:rPr>
          <w:rFonts w:ascii="Arial" w:hAnsi="Arial" w:cs="Arial"/>
          <w:b/>
          <w:bCs/>
          <w:sz w:val="20"/>
          <w:szCs w:val="20"/>
        </w:rPr>
        <w:t>1,715.9 per 100,000,</w:t>
      </w:r>
      <w:r w:rsidR="003D22DA">
        <w:rPr>
          <w:rFonts w:ascii="Arial" w:hAnsi="Arial" w:cs="Arial"/>
          <w:sz w:val="20"/>
          <w:szCs w:val="20"/>
        </w:rPr>
        <w:t xml:space="preserve"> </w:t>
      </w:r>
      <w:r w:rsidRPr="005A47A6">
        <w:rPr>
          <w:rFonts w:ascii="Arial" w:hAnsi="Arial" w:cs="Arial"/>
          <w:b/>
          <w:bCs/>
          <w:sz w:val="20"/>
          <w:szCs w:val="20"/>
        </w:rPr>
        <w:t xml:space="preserve">the highest among all age groups in </w:t>
      </w:r>
      <w:r w:rsidR="00094DA5">
        <w:rPr>
          <w:rFonts w:ascii="Arial" w:hAnsi="Arial" w:cs="Arial"/>
          <w:b/>
          <w:bCs/>
          <w:sz w:val="20"/>
          <w:szCs w:val="20"/>
        </w:rPr>
        <w:t>Essex</w:t>
      </w:r>
      <w:r>
        <w:rPr>
          <w:rFonts w:ascii="Arial" w:hAnsi="Arial" w:cs="Arial"/>
          <w:b/>
          <w:bCs/>
          <w:sz w:val="20"/>
          <w:szCs w:val="20"/>
        </w:rPr>
        <w:t xml:space="preserve"> </w:t>
      </w:r>
      <w:r w:rsidRPr="005A47A6">
        <w:rPr>
          <w:rFonts w:ascii="Arial" w:hAnsi="Arial" w:cs="Arial"/>
          <w:b/>
          <w:bCs/>
          <w:sz w:val="20"/>
          <w:szCs w:val="20"/>
        </w:rPr>
        <w:t>County.</w:t>
      </w:r>
      <w:r>
        <w:rPr>
          <w:rFonts w:ascii="Arial" w:hAnsi="Arial" w:cs="Arial"/>
          <w:b/>
          <w:bCs/>
          <w:sz w:val="20"/>
          <w:szCs w:val="20"/>
        </w:rPr>
        <w:t xml:space="preserve"> </w:t>
      </w:r>
      <w:r w:rsidR="00DA4ABC">
        <w:rPr>
          <w:rFonts w:ascii="Arial" w:hAnsi="Arial" w:cs="Arial"/>
          <w:sz w:val="20"/>
          <w:szCs w:val="20"/>
        </w:rPr>
        <w:t>Among this age group, f</w:t>
      </w:r>
      <w:r w:rsidRPr="00A806D7">
        <w:rPr>
          <w:rFonts w:ascii="Arial" w:hAnsi="Arial" w:cs="Arial"/>
          <w:sz w:val="20"/>
          <w:szCs w:val="20"/>
        </w:rPr>
        <w:t xml:space="preserve">emales accounted for </w:t>
      </w:r>
      <w:r w:rsidR="00EA29C1">
        <w:rPr>
          <w:rFonts w:ascii="Arial" w:hAnsi="Arial" w:cs="Arial"/>
          <w:sz w:val="20"/>
          <w:szCs w:val="20"/>
        </w:rPr>
        <w:t>1,203</w:t>
      </w:r>
      <w:r w:rsidRPr="00A806D7">
        <w:rPr>
          <w:rFonts w:ascii="Arial" w:hAnsi="Arial" w:cs="Arial"/>
          <w:sz w:val="20"/>
          <w:szCs w:val="20"/>
        </w:rPr>
        <w:t xml:space="preserve"> cases</w:t>
      </w:r>
      <w:r w:rsidR="00DA4ABC">
        <w:rPr>
          <w:rFonts w:ascii="Arial" w:hAnsi="Arial" w:cs="Arial"/>
          <w:sz w:val="20"/>
          <w:szCs w:val="20"/>
        </w:rPr>
        <w:t xml:space="preserve"> (</w:t>
      </w:r>
      <w:r w:rsidR="003D22DA">
        <w:rPr>
          <w:rFonts w:ascii="Arial" w:hAnsi="Arial" w:cs="Arial"/>
          <w:sz w:val="20"/>
          <w:szCs w:val="20"/>
        </w:rPr>
        <w:t>68.5</w:t>
      </w:r>
      <w:r w:rsidR="00DA4ABC">
        <w:rPr>
          <w:rFonts w:ascii="Arial" w:hAnsi="Arial" w:cs="Arial"/>
          <w:sz w:val="20"/>
          <w:szCs w:val="20"/>
        </w:rPr>
        <w:t>%)</w:t>
      </w:r>
      <w:r w:rsidRPr="00A806D7">
        <w:rPr>
          <w:rFonts w:ascii="Arial" w:hAnsi="Arial" w:cs="Arial"/>
          <w:sz w:val="20"/>
          <w:szCs w:val="20"/>
        </w:rPr>
        <w:t xml:space="preserve">, with a rate of </w:t>
      </w:r>
      <w:r w:rsidR="00201F13" w:rsidRPr="00201F13">
        <w:rPr>
          <w:rFonts w:ascii="Arial" w:hAnsi="Arial" w:cs="Arial"/>
          <w:sz w:val="20"/>
          <w:szCs w:val="20"/>
        </w:rPr>
        <w:t>2386.1</w:t>
      </w:r>
      <w:r w:rsidR="00201F13">
        <w:rPr>
          <w:rFonts w:ascii="Arial" w:hAnsi="Arial" w:cs="Arial"/>
          <w:sz w:val="20"/>
          <w:szCs w:val="20"/>
        </w:rPr>
        <w:t xml:space="preserve"> </w:t>
      </w:r>
      <w:r w:rsidRPr="00A806D7">
        <w:rPr>
          <w:rFonts w:ascii="Arial" w:hAnsi="Arial" w:cs="Arial"/>
          <w:sz w:val="20"/>
          <w:szCs w:val="20"/>
        </w:rPr>
        <w:t xml:space="preserve">per 100,000, while </w:t>
      </w:r>
      <w:r w:rsidR="00201F13" w:rsidRPr="00201F13">
        <w:rPr>
          <w:rFonts w:ascii="Arial" w:hAnsi="Arial" w:cs="Arial"/>
          <w:sz w:val="20"/>
          <w:szCs w:val="20"/>
        </w:rPr>
        <w:t>553</w:t>
      </w:r>
      <w:r w:rsidRPr="00A806D7">
        <w:rPr>
          <w:rFonts w:ascii="Arial" w:hAnsi="Arial" w:cs="Arial"/>
          <w:sz w:val="20"/>
          <w:szCs w:val="20"/>
        </w:rPr>
        <w:t xml:space="preserve"> cases</w:t>
      </w:r>
      <w:r w:rsidR="00DA4ABC">
        <w:rPr>
          <w:rFonts w:ascii="Arial" w:hAnsi="Arial" w:cs="Arial"/>
          <w:sz w:val="20"/>
          <w:szCs w:val="20"/>
        </w:rPr>
        <w:t xml:space="preserve"> (</w:t>
      </w:r>
      <w:r w:rsidR="003D22DA">
        <w:rPr>
          <w:rFonts w:ascii="Arial" w:hAnsi="Arial" w:cs="Arial"/>
          <w:sz w:val="20"/>
          <w:szCs w:val="20"/>
        </w:rPr>
        <w:t>31.5</w:t>
      </w:r>
      <w:r w:rsidR="00DA4ABC">
        <w:rPr>
          <w:rFonts w:ascii="Arial" w:hAnsi="Arial" w:cs="Arial"/>
          <w:sz w:val="20"/>
          <w:szCs w:val="20"/>
        </w:rPr>
        <w:t>%)</w:t>
      </w:r>
      <w:r w:rsidRPr="00A806D7">
        <w:rPr>
          <w:rFonts w:ascii="Arial" w:hAnsi="Arial" w:cs="Arial"/>
          <w:sz w:val="20"/>
          <w:szCs w:val="20"/>
        </w:rPr>
        <w:t xml:space="preserve"> were reported </w:t>
      </w:r>
      <w:r w:rsidR="00DA4ABC">
        <w:rPr>
          <w:rFonts w:ascii="Arial" w:hAnsi="Arial" w:cs="Arial"/>
          <w:sz w:val="20"/>
          <w:szCs w:val="20"/>
        </w:rPr>
        <w:t>among</w:t>
      </w:r>
      <w:r w:rsidR="00DA4ABC" w:rsidRPr="00A806D7">
        <w:rPr>
          <w:rFonts w:ascii="Arial" w:hAnsi="Arial" w:cs="Arial"/>
          <w:sz w:val="20"/>
          <w:szCs w:val="20"/>
        </w:rPr>
        <w:t xml:space="preserve"> </w:t>
      </w:r>
      <w:r w:rsidRPr="00A806D7">
        <w:rPr>
          <w:rFonts w:ascii="Arial" w:hAnsi="Arial" w:cs="Arial"/>
          <w:sz w:val="20"/>
          <w:szCs w:val="20"/>
        </w:rPr>
        <w:t xml:space="preserve">males, at a rate of </w:t>
      </w:r>
      <w:r w:rsidR="00201F13" w:rsidRPr="00201F13">
        <w:rPr>
          <w:rFonts w:ascii="Arial" w:hAnsi="Arial" w:cs="Arial"/>
          <w:sz w:val="20"/>
          <w:szCs w:val="20"/>
        </w:rPr>
        <w:t>1</w:t>
      </w:r>
      <w:r w:rsidR="00201F13">
        <w:rPr>
          <w:rFonts w:ascii="Arial" w:hAnsi="Arial" w:cs="Arial"/>
          <w:sz w:val="20"/>
          <w:szCs w:val="20"/>
        </w:rPr>
        <w:t>,</w:t>
      </w:r>
      <w:r w:rsidR="00201F13" w:rsidRPr="00201F13">
        <w:rPr>
          <w:rFonts w:ascii="Arial" w:hAnsi="Arial" w:cs="Arial"/>
          <w:sz w:val="20"/>
          <w:szCs w:val="20"/>
        </w:rPr>
        <w:t>063.9</w:t>
      </w:r>
      <w:r w:rsidRPr="00A806D7">
        <w:rPr>
          <w:rFonts w:ascii="Arial" w:hAnsi="Arial" w:cs="Arial"/>
          <w:sz w:val="20"/>
          <w:szCs w:val="20"/>
        </w:rPr>
        <w:t xml:space="preserve"> per 100,000. Although the chart below represents rates by age group only, the highest burden </w:t>
      </w:r>
      <w:r w:rsidR="00D54CF8">
        <w:rPr>
          <w:rFonts w:ascii="Arial" w:hAnsi="Arial" w:cs="Arial"/>
          <w:sz w:val="20"/>
          <w:szCs w:val="20"/>
        </w:rPr>
        <w:t>is</w:t>
      </w:r>
      <w:r w:rsidR="00D54CF8" w:rsidRPr="00A806D7">
        <w:rPr>
          <w:rFonts w:ascii="Arial" w:hAnsi="Arial" w:cs="Arial"/>
          <w:sz w:val="20"/>
          <w:szCs w:val="20"/>
        </w:rPr>
        <w:t xml:space="preserve"> </w:t>
      </w:r>
      <w:r w:rsidRPr="00A806D7">
        <w:rPr>
          <w:rFonts w:ascii="Arial" w:hAnsi="Arial" w:cs="Arial"/>
          <w:sz w:val="20"/>
          <w:szCs w:val="20"/>
        </w:rPr>
        <w:t xml:space="preserve">concentrated among </w:t>
      </w:r>
      <w:r w:rsidR="00D54CF8">
        <w:rPr>
          <w:rFonts w:ascii="Arial" w:hAnsi="Arial" w:cs="Arial"/>
          <w:sz w:val="20"/>
          <w:szCs w:val="20"/>
        </w:rPr>
        <w:t>20-29-year-old females</w:t>
      </w:r>
      <w:r w:rsidRPr="00A806D7">
        <w:rPr>
          <w:rFonts w:ascii="Arial" w:hAnsi="Arial" w:cs="Arial"/>
          <w:sz w:val="20"/>
          <w:szCs w:val="20"/>
        </w:rPr>
        <w:t xml:space="preserve">. </w:t>
      </w:r>
      <w:r w:rsidRPr="00A806D7">
        <w:rPr>
          <w:rFonts w:ascii="Arial" w:hAnsi="Arial" w:cs="Arial"/>
          <w:b/>
          <w:bCs/>
          <w:sz w:val="20"/>
          <w:szCs w:val="20"/>
        </w:rPr>
        <w:t xml:space="preserve">Data by </w:t>
      </w:r>
      <w:r w:rsidR="00014449">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 </w:t>
      </w:r>
      <w:bookmarkStart w:id="7" w:name="_Hlk200624536"/>
    </w:p>
    <w:bookmarkEnd w:id="7"/>
    <w:p w14:paraId="341F4304" w14:textId="77777777" w:rsidR="008B1C57" w:rsidRDefault="008B1C57" w:rsidP="008B1C57">
      <w:pPr>
        <w:rPr>
          <w:rFonts w:ascii="Arial" w:hAnsi="Arial" w:cs="Arial"/>
          <w:sz w:val="20"/>
          <w:szCs w:val="20"/>
        </w:rPr>
      </w:pPr>
    </w:p>
    <w:p w14:paraId="6152E994" w14:textId="15AE6500" w:rsidR="007447E5" w:rsidRDefault="007447E5" w:rsidP="008B1C57">
      <w:pPr>
        <w:rPr>
          <w:rFonts w:ascii="Arial" w:hAnsi="Arial" w:cs="Arial"/>
          <w:sz w:val="20"/>
          <w:szCs w:val="20"/>
        </w:rPr>
      </w:pPr>
      <w:r>
        <w:rPr>
          <w:rFonts w:ascii="Arial" w:hAnsi="Arial" w:cs="Arial"/>
          <w:noProof/>
          <w:sz w:val="20"/>
          <w:szCs w:val="20"/>
        </w:rPr>
        <w:drawing>
          <wp:inline distT="0" distB="0" distL="0" distR="0" wp14:anchorId="245581D5" wp14:editId="2DBD1460">
            <wp:extent cx="6912864" cy="2642616"/>
            <wp:effectExtent l="0" t="0" r="2540" b="5715"/>
            <wp:docPr id="741383789" name="Picture 8" descr="Graph depicts the rates per 100,000 population of chlamydia cases in Essex County, Massachusetts by age group for 2015 and 2024. The included age groups are &lt;20 years, 20-29 years, 30-39 years, 40-49 years, 50-59 years, and 60+ years. Rates are highest among those aged 20-29, at 1684.0 in 2015 and 1715.9 in 2024. Rates are lowest among those aged 60+, at 9.7 in 2015 and 10.0 in 2024. The age group that saw the largest change in rate was 30-39 years, from 383.2 in 2015 to 534.5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1383789" name="Picture 8" descr="Graph depicts the rates per 100,000 population of chlamydia cases in Essex County, Massachusetts by age group for 2015 and 2024. The included age groups are &lt;20 years, 20-29 years, 30-39 years, 40-49 years, 50-59 years, and 60+ years. Rates are highest among those aged 20-29, at 1684.0 in 2015 and 1715.9 in 2024. Rates are lowest among those aged 60+, at 9.7 in 2015 and 10.0 in 2024. The age group that saw the largest change in rate was 30-39 years, from 383.2 in 2015 to 534.5 in 20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58ED9F6C" w14:textId="77777777" w:rsidR="007447E5" w:rsidRPr="001A0A68" w:rsidRDefault="007447E5" w:rsidP="007447E5">
      <w:pPr>
        <w:rPr>
          <w:rFonts w:ascii="Arial" w:hAnsi="Arial" w:cs="Arial"/>
          <w:sz w:val="12"/>
          <w:szCs w:val="12"/>
        </w:rPr>
      </w:pPr>
      <w:r w:rsidRPr="001A0A68">
        <w:rPr>
          <w:rFonts w:ascii="Arial" w:hAnsi="Arial" w:cs="Arial"/>
          <w:sz w:val="12"/>
          <w:szCs w:val="12"/>
        </w:rPr>
        <w:t xml:space="preserve">Data are current as of </w:t>
      </w:r>
      <w:r>
        <w:rPr>
          <w:rFonts w:ascii="Arial" w:hAnsi="Arial" w:cs="Arial"/>
          <w:sz w:val="12"/>
          <w:szCs w:val="12"/>
        </w:rPr>
        <w:t>6</w:t>
      </w:r>
      <w:r w:rsidRPr="001A0A68">
        <w:rPr>
          <w:rFonts w:ascii="Arial" w:hAnsi="Arial" w:cs="Arial"/>
          <w:sz w:val="12"/>
          <w:szCs w:val="12"/>
        </w:rPr>
        <w:t>/</w:t>
      </w:r>
      <w:r>
        <w:rPr>
          <w:rFonts w:ascii="Arial" w:hAnsi="Arial" w:cs="Arial"/>
          <w:sz w:val="12"/>
          <w:szCs w:val="12"/>
        </w:rPr>
        <w:t>02</w:t>
      </w:r>
      <w:r w:rsidRPr="001A0A68">
        <w:rPr>
          <w:rFonts w:ascii="Arial" w:hAnsi="Arial" w:cs="Arial"/>
          <w:sz w:val="12"/>
          <w:szCs w:val="12"/>
        </w:rPr>
        <w:t>/202</w:t>
      </w:r>
      <w:r>
        <w:rPr>
          <w:rFonts w:ascii="Arial" w:hAnsi="Arial" w:cs="Arial"/>
          <w:sz w:val="12"/>
          <w:szCs w:val="12"/>
        </w:rPr>
        <w:t>5</w:t>
      </w:r>
      <w:r w:rsidRPr="001A0A68">
        <w:rPr>
          <w:rFonts w:ascii="Arial" w:hAnsi="Arial" w:cs="Arial"/>
          <w:sz w:val="12"/>
          <w:szCs w:val="12"/>
        </w:rPr>
        <w:t xml:space="preserve"> and are subject to change. </w:t>
      </w:r>
    </w:p>
    <w:p w14:paraId="2F09DFC8" w14:textId="77777777" w:rsidR="007447E5" w:rsidRPr="001A0A68" w:rsidRDefault="007447E5" w:rsidP="007447E5">
      <w:pPr>
        <w:rPr>
          <w:rFonts w:ascii="Arial" w:hAnsi="Arial" w:cs="Arial"/>
          <w:sz w:val="12"/>
          <w:szCs w:val="12"/>
        </w:rPr>
      </w:pPr>
      <w:r w:rsidRPr="001A0A68">
        <w:rPr>
          <w:rFonts w:ascii="Arial" w:hAnsi="Arial" w:cs="Arial"/>
          <w:sz w:val="12"/>
          <w:szCs w:val="12"/>
        </w:rPr>
        <w:t>Population denominators: Strate S, et al. Small Area Population Estimates for 2011 through 2020 report, Oct 2016.</w:t>
      </w:r>
    </w:p>
    <w:p w14:paraId="52B33F23" w14:textId="6BB39809" w:rsidR="007447E5" w:rsidRPr="007447E5" w:rsidRDefault="007447E5" w:rsidP="008B1C57">
      <w:pPr>
        <w:rPr>
          <w:rFonts w:ascii="Arial" w:hAnsi="Arial" w:cs="Arial"/>
          <w:sz w:val="12"/>
          <w:szCs w:val="12"/>
        </w:rPr>
      </w:pPr>
      <w:r w:rsidRPr="001A0A68">
        <w:rPr>
          <w:rFonts w:ascii="Arial" w:hAnsi="Arial" w:cs="Arial"/>
          <w:sz w:val="12"/>
          <w:szCs w:val="12"/>
        </w:rPr>
        <w:t>Data source: Massachusetts Department of Public Health/Bureau of Infectious Disease and Laboratory Sciences/Division of STD Prevention.</w:t>
      </w:r>
    </w:p>
    <w:p w14:paraId="6602C291" w14:textId="77777777" w:rsidR="007447E5" w:rsidRDefault="007447E5" w:rsidP="008B1C57">
      <w:pPr>
        <w:rPr>
          <w:rFonts w:ascii="Arial" w:hAnsi="Arial" w:cs="Arial"/>
          <w:sz w:val="20"/>
          <w:szCs w:val="20"/>
        </w:rPr>
      </w:pPr>
    </w:p>
    <w:p w14:paraId="2E5AAFD8" w14:textId="77777777" w:rsidR="008B1C57" w:rsidRDefault="008B1C57" w:rsidP="007A1843">
      <w:pPr>
        <w:pStyle w:val="Heading1"/>
      </w:pPr>
      <w:r w:rsidRPr="41ED86E9" w:rsidDel="0016162E">
        <w:t>Gonorrhea</w:t>
      </w:r>
    </w:p>
    <w:p w14:paraId="14704132" w14:textId="5749F22A" w:rsidR="002D1A7B" w:rsidRPr="00BE2421" w:rsidRDefault="002D1A7B" w:rsidP="002D1A7B">
      <w:pPr>
        <w:rPr>
          <w:rFonts w:ascii="Arial" w:hAnsi="Arial" w:cs="Arial"/>
          <w:sz w:val="20"/>
          <w:szCs w:val="20"/>
          <w:vertAlign w:val="superscript"/>
        </w:rPr>
      </w:pPr>
      <w:r w:rsidRPr="00D96A7B">
        <w:rPr>
          <w:rFonts w:ascii="Arial" w:hAnsi="Arial" w:cs="Arial"/>
          <w:sz w:val="20"/>
          <w:szCs w:val="20"/>
        </w:rPr>
        <w:t xml:space="preserve">Gonorrhea has the second highest incidence among STIs reported both in Massachusetts and nationally. It can spread through vaginal, anal, or oral sexual contact with an infected partner or to an infant during birth. Symptoms of gonococcal infection can vary depending on the site of infection and may include dysuria, vaginal, penile, or anal discharge; irregular bleeding; abdominal or anal pain; and sore throat. </w:t>
      </w:r>
      <w:r w:rsidR="003D22DA">
        <w:rPr>
          <w:rFonts w:ascii="Arial" w:hAnsi="Arial" w:cs="Arial"/>
          <w:sz w:val="20"/>
          <w:szCs w:val="20"/>
        </w:rPr>
        <w:t>M</w:t>
      </w:r>
      <w:r w:rsidR="003D22DA" w:rsidRPr="00D96A7B">
        <w:rPr>
          <w:rFonts w:ascii="Arial" w:hAnsi="Arial" w:cs="Arial"/>
          <w:sz w:val="20"/>
          <w:szCs w:val="20"/>
        </w:rPr>
        <w:t>any infected individuals do not present with any symptoms of infection</w:t>
      </w:r>
      <w:r w:rsidR="003D22DA">
        <w:rPr>
          <w:rFonts w:ascii="Arial" w:hAnsi="Arial" w:cs="Arial"/>
          <w:sz w:val="20"/>
          <w:szCs w:val="20"/>
        </w:rPr>
        <w:t>, though males are more likely than females to experience symptoms</w:t>
      </w:r>
      <w:r w:rsidR="003D22DA" w:rsidRPr="00D96A7B">
        <w:rPr>
          <w:rFonts w:ascii="Arial" w:hAnsi="Arial" w:cs="Arial"/>
          <w:sz w:val="20"/>
          <w:szCs w:val="20"/>
        </w:rPr>
        <w:t>.</w:t>
      </w:r>
      <w:r w:rsidRPr="00D96A7B">
        <w:rPr>
          <w:rFonts w:ascii="Arial" w:hAnsi="Arial" w:cs="Arial"/>
          <w:sz w:val="20"/>
          <w:szCs w:val="20"/>
        </w:rPr>
        <w:t xml:space="preserve"> Although gonorrhea infection is treatable, it has become more complex with increased antimicrobial non-susceptibility</w:t>
      </w:r>
      <w:r w:rsidRPr="00EC31A8">
        <w:rPr>
          <w:rFonts w:ascii="Arial" w:hAnsi="Arial" w:cs="Arial"/>
          <w:sz w:val="20"/>
          <w:szCs w:val="20"/>
        </w:rPr>
        <w:t>.</w:t>
      </w:r>
      <w:r w:rsidR="00BE2421">
        <w:rPr>
          <w:rFonts w:ascii="Arial" w:hAnsi="Arial" w:cs="Arial"/>
          <w:sz w:val="20"/>
          <w:szCs w:val="20"/>
          <w:vertAlign w:val="superscript"/>
        </w:rPr>
        <w:t>2</w:t>
      </w:r>
    </w:p>
    <w:p w14:paraId="1853BD5C" w14:textId="77777777" w:rsidR="008B1C57" w:rsidRPr="0018731B" w:rsidRDefault="008B1C57" w:rsidP="008B1C57">
      <w:pPr>
        <w:rPr>
          <w:rFonts w:ascii="Arial" w:hAnsi="Arial" w:cs="Arial"/>
          <w:sz w:val="22"/>
        </w:rPr>
      </w:pPr>
    </w:p>
    <w:p w14:paraId="5F942F7D" w14:textId="22DE8183" w:rsidR="008B1C57" w:rsidRDefault="008B1C57" w:rsidP="008B1C57">
      <w:pPr>
        <w:rPr>
          <w:rFonts w:ascii="Arial" w:hAnsi="Arial" w:cs="Arial"/>
          <w:sz w:val="20"/>
          <w:szCs w:val="20"/>
        </w:rPr>
      </w:pPr>
      <w:bookmarkStart w:id="8" w:name="_Hlk206980804"/>
      <w:bookmarkStart w:id="9" w:name="_Hlk206978399"/>
      <w:r w:rsidRPr="00173387">
        <w:rPr>
          <w:rFonts w:ascii="Arial" w:hAnsi="Arial" w:cs="Arial"/>
          <w:b/>
          <w:bCs/>
          <w:sz w:val="20"/>
          <w:szCs w:val="20"/>
        </w:rPr>
        <w:t>Since 201</w:t>
      </w:r>
      <w:r>
        <w:rPr>
          <w:rFonts w:ascii="Arial" w:hAnsi="Arial" w:cs="Arial"/>
          <w:b/>
          <w:bCs/>
          <w:sz w:val="20"/>
          <w:szCs w:val="20"/>
        </w:rPr>
        <w:t>5</w:t>
      </w:r>
      <w:r w:rsidRPr="00173387">
        <w:rPr>
          <w:rFonts w:ascii="Arial" w:hAnsi="Arial" w:cs="Arial"/>
          <w:b/>
          <w:bCs/>
          <w:sz w:val="20"/>
          <w:szCs w:val="20"/>
        </w:rPr>
        <w:t>, the</w:t>
      </w:r>
      <w:r>
        <w:rPr>
          <w:rFonts w:ascii="Arial" w:hAnsi="Arial" w:cs="Arial"/>
          <w:b/>
          <w:bCs/>
          <w:sz w:val="20"/>
          <w:szCs w:val="20"/>
        </w:rPr>
        <w:t xml:space="preserve">re has been an </w:t>
      </w:r>
      <w:r w:rsidRPr="00173387">
        <w:rPr>
          <w:rFonts w:ascii="Arial" w:hAnsi="Arial" w:cs="Arial"/>
          <w:b/>
          <w:bCs/>
          <w:sz w:val="20"/>
          <w:szCs w:val="20"/>
        </w:rPr>
        <w:t xml:space="preserve">overall </w:t>
      </w:r>
      <w:r>
        <w:rPr>
          <w:rFonts w:ascii="Arial" w:hAnsi="Arial" w:cs="Arial"/>
          <w:b/>
          <w:bCs/>
          <w:sz w:val="20"/>
          <w:szCs w:val="20"/>
        </w:rPr>
        <w:t xml:space="preserve">increase </w:t>
      </w:r>
      <w:r w:rsidR="007447E5" w:rsidRPr="00173387">
        <w:rPr>
          <w:rFonts w:ascii="Arial" w:hAnsi="Arial" w:cs="Arial"/>
          <w:b/>
          <w:bCs/>
          <w:sz w:val="20"/>
          <w:szCs w:val="20"/>
        </w:rPr>
        <w:t>in</w:t>
      </w:r>
      <w:r w:rsidRPr="00173387">
        <w:rPr>
          <w:rFonts w:ascii="Arial" w:hAnsi="Arial" w:cs="Arial"/>
          <w:b/>
          <w:bCs/>
          <w:sz w:val="20"/>
          <w:szCs w:val="20"/>
        </w:rPr>
        <w:t xml:space="preserve"> reported gonorrhea</w:t>
      </w:r>
      <w:r>
        <w:rPr>
          <w:rFonts w:ascii="Arial" w:hAnsi="Arial" w:cs="Arial"/>
          <w:b/>
          <w:bCs/>
          <w:sz w:val="20"/>
          <w:szCs w:val="20"/>
        </w:rPr>
        <w:t xml:space="preserve"> cases statewide, </w:t>
      </w:r>
      <w:r w:rsidRPr="00B5513C">
        <w:rPr>
          <w:rFonts w:ascii="Arial" w:hAnsi="Arial" w:cs="Arial"/>
          <w:b/>
          <w:bCs/>
          <w:sz w:val="20"/>
          <w:szCs w:val="20"/>
        </w:rPr>
        <w:t xml:space="preserve">ranging from </w:t>
      </w:r>
      <w:r>
        <w:rPr>
          <w:rFonts w:ascii="Arial" w:hAnsi="Arial" w:cs="Arial"/>
          <w:b/>
          <w:bCs/>
          <w:sz w:val="20"/>
          <w:szCs w:val="20"/>
        </w:rPr>
        <w:t>3,592</w:t>
      </w:r>
      <w:r w:rsidRPr="00B5513C">
        <w:rPr>
          <w:rFonts w:ascii="Arial" w:hAnsi="Arial" w:cs="Arial"/>
          <w:b/>
          <w:bCs/>
          <w:sz w:val="20"/>
          <w:szCs w:val="20"/>
        </w:rPr>
        <w:t xml:space="preserve"> cases in 201</w:t>
      </w:r>
      <w:r>
        <w:rPr>
          <w:rFonts w:ascii="Arial" w:hAnsi="Arial" w:cs="Arial"/>
          <w:b/>
          <w:bCs/>
          <w:sz w:val="20"/>
          <w:szCs w:val="20"/>
        </w:rPr>
        <w:t>5</w:t>
      </w:r>
      <w:r w:rsidRPr="00B5513C">
        <w:rPr>
          <w:rFonts w:ascii="Arial" w:hAnsi="Arial" w:cs="Arial"/>
          <w:b/>
          <w:bCs/>
          <w:sz w:val="20"/>
          <w:szCs w:val="20"/>
        </w:rPr>
        <w:t xml:space="preserve"> to </w:t>
      </w:r>
      <w:r>
        <w:rPr>
          <w:rFonts w:ascii="Arial" w:hAnsi="Arial" w:cs="Arial"/>
          <w:b/>
          <w:bCs/>
          <w:sz w:val="20"/>
          <w:szCs w:val="20"/>
        </w:rPr>
        <w:t>8,678</w:t>
      </w:r>
      <w:r w:rsidRPr="00B5513C">
        <w:rPr>
          <w:rFonts w:ascii="Arial" w:hAnsi="Arial" w:cs="Arial"/>
          <w:b/>
          <w:bCs/>
          <w:sz w:val="20"/>
          <w:szCs w:val="20"/>
        </w:rPr>
        <w:t xml:space="preserve"> cases in 202</w:t>
      </w:r>
      <w:r>
        <w:rPr>
          <w:rFonts w:ascii="Arial" w:hAnsi="Arial" w:cs="Arial"/>
          <w:b/>
          <w:bCs/>
          <w:sz w:val="20"/>
          <w:szCs w:val="20"/>
        </w:rPr>
        <w:t>4</w:t>
      </w:r>
      <w:r>
        <w:rPr>
          <w:rFonts w:ascii="Arial" w:hAnsi="Arial" w:cs="Arial"/>
          <w:sz w:val="20"/>
          <w:szCs w:val="20"/>
        </w:rPr>
        <w:t>.</w:t>
      </w:r>
      <w:bookmarkEnd w:id="8"/>
      <w:r>
        <w:rPr>
          <w:rFonts w:ascii="Arial" w:hAnsi="Arial" w:cs="Arial"/>
          <w:sz w:val="20"/>
          <w:szCs w:val="20"/>
        </w:rPr>
        <w:t xml:space="preserve"> </w:t>
      </w:r>
      <w:bookmarkStart w:id="10" w:name="_Hlk206978482"/>
      <w:bookmarkEnd w:id="9"/>
      <w:r>
        <w:rPr>
          <w:rFonts w:ascii="Arial" w:hAnsi="Arial" w:cs="Arial"/>
          <w:sz w:val="20"/>
          <w:szCs w:val="20"/>
        </w:rPr>
        <w:t>Essex</w:t>
      </w:r>
      <w:r w:rsidRPr="00A52BD7">
        <w:rPr>
          <w:rFonts w:ascii="Arial" w:hAnsi="Arial" w:cs="Arial"/>
          <w:sz w:val="20"/>
          <w:szCs w:val="20"/>
        </w:rPr>
        <w:t xml:space="preserve"> County </w:t>
      </w:r>
      <w:bookmarkStart w:id="11" w:name="_Hlk206963177"/>
      <w:r w:rsidRPr="00A52BD7">
        <w:rPr>
          <w:rFonts w:ascii="Arial" w:hAnsi="Arial" w:cs="Arial"/>
          <w:sz w:val="20"/>
          <w:szCs w:val="20"/>
        </w:rPr>
        <w:t xml:space="preserve">also experienced an overall increase in </w:t>
      </w:r>
      <w:r>
        <w:rPr>
          <w:rFonts w:ascii="Arial" w:hAnsi="Arial" w:cs="Arial"/>
          <w:sz w:val="20"/>
          <w:szCs w:val="20"/>
        </w:rPr>
        <w:t xml:space="preserve">reported </w:t>
      </w:r>
      <w:r w:rsidRPr="00A52BD7">
        <w:rPr>
          <w:rFonts w:ascii="Arial" w:hAnsi="Arial" w:cs="Arial"/>
          <w:sz w:val="20"/>
          <w:szCs w:val="20"/>
        </w:rPr>
        <w:t>gonorrhea cases</w:t>
      </w:r>
      <w:bookmarkEnd w:id="11"/>
      <w:r w:rsidRPr="00A52BD7">
        <w:rPr>
          <w:rFonts w:ascii="Arial" w:hAnsi="Arial" w:cs="Arial"/>
          <w:sz w:val="20"/>
          <w:szCs w:val="20"/>
        </w:rPr>
        <w:t xml:space="preserve">, ranging from </w:t>
      </w:r>
      <w:r w:rsidRPr="00A37781">
        <w:rPr>
          <w:rFonts w:ascii="Arial" w:hAnsi="Arial" w:cs="Arial"/>
          <w:sz w:val="20"/>
          <w:szCs w:val="20"/>
        </w:rPr>
        <w:t>2</w:t>
      </w:r>
      <w:r w:rsidR="009604B7">
        <w:rPr>
          <w:rFonts w:ascii="Arial" w:hAnsi="Arial" w:cs="Arial"/>
          <w:sz w:val="20"/>
          <w:szCs w:val="20"/>
        </w:rPr>
        <w:t>64</w:t>
      </w:r>
      <w:r w:rsidRPr="00A52BD7">
        <w:rPr>
          <w:rFonts w:ascii="Arial" w:hAnsi="Arial" w:cs="Arial"/>
          <w:sz w:val="20"/>
          <w:szCs w:val="20"/>
        </w:rPr>
        <w:t xml:space="preserve"> in 201</w:t>
      </w:r>
      <w:r>
        <w:rPr>
          <w:rFonts w:ascii="Arial" w:hAnsi="Arial" w:cs="Arial"/>
          <w:sz w:val="20"/>
          <w:szCs w:val="20"/>
        </w:rPr>
        <w:t>5</w:t>
      </w:r>
      <w:r w:rsidRPr="00A52BD7">
        <w:rPr>
          <w:rFonts w:ascii="Arial" w:hAnsi="Arial" w:cs="Arial"/>
          <w:sz w:val="20"/>
          <w:szCs w:val="20"/>
        </w:rPr>
        <w:t xml:space="preserve"> to </w:t>
      </w:r>
      <w:r w:rsidR="009604B7">
        <w:rPr>
          <w:rFonts w:ascii="Arial" w:hAnsi="Arial" w:cs="Arial"/>
          <w:sz w:val="20"/>
          <w:szCs w:val="20"/>
        </w:rPr>
        <w:t>a peak of 886 in 2023, before declining slightly to 785</w:t>
      </w:r>
      <w:r w:rsidRPr="00A52BD7">
        <w:rPr>
          <w:rFonts w:ascii="Arial" w:hAnsi="Arial" w:cs="Arial"/>
          <w:sz w:val="20"/>
          <w:szCs w:val="20"/>
        </w:rPr>
        <w:t xml:space="preserve"> in 202</w:t>
      </w:r>
      <w:r>
        <w:rPr>
          <w:rFonts w:ascii="Arial" w:hAnsi="Arial" w:cs="Arial"/>
          <w:sz w:val="20"/>
          <w:szCs w:val="20"/>
        </w:rPr>
        <w:t>4</w:t>
      </w:r>
      <w:r w:rsidRPr="00A52BD7">
        <w:rPr>
          <w:rFonts w:ascii="Arial" w:hAnsi="Arial" w:cs="Arial"/>
          <w:sz w:val="20"/>
          <w:szCs w:val="20"/>
        </w:rPr>
        <w:t xml:space="preserve">. </w:t>
      </w:r>
      <w:r w:rsidRPr="00A95970">
        <w:rPr>
          <w:rFonts w:ascii="Arial" w:hAnsi="Arial" w:cs="Arial"/>
          <w:sz w:val="20"/>
          <w:szCs w:val="20"/>
        </w:rPr>
        <w:t>In 202</w:t>
      </w:r>
      <w:r>
        <w:rPr>
          <w:rFonts w:ascii="Arial" w:hAnsi="Arial" w:cs="Arial"/>
          <w:sz w:val="20"/>
          <w:szCs w:val="20"/>
        </w:rPr>
        <w:t>4</w:t>
      </w:r>
      <w:r w:rsidRPr="00A95970">
        <w:rPr>
          <w:rFonts w:ascii="Arial" w:hAnsi="Arial" w:cs="Arial"/>
          <w:sz w:val="20"/>
          <w:szCs w:val="20"/>
        </w:rPr>
        <w:t>,</w:t>
      </w:r>
      <w:r>
        <w:rPr>
          <w:rFonts w:ascii="Arial" w:hAnsi="Arial" w:cs="Arial"/>
          <w:sz w:val="20"/>
          <w:szCs w:val="20"/>
        </w:rPr>
        <w:t xml:space="preserve"> </w:t>
      </w:r>
      <w:r w:rsidRPr="00A95970">
        <w:rPr>
          <w:rFonts w:ascii="Arial" w:hAnsi="Arial" w:cs="Arial"/>
          <w:sz w:val="20"/>
          <w:szCs w:val="20"/>
        </w:rPr>
        <w:t>the</w:t>
      </w:r>
      <w:r>
        <w:rPr>
          <w:rFonts w:ascii="Arial" w:hAnsi="Arial" w:cs="Arial"/>
          <w:sz w:val="20"/>
          <w:szCs w:val="20"/>
        </w:rPr>
        <w:t xml:space="preserve"> county</w:t>
      </w:r>
      <w:r w:rsidRPr="00A95970">
        <w:rPr>
          <w:rFonts w:ascii="Arial" w:hAnsi="Arial" w:cs="Arial"/>
          <w:sz w:val="20"/>
          <w:szCs w:val="20"/>
        </w:rPr>
        <w:t xml:space="preserve"> </w:t>
      </w:r>
      <w:r>
        <w:rPr>
          <w:rFonts w:ascii="Arial" w:hAnsi="Arial" w:cs="Arial"/>
          <w:sz w:val="20"/>
          <w:szCs w:val="20"/>
        </w:rPr>
        <w:t>incidence rate of g</w:t>
      </w:r>
      <w:r w:rsidRPr="40CCF988">
        <w:rPr>
          <w:rFonts w:ascii="Arial" w:hAnsi="Arial" w:cs="Arial"/>
          <w:sz w:val="20"/>
          <w:szCs w:val="20"/>
        </w:rPr>
        <w:t xml:space="preserve">onorrhea </w:t>
      </w:r>
      <w:r>
        <w:rPr>
          <w:rFonts w:ascii="Arial" w:hAnsi="Arial" w:cs="Arial"/>
          <w:sz w:val="20"/>
          <w:szCs w:val="20"/>
        </w:rPr>
        <w:t xml:space="preserve">infection </w:t>
      </w:r>
      <w:r w:rsidRPr="000E2B4A">
        <w:rPr>
          <w:rFonts w:ascii="Arial" w:hAnsi="Arial" w:cs="Arial"/>
          <w:sz w:val="20"/>
          <w:szCs w:val="20"/>
        </w:rPr>
        <w:t>was</w:t>
      </w:r>
      <w:r>
        <w:rPr>
          <w:rFonts w:ascii="Arial" w:hAnsi="Arial" w:cs="Arial"/>
          <w:sz w:val="20"/>
          <w:szCs w:val="20"/>
        </w:rPr>
        <w:t xml:space="preserve"> </w:t>
      </w:r>
      <w:r w:rsidR="009604B7" w:rsidRPr="009604B7">
        <w:rPr>
          <w:rFonts w:ascii="Arial" w:hAnsi="Arial" w:cs="Arial"/>
          <w:sz w:val="20"/>
          <w:szCs w:val="20"/>
        </w:rPr>
        <w:t>96.9</w:t>
      </w:r>
      <w:r>
        <w:rPr>
          <w:rFonts w:ascii="Arial" w:hAnsi="Arial" w:cs="Arial"/>
          <w:sz w:val="20"/>
          <w:szCs w:val="20"/>
        </w:rPr>
        <w:t xml:space="preserve"> </w:t>
      </w:r>
      <w:r w:rsidRPr="000E2B4A">
        <w:rPr>
          <w:rFonts w:ascii="Arial" w:hAnsi="Arial" w:cs="Arial"/>
          <w:sz w:val="20"/>
          <w:szCs w:val="20"/>
        </w:rPr>
        <w:t>per 100,000</w:t>
      </w:r>
      <w:r>
        <w:rPr>
          <w:rFonts w:ascii="Arial" w:hAnsi="Arial" w:cs="Arial"/>
          <w:sz w:val="20"/>
          <w:szCs w:val="20"/>
        </w:rPr>
        <w:t>,</w:t>
      </w:r>
      <w:r w:rsidRPr="00A37781">
        <w:rPr>
          <w:rFonts w:ascii="Arial" w:hAnsi="Arial" w:cs="Arial"/>
          <w:sz w:val="20"/>
          <w:szCs w:val="20"/>
        </w:rPr>
        <w:t xml:space="preserve"> </w:t>
      </w:r>
      <w:bookmarkStart w:id="12" w:name="_Hlk206984096"/>
      <w:bookmarkStart w:id="13" w:name="_Hlk206982198"/>
      <w:bookmarkStart w:id="14" w:name="_Hlk206989552"/>
      <w:r w:rsidRPr="00173387">
        <w:rPr>
          <w:rFonts w:ascii="Arial" w:hAnsi="Arial" w:cs="Arial"/>
          <w:sz w:val="20"/>
          <w:szCs w:val="20"/>
        </w:rPr>
        <w:t xml:space="preserve">while </w:t>
      </w:r>
      <w:bookmarkStart w:id="15" w:name="_Hlk206981097"/>
      <w:r w:rsidRPr="00173387">
        <w:rPr>
          <w:rFonts w:ascii="Arial" w:hAnsi="Arial" w:cs="Arial"/>
          <w:sz w:val="20"/>
          <w:szCs w:val="20"/>
        </w:rPr>
        <w:t xml:space="preserve">the </w:t>
      </w:r>
      <w:r w:rsidR="009604B7" w:rsidRPr="009604B7">
        <w:rPr>
          <w:rFonts w:ascii="Arial" w:hAnsi="Arial" w:cs="Arial"/>
          <w:sz w:val="20"/>
          <w:szCs w:val="20"/>
        </w:rPr>
        <w:t xml:space="preserve">statewide </w:t>
      </w:r>
      <w:r w:rsidRPr="00173387">
        <w:rPr>
          <w:rFonts w:ascii="Arial" w:hAnsi="Arial" w:cs="Arial"/>
          <w:sz w:val="20"/>
          <w:szCs w:val="20"/>
        </w:rPr>
        <w:t xml:space="preserve">rate was </w:t>
      </w:r>
      <w:r>
        <w:rPr>
          <w:rFonts w:ascii="Arial" w:hAnsi="Arial" w:cs="Arial"/>
          <w:sz w:val="20"/>
          <w:szCs w:val="20"/>
        </w:rPr>
        <w:t>12</w:t>
      </w:r>
      <w:r w:rsidR="00AD4021">
        <w:rPr>
          <w:rFonts w:ascii="Arial" w:hAnsi="Arial" w:cs="Arial"/>
          <w:sz w:val="20"/>
          <w:szCs w:val="20"/>
        </w:rPr>
        <w:t>3.4</w:t>
      </w:r>
      <w:r>
        <w:rPr>
          <w:rFonts w:ascii="Arial" w:hAnsi="Arial" w:cs="Arial"/>
          <w:sz w:val="20"/>
          <w:szCs w:val="20"/>
        </w:rPr>
        <w:t xml:space="preserve"> </w:t>
      </w:r>
      <w:r w:rsidRPr="00173387">
        <w:rPr>
          <w:rFonts w:ascii="Arial" w:hAnsi="Arial" w:cs="Arial"/>
          <w:sz w:val="20"/>
          <w:szCs w:val="20"/>
        </w:rPr>
        <w:t xml:space="preserve">per 100,000. </w:t>
      </w:r>
      <w:bookmarkStart w:id="16" w:name="_Hlk220025808"/>
      <w:bookmarkEnd w:id="12"/>
      <w:r w:rsidR="00BE2421" w:rsidRPr="005419BE">
        <w:rPr>
          <w:rFonts w:ascii="Arial" w:hAnsi="Arial" w:cs="Arial"/>
          <w:sz w:val="20"/>
          <w:szCs w:val="20"/>
        </w:rPr>
        <w:t>These</w:t>
      </w:r>
      <w:r w:rsidR="002B5022">
        <w:rPr>
          <w:rFonts w:ascii="Arial" w:hAnsi="Arial" w:cs="Arial"/>
          <w:sz w:val="20"/>
          <w:szCs w:val="20"/>
        </w:rPr>
        <w:t xml:space="preserve"> rates</w:t>
      </w:r>
      <w:r w:rsidR="00BE2421" w:rsidRPr="005419BE">
        <w:rPr>
          <w:rFonts w:ascii="Arial" w:hAnsi="Arial" w:cs="Arial"/>
          <w:sz w:val="20"/>
          <w:szCs w:val="20"/>
        </w:rPr>
        <w:t xml:space="preserve"> </w:t>
      </w:r>
      <w:r w:rsidR="00EB6A47">
        <w:rPr>
          <w:rFonts w:ascii="Arial" w:hAnsi="Arial" w:cs="Arial"/>
          <w:sz w:val="20"/>
          <w:szCs w:val="20"/>
        </w:rPr>
        <w:t>are lower</w:t>
      </w:r>
      <w:r w:rsidR="00BE2421" w:rsidRPr="005419BE">
        <w:rPr>
          <w:rFonts w:ascii="Arial" w:hAnsi="Arial" w:cs="Arial"/>
          <w:sz w:val="20"/>
          <w:szCs w:val="20"/>
        </w:rPr>
        <w:t xml:space="preserve"> compared to the national rate of 159.8 per 100,000.</w:t>
      </w:r>
      <w:r w:rsidR="00BE2421">
        <w:rPr>
          <w:rFonts w:ascii="Arial" w:hAnsi="Arial" w:cs="Arial"/>
          <w:sz w:val="20"/>
          <w:szCs w:val="20"/>
          <w:vertAlign w:val="superscript"/>
        </w:rPr>
        <w:t>4</w:t>
      </w:r>
      <w:bookmarkEnd w:id="16"/>
    </w:p>
    <w:bookmarkEnd w:id="10"/>
    <w:bookmarkEnd w:id="13"/>
    <w:bookmarkEnd w:id="15"/>
    <w:p w14:paraId="52EEA9AC" w14:textId="77777777" w:rsidR="008B1C57" w:rsidRDefault="008B1C57" w:rsidP="008B1C57">
      <w:pPr>
        <w:rPr>
          <w:rFonts w:ascii="Arial" w:hAnsi="Arial" w:cs="Arial"/>
          <w:sz w:val="20"/>
          <w:szCs w:val="20"/>
        </w:rPr>
      </w:pPr>
    </w:p>
    <w:p w14:paraId="08A0D511" w14:textId="36A152E1" w:rsidR="00D83186" w:rsidRDefault="00EB6A47" w:rsidP="008B1C57">
      <w:pPr>
        <w:rPr>
          <w:rFonts w:ascii="Arial" w:hAnsi="Arial" w:cs="Arial"/>
          <w:sz w:val="20"/>
          <w:szCs w:val="20"/>
        </w:rPr>
      </w:pPr>
      <w:bookmarkStart w:id="17" w:name="_Hlk206978590"/>
      <w:bookmarkEnd w:id="14"/>
      <w:r>
        <w:rPr>
          <w:rFonts w:ascii="Arial" w:hAnsi="Arial" w:cs="Arial"/>
          <w:b/>
          <w:bCs/>
          <w:sz w:val="20"/>
          <w:szCs w:val="20"/>
        </w:rPr>
        <w:t>Between 2015 and 2024, t</w:t>
      </w:r>
      <w:r w:rsidR="008B1C57" w:rsidRPr="00C50C59">
        <w:rPr>
          <w:rFonts w:ascii="Arial" w:hAnsi="Arial" w:cs="Arial"/>
          <w:b/>
          <w:bCs/>
          <w:sz w:val="20"/>
          <w:szCs w:val="20"/>
        </w:rPr>
        <w:t xml:space="preserve">he county incidence rate among </w:t>
      </w:r>
      <w:r w:rsidR="008B1C57">
        <w:rPr>
          <w:rFonts w:ascii="Arial" w:hAnsi="Arial" w:cs="Arial"/>
          <w:b/>
          <w:bCs/>
          <w:sz w:val="20"/>
          <w:szCs w:val="20"/>
        </w:rPr>
        <w:t>males</w:t>
      </w:r>
      <w:r w:rsidR="008B1C57" w:rsidRPr="00C50C59">
        <w:rPr>
          <w:rFonts w:ascii="Arial" w:hAnsi="Arial" w:cs="Arial"/>
          <w:b/>
          <w:bCs/>
          <w:sz w:val="20"/>
          <w:szCs w:val="20"/>
        </w:rPr>
        <w:t xml:space="preserve"> </w:t>
      </w:r>
      <w:r>
        <w:rPr>
          <w:rFonts w:ascii="Arial" w:hAnsi="Arial" w:cs="Arial"/>
          <w:b/>
          <w:bCs/>
          <w:sz w:val="20"/>
          <w:szCs w:val="20"/>
        </w:rPr>
        <w:t>was consistently</w:t>
      </w:r>
      <w:r w:rsidRPr="00C50C59">
        <w:rPr>
          <w:rFonts w:ascii="Arial" w:hAnsi="Arial" w:cs="Arial"/>
          <w:b/>
          <w:bCs/>
          <w:sz w:val="20"/>
          <w:szCs w:val="20"/>
        </w:rPr>
        <w:t xml:space="preserve"> </w:t>
      </w:r>
      <w:r w:rsidR="008B1C57" w:rsidRPr="0086432C">
        <w:rPr>
          <w:rFonts w:ascii="Arial" w:hAnsi="Arial" w:cs="Arial"/>
          <w:b/>
          <w:bCs/>
          <w:sz w:val="20"/>
          <w:szCs w:val="20"/>
        </w:rPr>
        <w:t xml:space="preserve">higher </w:t>
      </w:r>
      <w:r w:rsidR="008B1C57" w:rsidRPr="008B3DBC">
        <w:rPr>
          <w:rFonts w:ascii="Arial" w:hAnsi="Arial" w:cs="Arial"/>
          <w:sz w:val="20"/>
          <w:szCs w:val="20"/>
        </w:rPr>
        <w:t>compared to females</w:t>
      </w:r>
      <w:bookmarkEnd w:id="17"/>
      <w:r w:rsidR="008B1C57" w:rsidRPr="008B3DBC">
        <w:rPr>
          <w:rFonts w:ascii="Arial" w:hAnsi="Arial" w:cs="Arial"/>
          <w:sz w:val="20"/>
          <w:szCs w:val="20"/>
        </w:rPr>
        <w:t>.</w:t>
      </w:r>
      <w:r w:rsidR="008B1C57" w:rsidRPr="00C50C59">
        <w:rPr>
          <w:rFonts w:ascii="Arial" w:hAnsi="Arial" w:cs="Arial"/>
          <w:sz w:val="20"/>
          <w:szCs w:val="20"/>
        </w:rPr>
        <w:t xml:space="preserve"> In 202</w:t>
      </w:r>
      <w:r w:rsidR="008B1C57">
        <w:rPr>
          <w:rFonts w:ascii="Arial" w:hAnsi="Arial" w:cs="Arial"/>
          <w:sz w:val="20"/>
          <w:szCs w:val="20"/>
        </w:rPr>
        <w:t>4</w:t>
      </w:r>
      <w:r w:rsidR="008B1C57" w:rsidRPr="00C50C59">
        <w:rPr>
          <w:rFonts w:ascii="Arial" w:hAnsi="Arial" w:cs="Arial"/>
          <w:sz w:val="20"/>
          <w:szCs w:val="20"/>
        </w:rPr>
        <w:t xml:space="preserve">, </w:t>
      </w:r>
      <w:r w:rsidR="008B1C57">
        <w:rPr>
          <w:rFonts w:ascii="Arial" w:hAnsi="Arial" w:cs="Arial"/>
          <w:sz w:val="20"/>
          <w:szCs w:val="20"/>
        </w:rPr>
        <w:t>males</w:t>
      </w:r>
      <w:r w:rsidR="008B1C57" w:rsidRPr="00C50C59">
        <w:rPr>
          <w:rFonts w:ascii="Arial" w:hAnsi="Arial" w:cs="Arial"/>
          <w:sz w:val="20"/>
          <w:szCs w:val="20"/>
        </w:rPr>
        <w:t xml:space="preserve"> accounted for </w:t>
      </w:r>
      <w:r w:rsidR="009258EC">
        <w:rPr>
          <w:rFonts w:ascii="Arial" w:hAnsi="Arial" w:cs="Arial"/>
          <w:sz w:val="20"/>
          <w:szCs w:val="20"/>
        </w:rPr>
        <w:t>58.6</w:t>
      </w:r>
      <w:r w:rsidR="008B1C57" w:rsidRPr="00C50C59">
        <w:rPr>
          <w:rFonts w:ascii="Arial" w:hAnsi="Arial" w:cs="Arial"/>
          <w:sz w:val="20"/>
          <w:szCs w:val="20"/>
        </w:rPr>
        <w:t xml:space="preserve">% </w:t>
      </w:r>
      <w:r w:rsidR="008B1C57" w:rsidRPr="002A61DC">
        <w:rPr>
          <w:rFonts w:ascii="Arial" w:hAnsi="Arial" w:cs="Arial"/>
          <w:sz w:val="20"/>
          <w:szCs w:val="20"/>
        </w:rPr>
        <w:t xml:space="preserve">of all gonorrhea cases in Essex County with a rate of </w:t>
      </w:r>
      <w:r w:rsidR="009258EC" w:rsidRPr="002A61DC">
        <w:rPr>
          <w:rFonts w:ascii="Arial" w:hAnsi="Arial" w:cs="Arial"/>
          <w:sz w:val="20"/>
          <w:szCs w:val="20"/>
        </w:rPr>
        <w:t>117.9</w:t>
      </w:r>
      <w:r w:rsidR="008B1C57" w:rsidRPr="002A61DC">
        <w:rPr>
          <w:rFonts w:ascii="Arial" w:hAnsi="Arial" w:cs="Arial"/>
          <w:sz w:val="20"/>
          <w:szCs w:val="20"/>
        </w:rPr>
        <w:t xml:space="preserve"> per 100,000, while females had a rate of 76.</w:t>
      </w:r>
      <w:r w:rsidR="009258EC" w:rsidRPr="002A61DC">
        <w:rPr>
          <w:rFonts w:ascii="Arial" w:hAnsi="Arial" w:cs="Arial"/>
          <w:sz w:val="20"/>
          <w:szCs w:val="20"/>
        </w:rPr>
        <w:t xml:space="preserve">2 </w:t>
      </w:r>
      <w:r w:rsidR="008B1C57" w:rsidRPr="002A61DC">
        <w:rPr>
          <w:rFonts w:ascii="Arial" w:hAnsi="Arial" w:cs="Arial"/>
          <w:sz w:val="20"/>
          <w:szCs w:val="20"/>
        </w:rPr>
        <w:t>per 100,000.</w:t>
      </w:r>
      <w:r w:rsidR="00A71A7A" w:rsidRPr="002A61DC">
        <w:rPr>
          <w:rFonts w:ascii="Arial" w:hAnsi="Arial" w:cs="Arial"/>
          <w:sz w:val="20"/>
          <w:szCs w:val="20"/>
        </w:rPr>
        <w:t xml:space="preserve"> </w:t>
      </w:r>
      <w:r w:rsidR="008B1C57" w:rsidRPr="002A61DC">
        <w:rPr>
          <w:rFonts w:ascii="Arial" w:hAnsi="Arial" w:cs="Arial"/>
          <w:sz w:val="20"/>
          <w:szCs w:val="20"/>
        </w:rPr>
        <w:t xml:space="preserve"> </w:t>
      </w:r>
    </w:p>
    <w:p w14:paraId="0C8DC693" w14:textId="54D3C60B" w:rsidR="002A61DC" w:rsidRDefault="002A61DC" w:rsidP="002703FD">
      <w:pPr>
        <w:rPr>
          <w:rFonts w:ascii="Arial" w:hAnsi="Arial" w:cs="Arial"/>
          <w:sz w:val="20"/>
          <w:szCs w:val="20"/>
        </w:rPr>
      </w:pPr>
    </w:p>
    <w:p w14:paraId="09CB23FB" w14:textId="77777777" w:rsidR="00FF0A68" w:rsidRDefault="00FF0A68" w:rsidP="002703FD">
      <w:pPr>
        <w:rPr>
          <w:rFonts w:ascii="Arial" w:hAnsi="Arial" w:cs="Arial"/>
          <w:sz w:val="20"/>
          <w:szCs w:val="20"/>
        </w:rPr>
      </w:pPr>
    </w:p>
    <w:p w14:paraId="75B28FE4" w14:textId="1352CBDB" w:rsidR="003D22DA" w:rsidRDefault="003D22DA" w:rsidP="002703FD">
      <w:pPr>
        <w:rPr>
          <w:rFonts w:ascii="Arial" w:hAnsi="Arial" w:cs="Arial"/>
          <w:sz w:val="20"/>
          <w:szCs w:val="20"/>
        </w:rPr>
      </w:pPr>
      <w:r>
        <w:rPr>
          <w:rFonts w:ascii="Arial" w:hAnsi="Arial" w:cs="Arial"/>
          <w:noProof/>
          <w:sz w:val="20"/>
          <w:szCs w:val="20"/>
        </w:rPr>
        <w:lastRenderedPageBreak/>
        <w:drawing>
          <wp:inline distT="0" distB="0" distL="0" distR="0" wp14:anchorId="66A049F3" wp14:editId="3746E9DC">
            <wp:extent cx="6912864" cy="2276856"/>
            <wp:effectExtent l="0" t="0" r="0" b="9525"/>
            <wp:docPr id="556711115" name="Picture 2" descr="Graph depicts the rates per 100,000 population of gonorrhea in Massachusetts statewide, in Essex County overall, and by gender in Essex County between 2015 and 2024. The line showing statewide rate begins at 52.6 in 2015 and ends at 123.4 in 2024, with a peak of 139.1 in 2023. The line showing Essex County overall rate begins at 33.8 in 2015 and ends at 96.9 in 2024, with a peak of 109.4 in 2023. The line showing the rate among females in Essex County begins at 21.0 in 2015 and ends at 76.2 in 2024, with a peak of 86.0 in 2023. The line showing the rate among males in Essex County begins at 47.5 in 2015 and ends at 117.9 in 2024, with a peak of 134.1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11115" name="Picture 2" descr="Graph depicts the rates per 100,000 population of gonorrhea in Massachusetts statewide, in Essex County overall, and by gender in Essex County between 2015 and 2024. The line showing statewide rate begins at 52.6 in 2015 and ends at 123.4 in 2024, with a peak of 139.1 in 2023. The line showing Essex County overall rate begins at 33.8 in 2015 and ends at 96.9 in 2024, with a peak of 109.4 in 2023. The line showing the rate among females in Essex County begins at 21.0 in 2015 and ends at 76.2 in 2024, with a peak of 86.0 in 2023. The line showing the rate among males in Essex County begins at 47.5 in 2015 and ends at 117.9 in 2024, with a peak of 134.1 in 20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2864" cy="2276856"/>
                    </a:xfrm>
                    <a:prstGeom prst="rect">
                      <a:avLst/>
                    </a:prstGeom>
                    <a:noFill/>
                  </pic:spPr>
                </pic:pic>
              </a:graphicData>
            </a:graphic>
          </wp:inline>
        </w:drawing>
      </w:r>
    </w:p>
    <w:p w14:paraId="26291459" w14:textId="77777777" w:rsidR="002A61DC" w:rsidRPr="004B107C" w:rsidRDefault="002A61DC" w:rsidP="002A61DC">
      <w:pPr>
        <w:rPr>
          <w:rFonts w:ascii="Arial" w:hAnsi="Arial" w:cs="Arial"/>
          <w:sz w:val="12"/>
          <w:szCs w:val="12"/>
        </w:rPr>
      </w:pPr>
      <w:r w:rsidRPr="004B107C">
        <w:rPr>
          <w:rFonts w:ascii="Arial" w:hAnsi="Arial" w:cs="Arial"/>
          <w:sz w:val="12"/>
          <w:szCs w:val="12"/>
        </w:rPr>
        <w:t xml:space="preserve">Data are current as of </w:t>
      </w:r>
      <w:r>
        <w:rPr>
          <w:rFonts w:ascii="Arial" w:hAnsi="Arial" w:cs="Arial"/>
          <w:sz w:val="12"/>
          <w:szCs w:val="12"/>
        </w:rPr>
        <w:t>6</w:t>
      </w:r>
      <w:r w:rsidRPr="004B107C">
        <w:rPr>
          <w:rFonts w:ascii="Arial" w:hAnsi="Arial" w:cs="Arial"/>
          <w:sz w:val="12"/>
          <w:szCs w:val="12"/>
        </w:rPr>
        <w:t>/</w:t>
      </w:r>
      <w:r>
        <w:rPr>
          <w:rFonts w:ascii="Arial" w:hAnsi="Arial" w:cs="Arial"/>
          <w:sz w:val="12"/>
          <w:szCs w:val="12"/>
        </w:rPr>
        <w:t>02</w:t>
      </w:r>
      <w:r w:rsidRPr="004B107C">
        <w:rPr>
          <w:rFonts w:ascii="Arial" w:hAnsi="Arial" w:cs="Arial"/>
          <w:sz w:val="12"/>
          <w:szCs w:val="12"/>
        </w:rPr>
        <w:t>/202</w:t>
      </w:r>
      <w:r>
        <w:rPr>
          <w:rFonts w:ascii="Arial" w:hAnsi="Arial" w:cs="Arial"/>
          <w:sz w:val="12"/>
          <w:szCs w:val="12"/>
        </w:rPr>
        <w:t>5</w:t>
      </w:r>
      <w:r w:rsidRPr="004B107C">
        <w:rPr>
          <w:rFonts w:ascii="Arial" w:hAnsi="Arial" w:cs="Arial"/>
          <w:sz w:val="12"/>
          <w:szCs w:val="12"/>
        </w:rPr>
        <w:t xml:space="preserve"> and are subject to change. </w:t>
      </w:r>
    </w:p>
    <w:p w14:paraId="10FE6EDB" w14:textId="77777777" w:rsidR="002A61DC" w:rsidRPr="004B107C" w:rsidRDefault="002A61DC" w:rsidP="002A61DC">
      <w:pPr>
        <w:rPr>
          <w:rFonts w:ascii="Arial" w:hAnsi="Arial" w:cs="Arial"/>
          <w:sz w:val="12"/>
          <w:szCs w:val="12"/>
        </w:rPr>
      </w:pPr>
      <w:r w:rsidRPr="004B107C">
        <w:rPr>
          <w:rFonts w:ascii="Arial" w:hAnsi="Arial" w:cs="Arial"/>
          <w:sz w:val="12"/>
          <w:szCs w:val="12"/>
        </w:rPr>
        <w:t>Population denominators: Strate S, et al. Small Area Population Estimates for 2011 through 2020 report, Oct 2016.</w:t>
      </w:r>
    </w:p>
    <w:p w14:paraId="0BEF76D8" w14:textId="77777777" w:rsidR="002A61DC" w:rsidRPr="004B107C" w:rsidRDefault="002A61DC" w:rsidP="002A61DC">
      <w:pPr>
        <w:rPr>
          <w:rFonts w:ascii="Arial" w:hAnsi="Arial" w:cs="Arial"/>
          <w:sz w:val="12"/>
          <w:szCs w:val="12"/>
        </w:rPr>
      </w:pPr>
      <w:r w:rsidRPr="004B107C">
        <w:rPr>
          <w:rFonts w:ascii="Arial" w:hAnsi="Arial" w:cs="Arial"/>
          <w:sz w:val="12"/>
          <w:szCs w:val="12"/>
        </w:rPr>
        <w:t>Data source: Massachusetts Department of Public Health/Bureau of Infectious Disease and Laboratory Sciences/Division of STD Prevention.</w:t>
      </w:r>
    </w:p>
    <w:p w14:paraId="386F17DA" w14:textId="77777777" w:rsidR="002A61DC" w:rsidRPr="002A61DC" w:rsidRDefault="002A61DC" w:rsidP="002703FD">
      <w:pPr>
        <w:rPr>
          <w:rFonts w:ascii="Arial" w:hAnsi="Arial" w:cs="Arial"/>
          <w:sz w:val="20"/>
          <w:szCs w:val="20"/>
        </w:rPr>
      </w:pPr>
    </w:p>
    <w:p w14:paraId="3E53AA95" w14:textId="5BA23A1B" w:rsidR="002703FD" w:rsidRDefault="002703FD" w:rsidP="002703FD">
      <w:pPr>
        <w:rPr>
          <w:rFonts w:ascii="Arial" w:hAnsi="Arial" w:cs="Arial"/>
          <w:b/>
          <w:bCs/>
          <w:sz w:val="20"/>
          <w:szCs w:val="20"/>
        </w:rPr>
      </w:pPr>
      <w:r w:rsidRPr="00FD1CAC">
        <w:rPr>
          <w:rFonts w:ascii="Arial" w:hAnsi="Arial" w:cs="Arial"/>
          <w:b/>
          <w:bCs/>
          <w:sz w:val="20"/>
          <w:szCs w:val="20"/>
        </w:rPr>
        <w:t xml:space="preserve">In 2024, </w:t>
      </w:r>
      <w:r w:rsidR="00452D35">
        <w:rPr>
          <w:rFonts w:ascii="Arial" w:hAnsi="Arial" w:cs="Arial"/>
          <w:b/>
          <w:bCs/>
          <w:sz w:val="20"/>
          <w:szCs w:val="20"/>
        </w:rPr>
        <w:t>318</w:t>
      </w:r>
      <w:r w:rsidRPr="00FD1CAC">
        <w:rPr>
          <w:rFonts w:ascii="Arial" w:hAnsi="Arial" w:cs="Arial"/>
          <w:b/>
          <w:bCs/>
          <w:sz w:val="20"/>
          <w:szCs w:val="20"/>
        </w:rPr>
        <w:t xml:space="preserve"> gonorrhea cases were reported among </w:t>
      </w:r>
      <w:r>
        <w:rPr>
          <w:rFonts w:ascii="Arial" w:hAnsi="Arial" w:cs="Arial"/>
          <w:b/>
          <w:bCs/>
          <w:sz w:val="20"/>
          <w:szCs w:val="20"/>
        </w:rPr>
        <w:t>2</w:t>
      </w:r>
      <w:r w:rsidRPr="00FD1CAC">
        <w:rPr>
          <w:rFonts w:ascii="Arial" w:hAnsi="Arial" w:cs="Arial"/>
          <w:b/>
          <w:bCs/>
          <w:sz w:val="20"/>
          <w:szCs w:val="20"/>
        </w:rPr>
        <w:t>0-</w:t>
      </w:r>
      <w:r>
        <w:rPr>
          <w:rFonts w:ascii="Arial" w:hAnsi="Arial" w:cs="Arial"/>
          <w:b/>
          <w:bCs/>
          <w:sz w:val="20"/>
          <w:szCs w:val="20"/>
        </w:rPr>
        <w:t>2</w:t>
      </w:r>
      <w:r w:rsidRPr="00FD1CAC">
        <w:rPr>
          <w:rFonts w:ascii="Arial" w:hAnsi="Arial" w:cs="Arial"/>
          <w:b/>
          <w:bCs/>
          <w:sz w:val="20"/>
          <w:szCs w:val="20"/>
        </w:rPr>
        <w:t xml:space="preserve">9 year-olds, </w:t>
      </w:r>
      <w:r w:rsidR="003D22DA">
        <w:rPr>
          <w:rFonts w:ascii="Arial" w:hAnsi="Arial" w:cs="Arial"/>
          <w:b/>
          <w:bCs/>
          <w:sz w:val="20"/>
          <w:szCs w:val="20"/>
        </w:rPr>
        <w:t xml:space="preserve">at a rate of 310.6 per 100,000, </w:t>
      </w:r>
      <w:r w:rsidRPr="00FD1CAC">
        <w:rPr>
          <w:rFonts w:ascii="Arial" w:hAnsi="Arial" w:cs="Arial"/>
          <w:b/>
          <w:bCs/>
          <w:sz w:val="20"/>
          <w:szCs w:val="20"/>
        </w:rPr>
        <w:t xml:space="preserve">the highest among all age groups in </w:t>
      </w:r>
      <w:r w:rsidR="00452D35">
        <w:rPr>
          <w:rFonts w:ascii="Arial" w:hAnsi="Arial" w:cs="Arial"/>
          <w:b/>
          <w:bCs/>
          <w:sz w:val="20"/>
          <w:szCs w:val="20"/>
        </w:rPr>
        <w:t>Essex</w:t>
      </w:r>
      <w:r w:rsidRPr="00FD1CAC">
        <w:rPr>
          <w:rFonts w:ascii="Arial" w:hAnsi="Arial" w:cs="Arial"/>
          <w:b/>
          <w:bCs/>
          <w:sz w:val="20"/>
          <w:szCs w:val="20"/>
        </w:rPr>
        <w:t xml:space="preserve"> County.</w:t>
      </w:r>
      <w:r w:rsidR="003D22DA">
        <w:rPr>
          <w:rFonts w:ascii="Arial" w:hAnsi="Arial" w:cs="Arial"/>
          <w:sz w:val="20"/>
          <w:szCs w:val="20"/>
        </w:rPr>
        <w:t xml:space="preserve"> </w:t>
      </w:r>
      <w:r w:rsidR="00D2676F">
        <w:rPr>
          <w:rFonts w:ascii="Arial" w:hAnsi="Arial" w:cs="Arial"/>
          <w:sz w:val="20"/>
          <w:szCs w:val="20"/>
        </w:rPr>
        <w:t>Within this age group, m</w:t>
      </w:r>
      <w:r w:rsidR="00D2676F" w:rsidRPr="00FD1CAC">
        <w:rPr>
          <w:rFonts w:ascii="Arial" w:hAnsi="Arial" w:cs="Arial"/>
          <w:sz w:val="20"/>
          <w:szCs w:val="20"/>
        </w:rPr>
        <w:t xml:space="preserve">ales </w:t>
      </w:r>
      <w:r w:rsidRPr="00FD1CAC">
        <w:rPr>
          <w:rFonts w:ascii="Arial" w:hAnsi="Arial" w:cs="Arial"/>
          <w:sz w:val="20"/>
          <w:szCs w:val="20"/>
        </w:rPr>
        <w:t xml:space="preserve">accounted for </w:t>
      </w:r>
      <w:r w:rsidR="00C42193">
        <w:rPr>
          <w:rFonts w:ascii="Arial" w:hAnsi="Arial" w:cs="Arial"/>
          <w:sz w:val="20"/>
          <w:szCs w:val="20"/>
        </w:rPr>
        <w:t>175</w:t>
      </w:r>
      <w:r w:rsidRPr="00FD1CAC">
        <w:rPr>
          <w:rFonts w:ascii="Arial" w:hAnsi="Arial" w:cs="Arial"/>
          <w:sz w:val="20"/>
          <w:szCs w:val="20"/>
        </w:rPr>
        <w:t xml:space="preserve"> cases</w:t>
      </w:r>
      <w:r w:rsidR="00D2676F">
        <w:rPr>
          <w:rFonts w:ascii="Arial" w:hAnsi="Arial" w:cs="Arial"/>
          <w:sz w:val="20"/>
          <w:szCs w:val="20"/>
        </w:rPr>
        <w:t xml:space="preserve"> (</w:t>
      </w:r>
      <w:r w:rsidR="003D22DA">
        <w:rPr>
          <w:rFonts w:ascii="Arial" w:hAnsi="Arial" w:cs="Arial"/>
          <w:sz w:val="20"/>
          <w:szCs w:val="20"/>
        </w:rPr>
        <w:t>55.0</w:t>
      </w:r>
      <w:r w:rsidR="00D2676F">
        <w:rPr>
          <w:rFonts w:ascii="Arial" w:hAnsi="Arial" w:cs="Arial"/>
          <w:sz w:val="20"/>
          <w:szCs w:val="20"/>
        </w:rPr>
        <w:t>%)</w:t>
      </w:r>
      <w:r w:rsidRPr="00FD1CAC">
        <w:rPr>
          <w:rFonts w:ascii="Arial" w:hAnsi="Arial" w:cs="Arial"/>
          <w:sz w:val="20"/>
          <w:szCs w:val="20"/>
        </w:rPr>
        <w:t xml:space="preserve">, with a rate of </w:t>
      </w:r>
      <w:r w:rsidR="0059219B" w:rsidRPr="0059219B">
        <w:rPr>
          <w:rFonts w:ascii="Arial" w:hAnsi="Arial" w:cs="Arial"/>
          <w:sz w:val="20"/>
          <w:szCs w:val="20"/>
        </w:rPr>
        <w:t>336.7</w:t>
      </w:r>
      <w:r w:rsidRPr="00FD1CAC">
        <w:rPr>
          <w:rFonts w:ascii="Arial" w:hAnsi="Arial" w:cs="Arial"/>
          <w:sz w:val="20"/>
          <w:szCs w:val="20"/>
        </w:rPr>
        <w:t xml:space="preserve"> per 100,000</w:t>
      </w:r>
      <w:r>
        <w:rPr>
          <w:rFonts w:ascii="Arial" w:hAnsi="Arial" w:cs="Arial"/>
          <w:sz w:val="20"/>
          <w:szCs w:val="20"/>
        </w:rPr>
        <w:t xml:space="preserve">, </w:t>
      </w:r>
      <w:r w:rsidRPr="00A806D7">
        <w:rPr>
          <w:rFonts w:ascii="Arial" w:hAnsi="Arial" w:cs="Arial"/>
          <w:sz w:val="20"/>
          <w:szCs w:val="20"/>
        </w:rPr>
        <w:t xml:space="preserve">while </w:t>
      </w:r>
      <w:r w:rsidR="00C42193">
        <w:rPr>
          <w:rFonts w:ascii="Arial" w:hAnsi="Arial" w:cs="Arial"/>
          <w:sz w:val="20"/>
          <w:szCs w:val="20"/>
        </w:rPr>
        <w:t>140</w:t>
      </w:r>
      <w:r w:rsidRPr="00A806D7">
        <w:rPr>
          <w:rFonts w:ascii="Arial" w:hAnsi="Arial" w:cs="Arial"/>
          <w:sz w:val="20"/>
          <w:szCs w:val="20"/>
        </w:rPr>
        <w:t xml:space="preserve"> cases </w:t>
      </w:r>
      <w:r w:rsidR="00D2676F">
        <w:rPr>
          <w:rFonts w:ascii="Arial" w:hAnsi="Arial" w:cs="Arial"/>
          <w:sz w:val="20"/>
          <w:szCs w:val="20"/>
        </w:rPr>
        <w:t>(</w:t>
      </w:r>
      <w:r w:rsidR="003D22DA">
        <w:rPr>
          <w:rFonts w:ascii="Arial" w:hAnsi="Arial" w:cs="Arial"/>
          <w:sz w:val="20"/>
          <w:szCs w:val="20"/>
        </w:rPr>
        <w:t>44.0</w:t>
      </w:r>
      <w:r w:rsidR="00D2676F">
        <w:rPr>
          <w:rFonts w:ascii="Arial" w:hAnsi="Arial" w:cs="Arial"/>
          <w:sz w:val="20"/>
          <w:szCs w:val="20"/>
        </w:rPr>
        <w:t xml:space="preserve">%) </w:t>
      </w:r>
      <w:r w:rsidRPr="00A806D7">
        <w:rPr>
          <w:rFonts w:ascii="Arial" w:hAnsi="Arial" w:cs="Arial"/>
          <w:sz w:val="20"/>
          <w:szCs w:val="20"/>
        </w:rPr>
        <w:t xml:space="preserve">were reported </w:t>
      </w:r>
      <w:r w:rsidR="00D2676F">
        <w:rPr>
          <w:rFonts w:ascii="Arial" w:hAnsi="Arial" w:cs="Arial"/>
          <w:sz w:val="20"/>
          <w:szCs w:val="20"/>
        </w:rPr>
        <w:t>among</w:t>
      </w:r>
      <w:r w:rsidR="00D2676F" w:rsidRPr="00A806D7">
        <w:rPr>
          <w:rFonts w:ascii="Arial" w:hAnsi="Arial" w:cs="Arial"/>
          <w:sz w:val="20"/>
          <w:szCs w:val="20"/>
        </w:rPr>
        <w:t xml:space="preserve"> </w:t>
      </w:r>
      <w:r>
        <w:rPr>
          <w:rFonts w:ascii="Arial" w:hAnsi="Arial" w:cs="Arial"/>
          <w:sz w:val="20"/>
          <w:szCs w:val="20"/>
        </w:rPr>
        <w:t>fe</w:t>
      </w:r>
      <w:r w:rsidRPr="00A806D7">
        <w:rPr>
          <w:rFonts w:ascii="Arial" w:hAnsi="Arial" w:cs="Arial"/>
          <w:sz w:val="20"/>
          <w:szCs w:val="20"/>
        </w:rPr>
        <w:t xml:space="preserve">males, at a rate of </w:t>
      </w:r>
      <w:r w:rsidR="0059219B" w:rsidRPr="0059219B">
        <w:rPr>
          <w:rFonts w:ascii="Arial" w:hAnsi="Arial" w:cs="Arial"/>
          <w:sz w:val="20"/>
          <w:szCs w:val="20"/>
        </w:rPr>
        <w:t>277.7</w:t>
      </w:r>
      <w:r w:rsidR="0059219B">
        <w:rPr>
          <w:rFonts w:ascii="Arial" w:hAnsi="Arial" w:cs="Arial"/>
          <w:sz w:val="20"/>
          <w:szCs w:val="20"/>
        </w:rPr>
        <w:t xml:space="preserve"> </w:t>
      </w:r>
      <w:r w:rsidRPr="00A806D7">
        <w:rPr>
          <w:rFonts w:ascii="Arial" w:hAnsi="Arial" w:cs="Arial"/>
          <w:sz w:val="20"/>
          <w:szCs w:val="20"/>
        </w:rPr>
        <w:t>per 100,000.</w:t>
      </w:r>
      <w:r>
        <w:rPr>
          <w:rFonts w:ascii="Arial" w:hAnsi="Arial" w:cs="Arial"/>
          <w:sz w:val="20"/>
          <w:szCs w:val="20"/>
        </w:rPr>
        <w:t xml:space="preserve"> </w:t>
      </w:r>
      <w:r w:rsidRPr="00A806D7">
        <w:rPr>
          <w:rFonts w:ascii="Arial" w:hAnsi="Arial" w:cs="Arial"/>
          <w:sz w:val="20"/>
          <w:szCs w:val="20"/>
        </w:rPr>
        <w:t xml:space="preserve">Although the chart below represents rates by age group only, the highest burden </w:t>
      </w:r>
      <w:r w:rsidR="00D2676F">
        <w:rPr>
          <w:rFonts w:ascii="Arial" w:hAnsi="Arial" w:cs="Arial"/>
          <w:sz w:val="20"/>
          <w:szCs w:val="20"/>
        </w:rPr>
        <w:t>is</w:t>
      </w:r>
      <w:r w:rsidR="00D2676F" w:rsidRPr="00A806D7">
        <w:rPr>
          <w:rFonts w:ascii="Arial" w:hAnsi="Arial" w:cs="Arial"/>
          <w:sz w:val="20"/>
          <w:szCs w:val="20"/>
        </w:rPr>
        <w:t xml:space="preserve"> </w:t>
      </w:r>
      <w:r w:rsidRPr="00A806D7">
        <w:rPr>
          <w:rFonts w:ascii="Arial" w:hAnsi="Arial" w:cs="Arial"/>
          <w:sz w:val="20"/>
          <w:szCs w:val="20"/>
        </w:rPr>
        <w:t xml:space="preserve">concentrated among </w:t>
      </w:r>
      <w:r w:rsidR="00D2676F">
        <w:rPr>
          <w:rFonts w:ascii="Arial" w:hAnsi="Arial" w:cs="Arial"/>
          <w:sz w:val="20"/>
          <w:szCs w:val="20"/>
        </w:rPr>
        <w:t>20-29-year-old males</w:t>
      </w:r>
      <w:r w:rsidRPr="00A806D7">
        <w:rPr>
          <w:rFonts w:ascii="Arial" w:hAnsi="Arial" w:cs="Arial"/>
          <w:sz w:val="20"/>
          <w:szCs w:val="20"/>
        </w:rPr>
        <w:t xml:space="preserve">. </w:t>
      </w:r>
      <w:r w:rsidRPr="00A806D7">
        <w:rPr>
          <w:rFonts w:ascii="Arial" w:hAnsi="Arial" w:cs="Arial"/>
          <w:b/>
          <w:bCs/>
          <w:sz w:val="20"/>
          <w:szCs w:val="20"/>
        </w:rPr>
        <w:t xml:space="preserve">Data by </w:t>
      </w:r>
      <w:r w:rsidR="00014449">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p>
    <w:p w14:paraId="265F86FB" w14:textId="77777777" w:rsidR="008B1C57" w:rsidRPr="004D6B45" w:rsidRDefault="008B1C57" w:rsidP="008B1C57">
      <w:pPr>
        <w:rPr>
          <w:rFonts w:ascii="Arial" w:hAnsi="Arial" w:cs="Arial"/>
          <w:b/>
          <w:bCs/>
          <w:sz w:val="4"/>
          <w:szCs w:val="4"/>
          <w:u w:val="single"/>
        </w:rPr>
      </w:pPr>
    </w:p>
    <w:p w14:paraId="39CA215A" w14:textId="77777777" w:rsidR="008B1C57" w:rsidRDefault="008B1C57" w:rsidP="008B1C57">
      <w:pPr>
        <w:tabs>
          <w:tab w:val="left" w:pos="1302"/>
        </w:tabs>
        <w:rPr>
          <w:rFonts w:ascii="Arial" w:hAnsi="Arial" w:cs="Arial"/>
          <w:sz w:val="20"/>
          <w:szCs w:val="20"/>
        </w:rPr>
      </w:pPr>
      <w:r>
        <w:rPr>
          <w:rFonts w:ascii="Arial" w:hAnsi="Arial" w:cs="Arial"/>
          <w:sz w:val="20"/>
          <w:szCs w:val="20"/>
        </w:rPr>
        <w:tab/>
      </w:r>
    </w:p>
    <w:p w14:paraId="02A7D1CD" w14:textId="533A8084" w:rsidR="002A61DC" w:rsidRDefault="002A61DC" w:rsidP="008B1C57">
      <w:pPr>
        <w:tabs>
          <w:tab w:val="left" w:pos="1302"/>
        </w:tabs>
        <w:rPr>
          <w:rFonts w:ascii="Arial" w:hAnsi="Arial" w:cs="Arial"/>
          <w:sz w:val="20"/>
          <w:szCs w:val="20"/>
        </w:rPr>
      </w:pPr>
      <w:r>
        <w:rPr>
          <w:rFonts w:ascii="Arial" w:hAnsi="Arial" w:cs="Arial"/>
          <w:noProof/>
          <w:sz w:val="20"/>
          <w:szCs w:val="20"/>
        </w:rPr>
        <w:drawing>
          <wp:inline distT="0" distB="0" distL="0" distR="0" wp14:anchorId="551A3D43" wp14:editId="4CC98859">
            <wp:extent cx="6912864" cy="2642616"/>
            <wp:effectExtent l="0" t="0" r="2540" b="5715"/>
            <wp:docPr id="1529101214" name="Picture 10" descr="Graph depicts the rates per 100,000 population of gonorrhea cases in Essex County, Massachusetts by age group for 2015 and 2024. The included age groups are &lt;20 years, 20-29 years, 30-39 years, 40-49 years, 50-59 years, and 60+ years. Rates are consistently higher in 2024 compared to 2015. Rates are highest among those aged 20-29, at 132.2 in 2015 and 310.6 in 2024. Rates are lowest among those aged 60+, at 1.1 in 2015 and 10.0 in 2024. The age group that saw the largest change in rate was 20-29 years, from 132.3 in 2015 to 310.6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101214" name="Picture 10" descr="Graph depicts the rates per 100,000 population of gonorrhea cases in Essex County, Massachusetts by age group for 2015 and 2024. The included age groups are &lt;20 years, 20-29 years, 30-39 years, 40-49 years, 50-59 years, and 60+ years. Rates are consistently higher in 2024 compared to 2015. Rates are highest among those aged 20-29, at 132.2 in 2015 and 310.6 in 2024. Rates are lowest among those aged 60+, at 1.1 in 2015 and 10.0 in 2024. The age group that saw the largest change in rate was 20-29 years, from 132.3 in 2015 to 310.6 in 20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44B0536E" w14:textId="77777777" w:rsidR="002A61DC" w:rsidRPr="002F5B67" w:rsidRDefault="002A61DC" w:rsidP="002A61DC">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3B7D7CBA" w14:textId="77777777" w:rsidR="002A61DC" w:rsidRPr="002F5B67" w:rsidRDefault="002A61DC" w:rsidP="002A61DC">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5826B646" w14:textId="77777777" w:rsidR="002A61DC" w:rsidRPr="002F5B67" w:rsidRDefault="002A61DC" w:rsidP="002A61DC">
      <w:pPr>
        <w:rPr>
          <w:rFonts w:ascii="Arial" w:hAnsi="Arial" w:cs="Arial"/>
          <w:sz w:val="12"/>
          <w:szCs w:val="12"/>
        </w:rPr>
      </w:pPr>
      <w:r w:rsidRPr="002F5B67">
        <w:rPr>
          <w:rFonts w:ascii="Arial" w:hAnsi="Arial" w:cs="Arial"/>
          <w:sz w:val="12"/>
          <w:szCs w:val="12"/>
        </w:rPr>
        <w:t>Data source: Massachusetts Department of Public Health/Bureau of Infectious Disease and Laboratory Sciences/Division of STD Prevention.</w:t>
      </w:r>
    </w:p>
    <w:p w14:paraId="5CCE0233" w14:textId="77777777" w:rsidR="002A61DC" w:rsidRPr="00173387" w:rsidRDefault="002A61DC" w:rsidP="008B1C57">
      <w:pPr>
        <w:tabs>
          <w:tab w:val="left" w:pos="1302"/>
        </w:tabs>
        <w:rPr>
          <w:rFonts w:ascii="Arial" w:hAnsi="Arial" w:cs="Arial"/>
          <w:sz w:val="20"/>
          <w:szCs w:val="20"/>
        </w:rPr>
      </w:pPr>
    </w:p>
    <w:p w14:paraId="08B4DB8D" w14:textId="5826F2EC" w:rsidR="00625A5F" w:rsidRPr="00F2432D" w:rsidRDefault="00625A5F" w:rsidP="007A1843">
      <w:pPr>
        <w:pStyle w:val="Heading1"/>
        <w:rPr>
          <w:vertAlign w:val="superscript"/>
        </w:rPr>
      </w:pPr>
      <w:r>
        <w:t>Infectious Syphilis</w:t>
      </w:r>
      <w:r w:rsidR="00BE2421">
        <w:rPr>
          <w:vertAlign w:val="superscript"/>
        </w:rPr>
        <w:t>5</w:t>
      </w:r>
    </w:p>
    <w:p w14:paraId="1D57748F" w14:textId="70A9CED9" w:rsidR="00625A5F" w:rsidRPr="007447E5" w:rsidRDefault="00625A5F" w:rsidP="00625A5F">
      <w:pPr>
        <w:rPr>
          <w:rFonts w:ascii="Arial" w:hAnsi="Arial" w:cs="Arial"/>
          <w:sz w:val="20"/>
          <w:szCs w:val="20"/>
          <w:vertAlign w:val="superscript"/>
        </w:rPr>
      </w:pPr>
      <w:r w:rsidRPr="00F2432D">
        <w:rPr>
          <w:rFonts w:ascii="Arial" w:hAnsi="Arial" w:cs="Arial"/>
          <w:sz w:val="20"/>
          <w:szCs w:val="20"/>
        </w:rPr>
        <w:t>Infectious Syphilis, which includes primary, secondary, and early non-primary, non-secondary stages, has been on the rise in the Commonwealth and nationally since the early 2000s</w:t>
      </w:r>
      <w:r w:rsidR="001663AC">
        <w:rPr>
          <w:rFonts w:ascii="Arial" w:hAnsi="Arial" w:cs="Arial"/>
          <w:sz w:val="20"/>
          <w:szCs w:val="20"/>
        </w:rPr>
        <w:t>, but in more recent years there has been a decrease</w:t>
      </w:r>
      <w:r w:rsidRPr="00F2432D">
        <w:rPr>
          <w:rFonts w:ascii="Arial" w:hAnsi="Arial" w:cs="Arial"/>
          <w:sz w:val="20"/>
          <w:szCs w:val="20"/>
        </w:rPr>
        <w:t>. It can spread through sexual contact with an infected person. The first symptom of syphilis infection is a sore or chancre at the site of inoculation that is usually firm, round, and painless. The most recognized symptom of the second stage of infection is a body rash which can be present on the palms of hands and soles of feet. As with primary syphilis symptoms, secondary syphilis symptoms also resolve with or without treatment. After the secondary stage of syphilis, untreated infected individuals enter a time of latent syphilis that can last for years. Individuals with syphilis are thought to be most infectious for the first year after acquisition. Syphilis infection can also be transmitted to an infant during pregnancy and birth.</w:t>
      </w:r>
      <w:r w:rsidR="007447E5">
        <w:rPr>
          <w:rFonts w:ascii="Arial" w:hAnsi="Arial" w:cs="Arial"/>
          <w:sz w:val="20"/>
          <w:szCs w:val="20"/>
          <w:vertAlign w:val="superscript"/>
        </w:rPr>
        <w:t>2</w:t>
      </w:r>
    </w:p>
    <w:p w14:paraId="0E634AC9" w14:textId="29A398D2" w:rsidR="008B1C57" w:rsidRPr="00C66B1B" w:rsidRDefault="008B1C57" w:rsidP="008B1C57">
      <w:pPr>
        <w:rPr>
          <w:rFonts w:ascii="Arial" w:hAnsi="Arial" w:cs="Arial"/>
          <w:sz w:val="20"/>
          <w:szCs w:val="20"/>
        </w:rPr>
      </w:pPr>
    </w:p>
    <w:p w14:paraId="1238B985" w14:textId="31A75C90" w:rsidR="008B1C57" w:rsidRPr="00C66B1B" w:rsidRDefault="008B1C57" w:rsidP="008B1C57">
      <w:pPr>
        <w:rPr>
          <w:rFonts w:ascii="Arial" w:hAnsi="Arial" w:cs="Arial"/>
          <w:sz w:val="20"/>
          <w:szCs w:val="20"/>
        </w:rPr>
      </w:pPr>
      <w:bookmarkStart w:id="18" w:name="_Hlk173234521"/>
      <w:bookmarkStart w:id="19" w:name="_Hlk173236170"/>
      <w:bookmarkStart w:id="20" w:name="_Hlk206981355"/>
      <w:bookmarkStart w:id="21" w:name="_Hlk206979373"/>
      <w:bookmarkStart w:id="22" w:name="_Hlk206981431"/>
      <w:r w:rsidRPr="00173387">
        <w:rPr>
          <w:rFonts w:ascii="Arial" w:hAnsi="Arial" w:cs="Arial"/>
          <w:b/>
          <w:bCs/>
          <w:sz w:val="20"/>
          <w:szCs w:val="20"/>
        </w:rPr>
        <w:t>Since 201</w:t>
      </w:r>
      <w:r>
        <w:rPr>
          <w:rFonts w:ascii="Arial" w:hAnsi="Arial" w:cs="Arial"/>
          <w:b/>
          <w:bCs/>
          <w:sz w:val="20"/>
          <w:szCs w:val="20"/>
        </w:rPr>
        <w:t>5</w:t>
      </w:r>
      <w:r w:rsidRPr="00173387">
        <w:rPr>
          <w:rFonts w:ascii="Arial" w:hAnsi="Arial" w:cs="Arial"/>
          <w:b/>
          <w:bCs/>
          <w:sz w:val="20"/>
          <w:szCs w:val="20"/>
        </w:rPr>
        <w:t>, the</w:t>
      </w:r>
      <w:r>
        <w:rPr>
          <w:rFonts w:ascii="Arial" w:hAnsi="Arial" w:cs="Arial"/>
          <w:b/>
          <w:bCs/>
          <w:sz w:val="20"/>
          <w:szCs w:val="20"/>
        </w:rPr>
        <w:t xml:space="preserve">re has been an </w:t>
      </w:r>
      <w:r w:rsidRPr="00173387">
        <w:rPr>
          <w:rFonts w:ascii="Arial" w:hAnsi="Arial" w:cs="Arial"/>
          <w:b/>
          <w:bCs/>
          <w:sz w:val="20"/>
          <w:szCs w:val="20"/>
        </w:rPr>
        <w:t xml:space="preserve">overall </w:t>
      </w:r>
      <w:r>
        <w:rPr>
          <w:rFonts w:ascii="Arial" w:hAnsi="Arial" w:cs="Arial"/>
          <w:b/>
          <w:bCs/>
          <w:sz w:val="20"/>
          <w:szCs w:val="20"/>
        </w:rPr>
        <w:t xml:space="preserve">increase </w:t>
      </w:r>
      <w:r w:rsidRPr="00173387">
        <w:rPr>
          <w:rFonts w:ascii="Arial" w:hAnsi="Arial" w:cs="Arial"/>
          <w:b/>
          <w:bCs/>
          <w:sz w:val="20"/>
          <w:szCs w:val="20"/>
        </w:rPr>
        <w:t xml:space="preserve">of reported </w:t>
      </w:r>
      <w:r>
        <w:rPr>
          <w:rFonts w:ascii="Arial" w:hAnsi="Arial" w:cs="Arial"/>
          <w:b/>
          <w:bCs/>
          <w:sz w:val="20"/>
          <w:szCs w:val="20"/>
        </w:rPr>
        <w:t>infectious</w:t>
      </w:r>
      <w:r w:rsidRPr="000E2772">
        <w:rPr>
          <w:rFonts w:ascii="Arial" w:hAnsi="Arial" w:cs="Arial"/>
          <w:b/>
          <w:bCs/>
          <w:sz w:val="20"/>
          <w:szCs w:val="20"/>
        </w:rPr>
        <w:t xml:space="preserve"> syphilis</w:t>
      </w:r>
      <w:r w:rsidRPr="00C66B1B">
        <w:rPr>
          <w:rFonts w:ascii="Arial" w:hAnsi="Arial" w:cs="Arial"/>
          <w:sz w:val="20"/>
          <w:szCs w:val="20"/>
        </w:rPr>
        <w:t xml:space="preserve"> </w:t>
      </w:r>
      <w:r>
        <w:rPr>
          <w:rFonts w:ascii="Arial" w:hAnsi="Arial" w:cs="Arial"/>
          <w:b/>
          <w:bCs/>
          <w:sz w:val="20"/>
          <w:szCs w:val="20"/>
        </w:rPr>
        <w:t xml:space="preserve">cases statewide, </w:t>
      </w:r>
      <w:r w:rsidRPr="00B5513C">
        <w:rPr>
          <w:rFonts w:ascii="Arial" w:hAnsi="Arial" w:cs="Arial"/>
          <w:b/>
          <w:bCs/>
          <w:sz w:val="20"/>
          <w:szCs w:val="20"/>
        </w:rPr>
        <w:t xml:space="preserve">ranging from </w:t>
      </w:r>
      <w:r>
        <w:rPr>
          <w:rFonts w:ascii="Arial" w:hAnsi="Arial" w:cs="Arial"/>
          <w:b/>
          <w:bCs/>
          <w:sz w:val="20"/>
          <w:szCs w:val="20"/>
        </w:rPr>
        <w:t>789</w:t>
      </w:r>
      <w:r w:rsidRPr="00B5513C">
        <w:rPr>
          <w:rFonts w:ascii="Arial" w:hAnsi="Arial" w:cs="Arial"/>
          <w:b/>
          <w:bCs/>
          <w:sz w:val="20"/>
          <w:szCs w:val="20"/>
        </w:rPr>
        <w:t xml:space="preserve"> cases in 201</w:t>
      </w:r>
      <w:r>
        <w:rPr>
          <w:rFonts w:ascii="Arial" w:hAnsi="Arial" w:cs="Arial"/>
          <w:b/>
          <w:bCs/>
          <w:sz w:val="20"/>
          <w:szCs w:val="20"/>
        </w:rPr>
        <w:t>5</w:t>
      </w:r>
      <w:r w:rsidRPr="00B5513C">
        <w:rPr>
          <w:rFonts w:ascii="Arial" w:hAnsi="Arial" w:cs="Arial"/>
          <w:b/>
          <w:bCs/>
          <w:sz w:val="20"/>
          <w:szCs w:val="20"/>
        </w:rPr>
        <w:t xml:space="preserve"> to </w:t>
      </w:r>
      <w:r>
        <w:rPr>
          <w:rFonts w:ascii="Arial" w:hAnsi="Arial" w:cs="Arial"/>
          <w:b/>
          <w:bCs/>
          <w:sz w:val="20"/>
          <w:szCs w:val="20"/>
        </w:rPr>
        <w:t xml:space="preserve">1,329 </w:t>
      </w:r>
      <w:r w:rsidRPr="00B5513C">
        <w:rPr>
          <w:rFonts w:ascii="Arial" w:hAnsi="Arial" w:cs="Arial"/>
          <w:b/>
          <w:bCs/>
          <w:sz w:val="20"/>
          <w:szCs w:val="20"/>
        </w:rPr>
        <w:t>cases in 202</w:t>
      </w:r>
      <w:bookmarkEnd w:id="18"/>
      <w:r>
        <w:rPr>
          <w:rFonts w:ascii="Arial" w:hAnsi="Arial" w:cs="Arial"/>
          <w:b/>
          <w:bCs/>
          <w:sz w:val="20"/>
          <w:szCs w:val="20"/>
        </w:rPr>
        <w:t>4</w:t>
      </w:r>
      <w:bookmarkEnd w:id="19"/>
      <w:r>
        <w:rPr>
          <w:rFonts w:ascii="Arial" w:hAnsi="Arial" w:cs="Arial"/>
          <w:sz w:val="20"/>
          <w:szCs w:val="20"/>
        </w:rPr>
        <w:t>.</w:t>
      </w:r>
      <w:bookmarkEnd w:id="20"/>
      <w:r>
        <w:rPr>
          <w:rFonts w:ascii="Arial" w:hAnsi="Arial" w:cs="Arial"/>
          <w:sz w:val="20"/>
          <w:szCs w:val="20"/>
        </w:rPr>
        <w:t xml:space="preserve"> </w:t>
      </w:r>
      <w:bookmarkStart w:id="23" w:name="_Hlk206979445"/>
      <w:bookmarkEnd w:id="21"/>
      <w:r>
        <w:rPr>
          <w:rFonts w:ascii="Arial" w:hAnsi="Arial" w:cs="Arial"/>
          <w:sz w:val="20"/>
          <w:szCs w:val="20"/>
        </w:rPr>
        <w:t xml:space="preserve">Essex County also experienced an overall increase of reported infectious syphilis cases, ranging from </w:t>
      </w:r>
      <w:r w:rsidR="009604B7">
        <w:rPr>
          <w:rFonts w:ascii="Arial" w:hAnsi="Arial" w:cs="Arial"/>
          <w:sz w:val="20"/>
          <w:szCs w:val="20"/>
        </w:rPr>
        <w:t>155</w:t>
      </w:r>
      <w:r>
        <w:rPr>
          <w:rFonts w:ascii="Arial" w:hAnsi="Arial" w:cs="Arial"/>
          <w:sz w:val="20"/>
          <w:szCs w:val="20"/>
        </w:rPr>
        <w:t xml:space="preserve"> in 2015 to </w:t>
      </w:r>
      <w:r w:rsidR="009604B7">
        <w:rPr>
          <w:rFonts w:ascii="Arial" w:hAnsi="Arial" w:cs="Arial"/>
          <w:sz w:val="20"/>
          <w:szCs w:val="20"/>
        </w:rPr>
        <w:t>166 in 2024</w:t>
      </w:r>
      <w:r>
        <w:rPr>
          <w:rFonts w:ascii="Arial" w:hAnsi="Arial" w:cs="Arial"/>
          <w:sz w:val="20"/>
          <w:szCs w:val="20"/>
        </w:rPr>
        <w:t>. I</w:t>
      </w:r>
      <w:r w:rsidRPr="00F17DB3">
        <w:rPr>
          <w:rFonts w:ascii="Arial" w:hAnsi="Arial" w:cs="Arial"/>
          <w:sz w:val="20"/>
          <w:szCs w:val="20"/>
        </w:rPr>
        <w:t>n 202</w:t>
      </w:r>
      <w:r>
        <w:rPr>
          <w:rFonts w:ascii="Arial" w:hAnsi="Arial" w:cs="Arial"/>
          <w:sz w:val="20"/>
          <w:szCs w:val="20"/>
        </w:rPr>
        <w:t>4</w:t>
      </w:r>
      <w:r w:rsidRPr="00F17DB3">
        <w:rPr>
          <w:rFonts w:ascii="Arial" w:hAnsi="Arial" w:cs="Arial"/>
          <w:sz w:val="20"/>
          <w:szCs w:val="20"/>
        </w:rPr>
        <w:t>, the</w:t>
      </w:r>
      <w:r>
        <w:rPr>
          <w:rFonts w:ascii="Arial" w:hAnsi="Arial" w:cs="Arial"/>
          <w:sz w:val="20"/>
          <w:szCs w:val="20"/>
        </w:rPr>
        <w:t xml:space="preserve"> county incidence rate of infectious syphilis </w:t>
      </w:r>
      <w:r w:rsidR="009604B7">
        <w:rPr>
          <w:rFonts w:ascii="Arial" w:hAnsi="Arial" w:cs="Arial"/>
          <w:sz w:val="20"/>
          <w:szCs w:val="20"/>
        </w:rPr>
        <w:t>was</w:t>
      </w:r>
      <w:r w:rsidRPr="00F17DB3">
        <w:rPr>
          <w:rFonts w:ascii="Arial" w:hAnsi="Arial" w:cs="Arial"/>
          <w:sz w:val="20"/>
          <w:szCs w:val="20"/>
        </w:rPr>
        <w:t xml:space="preserve"> </w:t>
      </w:r>
      <w:r w:rsidR="009604B7" w:rsidRPr="009604B7">
        <w:rPr>
          <w:rFonts w:ascii="Arial" w:hAnsi="Arial" w:cs="Arial"/>
          <w:sz w:val="20"/>
          <w:szCs w:val="20"/>
        </w:rPr>
        <w:t>20.5</w:t>
      </w:r>
      <w:r>
        <w:rPr>
          <w:rFonts w:ascii="Arial" w:hAnsi="Arial" w:cs="Arial"/>
          <w:sz w:val="20"/>
          <w:szCs w:val="20"/>
        </w:rPr>
        <w:t xml:space="preserve"> </w:t>
      </w:r>
      <w:r w:rsidRPr="00F17DB3">
        <w:rPr>
          <w:rFonts w:ascii="Arial" w:hAnsi="Arial" w:cs="Arial"/>
          <w:sz w:val="20"/>
          <w:szCs w:val="20"/>
        </w:rPr>
        <w:t>per 100,000</w:t>
      </w:r>
      <w:bookmarkStart w:id="24" w:name="_Hlk206982283"/>
      <w:r w:rsidR="00693322">
        <w:rPr>
          <w:rFonts w:ascii="Arial" w:hAnsi="Arial" w:cs="Arial"/>
          <w:sz w:val="20"/>
          <w:szCs w:val="20"/>
        </w:rPr>
        <w:t>. T</w:t>
      </w:r>
      <w:r w:rsidR="00693322" w:rsidRPr="00004746">
        <w:rPr>
          <w:rFonts w:ascii="Arial" w:hAnsi="Arial" w:cs="Arial"/>
          <w:sz w:val="20"/>
          <w:szCs w:val="20"/>
        </w:rPr>
        <w:t>he statewide rate was 18.9 per 100,000. These</w:t>
      </w:r>
      <w:r w:rsidR="002B5022">
        <w:rPr>
          <w:rFonts w:ascii="Arial" w:hAnsi="Arial" w:cs="Arial"/>
          <w:sz w:val="20"/>
          <w:szCs w:val="20"/>
        </w:rPr>
        <w:t xml:space="preserve"> rates</w:t>
      </w:r>
      <w:r w:rsidR="00693322" w:rsidRPr="00004746">
        <w:rPr>
          <w:rFonts w:ascii="Arial" w:hAnsi="Arial" w:cs="Arial"/>
          <w:sz w:val="20"/>
          <w:szCs w:val="20"/>
        </w:rPr>
        <w:t xml:space="preserve"> </w:t>
      </w:r>
      <w:r w:rsidR="001663AC">
        <w:rPr>
          <w:rFonts w:ascii="Arial" w:hAnsi="Arial" w:cs="Arial"/>
          <w:sz w:val="20"/>
          <w:szCs w:val="20"/>
        </w:rPr>
        <w:t>are lower</w:t>
      </w:r>
      <w:r w:rsidR="00693322" w:rsidRPr="00004746">
        <w:rPr>
          <w:rFonts w:ascii="Arial" w:hAnsi="Arial" w:cs="Arial"/>
          <w:sz w:val="20"/>
          <w:szCs w:val="20"/>
        </w:rPr>
        <w:t xml:space="preserve"> compared to the national rate of </w:t>
      </w:r>
      <w:r w:rsidR="00693322" w:rsidRPr="00277724">
        <w:rPr>
          <w:rFonts w:ascii="Arial" w:hAnsi="Arial" w:cs="Arial"/>
          <w:sz w:val="20"/>
          <w:szCs w:val="20"/>
        </w:rPr>
        <w:t>2</w:t>
      </w:r>
      <w:r w:rsidR="00811968">
        <w:rPr>
          <w:rFonts w:ascii="Arial" w:hAnsi="Arial" w:cs="Arial"/>
          <w:sz w:val="20"/>
          <w:szCs w:val="20"/>
        </w:rPr>
        <w:t>6.2</w:t>
      </w:r>
      <w:r w:rsidR="00693322" w:rsidRPr="00277724">
        <w:rPr>
          <w:rFonts w:ascii="Arial" w:hAnsi="Arial" w:cs="Arial"/>
          <w:sz w:val="20"/>
          <w:szCs w:val="20"/>
        </w:rPr>
        <w:t> per 100,000 (based on CDC data for primary, secondary, and early non-primary, non-secondary syphilis).</w:t>
      </w:r>
      <w:r w:rsidR="00BE2421">
        <w:rPr>
          <w:rFonts w:ascii="Arial" w:hAnsi="Arial" w:cs="Arial"/>
          <w:sz w:val="20"/>
          <w:szCs w:val="20"/>
          <w:vertAlign w:val="superscript"/>
        </w:rPr>
        <w:t>4</w:t>
      </w:r>
    </w:p>
    <w:bookmarkEnd w:id="23"/>
    <w:bookmarkEnd w:id="24"/>
    <w:p w14:paraId="2531D525" w14:textId="77777777" w:rsidR="008B1C57" w:rsidRPr="00C66B1B" w:rsidRDefault="008B1C57" w:rsidP="008B1C57">
      <w:pPr>
        <w:rPr>
          <w:rFonts w:ascii="Arial" w:hAnsi="Arial" w:cs="Arial"/>
          <w:sz w:val="20"/>
          <w:szCs w:val="20"/>
        </w:rPr>
      </w:pPr>
    </w:p>
    <w:p w14:paraId="44B7211B" w14:textId="482698A7" w:rsidR="008B1C57" w:rsidRDefault="001663AC" w:rsidP="00517A50">
      <w:pPr>
        <w:rPr>
          <w:rFonts w:ascii="Arial" w:hAnsi="Arial" w:cs="Arial"/>
          <w:b/>
          <w:bCs/>
          <w:sz w:val="20"/>
          <w:szCs w:val="20"/>
        </w:rPr>
      </w:pPr>
      <w:bookmarkStart w:id="25" w:name="_Hlk206982348"/>
      <w:r>
        <w:rPr>
          <w:rFonts w:ascii="Arial" w:hAnsi="Arial" w:cs="Arial"/>
          <w:b/>
          <w:bCs/>
          <w:sz w:val="20"/>
          <w:szCs w:val="20"/>
        </w:rPr>
        <w:lastRenderedPageBreak/>
        <w:t>Between 2015 and 2024, t</w:t>
      </w:r>
      <w:r w:rsidR="008B1C57" w:rsidRPr="00F17DB3">
        <w:rPr>
          <w:rFonts w:ascii="Arial" w:hAnsi="Arial" w:cs="Arial"/>
          <w:b/>
          <w:bCs/>
          <w:sz w:val="20"/>
          <w:szCs w:val="20"/>
        </w:rPr>
        <w:t xml:space="preserve">he county rate of </w:t>
      </w:r>
      <w:r w:rsidR="008B1C57">
        <w:rPr>
          <w:rFonts w:ascii="Arial" w:hAnsi="Arial" w:cs="Arial"/>
          <w:b/>
          <w:bCs/>
          <w:sz w:val="20"/>
          <w:szCs w:val="20"/>
        </w:rPr>
        <w:t>infectious</w:t>
      </w:r>
      <w:r w:rsidR="008B1C57" w:rsidRPr="00F17DB3">
        <w:rPr>
          <w:rFonts w:ascii="Arial" w:hAnsi="Arial" w:cs="Arial"/>
          <w:b/>
          <w:bCs/>
          <w:sz w:val="20"/>
          <w:szCs w:val="20"/>
        </w:rPr>
        <w:t xml:space="preserve"> syphilis among </w:t>
      </w:r>
      <w:r w:rsidR="008B1C57">
        <w:rPr>
          <w:rFonts w:ascii="Arial" w:hAnsi="Arial" w:cs="Arial"/>
          <w:b/>
          <w:bCs/>
          <w:sz w:val="20"/>
          <w:szCs w:val="20"/>
        </w:rPr>
        <w:t>males</w:t>
      </w:r>
      <w:r w:rsidR="008B1C57" w:rsidRPr="00F17DB3">
        <w:rPr>
          <w:rFonts w:ascii="Arial" w:hAnsi="Arial" w:cs="Arial"/>
          <w:b/>
          <w:bCs/>
          <w:sz w:val="20"/>
          <w:szCs w:val="20"/>
        </w:rPr>
        <w:t xml:space="preserve"> was much higher </w:t>
      </w:r>
      <w:r w:rsidR="008B1C57" w:rsidRPr="00F17DB3">
        <w:rPr>
          <w:rFonts w:ascii="Arial" w:hAnsi="Arial" w:cs="Arial"/>
          <w:sz w:val="20"/>
          <w:szCs w:val="20"/>
        </w:rPr>
        <w:t xml:space="preserve">compared to the rate among </w:t>
      </w:r>
      <w:r w:rsidR="008B1C57">
        <w:rPr>
          <w:rFonts w:ascii="Arial" w:hAnsi="Arial" w:cs="Arial"/>
          <w:sz w:val="20"/>
          <w:szCs w:val="20"/>
        </w:rPr>
        <w:t>females</w:t>
      </w:r>
      <w:r w:rsidR="008B1C57" w:rsidRPr="00F17DB3">
        <w:rPr>
          <w:rFonts w:ascii="Arial" w:hAnsi="Arial" w:cs="Arial"/>
          <w:sz w:val="20"/>
          <w:szCs w:val="20"/>
        </w:rPr>
        <w:t>.</w:t>
      </w:r>
      <w:r w:rsidR="00F968C2">
        <w:rPr>
          <w:rFonts w:ascii="Arial" w:hAnsi="Arial" w:cs="Arial"/>
          <w:sz w:val="20"/>
          <w:szCs w:val="20"/>
        </w:rPr>
        <w:t xml:space="preserve"> </w:t>
      </w:r>
      <w:r w:rsidR="001821BD">
        <w:rPr>
          <w:rFonts w:ascii="Arial" w:hAnsi="Arial" w:cs="Arial"/>
          <w:sz w:val="20"/>
          <w:szCs w:val="20"/>
        </w:rPr>
        <w:t xml:space="preserve">After a drop in 2020, the </w:t>
      </w:r>
      <w:r w:rsidR="00FE43EA">
        <w:rPr>
          <w:rFonts w:ascii="Arial" w:hAnsi="Arial" w:cs="Arial"/>
          <w:sz w:val="20"/>
          <w:szCs w:val="20"/>
        </w:rPr>
        <w:t xml:space="preserve">county </w:t>
      </w:r>
      <w:r w:rsidR="001821BD">
        <w:rPr>
          <w:rFonts w:ascii="Arial" w:hAnsi="Arial" w:cs="Arial"/>
          <w:sz w:val="20"/>
          <w:szCs w:val="20"/>
        </w:rPr>
        <w:t xml:space="preserve">rate of infectious syphilis among males rebounded higher than pre-COVID levels, to a peak of </w:t>
      </w:r>
      <w:r w:rsidR="00B06266">
        <w:rPr>
          <w:rFonts w:ascii="Arial" w:hAnsi="Arial" w:cs="Arial"/>
          <w:sz w:val="20"/>
          <w:szCs w:val="20"/>
        </w:rPr>
        <w:t>33.3 per 100,000</w:t>
      </w:r>
      <w:r w:rsidR="001821BD">
        <w:rPr>
          <w:rFonts w:ascii="Arial" w:hAnsi="Arial" w:cs="Arial"/>
          <w:sz w:val="20"/>
          <w:szCs w:val="20"/>
        </w:rPr>
        <w:t xml:space="preserve"> in </w:t>
      </w:r>
      <w:r w:rsidR="00B06266">
        <w:rPr>
          <w:rFonts w:ascii="Arial" w:hAnsi="Arial" w:cs="Arial"/>
          <w:sz w:val="20"/>
          <w:szCs w:val="20"/>
        </w:rPr>
        <w:t>2023</w:t>
      </w:r>
      <w:r w:rsidR="001821BD">
        <w:rPr>
          <w:rFonts w:ascii="Arial" w:hAnsi="Arial" w:cs="Arial"/>
          <w:sz w:val="20"/>
          <w:szCs w:val="20"/>
        </w:rPr>
        <w:t xml:space="preserve">. Females saw a gradual increase in incidence rate between 2021 and 2024, with no drop in 2020. </w:t>
      </w:r>
      <w:r w:rsidR="008B1C57" w:rsidRPr="00F17DB3">
        <w:rPr>
          <w:rFonts w:ascii="Arial" w:hAnsi="Arial" w:cs="Arial"/>
          <w:sz w:val="20"/>
          <w:szCs w:val="20"/>
        </w:rPr>
        <w:t>In 202</w:t>
      </w:r>
      <w:r w:rsidR="008B1C57">
        <w:rPr>
          <w:rFonts w:ascii="Arial" w:hAnsi="Arial" w:cs="Arial"/>
          <w:sz w:val="20"/>
          <w:szCs w:val="20"/>
        </w:rPr>
        <w:t>4</w:t>
      </w:r>
      <w:r w:rsidR="008B1C57" w:rsidRPr="00F17DB3">
        <w:rPr>
          <w:rFonts w:ascii="Arial" w:hAnsi="Arial" w:cs="Arial"/>
          <w:sz w:val="20"/>
          <w:szCs w:val="20"/>
        </w:rPr>
        <w:t xml:space="preserve">, </w:t>
      </w:r>
      <w:r w:rsidR="008B1C57">
        <w:rPr>
          <w:rFonts w:ascii="Arial" w:hAnsi="Arial" w:cs="Arial"/>
          <w:sz w:val="20"/>
          <w:szCs w:val="20"/>
        </w:rPr>
        <w:t>males</w:t>
      </w:r>
      <w:r w:rsidR="008B1C57" w:rsidRPr="00F17DB3">
        <w:rPr>
          <w:rFonts w:ascii="Arial" w:hAnsi="Arial" w:cs="Arial"/>
          <w:sz w:val="20"/>
          <w:szCs w:val="20"/>
        </w:rPr>
        <w:t xml:space="preserve"> accounted for </w:t>
      </w:r>
      <w:r w:rsidR="008B1C57">
        <w:rPr>
          <w:rFonts w:ascii="Arial" w:hAnsi="Arial" w:cs="Arial"/>
          <w:sz w:val="20"/>
          <w:szCs w:val="20"/>
        </w:rPr>
        <w:t>7</w:t>
      </w:r>
      <w:r w:rsidR="009604B7">
        <w:rPr>
          <w:rFonts w:ascii="Arial" w:hAnsi="Arial" w:cs="Arial"/>
          <w:sz w:val="20"/>
          <w:szCs w:val="20"/>
        </w:rPr>
        <w:t>5.3</w:t>
      </w:r>
      <w:r w:rsidR="008B1C57">
        <w:rPr>
          <w:rFonts w:ascii="Arial" w:hAnsi="Arial" w:cs="Arial"/>
          <w:sz w:val="20"/>
          <w:szCs w:val="20"/>
        </w:rPr>
        <w:t>%</w:t>
      </w:r>
      <w:r w:rsidR="008B1C57" w:rsidRPr="00F17DB3">
        <w:rPr>
          <w:rFonts w:ascii="Arial" w:hAnsi="Arial" w:cs="Arial"/>
          <w:sz w:val="20"/>
          <w:szCs w:val="20"/>
        </w:rPr>
        <w:t xml:space="preserve"> of all </w:t>
      </w:r>
      <w:r w:rsidR="008B1C57">
        <w:rPr>
          <w:rFonts w:ascii="Arial" w:hAnsi="Arial" w:cs="Arial"/>
          <w:sz w:val="20"/>
          <w:szCs w:val="20"/>
        </w:rPr>
        <w:t>infectious</w:t>
      </w:r>
      <w:r w:rsidR="008B1C57" w:rsidRPr="00F17DB3">
        <w:rPr>
          <w:rFonts w:ascii="Arial" w:hAnsi="Arial" w:cs="Arial"/>
          <w:sz w:val="20"/>
          <w:szCs w:val="20"/>
        </w:rPr>
        <w:t xml:space="preserve"> syphilis cases in the county with a rate of </w:t>
      </w:r>
      <w:r w:rsidR="00ED1F8D">
        <w:rPr>
          <w:rFonts w:ascii="Arial" w:hAnsi="Arial" w:cs="Arial"/>
          <w:sz w:val="20"/>
          <w:szCs w:val="20"/>
        </w:rPr>
        <w:t>32</w:t>
      </w:r>
      <w:r w:rsidR="008B1C57">
        <w:rPr>
          <w:rFonts w:ascii="Arial" w:hAnsi="Arial" w:cs="Arial"/>
          <w:sz w:val="20"/>
          <w:szCs w:val="20"/>
        </w:rPr>
        <w:t>.</w:t>
      </w:r>
      <w:r w:rsidR="00ED1F8D">
        <w:rPr>
          <w:rFonts w:ascii="Arial" w:hAnsi="Arial" w:cs="Arial"/>
          <w:sz w:val="20"/>
          <w:szCs w:val="20"/>
        </w:rPr>
        <w:t>0</w:t>
      </w:r>
      <w:r w:rsidR="008B1C57">
        <w:rPr>
          <w:rFonts w:ascii="Arial" w:hAnsi="Arial" w:cs="Arial"/>
          <w:sz w:val="20"/>
          <w:szCs w:val="20"/>
        </w:rPr>
        <w:t xml:space="preserve"> </w:t>
      </w:r>
      <w:r w:rsidR="008B1C57" w:rsidRPr="00F17DB3">
        <w:rPr>
          <w:rFonts w:ascii="Arial" w:hAnsi="Arial" w:cs="Arial"/>
          <w:sz w:val="20"/>
          <w:szCs w:val="20"/>
        </w:rPr>
        <w:t>per 100,000</w:t>
      </w:r>
      <w:r w:rsidR="00ED1F8D">
        <w:rPr>
          <w:rFonts w:ascii="Arial" w:hAnsi="Arial" w:cs="Arial"/>
          <w:sz w:val="20"/>
          <w:szCs w:val="20"/>
        </w:rPr>
        <w:t>,</w:t>
      </w:r>
      <w:r w:rsidR="008B1C57" w:rsidRPr="00F17DB3">
        <w:rPr>
          <w:rFonts w:ascii="Arial" w:hAnsi="Arial" w:cs="Arial"/>
          <w:sz w:val="20"/>
          <w:szCs w:val="20"/>
        </w:rPr>
        <w:t xml:space="preserve"> </w:t>
      </w:r>
      <w:r w:rsidR="00ED1F8D">
        <w:rPr>
          <w:rFonts w:ascii="Arial" w:hAnsi="Arial" w:cs="Arial"/>
          <w:sz w:val="20"/>
          <w:szCs w:val="20"/>
        </w:rPr>
        <w:t>more than three</w:t>
      </w:r>
      <w:r w:rsidR="008B1C57" w:rsidRPr="00F17DB3">
        <w:rPr>
          <w:rFonts w:ascii="Arial" w:hAnsi="Arial" w:cs="Arial"/>
          <w:sz w:val="20"/>
          <w:szCs w:val="20"/>
        </w:rPr>
        <w:t xml:space="preserve"> times</w:t>
      </w:r>
      <w:r w:rsidR="00FD26E7">
        <w:rPr>
          <w:rFonts w:ascii="Arial" w:hAnsi="Arial" w:cs="Arial"/>
          <w:sz w:val="20"/>
          <w:szCs w:val="20"/>
        </w:rPr>
        <w:t xml:space="preserve"> than</w:t>
      </w:r>
      <w:r w:rsidR="008B1C57" w:rsidRPr="00F17DB3">
        <w:rPr>
          <w:rFonts w:ascii="Arial" w:hAnsi="Arial" w:cs="Arial"/>
          <w:sz w:val="20"/>
          <w:szCs w:val="20"/>
        </w:rPr>
        <w:t xml:space="preserve"> that of </w:t>
      </w:r>
      <w:r w:rsidR="008B1C57">
        <w:rPr>
          <w:rFonts w:ascii="Arial" w:hAnsi="Arial" w:cs="Arial"/>
          <w:sz w:val="20"/>
          <w:szCs w:val="20"/>
        </w:rPr>
        <w:t>females</w:t>
      </w:r>
      <w:r w:rsidR="008B1C57" w:rsidRPr="00F17DB3">
        <w:rPr>
          <w:rFonts w:ascii="Arial" w:hAnsi="Arial" w:cs="Arial"/>
          <w:sz w:val="20"/>
          <w:szCs w:val="20"/>
        </w:rPr>
        <w:t xml:space="preserve"> (</w:t>
      </w:r>
      <w:r w:rsidR="00ED1F8D">
        <w:rPr>
          <w:rFonts w:ascii="Arial" w:hAnsi="Arial" w:cs="Arial"/>
          <w:sz w:val="20"/>
          <w:szCs w:val="20"/>
        </w:rPr>
        <w:t>9</w:t>
      </w:r>
      <w:r w:rsidR="008B1C57">
        <w:rPr>
          <w:rFonts w:ascii="Arial" w:hAnsi="Arial" w:cs="Arial"/>
          <w:sz w:val="20"/>
          <w:szCs w:val="20"/>
        </w:rPr>
        <w:t>.</w:t>
      </w:r>
      <w:r w:rsidR="00ED1F8D">
        <w:rPr>
          <w:rFonts w:ascii="Arial" w:hAnsi="Arial" w:cs="Arial"/>
          <w:sz w:val="20"/>
          <w:szCs w:val="20"/>
        </w:rPr>
        <w:t>3</w:t>
      </w:r>
      <w:r w:rsidR="008B1C57">
        <w:rPr>
          <w:rFonts w:ascii="Arial" w:hAnsi="Arial" w:cs="Arial"/>
          <w:sz w:val="20"/>
          <w:szCs w:val="20"/>
        </w:rPr>
        <w:t xml:space="preserve"> </w:t>
      </w:r>
      <w:r w:rsidR="008B1C57" w:rsidRPr="00F17DB3">
        <w:rPr>
          <w:rFonts w:ascii="Arial" w:hAnsi="Arial" w:cs="Arial"/>
          <w:sz w:val="20"/>
          <w:szCs w:val="20"/>
        </w:rPr>
        <w:t>per 100,000)</w:t>
      </w:r>
      <w:r w:rsidR="008B1C57" w:rsidRPr="001257E5">
        <w:rPr>
          <w:rFonts w:ascii="Arial" w:hAnsi="Arial" w:cs="Arial"/>
          <w:sz w:val="20"/>
          <w:szCs w:val="20"/>
        </w:rPr>
        <w:t>.</w:t>
      </w:r>
      <w:r w:rsidR="008B1C57" w:rsidRPr="00F17DB3">
        <w:rPr>
          <w:rFonts w:ascii="Arial" w:hAnsi="Arial" w:cs="Arial"/>
          <w:b/>
          <w:bCs/>
          <w:sz w:val="20"/>
          <w:szCs w:val="20"/>
        </w:rPr>
        <w:t xml:space="preserve">  </w:t>
      </w:r>
      <w:bookmarkEnd w:id="22"/>
      <w:bookmarkEnd w:id="25"/>
    </w:p>
    <w:p w14:paraId="2C0D6ECA" w14:textId="30171593" w:rsidR="00D83186" w:rsidRDefault="00D83186" w:rsidP="00517A50">
      <w:pPr>
        <w:rPr>
          <w:rFonts w:ascii="Arial" w:hAnsi="Arial" w:cs="Arial"/>
          <w:b/>
          <w:bCs/>
          <w:sz w:val="20"/>
          <w:szCs w:val="20"/>
        </w:rPr>
      </w:pPr>
    </w:p>
    <w:p w14:paraId="78ECA09A" w14:textId="242888FB" w:rsidR="003D22DA" w:rsidRDefault="003D22DA" w:rsidP="00517A50">
      <w:pPr>
        <w:rPr>
          <w:rFonts w:ascii="Arial" w:hAnsi="Arial" w:cs="Arial"/>
          <w:b/>
          <w:bCs/>
          <w:sz w:val="20"/>
          <w:szCs w:val="20"/>
        </w:rPr>
      </w:pPr>
      <w:r>
        <w:rPr>
          <w:rFonts w:ascii="Arial" w:hAnsi="Arial" w:cs="Arial"/>
          <w:b/>
          <w:bCs/>
          <w:noProof/>
          <w:sz w:val="20"/>
          <w:szCs w:val="20"/>
        </w:rPr>
        <w:drawing>
          <wp:inline distT="0" distB="0" distL="0" distR="0" wp14:anchorId="53B98273" wp14:editId="16402E8F">
            <wp:extent cx="6912864" cy="2276856"/>
            <wp:effectExtent l="0" t="0" r="0" b="9525"/>
            <wp:docPr id="568433935" name="Picture 3" descr="Graph depicts the rates per 100,000 population of infectious syphilis in Massachusetts statewide, in Essex County overall, and by gender in Essex County between 2015 and 2024. The line showing statewide rate begins at 11.7 in 2015 and ends at 18.9 in 2024, with a peak of 22.7 in 2022. The line showing Essex County overall rate begins at 7.0 in 2015 and ends at 20.5 in 2024. The line showing the rate among females in Essex County begins at 1.5 in 2015 and ends at 9.3 in 2024. The line showing the rate among males in Essex County begins at 13.0 in 2015 and ends at 32.0 in 2024, with a peak of 33.3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433935" name="Picture 3" descr="Graph depicts the rates per 100,000 population of infectious syphilis in Massachusetts statewide, in Essex County overall, and by gender in Essex County between 2015 and 2024. The line showing statewide rate begins at 11.7 in 2015 and ends at 18.9 in 2024, with a peak of 22.7 in 2022. The line showing Essex County overall rate begins at 7.0 in 2015 and ends at 20.5 in 2024. The line showing the rate among females in Essex County begins at 1.5 in 2015 and ends at 9.3 in 2024. The line showing the rate among males in Essex County begins at 13.0 in 2015 and ends at 32.0 in 2024, with a peak of 33.3 in 20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2864" cy="2276856"/>
                    </a:xfrm>
                    <a:prstGeom prst="rect">
                      <a:avLst/>
                    </a:prstGeom>
                    <a:noFill/>
                  </pic:spPr>
                </pic:pic>
              </a:graphicData>
            </a:graphic>
          </wp:inline>
        </w:drawing>
      </w:r>
    </w:p>
    <w:p w14:paraId="2A2BD9B0" w14:textId="77777777" w:rsidR="002A61DC" w:rsidRPr="002F5B67" w:rsidRDefault="002A61DC" w:rsidP="002A61DC">
      <w:pPr>
        <w:rPr>
          <w:rFonts w:ascii="Arial" w:hAnsi="Arial" w:cs="Arial"/>
          <w:sz w:val="12"/>
          <w:szCs w:val="12"/>
        </w:rPr>
      </w:pPr>
      <w:r w:rsidRPr="002F5B67">
        <w:rPr>
          <w:rFonts w:ascii="Arial" w:hAnsi="Arial" w:cs="Arial"/>
          <w:sz w:val="12"/>
          <w:szCs w:val="12"/>
        </w:rPr>
        <w:t xml:space="preserve">Data are current as of </w:t>
      </w:r>
      <w:r>
        <w:rPr>
          <w:rFonts w:ascii="Arial" w:hAnsi="Arial" w:cs="Arial"/>
          <w:sz w:val="12"/>
          <w:szCs w:val="12"/>
        </w:rPr>
        <w:t>6</w:t>
      </w:r>
      <w:r w:rsidRPr="002F5B67">
        <w:rPr>
          <w:rFonts w:ascii="Arial" w:hAnsi="Arial" w:cs="Arial"/>
          <w:sz w:val="12"/>
          <w:szCs w:val="12"/>
        </w:rPr>
        <w:t>/</w:t>
      </w:r>
      <w:r>
        <w:rPr>
          <w:rFonts w:ascii="Arial" w:hAnsi="Arial" w:cs="Arial"/>
          <w:sz w:val="12"/>
          <w:szCs w:val="12"/>
        </w:rPr>
        <w:t>02</w:t>
      </w:r>
      <w:r w:rsidRPr="002F5B67">
        <w:rPr>
          <w:rFonts w:ascii="Arial" w:hAnsi="Arial" w:cs="Arial"/>
          <w:sz w:val="12"/>
          <w:szCs w:val="12"/>
        </w:rPr>
        <w:t>/202</w:t>
      </w:r>
      <w:r>
        <w:rPr>
          <w:rFonts w:ascii="Arial" w:hAnsi="Arial" w:cs="Arial"/>
          <w:sz w:val="12"/>
          <w:szCs w:val="12"/>
        </w:rPr>
        <w:t>5</w:t>
      </w:r>
      <w:r w:rsidRPr="002F5B67">
        <w:rPr>
          <w:rFonts w:ascii="Arial" w:hAnsi="Arial" w:cs="Arial"/>
          <w:sz w:val="12"/>
          <w:szCs w:val="12"/>
        </w:rPr>
        <w:t xml:space="preserve"> and are subject to change. </w:t>
      </w:r>
    </w:p>
    <w:p w14:paraId="6F4AEC4F" w14:textId="77777777" w:rsidR="002A61DC" w:rsidRPr="002F5B67" w:rsidRDefault="002A61DC" w:rsidP="002A61DC">
      <w:pPr>
        <w:rPr>
          <w:rFonts w:ascii="Arial" w:hAnsi="Arial" w:cs="Arial"/>
          <w:sz w:val="12"/>
          <w:szCs w:val="12"/>
        </w:rPr>
      </w:pPr>
      <w:r w:rsidRPr="002F5B67">
        <w:rPr>
          <w:rFonts w:ascii="Arial" w:hAnsi="Arial" w:cs="Arial"/>
          <w:sz w:val="12"/>
          <w:szCs w:val="12"/>
        </w:rPr>
        <w:t>Population denominators: Strate S, et al. Small Area Population Estimates for 2011 through 2020 report, Oct 2016.</w:t>
      </w:r>
    </w:p>
    <w:p w14:paraId="28587575" w14:textId="77777777" w:rsidR="002A61DC" w:rsidRPr="002F5B67" w:rsidRDefault="002A61DC" w:rsidP="002A61DC">
      <w:pPr>
        <w:rPr>
          <w:rFonts w:ascii="Arial" w:hAnsi="Arial" w:cs="Arial"/>
          <w:sz w:val="12"/>
          <w:szCs w:val="12"/>
        </w:rPr>
      </w:pPr>
      <w:r w:rsidRPr="002F5B67">
        <w:rPr>
          <w:rFonts w:ascii="Arial" w:hAnsi="Arial" w:cs="Arial"/>
          <w:sz w:val="12"/>
          <w:szCs w:val="12"/>
        </w:rPr>
        <w:t>Data source: Massachusetts Department of Public Health/Bureau of Infectious Disease and Laboratory Sciences/Division of STD Prevention.</w:t>
      </w:r>
    </w:p>
    <w:p w14:paraId="2350CF5B" w14:textId="77777777" w:rsidR="00D83186" w:rsidRDefault="00D83186" w:rsidP="00C422E1">
      <w:pPr>
        <w:rPr>
          <w:rFonts w:ascii="Arial" w:hAnsi="Arial" w:cs="Arial"/>
          <w:b/>
          <w:bCs/>
          <w:sz w:val="20"/>
          <w:szCs w:val="20"/>
        </w:rPr>
      </w:pPr>
    </w:p>
    <w:p w14:paraId="70A98270" w14:textId="3BF30F3F" w:rsidR="00C422E1" w:rsidRDefault="00C422E1" w:rsidP="00C422E1">
      <w:pPr>
        <w:rPr>
          <w:rFonts w:ascii="Arial" w:hAnsi="Arial" w:cs="Arial"/>
          <w:b/>
          <w:bCs/>
          <w:sz w:val="20"/>
          <w:szCs w:val="20"/>
        </w:rPr>
      </w:pPr>
      <w:r w:rsidRPr="00D83186">
        <w:rPr>
          <w:rFonts w:ascii="Arial" w:hAnsi="Arial" w:cs="Arial"/>
          <w:b/>
          <w:bCs/>
          <w:sz w:val="20"/>
          <w:szCs w:val="20"/>
        </w:rPr>
        <w:t>In</w:t>
      </w:r>
      <w:r w:rsidRPr="005A47A6">
        <w:rPr>
          <w:rFonts w:ascii="Arial" w:hAnsi="Arial" w:cs="Arial"/>
          <w:b/>
          <w:bCs/>
          <w:sz w:val="20"/>
          <w:szCs w:val="20"/>
        </w:rPr>
        <w:t xml:space="preserve"> 2024,</w:t>
      </w:r>
      <w:r>
        <w:rPr>
          <w:rFonts w:ascii="Arial" w:hAnsi="Arial" w:cs="Arial"/>
          <w:b/>
          <w:bCs/>
          <w:sz w:val="20"/>
          <w:szCs w:val="20"/>
        </w:rPr>
        <w:t xml:space="preserve"> 6</w:t>
      </w:r>
      <w:r w:rsidR="006B0002">
        <w:rPr>
          <w:rFonts w:ascii="Arial" w:hAnsi="Arial" w:cs="Arial"/>
          <w:b/>
          <w:bCs/>
          <w:sz w:val="20"/>
          <w:szCs w:val="20"/>
        </w:rPr>
        <w:t>0</w:t>
      </w:r>
      <w:r w:rsidRPr="005A47A6">
        <w:rPr>
          <w:rFonts w:ascii="Arial" w:hAnsi="Arial" w:cs="Arial"/>
          <w:b/>
          <w:bCs/>
          <w:sz w:val="20"/>
          <w:szCs w:val="20"/>
        </w:rPr>
        <w:t> </w:t>
      </w:r>
      <w:r>
        <w:rPr>
          <w:rFonts w:ascii="Arial" w:hAnsi="Arial" w:cs="Arial"/>
          <w:b/>
          <w:bCs/>
          <w:sz w:val="20"/>
          <w:szCs w:val="20"/>
        </w:rPr>
        <w:t>infectious syphilis</w:t>
      </w:r>
      <w:r w:rsidRPr="005A47A6">
        <w:rPr>
          <w:rFonts w:ascii="Arial" w:hAnsi="Arial" w:cs="Arial"/>
          <w:b/>
          <w:bCs/>
          <w:sz w:val="20"/>
          <w:szCs w:val="20"/>
        </w:rPr>
        <w:t xml:space="preserve"> cases were reported among </w:t>
      </w:r>
      <w:r w:rsidR="006B0002">
        <w:rPr>
          <w:rFonts w:ascii="Arial" w:hAnsi="Arial" w:cs="Arial"/>
          <w:b/>
          <w:bCs/>
          <w:sz w:val="20"/>
          <w:szCs w:val="20"/>
        </w:rPr>
        <w:t>2</w:t>
      </w:r>
      <w:r w:rsidRPr="005A47A6">
        <w:rPr>
          <w:rFonts w:ascii="Arial" w:hAnsi="Arial" w:cs="Arial"/>
          <w:b/>
          <w:bCs/>
          <w:sz w:val="20"/>
          <w:szCs w:val="20"/>
        </w:rPr>
        <w:t>0–</w:t>
      </w:r>
      <w:r w:rsidR="006B0002">
        <w:rPr>
          <w:rFonts w:ascii="Arial" w:hAnsi="Arial" w:cs="Arial"/>
          <w:b/>
          <w:bCs/>
          <w:sz w:val="20"/>
          <w:szCs w:val="20"/>
        </w:rPr>
        <w:t>2</w:t>
      </w:r>
      <w:r w:rsidRPr="005A47A6">
        <w:rPr>
          <w:rFonts w:ascii="Arial" w:hAnsi="Arial" w:cs="Arial"/>
          <w:b/>
          <w:bCs/>
          <w:sz w:val="20"/>
          <w:szCs w:val="20"/>
        </w:rPr>
        <w:t xml:space="preserve">9-year-olds, </w:t>
      </w:r>
      <w:r w:rsidR="003D22DA">
        <w:rPr>
          <w:rFonts w:ascii="Arial" w:hAnsi="Arial" w:cs="Arial"/>
          <w:b/>
          <w:bCs/>
          <w:sz w:val="20"/>
          <w:szCs w:val="20"/>
        </w:rPr>
        <w:t xml:space="preserve">at a rate of 58.6 per 100,000, </w:t>
      </w:r>
      <w:r w:rsidRPr="005A47A6">
        <w:rPr>
          <w:rFonts w:ascii="Arial" w:hAnsi="Arial" w:cs="Arial"/>
          <w:b/>
          <w:bCs/>
          <w:sz w:val="20"/>
          <w:szCs w:val="20"/>
        </w:rPr>
        <w:t xml:space="preserve">the highest among all age groups in </w:t>
      </w:r>
      <w:r w:rsidR="006B0002">
        <w:rPr>
          <w:rFonts w:ascii="Arial" w:hAnsi="Arial" w:cs="Arial"/>
          <w:b/>
          <w:bCs/>
          <w:sz w:val="20"/>
          <w:szCs w:val="20"/>
        </w:rPr>
        <w:t>Essex</w:t>
      </w:r>
      <w:r>
        <w:rPr>
          <w:rFonts w:ascii="Arial" w:hAnsi="Arial" w:cs="Arial"/>
          <w:b/>
          <w:bCs/>
          <w:sz w:val="20"/>
          <w:szCs w:val="20"/>
        </w:rPr>
        <w:t xml:space="preserve"> </w:t>
      </w:r>
      <w:r w:rsidRPr="005A47A6">
        <w:rPr>
          <w:rFonts w:ascii="Arial" w:hAnsi="Arial" w:cs="Arial"/>
          <w:b/>
          <w:bCs/>
          <w:sz w:val="20"/>
          <w:szCs w:val="20"/>
        </w:rPr>
        <w:t>County.</w:t>
      </w:r>
      <w:r>
        <w:rPr>
          <w:rFonts w:ascii="Arial" w:hAnsi="Arial" w:cs="Arial"/>
          <w:b/>
          <w:bCs/>
          <w:sz w:val="20"/>
          <w:szCs w:val="20"/>
        </w:rPr>
        <w:t xml:space="preserve"> </w:t>
      </w:r>
      <w:r>
        <w:rPr>
          <w:rFonts w:ascii="Arial" w:hAnsi="Arial" w:cs="Arial"/>
          <w:sz w:val="20"/>
          <w:szCs w:val="20"/>
        </w:rPr>
        <w:t>M</w:t>
      </w:r>
      <w:r w:rsidRPr="00A806D7">
        <w:rPr>
          <w:rFonts w:ascii="Arial" w:hAnsi="Arial" w:cs="Arial"/>
          <w:sz w:val="20"/>
          <w:szCs w:val="20"/>
        </w:rPr>
        <w:t xml:space="preserve">ales accounted for </w:t>
      </w:r>
      <w:r>
        <w:rPr>
          <w:rFonts w:ascii="Arial" w:hAnsi="Arial" w:cs="Arial"/>
          <w:sz w:val="20"/>
          <w:szCs w:val="20"/>
        </w:rPr>
        <w:t>4</w:t>
      </w:r>
      <w:r w:rsidR="000929FC">
        <w:rPr>
          <w:rFonts w:ascii="Arial" w:hAnsi="Arial" w:cs="Arial"/>
          <w:sz w:val="20"/>
          <w:szCs w:val="20"/>
        </w:rPr>
        <w:t>0</w:t>
      </w:r>
      <w:r w:rsidRPr="00A806D7">
        <w:rPr>
          <w:rFonts w:ascii="Arial" w:hAnsi="Arial" w:cs="Arial"/>
          <w:sz w:val="20"/>
          <w:szCs w:val="20"/>
        </w:rPr>
        <w:t xml:space="preserve"> cases</w:t>
      </w:r>
      <w:r w:rsidR="001663AC">
        <w:rPr>
          <w:rFonts w:ascii="Arial" w:hAnsi="Arial" w:cs="Arial"/>
          <w:sz w:val="20"/>
          <w:szCs w:val="20"/>
        </w:rPr>
        <w:t xml:space="preserve"> (</w:t>
      </w:r>
      <w:r w:rsidR="003D22DA">
        <w:rPr>
          <w:rFonts w:ascii="Arial" w:hAnsi="Arial" w:cs="Arial"/>
          <w:sz w:val="20"/>
          <w:szCs w:val="20"/>
        </w:rPr>
        <w:t>66.7</w:t>
      </w:r>
      <w:r w:rsidR="001663AC">
        <w:rPr>
          <w:rFonts w:ascii="Arial" w:hAnsi="Arial" w:cs="Arial"/>
          <w:sz w:val="20"/>
          <w:szCs w:val="20"/>
        </w:rPr>
        <w:t>%)</w:t>
      </w:r>
      <w:r w:rsidR="00E37931">
        <w:rPr>
          <w:rFonts w:ascii="Arial" w:hAnsi="Arial" w:cs="Arial"/>
          <w:sz w:val="20"/>
          <w:szCs w:val="20"/>
        </w:rPr>
        <w:t xml:space="preserve"> within this age group</w:t>
      </w:r>
      <w:r w:rsidRPr="00A806D7">
        <w:rPr>
          <w:rFonts w:ascii="Arial" w:hAnsi="Arial" w:cs="Arial"/>
          <w:sz w:val="20"/>
          <w:szCs w:val="20"/>
        </w:rPr>
        <w:t xml:space="preserve">, with a rate of </w:t>
      </w:r>
      <w:r w:rsidR="00C975A6" w:rsidRPr="00C975A6">
        <w:rPr>
          <w:rFonts w:ascii="Arial" w:hAnsi="Arial" w:cs="Arial"/>
          <w:sz w:val="20"/>
          <w:szCs w:val="20"/>
        </w:rPr>
        <w:t>77.0</w:t>
      </w:r>
      <w:r>
        <w:rPr>
          <w:rFonts w:ascii="Arial" w:hAnsi="Arial" w:cs="Arial"/>
          <w:sz w:val="20"/>
          <w:szCs w:val="20"/>
        </w:rPr>
        <w:t xml:space="preserve"> </w:t>
      </w:r>
      <w:r w:rsidRPr="00A806D7">
        <w:rPr>
          <w:rFonts w:ascii="Arial" w:hAnsi="Arial" w:cs="Arial"/>
          <w:sz w:val="20"/>
          <w:szCs w:val="20"/>
        </w:rPr>
        <w:t xml:space="preserve">per 100,000, while </w:t>
      </w:r>
      <w:r w:rsidR="000929FC">
        <w:rPr>
          <w:rFonts w:ascii="Arial" w:hAnsi="Arial" w:cs="Arial"/>
          <w:sz w:val="20"/>
          <w:szCs w:val="20"/>
        </w:rPr>
        <w:t>19</w:t>
      </w:r>
      <w:r>
        <w:rPr>
          <w:rFonts w:ascii="Arial" w:hAnsi="Arial" w:cs="Arial"/>
          <w:sz w:val="20"/>
          <w:szCs w:val="20"/>
        </w:rPr>
        <w:t xml:space="preserve"> </w:t>
      </w:r>
      <w:r w:rsidRPr="00A806D7">
        <w:rPr>
          <w:rFonts w:ascii="Arial" w:hAnsi="Arial" w:cs="Arial"/>
          <w:sz w:val="20"/>
          <w:szCs w:val="20"/>
        </w:rPr>
        <w:t>cases</w:t>
      </w:r>
      <w:r w:rsidR="001663AC">
        <w:rPr>
          <w:rFonts w:ascii="Arial" w:hAnsi="Arial" w:cs="Arial"/>
          <w:sz w:val="20"/>
          <w:szCs w:val="20"/>
        </w:rPr>
        <w:t xml:space="preserve"> (</w:t>
      </w:r>
      <w:r w:rsidR="003D22DA">
        <w:rPr>
          <w:rFonts w:ascii="Arial" w:hAnsi="Arial" w:cs="Arial"/>
          <w:sz w:val="20"/>
          <w:szCs w:val="20"/>
        </w:rPr>
        <w:t>31.7</w:t>
      </w:r>
      <w:r w:rsidR="001663AC">
        <w:rPr>
          <w:rFonts w:ascii="Arial" w:hAnsi="Arial" w:cs="Arial"/>
          <w:sz w:val="20"/>
          <w:szCs w:val="20"/>
        </w:rPr>
        <w:t>%)</w:t>
      </w:r>
      <w:r w:rsidRPr="00A806D7">
        <w:rPr>
          <w:rFonts w:ascii="Arial" w:hAnsi="Arial" w:cs="Arial"/>
          <w:sz w:val="20"/>
          <w:szCs w:val="20"/>
        </w:rPr>
        <w:t xml:space="preserve"> were reported for </w:t>
      </w:r>
      <w:r>
        <w:rPr>
          <w:rFonts w:ascii="Arial" w:hAnsi="Arial" w:cs="Arial"/>
          <w:sz w:val="20"/>
          <w:szCs w:val="20"/>
        </w:rPr>
        <w:t>fe</w:t>
      </w:r>
      <w:r w:rsidRPr="00A806D7">
        <w:rPr>
          <w:rFonts w:ascii="Arial" w:hAnsi="Arial" w:cs="Arial"/>
          <w:sz w:val="20"/>
          <w:szCs w:val="20"/>
        </w:rPr>
        <w:t xml:space="preserve">males, at a rate of </w:t>
      </w:r>
      <w:r w:rsidR="00C975A6" w:rsidRPr="00C975A6">
        <w:rPr>
          <w:rFonts w:ascii="Arial" w:hAnsi="Arial" w:cs="Arial"/>
          <w:sz w:val="20"/>
          <w:szCs w:val="20"/>
        </w:rPr>
        <w:t>37.7</w:t>
      </w:r>
      <w:r w:rsidRPr="00A806D7">
        <w:rPr>
          <w:rFonts w:ascii="Arial" w:hAnsi="Arial" w:cs="Arial"/>
          <w:sz w:val="20"/>
          <w:szCs w:val="20"/>
        </w:rPr>
        <w:t xml:space="preserve"> per 100,000. Although the chart below represents rates by age group only, the highest burden </w:t>
      </w:r>
      <w:r w:rsidR="001663AC">
        <w:rPr>
          <w:rFonts w:ascii="Arial" w:hAnsi="Arial" w:cs="Arial"/>
          <w:sz w:val="20"/>
          <w:szCs w:val="20"/>
        </w:rPr>
        <w:t>is</w:t>
      </w:r>
      <w:r w:rsidR="001663AC" w:rsidRPr="00A806D7">
        <w:rPr>
          <w:rFonts w:ascii="Arial" w:hAnsi="Arial" w:cs="Arial"/>
          <w:sz w:val="20"/>
          <w:szCs w:val="20"/>
        </w:rPr>
        <w:t xml:space="preserve"> </w:t>
      </w:r>
      <w:r w:rsidRPr="00A806D7">
        <w:rPr>
          <w:rFonts w:ascii="Arial" w:hAnsi="Arial" w:cs="Arial"/>
          <w:sz w:val="20"/>
          <w:szCs w:val="20"/>
        </w:rPr>
        <w:t xml:space="preserve">concentrated among </w:t>
      </w:r>
      <w:r w:rsidR="001663AC">
        <w:rPr>
          <w:rFonts w:ascii="Arial" w:hAnsi="Arial" w:cs="Arial"/>
          <w:sz w:val="20"/>
          <w:szCs w:val="20"/>
        </w:rPr>
        <w:t>20-29-year-old males</w:t>
      </w:r>
      <w:r w:rsidRPr="00A806D7">
        <w:rPr>
          <w:rFonts w:ascii="Arial" w:hAnsi="Arial" w:cs="Arial"/>
          <w:sz w:val="20"/>
          <w:szCs w:val="20"/>
        </w:rPr>
        <w:t xml:space="preserve">. </w:t>
      </w:r>
      <w:r w:rsidRPr="00A806D7">
        <w:rPr>
          <w:rFonts w:ascii="Arial" w:hAnsi="Arial" w:cs="Arial"/>
          <w:b/>
          <w:bCs/>
          <w:sz w:val="20"/>
          <w:szCs w:val="20"/>
        </w:rPr>
        <w:t xml:space="preserve">Data by </w:t>
      </w:r>
      <w:r w:rsidR="00014449">
        <w:rPr>
          <w:rFonts w:ascii="Arial" w:hAnsi="Arial" w:cs="Arial"/>
          <w:b/>
          <w:bCs/>
          <w:sz w:val="20"/>
          <w:szCs w:val="20"/>
        </w:rPr>
        <w:t>gender</w:t>
      </w:r>
      <w:r w:rsidRPr="00A806D7">
        <w:rPr>
          <w:rFonts w:ascii="Arial" w:hAnsi="Arial" w:cs="Arial"/>
          <w:b/>
          <w:bCs/>
          <w:sz w:val="20"/>
          <w:szCs w:val="20"/>
        </w:rPr>
        <w:t xml:space="preserve"> within each age group are not displayed due to suppression rules.</w:t>
      </w:r>
      <w:r w:rsidR="00C975A6">
        <w:rPr>
          <w:rFonts w:ascii="Arial" w:hAnsi="Arial" w:cs="Arial"/>
          <w:b/>
          <w:bCs/>
          <w:sz w:val="20"/>
          <w:szCs w:val="20"/>
        </w:rPr>
        <w:t xml:space="preserve"> </w:t>
      </w:r>
    </w:p>
    <w:p w14:paraId="23A22A4D" w14:textId="4EBDBAD5" w:rsidR="008B1C57" w:rsidRDefault="008B1C57" w:rsidP="00517A50">
      <w:pPr>
        <w:rPr>
          <w:rFonts w:ascii="Arial" w:hAnsi="Arial" w:cs="Arial"/>
          <w:sz w:val="20"/>
          <w:szCs w:val="20"/>
        </w:rPr>
      </w:pPr>
    </w:p>
    <w:p w14:paraId="432F26B2" w14:textId="42E8DA59" w:rsidR="002A61DC" w:rsidRDefault="002A61DC" w:rsidP="00517A50">
      <w:pPr>
        <w:rPr>
          <w:rFonts w:ascii="Arial" w:hAnsi="Arial" w:cs="Arial"/>
          <w:sz w:val="20"/>
          <w:szCs w:val="20"/>
        </w:rPr>
      </w:pPr>
      <w:r>
        <w:rPr>
          <w:rFonts w:ascii="Arial" w:hAnsi="Arial" w:cs="Arial"/>
          <w:noProof/>
          <w:sz w:val="20"/>
          <w:szCs w:val="20"/>
        </w:rPr>
        <w:drawing>
          <wp:inline distT="0" distB="0" distL="0" distR="0" wp14:anchorId="3EA693B8" wp14:editId="7097DF56">
            <wp:extent cx="6912864" cy="2642616"/>
            <wp:effectExtent l="0" t="0" r="2540" b="5715"/>
            <wp:docPr id="1110618819" name="Picture 12" descr="Graph depicts the rates per 100,000 population of infectious syphilis cases in Essex County, Massachusetts by age group for 2015 and 2024. The included age groups are &lt;20 years, 20-29 years, 30-39 years, 40-49 years, 50-59 years, and 60+ years. Rates are consistently higher in 2024 compared to 2015. Rates are highest among those aged 20-29, at 20.6 in 2015 and 58.6 in 2024. Rates are lowest among those aged &lt;20, at 1.0 in 2015 and 2.6 in 2024. The age group that saw the largest change in rate was 30-39 years, from 13.3 in 2015 to 54.2 i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618819" name="Picture 12" descr="Graph depicts the rates per 100,000 population of infectious syphilis cases in Essex County, Massachusetts by age group for 2015 and 2024. The included age groups are &lt;20 years, 20-29 years, 30-39 years, 40-49 years, 50-59 years, and 60+ years. Rates are consistently higher in 2024 compared to 2015. Rates are highest among those aged 20-29, at 20.6 in 2015 and 58.6 in 2024. Rates are lowest among those aged &lt;20, at 1.0 in 2015 and 2.6 in 2024. The age group that saw the largest change in rate was 30-39 years, from 13.3 in 2015 to 54.2 in 202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912864" cy="2642616"/>
                    </a:xfrm>
                    <a:prstGeom prst="rect">
                      <a:avLst/>
                    </a:prstGeom>
                    <a:noFill/>
                  </pic:spPr>
                </pic:pic>
              </a:graphicData>
            </a:graphic>
          </wp:inline>
        </w:drawing>
      </w:r>
    </w:p>
    <w:p w14:paraId="519A79AC" w14:textId="77777777" w:rsidR="002A61DC" w:rsidRPr="001E7A0A" w:rsidRDefault="002A61DC" w:rsidP="002A61DC">
      <w:pPr>
        <w:rPr>
          <w:rFonts w:ascii="Arial" w:hAnsi="Arial" w:cs="Arial"/>
          <w:sz w:val="12"/>
          <w:szCs w:val="12"/>
        </w:rPr>
      </w:pPr>
      <w:r w:rsidRPr="001E7A0A">
        <w:rPr>
          <w:rFonts w:ascii="Arial" w:hAnsi="Arial" w:cs="Arial"/>
          <w:sz w:val="12"/>
          <w:szCs w:val="12"/>
        </w:rPr>
        <w:t xml:space="preserve">Data are current as of </w:t>
      </w:r>
      <w:r>
        <w:rPr>
          <w:rFonts w:ascii="Arial" w:hAnsi="Arial" w:cs="Arial"/>
          <w:sz w:val="12"/>
          <w:szCs w:val="12"/>
        </w:rPr>
        <w:t>6</w:t>
      </w:r>
      <w:r w:rsidRPr="001E7A0A">
        <w:rPr>
          <w:rFonts w:ascii="Arial" w:hAnsi="Arial" w:cs="Arial"/>
          <w:sz w:val="12"/>
          <w:szCs w:val="12"/>
        </w:rPr>
        <w:t>/</w:t>
      </w:r>
      <w:r>
        <w:rPr>
          <w:rFonts w:ascii="Arial" w:hAnsi="Arial" w:cs="Arial"/>
          <w:sz w:val="12"/>
          <w:szCs w:val="12"/>
        </w:rPr>
        <w:t>02</w:t>
      </w:r>
      <w:r w:rsidRPr="001E7A0A">
        <w:rPr>
          <w:rFonts w:ascii="Arial" w:hAnsi="Arial" w:cs="Arial"/>
          <w:sz w:val="12"/>
          <w:szCs w:val="12"/>
        </w:rPr>
        <w:t>/202</w:t>
      </w:r>
      <w:r>
        <w:rPr>
          <w:rFonts w:ascii="Arial" w:hAnsi="Arial" w:cs="Arial"/>
          <w:sz w:val="12"/>
          <w:szCs w:val="12"/>
        </w:rPr>
        <w:t>5</w:t>
      </w:r>
      <w:r w:rsidRPr="001E7A0A">
        <w:rPr>
          <w:rFonts w:ascii="Arial" w:hAnsi="Arial" w:cs="Arial"/>
          <w:sz w:val="12"/>
          <w:szCs w:val="12"/>
        </w:rPr>
        <w:t xml:space="preserve"> and are subject to change. </w:t>
      </w:r>
    </w:p>
    <w:p w14:paraId="2E3AA7FB" w14:textId="77777777" w:rsidR="002A61DC" w:rsidRPr="001E7A0A" w:rsidRDefault="002A61DC" w:rsidP="002A61DC">
      <w:pPr>
        <w:rPr>
          <w:rFonts w:ascii="Arial" w:hAnsi="Arial" w:cs="Arial"/>
          <w:sz w:val="12"/>
          <w:szCs w:val="12"/>
        </w:rPr>
      </w:pPr>
      <w:r w:rsidRPr="001E7A0A">
        <w:rPr>
          <w:rFonts w:ascii="Arial" w:hAnsi="Arial" w:cs="Arial"/>
          <w:sz w:val="12"/>
          <w:szCs w:val="12"/>
        </w:rPr>
        <w:t>Population denominators: Strate S, et al. Small Area Population Estimates for 2011 through 2020 report, Oct 2016.</w:t>
      </w:r>
    </w:p>
    <w:p w14:paraId="031BDC2E" w14:textId="2E9E00B6" w:rsidR="008B1C57" w:rsidRDefault="002A61DC" w:rsidP="002A61DC">
      <w:pPr>
        <w:rPr>
          <w:rFonts w:ascii="Arial" w:hAnsi="Arial" w:cs="Arial"/>
          <w:sz w:val="12"/>
          <w:szCs w:val="12"/>
        </w:rPr>
      </w:pPr>
      <w:r w:rsidRPr="001E7A0A">
        <w:rPr>
          <w:rFonts w:ascii="Arial" w:hAnsi="Arial" w:cs="Arial"/>
          <w:sz w:val="12"/>
          <w:szCs w:val="12"/>
        </w:rPr>
        <w:t>Data source: Massachusetts Department of Public Health/Bureau of Infectious Disease and Laboratory Sciences/Division of STD Prevention.</w:t>
      </w:r>
    </w:p>
    <w:p w14:paraId="2C223A8D" w14:textId="77777777" w:rsidR="002A61DC" w:rsidRDefault="002A61DC" w:rsidP="002A61DC">
      <w:pPr>
        <w:rPr>
          <w:rFonts w:ascii="Arial" w:hAnsi="Arial" w:cs="Arial"/>
          <w:sz w:val="12"/>
          <w:szCs w:val="12"/>
        </w:rPr>
      </w:pPr>
    </w:p>
    <w:p w14:paraId="2F951BF0" w14:textId="77777777" w:rsidR="002A61DC" w:rsidRDefault="002A61DC" w:rsidP="002A61DC">
      <w:pPr>
        <w:rPr>
          <w:rFonts w:ascii="Arial" w:hAnsi="Arial" w:cs="Arial"/>
          <w:sz w:val="12"/>
          <w:szCs w:val="12"/>
        </w:rPr>
      </w:pPr>
    </w:p>
    <w:p w14:paraId="5149B8C8" w14:textId="77777777" w:rsidR="002A61DC" w:rsidRPr="002A61DC" w:rsidRDefault="002A61DC" w:rsidP="002A61DC">
      <w:pPr>
        <w:rPr>
          <w:rFonts w:ascii="Arial" w:hAnsi="Arial" w:cs="Arial"/>
          <w:sz w:val="20"/>
          <w:szCs w:val="20"/>
        </w:rPr>
      </w:pPr>
    </w:p>
    <w:p w14:paraId="5F50FC40" w14:textId="77777777" w:rsidR="002A61DC" w:rsidRPr="002A61DC" w:rsidRDefault="002A61DC" w:rsidP="002A61DC">
      <w:pPr>
        <w:rPr>
          <w:rFonts w:ascii="Arial" w:hAnsi="Arial" w:cs="Arial"/>
          <w:sz w:val="20"/>
          <w:szCs w:val="20"/>
        </w:rPr>
      </w:pPr>
    </w:p>
    <w:p w14:paraId="7017398E" w14:textId="77777777" w:rsidR="002A61DC" w:rsidRPr="002A61DC" w:rsidRDefault="002A61DC" w:rsidP="002A61DC">
      <w:pPr>
        <w:rPr>
          <w:rFonts w:ascii="Arial" w:hAnsi="Arial" w:cs="Arial"/>
          <w:sz w:val="20"/>
          <w:szCs w:val="20"/>
        </w:rPr>
      </w:pPr>
    </w:p>
    <w:p w14:paraId="3712D5D4" w14:textId="77777777" w:rsidR="002A61DC" w:rsidRPr="002A61DC" w:rsidRDefault="002A61DC" w:rsidP="002A61DC">
      <w:pPr>
        <w:rPr>
          <w:rFonts w:ascii="Arial" w:hAnsi="Arial" w:cs="Arial"/>
          <w:sz w:val="20"/>
          <w:szCs w:val="20"/>
        </w:rPr>
      </w:pPr>
    </w:p>
    <w:p w14:paraId="25BC95F4" w14:textId="77777777" w:rsidR="002A61DC" w:rsidRDefault="002A61DC" w:rsidP="002A61DC">
      <w:pPr>
        <w:rPr>
          <w:rFonts w:ascii="Arial" w:hAnsi="Arial" w:cs="Arial"/>
          <w:sz w:val="20"/>
          <w:szCs w:val="20"/>
        </w:rPr>
      </w:pPr>
    </w:p>
    <w:p w14:paraId="39899C63" w14:textId="77777777" w:rsidR="00FF0A68" w:rsidRDefault="00FF0A68" w:rsidP="002A61DC">
      <w:pPr>
        <w:rPr>
          <w:rFonts w:ascii="Arial" w:hAnsi="Arial" w:cs="Arial"/>
          <w:sz w:val="20"/>
          <w:szCs w:val="20"/>
        </w:rPr>
      </w:pPr>
    </w:p>
    <w:p w14:paraId="360A8670" w14:textId="77777777" w:rsidR="00FF0A68" w:rsidRDefault="00FF0A68" w:rsidP="002A61DC">
      <w:pPr>
        <w:rPr>
          <w:rFonts w:ascii="Arial" w:hAnsi="Arial" w:cs="Arial"/>
          <w:sz w:val="20"/>
          <w:szCs w:val="20"/>
        </w:rPr>
      </w:pPr>
    </w:p>
    <w:p w14:paraId="043F8977" w14:textId="77777777" w:rsidR="00FF0A68" w:rsidRDefault="00FF0A68" w:rsidP="002A61DC">
      <w:pPr>
        <w:rPr>
          <w:rFonts w:ascii="Arial" w:hAnsi="Arial" w:cs="Arial"/>
          <w:sz w:val="20"/>
          <w:szCs w:val="20"/>
        </w:rPr>
      </w:pPr>
    </w:p>
    <w:p w14:paraId="735CE014" w14:textId="77777777" w:rsidR="00FF0A68" w:rsidRDefault="00FF0A68" w:rsidP="002A61DC">
      <w:pPr>
        <w:rPr>
          <w:rFonts w:ascii="Arial" w:hAnsi="Arial" w:cs="Arial"/>
          <w:sz w:val="20"/>
          <w:szCs w:val="20"/>
        </w:rPr>
      </w:pPr>
    </w:p>
    <w:p w14:paraId="1199386F" w14:textId="77777777" w:rsidR="00FF0A68" w:rsidRPr="002A61DC" w:rsidRDefault="00FF0A68" w:rsidP="002A61DC">
      <w:pPr>
        <w:rPr>
          <w:rFonts w:ascii="Arial" w:hAnsi="Arial" w:cs="Arial"/>
          <w:sz w:val="20"/>
          <w:szCs w:val="20"/>
        </w:rPr>
      </w:pPr>
    </w:p>
    <w:p w14:paraId="7A324533" w14:textId="77777777" w:rsidR="003D22DA" w:rsidRPr="002A61DC" w:rsidRDefault="003D22DA" w:rsidP="002A61DC">
      <w:pPr>
        <w:rPr>
          <w:rFonts w:ascii="Arial" w:hAnsi="Arial" w:cs="Arial"/>
          <w:sz w:val="20"/>
          <w:szCs w:val="20"/>
        </w:rPr>
      </w:pPr>
    </w:p>
    <w:p w14:paraId="010F7F75" w14:textId="77777777" w:rsidR="0018478F" w:rsidRDefault="0018478F" w:rsidP="007A1843">
      <w:pPr>
        <w:pStyle w:val="Heading1"/>
      </w:pPr>
      <w:r>
        <w:lastRenderedPageBreak/>
        <w:t xml:space="preserve">2024 Statewide Massachusetts </w:t>
      </w:r>
    </w:p>
    <w:p w14:paraId="1FFD91A7" w14:textId="77777777" w:rsidR="00340632" w:rsidRPr="00340632" w:rsidRDefault="00340632" w:rsidP="00340632">
      <w:pPr>
        <w:rPr>
          <w:rFonts w:ascii="Arial" w:hAnsi="Arial" w:cs="Arial"/>
          <w:sz w:val="20"/>
          <w:szCs w:val="20"/>
        </w:rPr>
      </w:pPr>
      <w:r w:rsidRPr="4264389E">
        <w:rPr>
          <w:rFonts w:ascii="Arial" w:hAnsi="Arial" w:cs="Arial"/>
          <w:sz w:val="20"/>
          <w:szCs w:val="20"/>
        </w:rPr>
        <w:t>Chlamydia cases have increased by 18.5% from 2015 (n=23,944) to 2022 (n=28,384) and decreased by 6.2% in 2024 (n=26,623). From 2020 to 2024, there was a 7.8% increase in cases. This is possibly due to factors such as increased service utilization after health care clinics re-opened following the end of the COVID-19 public health emergency.</w:t>
      </w:r>
    </w:p>
    <w:p w14:paraId="5DC9821E" w14:textId="77777777" w:rsidR="00340632" w:rsidRPr="00340632" w:rsidRDefault="00340632" w:rsidP="00340632">
      <w:pPr>
        <w:rPr>
          <w:rFonts w:ascii="Arial" w:hAnsi="Arial" w:cs="Arial"/>
          <w:sz w:val="20"/>
          <w:szCs w:val="20"/>
        </w:rPr>
      </w:pPr>
    </w:p>
    <w:p w14:paraId="1691998F" w14:textId="77777777" w:rsidR="00340632" w:rsidRPr="00340632" w:rsidRDefault="00340632" w:rsidP="00340632">
      <w:pPr>
        <w:rPr>
          <w:rFonts w:ascii="Arial" w:hAnsi="Arial" w:cs="Arial"/>
          <w:sz w:val="20"/>
          <w:szCs w:val="20"/>
        </w:rPr>
      </w:pPr>
      <w:r w:rsidRPr="00340632">
        <w:rPr>
          <w:rFonts w:ascii="Arial" w:hAnsi="Arial" w:cs="Arial"/>
          <w:sz w:val="20"/>
          <w:szCs w:val="20"/>
        </w:rPr>
        <w:t>Gonorrhea cases have increased 233.3% from 2015 (n=3,592) to 2024, peaking at 9,779 cases in 2023 before declining to 8,678 cases in 2024. Unlike chlamydia, gonorrhea cases did not drop during the COVID-19 public health emergency. Between 2015 and 2024, the majority of gonorrhea cases were reported among males. There were 11 reported cases of Disseminated Gonococcal Infection (DGI) in 2024, an increase from 6 in 2022. In 2022, a novel strain of multi-drug-non-susceptible Neisseria gonorrhoeae was identified in two Massachusetts residents. As a result, Massachusetts DPH released a clinical alert in January 2023 requesting that clinicians perform gonococcal culture in addition to NAAT testing for symptomatic patients. Two additional multi-drug-non-susceptible cases of gonorrhea have been identified since then.</w:t>
      </w:r>
    </w:p>
    <w:p w14:paraId="6ABCC290" w14:textId="77777777" w:rsidR="00340632" w:rsidRPr="00340632" w:rsidRDefault="00340632" w:rsidP="00340632">
      <w:pPr>
        <w:rPr>
          <w:rFonts w:ascii="Arial" w:hAnsi="Arial" w:cs="Arial"/>
          <w:sz w:val="20"/>
          <w:szCs w:val="20"/>
        </w:rPr>
      </w:pPr>
    </w:p>
    <w:p w14:paraId="6680F051" w14:textId="77777777" w:rsidR="00340632" w:rsidRPr="00340632" w:rsidRDefault="00340632" w:rsidP="00340632">
      <w:pPr>
        <w:rPr>
          <w:rFonts w:ascii="Arial" w:hAnsi="Arial" w:cs="Arial"/>
          <w:sz w:val="20"/>
          <w:szCs w:val="20"/>
        </w:rPr>
      </w:pPr>
      <w:r w:rsidRPr="00340632">
        <w:rPr>
          <w:rFonts w:ascii="Arial" w:hAnsi="Arial" w:cs="Arial"/>
          <w:sz w:val="20"/>
          <w:szCs w:val="20"/>
        </w:rPr>
        <w:t>Infectious syphilis cases have increased 43.8% from 2015 (n=798) to 2024, peaking at 1,579 cases in 2022 before declining to 1,329 cases in 2024. Despite close follow-up of cases of syphilis in pregnant patients and their partners, breakthrough cases of congenital syphilis have increased in Massachusetts. From 2021 to 2024, the annual number of probable cases of congenital syphilis diagnosed in Massachusetts ranged from 9 to 18 after remaining between zero and four from 2011 to 2018. However, as of September 2023, Massachusetts ranks 44</w:t>
      </w:r>
      <w:r w:rsidRPr="00340632">
        <w:rPr>
          <w:rFonts w:ascii="Arial" w:hAnsi="Arial" w:cs="Arial"/>
          <w:sz w:val="20"/>
          <w:szCs w:val="20"/>
          <w:vertAlign w:val="superscript"/>
        </w:rPr>
        <w:t>th</w:t>
      </w:r>
      <w:r w:rsidRPr="00340632">
        <w:rPr>
          <w:rFonts w:ascii="Arial" w:hAnsi="Arial" w:cs="Arial"/>
          <w:sz w:val="20"/>
          <w:szCs w:val="20"/>
        </w:rPr>
        <w:t xml:space="preserve"> among the 48 states reporting congenital syphilis incidence, indicating relatively better outcomes compared to many other states. </w:t>
      </w:r>
    </w:p>
    <w:p w14:paraId="7B9043BD" w14:textId="77777777" w:rsidR="00340632" w:rsidRPr="00340632" w:rsidRDefault="00340632" w:rsidP="00340632">
      <w:pPr>
        <w:rPr>
          <w:rFonts w:ascii="Arial" w:hAnsi="Arial" w:cs="Arial"/>
          <w:sz w:val="20"/>
          <w:szCs w:val="20"/>
        </w:rPr>
      </w:pPr>
    </w:p>
    <w:p w14:paraId="6883B493" w14:textId="77777777" w:rsidR="00340632" w:rsidRPr="00340632" w:rsidRDefault="00340632" w:rsidP="00340632">
      <w:pPr>
        <w:rPr>
          <w:rFonts w:ascii="Arial" w:hAnsi="Arial" w:cs="Arial"/>
          <w:sz w:val="20"/>
          <w:szCs w:val="20"/>
          <w:vertAlign w:val="superscript"/>
        </w:rPr>
      </w:pPr>
      <w:r w:rsidRPr="00340632">
        <w:rPr>
          <w:rFonts w:ascii="Arial" w:hAnsi="Arial" w:cs="Arial"/>
          <w:sz w:val="20"/>
          <w:szCs w:val="20"/>
        </w:rPr>
        <w:t>Among individuals of transgender experience and/or individuals who are nonbinary, 51 chlamydia, 91 gonorrhea, and 5 infectious syphilis cases were reported in Massachusetts.</w:t>
      </w:r>
      <w:r w:rsidRPr="00340632">
        <w:rPr>
          <w:rFonts w:ascii="Arial" w:hAnsi="Arial" w:cs="Arial"/>
          <w:sz w:val="20"/>
          <w:szCs w:val="20"/>
          <w:vertAlign w:val="superscript"/>
        </w:rPr>
        <w:t>6</w:t>
      </w:r>
    </w:p>
    <w:p w14:paraId="25862CBE" w14:textId="77777777" w:rsidR="0018478F" w:rsidRPr="00B37112" w:rsidRDefault="0018478F" w:rsidP="0018478F">
      <w:pPr>
        <w:rPr>
          <w:rFonts w:ascii="Arial" w:hAnsi="Arial" w:cs="Arial"/>
        </w:rPr>
      </w:pPr>
      <w:r w:rsidRPr="00B37112">
        <w:rPr>
          <w:rFonts w:ascii="Arial" w:hAnsi="Arial" w:cs="Arial"/>
        </w:rPr>
        <w:t>________________________________________________________________________________</w:t>
      </w:r>
    </w:p>
    <w:p w14:paraId="44FD0AF9" w14:textId="4A07306D" w:rsidR="00BE2421" w:rsidRPr="001579F1" w:rsidRDefault="0018478F" w:rsidP="00BE2421">
      <w:pPr>
        <w:rPr>
          <w:rFonts w:ascii="Arial" w:hAnsi="Arial" w:cs="Arial"/>
          <w:sz w:val="16"/>
          <w:szCs w:val="16"/>
        </w:rPr>
      </w:pPr>
      <w:r w:rsidRPr="00B37112">
        <w:rPr>
          <w:rFonts w:ascii="Arial" w:hAnsi="Arial" w:cs="Arial"/>
          <w:sz w:val="16"/>
          <w:szCs w:val="16"/>
          <w:vertAlign w:val="superscript"/>
        </w:rPr>
        <w:t>1 </w:t>
      </w:r>
      <w:bookmarkStart w:id="26" w:name="_Hlk220025909"/>
      <w:r w:rsidR="00BE2421" w:rsidRPr="001579F1">
        <w:rPr>
          <w:rFonts w:ascii="Arial" w:hAnsi="Arial" w:cs="Arial"/>
          <w:sz w:val="16"/>
          <w:szCs w:val="16"/>
        </w:rPr>
        <w:t xml:space="preserve">Source: U.S. Census Bureau. QuickFacts: </w:t>
      </w:r>
      <w:r w:rsidR="00C11328">
        <w:rPr>
          <w:rFonts w:ascii="Arial" w:hAnsi="Arial" w:cs="Arial"/>
          <w:sz w:val="16"/>
          <w:szCs w:val="16"/>
        </w:rPr>
        <w:t>Essex</w:t>
      </w:r>
      <w:r w:rsidR="00BE2421" w:rsidRPr="001579F1">
        <w:rPr>
          <w:rFonts w:ascii="Arial" w:hAnsi="Arial" w:cs="Arial"/>
          <w:sz w:val="16"/>
          <w:szCs w:val="16"/>
        </w:rPr>
        <w:t xml:space="preserve"> County, Massachusetts; Massachusetts. Population Estimates Program, July 1,2024 (Vintage 2024). </w:t>
      </w:r>
    </w:p>
    <w:p w14:paraId="3A9AC51B" w14:textId="77777777" w:rsidR="00BE2421" w:rsidRPr="001579F1" w:rsidRDefault="00BE2421" w:rsidP="00BE2421">
      <w:pPr>
        <w:rPr>
          <w:rFonts w:ascii="Arial" w:hAnsi="Arial" w:cs="Arial"/>
          <w:sz w:val="16"/>
          <w:szCs w:val="16"/>
        </w:rPr>
      </w:pPr>
      <w:r w:rsidRPr="001579F1">
        <w:rPr>
          <w:rFonts w:ascii="Arial" w:hAnsi="Arial" w:cs="Arial"/>
          <w:sz w:val="16"/>
          <w:szCs w:val="16"/>
          <w:vertAlign w:val="superscript"/>
        </w:rPr>
        <w:t>2</w:t>
      </w:r>
      <w:r w:rsidRPr="001579F1">
        <w:rPr>
          <w:rFonts w:ascii="Arial" w:hAnsi="Arial" w:cs="Arial"/>
          <w:sz w:val="16"/>
          <w:szCs w:val="16"/>
        </w:rPr>
        <w:t> Source: CDC: Sexually Transmitted Infections </w:t>
      </w:r>
    </w:p>
    <w:p w14:paraId="5E885DB2" w14:textId="77777777" w:rsidR="00BE2421" w:rsidRPr="001579F1" w:rsidRDefault="00BE2421" w:rsidP="00BE2421">
      <w:pPr>
        <w:rPr>
          <w:rFonts w:ascii="Arial" w:hAnsi="Arial" w:cs="Arial"/>
          <w:sz w:val="16"/>
          <w:szCs w:val="16"/>
        </w:rPr>
      </w:pPr>
      <w:r w:rsidRPr="001579F1">
        <w:rPr>
          <w:rFonts w:ascii="Arial" w:hAnsi="Arial" w:cs="Arial"/>
          <w:sz w:val="16"/>
          <w:szCs w:val="16"/>
          <w:vertAlign w:val="superscript"/>
        </w:rPr>
        <w:t>3</w:t>
      </w:r>
      <w:r w:rsidRPr="001579F1">
        <w:rPr>
          <w:rFonts w:ascii="Arial" w:hAnsi="Arial" w:cs="Arial"/>
          <w:sz w:val="16"/>
          <w:szCs w:val="16"/>
        </w:rPr>
        <w:t> Please note the impact of the COVID-19 pandemic on infectious disease screening, treatment, and surveillance in the interpretation of 2020-2023 data </w:t>
      </w:r>
      <w:r w:rsidRPr="001579F1">
        <w:rPr>
          <w:rFonts w:ascii="Arial" w:hAnsi="Arial" w:cs="Arial"/>
          <w:sz w:val="16"/>
          <w:szCs w:val="16"/>
          <w:vertAlign w:val="superscript"/>
        </w:rPr>
        <w:t>4</w:t>
      </w:r>
      <w:r w:rsidRPr="001579F1">
        <w:rPr>
          <w:rFonts w:ascii="Arial" w:hAnsi="Arial" w:cs="Arial"/>
          <w:sz w:val="16"/>
          <w:szCs w:val="16"/>
        </w:rPr>
        <w:t>Source: CDC: Sexually Transmitted Infections Surveillance, 2024 (Provisional).  </w:t>
      </w:r>
    </w:p>
    <w:p w14:paraId="307F5B0B" w14:textId="77777777" w:rsidR="00BE2421" w:rsidRPr="001579F1" w:rsidRDefault="00BE2421" w:rsidP="00BE2421">
      <w:pPr>
        <w:rPr>
          <w:rFonts w:ascii="Arial" w:hAnsi="Arial" w:cs="Arial"/>
          <w:sz w:val="16"/>
          <w:szCs w:val="16"/>
        </w:rPr>
      </w:pPr>
      <w:r w:rsidRPr="001579F1">
        <w:rPr>
          <w:rFonts w:ascii="Arial" w:hAnsi="Arial" w:cs="Arial"/>
          <w:sz w:val="16"/>
          <w:szCs w:val="16"/>
          <w:vertAlign w:val="superscript"/>
        </w:rPr>
        <w:t>5 </w:t>
      </w:r>
      <w:r w:rsidRPr="001579F1">
        <w:rPr>
          <w:rFonts w:ascii="Arial" w:hAnsi="Arial" w:cs="Arial"/>
          <w:sz w:val="16"/>
          <w:szCs w:val="16"/>
        </w:rPr>
        <w:t>Infectious syphilis is defined as primary, secondary and early latent stages of syphilis within one year of infection. </w:t>
      </w:r>
    </w:p>
    <w:p w14:paraId="6F5D72AB" w14:textId="3AB6C629" w:rsidR="00367446" w:rsidRPr="00BE2421" w:rsidRDefault="00BE2421" w:rsidP="00BE2421">
      <w:pPr>
        <w:rPr>
          <w:rFonts w:ascii="Arial" w:hAnsi="Arial" w:cs="Arial"/>
          <w:sz w:val="16"/>
          <w:szCs w:val="16"/>
        </w:rPr>
      </w:pPr>
      <w:r w:rsidRPr="001579F1">
        <w:rPr>
          <w:rFonts w:ascii="Arial" w:hAnsi="Arial" w:cs="Arial"/>
          <w:sz w:val="16"/>
          <w:szCs w:val="16"/>
          <w:vertAlign w:val="superscript"/>
        </w:rPr>
        <w:t>6</w:t>
      </w:r>
      <w:r w:rsidRPr="001579F1">
        <w:rPr>
          <w:rFonts w:ascii="Arial" w:hAnsi="Arial" w:cs="Arial"/>
          <w:sz w:val="16"/>
          <w:szCs w:val="16"/>
        </w:rPr>
        <w:t> Please note that reported numbers among individuals of transgender experience and individuals who are nonbinary are likely to be underestimates. Underreporting may occur due to the absence of appropriate gender identity options (e.g., individuals who are genderqueer, pangender, gender fluid, androgynous, etc.) in data collection systems. </w:t>
      </w:r>
      <w:bookmarkEnd w:id="26"/>
    </w:p>
    <w:sectPr w:rsidR="00367446" w:rsidRPr="00BE2421" w:rsidSect="004849A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36ABC" w14:textId="77777777" w:rsidR="00FB05C4" w:rsidRDefault="00FB05C4" w:rsidP="0018731B">
      <w:r>
        <w:separator/>
      </w:r>
    </w:p>
  </w:endnote>
  <w:endnote w:type="continuationSeparator" w:id="0">
    <w:p w14:paraId="558D575A" w14:textId="77777777" w:rsidR="00FB05C4" w:rsidRDefault="00FB05C4" w:rsidP="0018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A04B1" w14:textId="77777777" w:rsidR="00FB05C4" w:rsidRDefault="00FB05C4" w:rsidP="0018731B">
      <w:r>
        <w:separator/>
      </w:r>
    </w:p>
  </w:footnote>
  <w:footnote w:type="continuationSeparator" w:id="0">
    <w:p w14:paraId="47B9C9CF" w14:textId="77777777" w:rsidR="00FB05C4" w:rsidRDefault="00FB05C4" w:rsidP="00187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0EE"/>
    <w:multiLevelType w:val="hybridMultilevel"/>
    <w:tmpl w:val="F112F950"/>
    <w:lvl w:ilvl="0" w:tplc="3C1E9C98">
      <w:start w:val="1"/>
      <w:numFmt w:val="bullet"/>
      <w:lvlText w:val="•"/>
      <w:lvlJc w:val="left"/>
      <w:pPr>
        <w:tabs>
          <w:tab w:val="num" w:pos="720"/>
        </w:tabs>
        <w:ind w:left="720" w:hanging="360"/>
      </w:pPr>
      <w:rPr>
        <w:rFonts w:ascii="Arial" w:hAnsi="Arial" w:hint="default"/>
      </w:rPr>
    </w:lvl>
    <w:lvl w:ilvl="1" w:tplc="2388803A" w:tentative="1">
      <w:start w:val="1"/>
      <w:numFmt w:val="bullet"/>
      <w:lvlText w:val="•"/>
      <w:lvlJc w:val="left"/>
      <w:pPr>
        <w:tabs>
          <w:tab w:val="num" w:pos="1440"/>
        </w:tabs>
        <w:ind w:left="1440" w:hanging="360"/>
      </w:pPr>
      <w:rPr>
        <w:rFonts w:ascii="Arial" w:hAnsi="Arial" w:hint="default"/>
      </w:rPr>
    </w:lvl>
    <w:lvl w:ilvl="2" w:tplc="D09EFA40" w:tentative="1">
      <w:start w:val="1"/>
      <w:numFmt w:val="bullet"/>
      <w:lvlText w:val="•"/>
      <w:lvlJc w:val="left"/>
      <w:pPr>
        <w:tabs>
          <w:tab w:val="num" w:pos="2160"/>
        </w:tabs>
        <w:ind w:left="2160" w:hanging="360"/>
      </w:pPr>
      <w:rPr>
        <w:rFonts w:ascii="Arial" w:hAnsi="Arial" w:hint="default"/>
      </w:rPr>
    </w:lvl>
    <w:lvl w:ilvl="3" w:tplc="FB3CB5A4" w:tentative="1">
      <w:start w:val="1"/>
      <w:numFmt w:val="bullet"/>
      <w:lvlText w:val="•"/>
      <w:lvlJc w:val="left"/>
      <w:pPr>
        <w:tabs>
          <w:tab w:val="num" w:pos="2880"/>
        </w:tabs>
        <w:ind w:left="2880" w:hanging="360"/>
      </w:pPr>
      <w:rPr>
        <w:rFonts w:ascii="Arial" w:hAnsi="Arial" w:hint="default"/>
      </w:rPr>
    </w:lvl>
    <w:lvl w:ilvl="4" w:tplc="F99EACF8" w:tentative="1">
      <w:start w:val="1"/>
      <w:numFmt w:val="bullet"/>
      <w:lvlText w:val="•"/>
      <w:lvlJc w:val="left"/>
      <w:pPr>
        <w:tabs>
          <w:tab w:val="num" w:pos="3600"/>
        </w:tabs>
        <w:ind w:left="3600" w:hanging="360"/>
      </w:pPr>
      <w:rPr>
        <w:rFonts w:ascii="Arial" w:hAnsi="Arial" w:hint="default"/>
      </w:rPr>
    </w:lvl>
    <w:lvl w:ilvl="5" w:tplc="2EFCCF74" w:tentative="1">
      <w:start w:val="1"/>
      <w:numFmt w:val="bullet"/>
      <w:lvlText w:val="•"/>
      <w:lvlJc w:val="left"/>
      <w:pPr>
        <w:tabs>
          <w:tab w:val="num" w:pos="4320"/>
        </w:tabs>
        <w:ind w:left="4320" w:hanging="360"/>
      </w:pPr>
      <w:rPr>
        <w:rFonts w:ascii="Arial" w:hAnsi="Arial" w:hint="default"/>
      </w:rPr>
    </w:lvl>
    <w:lvl w:ilvl="6" w:tplc="403A79F6" w:tentative="1">
      <w:start w:val="1"/>
      <w:numFmt w:val="bullet"/>
      <w:lvlText w:val="•"/>
      <w:lvlJc w:val="left"/>
      <w:pPr>
        <w:tabs>
          <w:tab w:val="num" w:pos="5040"/>
        </w:tabs>
        <w:ind w:left="5040" w:hanging="360"/>
      </w:pPr>
      <w:rPr>
        <w:rFonts w:ascii="Arial" w:hAnsi="Arial" w:hint="default"/>
      </w:rPr>
    </w:lvl>
    <w:lvl w:ilvl="7" w:tplc="77708FA4" w:tentative="1">
      <w:start w:val="1"/>
      <w:numFmt w:val="bullet"/>
      <w:lvlText w:val="•"/>
      <w:lvlJc w:val="left"/>
      <w:pPr>
        <w:tabs>
          <w:tab w:val="num" w:pos="5760"/>
        </w:tabs>
        <w:ind w:left="5760" w:hanging="360"/>
      </w:pPr>
      <w:rPr>
        <w:rFonts w:ascii="Arial" w:hAnsi="Arial" w:hint="default"/>
      </w:rPr>
    </w:lvl>
    <w:lvl w:ilvl="8" w:tplc="1472CC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7623B72"/>
    <w:multiLevelType w:val="hybridMultilevel"/>
    <w:tmpl w:val="9DF2C7DE"/>
    <w:lvl w:ilvl="0" w:tplc="09902D62">
      <w:start w:val="1"/>
      <w:numFmt w:val="bullet"/>
      <w:lvlText w:val="•"/>
      <w:lvlJc w:val="left"/>
      <w:pPr>
        <w:tabs>
          <w:tab w:val="num" w:pos="720"/>
        </w:tabs>
        <w:ind w:left="720" w:hanging="360"/>
      </w:pPr>
      <w:rPr>
        <w:rFonts w:ascii="Arial" w:hAnsi="Arial" w:hint="default"/>
      </w:rPr>
    </w:lvl>
    <w:lvl w:ilvl="1" w:tplc="5F40AD60" w:tentative="1">
      <w:start w:val="1"/>
      <w:numFmt w:val="bullet"/>
      <w:lvlText w:val="•"/>
      <w:lvlJc w:val="left"/>
      <w:pPr>
        <w:tabs>
          <w:tab w:val="num" w:pos="1440"/>
        </w:tabs>
        <w:ind w:left="1440" w:hanging="360"/>
      </w:pPr>
      <w:rPr>
        <w:rFonts w:ascii="Arial" w:hAnsi="Arial" w:hint="default"/>
      </w:rPr>
    </w:lvl>
    <w:lvl w:ilvl="2" w:tplc="B6EAE298" w:tentative="1">
      <w:start w:val="1"/>
      <w:numFmt w:val="bullet"/>
      <w:lvlText w:val="•"/>
      <w:lvlJc w:val="left"/>
      <w:pPr>
        <w:tabs>
          <w:tab w:val="num" w:pos="2160"/>
        </w:tabs>
        <w:ind w:left="2160" w:hanging="360"/>
      </w:pPr>
      <w:rPr>
        <w:rFonts w:ascii="Arial" w:hAnsi="Arial" w:hint="default"/>
      </w:rPr>
    </w:lvl>
    <w:lvl w:ilvl="3" w:tplc="75DAC5FC" w:tentative="1">
      <w:start w:val="1"/>
      <w:numFmt w:val="bullet"/>
      <w:lvlText w:val="•"/>
      <w:lvlJc w:val="left"/>
      <w:pPr>
        <w:tabs>
          <w:tab w:val="num" w:pos="2880"/>
        </w:tabs>
        <w:ind w:left="2880" w:hanging="360"/>
      </w:pPr>
      <w:rPr>
        <w:rFonts w:ascii="Arial" w:hAnsi="Arial" w:hint="default"/>
      </w:rPr>
    </w:lvl>
    <w:lvl w:ilvl="4" w:tplc="E6DAD5F8" w:tentative="1">
      <w:start w:val="1"/>
      <w:numFmt w:val="bullet"/>
      <w:lvlText w:val="•"/>
      <w:lvlJc w:val="left"/>
      <w:pPr>
        <w:tabs>
          <w:tab w:val="num" w:pos="3600"/>
        </w:tabs>
        <w:ind w:left="3600" w:hanging="360"/>
      </w:pPr>
      <w:rPr>
        <w:rFonts w:ascii="Arial" w:hAnsi="Arial" w:hint="default"/>
      </w:rPr>
    </w:lvl>
    <w:lvl w:ilvl="5" w:tplc="1FAA2924" w:tentative="1">
      <w:start w:val="1"/>
      <w:numFmt w:val="bullet"/>
      <w:lvlText w:val="•"/>
      <w:lvlJc w:val="left"/>
      <w:pPr>
        <w:tabs>
          <w:tab w:val="num" w:pos="4320"/>
        </w:tabs>
        <w:ind w:left="4320" w:hanging="360"/>
      </w:pPr>
      <w:rPr>
        <w:rFonts w:ascii="Arial" w:hAnsi="Arial" w:hint="default"/>
      </w:rPr>
    </w:lvl>
    <w:lvl w:ilvl="6" w:tplc="9F60A484" w:tentative="1">
      <w:start w:val="1"/>
      <w:numFmt w:val="bullet"/>
      <w:lvlText w:val="•"/>
      <w:lvlJc w:val="left"/>
      <w:pPr>
        <w:tabs>
          <w:tab w:val="num" w:pos="5040"/>
        </w:tabs>
        <w:ind w:left="5040" w:hanging="360"/>
      </w:pPr>
      <w:rPr>
        <w:rFonts w:ascii="Arial" w:hAnsi="Arial" w:hint="default"/>
      </w:rPr>
    </w:lvl>
    <w:lvl w:ilvl="7" w:tplc="DB722E8C" w:tentative="1">
      <w:start w:val="1"/>
      <w:numFmt w:val="bullet"/>
      <w:lvlText w:val="•"/>
      <w:lvlJc w:val="left"/>
      <w:pPr>
        <w:tabs>
          <w:tab w:val="num" w:pos="5760"/>
        </w:tabs>
        <w:ind w:left="5760" w:hanging="360"/>
      </w:pPr>
      <w:rPr>
        <w:rFonts w:ascii="Arial" w:hAnsi="Arial" w:hint="default"/>
      </w:rPr>
    </w:lvl>
    <w:lvl w:ilvl="8" w:tplc="019E89F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E4806DE"/>
    <w:multiLevelType w:val="hybridMultilevel"/>
    <w:tmpl w:val="4C561466"/>
    <w:lvl w:ilvl="0" w:tplc="0D2CD4C6">
      <w:start w:val="1"/>
      <w:numFmt w:val="bullet"/>
      <w:lvlText w:val="•"/>
      <w:lvlJc w:val="left"/>
      <w:pPr>
        <w:tabs>
          <w:tab w:val="num" w:pos="720"/>
        </w:tabs>
        <w:ind w:left="720" w:hanging="360"/>
      </w:pPr>
      <w:rPr>
        <w:rFonts w:ascii="Arial" w:hAnsi="Arial" w:hint="default"/>
      </w:rPr>
    </w:lvl>
    <w:lvl w:ilvl="1" w:tplc="656C38D6" w:tentative="1">
      <w:start w:val="1"/>
      <w:numFmt w:val="bullet"/>
      <w:lvlText w:val="•"/>
      <w:lvlJc w:val="left"/>
      <w:pPr>
        <w:tabs>
          <w:tab w:val="num" w:pos="1440"/>
        </w:tabs>
        <w:ind w:left="1440" w:hanging="360"/>
      </w:pPr>
      <w:rPr>
        <w:rFonts w:ascii="Arial" w:hAnsi="Arial" w:hint="default"/>
      </w:rPr>
    </w:lvl>
    <w:lvl w:ilvl="2" w:tplc="BD2613F4" w:tentative="1">
      <w:start w:val="1"/>
      <w:numFmt w:val="bullet"/>
      <w:lvlText w:val="•"/>
      <w:lvlJc w:val="left"/>
      <w:pPr>
        <w:tabs>
          <w:tab w:val="num" w:pos="2160"/>
        </w:tabs>
        <w:ind w:left="2160" w:hanging="360"/>
      </w:pPr>
      <w:rPr>
        <w:rFonts w:ascii="Arial" w:hAnsi="Arial" w:hint="default"/>
      </w:rPr>
    </w:lvl>
    <w:lvl w:ilvl="3" w:tplc="ED84A3A6" w:tentative="1">
      <w:start w:val="1"/>
      <w:numFmt w:val="bullet"/>
      <w:lvlText w:val="•"/>
      <w:lvlJc w:val="left"/>
      <w:pPr>
        <w:tabs>
          <w:tab w:val="num" w:pos="2880"/>
        </w:tabs>
        <w:ind w:left="2880" w:hanging="360"/>
      </w:pPr>
      <w:rPr>
        <w:rFonts w:ascii="Arial" w:hAnsi="Arial" w:hint="default"/>
      </w:rPr>
    </w:lvl>
    <w:lvl w:ilvl="4" w:tplc="AF3C4588" w:tentative="1">
      <w:start w:val="1"/>
      <w:numFmt w:val="bullet"/>
      <w:lvlText w:val="•"/>
      <w:lvlJc w:val="left"/>
      <w:pPr>
        <w:tabs>
          <w:tab w:val="num" w:pos="3600"/>
        </w:tabs>
        <w:ind w:left="3600" w:hanging="360"/>
      </w:pPr>
      <w:rPr>
        <w:rFonts w:ascii="Arial" w:hAnsi="Arial" w:hint="default"/>
      </w:rPr>
    </w:lvl>
    <w:lvl w:ilvl="5" w:tplc="D6981E84" w:tentative="1">
      <w:start w:val="1"/>
      <w:numFmt w:val="bullet"/>
      <w:lvlText w:val="•"/>
      <w:lvlJc w:val="left"/>
      <w:pPr>
        <w:tabs>
          <w:tab w:val="num" w:pos="4320"/>
        </w:tabs>
        <w:ind w:left="4320" w:hanging="360"/>
      </w:pPr>
      <w:rPr>
        <w:rFonts w:ascii="Arial" w:hAnsi="Arial" w:hint="default"/>
      </w:rPr>
    </w:lvl>
    <w:lvl w:ilvl="6" w:tplc="F614FC7E" w:tentative="1">
      <w:start w:val="1"/>
      <w:numFmt w:val="bullet"/>
      <w:lvlText w:val="•"/>
      <w:lvlJc w:val="left"/>
      <w:pPr>
        <w:tabs>
          <w:tab w:val="num" w:pos="5040"/>
        </w:tabs>
        <w:ind w:left="5040" w:hanging="360"/>
      </w:pPr>
      <w:rPr>
        <w:rFonts w:ascii="Arial" w:hAnsi="Arial" w:hint="default"/>
      </w:rPr>
    </w:lvl>
    <w:lvl w:ilvl="7" w:tplc="0D7E1394" w:tentative="1">
      <w:start w:val="1"/>
      <w:numFmt w:val="bullet"/>
      <w:lvlText w:val="•"/>
      <w:lvlJc w:val="left"/>
      <w:pPr>
        <w:tabs>
          <w:tab w:val="num" w:pos="5760"/>
        </w:tabs>
        <w:ind w:left="5760" w:hanging="360"/>
      </w:pPr>
      <w:rPr>
        <w:rFonts w:ascii="Arial" w:hAnsi="Arial" w:hint="default"/>
      </w:rPr>
    </w:lvl>
    <w:lvl w:ilvl="8" w:tplc="8E840A6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31706E5"/>
    <w:multiLevelType w:val="hybridMultilevel"/>
    <w:tmpl w:val="3DC2A498"/>
    <w:lvl w:ilvl="0" w:tplc="DADEFFE6">
      <w:start w:val="1"/>
      <w:numFmt w:val="bullet"/>
      <w:lvlText w:val="•"/>
      <w:lvlJc w:val="left"/>
      <w:pPr>
        <w:tabs>
          <w:tab w:val="num" w:pos="720"/>
        </w:tabs>
        <w:ind w:left="720" w:hanging="360"/>
      </w:pPr>
      <w:rPr>
        <w:rFonts w:ascii="Arial" w:hAnsi="Arial" w:hint="default"/>
      </w:rPr>
    </w:lvl>
    <w:lvl w:ilvl="1" w:tplc="AE6E5074" w:tentative="1">
      <w:start w:val="1"/>
      <w:numFmt w:val="bullet"/>
      <w:lvlText w:val="•"/>
      <w:lvlJc w:val="left"/>
      <w:pPr>
        <w:tabs>
          <w:tab w:val="num" w:pos="1440"/>
        </w:tabs>
        <w:ind w:left="1440" w:hanging="360"/>
      </w:pPr>
      <w:rPr>
        <w:rFonts w:ascii="Arial" w:hAnsi="Arial" w:hint="default"/>
      </w:rPr>
    </w:lvl>
    <w:lvl w:ilvl="2" w:tplc="D99025F6" w:tentative="1">
      <w:start w:val="1"/>
      <w:numFmt w:val="bullet"/>
      <w:lvlText w:val="•"/>
      <w:lvlJc w:val="left"/>
      <w:pPr>
        <w:tabs>
          <w:tab w:val="num" w:pos="2160"/>
        </w:tabs>
        <w:ind w:left="2160" w:hanging="360"/>
      </w:pPr>
      <w:rPr>
        <w:rFonts w:ascii="Arial" w:hAnsi="Arial" w:hint="default"/>
      </w:rPr>
    </w:lvl>
    <w:lvl w:ilvl="3" w:tplc="D16248F6" w:tentative="1">
      <w:start w:val="1"/>
      <w:numFmt w:val="bullet"/>
      <w:lvlText w:val="•"/>
      <w:lvlJc w:val="left"/>
      <w:pPr>
        <w:tabs>
          <w:tab w:val="num" w:pos="2880"/>
        </w:tabs>
        <w:ind w:left="2880" w:hanging="360"/>
      </w:pPr>
      <w:rPr>
        <w:rFonts w:ascii="Arial" w:hAnsi="Arial" w:hint="default"/>
      </w:rPr>
    </w:lvl>
    <w:lvl w:ilvl="4" w:tplc="773475C0" w:tentative="1">
      <w:start w:val="1"/>
      <w:numFmt w:val="bullet"/>
      <w:lvlText w:val="•"/>
      <w:lvlJc w:val="left"/>
      <w:pPr>
        <w:tabs>
          <w:tab w:val="num" w:pos="3600"/>
        </w:tabs>
        <w:ind w:left="3600" w:hanging="360"/>
      </w:pPr>
      <w:rPr>
        <w:rFonts w:ascii="Arial" w:hAnsi="Arial" w:hint="default"/>
      </w:rPr>
    </w:lvl>
    <w:lvl w:ilvl="5" w:tplc="E4AA0012" w:tentative="1">
      <w:start w:val="1"/>
      <w:numFmt w:val="bullet"/>
      <w:lvlText w:val="•"/>
      <w:lvlJc w:val="left"/>
      <w:pPr>
        <w:tabs>
          <w:tab w:val="num" w:pos="4320"/>
        </w:tabs>
        <w:ind w:left="4320" w:hanging="360"/>
      </w:pPr>
      <w:rPr>
        <w:rFonts w:ascii="Arial" w:hAnsi="Arial" w:hint="default"/>
      </w:rPr>
    </w:lvl>
    <w:lvl w:ilvl="6" w:tplc="124AF99C" w:tentative="1">
      <w:start w:val="1"/>
      <w:numFmt w:val="bullet"/>
      <w:lvlText w:val="•"/>
      <w:lvlJc w:val="left"/>
      <w:pPr>
        <w:tabs>
          <w:tab w:val="num" w:pos="5040"/>
        </w:tabs>
        <w:ind w:left="5040" w:hanging="360"/>
      </w:pPr>
      <w:rPr>
        <w:rFonts w:ascii="Arial" w:hAnsi="Arial" w:hint="default"/>
      </w:rPr>
    </w:lvl>
    <w:lvl w:ilvl="7" w:tplc="5C8CB8CC" w:tentative="1">
      <w:start w:val="1"/>
      <w:numFmt w:val="bullet"/>
      <w:lvlText w:val="•"/>
      <w:lvlJc w:val="left"/>
      <w:pPr>
        <w:tabs>
          <w:tab w:val="num" w:pos="5760"/>
        </w:tabs>
        <w:ind w:left="5760" w:hanging="360"/>
      </w:pPr>
      <w:rPr>
        <w:rFonts w:ascii="Arial" w:hAnsi="Arial" w:hint="default"/>
      </w:rPr>
    </w:lvl>
    <w:lvl w:ilvl="8" w:tplc="F7AE97E6" w:tentative="1">
      <w:start w:val="1"/>
      <w:numFmt w:val="bullet"/>
      <w:lvlText w:val="•"/>
      <w:lvlJc w:val="left"/>
      <w:pPr>
        <w:tabs>
          <w:tab w:val="num" w:pos="6480"/>
        </w:tabs>
        <w:ind w:left="6480" w:hanging="360"/>
      </w:pPr>
      <w:rPr>
        <w:rFonts w:ascii="Arial" w:hAnsi="Arial" w:hint="default"/>
      </w:rPr>
    </w:lvl>
  </w:abstractNum>
  <w:num w:numId="1" w16cid:durableId="1476021778">
    <w:abstractNumId w:val="0"/>
  </w:num>
  <w:num w:numId="2" w16cid:durableId="409815664">
    <w:abstractNumId w:val="3"/>
  </w:num>
  <w:num w:numId="3" w16cid:durableId="78910727">
    <w:abstractNumId w:val="2"/>
  </w:num>
  <w:num w:numId="4" w16cid:durableId="1710832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9AC"/>
    <w:rsid w:val="00014449"/>
    <w:rsid w:val="000220DC"/>
    <w:rsid w:val="000929FC"/>
    <w:rsid w:val="00094DA5"/>
    <w:rsid w:val="000F2A7E"/>
    <w:rsid w:val="000F32A9"/>
    <w:rsid w:val="000F3605"/>
    <w:rsid w:val="00103FEE"/>
    <w:rsid w:val="00116316"/>
    <w:rsid w:val="00124A2B"/>
    <w:rsid w:val="00124B12"/>
    <w:rsid w:val="001251B0"/>
    <w:rsid w:val="0016162E"/>
    <w:rsid w:val="00164B0A"/>
    <w:rsid w:val="001663AC"/>
    <w:rsid w:val="00166705"/>
    <w:rsid w:val="00171B2F"/>
    <w:rsid w:val="00173387"/>
    <w:rsid w:val="001821BD"/>
    <w:rsid w:val="0018478F"/>
    <w:rsid w:val="0018731B"/>
    <w:rsid w:val="00195EBB"/>
    <w:rsid w:val="001A0610"/>
    <w:rsid w:val="001A4145"/>
    <w:rsid w:val="001B3438"/>
    <w:rsid w:val="001B6AC3"/>
    <w:rsid w:val="001B7395"/>
    <w:rsid w:val="001D11CE"/>
    <w:rsid w:val="00201F13"/>
    <w:rsid w:val="00227A15"/>
    <w:rsid w:val="002622C3"/>
    <w:rsid w:val="002703FD"/>
    <w:rsid w:val="00285826"/>
    <w:rsid w:val="002A3F2B"/>
    <w:rsid w:val="002A61DC"/>
    <w:rsid w:val="002B5022"/>
    <w:rsid w:val="002C7062"/>
    <w:rsid w:val="002D1A7B"/>
    <w:rsid w:val="002D2003"/>
    <w:rsid w:val="002D2AA8"/>
    <w:rsid w:val="002D68C1"/>
    <w:rsid w:val="002F1258"/>
    <w:rsid w:val="002F6B27"/>
    <w:rsid w:val="003007E0"/>
    <w:rsid w:val="00302540"/>
    <w:rsid w:val="00317D82"/>
    <w:rsid w:val="00322F74"/>
    <w:rsid w:val="00323D1C"/>
    <w:rsid w:val="00337AC7"/>
    <w:rsid w:val="00340632"/>
    <w:rsid w:val="003443C5"/>
    <w:rsid w:val="00360CF8"/>
    <w:rsid w:val="003662DB"/>
    <w:rsid w:val="00367446"/>
    <w:rsid w:val="003711D2"/>
    <w:rsid w:val="0037220D"/>
    <w:rsid w:val="00384AA1"/>
    <w:rsid w:val="00393F04"/>
    <w:rsid w:val="00394B0E"/>
    <w:rsid w:val="003A55C4"/>
    <w:rsid w:val="003D1E9C"/>
    <w:rsid w:val="003D22DA"/>
    <w:rsid w:val="003F0556"/>
    <w:rsid w:val="00403834"/>
    <w:rsid w:val="00433578"/>
    <w:rsid w:val="004371F4"/>
    <w:rsid w:val="004443F7"/>
    <w:rsid w:val="00447A9E"/>
    <w:rsid w:val="00452D35"/>
    <w:rsid w:val="00460591"/>
    <w:rsid w:val="0046185A"/>
    <w:rsid w:val="00472C7C"/>
    <w:rsid w:val="004849AC"/>
    <w:rsid w:val="004926E5"/>
    <w:rsid w:val="004A5D68"/>
    <w:rsid w:val="004B4FF2"/>
    <w:rsid w:val="00514EBE"/>
    <w:rsid w:val="00517A50"/>
    <w:rsid w:val="00522329"/>
    <w:rsid w:val="005320C1"/>
    <w:rsid w:val="00541A8E"/>
    <w:rsid w:val="0055657C"/>
    <w:rsid w:val="0059219B"/>
    <w:rsid w:val="00593D61"/>
    <w:rsid w:val="005A30DC"/>
    <w:rsid w:val="005D467C"/>
    <w:rsid w:val="005F5600"/>
    <w:rsid w:val="005F60E5"/>
    <w:rsid w:val="00602645"/>
    <w:rsid w:val="00611C13"/>
    <w:rsid w:val="006217EB"/>
    <w:rsid w:val="00625A5F"/>
    <w:rsid w:val="0063616B"/>
    <w:rsid w:val="00646E39"/>
    <w:rsid w:val="0064750B"/>
    <w:rsid w:val="00661836"/>
    <w:rsid w:val="006622F2"/>
    <w:rsid w:val="00671361"/>
    <w:rsid w:val="00671882"/>
    <w:rsid w:val="00680249"/>
    <w:rsid w:val="00693322"/>
    <w:rsid w:val="006A5E3C"/>
    <w:rsid w:val="006B0002"/>
    <w:rsid w:val="006C62FC"/>
    <w:rsid w:val="006E4764"/>
    <w:rsid w:val="0070539D"/>
    <w:rsid w:val="007447E5"/>
    <w:rsid w:val="00753F0F"/>
    <w:rsid w:val="00755AD7"/>
    <w:rsid w:val="00775B11"/>
    <w:rsid w:val="007903FD"/>
    <w:rsid w:val="00794F6B"/>
    <w:rsid w:val="007A1843"/>
    <w:rsid w:val="007A72A6"/>
    <w:rsid w:val="007B58A6"/>
    <w:rsid w:val="007D1923"/>
    <w:rsid w:val="007D5912"/>
    <w:rsid w:val="007E29E6"/>
    <w:rsid w:val="00811968"/>
    <w:rsid w:val="00813D80"/>
    <w:rsid w:val="00821FA8"/>
    <w:rsid w:val="00840181"/>
    <w:rsid w:val="0086432C"/>
    <w:rsid w:val="008644E3"/>
    <w:rsid w:val="008B1C57"/>
    <w:rsid w:val="008B3DBC"/>
    <w:rsid w:val="0092297C"/>
    <w:rsid w:val="009258EC"/>
    <w:rsid w:val="00934A24"/>
    <w:rsid w:val="0093586C"/>
    <w:rsid w:val="009604B7"/>
    <w:rsid w:val="0098782A"/>
    <w:rsid w:val="00994BE7"/>
    <w:rsid w:val="009A04F1"/>
    <w:rsid w:val="009B4E74"/>
    <w:rsid w:val="009C7550"/>
    <w:rsid w:val="009C77CD"/>
    <w:rsid w:val="009F4501"/>
    <w:rsid w:val="00A00EE2"/>
    <w:rsid w:val="00A14A42"/>
    <w:rsid w:val="00A15DDF"/>
    <w:rsid w:val="00A27395"/>
    <w:rsid w:val="00A42C61"/>
    <w:rsid w:val="00A44B3B"/>
    <w:rsid w:val="00A50AB3"/>
    <w:rsid w:val="00A53864"/>
    <w:rsid w:val="00A70502"/>
    <w:rsid w:val="00A71A7A"/>
    <w:rsid w:val="00A82668"/>
    <w:rsid w:val="00A83E04"/>
    <w:rsid w:val="00A95970"/>
    <w:rsid w:val="00AB36C8"/>
    <w:rsid w:val="00AC7150"/>
    <w:rsid w:val="00AD4021"/>
    <w:rsid w:val="00B06266"/>
    <w:rsid w:val="00B626F1"/>
    <w:rsid w:val="00B714FC"/>
    <w:rsid w:val="00B842B5"/>
    <w:rsid w:val="00B97BC5"/>
    <w:rsid w:val="00BC66B2"/>
    <w:rsid w:val="00BD5E92"/>
    <w:rsid w:val="00BD767B"/>
    <w:rsid w:val="00BE2421"/>
    <w:rsid w:val="00BE38D5"/>
    <w:rsid w:val="00BF22BE"/>
    <w:rsid w:val="00C012A8"/>
    <w:rsid w:val="00C11328"/>
    <w:rsid w:val="00C26688"/>
    <w:rsid w:val="00C33851"/>
    <w:rsid w:val="00C42193"/>
    <w:rsid w:val="00C422E1"/>
    <w:rsid w:val="00C45337"/>
    <w:rsid w:val="00C50C59"/>
    <w:rsid w:val="00C66B1B"/>
    <w:rsid w:val="00C975A6"/>
    <w:rsid w:val="00CA21FB"/>
    <w:rsid w:val="00CA29E4"/>
    <w:rsid w:val="00CA5A84"/>
    <w:rsid w:val="00CC19E2"/>
    <w:rsid w:val="00CE455E"/>
    <w:rsid w:val="00D05411"/>
    <w:rsid w:val="00D2362D"/>
    <w:rsid w:val="00D2676F"/>
    <w:rsid w:val="00D3255A"/>
    <w:rsid w:val="00D54CF8"/>
    <w:rsid w:val="00D734D9"/>
    <w:rsid w:val="00D83186"/>
    <w:rsid w:val="00D932F1"/>
    <w:rsid w:val="00DA4ABC"/>
    <w:rsid w:val="00DB39FA"/>
    <w:rsid w:val="00DB70CF"/>
    <w:rsid w:val="00DE6DCC"/>
    <w:rsid w:val="00DF2063"/>
    <w:rsid w:val="00E067A2"/>
    <w:rsid w:val="00E07ABD"/>
    <w:rsid w:val="00E07F6A"/>
    <w:rsid w:val="00E103E7"/>
    <w:rsid w:val="00E150E7"/>
    <w:rsid w:val="00E20CB4"/>
    <w:rsid w:val="00E24ABB"/>
    <w:rsid w:val="00E35920"/>
    <w:rsid w:val="00E37931"/>
    <w:rsid w:val="00E7337F"/>
    <w:rsid w:val="00E84EB2"/>
    <w:rsid w:val="00E858B3"/>
    <w:rsid w:val="00EA29C1"/>
    <w:rsid w:val="00EB201E"/>
    <w:rsid w:val="00EB295A"/>
    <w:rsid w:val="00EB6A47"/>
    <w:rsid w:val="00EB762B"/>
    <w:rsid w:val="00EB7C60"/>
    <w:rsid w:val="00EC7261"/>
    <w:rsid w:val="00ED1F8D"/>
    <w:rsid w:val="00ED7C90"/>
    <w:rsid w:val="00EE5BB8"/>
    <w:rsid w:val="00EF22C3"/>
    <w:rsid w:val="00EF4AD4"/>
    <w:rsid w:val="00F15743"/>
    <w:rsid w:val="00F202D0"/>
    <w:rsid w:val="00F3702E"/>
    <w:rsid w:val="00F4464D"/>
    <w:rsid w:val="00F522FB"/>
    <w:rsid w:val="00F53B96"/>
    <w:rsid w:val="00F968C2"/>
    <w:rsid w:val="00FA78F9"/>
    <w:rsid w:val="00FB05C4"/>
    <w:rsid w:val="00FC4D39"/>
    <w:rsid w:val="00FC5164"/>
    <w:rsid w:val="00FD26E7"/>
    <w:rsid w:val="00FD4EBC"/>
    <w:rsid w:val="00FE3788"/>
    <w:rsid w:val="00FE43EA"/>
    <w:rsid w:val="00FF0A68"/>
    <w:rsid w:val="0241D09D"/>
    <w:rsid w:val="0D45E238"/>
    <w:rsid w:val="1571893B"/>
    <w:rsid w:val="1796C510"/>
    <w:rsid w:val="196D027B"/>
    <w:rsid w:val="2318BBF4"/>
    <w:rsid w:val="236BCE1E"/>
    <w:rsid w:val="29E60AEE"/>
    <w:rsid w:val="3AE6B61D"/>
    <w:rsid w:val="4264389E"/>
    <w:rsid w:val="42844AF5"/>
    <w:rsid w:val="47853717"/>
    <w:rsid w:val="5015620C"/>
    <w:rsid w:val="5492335D"/>
    <w:rsid w:val="55764DEE"/>
    <w:rsid w:val="57B0ABC2"/>
    <w:rsid w:val="5EC82D85"/>
    <w:rsid w:val="72D20F61"/>
    <w:rsid w:val="739DA425"/>
    <w:rsid w:val="76A5A0EA"/>
    <w:rsid w:val="7AB49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87AB6"/>
  <w15:chartTrackingRefBased/>
  <w15:docId w15:val="{44364EE5-D4E7-4013-B3E8-BE6C9975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7E0"/>
  </w:style>
  <w:style w:type="paragraph" w:styleId="Heading1">
    <w:name w:val="heading 1"/>
    <w:basedOn w:val="Normal"/>
    <w:next w:val="Normal"/>
    <w:link w:val="Heading1Char"/>
    <w:uiPriority w:val="9"/>
    <w:qFormat/>
    <w:rsid w:val="007A1843"/>
    <w:pPr>
      <w:outlineLvl w:val="0"/>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8731B"/>
    <w:rPr>
      <w:sz w:val="20"/>
      <w:szCs w:val="20"/>
    </w:rPr>
  </w:style>
  <w:style w:type="character" w:customStyle="1" w:styleId="FootnoteTextChar">
    <w:name w:val="Footnote Text Char"/>
    <w:basedOn w:val="DefaultParagraphFont"/>
    <w:link w:val="FootnoteText"/>
    <w:uiPriority w:val="99"/>
    <w:semiHidden/>
    <w:rsid w:val="0018731B"/>
    <w:rPr>
      <w:sz w:val="20"/>
      <w:szCs w:val="20"/>
    </w:rPr>
  </w:style>
  <w:style w:type="character" w:styleId="FootnoteReference">
    <w:name w:val="footnote reference"/>
    <w:basedOn w:val="DefaultParagraphFont"/>
    <w:uiPriority w:val="99"/>
    <w:semiHidden/>
    <w:unhideWhenUsed/>
    <w:rsid w:val="0018731B"/>
    <w:rPr>
      <w:vertAlign w:val="superscript"/>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622C3"/>
  </w:style>
  <w:style w:type="paragraph" w:styleId="CommentSubject">
    <w:name w:val="annotation subject"/>
    <w:basedOn w:val="CommentText"/>
    <w:next w:val="CommentText"/>
    <w:link w:val="CommentSubjectChar"/>
    <w:uiPriority w:val="99"/>
    <w:semiHidden/>
    <w:unhideWhenUsed/>
    <w:rsid w:val="000220DC"/>
    <w:rPr>
      <w:b/>
      <w:bCs/>
    </w:rPr>
  </w:style>
  <w:style w:type="character" w:customStyle="1" w:styleId="CommentSubjectChar">
    <w:name w:val="Comment Subject Char"/>
    <w:basedOn w:val="CommentTextChar"/>
    <w:link w:val="CommentSubject"/>
    <w:uiPriority w:val="99"/>
    <w:semiHidden/>
    <w:rsid w:val="000220DC"/>
    <w:rPr>
      <w:b/>
      <w:bCs/>
      <w:sz w:val="20"/>
      <w:szCs w:val="20"/>
    </w:rPr>
  </w:style>
  <w:style w:type="table" w:styleId="TableGrid">
    <w:name w:val="Table Grid"/>
    <w:basedOn w:val="TableNormal"/>
    <w:uiPriority w:val="39"/>
    <w:rsid w:val="008B1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A1843"/>
    <w:rPr>
      <w:rFonts w:ascii="Arial" w:hAnsi="Arial" w:cs="Arial"/>
      <w:b/>
      <w:bCs/>
      <w:i/>
      <w:sz w:val="20"/>
    </w:rPr>
  </w:style>
  <w:style w:type="character" w:customStyle="1" w:styleId="TitleChar">
    <w:name w:val="Title Char"/>
    <w:basedOn w:val="DefaultParagraphFont"/>
    <w:link w:val="Title"/>
    <w:uiPriority w:val="10"/>
    <w:rsid w:val="007A1843"/>
    <w:rPr>
      <w:rFonts w:ascii="Arial" w:hAnsi="Arial" w:cs="Arial"/>
      <w:b/>
      <w:bCs/>
      <w:i/>
      <w:sz w:val="20"/>
    </w:rPr>
  </w:style>
  <w:style w:type="paragraph" w:styleId="Subtitle">
    <w:name w:val="Subtitle"/>
    <w:basedOn w:val="Normal"/>
    <w:next w:val="Normal"/>
    <w:link w:val="SubtitleChar"/>
    <w:uiPriority w:val="11"/>
    <w:qFormat/>
    <w:rsid w:val="007A1843"/>
    <w:pPr>
      <w:pBdr>
        <w:bottom w:val="single" w:sz="12" w:space="1" w:color="auto"/>
      </w:pBdr>
    </w:pPr>
    <w:rPr>
      <w:rFonts w:ascii="Arial" w:hAnsi="Arial" w:cs="Arial"/>
      <w:b/>
      <w:bCs/>
      <w:sz w:val="20"/>
      <w:szCs w:val="20"/>
    </w:rPr>
  </w:style>
  <w:style w:type="character" w:customStyle="1" w:styleId="SubtitleChar">
    <w:name w:val="Subtitle Char"/>
    <w:basedOn w:val="DefaultParagraphFont"/>
    <w:link w:val="Subtitle"/>
    <w:uiPriority w:val="11"/>
    <w:rsid w:val="007A1843"/>
    <w:rPr>
      <w:rFonts w:ascii="Arial" w:hAnsi="Arial" w:cs="Arial"/>
      <w:b/>
      <w:bCs/>
      <w:sz w:val="20"/>
      <w:szCs w:val="20"/>
    </w:rPr>
  </w:style>
  <w:style w:type="character" w:customStyle="1" w:styleId="Heading1Char">
    <w:name w:val="Heading 1 Char"/>
    <w:basedOn w:val="DefaultParagraphFont"/>
    <w:link w:val="Heading1"/>
    <w:uiPriority w:val="9"/>
    <w:rsid w:val="007A1843"/>
    <w:rPr>
      <w:rFonts w:ascii="Arial" w:hAnsi="Arial" w:cs="Arial"/>
      <w:b/>
      <w:bCs/>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3764">
      <w:bodyDiv w:val="1"/>
      <w:marLeft w:val="0"/>
      <w:marRight w:val="0"/>
      <w:marTop w:val="0"/>
      <w:marBottom w:val="0"/>
      <w:divBdr>
        <w:top w:val="none" w:sz="0" w:space="0" w:color="auto"/>
        <w:left w:val="none" w:sz="0" w:space="0" w:color="auto"/>
        <w:bottom w:val="none" w:sz="0" w:space="0" w:color="auto"/>
        <w:right w:val="none" w:sz="0" w:space="0" w:color="auto"/>
      </w:divBdr>
    </w:div>
    <w:div w:id="29496037">
      <w:bodyDiv w:val="1"/>
      <w:marLeft w:val="0"/>
      <w:marRight w:val="0"/>
      <w:marTop w:val="0"/>
      <w:marBottom w:val="0"/>
      <w:divBdr>
        <w:top w:val="none" w:sz="0" w:space="0" w:color="auto"/>
        <w:left w:val="none" w:sz="0" w:space="0" w:color="auto"/>
        <w:bottom w:val="none" w:sz="0" w:space="0" w:color="auto"/>
        <w:right w:val="none" w:sz="0" w:space="0" w:color="auto"/>
      </w:divBdr>
    </w:div>
    <w:div w:id="226888632">
      <w:bodyDiv w:val="1"/>
      <w:marLeft w:val="0"/>
      <w:marRight w:val="0"/>
      <w:marTop w:val="0"/>
      <w:marBottom w:val="0"/>
      <w:divBdr>
        <w:top w:val="none" w:sz="0" w:space="0" w:color="auto"/>
        <w:left w:val="none" w:sz="0" w:space="0" w:color="auto"/>
        <w:bottom w:val="none" w:sz="0" w:space="0" w:color="auto"/>
        <w:right w:val="none" w:sz="0" w:space="0" w:color="auto"/>
      </w:divBdr>
    </w:div>
    <w:div w:id="570584811">
      <w:bodyDiv w:val="1"/>
      <w:marLeft w:val="0"/>
      <w:marRight w:val="0"/>
      <w:marTop w:val="0"/>
      <w:marBottom w:val="0"/>
      <w:divBdr>
        <w:top w:val="none" w:sz="0" w:space="0" w:color="auto"/>
        <w:left w:val="none" w:sz="0" w:space="0" w:color="auto"/>
        <w:bottom w:val="none" w:sz="0" w:space="0" w:color="auto"/>
        <w:right w:val="none" w:sz="0" w:space="0" w:color="auto"/>
      </w:divBdr>
    </w:div>
    <w:div w:id="683091494">
      <w:bodyDiv w:val="1"/>
      <w:marLeft w:val="0"/>
      <w:marRight w:val="0"/>
      <w:marTop w:val="0"/>
      <w:marBottom w:val="0"/>
      <w:divBdr>
        <w:top w:val="none" w:sz="0" w:space="0" w:color="auto"/>
        <w:left w:val="none" w:sz="0" w:space="0" w:color="auto"/>
        <w:bottom w:val="none" w:sz="0" w:space="0" w:color="auto"/>
        <w:right w:val="none" w:sz="0" w:space="0" w:color="auto"/>
      </w:divBdr>
    </w:div>
    <w:div w:id="745348165">
      <w:bodyDiv w:val="1"/>
      <w:marLeft w:val="0"/>
      <w:marRight w:val="0"/>
      <w:marTop w:val="0"/>
      <w:marBottom w:val="0"/>
      <w:divBdr>
        <w:top w:val="none" w:sz="0" w:space="0" w:color="auto"/>
        <w:left w:val="none" w:sz="0" w:space="0" w:color="auto"/>
        <w:bottom w:val="none" w:sz="0" w:space="0" w:color="auto"/>
        <w:right w:val="none" w:sz="0" w:space="0" w:color="auto"/>
      </w:divBdr>
    </w:div>
    <w:div w:id="843592827">
      <w:bodyDiv w:val="1"/>
      <w:marLeft w:val="0"/>
      <w:marRight w:val="0"/>
      <w:marTop w:val="0"/>
      <w:marBottom w:val="0"/>
      <w:divBdr>
        <w:top w:val="none" w:sz="0" w:space="0" w:color="auto"/>
        <w:left w:val="none" w:sz="0" w:space="0" w:color="auto"/>
        <w:bottom w:val="none" w:sz="0" w:space="0" w:color="auto"/>
        <w:right w:val="none" w:sz="0" w:space="0" w:color="auto"/>
      </w:divBdr>
    </w:div>
    <w:div w:id="940838059">
      <w:bodyDiv w:val="1"/>
      <w:marLeft w:val="0"/>
      <w:marRight w:val="0"/>
      <w:marTop w:val="0"/>
      <w:marBottom w:val="0"/>
      <w:divBdr>
        <w:top w:val="none" w:sz="0" w:space="0" w:color="auto"/>
        <w:left w:val="none" w:sz="0" w:space="0" w:color="auto"/>
        <w:bottom w:val="none" w:sz="0" w:space="0" w:color="auto"/>
        <w:right w:val="none" w:sz="0" w:space="0" w:color="auto"/>
      </w:divBdr>
    </w:div>
    <w:div w:id="1009411954">
      <w:bodyDiv w:val="1"/>
      <w:marLeft w:val="0"/>
      <w:marRight w:val="0"/>
      <w:marTop w:val="0"/>
      <w:marBottom w:val="0"/>
      <w:divBdr>
        <w:top w:val="none" w:sz="0" w:space="0" w:color="auto"/>
        <w:left w:val="none" w:sz="0" w:space="0" w:color="auto"/>
        <w:bottom w:val="none" w:sz="0" w:space="0" w:color="auto"/>
        <w:right w:val="none" w:sz="0" w:space="0" w:color="auto"/>
      </w:divBdr>
    </w:div>
    <w:div w:id="1136068764">
      <w:bodyDiv w:val="1"/>
      <w:marLeft w:val="0"/>
      <w:marRight w:val="0"/>
      <w:marTop w:val="0"/>
      <w:marBottom w:val="0"/>
      <w:divBdr>
        <w:top w:val="none" w:sz="0" w:space="0" w:color="auto"/>
        <w:left w:val="none" w:sz="0" w:space="0" w:color="auto"/>
        <w:bottom w:val="none" w:sz="0" w:space="0" w:color="auto"/>
        <w:right w:val="none" w:sz="0" w:space="0" w:color="auto"/>
      </w:divBdr>
      <w:divsChild>
        <w:div w:id="1197810869">
          <w:marLeft w:val="274"/>
          <w:marRight w:val="0"/>
          <w:marTop w:val="0"/>
          <w:marBottom w:val="120"/>
          <w:divBdr>
            <w:top w:val="none" w:sz="0" w:space="0" w:color="auto"/>
            <w:left w:val="none" w:sz="0" w:space="0" w:color="auto"/>
            <w:bottom w:val="none" w:sz="0" w:space="0" w:color="auto"/>
            <w:right w:val="none" w:sz="0" w:space="0" w:color="auto"/>
          </w:divBdr>
        </w:div>
        <w:div w:id="1428380211">
          <w:marLeft w:val="274"/>
          <w:marRight w:val="0"/>
          <w:marTop w:val="0"/>
          <w:marBottom w:val="120"/>
          <w:divBdr>
            <w:top w:val="none" w:sz="0" w:space="0" w:color="auto"/>
            <w:left w:val="none" w:sz="0" w:space="0" w:color="auto"/>
            <w:bottom w:val="none" w:sz="0" w:space="0" w:color="auto"/>
            <w:right w:val="none" w:sz="0" w:space="0" w:color="auto"/>
          </w:divBdr>
        </w:div>
        <w:div w:id="461273552">
          <w:marLeft w:val="274"/>
          <w:marRight w:val="0"/>
          <w:marTop w:val="0"/>
          <w:marBottom w:val="120"/>
          <w:divBdr>
            <w:top w:val="none" w:sz="0" w:space="0" w:color="auto"/>
            <w:left w:val="none" w:sz="0" w:space="0" w:color="auto"/>
            <w:bottom w:val="none" w:sz="0" w:space="0" w:color="auto"/>
            <w:right w:val="none" w:sz="0" w:space="0" w:color="auto"/>
          </w:divBdr>
        </w:div>
        <w:div w:id="193731036">
          <w:marLeft w:val="274"/>
          <w:marRight w:val="0"/>
          <w:marTop w:val="0"/>
          <w:marBottom w:val="120"/>
          <w:divBdr>
            <w:top w:val="none" w:sz="0" w:space="0" w:color="auto"/>
            <w:left w:val="none" w:sz="0" w:space="0" w:color="auto"/>
            <w:bottom w:val="none" w:sz="0" w:space="0" w:color="auto"/>
            <w:right w:val="none" w:sz="0" w:space="0" w:color="auto"/>
          </w:divBdr>
        </w:div>
        <w:div w:id="169299525">
          <w:marLeft w:val="274"/>
          <w:marRight w:val="0"/>
          <w:marTop w:val="0"/>
          <w:marBottom w:val="120"/>
          <w:divBdr>
            <w:top w:val="none" w:sz="0" w:space="0" w:color="auto"/>
            <w:left w:val="none" w:sz="0" w:space="0" w:color="auto"/>
            <w:bottom w:val="none" w:sz="0" w:space="0" w:color="auto"/>
            <w:right w:val="none" w:sz="0" w:space="0" w:color="auto"/>
          </w:divBdr>
        </w:div>
      </w:divsChild>
    </w:div>
    <w:div w:id="1545021598">
      <w:bodyDiv w:val="1"/>
      <w:marLeft w:val="0"/>
      <w:marRight w:val="0"/>
      <w:marTop w:val="0"/>
      <w:marBottom w:val="0"/>
      <w:divBdr>
        <w:top w:val="none" w:sz="0" w:space="0" w:color="auto"/>
        <w:left w:val="none" w:sz="0" w:space="0" w:color="auto"/>
        <w:bottom w:val="none" w:sz="0" w:space="0" w:color="auto"/>
        <w:right w:val="none" w:sz="0" w:space="0" w:color="auto"/>
      </w:divBdr>
    </w:div>
    <w:div w:id="1548957328">
      <w:bodyDiv w:val="1"/>
      <w:marLeft w:val="0"/>
      <w:marRight w:val="0"/>
      <w:marTop w:val="0"/>
      <w:marBottom w:val="0"/>
      <w:divBdr>
        <w:top w:val="none" w:sz="0" w:space="0" w:color="auto"/>
        <w:left w:val="none" w:sz="0" w:space="0" w:color="auto"/>
        <w:bottom w:val="none" w:sz="0" w:space="0" w:color="auto"/>
        <w:right w:val="none" w:sz="0" w:space="0" w:color="auto"/>
      </w:divBdr>
    </w:div>
    <w:div w:id="1637417063">
      <w:bodyDiv w:val="1"/>
      <w:marLeft w:val="0"/>
      <w:marRight w:val="0"/>
      <w:marTop w:val="0"/>
      <w:marBottom w:val="0"/>
      <w:divBdr>
        <w:top w:val="none" w:sz="0" w:space="0" w:color="auto"/>
        <w:left w:val="none" w:sz="0" w:space="0" w:color="auto"/>
        <w:bottom w:val="none" w:sz="0" w:space="0" w:color="auto"/>
        <w:right w:val="none" w:sz="0" w:space="0" w:color="auto"/>
      </w:divBdr>
      <w:divsChild>
        <w:div w:id="862474168">
          <w:marLeft w:val="274"/>
          <w:marRight w:val="0"/>
          <w:marTop w:val="0"/>
          <w:marBottom w:val="120"/>
          <w:divBdr>
            <w:top w:val="none" w:sz="0" w:space="0" w:color="auto"/>
            <w:left w:val="none" w:sz="0" w:space="0" w:color="auto"/>
            <w:bottom w:val="none" w:sz="0" w:space="0" w:color="auto"/>
            <w:right w:val="none" w:sz="0" w:space="0" w:color="auto"/>
          </w:divBdr>
        </w:div>
        <w:div w:id="1276208515">
          <w:marLeft w:val="274"/>
          <w:marRight w:val="0"/>
          <w:marTop w:val="0"/>
          <w:marBottom w:val="120"/>
          <w:divBdr>
            <w:top w:val="none" w:sz="0" w:space="0" w:color="auto"/>
            <w:left w:val="none" w:sz="0" w:space="0" w:color="auto"/>
            <w:bottom w:val="none" w:sz="0" w:space="0" w:color="auto"/>
            <w:right w:val="none" w:sz="0" w:space="0" w:color="auto"/>
          </w:divBdr>
        </w:div>
        <w:div w:id="364796045">
          <w:marLeft w:val="274"/>
          <w:marRight w:val="0"/>
          <w:marTop w:val="0"/>
          <w:marBottom w:val="120"/>
          <w:divBdr>
            <w:top w:val="none" w:sz="0" w:space="0" w:color="auto"/>
            <w:left w:val="none" w:sz="0" w:space="0" w:color="auto"/>
            <w:bottom w:val="none" w:sz="0" w:space="0" w:color="auto"/>
            <w:right w:val="none" w:sz="0" w:space="0" w:color="auto"/>
          </w:divBdr>
        </w:div>
        <w:div w:id="739712639">
          <w:marLeft w:val="274"/>
          <w:marRight w:val="0"/>
          <w:marTop w:val="0"/>
          <w:marBottom w:val="120"/>
          <w:divBdr>
            <w:top w:val="none" w:sz="0" w:space="0" w:color="auto"/>
            <w:left w:val="none" w:sz="0" w:space="0" w:color="auto"/>
            <w:bottom w:val="none" w:sz="0" w:space="0" w:color="auto"/>
            <w:right w:val="none" w:sz="0" w:space="0" w:color="auto"/>
          </w:divBdr>
        </w:div>
        <w:div w:id="865365105">
          <w:marLeft w:val="274"/>
          <w:marRight w:val="0"/>
          <w:marTop w:val="0"/>
          <w:marBottom w:val="0"/>
          <w:divBdr>
            <w:top w:val="none" w:sz="0" w:space="0" w:color="auto"/>
            <w:left w:val="none" w:sz="0" w:space="0" w:color="auto"/>
            <w:bottom w:val="none" w:sz="0" w:space="0" w:color="auto"/>
            <w:right w:val="none" w:sz="0" w:space="0" w:color="auto"/>
          </w:divBdr>
        </w:div>
      </w:divsChild>
    </w:div>
    <w:div w:id="1696150329">
      <w:bodyDiv w:val="1"/>
      <w:marLeft w:val="0"/>
      <w:marRight w:val="0"/>
      <w:marTop w:val="0"/>
      <w:marBottom w:val="0"/>
      <w:divBdr>
        <w:top w:val="none" w:sz="0" w:space="0" w:color="auto"/>
        <w:left w:val="none" w:sz="0" w:space="0" w:color="auto"/>
        <w:bottom w:val="none" w:sz="0" w:space="0" w:color="auto"/>
        <w:right w:val="none" w:sz="0" w:space="0" w:color="auto"/>
      </w:divBdr>
    </w:div>
    <w:div w:id="1764374913">
      <w:bodyDiv w:val="1"/>
      <w:marLeft w:val="0"/>
      <w:marRight w:val="0"/>
      <w:marTop w:val="0"/>
      <w:marBottom w:val="0"/>
      <w:divBdr>
        <w:top w:val="none" w:sz="0" w:space="0" w:color="auto"/>
        <w:left w:val="none" w:sz="0" w:space="0" w:color="auto"/>
        <w:bottom w:val="none" w:sz="0" w:space="0" w:color="auto"/>
        <w:right w:val="none" w:sz="0" w:space="0" w:color="auto"/>
      </w:divBdr>
      <w:divsChild>
        <w:div w:id="981419856">
          <w:marLeft w:val="274"/>
          <w:marRight w:val="0"/>
          <w:marTop w:val="0"/>
          <w:marBottom w:val="120"/>
          <w:divBdr>
            <w:top w:val="none" w:sz="0" w:space="0" w:color="auto"/>
            <w:left w:val="none" w:sz="0" w:space="0" w:color="auto"/>
            <w:bottom w:val="none" w:sz="0" w:space="0" w:color="auto"/>
            <w:right w:val="none" w:sz="0" w:space="0" w:color="auto"/>
          </w:divBdr>
        </w:div>
        <w:div w:id="366296693">
          <w:marLeft w:val="274"/>
          <w:marRight w:val="0"/>
          <w:marTop w:val="0"/>
          <w:marBottom w:val="120"/>
          <w:divBdr>
            <w:top w:val="none" w:sz="0" w:space="0" w:color="auto"/>
            <w:left w:val="none" w:sz="0" w:space="0" w:color="auto"/>
            <w:bottom w:val="none" w:sz="0" w:space="0" w:color="auto"/>
            <w:right w:val="none" w:sz="0" w:space="0" w:color="auto"/>
          </w:divBdr>
        </w:div>
        <w:div w:id="365255492">
          <w:marLeft w:val="274"/>
          <w:marRight w:val="0"/>
          <w:marTop w:val="0"/>
          <w:marBottom w:val="120"/>
          <w:divBdr>
            <w:top w:val="none" w:sz="0" w:space="0" w:color="auto"/>
            <w:left w:val="none" w:sz="0" w:space="0" w:color="auto"/>
            <w:bottom w:val="none" w:sz="0" w:space="0" w:color="auto"/>
            <w:right w:val="none" w:sz="0" w:space="0" w:color="auto"/>
          </w:divBdr>
        </w:div>
      </w:divsChild>
    </w:div>
    <w:div w:id="1802726030">
      <w:bodyDiv w:val="1"/>
      <w:marLeft w:val="0"/>
      <w:marRight w:val="0"/>
      <w:marTop w:val="0"/>
      <w:marBottom w:val="0"/>
      <w:divBdr>
        <w:top w:val="none" w:sz="0" w:space="0" w:color="auto"/>
        <w:left w:val="none" w:sz="0" w:space="0" w:color="auto"/>
        <w:bottom w:val="none" w:sz="0" w:space="0" w:color="auto"/>
        <w:right w:val="none" w:sz="0" w:space="0" w:color="auto"/>
      </w:divBdr>
    </w:div>
    <w:div w:id="1965959814">
      <w:bodyDiv w:val="1"/>
      <w:marLeft w:val="0"/>
      <w:marRight w:val="0"/>
      <w:marTop w:val="0"/>
      <w:marBottom w:val="0"/>
      <w:divBdr>
        <w:top w:val="none" w:sz="0" w:space="0" w:color="auto"/>
        <w:left w:val="none" w:sz="0" w:space="0" w:color="auto"/>
        <w:bottom w:val="none" w:sz="0" w:space="0" w:color="auto"/>
        <w:right w:val="none" w:sz="0" w:space="0" w:color="auto"/>
      </w:divBdr>
    </w:div>
    <w:div w:id="2100758566">
      <w:bodyDiv w:val="1"/>
      <w:marLeft w:val="0"/>
      <w:marRight w:val="0"/>
      <w:marTop w:val="0"/>
      <w:marBottom w:val="0"/>
      <w:divBdr>
        <w:top w:val="none" w:sz="0" w:space="0" w:color="auto"/>
        <w:left w:val="none" w:sz="0" w:space="0" w:color="auto"/>
        <w:bottom w:val="none" w:sz="0" w:space="0" w:color="auto"/>
        <w:right w:val="none" w:sz="0" w:space="0" w:color="auto"/>
      </w:divBdr>
      <w:divsChild>
        <w:div w:id="597517889">
          <w:marLeft w:val="274"/>
          <w:marRight w:val="0"/>
          <w:marTop w:val="0"/>
          <w:marBottom w:val="120"/>
          <w:divBdr>
            <w:top w:val="none" w:sz="0" w:space="0" w:color="auto"/>
            <w:left w:val="none" w:sz="0" w:space="0" w:color="auto"/>
            <w:bottom w:val="none" w:sz="0" w:space="0" w:color="auto"/>
            <w:right w:val="none" w:sz="0" w:space="0" w:color="auto"/>
          </w:divBdr>
        </w:div>
        <w:div w:id="1117479862">
          <w:marLeft w:val="274"/>
          <w:marRight w:val="0"/>
          <w:marTop w:val="0"/>
          <w:marBottom w:val="120"/>
          <w:divBdr>
            <w:top w:val="none" w:sz="0" w:space="0" w:color="auto"/>
            <w:left w:val="none" w:sz="0" w:space="0" w:color="auto"/>
            <w:bottom w:val="none" w:sz="0" w:space="0" w:color="auto"/>
            <w:right w:val="none" w:sz="0" w:space="0" w:color="auto"/>
          </w:divBdr>
        </w:div>
        <w:div w:id="952060016">
          <w:marLeft w:val="274"/>
          <w:marRight w:val="0"/>
          <w:marTop w:val="0"/>
          <w:marBottom w:val="120"/>
          <w:divBdr>
            <w:top w:val="none" w:sz="0" w:space="0" w:color="auto"/>
            <w:left w:val="none" w:sz="0" w:space="0" w:color="auto"/>
            <w:bottom w:val="none" w:sz="0" w:space="0" w:color="auto"/>
            <w:right w:val="none" w:sz="0" w:space="0" w:color="auto"/>
          </w:divBdr>
        </w:div>
        <w:div w:id="593588379">
          <w:marLeft w:val="274"/>
          <w:marRight w:val="0"/>
          <w:marTop w:val="0"/>
          <w:marBottom w:val="120"/>
          <w:divBdr>
            <w:top w:val="none" w:sz="0" w:space="0" w:color="auto"/>
            <w:left w:val="none" w:sz="0" w:space="0" w:color="auto"/>
            <w:bottom w:val="none" w:sz="0" w:space="0" w:color="auto"/>
            <w:right w:val="none" w:sz="0" w:space="0" w:color="auto"/>
          </w:divBdr>
        </w:div>
        <w:div w:id="12160468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32AC-8353-45A5-B7AF-7CE33CFB15C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1969</Words>
  <Characters>11225</Characters>
  <Application>Microsoft Office Word</Application>
  <DocSecurity>4</DocSecurity>
  <Lines>93</Lines>
  <Paragraphs>26</Paragraphs>
  <ScaleCrop>false</ScaleCrop>
  <Company/>
  <LinksUpToDate>false</LinksUpToDate>
  <CharactersWithSpaces>13168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 Data: summary for Essex County 2024</dc:title>
  <dc:subject>STD;sexually transmitted infections;2022</dc:subject>
  <dc:creator>Elder, Heather (DPH)</dc:creator>
  <cp:keywords>STD; Essex County; 2022</cp:keywords>
  <dc:description/>
  <cp:lastModifiedBy>Yeaple, Jennifer (DPH)</cp:lastModifiedBy>
  <cp:revision>2</cp:revision>
  <dcterms:created xsi:type="dcterms:W3CDTF">2026-05-21T13:54:00Z</dcterms:created>
  <dcterms:modified xsi:type="dcterms:W3CDTF">2026-05-21T13:54:00Z</dcterms:modified>
</cp:coreProperties>
</file>