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D8C" w14:textId="77777777" w:rsidR="00A95970" w:rsidRPr="00645405" w:rsidRDefault="00A95970" w:rsidP="00645405">
      <w:pPr>
        <w:pStyle w:val="Title"/>
      </w:pPr>
      <w:r w:rsidRPr="00645405">
        <w:t>Massachusetts Department of Public Health, Bureau of Infectious Disease and Laboratory Sciences</w:t>
      </w:r>
    </w:p>
    <w:p w14:paraId="233039C6" w14:textId="24505010" w:rsidR="004849AC" w:rsidRPr="00645405" w:rsidRDefault="00A95970" w:rsidP="00645405">
      <w:pPr>
        <w:pStyle w:val="Subtitle"/>
      </w:pPr>
      <w:r w:rsidRPr="00645405">
        <w:t xml:space="preserve">Summary for </w:t>
      </w:r>
      <w:r w:rsidR="00016D44" w:rsidRPr="00645405">
        <w:t>Hampshire</w:t>
      </w:r>
      <w:r w:rsidR="00C45337" w:rsidRPr="00645405">
        <w:t xml:space="preserve"> County</w:t>
      </w:r>
      <w:r w:rsidR="004849AC" w:rsidRPr="00645405">
        <w:t>, Massachusetts, 202</w:t>
      </w:r>
      <w:r w:rsidR="00CF0CE3" w:rsidRPr="00645405">
        <w:t>4</w:t>
      </w:r>
    </w:p>
    <w:p w14:paraId="73368301" w14:textId="4C2ED6AF" w:rsidR="00F02F72" w:rsidRPr="00F02F72" w:rsidRDefault="00F02F72" w:rsidP="00F02F72">
      <w:pPr>
        <w:rPr>
          <w:rFonts w:ascii="Arial" w:hAnsi="Arial" w:cs="Arial"/>
          <w:sz w:val="20"/>
          <w:szCs w:val="20"/>
        </w:rPr>
      </w:pPr>
      <w:r w:rsidRPr="00F02F72">
        <w:rPr>
          <w:rFonts w:ascii="Arial" w:hAnsi="Arial" w:cs="Arial"/>
          <w:sz w:val="20"/>
          <w:szCs w:val="20"/>
        </w:rPr>
        <w:t xml:space="preserve">Hampshire County, located in western Massachusetts, was established in 1662 and encompasses the Connecticut River Valley and college towns including Amherst and Northampton. As of July 1, 2024, it has an estimated population of 165,399, up from 162,308 at the 2020 Census. </w:t>
      </w:r>
      <w:r w:rsidR="00952DF7">
        <w:rPr>
          <w:rFonts w:ascii="Arial" w:hAnsi="Arial" w:cs="Arial"/>
          <w:sz w:val="20"/>
          <w:szCs w:val="20"/>
        </w:rPr>
        <w:t>As of 2024, t</w:t>
      </w:r>
      <w:r w:rsidRPr="00F02F72">
        <w:rPr>
          <w:rFonts w:ascii="Arial" w:hAnsi="Arial" w:cs="Arial"/>
          <w:sz w:val="20"/>
          <w:szCs w:val="20"/>
        </w:rPr>
        <w:t>he population is predominantly White, with 86.6% identifying as White alone. Other racial and ethnic groups include Black or African American alone (3.9%), Asian alone (6.1%), American Indian and Alaska Native alone (0.4%), Native Hawaiian and Other Pacific Islander alone (0.1%), and individuals reporting two or more races (2.9%). Hispanic or Latino residents make up about 7.7% of the population. In the county, 13.5% of residents are under 18 years old and 20.2% are 65 years and over. In comparison, Massachusetts’ population has 19.0% under 18 years old and 18.7% aged 65 and over. The county also exhibits a slightly higher proportion of females compared to males, with approximately 53.5% of the population identifying as female.</w:t>
      </w:r>
      <w:r>
        <w:rPr>
          <w:rFonts w:ascii="Arial" w:hAnsi="Arial" w:cs="Arial"/>
          <w:sz w:val="20"/>
          <w:szCs w:val="20"/>
          <w:vertAlign w:val="superscript"/>
        </w:rPr>
        <w:t>1</w:t>
      </w:r>
    </w:p>
    <w:p w14:paraId="100DE767" w14:textId="77777777" w:rsidR="003E4460" w:rsidRDefault="003E4460" w:rsidP="00773130">
      <w:pPr>
        <w:rPr>
          <w:rFonts w:ascii="Arial" w:hAnsi="Arial" w:cs="Arial"/>
          <w:sz w:val="20"/>
          <w:szCs w:val="20"/>
        </w:rPr>
      </w:pPr>
    </w:p>
    <w:p w14:paraId="6A889F4E" w14:textId="4EE24007" w:rsidR="003E4460" w:rsidRPr="00645405" w:rsidRDefault="003E4460" w:rsidP="00645405">
      <w:pPr>
        <w:pStyle w:val="Heading1"/>
      </w:pPr>
      <w:r w:rsidRPr="00645405">
        <w:t>Quick Stats</w:t>
      </w:r>
    </w:p>
    <w:p w14:paraId="0390EE32" w14:textId="5E307834" w:rsidR="00AB3594" w:rsidRPr="000B1C6E" w:rsidRDefault="00AB3594" w:rsidP="003E4460">
      <w:pPr>
        <w:rPr>
          <w:rFonts w:ascii="Arial" w:hAnsi="Arial" w:cs="Arial"/>
          <w:b/>
          <w:bCs/>
          <w:sz w:val="20"/>
          <w:szCs w:val="20"/>
          <w:u w:val="single"/>
        </w:rPr>
      </w:pPr>
      <w:r>
        <w:rPr>
          <w:noProof/>
        </w:rPr>
        <w:drawing>
          <wp:inline distT="0" distB="0" distL="0" distR="0" wp14:anchorId="4897AC9D" wp14:editId="2DCF3A82">
            <wp:extent cx="6858000" cy="995045"/>
            <wp:effectExtent l="0" t="0" r="0" b="0"/>
            <wp:docPr id="909039895" name="Picture 1" descr="Table shows counts and rates per 100,000 of chlamydia, gonorrhea, and infectious syphilis cases in Hampshire County for 2015, 2023, and 2024, as well as counts and rates statewide and nationally for 2024. Additionally, the table includes percent change calculations for all three STIs comparing rates from 2023 to 2024 and 2015 to 2024 in Hampshire County. From 2023 to 2024, Hampshire County saw a 21.6% decrease in chlamydia rate, a 13.0% decrease in gonorrhea rate, and a 38.8% increase in infectious syphilis rate. From 2015 to 2024, Hampshire County saw a 26.3% decrease in chlamydia rate, a 110.9% increase in gonorrhea rate, and a 344.0%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95045"/>
                    </a:xfrm>
                    <a:prstGeom prst="rect">
                      <a:avLst/>
                    </a:prstGeom>
                    <a:noFill/>
                    <a:ln>
                      <a:noFill/>
                    </a:ln>
                  </pic:spPr>
                </pic:pic>
              </a:graphicData>
            </a:graphic>
          </wp:inline>
        </w:drawing>
      </w:r>
    </w:p>
    <w:p w14:paraId="16547138" w14:textId="77777777" w:rsidR="003E4460" w:rsidRPr="00364785" w:rsidRDefault="003E4460" w:rsidP="003E4460">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40882AD0" w14:textId="77777777" w:rsidR="003E4460" w:rsidRPr="00364785" w:rsidRDefault="003E4460" w:rsidP="003E4460">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42DF539D" w14:textId="77777777" w:rsidR="003E4460" w:rsidRPr="007C1EF3" w:rsidRDefault="003E4460" w:rsidP="003E4460">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97397F6" w14:textId="77777777" w:rsidR="003E4460" w:rsidRPr="009D424A" w:rsidRDefault="003E4460" w:rsidP="00773130">
      <w:pPr>
        <w:rPr>
          <w:rFonts w:ascii="Arial" w:hAnsi="Arial" w:cs="Arial"/>
          <w:sz w:val="20"/>
          <w:szCs w:val="20"/>
        </w:rPr>
      </w:pPr>
    </w:p>
    <w:p w14:paraId="73F18A86" w14:textId="7721F652" w:rsidR="004849AC" w:rsidRPr="00E07ABD" w:rsidRDefault="004849AC" w:rsidP="00645405">
      <w:pPr>
        <w:pStyle w:val="Heading1"/>
      </w:pPr>
      <w:r w:rsidRPr="00E07ABD">
        <w:t>Chlamydia</w:t>
      </w:r>
    </w:p>
    <w:p w14:paraId="1520ACBA" w14:textId="0D2D73A5" w:rsidR="007863C7" w:rsidRPr="00CD5004" w:rsidRDefault="007863C7" w:rsidP="3DB17959">
      <w:pPr>
        <w:rPr>
          <w:rFonts w:ascii="Arial" w:hAnsi="Arial" w:cs="Arial"/>
          <w:sz w:val="20"/>
          <w:szCs w:val="20"/>
          <w:vertAlign w:val="superscript"/>
        </w:rPr>
      </w:pPr>
      <w:r w:rsidRPr="3DB17959">
        <w:rPr>
          <w:rFonts w:ascii="Arial" w:hAnsi="Arial" w:cs="Arial"/>
          <w:sz w:val="20"/>
          <w:szCs w:val="20"/>
        </w:rPr>
        <w:t>Chlamydia has the highest reported incidence among STIs in Massachusetts and nationally. I</w:t>
      </w:r>
      <w:r w:rsidR="007C3E81" w:rsidRPr="3DB17959">
        <w:rPr>
          <w:rFonts w:ascii="Arial" w:hAnsi="Arial" w:cs="Arial"/>
          <w:sz w:val="20"/>
          <w:szCs w:val="20"/>
        </w:rPr>
        <w:t>t</w:t>
      </w:r>
      <w:r w:rsidRPr="3DB17959">
        <w:rPr>
          <w:rFonts w:ascii="Arial" w:hAnsi="Arial" w:cs="Arial"/>
          <w:sz w:val="20"/>
          <w:szCs w:val="20"/>
        </w:rPr>
        <w:t xml:space="preserve">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2D5AB88A" w:rsidRPr="3DB17959">
        <w:rPr>
          <w:rFonts w:ascii="Arial" w:hAnsi="Arial" w:cs="Arial"/>
          <w:sz w:val="20"/>
          <w:szCs w:val="20"/>
        </w:rPr>
        <w:t xml:space="preserve"> </w:t>
      </w:r>
      <w:r w:rsidR="2D5AB88A" w:rsidRPr="3DB17959">
        <w:rPr>
          <w:rFonts w:ascii="Arial" w:eastAsia="Arial" w:hAnsi="Arial" w:cs="Arial"/>
          <w:sz w:val="20"/>
          <w:szCs w:val="20"/>
        </w:rPr>
        <w:t>with medication from a medical provider</w:t>
      </w:r>
      <w:r w:rsidRPr="3DB17959">
        <w:rPr>
          <w:rFonts w:ascii="Arial" w:hAnsi="Arial" w:cs="Arial"/>
          <w:sz w:val="20"/>
          <w:szCs w:val="20"/>
        </w:rPr>
        <w:t>, but repeated infections are common. Women are at a greater risk of complications from repeated infections.</w:t>
      </w:r>
      <w:r w:rsidR="00CD5004" w:rsidRPr="3DB17959">
        <w:rPr>
          <w:rFonts w:ascii="Arial" w:hAnsi="Arial" w:cs="Arial"/>
          <w:sz w:val="20"/>
          <w:szCs w:val="20"/>
          <w:vertAlign w:val="superscript"/>
        </w:rPr>
        <w:t>2</w:t>
      </w:r>
    </w:p>
    <w:p w14:paraId="76312227" w14:textId="2C347000" w:rsidR="00E07ABD" w:rsidRDefault="00E07ABD" w:rsidP="00E07ABD">
      <w:pPr>
        <w:rPr>
          <w:rFonts w:ascii="Arial" w:hAnsi="Arial" w:cs="Arial"/>
          <w:sz w:val="20"/>
          <w:szCs w:val="20"/>
        </w:rPr>
      </w:pPr>
    </w:p>
    <w:p w14:paraId="7D80CE0B" w14:textId="71C3A372" w:rsidR="0069217B" w:rsidRPr="0069217B" w:rsidRDefault="007E6957" w:rsidP="00862898">
      <w:pPr>
        <w:rPr>
          <w:rFonts w:ascii="Arial" w:hAnsi="Arial" w:cs="Arial"/>
          <w:sz w:val="20"/>
          <w:szCs w:val="20"/>
          <w:vertAlign w:val="superscript"/>
        </w:rPr>
      </w:pPr>
      <w:r w:rsidRPr="007E6957">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CD5004">
        <w:rPr>
          <w:rFonts w:ascii="Arial" w:hAnsi="Arial" w:cs="Arial"/>
          <w:b/>
          <w:bCs/>
          <w:sz w:val="20"/>
          <w:szCs w:val="20"/>
          <w:vertAlign w:val="superscript"/>
        </w:rPr>
        <w:t>3</w:t>
      </w:r>
      <w:r w:rsidRPr="007E6957">
        <w:rPr>
          <w:rFonts w:ascii="Arial" w:hAnsi="Arial" w:cs="Arial"/>
          <w:b/>
          <w:bCs/>
          <w:sz w:val="20"/>
          <w:szCs w:val="20"/>
        </w:rPr>
        <w:t xml:space="preserve">. During this period, statewide case counts ranged from 23,944 cases in 2015 to 26,623 cases in 2024. </w:t>
      </w:r>
      <w:r w:rsidR="00B5637D">
        <w:rPr>
          <w:rFonts w:ascii="Arial" w:hAnsi="Arial" w:cs="Arial"/>
          <w:sz w:val="20"/>
          <w:szCs w:val="20"/>
        </w:rPr>
        <w:t xml:space="preserve">Meanwhile, </w:t>
      </w:r>
      <w:r w:rsidR="000B72E8">
        <w:rPr>
          <w:rFonts w:ascii="Arial" w:hAnsi="Arial" w:cs="Arial"/>
          <w:sz w:val="20"/>
          <w:szCs w:val="20"/>
        </w:rPr>
        <w:t>Hampshire</w:t>
      </w:r>
      <w:r w:rsidR="00B5637D">
        <w:rPr>
          <w:rFonts w:ascii="Arial" w:hAnsi="Arial" w:cs="Arial"/>
          <w:sz w:val="20"/>
          <w:szCs w:val="20"/>
        </w:rPr>
        <w:t xml:space="preserve"> County had </w:t>
      </w:r>
      <w:r w:rsidR="000B72E8">
        <w:rPr>
          <w:rFonts w:ascii="Arial" w:hAnsi="Arial" w:cs="Arial"/>
          <w:sz w:val="20"/>
          <w:szCs w:val="20"/>
        </w:rPr>
        <w:t>375</w:t>
      </w:r>
      <w:r w:rsidR="0047300B">
        <w:rPr>
          <w:rFonts w:ascii="Arial" w:hAnsi="Arial" w:cs="Arial"/>
          <w:b/>
          <w:bCs/>
          <w:sz w:val="20"/>
          <w:szCs w:val="20"/>
        </w:rPr>
        <w:t xml:space="preserve"> </w:t>
      </w:r>
      <w:r w:rsidR="00B5637D">
        <w:rPr>
          <w:rFonts w:ascii="Arial" w:hAnsi="Arial" w:cs="Arial"/>
          <w:sz w:val="20"/>
          <w:szCs w:val="20"/>
        </w:rPr>
        <w:t xml:space="preserve">cases in 2015 and </w:t>
      </w:r>
      <w:r w:rsidR="000B72E8">
        <w:rPr>
          <w:rFonts w:ascii="Arial" w:hAnsi="Arial" w:cs="Arial"/>
          <w:sz w:val="20"/>
          <w:szCs w:val="20"/>
        </w:rPr>
        <w:t xml:space="preserve">352 </w:t>
      </w:r>
      <w:r w:rsidR="00B5637D">
        <w:rPr>
          <w:rFonts w:ascii="Arial" w:hAnsi="Arial" w:cs="Arial"/>
          <w:sz w:val="20"/>
          <w:szCs w:val="20"/>
        </w:rPr>
        <w:t xml:space="preserve">cases in 2024, with a peak of </w:t>
      </w:r>
      <w:r w:rsidR="000B72E8">
        <w:rPr>
          <w:rFonts w:ascii="Arial" w:hAnsi="Arial" w:cs="Arial"/>
          <w:sz w:val="20"/>
          <w:szCs w:val="20"/>
        </w:rPr>
        <w:t xml:space="preserve">509 </w:t>
      </w:r>
      <w:r w:rsidR="00B5637D">
        <w:rPr>
          <w:rFonts w:ascii="Arial" w:hAnsi="Arial" w:cs="Arial"/>
          <w:sz w:val="20"/>
          <w:szCs w:val="20"/>
        </w:rPr>
        <w:t>in 201</w:t>
      </w:r>
      <w:r w:rsidR="000B72E8">
        <w:rPr>
          <w:rFonts w:ascii="Arial" w:hAnsi="Arial" w:cs="Arial"/>
          <w:sz w:val="20"/>
          <w:szCs w:val="20"/>
        </w:rPr>
        <w:t>8</w:t>
      </w:r>
      <w:r w:rsidR="00BB2968">
        <w:rPr>
          <w:rFonts w:ascii="Arial" w:hAnsi="Arial" w:cs="Arial"/>
          <w:sz w:val="20"/>
          <w:szCs w:val="20"/>
        </w:rPr>
        <w:t>.</w:t>
      </w:r>
      <w:r w:rsidR="00773130" w:rsidRPr="00AB0A6F">
        <w:rPr>
          <w:rFonts w:ascii="Arial" w:hAnsi="Arial" w:cs="Arial"/>
          <w:sz w:val="20"/>
          <w:szCs w:val="20"/>
        </w:rPr>
        <w:t xml:space="preserve"> </w:t>
      </w:r>
      <w:r w:rsidR="009A16C5">
        <w:rPr>
          <w:rFonts w:ascii="Arial" w:hAnsi="Arial" w:cs="Arial"/>
          <w:sz w:val="20"/>
          <w:szCs w:val="20"/>
        </w:rPr>
        <w:t>After a dip in 2020, rates of reported chlamydia cases in Hampshire County rose slightly, but they have not rebounded to pre-COVID levels.</w:t>
      </w:r>
      <w:r w:rsidR="00A24D5D">
        <w:rPr>
          <w:rFonts w:ascii="Arial" w:hAnsi="Arial" w:cs="Arial"/>
          <w:sz w:val="20"/>
          <w:szCs w:val="20"/>
        </w:rPr>
        <w:t xml:space="preserve"> </w:t>
      </w:r>
      <w:r w:rsidR="00773130" w:rsidRPr="00AB0A6F">
        <w:rPr>
          <w:rFonts w:ascii="Arial" w:hAnsi="Arial" w:cs="Arial"/>
          <w:sz w:val="20"/>
          <w:szCs w:val="20"/>
        </w:rPr>
        <w:t>In 202</w:t>
      </w:r>
      <w:r w:rsidR="00B47C52">
        <w:rPr>
          <w:rFonts w:ascii="Arial" w:hAnsi="Arial" w:cs="Arial"/>
          <w:sz w:val="20"/>
          <w:szCs w:val="20"/>
        </w:rPr>
        <w:t>4</w:t>
      </w:r>
      <w:r w:rsidR="00773130" w:rsidRPr="00AB0A6F">
        <w:rPr>
          <w:rFonts w:ascii="Arial" w:hAnsi="Arial" w:cs="Arial"/>
          <w:sz w:val="20"/>
          <w:szCs w:val="20"/>
        </w:rPr>
        <w:t xml:space="preserve">, </w:t>
      </w:r>
      <w:bookmarkStart w:id="0" w:name="_Hlk173233478"/>
      <w:r w:rsidR="00BB2968" w:rsidRPr="00A95970">
        <w:rPr>
          <w:rFonts w:ascii="Arial" w:hAnsi="Arial" w:cs="Arial"/>
          <w:sz w:val="20"/>
          <w:szCs w:val="20"/>
        </w:rPr>
        <w:t>the</w:t>
      </w:r>
      <w:r w:rsidR="005B5BFA">
        <w:rPr>
          <w:rFonts w:ascii="Arial" w:hAnsi="Arial" w:cs="Arial"/>
          <w:sz w:val="20"/>
          <w:szCs w:val="20"/>
        </w:rPr>
        <w:t xml:space="preserve"> county</w:t>
      </w:r>
      <w:r w:rsidR="00BB2968" w:rsidRPr="00A95970">
        <w:rPr>
          <w:rFonts w:ascii="Arial" w:hAnsi="Arial" w:cs="Arial"/>
          <w:sz w:val="20"/>
          <w:szCs w:val="20"/>
        </w:rPr>
        <w:t xml:space="preserve"> </w:t>
      </w:r>
      <w:r w:rsidR="00B37473">
        <w:rPr>
          <w:rFonts w:ascii="Arial" w:hAnsi="Arial" w:cs="Arial"/>
          <w:sz w:val="20"/>
          <w:szCs w:val="20"/>
        </w:rPr>
        <w:t xml:space="preserve">incidence </w:t>
      </w:r>
      <w:r w:rsidR="00BB2968">
        <w:rPr>
          <w:rFonts w:ascii="Arial" w:hAnsi="Arial" w:cs="Arial"/>
          <w:sz w:val="20"/>
          <w:szCs w:val="20"/>
        </w:rPr>
        <w:t>rate of chlamydia infection</w:t>
      </w:r>
      <w:bookmarkEnd w:id="0"/>
      <w:r w:rsidR="00BB2968">
        <w:rPr>
          <w:rFonts w:ascii="Arial" w:hAnsi="Arial" w:cs="Arial"/>
          <w:sz w:val="20"/>
          <w:szCs w:val="20"/>
        </w:rPr>
        <w:t xml:space="preserve"> </w:t>
      </w:r>
      <w:r w:rsidR="00773130" w:rsidRPr="00AB0A6F">
        <w:rPr>
          <w:rFonts w:ascii="Arial" w:hAnsi="Arial" w:cs="Arial"/>
          <w:sz w:val="20"/>
          <w:szCs w:val="20"/>
        </w:rPr>
        <w:t xml:space="preserve">was </w:t>
      </w:r>
      <w:r w:rsidR="000B72E8">
        <w:rPr>
          <w:rFonts w:ascii="Arial" w:hAnsi="Arial" w:cs="Arial"/>
          <w:sz w:val="20"/>
          <w:szCs w:val="20"/>
        </w:rPr>
        <w:t>170.0</w:t>
      </w:r>
      <w:r w:rsidR="00B5637D">
        <w:rPr>
          <w:rFonts w:ascii="Arial" w:hAnsi="Arial" w:cs="Arial"/>
          <w:sz w:val="20"/>
          <w:szCs w:val="20"/>
        </w:rPr>
        <w:t xml:space="preserve"> </w:t>
      </w:r>
      <w:r w:rsidR="00773130" w:rsidRPr="00AB0A6F">
        <w:rPr>
          <w:rFonts w:ascii="Arial" w:hAnsi="Arial" w:cs="Arial"/>
          <w:sz w:val="20"/>
          <w:szCs w:val="20"/>
        </w:rPr>
        <w:t xml:space="preserve">per 100,000, </w:t>
      </w:r>
      <w:r w:rsidR="0047300B" w:rsidRPr="00A95970">
        <w:rPr>
          <w:rFonts w:ascii="Arial" w:hAnsi="Arial" w:cs="Arial"/>
          <w:sz w:val="20"/>
          <w:szCs w:val="20"/>
        </w:rPr>
        <w:t xml:space="preserve">while the statewide rate was </w:t>
      </w:r>
      <w:r w:rsidR="0047300B">
        <w:rPr>
          <w:rFonts w:ascii="Arial" w:hAnsi="Arial" w:cs="Arial"/>
          <w:sz w:val="20"/>
          <w:szCs w:val="20"/>
        </w:rPr>
        <w:t>378.7</w:t>
      </w:r>
      <w:r w:rsidR="0047300B" w:rsidRPr="00A95970">
        <w:rPr>
          <w:rFonts w:ascii="Arial" w:hAnsi="Arial" w:cs="Arial"/>
          <w:sz w:val="20"/>
          <w:szCs w:val="20"/>
        </w:rPr>
        <w:t xml:space="preserve"> per 100,000. These</w:t>
      </w:r>
      <w:r w:rsidR="006632CE">
        <w:rPr>
          <w:rFonts w:ascii="Arial" w:hAnsi="Arial" w:cs="Arial"/>
          <w:sz w:val="20"/>
          <w:szCs w:val="20"/>
        </w:rPr>
        <w:t xml:space="preserve"> rates</w:t>
      </w:r>
      <w:r w:rsidR="0047300B" w:rsidRPr="00A95970">
        <w:rPr>
          <w:rFonts w:ascii="Arial" w:hAnsi="Arial" w:cs="Arial"/>
          <w:sz w:val="20"/>
          <w:szCs w:val="20"/>
        </w:rPr>
        <w:t xml:space="preserve"> </w:t>
      </w:r>
      <w:r w:rsidR="001909BC">
        <w:rPr>
          <w:rFonts w:ascii="Arial" w:hAnsi="Arial" w:cs="Arial"/>
          <w:sz w:val="20"/>
          <w:szCs w:val="20"/>
        </w:rPr>
        <w:t>are lower</w:t>
      </w:r>
      <w:r w:rsidR="0047300B" w:rsidRPr="00A95970">
        <w:rPr>
          <w:rFonts w:ascii="Arial" w:hAnsi="Arial" w:cs="Arial"/>
          <w:sz w:val="20"/>
          <w:szCs w:val="20"/>
        </w:rPr>
        <w:t xml:space="preserve"> compared to the national rate of </w:t>
      </w:r>
      <w:r w:rsidR="0047300B">
        <w:rPr>
          <w:rFonts w:ascii="Arial" w:hAnsi="Arial" w:cs="Arial"/>
          <w:sz w:val="20"/>
          <w:szCs w:val="20"/>
        </w:rPr>
        <w:t>4</w:t>
      </w:r>
      <w:r w:rsidR="00F02F72">
        <w:rPr>
          <w:rFonts w:ascii="Arial" w:hAnsi="Arial" w:cs="Arial"/>
          <w:sz w:val="20"/>
          <w:szCs w:val="20"/>
        </w:rPr>
        <w:t>45.7</w:t>
      </w:r>
      <w:r w:rsidR="0047300B" w:rsidRPr="00A95970">
        <w:rPr>
          <w:rFonts w:ascii="Arial" w:hAnsi="Arial" w:cs="Arial"/>
          <w:sz w:val="20"/>
          <w:szCs w:val="20"/>
        </w:rPr>
        <w:t xml:space="preserve"> per </w:t>
      </w:r>
      <w:r w:rsidR="00B5637D" w:rsidRPr="00A95970">
        <w:rPr>
          <w:rFonts w:ascii="Arial" w:hAnsi="Arial" w:cs="Arial"/>
          <w:sz w:val="20"/>
          <w:szCs w:val="20"/>
        </w:rPr>
        <w:t>100,000</w:t>
      </w:r>
      <w:r w:rsidR="00B5637D" w:rsidRPr="00F47AFA">
        <w:rPr>
          <w:rFonts w:ascii="Arial" w:hAnsi="Arial" w:cs="Arial"/>
          <w:sz w:val="20"/>
          <w:szCs w:val="20"/>
        </w:rPr>
        <w:t>.</w:t>
      </w:r>
      <w:r w:rsidR="00CD5004">
        <w:rPr>
          <w:rFonts w:ascii="Arial" w:hAnsi="Arial" w:cs="Arial"/>
          <w:sz w:val="20"/>
          <w:szCs w:val="20"/>
          <w:vertAlign w:val="superscript"/>
        </w:rPr>
        <w:t>4</w:t>
      </w:r>
    </w:p>
    <w:p w14:paraId="7BC4E99E" w14:textId="77777777" w:rsidR="00272D41" w:rsidRDefault="00272D41" w:rsidP="00862898">
      <w:pPr>
        <w:rPr>
          <w:rFonts w:ascii="Arial" w:hAnsi="Arial" w:cs="Arial"/>
          <w:sz w:val="20"/>
          <w:szCs w:val="20"/>
          <w:vertAlign w:val="superscript"/>
        </w:rPr>
      </w:pPr>
    </w:p>
    <w:p w14:paraId="7A2CE06B" w14:textId="0AB5D93D" w:rsidR="00F02F72" w:rsidRDefault="001909BC" w:rsidP="00272D41">
      <w:pPr>
        <w:rPr>
          <w:rFonts w:ascii="Arial" w:hAnsi="Arial" w:cs="Arial"/>
          <w:sz w:val="20"/>
          <w:szCs w:val="18"/>
        </w:rPr>
      </w:pPr>
      <w:r>
        <w:rPr>
          <w:rFonts w:ascii="Arial" w:hAnsi="Arial" w:cs="Arial"/>
          <w:b/>
          <w:bCs/>
          <w:sz w:val="20"/>
          <w:szCs w:val="20"/>
        </w:rPr>
        <w:t>Between 2015 and 2024, t</w:t>
      </w:r>
      <w:r w:rsidR="0047300B" w:rsidRPr="40CCF988">
        <w:rPr>
          <w:rFonts w:ascii="Arial" w:hAnsi="Arial" w:cs="Arial"/>
          <w:b/>
          <w:bCs/>
          <w:sz w:val="20"/>
          <w:szCs w:val="20"/>
        </w:rPr>
        <w:t xml:space="preserve">he county incidence rate among </w:t>
      </w:r>
      <w:r w:rsidR="0047300B">
        <w:rPr>
          <w:rFonts w:ascii="Arial" w:hAnsi="Arial" w:cs="Arial"/>
          <w:b/>
          <w:bCs/>
          <w:sz w:val="20"/>
          <w:szCs w:val="20"/>
        </w:rPr>
        <w:t>females</w:t>
      </w:r>
      <w:r w:rsidR="0047300B" w:rsidRPr="40CCF988">
        <w:rPr>
          <w:rFonts w:ascii="Arial" w:hAnsi="Arial" w:cs="Arial"/>
          <w:b/>
          <w:bCs/>
          <w:sz w:val="20"/>
          <w:szCs w:val="20"/>
        </w:rPr>
        <w:t xml:space="preserve"> remained higher </w:t>
      </w:r>
      <w:r w:rsidR="0047300B" w:rsidRPr="008B3DBC">
        <w:rPr>
          <w:rFonts w:ascii="Arial" w:hAnsi="Arial" w:cs="Arial"/>
          <w:sz w:val="20"/>
          <w:szCs w:val="20"/>
        </w:rPr>
        <w:t>compared to males.</w:t>
      </w:r>
      <w:r w:rsidR="0047300B">
        <w:rPr>
          <w:rFonts w:ascii="Arial" w:hAnsi="Arial" w:cs="Arial"/>
          <w:sz w:val="20"/>
          <w:szCs w:val="20"/>
        </w:rPr>
        <w:t xml:space="preserve"> </w:t>
      </w:r>
      <w:r w:rsidR="00272D41" w:rsidRPr="00AB0A6F">
        <w:rPr>
          <w:rFonts w:ascii="Arial" w:hAnsi="Arial" w:cs="Arial"/>
          <w:sz w:val="20"/>
          <w:szCs w:val="18"/>
        </w:rPr>
        <w:t>In 202</w:t>
      </w:r>
      <w:r w:rsidR="00272D41">
        <w:rPr>
          <w:rFonts w:ascii="Arial" w:hAnsi="Arial" w:cs="Arial"/>
          <w:sz w:val="20"/>
          <w:szCs w:val="18"/>
        </w:rPr>
        <w:t>4</w:t>
      </w:r>
      <w:r w:rsidR="00272D41" w:rsidRPr="00AB0A6F">
        <w:rPr>
          <w:rFonts w:ascii="Arial" w:hAnsi="Arial" w:cs="Arial"/>
          <w:sz w:val="20"/>
          <w:szCs w:val="18"/>
        </w:rPr>
        <w:t xml:space="preserve">, the incidence rate of chlamydia among </w:t>
      </w:r>
      <w:r w:rsidR="00272D41">
        <w:rPr>
          <w:rFonts w:ascii="Arial" w:hAnsi="Arial" w:cs="Arial"/>
          <w:sz w:val="20"/>
          <w:szCs w:val="18"/>
        </w:rPr>
        <w:t>females</w:t>
      </w:r>
      <w:r w:rsidR="00272D41" w:rsidRPr="00AB0A6F">
        <w:rPr>
          <w:rFonts w:ascii="Arial" w:hAnsi="Arial" w:cs="Arial"/>
          <w:sz w:val="20"/>
          <w:szCs w:val="18"/>
        </w:rPr>
        <w:t xml:space="preserve"> was </w:t>
      </w:r>
      <w:r w:rsidR="004C37AA">
        <w:rPr>
          <w:rFonts w:ascii="Arial" w:hAnsi="Arial" w:cs="Arial"/>
          <w:sz w:val="20"/>
          <w:szCs w:val="18"/>
        </w:rPr>
        <w:t>196.1</w:t>
      </w:r>
      <w:r w:rsidR="00272D41">
        <w:rPr>
          <w:rFonts w:ascii="Arial" w:hAnsi="Arial" w:cs="Arial"/>
          <w:sz w:val="20"/>
          <w:szCs w:val="20"/>
        </w:rPr>
        <w:t xml:space="preserve"> </w:t>
      </w:r>
      <w:r w:rsidR="00272D41" w:rsidRPr="00AB0A6F">
        <w:rPr>
          <w:rFonts w:ascii="Arial" w:hAnsi="Arial" w:cs="Arial"/>
          <w:sz w:val="20"/>
          <w:szCs w:val="18"/>
        </w:rPr>
        <w:t xml:space="preserve">per 100,000, </w:t>
      </w:r>
      <w:r w:rsidR="004C37AA">
        <w:rPr>
          <w:rFonts w:ascii="Arial" w:hAnsi="Arial" w:cs="Arial"/>
          <w:sz w:val="20"/>
          <w:szCs w:val="18"/>
        </w:rPr>
        <w:t xml:space="preserve">compared to </w:t>
      </w:r>
      <w:r w:rsidR="004C37AA">
        <w:rPr>
          <w:rFonts w:ascii="Arial" w:hAnsi="Arial" w:cs="Arial"/>
          <w:sz w:val="20"/>
          <w:szCs w:val="20"/>
        </w:rPr>
        <w:t>140.2</w:t>
      </w:r>
      <w:r w:rsidR="00B5637D">
        <w:rPr>
          <w:rFonts w:ascii="Arial" w:hAnsi="Arial" w:cs="Arial"/>
          <w:sz w:val="20"/>
          <w:szCs w:val="20"/>
        </w:rPr>
        <w:t xml:space="preserve"> </w:t>
      </w:r>
      <w:r w:rsidR="00272D41" w:rsidRPr="00AB0A6F">
        <w:rPr>
          <w:rFonts w:ascii="Arial" w:hAnsi="Arial" w:cs="Arial"/>
          <w:sz w:val="20"/>
          <w:szCs w:val="18"/>
        </w:rPr>
        <w:t>per 100,000</w:t>
      </w:r>
      <w:r w:rsidR="004C37AA">
        <w:rPr>
          <w:rFonts w:ascii="Arial" w:hAnsi="Arial" w:cs="Arial"/>
          <w:sz w:val="20"/>
          <w:szCs w:val="18"/>
        </w:rPr>
        <w:t xml:space="preserve"> among males</w:t>
      </w:r>
      <w:r w:rsidR="00272D41" w:rsidRPr="00AB0A6F">
        <w:rPr>
          <w:rFonts w:ascii="Arial" w:hAnsi="Arial" w:cs="Arial"/>
          <w:sz w:val="20"/>
          <w:szCs w:val="18"/>
        </w:rPr>
        <w:t>.</w:t>
      </w:r>
    </w:p>
    <w:p w14:paraId="3848B744" w14:textId="24423EBA" w:rsidR="00F1556B" w:rsidRDefault="00F1556B" w:rsidP="00272D41">
      <w:pPr>
        <w:rPr>
          <w:rFonts w:ascii="Arial" w:hAnsi="Arial" w:cs="Arial"/>
          <w:sz w:val="20"/>
          <w:szCs w:val="18"/>
        </w:rPr>
      </w:pPr>
    </w:p>
    <w:p w14:paraId="7F16E7CA" w14:textId="34CD392E" w:rsidR="00952DF7" w:rsidRDefault="00952DF7" w:rsidP="00272D41">
      <w:pPr>
        <w:rPr>
          <w:rFonts w:ascii="Arial" w:hAnsi="Arial" w:cs="Arial"/>
          <w:sz w:val="20"/>
          <w:szCs w:val="18"/>
        </w:rPr>
      </w:pPr>
      <w:r>
        <w:rPr>
          <w:rFonts w:ascii="Arial" w:hAnsi="Arial" w:cs="Arial"/>
          <w:noProof/>
          <w:sz w:val="20"/>
          <w:szCs w:val="18"/>
        </w:rPr>
        <w:drawing>
          <wp:inline distT="0" distB="0" distL="0" distR="0" wp14:anchorId="71E48D8C" wp14:editId="7A15754F">
            <wp:extent cx="6912864" cy="2304288"/>
            <wp:effectExtent l="0" t="0" r="0" b="1270"/>
            <wp:docPr id="235157822" name="Picture 1" descr="Graph depicts the rates per 100,000 population of chlamydia in Massachusetts statewide, in Hampshire County overall, and by gender in Hampshire County between 2015 and 2024. The line showing statewide rate begins at 350.4 in 2015 and ends at 378.7 in 2024, with a peak of 454.1 in 2019. The line showing Hampshire County overall rate begins at 230.6 in 2015 and ends at 170.0 in 2024, with a peak of 310.5 in 2018. The line showing the rate among females in Hampshire County begins at 296.5 in 2015 and ends at 196.1 in 2024, with a peak of 387.4 in 2018. The line showing the rate among males in Hampshire County begins at 155.4 in 2015 and ends at 140.2 in 2024, with a peak of 227.7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57822" name="Picture 1" descr="Graph depicts the rates per 100,000 population of chlamydia in Massachusetts statewide, in Hampshire County overall, and by gender in Hampshire County between 2015 and 2024. The line showing statewide rate begins at 350.4 in 2015 and ends at 378.7 in 2024, with a peak of 454.1 in 2019. The line showing Hampshire County overall rate begins at 230.6 in 2015 and ends at 170.0 in 2024, with a peak of 310.5 in 2018. The line showing the rate among females in Hampshire County begins at 296.5 in 2015 and ends at 196.1 in 2024, with a peak of 387.4 in 2018. The line showing the rate among males in Hampshire County begins at 155.4 in 2015 and ends at 140.2 in 2024, with a peak of 227.7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304288"/>
                    </a:xfrm>
                    <a:prstGeom prst="rect">
                      <a:avLst/>
                    </a:prstGeom>
                    <a:noFill/>
                  </pic:spPr>
                </pic:pic>
              </a:graphicData>
            </a:graphic>
          </wp:inline>
        </w:drawing>
      </w:r>
    </w:p>
    <w:p w14:paraId="6DF18F24" w14:textId="77777777" w:rsidR="00F1556B" w:rsidRPr="0038297E" w:rsidRDefault="00F1556B" w:rsidP="00F1556B">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670D4360" w14:textId="77777777" w:rsidR="00F1556B" w:rsidRPr="0038297E" w:rsidRDefault="00F1556B" w:rsidP="00F1556B">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1B284B5D" w14:textId="5473B888" w:rsidR="002665EA" w:rsidRPr="00F1556B" w:rsidRDefault="00F1556B" w:rsidP="002665EA">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73DFEA33" w14:textId="77777777" w:rsidR="002665EA" w:rsidRDefault="002665EA" w:rsidP="002665EA">
      <w:pPr>
        <w:rPr>
          <w:rFonts w:ascii="Arial" w:hAnsi="Arial" w:cs="Arial"/>
          <w:b/>
          <w:bCs/>
          <w:sz w:val="20"/>
          <w:szCs w:val="20"/>
        </w:rPr>
      </w:pPr>
    </w:p>
    <w:p w14:paraId="7028A84D" w14:textId="77777777" w:rsidR="002665EA" w:rsidRDefault="002665EA" w:rsidP="002665EA">
      <w:pPr>
        <w:rPr>
          <w:rFonts w:ascii="Arial" w:hAnsi="Arial" w:cs="Arial"/>
          <w:b/>
          <w:bCs/>
          <w:sz w:val="20"/>
          <w:szCs w:val="20"/>
        </w:rPr>
      </w:pPr>
    </w:p>
    <w:p w14:paraId="3F384F8D" w14:textId="10DBC227" w:rsidR="1B0DA0B8" w:rsidRDefault="1B0DA0B8" w:rsidP="1B0DA0B8">
      <w:pPr>
        <w:rPr>
          <w:rFonts w:ascii="Arial" w:eastAsia="Arial" w:hAnsi="Arial" w:cs="Arial"/>
          <w:sz w:val="19"/>
          <w:szCs w:val="19"/>
        </w:rPr>
      </w:pPr>
    </w:p>
    <w:p w14:paraId="1E438A59" w14:textId="77777777" w:rsidR="00241DF2" w:rsidRDefault="00241DF2" w:rsidP="1B0DA0B8">
      <w:pPr>
        <w:rPr>
          <w:rFonts w:ascii="Arial" w:eastAsia="Arial" w:hAnsi="Arial" w:cs="Arial"/>
          <w:sz w:val="19"/>
          <w:szCs w:val="19"/>
        </w:rPr>
      </w:pPr>
    </w:p>
    <w:p w14:paraId="76C2237A" w14:textId="2F3C7FEA" w:rsidR="00A1078B" w:rsidRPr="0097602D" w:rsidRDefault="00605ED8" w:rsidP="0097602D">
      <w:pPr>
        <w:rPr>
          <w:rFonts w:ascii="Arial" w:hAnsi="Arial" w:cs="Arial"/>
          <w:b/>
          <w:bCs/>
          <w:sz w:val="20"/>
          <w:szCs w:val="20"/>
        </w:rPr>
      </w:pPr>
      <w:bookmarkStart w:id="1" w:name="_Hlk200638837"/>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1909BC">
        <w:rPr>
          <w:rFonts w:ascii="Arial" w:hAnsi="Arial" w:cs="Arial"/>
          <w:b/>
          <w:bCs/>
          <w:sz w:val="20"/>
          <w:szCs w:val="20"/>
        </w:rPr>
        <w:t>s</w:t>
      </w:r>
      <w:r w:rsidRPr="00A83E04">
        <w:rPr>
          <w:rFonts w:ascii="Arial" w:hAnsi="Arial" w:cs="Arial"/>
          <w:b/>
          <w:bCs/>
          <w:sz w:val="20"/>
          <w:szCs w:val="20"/>
        </w:rPr>
        <w:t xml:space="preserve"> of chlamydia </w:t>
      </w:r>
      <w:r w:rsidR="001909BC">
        <w:rPr>
          <w:rFonts w:ascii="Arial" w:hAnsi="Arial" w:cs="Arial"/>
          <w:b/>
          <w:bCs/>
          <w:sz w:val="20"/>
          <w:szCs w:val="20"/>
        </w:rPr>
        <w:t>are</w:t>
      </w:r>
      <w:r w:rsidR="001909BC"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w:t>
      </w:r>
      <w:r w:rsidRPr="00F1556B">
        <w:rPr>
          <w:rFonts w:ascii="Arial" w:hAnsi="Arial" w:cs="Arial"/>
          <w:b/>
          <w:bCs/>
          <w:sz w:val="20"/>
          <w:szCs w:val="20"/>
        </w:rPr>
        <w:t xml:space="preserve"> In</w:t>
      </w:r>
      <w:r w:rsidRPr="005A47A6">
        <w:rPr>
          <w:rFonts w:ascii="Arial" w:hAnsi="Arial" w:cs="Arial"/>
          <w:b/>
          <w:bCs/>
          <w:sz w:val="20"/>
          <w:szCs w:val="20"/>
        </w:rPr>
        <w:t xml:space="preserve"> 2024,</w:t>
      </w:r>
      <w:r>
        <w:rPr>
          <w:rFonts w:ascii="Arial" w:hAnsi="Arial" w:cs="Arial"/>
          <w:b/>
          <w:bCs/>
          <w:sz w:val="20"/>
          <w:szCs w:val="20"/>
        </w:rPr>
        <w:t xml:space="preserve"> </w:t>
      </w:r>
      <w:r w:rsidR="000B1C6E">
        <w:rPr>
          <w:rFonts w:ascii="Arial" w:hAnsi="Arial" w:cs="Arial"/>
          <w:b/>
          <w:bCs/>
          <w:sz w:val="20"/>
          <w:szCs w:val="20"/>
        </w:rPr>
        <w:t>147</w:t>
      </w:r>
      <w:r w:rsidR="000B1C6E" w:rsidRPr="005A47A6">
        <w:rPr>
          <w:rFonts w:ascii="Arial" w:hAnsi="Arial" w:cs="Arial"/>
          <w:b/>
          <w:bCs/>
          <w:sz w:val="20"/>
          <w:szCs w:val="20"/>
        </w:rPr>
        <w:t xml:space="preserve"> </w:t>
      </w:r>
      <w:r w:rsidRPr="005A47A6">
        <w:rPr>
          <w:rFonts w:ascii="Arial" w:hAnsi="Arial" w:cs="Arial"/>
          <w:b/>
          <w:bCs/>
          <w:sz w:val="20"/>
          <w:szCs w:val="20"/>
        </w:rPr>
        <w:t xml:space="preserve">chlamydia cases were reported among 20–29-year-olds, </w:t>
      </w:r>
      <w:r w:rsidR="00952DF7">
        <w:rPr>
          <w:rFonts w:ascii="Arial" w:hAnsi="Arial" w:cs="Arial"/>
          <w:b/>
          <w:bCs/>
          <w:sz w:val="20"/>
          <w:szCs w:val="20"/>
        </w:rPr>
        <w:t xml:space="preserve">at a rate of 439.7 per 100,00, </w:t>
      </w:r>
      <w:r w:rsidRPr="005A47A6">
        <w:rPr>
          <w:rFonts w:ascii="Arial" w:hAnsi="Arial" w:cs="Arial"/>
          <w:b/>
          <w:bCs/>
          <w:sz w:val="20"/>
          <w:szCs w:val="20"/>
        </w:rPr>
        <w:t xml:space="preserve">the highest among all age groups in </w:t>
      </w:r>
      <w:r w:rsidR="000B1C6E">
        <w:rPr>
          <w:rFonts w:ascii="Arial" w:hAnsi="Arial" w:cs="Arial"/>
          <w:b/>
          <w:bCs/>
          <w:sz w:val="20"/>
          <w:szCs w:val="20"/>
        </w:rPr>
        <w:t xml:space="preserve">Hampshire </w:t>
      </w:r>
      <w:r w:rsidRPr="005A47A6">
        <w:rPr>
          <w:rFonts w:ascii="Arial" w:hAnsi="Arial" w:cs="Arial"/>
          <w:b/>
          <w:bCs/>
          <w:sz w:val="20"/>
          <w:szCs w:val="20"/>
        </w:rPr>
        <w:t>County.</w:t>
      </w:r>
      <w:r>
        <w:rPr>
          <w:rFonts w:ascii="Arial" w:hAnsi="Arial" w:cs="Arial"/>
          <w:b/>
          <w:bCs/>
          <w:sz w:val="20"/>
          <w:szCs w:val="20"/>
        </w:rPr>
        <w:t xml:space="preserve"> </w:t>
      </w:r>
      <w:r w:rsidR="001909BC">
        <w:rPr>
          <w:rFonts w:ascii="Arial" w:hAnsi="Arial" w:cs="Arial"/>
          <w:sz w:val="20"/>
          <w:szCs w:val="20"/>
        </w:rPr>
        <w:t>Among this age category, f</w:t>
      </w:r>
      <w:r w:rsidRPr="00A806D7">
        <w:rPr>
          <w:rFonts w:ascii="Arial" w:hAnsi="Arial" w:cs="Arial"/>
          <w:sz w:val="20"/>
          <w:szCs w:val="20"/>
        </w:rPr>
        <w:t xml:space="preserve">emales accounted for </w:t>
      </w:r>
      <w:r w:rsidR="000B1C6E">
        <w:rPr>
          <w:rFonts w:ascii="Arial" w:hAnsi="Arial" w:cs="Arial"/>
          <w:sz w:val="20"/>
          <w:szCs w:val="20"/>
        </w:rPr>
        <w:t xml:space="preserve">85 </w:t>
      </w:r>
      <w:r w:rsidRPr="00A806D7">
        <w:rPr>
          <w:rFonts w:ascii="Arial" w:hAnsi="Arial" w:cs="Arial"/>
          <w:sz w:val="20"/>
          <w:szCs w:val="20"/>
        </w:rPr>
        <w:t>cases</w:t>
      </w:r>
      <w:r w:rsidR="001909BC">
        <w:rPr>
          <w:rFonts w:ascii="Arial" w:hAnsi="Arial" w:cs="Arial"/>
          <w:sz w:val="20"/>
          <w:szCs w:val="20"/>
        </w:rPr>
        <w:t xml:space="preserve"> (</w:t>
      </w:r>
      <w:r w:rsidR="00952DF7">
        <w:rPr>
          <w:rFonts w:ascii="Arial" w:hAnsi="Arial" w:cs="Arial"/>
          <w:sz w:val="20"/>
          <w:szCs w:val="20"/>
        </w:rPr>
        <w:t>57.8</w:t>
      </w:r>
      <w:r w:rsidR="001909BC">
        <w:rPr>
          <w:rFonts w:ascii="Arial" w:hAnsi="Arial" w:cs="Arial"/>
          <w:sz w:val="20"/>
          <w:szCs w:val="20"/>
        </w:rPr>
        <w:t>%)</w:t>
      </w:r>
      <w:r w:rsidRPr="00A806D7">
        <w:rPr>
          <w:rFonts w:ascii="Arial" w:hAnsi="Arial" w:cs="Arial"/>
          <w:sz w:val="20"/>
          <w:szCs w:val="20"/>
        </w:rPr>
        <w:t>, with a rate of</w:t>
      </w:r>
      <w:r w:rsidR="002A0EE7">
        <w:rPr>
          <w:rFonts w:ascii="Arial" w:hAnsi="Arial" w:cs="Arial"/>
          <w:sz w:val="20"/>
          <w:szCs w:val="20"/>
        </w:rPr>
        <w:t xml:space="preserve"> </w:t>
      </w:r>
      <w:r w:rsidR="000B1C6E">
        <w:rPr>
          <w:rFonts w:ascii="Arial" w:hAnsi="Arial" w:cs="Arial"/>
          <w:sz w:val="20"/>
          <w:szCs w:val="20"/>
        </w:rPr>
        <w:t>473.6</w:t>
      </w:r>
      <w:r w:rsidRPr="00A806D7">
        <w:rPr>
          <w:rFonts w:ascii="Arial" w:hAnsi="Arial" w:cs="Arial"/>
          <w:sz w:val="20"/>
          <w:szCs w:val="20"/>
        </w:rPr>
        <w:t xml:space="preserve"> per 100,000, while </w:t>
      </w:r>
      <w:r w:rsidR="000B1C6E">
        <w:rPr>
          <w:rFonts w:ascii="Arial" w:hAnsi="Arial" w:cs="Arial"/>
          <w:sz w:val="20"/>
          <w:szCs w:val="20"/>
        </w:rPr>
        <w:t>62</w:t>
      </w:r>
      <w:r w:rsidRPr="00A806D7">
        <w:rPr>
          <w:rFonts w:ascii="Arial" w:hAnsi="Arial" w:cs="Arial"/>
          <w:sz w:val="20"/>
          <w:szCs w:val="20"/>
        </w:rPr>
        <w:t xml:space="preserve"> cases</w:t>
      </w:r>
      <w:r w:rsidR="001909BC">
        <w:rPr>
          <w:rFonts w:ascii="Arial" w:hAnsi="Arial" w:cs="Arial"/>
          <w:sz w:val="20"/>
          <w:szCs w:val="20"/>
        </w:rPr>
        <w:t xml:space="preserve"> (</w:t>
      </w:r>
      <w:r w:rsidR="00952DF7">
        <w:rPr>
          <w:rFonts w:ascii="Arial" w:hAnsi="Arial" w:cs="Arial"/>
          <w:sz w:val="20"/>
          <w:szCs w:val="20"/>
        </w:rPr>
        <w:t>42.2</w:t>
      </w:r>
      <w:r w:rsidR="001909BC">
        <w:rPr>
          <w:rFonts w:ascii="Arial" w:hAnsi="Arial" w:cs="Arial"/>
          <w:sz w:val="20"/>
          <w:szCs w:val="20"/>
        </w:rPr>
        <w:t>%)</w:t>
      </w:r>
      <w:r w:rsidRPr="00A806D7">
        <w:rPr>
          <w:rFonts w:ascii="Arial" w:hAnsi="Arial" w:cs="Arial"/>
          <w:sz w:val="20"/>
          <w:szCs w:val="20"/>
        </w:rPr>
        <w:t xml:space="preserve"> were reported </w:t>
      </w:r>
      <w:r w:rsidR="001909BC">
        <w:rPr>
          <w:rFonts w:ascii="Arial" w:hAnsi="Arial" w:cs="Arial"/>
          <w:sz w:val="20"/>
          <w:szCs w:val="20"/>
        </w:rPr>
        <w:t>among</w:t>
      </w:r>
      <w:r w:rsidR="001909BC" w:rsidRPr="00A806D7">
        <w:rPr>
          <w:rFonts w:ascii="Arial" w:hAnsi="Arial" w:cs="Arial"/>
          <w:sz w:val="20"/>
          <w:szCs w:val="20"/>
        </w:rPr>
        <w:t xml:space="preserve"> </w:t>
      </w:r>
      <w:r w:rsidRPr="00A806D7">
        <w:rPr>
          <w:rFonts w:ascii="Arial" w:hAnsi="Arial" w:cs="Arial"/>
          <w:sz w:val="20"/>
          <w:szCs w:val="20"/>
        </w:rPr>
        <w:t xml:space="preserve">males, at a rate of </w:t>
      </w:r>
      <w:r w:rsidR="000B1C6E">
        <w:rPr>
          <w:rFonts w:ascii="Arial" w:hAnsi="Arial" w:cs="Arial"/>
          <w:sz w:val="20"/>
          <w:szCs w:val="20"/>
        </w:rPr>
        <w:t>400.3</w:t>
      </w:r>
      <w:r w:rsidRPr="00A806D7">
        <w:rPr>
          <w:rFonts w:ascii="Arial" w:hAnsi="Arial" w:cs="Arial"/>
          <w:sz w:val="20"/>
          <w:szCs w:val="20"/>
        </w:rPr>
        <w:t xml:space="preserve"> per 100,000. Although the chart below represents rates by age group only, the highest burden </w:t>
      </w:r>
      <w:r w:rsidR="001909BC">
        <w:rPr>
          <w:rFonts w:ascii="Arial" w:hAnsi="Arial" w:cs="Arial"/>
          <w:sz w:val="20"/>
          <w:szCs w:val="20"/>
        </w:rPr>
        <w:t>i</w:t>
      </w:r>
      <w:r w:rsidR="001909BC" w:rsidRPr="00A806D7">
        <w:rPr>
          <w:rFonts w:ascii="Arial" w:hAnsi="Arial" w:cs="Arial"/>
          <w:sz w:val="20"/>
          <w:szCs w:val="20"/>
        </w:rPr>
        <w:t xml:space="preserve">s </w:t>
      </w:r>
      <w:r w:rsidRPr="00A806D7">
        <w:rPr>
          <w:rFonts w:ascii="Arial" w:hAnsi="Arial" w:cs="Arial"/>
          <w:sz w:val="20"/>
          <w:szCs w:val="20"/>
        </w:rPr>
        <w:t xml:space="preserve">concentrated among </w:t>
      </w:r>
      <w:r w:rsidR="001909BC">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AB3594">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p>
    <w:p w14:paraId="49FF6304" w14:textId="2A8B2F70" w:rsidR="00A1078B" w:rsidRDefault="00A1078B" w:rsidP="00972569">
      <w:pPr>
        <w:rPr>
          <w:rFonts w:ascii="Arial" w:hAnsi="Arial" w:cs="Arial"/>
          <w:sz w:val="20"/>
          <w:szCs w:val="20"/>
        </w:rPr>
      </w:pPr>
    </w:p>
    <w:p w14:paraId="3B61609D" w14:textId="39FB5180" w:rsidR="00F1556B" w:rsidRDefault="00F1556B" w:rsidP="00972569">
      <w:pPr>
        <w:rPr>
          <w:rFonts w:ascii="Arial" w:hAnsi="Arial" w:cs="Arial"/>
          <w:sz w:val="20"/>
          <w:szCs w:val="20"/>
        </w:rPr>
      </w:pPr>
      <w:r>
        <w:rPr>
          <w:rFonts w:ascii="Arial" w:hAnsi="Arial" w:cs="Arial"/>
          <w:noProof/>
          <w:sz w:val="20"/>
          <w:szCs w:val="20"/>
        </w:rPr>
        <w:drawing>
          <wp:inline distT="0" distB="0" distL="0" distR="0" wp14:anchorId="7DA10995" wp14:editId="2671245E">
            <wp:extent cx="6912864" cy="2642616"/>
            <wp:effectExtent l="0" t="0" r="2540" b="5715"/>
            <wp:docPr id="2022469134" name="Picture 8" descr="Graph depicts the rates per 100,000 population of chlamydia cases in Hampshire County, Massachusetts by age group for 2015 and 2024. The included age groups are &lt;20 years, 20-29 years, 30-39 years, 40-49 years, 50-59 years, and 60+ years. Rates and counts are suppressed for those aged 50-59 years and 60+ years in 2024 due to low counts. Rates are highest among those aged 20-29, at 707.9 in 2015 and 439.7 in 2024. In 2015, rates are lowest among those aged 50-59 and 60+ years, at 0.0 for both groups. In 2024, the lowest unsuppressed rate is among those aged 40-49 years, at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69134" name="Picture 8" descr="Graph depicts the rates per 100,000 population of chlamydia cases in Hampshire County, Massachusetts by age group for 2015 and 2024. The included age groups are &lt;20 years, 20-29 years, 30-39 years, 40-49 years, 50-59 years, and 60+ years. Rates and counts are suppressed for those aged 50-59 years and 60+ years in 2024 due to low counts. Rates are highest among those aged 20-29, at 707.9 in 2015 and 439.7 in 2024. In 2015, rates are lowest among those aged 50-59 and 60+ years, at 0.0 for both groups. In 2024, the lowest unsuppressed rate is among those aged 40-49 years, at 4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4854CAB0" w14:textId="77777777" w:rsidR="00F1556B" w:rsidRPr="001A0A68" w:rsidRDefault="00F1556B" w:rsidP="00F1556B">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77F090FC" w14:textId="77777777" w:rsidR="00F1556B" w:rsidRPr="001A0A68" w:rsidRDefault="00F1556B" w:rsidP="00F1556B">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6A794744" w14:textId="649BAE36" w:rsidR="00272D41" w:rsidRPr="00F1556B" w:rsidRDefault="00F1556B" w:rsidP="00272D41">
      <w:pPr>
        <w:rPr>
          <w:rFonts w:ascii="Arial" w:hAnsi="Arial" w:cs="Arial"/>
          <w:sz w:val="12"/>
          <w:szCs w:val="12"/>
        </w:rPr>
      </w:pPr>
      <w:r>
        <w:rPr>
          <w:rFonts w:ascii="Arial" w:hAnsi="Arial" w:cs="Arial"/>
          <w:sz w:val="12"/>
          <w:szCs w:val="12"/>
        </w:rPr>
        <w:t>D</w:t>
      </w:r>
      <w:r w:rsidRPr="001A0A68">
        <w:rPr>
          <w:rFonts w:ascii="Arial" w:hAnsi="Arial" w:cs="Arial"/>
          <w:sz w:val="12"/>
          <w:szCs w:val="12"/>
        </w:rPr>
        <w:t>ata source: Massachusetts Department of Public Health/Bureau of Infectious Disease and Laboratory Sciences/Division of STD Prevention.</w:t>
      </w:r>
    </w:p>
    <w:bookmarkEnd w:id="1"/>
    <w:p w14:paraId="18CCE90D" w14:textId="77777777" w:rsidR="00DD4E6F" w:rsidRPr="001A0A68" w:rsidRDefault="00DD4E6F" w:rsidP="00DD4E6F">
      <w:pPr>
        <w:rPr>
          <w:rFonts w:ascii="Arial" w:hAnsi="Arial" w:cs="Arial"/>
          <w:sz w:val="12"/>
          <w:szCs w:val="12"/>
        </w:rPr>
      </w:pPr>
      <w:r>
        <w:rPr>
          <w:rFonts w:ascii="Arial" w:hAnsi="Arial" w:cs="Arial"/>
          <w:sz w:val="12"/>
          <w:szCs w:val="12"/>
        </w:rPr>
        <w:t>Dashes represent censored counts and rates.</w:t>
      </w:r>
    </w:p>
    <w:p w14:paraId="07B5F6AB" w14:textId="008EBDC8" w:rsidR="00773130" w:rsidRDefault="00773130" w:rsidP="0016162E">
      <w:pPr>
        <w:rPr>
          <w:rFonts w:ascii="Arial" w:hAnsi="Arial" w:cs="Arial"/>
          <w:b/>
          <w:bCs/>
          <w:sz w:val="20"/>
          <w:szCs w:val="20"/>
          <w:u w:val="single"/>
        </w:rPr>
      </w:pPr>
    </w:p>
    <w:p w14:paraId="2730B763" w14:textId="7715BD90" w:rsidR="0016162E" w:rsidRDefault="0016162E" w:rsidP="00645405">
      <w:pPr>
        <w:pStyle w:val="Heading1"/>
      </w:pPr>
      <w:r w:rsidRPr="00173387">
        <w:t>Gonorrhea</w:t>
      </w:r>
    </w:p>
    <w:p w14:paraId="57FC7AE1" w14:textId="2B9C372B" w:rsidR="008948E6" w:rsidRPr="00F02F72" w:rsidRDefault="008948E6" w:rsidP="008948E6">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074C99">
        <w:rPr>
          <w:rFonts w:ascii="Arial" w:hAnsi="Arial" w:cs="Arial"/>
          <w:sz w:val="20"/>
          <w:szCs w:val="20"/>
        </w:rPr>
        <w:t>M</w:t>
      </w:r>
      <w:r w:rsidRPr="00D96A7B">
        <w:rPr>
          <w:rFonts w:ascii="Arial" w:hAnsi="Arial" w:cs="Arial"/>
          <w:sz w:val="20"/>
          <w:szCs w:val="20"/>
        </w:rPr>
        <w:t>any infected individuals do not present with any symptoms of infection</w:t>
      </w:r>
      <w:r w:rsidR="00074C99">
        <w:rPr>
          <w:rFonts w:ascii="Arial" w:hAnsi="Arial" w:cs="Arial"/>
          <w:sz w:val="20"/>
          <w:szCs w:val="20"/>
        </w:rPr>
        <w:t>, though males are more likely than females to experience symptoms</w:t>
      </w:r>
      <w:r w:rsidRPr="00D96A7B">
        <w:rPr>
          <w:rFonts w:ascii="Arial" w:hAnsi="Arial" w:cs="Arial"/>
          <w:sz w:val="20"/>
          <w:szCs w:val="20"/>
        </w:rPr>
        <w:t>. Although gonorrhea infection is treatable, it has become more complex with increased antimicrobial non-susceptibility</w:t>
      </w:r>
      <w:r w:rsidRPr="00EC31A8">
        <w:rPr>
          <w:rFonts w:ascii="Arial" w:hAnsi="Arial" w:cs="Arial"/>
          <w:sz w:val="20"/>
          <w:szCs w:val="20"/>
        </w:rPr>
        <w:t>.</w:t>
      </w:r>
      <w:r w:rsidR="00F02F72">
        <w:rPr>
          <w:rFonts w:ascii="Arial" w:hAnsi="Arial" w:cs="Arial"/>
          <w:sz w:val="20"/>
          <w:szCs w:val="20"/>
          <w:vertAlign w:val="superscript"/>
        </w:rPr>
        <w:t>2</w:t>
      </w:r>
    </w:p>
    <w:p w14:paraId="7DC81173" w14:textId="282A4D75" w:rsidR="00173387" w:rsidRPr="0018731B" w:rsidRDefault="00173387" w:rsidP="00173387">
      <w:pPr>
        <w:rPr>
          <w:rFonts w:ascii="Arial" w:hAnsi="Arial" w:cs="Arial"/>
          <w:sz w:val="22"/>
        </w:rPr>
      </w:pPr>
    </w:p>
    <w:p w14:paraId="0ED2EBE3" w14:textId="3ABCD701" w:rsidR="00773130" w:rsidRPr="00F02F72" w:rsidRDefault="00453970" w:rsidP="00773130">
      <w:pPr>
        <w:rPr>
          <w:rFonts w:ascii="Arial" w:hAnsi="Arial" w:cs="Arial"/>
          <w:sz w:val="20"/>
          <w:szCs w:val="20"/>
          <w:vertAlign w:val="superscript"/>
        </w:rPr>
      </w:pPr>
      <w:r>
        <w:rPr>
          <w:rFonts w:ascii="Arial" w:hAnsi="Arial" w:cs="Arial"/>
          <w:b/>
          <w:bCs/>
          <w:sz w:val="20"/>
          <w:szCs w:val="20"/>
        </w:rPr>
        <w:t>Between 2015 and</w:t>
      </w:r>
      <w:r w:rsidR="00952DF7">
        <w:rPr>
          <w:rFonts w:ascii="Arial" w:hAnsi="Arial" w:cs="Arial"/>
          <w:b/>
          <w:bCs/>
          <w:sz w:val="20"/>
          <w:szCs w:val="20"/>
        </w:rPr>
        <w:t xml:space="preserve"> </w:t>
      </w:r>
      <w:r>
        <w:rPr>
          <w:rFonts w:ascii="Arial" w:hAnsi="Arial" w:cs="Arial"/>
          <w:b/>
          <w:bCs/>
          <w:sz w:val="20"/>
          <w:szCs w:val="20"/>
        </w:rPr>
        <w:t>2024,</w:t>
      </w:r>
      <w:r w:rsidR="00B5637D" w:rsidRPr="00B5637D">
        <w:rPr>
          <w:rFonts w:ascii="Arial" w:hAnsi="Arial" w:cs="Arial"/>
          <w:b/>
          <w:bCs/>
          <w:sz w:val="20"/>
          <w:szCs w:val="20"/>
        </w:rPr>
        <w:t xml:space="preserve"> there has been an overall increase </w:t>
      </w:r>
      <w:r w:rsidR="00CD5004">
        <w:rPr>
          <w:rFonts w:ascii="Arial" w:hAnsi="Arial" w:cs="Arial"/>
          <w:b/>
          <w:bCs/>
          <w:sz w:val="20"/>
          <w:szCs w:val="20"/>
        </w:rPr>
        <w:t>in</w:t>
      </w:r>
      <w:r w:rsidR="00B5637D" w:rsidRPr="00B5637D">
        <w:rPr>
          <w:rFonts w:ascii="Arial" w:hAnsi="Arial" w:cs="Arial"/>
          <w:b/>
          <w:bCs/>
          <w:sz w:val="20"/>
          <w:szCs w:val="20"/>
        </w:rPr>
        <w:t xml:space="preserve"> reported gonorrhea cases statewide, ranging from 3,592 cases in 2015 to 8,678 cases in 2024.</w:t>
      </w:r>
      <w:r w:rsidR="00B5637D">
        <w:rPr>
          <w:rFonts w:ascii="Arial" w:hAnsi="Arial" w:cs="Arial"/>
          <w:b/>
          <w:bCs/>
          <w:sz w:val="20"/>
          <w:szCs w:val="20"/>
        </w:rPr>
        <w:t xml:space="preserve"> </w:t>
      </w:r>
      <w:r w:rsidR="00CD5004" w:rsidRPr="004D1987">
        <w:rPr>
          <w:rFonts w:ascii="Arial" w:hAnsi="Arial" w:cs="Arial"/>
          <w:sz w:val="20"/>
          <w:szCs w:val="20"/>
        </w:rPr>
        <w:t xml:space="preserve">Hampshire County also experienced an overall increase in reported gonorrhea cases, ranging from </w:t>
      </w:r>
      <w:r w:rsidR="004D1987" w:rsidRPr="004D1987">
        <w:rPr>
          <w:rFonts w:ascii="Arial" w:hAnsi="Arial" w:cs="Arial"/>
          <w:sz w:val="20"/>
          <w:szCs w:val="20"/>
        </w:rPr>
        <w:t>48</w:t>
      </w:r>
      <w:r w:rsidR="00CD5004" w:rsidRPr="004D1987">
        <w:rPr>
          <w:rFonts w:ascii="Arial" w:hAnsi="Arial" w:cs="Arial"/>
          <w:sz w:val="20"/>
          <w:szCs w:val="20"/>
        </w:rPr>
        <w:t xml:space="preserve"> in 2015 to </w:t>
      </w:r>
      <w:r w:rsidR="004D1987" w:rsidRPr="004D1987">
        <w:rPr>
          <w:rFonts w:ascii="Arial" w:hAnsi="Arial" w:cs="Arial"/>
          <w:sz w:val="20"/>
          <w:szCs w:val="20"/>
        </w:rPr>
        <w:t>101</w:t>
      </w:r>
      <w:r w:rsidR="00CD5004" w:rsidRPr="004D1987">
        <w:rPr>
          <w:rFonts w:ascii="Arial" w:hAnsi="Arial" w:cs="Arial"/>
          <w:sz w:val="20"/>
          <w:szCs w:val="20"/>
        </w:rPr>
        <w:t xml:space="preserve"> in 2024</w:t>
      </w:r>
      <w:r w:rsidR="004D1987">
        <w:rPr>
          <w:rFonts w:ascii="Arial" w:hAnsi="Arial" w:cs="Arial"/>
          <w:sz w:val="20"/>
          <w:szCs w:val="20"/>
        </w:rPr>
        <w:t xml:space="preserve">. </w:t>
      </w:r>
      <w:r w:rsidR="00773130" w:rsidRPr="004D1987">
        <w:rPr>
          <w:rFonts w:ascii="Arial" w:hAnsi="Arial" w:cs="Arial"/>
          <w:sz w:val="20"/>
          <w:szCs w:val="20"/>
        </w:rPr>
        <w:t>In</w:t>
      </w:r>
      <w:r w:rsidR="00773130" w:rsidRPr="009D424A">
        <w:rPr>
          <w:rFonts w:ascii="Arial" w:hAnsi="Arial" w:cs="Arial"/>
          <w:sz w:val="20"/>
          <w:szCs w:val="20"/>
        </w:rPr>
        <w:t xml:space="preserve"> 202</w:t>
      </w:r>
      <w:r w:rsidR="00272D41">
        <w:rPr>
          <w:rFonts w:ascii="Arial" w:hAnsi="Arial" w:cs="Arial"/>
          <w:sz w:val="20"/>
          <w:szCs w:val="20"/>
        </w:rPr>
        <w:t>4</w:t>
      </w:r>
      <w:r w:rsidR="00773130" w:rsidRPr="009D424A">
        <w:rPr>
          <w:rFonts w:ascii="Arial" w:hAnsi="Arial" w:cs="Arial"/>
          <w:sz w:val="20"/>
          <w:szCs w:val="20"/>
        </w:rPr>
        <w:t xml:space="preserve">, the </w:t>
      </w:r>
      <w:r w:rsidR="00F22B7D">
        <w:rPr>
          <w:rFonts w:ascii="Arial" w:hAnsi="Arial" w:cs="Arial"/>
          <w:sz w:val="20"/>
          <w:szCs w:val="20"/>
        </w:rPr>
        <w:t xml:space="preserve">county </w:t>
      </w:r>
      <w:r w:rsidR="00B37473">
        <w:rPr>
          <w:rFonts w:ascii="Arial" w:hAnsi="Arial" w:cs="Arial"/>
          <w:sz w:val="20"/>
          <w:szCs w:val="20"/>
        </w:rPr>
        <w:t xml:space="preserve">incidence </w:t>
      </w:r>
      <w:r w:rsidR="00BB2968">
        <w:rPr>
          <w:rFonts w:ascii="Arial" w:hAnsi="Arial" w:cs="Arial"/>
          <w:sz w:val="20"/>
          <w:szCs w:val="20"/>
        </w:rPr>
        <w:t xml:space="preserve">rate of gonorrhea infection </w:t>
      </w:r>
      <w:r w:rsidR="00BB2968" w:rsidRPr="00AB0A6F">
        <w:rPr>
          <w:rFonts w:ascii="Arial" w:hAnsi="Arial" w:cs="Arial"/>
          <w:sz w:val="20"/>
          <w:szCs w:val="20"/>
        </w:rPr>
        <w:t xml:space="preserve">was </w:t>
      </w:r>
      <w:r w:rsidR="0097602D">
        <w:rPr>
          <w:rFonts w:ascii="Arial" w:hAnsi="Arial" w:cs="Arial"/>
          <w:sz w:val="20"/>
          <w:szCs w:val="20"/>
        </w:rPr>
        <w:t>62.2</w:t>
      </w:r>
      <w:r w:rsidR="00272D41">
        <w:rPr>
          <w:rFonts w:ascii="Arial" w:hAnsi="Arial" w:cs="Arial"/>
          <w:sz w:val="20"/>
          <w:szCs w:val="20"/>
        </w:rPr>
        <w:t xml:space="preserve"> </w:t>
      </w:r>
      <w:r w:rsidR="00773130" w:rsidRPr="009D424A">
        <w:rPr>
          <w:rFonts w:ascii="Arial" w:hAnsi="Arial" w:cs="Arial"/>
          <w:sz w:val="20"/>
          <w:szCs w:val="20"/>
        </w:rPr>
        <w:t>per 100,000,</w:t>
      </w:r>
      <w:r w:rsidR="004D1987">
        <w:rPr>
          <w:rFonts w:ascii="Arial" w:hAnsi="Arial" w:cs="Arial"/>
          <w:sz w:val="20"/>
          <w:szCs w:val="20"/>
        </w:rPr>
        <w:t xml:space="preserve"> while the overall </w:t>
      </w:r>
      <w:r w:rsidR="0097602D">
        <w:rPr>
          <w:rFonts w:ascii="Arial" w:hAnsi="Arial" w:cs="Arial"/>
          <w:sz w:val="20"/>
          <w:szCs w:val="20"/>
        </w:rPr>
        <w:t xml:space="preserve">statewide rate </w:t>
      </w:r>
      <w:r w:rsidR="004D1987">
        <w:rPr>
          <w:rFonts w:ascii="Arial" w:hAnsi="Arial" w:cs="Arial"/>
          <w:sz w:val="20"/>
          <w:szCs w:val="20"/>
        </w:rPr>
        <w:t>was</w:t>
      </w:r>
      <w:r w:rsidR="0097602D">
        <w:rPr>
          <w:rFonts w:ascii="Arial" w:hAnsi="Arial" w:cs="Arial"/>
          <w:sz w:val="20"/>
          <w:szCs w:val="20"/>
        </w:rPr>
        <w:t xml:space="preserve"> 123.4</w:t>
      </w:r>
      <w:r w:rsidR="00BA2EEC">
        <w:rPr>
          <w:rFonts w:ascii="Arial" w:hAnsi="Arial" w:cs="Arial"/>
          <w:sz w:val="20"/>
          <w:szCs w:val="20"/>
        </w:rPr>
        <w:t xml:space="preserve"> </w:t>
      </w:r>
      <w:r w:rsidR="00BA2EEC" w:rsidRPr="00173387">
        <w:rPr>
          <w:rFonts w:ascii="Arial" w:hAnsi="Arial" w:cs="Arial"/>
          <w:sz w:val="20"/>
          <w:szCs w:val="20"/>
        </w:rPr>
        <w:t>per 100,000. These</w:t>
      </w:r>
      <w:r w:rsidR="006632CE">
        <w:rPr>
          <w:rFonts w:ascii="Arial" w:hAnsi="Arial" w:cs="Arial"/>
          <w:sz w:val="20"/>
          <w:szCs w:val="20"/>
        </w:rPr>
        <w:t xml:space="preserve"> rates</w:t>
      </w:r>
      <w:r w:rsidR="00BA2EEC" w:rsidRPr="00173387">
        <w:rPr>
          <w:rFonts w:ascii="Arial" w:hAnsi="Arial" w:cs="Arial"/>
          <w:sz w:val="20"/>
          <w:szCs w:val="20"/>
        </w:rPr>
        <w:t xml:space="preserve"> </w:t>
      </w:r>
      <w:r>
        <w:rPr>
          <w:rFonts w:ascii="Arial" w:hAnsi="Arial" w:cs="Arial"/>
          <w:sz w:val="20"/>
          <w:szCs w:val="20"/>
        </w:rPr>
        <w:t>are lower</w:t>
      </w:r>
      <w:r w:rsidR="00BA2EEC" w:rsidRPr="00173387">
        <w:rPr>
          <w:rFonts w:ascii="Arial" w:hAnsi="Arial" w:cs="Arial"/>
          <w:sz w:val="20"/>
          <w:szCs w:val="20"/>
        </w:rPr>
        <w:t xml:space="preserve"> compared to the national rate of </w:t>
      </w:r>
      <w:r w:rsidR="00CD5004">
        <w:rPr>
          <w:rFonts w:ascii="Arial" w:hAnsi="Arial" w:cs="Arial"/>
          <w:sz w:val="20"/>
          <w:szCs w:val="20"/>
        </w:rPr>
        <w:t>159.8</w:t>
      </w:r>
      <w:r w:rsidR="00BA2EEC">
        <w:rPr>
          <w:rFonts w:ascii="Arial" w:hAnsi="Arial" w:cs="Arial"/>
          <w:sz w:val="20"/>
          <w:szCs w:val="20"/>
        </w:rPr>
        <w:t xml:space="preserve"> </w:t>
      </w:r>
      <w:r w:rsidR="00BA2EEC" w:rsidRPr="00173387">
        <w:rPr>
          <w:rFonts w:ascii="Arial" w:hAnsi="Arial" w:cs="Arial"/>
          <w:sz w:val="20"/>
          <w:szCs w:val="20"/>
        </w:rPr>
        <w:t>per 100,000.</w:t>
      </w:r>
      <w:r w:rsidR="00CD5004">
        <w:rPr>
          <w:rFonts w:ascii="Arial" w:hAnsi="Arial" w:cs="Arial"/>
          <w:sz w:val="20"/>
          <w:szCs w:val="20"/>
          <w:vertAlign w:val="superscript"/>
        </w:rPr>
        <w:t>4</w:t>
      </w:r>
    </w:p>
    <w:p w14:paraId="4CB01E0F" w14:textId="46BBCE0C" w:rsidR="00773130" w:rsidRDefault="00773130" w:rsidP="00773130">
      <w:pPr>
        <w:rPr>
          <w:rFonts w:ascii="Arial" w:hAnsi="Arial" w:cs="Arial"/>
          <w:b/>
          <w:bCs/>
          <w:sz w:val="20"/>
          <w:szCs w:val="20"/>
          <w:u w:val="single"/>
        </w:rPr>
      </w:pPr>
    </w:p>
    <w:p w14:paraId="1B7E00F0" w14:textId="48AB3C7B" w:rsidR="00773130" w:rsidRDefault="00773130" w:rsidP="00773130">
      <w:pPr>
        <w:rPr>
          <w:rFonts w:ascii="Arial" w:hAnsi="Arial" w:cs="Arial"/>
          <w:sz w:val="20"/>
          <w:szCs w:val="20"/>
        </w:rPr>
      </w:pPr>
      <w:r w:rsidRPr="009D424A">
        <w:rPr>
          <w:rFonts w:ascii="Arial" w:hAnsi="Arial" w:cs="Arial"/>
          <w:b/>
          <w:bCs/>
          <w:sz w:val="20"/>
          <w:szCs w:val="20"/>
        </w:rPr>
        <w:t>Since 201</w:t>
      </w:r>
      <w:r w:rsidR="00272D41">
        <w:rPr>
          <w:rFonts w:ascii="Arial" w:hAnsi="Arial" w:cs="Arial"/>
          <w:b/>
          <w:bCs/>
          <w:sz w:val="20"/>
          <w:szCs w:val="20"/>
        </w:rPr>
        <w:t>5</w:t>
      </w:r>
      <w:r w:rsidRPr="009D424A">
        <w:rPr>
          <w:rFonts w:ascii="Arial" w:hAnsi="Arial" w:cs="Arial"/>
          <w:b/>
          <w:bCs/>
          <w:sz w:val="20"/>
          <w:szCs w:val="20"/>
        </w:rPr>
        <w:t xml:space="preserve">, the county incidence rate among </w:t>
      </w:r>
      <w:r w:rsidR="001B683C">
        <w:rPr>
          <w:rFonts w:ascii="Arial" w:hAnsi="Arial" w:cs="Arial"/>
          <w:b/>
          <w:bCs/>
          <w:sz w:val="20"/>
          <w:szCs w:val="20"/>
        </w:rPr>
        <w:t>males</w:t>
      </w:r>
      <w:r w:rsidRPr="009D424A">
        <w:rPr>
          <w:rFonts w:ascii="Arial" w:hAnsi="Arial" w:cs="Arial"/>
          <w:b/>
          <w:bCs/>
          <w:sz w:val="20"/>
          <w:szCs w:val="20"/>
        </w:rPr>
        <w:t xml:space="preserve"> has been higher</w:t>
      </w:r>
      <w:r w:rsidRPr="009D424A">
        <w:rPr>
          <w:rFonts w:ascii="Arial" w:hAnsi="Arial" w:cs="Arial"/>
          <w:sz w:val="20"/>
          <w:szCs w:val="20"/>
        </w:rPr>
        <w:t xml:space="preserve"> than that of </w:t>
      </w:r>
      <w:r w:rsidR="001B683C">
        <w:rPr>
          <w:rFonts w:ascii="Arial" w:hAnsi="Arial" w:cs="Arial"/>
          <w:sz w:val="20"/>
          <w:szCs w:val="20"/>
        </w:rPr>
        <w:t>females</w:t>
      </w:r>
      <w:r w:rsidRPr="009D424A">
        <w:rPr>
          <w:rFonts w:ascii="Arial" w:hAnsi="Arial" w:cs="Arial"/>
          <w:sz w:val="20"/>
          <w:szCs w:val="20"/>
        </w:rPr>
        <w:t>. In 202</w:t>
      </w:r>
      <w:r w:rsidR="00272D41">
        <w:rPr>
          <w:rFonts w:ascii="Arial" w:hAnsi="Arial" w:cs="Arial"/>
          <w:sz w:val="20"/>
          <w:szCs w:val="20"/>
        </w:rPr>
        <w:t>4</w:t>
      </w:r>
      <w:r w:rsidRPr="009D424A">
        <w:rPr>
          <w:rFonts w:ascii="Arial" w:hAnsi="Arial" w:cs="Arial"/>
          <w:sz w:val="20"/>
          <w:szCs w:val="20"/>
        </w:rPr>
        <w:t xml:space="preserve">, </w:t>
      </w:r>
      <w:r w:rsidR="001B683C">
        <w:rPr>
          <w:rFonts w:ascii="Arial" w:hAnsi="Arial" w:cs="Arial"/>
          <w:sz w:val="20"/>
          <w:szCs w:val="20"/>
        </w:rPr>
        <w:t>males</w:t>
      </w:r>
      <w:r w:rsidRPr="009D424A">
        <w:rPr>
          <w:rFonts w:ascii="Arial" w:hAnsi="Arial" w:cs="Arial"/>
          <w:sz w:val="20"/>
          <w:szCs w:val="20"/>
        </w:rPr>
        <w:t xml:space="preserve"> accounted for approximately </w:t>
      </w:r>
      <w:r w:rsidR="00A14913">
        <w:rPr>
          <w:rFonts w:ascii="Arial" w:hAnsi="Arial" w:cs="Arial"/>
          <w:sz w:val="20"/>
          <w:szCs w:val="20"/>
        </w:rPr>
        <w:t>63.9</w:t>
      </w:r>
      <w:r w:rsidRPr="009D424A">
        <w:rPr>
          <w:rFonts w:ascii="Arial" w:hAnsi="Arial" w:cs="Arial"/>
          <w:sz w:val="20"/>
          <w:szCs w:val="20"/>
        </w:rPr>
        <w:t xml:space="preserve">% of all gonorrhea cases with a rate of </w:t>
      </w:r>
      <w:r w:rsidR="00A14913">
        <w:rPr>
          <w:rFonts w:ascii="Arial" w:hAnsi="Arial" w:cs="Arial"/>
          <w:sz w:val="20"/>
          <w:szCs w:val="20"/>
        </w:rPr>
        <w:t xml:space="preserve">82.0 </w:t>
      </w:r>
      <w:r w:rsidRPr="009D424A">
        <w:rPr>
          <w:rFonts w:ascii="Arial" w:hAnsi="Arial" w:cs="Arial"/>
          <w:sz w:val="20"/>
          <w:szCs w:val="20"/>
        </w:rPr>
        <w:t>per 100,000</w:t>
      </w:r>
      <w:r w:rsidR="00BA2EEC">
        <w:rPr>
          <w:rFonts w:ascii="Arial" w:hAnsi="Arial" w:cs="Arial"/>
          <w:sz w:val="20"/>
          <w:szCs w:val="20"/>
        </w:rPr>
        <w:t>,</w:t>
      </w:r>
      <w:r w:rsidRPr="009D424A">
        <w:rPr>
          <w:rFonts w:ascii="Arial" w:hAnsi="Arial" w:cs="Arial"/>
          <w:sz w:val="20"/>
          <w:szCs w:val="20"/>
        </w:rPr>
        <w:t xml:space="preserve"> while </w:t>
      </w:r>
      <w:r w:rsidR="001B683C">
        <w:rPr>
          <w:rFonts w:ascii="Arial" w:hAnsi="Arial" w:cs="Arial"/>
          <w:sz w:val="20"/>
          <w:szCs w:val="20"/>
        </w:rPr>
        <w:t>females</w:t>
      </w:r>
      <w:r w:rsidRPr="009D424A">
        <w:rPr>
          <w:rFonts w:ascii="Arial" w:hAnsi="Arial" w:cs="Arial"/>
          <w:sz w:val="20"/>
          <w:szCs w:val="20"/>
        </w:rPr>
        <w:t xml:space="preserve"> had a rate of </w:t>
      </w:r>
      <w:r w:rsidR="00A14913">
        <w:rPr>
          <w:rFonts w:ascii="Arial" w:hAnsi="Arial" w:cs="Arial"/>
          <w:sz w:val="20"/>
          <w:szCs w:val="20"/>
        </w:rPr>
        <w:t>40.4</w:t>
      </w:r>
      <w:r w:rsidR="00272D41">
        <w:rPr>
          <w:rFonts w:ascii="Arial" w:hAnsi="Arial" w:cs="Arial"/>
          <w:sz w:val="20"/>
          <w:szCs w:val="20"/>
        </w:rPr>
        <w:t xml:space="preserve"> </w:t>
      </w:r>
      <w:r w:rsidRPr="009D424A">
        <w:rPr>
          <w:rFonts w:ascii="Arial" w:hAnsi="Arial" w:cs="Arial"/>
          <w:sz w:val="20"/>
          <w:szCs w:val="20"/>
        </w:rPr>
        <w:t>per 100,000.</w:t>
      </w:r>
    </w:p>
    <w:p w14:paraId="66B73938" w14:textId="77777777" w:rsidR="008332F1" w:rsidRDefault="008332F1" w:rsidP="008332F1">
      <w:pPr>
        <w:rPr>
          <w:rFonts w:ascii="Arial" w:hAnsi="Arial" w:cs="Arial"/>
          <w:noProof/>
          <w:sz w:val="20"/>
          <w:szCs w:val="20"/>
        </w:rPr>
      </w:pPr>
      <w:bookmarkStart w:id="2" w:name="_Hlk200638872"/>
    </w:p>
    <w:p w14:paraId="2195AE32" w14:textId="77777777" w:rsidR="00DD4E6F" w:rsidRDefault="00DD4E6F" w:rsidP="008332F1">
      <w:pPr>
        <w:rPr>
          <w:rFonts w:ascii="Arial" w:hAnsi="Arial" w:cs="Arial"/>
          <w:noProof/>
          <w:sz w:val="20"/>
          <w:szCs w:val="20"/>
        </w:rPr>
      </w:pPr>
    </w:p>
    <w:p w14:paraId="6B5CB519" w14:textId="1CF2968D" w:rsidR="008332F1" w:rsidRDefault="008332F1" w:rsidP="008332F1">
      <w:pPr>
        <w:rPr>
          <w:rFonts w:ascii="Arial" w:hAnsi="Arial" w:cs="Arial"/>
          <w:noProof/>
          <w:sz w:val="20"/>
          <w:szCs w:val="20"/>
        </w:rPr>
      </w:pPr>
    </w:p>
    <w:p w14:paraId="4DC4F776" w14:textId="59EA3B86" w:rsidR="00952DF7" w:rsidRDefault="00952DF7" w:rsidP="008332F1">
      <w:pPr>
        <w:rPr>
          <w:rFonts w:ascii="Arial" w:hAnsi="Arial" w:cs="Arial"/>
          <w:noProof/>
          <w:sz w:val="20"/>
          <w:szCs w:val="20"/>
        </w:rPr>
      </w:pPr>
      <w:r>
        <w:rPr>
          <w:rFonts w:ascii="Arial" w:hAnsi="Arial" w:cs="Arial"/>
          <w:noProof/>
          <w:sz w:val="20"/>
          <w:szCs w:val="20"/>
        </w:rPr>
        <w:lastRenderedPageBreak/>
        <w:drawing>
          <wp:inline distT="0" distB="0" distL="0" distR="0" wp14:anchorId="77BAE5A4" wp14:editId="31797E64">
            <wp:extent cx="6912864" cy="2286000"/>
            <wp:effectExtent l="0" t="0" r="0" b="0"/>
            <wp:docPr id="1085128943" name="Picture 2" descr="Graph depicts the rates per 100,000 population of gonorrhea in Massachusetts statewide, in Hampshire County overall, and by gender in Hampshire County between 2015 and 2024. The line showing statewide rate begins at 52.6 in 2015 and ends at 123.4 in 2024, with a peak of 139.1 in 2023. The line showing Hampshire County overall rate begins at 29.5 in 2015 and ends at 62.2 in 2024, with a peak of 81.9 in 2017. The line showing the rate among females in Hampshire County begins at 20.8 in 2015 and ends at 40.4 in 2024, with a peak of 47.3 in 2023. The line showing the rate among males in Hampshire County begins at 39.5 in 2015 and ends at 82.0 in 2024, with a peak of 135.0 i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28943" name="Picture 2" descr="Graph depicts the rates per 100,000 population of gonorrhea in Massachusetts statewide, in Hampshire County overall, and by gender in Hampshire County between 2015 and 2024. The line showing statewide rate begins at 52.6 in 2015 and ends at 123.4 in 2024, with a peak of 139.1 in 2023. The line showing Hampshire County overall rate begins at 29.5 in 2015 and ends at 62.2 in 2024, with a peak of 81.9 in 2017. The line showing the rate among females in Hampshire County begins at 20.8 in 2015 and ends at 40.4 in 2024, with a peak of 47.3 in 2023. The line showing the rate among males in Hampshire County begins at 39.5 in 2015 and ends at 82.0 in 2024, with a peak of 135.0 in 20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86000"/>
                    </a:xfrm>
                    <a:prstGeom prst="rect">
                      <a:avLst/>
                    </a:prstGeom>
                    <a:noFill/>
                  </pic:spPr>
                </pic:pic>
              </a:graphicData>
            </a:graphic>
          </wp:inline>
        </w:drawing>
      </w:r>
    </w:p>
    <w:p w14:paraId="124D5C35" w14:textId="77777777" w:rsidR="00F1556B" w:rsidRPr="004B107C" w:rsidRDefault="00F1556B" w:rsidP="00F1556B">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3CD7208B" w14:textId="77777777" w:rsidR="00F1556B" w:rsidRPr="004B107C" w:rsidRDefault="00F1556B" w:rsidP="00F1556B">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163A94AF" w14:textId="70B3B030" w:rsidR="00A14913" w:rsidRPr="00F1556B" w:rsidRDefault="00F1556B" w:rsidP="004A18B7">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bookmarkStart w:id="3" w:name="_Hlk200638889"/>
      <w:bookmarkEnd w:id="2"/>
    </w:p>
    <w:p w14:paraId="26A7E9EA" w14:textId="77777777" w:rsidR="00DD4E6F" w:rsidRDefault="00DD4E6F" w:rsidP="004A18B7">
      <w:pPr>
        <w:rPr>
          <w:rFonts w:ascii="Arial" w:hAnsi="Arial" w:cs="Arial"/>
          <w:b/>
          <w:bCs/>
          <w:sz w:val="20"/>
          <w:szCs w:val="20"/>
        </w:rPr>
      </w:pPr>
    </w:p>
    <w:p w14:paraId="3D885FD2" w14:textId="1CD89299" w:rsidR="004A18B7" w:rsidRDefault="004A18B7" w:rsidP="004A18B7">
      <w:pPr>
        <w:rPr>
          <w:rFonts w:ascii="Arial" w:hAnsi="Arial" w:cs="Arial"/>
          <w:b/>
          <w:bCs/>
          <w:sz w:val="20"/>
          <w:szCs w:val="20"/>
        </w:rPr>
      </w:pPr>
      <w:r w:rsidRPr="00FD1CAC">
        <w:rPr>
          <w:rFonts w:ascii="Arial" w:hAnsi="Arial" w:cs="Arial"/>
          <w:b/>
          <w:bCs/>
          <w:sz w:val="20"/>
          <w:szCs w:val="20"/>
        </w:rPr>
        <w:t xml:space="preserve">In 2024, </w:t>
      </w:r>
      <w:r w:rsidR="00A14913">
        <w:rPr>
          <w:rFonts w:ascii="Arial" w:hAnsi="Arial" w:cs="Arial"/>
          <w:b/>
          <w:bCs/>
          <w:sz w:val="20"/>
          <w:szCs w:val="20"/>
        </w:rPr>
        <w:t>38</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the highest number among all age groups in </w:t>
      </w:r>
      <w:r w:rsidR="00A14913">
        <w:rPr>
          <w:rFonts w:ascii="Arial" w:hAnsi="Arial" w:cs="Arial"/>
          <w:b/>
          <w:bCs/>
          <w:sz w:val="20"/>
          <w:szCs w:val="20"/>
        </w:rPr>
        <w:t>Hampshire</w:t>
      </w:r>
      <w:r w:rsidRPr="00FD1CAC">
        <w:rPr>
          <w:rFonts w:ascii="Arial" w:hAnsi="Arial" w:cs="Arial"/>
          <w:b/>
          <w:bCs/>
          <w:sz w:val="20"/>
          <w:szCs w:val="20"/>
        </w:rPr>
        <w:t xml:space="preserve"> County</w:t>
      </w:r>
      <w:r w:rsidR="00D05E01">
        <w:rPr>
          <w:rFonts w:ascii="Arial" w:hAnsi="Arial" w:cs="Arial"/>
          <w:b/>
          <w:bCs/>
          <w:sz w:val="20"/>
          <w:szCs w:val="20"/>
        </w:rPr>
        <w:t>, with an incidence rate of 113.7 per 100,000</w:t>
      </w:r>
      <w:r w:rsidRPr="00FD1CAC">
        <w:rPr>
          <w:rFonts w:ascii="Arial" w:hAnsi="Arial" w:cs="Arial"/>
          <w:b/>
          <w:bCs/>
          <w:sz w:val="20"/>
          <w:szCs w:val="20"/>
        </w:rPr>
        <w:t>.</w:t>
      </w:r>
      <w:r w:rsidR="00D05E01">
        <w:rPr>
          <w:rFonts w:ascii="Arial" w:hAnsi="Arial" w:cs="Arial"/>
          <w:sz w:val="20"/>
          <w:szCs w:val="20"/>
        </w:rPr>
        <w:t xml:space="preserve"> </w:t>
      </w:r>
      <w:r w:rsidR="00453970">
        <w:rPr>
          <w:rFonts w:ascii="Arial" w:hAnsi="Arial" w:cs="Arial"/>
          <w:sz w:val="20"/>
          <w:szCs w:val="20"/>
        </w:rPr>
        <w:t xml:space="preserve">Approximately, </w:t>
      </w:r>
      <w:r w:rsidR="00952DF7">
        <w:rPr>
          <w:rFonts w:ascii="Arial" w:hAnsi="Arial" w:cs="Arial"/>
          <w:sz w:val="20"/>
          <w:szCs w:val="20"/>
        </w:rPr>
        <w:t>65.8</w:t>
      </w:r>
      <w:r w:rsidR="00453970">
        <w:rPr>
          <w:rFonts w:ascii="Arial" w:hAnsi="Arial" w:cs="Arial"/>
          <w:sz w:val="20"/>
          <w:szCs w:val="20"/>
        </w:rPr>
        <w:t>% of this age group were males</w:t>
      </w:r>
      <w:r w:rsidRPr="00FD1CAC">
        <w:rPr>
          <w:rFonts w:ascii="Arial" w:hAnsi="Arial" w:cs="Arial"/>
          <w:sz w:val="20"/>
          <w:szCs w:val="20"/>
        </w:rPr>
        <w:t xml:space="preserve"> </w:t>
      </w:r>
      <w:r w:rsidR="00453970">
        <w:rPr>
          <w:rFonts w:ascii="Arial" w:hAnsi="Arial" w:cs="Arial"/>
          <w:sz w:val="20"/>
          <w:szCs w:val="20"/>
        </w:rPr>
        <w:t>(n=25)</w:t>
      </w:r>
      <w:r w:rsidRPr="00FD1CAC">
        <w:rPr>
          <w:rFonts w:ascii="Arial" w:hAnsi="Arial" w:cs="Arial"/>
          <w:sz w:val="20"/>
          <w:szCs w:val="20"/>
        </w:rPr>
        <w:t xml:space="preserve">, with a rate of </w:t>
      </w:r>
      <w:r w:rsidR="00453970">
        <w:rPr>
          <w:rFonts w:ascii="Arial" w:hAnsi="Arial" w:cs="Arial"/>
          <w:sz w:val="20"/>
          <w:szCs w:val="20"/>
        </w:rPr>
        <w:t>161.4</w:t>
      </w:r>
      <w:r w:rsidRPr="00FD1CAC">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while </w:t>
      </w:r>
      <w:r w:rsidR="00453970">
        <w:rPr>
          <w:rFonts w:ascii="Arial" w:hAnsi="Arial" w:cs="Arial"/>
          <w:sz w:val="20"/>
          <w:szCs w:val="20"/>
        </w:rPr>
        <w:t>9</w:t>
      </w:r>
      <w:r w:rsidR="00453970" w:rsidRPr="00A806D7">
        <w:rPr>
          <w:rFonts w:ascii="Arial" w:hAnsi="Arial" w:cs="Arial"/>
          <w:sz w:val="20"/>
          <w:szCs w:val="20"/>
        </w:rPr>
        <w:t xml:space="preserve"> </w:t>
      </w:r>
      <w:r w:rsidRPr="00A806D7">
        <w:rPr>
          <w:rFonts w:ascii="Arial" w:hAnsi="Arial" w:cs="Arial"/>
          <w:sz w:val="20"/>
          <w:szCs w:val="20"/>
        </w:rPr>
        <w:t>cases</w:t>
      </w:r>
      <w:r w:rsidR="00952DF7">
        <w:rPr>
          <w:rFonts w:ascii="Arial" w:hAnsi="Arial" w:cs="Arial"/>
          <w:sz w:val="20"/>
          <w:szCs w:val="20"/>
        </w:rPr>
        <w:t xml:space="preserve"> (23.7%)</w:t>
      </w:r>
      <w:r w:rsidRPr="00A806D7">
        <w:rPr>
          <w:rFonts w:ascii="Arial" w:hAnsi="Arial" w:cs="Arial"/>
          <w:sz w:val="20"/>
          <w:szCs w:val="20"/>
        </w:rPr>
        <w:t xml:space="preserve"> were reported </w:t>
      </w:r>
      <w:r w:rsidR="00453970">
        <w:rPr>
          <w:rFonts w:ascii="Arial" w:hAnsi="Arial" w:cs="Arial"/>
          <w:sz w:val="20"/>
          <w:szCs w:val="20"/>
        </w:rPr>
        <w:t>among</w:t>
      </w:r>
      <w:r w:rsidR="00453970" w:rsidRPr="00A806D7">
        <w:rPr>
          <w:rFonts w:ascii="Arial" w:hAnsi="Arial" w:cs="Arial"/>
          <w:sz w:val="20"/>
          <w:szCs w:val="20"/>
        </w:rPr>
        <w:t xml:space="preserve"> </w:t>
      </w:r>
      <w:r w:rsidR="00453970">
        <w:rPr>
          <w:rFonts w:ascii="Arial" w:hAnsi="Arial" w:cs="Arial"/>
          <w:sz w:val="20"/>
          <w:szCs w:val="20"/>
        </w:rPr>
        <w:t>fe</w:t>
      </w:r>
      <w:r w:rsidRPr="00A806D7">
        <w:rPr>
          <w:rFonts w:ascii="Arial" w:hAnsi="Arial" w:cs="Arial"/>
          <w:sz w:val="20"/>
          <w:szCs w:val="20"/>
        </w:rPr>
        <w:t xml:space="preserve">males, at a rate of </w:t>
      </w:r>
      <w:r w:rsidR="00453970">
        <w:rPr>
          <w:rFonts w:ascii="Arial" w:hAnsi="Arial" w:cs="Arial"/>
          <w:sz w:val="20"/>
          <w:szCs w:val="20"/>
        </w:rPr>
        <w:t>50.2</w:t>
      </w:r>
      <w:r w:rsidR="00706DAD">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453970">
        <w:rPr>
          <w:rFonts w:ascii="Arial" w:hAnsi="Arial" w:cs="Arial"/>
          <w:sz w:val="20"/>
          <w:szCs w:val="20"/>
        </w:rPr>
        <w:t>i</w:t>
      </w:r>
      <w:r w:rsidR="00453970" w:rsidRPr="00A806D7">
        <w:rPr>
          <w:rFonts w:ascii="Arial" w:hAnsi="Arial" w:cs="Arial"/>
          <w:sz w:val="20"/>
          <w:szCs w:val="20"/>
        </w:rPr>
        <w:t xml:space="preserve">s </w:t>
      </w:r>
      <w:r w:rsidRPr="00A806D7">
        <w:rPr>
          <w:rFonts w:ascii="Arial" w:hAnsi="Arial" w:cs="Arial"/>
          <w:sz w:val="20"/>
          <w:szCs w:val="20"/>
        </w:rPr>
        <w:t xml:space="preserve">concentrated among </w:t>
      </w:r>
      <w:r w:rsidR="00453970">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AB3594">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26656F86" w14:textId="77777777" w:rsidR="00D05E01" w:rsidRDefault="00D05E01" w:rsidP="004A18B7">
      <w:pPr>
        <w:rPr>
          <w:rFonts w:ascii="Arial" w:hAnsi="Arial" w:cs="Arial"/>
          <w:b/>
          <w:bCs/>
          <w:sz w:val="20"/>
          <w:szCs w:val="20"/>
        </w:rPr>
      </w:pPr>
    </w:p>
    <w:p w14:paraId="623A36C6" w14:textId="30DFDA31" w:rsidR="00F1556B" w:rsidRDefault="00F1556B" w:rsidP="004A18B7">
      <w:pPr>
        <w:rPr>
          <w:rFonts w:ascii="Arial" w:hAnsi="Arial" w:cs="Arial"/>
          <w:b/>
          <w:bCs/>
          <w:sz w:val="20"/>
          <w:szCs w:val="20"/>
        </w:rPr>
      </w:pPr>
      <w:r>
        <w:rPr>
          <w:rFonts w:ascii="Arial" w:hAnsi="Arial" w:cs="Arial"/>
          <w:b/>
          <w:bCs/>
          <w:noProof/>
          <w:sz w:val="20"/>
          <w:szCs w:val="20"/>
        </w:rPr>
        <w:drawing>
          <wp:inline distT="0" distB="0" distL="0" distR="0" wp14:anchorId="5C034CB8" wp14:editId="21EFD452">
            <wp:extent cx="6912864" cy="2642616"/>
            <wp:effectExtent l="0" t="0" r="2540" b="5715"/>
            <wp:docPr id="1673060211" name="Picture 10" descr="Graph depicts the rates per 100,000 population of gonorrhea cases in Hampshire County, Massachusetts by age group for 2015 and 2024. The included age groups are &lt;20 years, 20-29 years, 30-39 years, 40-49 years, 50-59 years, and 60+ years. Rates and counts are suppressed for those aged 40-49 and 50-59 years in 2015 and for those aged 50-59 and 60+ years in 2024 due to low counts. In 2015, the rate is highest among those aged 20-29, at 72.2. In 2024, the rate is highest among those aged 30-39, at 168.6. The lowest unsuppressed rates are among those aged &lt;20, at 34.3 in 2015 and 47.0 in 2024. The age group that saw the largest change in rate was 30-39 years, from 43.9 in 2015 to 168.6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60211" name="Picture 10" descr="Graph depicts the rates per 100,000 population of gonorrhea cases in Hampshire County, Massachusetts by age group for 2015 and 2024. The included age groups are &lt;20 years, 20-29 years, 30-39 years, 40-49 years, 50-59 years, and 60+ years. Rates and counts are suppressed for those aged 40-49 and 50-59 years in 2015 and for those aged 50-59 and 60+ years in 2024 due to low counts. In 2015, the rate is highest among those aged 20-29, at 72.2. In 2024, the rate is highest among those aged 30-39, at 168.6. The lowest unsuppressed rates are among those aged &lt;20, at 34.3 in 2015 and 47.0 in 2024. The age group that saw the largest change in rate was 30-39 years, from 43.9 in 2015 to 168.6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2E6E62F1" w14:textId="77777777" w:rsidR="00F1556B" w:rsidRPr="002F5B67" w:rsidRDefault="00F1556B" w:rsidP="00F1556B">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5BD67331" w14:textId="77777777" w:rsidR="00F1556B" w:rsidRPr="002F5B67" w:rsidRDefault="00F1556B" w:rsidP="00F1556B">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3E321989" w14:textId="3E4D33A2" w:rsidR="00272D41" w:rsidRDefault="00F1556B" w:rsidP="00272D41">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230A6D9F" w14:textId="0F2FE8FC" w:rsidR="00272D41" w:rsidRPr="00DD4E6F" w:rsidRDefault="00DD4E6F" w:rsidP="00272D41">
      <w:pPr>
        <w:rPr>
          <w:rFonts w:ascii="Arial" w:hAnsi="Arial" w:cs="Arial"/>
          <w:sz w:val="12"/>
          <w:szCs w:val="12"/>
        </w:rPr>
      </w:pPr>
      <w:r>
        <w:rPr>
          <w:rFonts w:ascii="Arial" w:hAnsi="Arial" w:cs="Arial"/>
          <w:sz w:val="12"/>
          <w:szCs w:val="12"/>
        </w:rPr>
        <w:t>Dashes represent censored counts and rates.</w:t>
      </w:r>
    </w:p>
    <w:p w14:paraId="757F413A" w14:textId="0F64F719" w:rsidR="00755AD7" w:rsidRPr="00173387" w:rsidRDefault="00C50C59" w:rsidP="00C50C59">
      <w:pPr>
        <w:tabs>
          <w:tab w:val="left" w:pos="1302"/>
        </w:tabs>
        <w:rPr>
          <w:rFonts w:ascii="Arial" w:hAnsi="Arial" w:cs="Arial"/>
          <w:sz w:val="20"/>
          <w:szCs w:val="20"/>
        </w:rPr>
      </w:pPr>
      <w:r>
        <w:rPr>
          <w:rFonts w:ascii="Arial" w:hAnsi="Arial" w:cs="Arial"/>
          <w:sz w:val="20"/>
          <w:szCs w:val="20"/>
        </w:rPr>
        <w:tab/>
      </w:r>
    </w:p>
    <w:bookmarkEnd w:id="3"/>
    <w:p w14:paraId="7EA208A8" w14:textId="344BF7EE" w:rsidR="00E83783" w:rsidRPr="00F2432D" w:rsidRDefault="00E83783" w:rsidP="00645405">
      <w:pPr>
        <w:pStyle w:val="Heading1"/>
        <w:rPr>
          <w:vertAlign w:val="superscript"/>
        </w:rPr>
      </w:pPr>
      <w:r>
        <w:t>Infectious Syphilis</w:t>
      </w:r>
      <w:r w:rsidR="004D1987">
        <w:rPr>
          <w:vertAlign w:val="superscript"/>
        </w:rPr>
        <w:t>5</w:t>
      </w:r>
    </w:p>
    <w:p w14:paraId="2932FE4F" w14:textId="30463407" w:rsidR="00E83783" w:rsidRPr="00F1556B" w:rsidRDefault="00E83783" w:rsidP="00E83783">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453970">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F1556B">
        <w:rPr>
          <w:rFonts w:ascii="Arial" w:hAnsi="Arial" w:cs="Arial"/>
          <w:sz w:val="20"/>
          <w:szCs w:val="20"/>
          <w:vertAlign w:val="superscript"/>
        </w:rPr>
        <w:t>2</w:t>
      </w:r>
    </w:p>
    <w:p w14:paraId="0982B49D" w14:textId="591AF005" w:rsidR="00C66B1B" w:rsidRPr="00C66B1B" w:rsidRDefault="00C66B1B" w:rsidP="00C66B1B">
      <w:pPr>
        <w:rPr>
          <w:rFonts w:ascii="Arial" w:hAnsi="Arial" w:cs="Arial"/>
          <w:sz w:val="20"/>
          <w:szCs w:val="20"/>
        </w:rPr>
      </w:pPr>
    </w:p>
    <w:p w14:paraId="6ACB1A47" w14:textId="0C7D1DD3" w:rsidR="00BA2EEC" w:rsidRPr="00C66B1B" w:rsidRDefault="00BA2EEC" w:rsidP="00BA2EEC">
      <w:pPr>
        <w:rPr>
          <w:rFonts w:ascii="Arial" w:hAnsi="Arial" w:cs="Arial"/>
          <w:sz w:val="20"/>
          <w:szCs w:val="20"/>
        </w:rPr>
      </w:pPr>
      <w:bookmarkStart w:id="4" w:name="_Hlk173234521"/>
      <w:bookmarkStart w:id="5" w:name="_Hlk173236170"/>
      <w:bookmarkStart w:id="6" w:name="_Hlk206981355"/>
      <w:bookmarkStart w:id="7" w:name="_Hlk206979373"/>
      <w:bookmarkStart w:id="8" w:name="_Hlk200638962"/>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4"/>
      <w:r>
        <w:rPr>
          <w:rFonts w:ascii="Arial" w:hAnsi="Arial" w:cs="Arial"/>
          <w:b/>
          <w:bCs/>
          <w:sz w:val="20"/>
          <w:szCs w:val="20"/>
        </w:rPr>
        <w:t>4</w:t>
      </w:r>
      <w:bookmarkEnd w:id="5"/>
      <w:r>
        <w:rPr>
          <w:rFonts w:ascii="Arial" w:hAnsi="Arial" w:cs="Arial"/>
          <w:sz w:val="20"/>
          <w:szCs w:val="20"/>
        </w:rPr>
        <w:t>.</w:t>
      </w:r>
      <w:bookmarkEnd w:id="6"/>
      <w:r>
        <w:rPr>
          <w:rFonts w:ascii="Arial" w:hAnsi="Arial" w:cs="Arial"/>
          <w:sz w:val="20"/>
          <w:szCs w:val="20"/>
        </w:rPr>
        <w:t xml:space="preserve"> </w:t>
      </w:r>
      <w:bookmarkStart w:id="9" w:name="_Hlk206979445"/>
      <w:bookmarkEnd w:id="7"/>
      <w:r w:rsidR="004D1987">
        <w:rPr>
          <w:rFonts w:ascii="Arial" w:hAnsi="Arial" w:cs="Arial"/>
          <w:sz w:val="20"/>
          <w:szCs w:val="20"/>
        </w:rPr>
        <w:t>Hampshire</w:t>
      </w:r>
      <w:r>
        <w:rPr>
          <w:rFonts w:ascii="Arial" w:hAnsi="Arial" w:cs="Arial"/>
          <w:sz w:val="20"/>
          <w:szCs w:val="20"/>
        </w:rPr>
        <w:t xml:space="preserve"> County also experienced an overall increase of reported infectious syphilis cases, ranging from </w:t>
      </w:r>
      <w:r w:rsidR="004D1987">
        <w:rPr>
          <w:rFonts w:ascii="Arial" w:hAnsi="Arial" w:cs="Arial"/>
          <w:sz w:val="20"/>
          <w:szCs w:val="20"/>
        </w:rPr>
        <w:t>4</w:t>
      </w:r>
      <w:r>
        <w:rPr>
          <w:rFonts w:ascii="Arial" w:hAnsi="Arial" w:cs="Arial"/>
          <w:sz w:val="20"/>
          <w:szCs w:val="20"/>
        </w:rPr>
        <w:t xml:space="preserve"> in 2015 </w:t>
      </w:r>
      <w:r w:rsidR="004D1987">
        <w:rPr>
          <w:rFonts w:ascii="Arial" w:hAnsi="Arial" w:cs="Arial"/>
          <w:sz w:val="20"/>
          <w:szCs w:val="20"/>
        </w:rPr>
        <w:t>to</w:t>
      </w:r>
      <w:r>
        <w:rPr>
          <w:rFonts w:ascii="Arial" w:hAnsi="Arial" w:cs="Arial"/>
          <w:sz w:val="20"/>
          <w:szCs w:val="20"/>
        </w:rPr>
        <w:t xml:space="preserve"> </w:t>
      </w:r>
      <w:r w:rsidR="004D1987">
        <w:rPr>
          <w:rFonts w:ascii="Arial" w:hAnsi="Arial" w:cs="Arial"/>
          <w:sz w:val="20"/>
          <w:szCs w:val="20"/>
        </w:rPr>
        <w:t>18</w:t>
      </w:r>
      <w:r>
        <w:rPr>
          <w:rFonts w:ascii="Arial" w:hAnsi="Arial" w:cs="Arial"/>
          <w:sz w:val="20"/>
          <w:szCs w:val="20"/>
        </w:rPr>
        <w:t xml:space="preserve"> in 2024.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was</w:t>
      </w:r>
      <w:r w:rsidRPr="00F17DB3">
        <w:rPr>
          <w:rFonts w:ascii="Arial" w:hAnsi="Arial" w:cs="Arial"/>
          <w:sz w:val="20"/>
          <w:szCs w:val="20"/>
        </w:rPr>
        <w:t xml:space="preserve"> </w:t>
      </w:r>
      <w:r w:rsidR="004D1987">
        <w:rPr>
          <w:rFonts w:ascii="Arial" w:hAnsi="Arial" w:cs="Arial"/>
          <w:sz w:val="20"/>
          <w:szCs w:val="20"/>
        </w:rPr>
        <w:t>11.1</w:t>
      </w:r>
      <w:r>
        <w:rPr>
          <w:rFonts w:ascii="Arial" w:hAnsi="Arial" w:cs="Arial"/>
          <w:sz w:val="20"/>
          <w:szCs w:val="20"/>
        </w:rPr>
        <w:t xml:space="preserve"> </w:t>
      </w:r>
      <w:r w:rsidRPr="00F17DB3">
        <w:rPr>
          <w:rFonts w:ascii="Arial" w:hAnsi="Arial" w:cs="Arial"/>
          <w:sz w:val="20"/>
          <w:szCs w:val="20"/>
        </w:rPr>
        <w:t xml:space="preserve">per 100,000, </w:t>
      </w:r>
      <w:bookmarkStart w:id="10" w:name="_Hlk206967248"/>
      <w:r>
        <w:rPr>
          <w:rFonts w:ascii="Arial" w:hAnsi="Arial" w:cs="Arial"/>
          <w:sz w:val="20"/>
          <w:szCs w:val="20"/>
        </w:rPr>
        <w:t>while t</w:t>
      </w:r>
      <w:r w:rsidRPr="00C66B1B">
        <w:rPr>
          <w:rFonts w:ascii="Arial" w:hAnsi="Arial" w:cs="Arial"/>
          <w:sz w:val="20"/>
          <w:szCs w:val="20"/>
        </w:rPr>
        <w:t>he statewide rate was</w:t>
      </w:r>
      <w:r>
        <w:rPr>
          <w:rFonts w:ascii="Arial" w:hAnsi="Arial" w:cs="Arial"/>
          <w:sz w:val="20"/>
          <w:szCs w:val="20"/>
        </w:rPr>
        <w:t xml:space="preserve"> 18.9 </w:t>
      </w:r>
      <w:r w:rsidRPr="00C66B1B">
        <w:rPr>
          <w:rFonts w:ascii="Arial" w:hAnsi="Arial" w:cs="Arial"/>
          <w:sz w:val="20"/>
          <w:szCs w:val="20"/>
        </w:rPr>
        <w:t>per 100,000</w:t>
      </w:r>
      <w:bookmarkEnd w:id="10"/>
      <w:r w:rsidRPr="00C66B1B">
        <w:rPr>
          <w:rFonts w:ascii="Arial" w:hAnsi="Arial" w:cs="Arial"/>
          <w:sz w:val="20"/>
          <w:szCs w:val="20"/>
        </w:rPr>
        <w:t xml:space="preserve">. </w:t>
      </w:r>
      <w:r w:rsidRPr="007C665D">
        <w:rPr>
          <w:rFonts w:ascii="Arial" w:hAnsi="Arial" w:cs="Arial"/>
          <w:sz w:val="20"/>
          <w:szCs w:val="20"/>
        </w:rPr>
        <w:t>These</w:t>
      </w:r>
      <w:r w:rsidR="006632CE">
        <w:rPr>
          <w:rFonts w:ascii="Arial" w:hAnsi="Arial" w:cs="Arial"/>
          <w:sz w:val="20"/>
          <w:szCs w:val="20"/>
        </w:rPr>
        <w:t xml:space="preserve"> rates</w:t>
      </w:r>
      <w:r w:rsidRPr="007C665D">
        <w:rPr>
          <w:rFonts w:ascii="Arial" w:hAnsi="Arial" w:cs="Arial"/>
          <w:sz w:val="20"/>
          <w:szCs w:val="20"/>
        </w:rPr>
        <w:t xml:space="preserve"> </w:t>
      </w:r>
      <w:r w:rsidR="00155E4B">
        <w:rPr>
          <w:rFonts w:ascii="Arial" w:hAnsi="Arial" w:cs="Arial"/>
          <w:sz w:val="20"/>
          <w:szCs w:val="20"/>
        </w:rPr>
        <w:t>are lower</w:t>
      </w:r>
      <w:r w:rsidRPr="007C665D">
        <w:rPr>
          <w:rFonts w:ascii="Arial" w:hAnsi="Arial" w:cs="Arial"/>
          <w:sz w:val="20"/>
          <w:szCs w:val="20"/>
        </w:rPr>
        <w:t xml:space="preserve"> compared to the national rate of</w:t>
      </w:r>
      <w:r>
        <w:rPr>
          <w:rFonts w:ascii="Arial" w:hAnsi="Arial" w:cs="Arial"/>
          <w:sz w:val="20"/>
          <w:szCs w:val="20"/>
        </w:rPr>
        <w:t xml:space="preserve"> </w:t>
      </w:r>
      <w:r w:rsidR="004D1987">
        <w:rPr>
          <w:rFonts w:ascii="Arial" w:hAnsi="Arial" w:cs="Arial"/>
          <w:sz w:val="20"/>
          <w:szCs w:val="20"/>
        </w:rPr>
        <w:t>2</w:t>
      </w:r>
      <w:r w:rsidR="0025059B">
        <w:rPr>
          <w:rFonts w:ascii="Arial" w:hAnsi="Arial" w:cs="Arial"/>
          <w:sz w:val="20"/>
          <w:szCs w:val="20"/>
        </w:rPr>
        <w:t>6.2</w:t>
      </w:r>
      <w:r>
        <w:rPr>
          <w:rFonts w:ascii="Arial" w:hAnsi="Arial" w:cs="Arial"/>
          <w:sz w:val="20"/>
          <w:szCs w:val="20"/>
        </w:rPr>
        <w:t xml:space="preserve"> </w:t>
      </w:r>
      <w:r w:rsidRPr="007C665D">
        <w:rPr>
          <w:rFonts w:ascii="Arial" w:hAnsi="Arial" w:cs="Arial"/>
          <w:sz w:val="20"/>
          <w:szCs w:val="20"/>
        </w:rPr>
        <w:t>per 100,000</w:t>
      </w:r>
      <w:r w:rsidR="004D1987">
        <w:rPr>
          <w:rFonts w:ascii="Arial" w:hAnsi="Arial" w:cs="Arial"/>
          <w:sz w:val="20"/>
          <w:szCs w:val="20"/>
        </w:rPr>
        <w:t xml:space="preserve"> </w:t>
      </w:r>
      <w:r w:rsidR="004D1987" w:rsidRPr="004D1987">
        <w:rPr>
          <w:rFonts w:ascii="Arial" w:hAnsi="Arial" w:cs="Arial"/>
          <w:sz w:val="20"/>
          <w:szCs w:val="20"/>
        </w:rPr>
        <w:t>(based on CDC data for primary, secondary, and early non-primary, non-secondary syphilis).</w:t>
      </w:r>
      <w:r w:rsidR="004D1987" w:rsidRPr="004D1987">
        <w:rPr>
          <w:rFonts w:ascii="Arial" w:hAnsi="Arial" w:cs="Arial"/>
          <w:sz w:val="20"/>
          <w:szCs w:val="20"/>
          <w:vertAlign w:val="superscript"/>
        </w:rPr>
        <w:t>4</w:t>
      </w:r>
      <w:bookmarkEnd w:id="9"/>
    </w:p>
    <w:p w14:paraId="7E4E5587" w14:textId="7C4D3278" w:rsidR="007A0A91" w:rsidRPr="007A0A91" w:rsidRDefault="007A0A91" w:rsidP="00DD4E6F">
      <w:pPr>
        <w:rPr>
          <w:rFonts w:ascii="Arial" w:hAnsi="Arial" w:cs="Arial"/>
          <w:sz w:val="20"/>
          <w:szCs w:val="20"/>
        </w:rPr>
      </w:pPr>
      <w:r w:rsidRPr="007A0A91">
        <w:rPr>
          <w:rFonts w:ascii="Arial" w:hAnsi="Arial" w:cs="Arial"/>
          <w:b/>
          <w:bCs/>
          <w:sz w:val="20"/>
          <w:szCs w:val="20"/>
        </w:rPr>
        <w:lastRenderedPageBreak/>
        <w:t>Between 2015 and 2021, all but five infectious syphilis cases in Hampshire County were reported among males.</w:t>
      </w:r>
      <w:r>
        <w:rPr>
          <w:rFonts w:ascii="Arial" w:hAnsi="Arial" w:cs="Arial"/>
          <w:sz w:val="20"/>
          <w:szCs w:val="20"/>
        </w:rPr>
        <w:t xml:space="preserve"> The rate among females rose between 2022 and 2024, but most cases were still reported among males.</w:t>
      </w:r>
      <w:r w:rsidR="00BA2EEC" w:rsidRPr="00F17DB3">
        <w:rPr>
          <w:rFonts w:ascii="Arial" w:hAnsi="Arial" w:cs="Arial"/>
          <w:sz w:val="20"/>
          <w:szCs w:val="20"/>
        </w:rPr>
        <w:t xml:space="preserve"> In 202</w:t>
      </w:r>
      <w:r w:rsidR="00BA2EEC">
        <w:rPr>
          <w:rFonts w:ascii="Arial" w:hAnsi="Arial" w:cs="Arial"/>
          <w:sz w:val="20"/>
          <w:szCs w:val="20"/>
        </w:rPr>
        <w:t>4</w:t>
      </w:r>
      <w:r w:rsidR="00BA2EEC" w:rsidRPr="00F17DB3">
        <w:rPr>
          <w:rFonts w:ascii="Arial" w:hAnsi="Arial" w:cs="Arial"/>
          <w:sz w:val="20"/>
          <w:szCs w:val="20"/>
        </w:rPr>
        <w:t xml:space="preserve">, </w:t>
      </w:r>
      <w:r w:rsidR="00BA2EEC">
        <w:rPr>
          <w:rFonts w:ascii="Arial" w:hAnsi="Arial" w:cs="Arial"/>
          <w:sz w:val="20"/>
          <w:szCs w:val="20"/>
        </w:rPr>
        <w:t>males</w:t>
      </w:r>
      <w:r w:rsidR="00BA2EEC" w:rsidRPr="00F17DB3">
        <w:rPr>
          <w:rFonts w:ascii="Arial" w:hAnsi="Arial" w:cs="Arial"/>
          <w:sz w:val="20"/>
          <w:szCs w:val="20"/>
        </w:rPr>
        <w:t xml:space="preserve"> accounted for </w:t>
      </w:r>
      <w:r w:rsidR="004D1987">
        <w:rPr>
          <w:rFonts w:ascii="Arial" w:hAnsi="Arial" w:cs="Arial"/>
          <w:sz w:val="20"/>
          <w:szCs w:val="20"/>
        </w:rPr>
        <w:t>83.3</w:t>
      </w:r>
      <w:r w:rsidR="00BA2EEC">
        <w:rPr>
          <w:rFonts w:ascii="Arial" w:hAnsi="Arial" w:cs="Arial"/>
          <w:sz w:val="20"/>
          <w:szCs w:val="20"/>
        </w:rPr>
        <w:t>%</w:t>
      </w:r>
      <w:r w:rsidR="00BA2EEC" w:rsidRPr="00F17DB3">
        <w:rPr>
          <w:rFonts w:ascii="Arial" w:hAnsi="Arial" w:cs="Arial"/>
          <w:sz w:val="20"/>
          <w:szCs w:val="20"/>
        </w:rPr>
        <w:t xml:space="preserve"> of all </w:t>
      </w:r>
      <w:r w:rsidR="00BA2EEC">
        <w:rPr>
          <w:rFonts w:ascii="Arial" w:hAnsi="Arial" w:cs="Arial"/>
          <w:sz w:val="20"/>
          <w:szCs w:val="20"/>
        </w:rPr>
        <w:t>infectious</w:t>
      </w:r>
      <w:r w:rsidR="00BA2EEC" w:rsidRPr="00F17DB3">
        <w:rPr>
          <w:rFonts w:ascii="Arial" w:hAnsi="Arial" w:cs="Arial"/>
          <w:sz w:val="20"/>
          <w:szCs w:val="20"/>
        </w:rPr>
        <w:t xml:space="preserve"> syphilis cases in the county with a rate of</w:t>
      </w:r>
      <w:r w:rsidR="00C753A3">
        <w:rPr>
          <w:rFonts w:ascii="Arial" w:hAnsi="Arial" w:cs="Arial"/>
          <w:sz w:val="20"/>
          <w:szCs w:val="20"/>
        </w:rPr>
        <w:t xml:space="preserve"> </w:t>
      </w:r>
      <w:r w:rsidR="004D1987">
        <w:rPr>
          <w:rFonts w:ascii="Arial" w:hAnsi="Arial" w:cs="Arial"/>
          <w:sz w:val="20"/>
          <w:szCs w:val="20"/>
        </w:rPr>
        <w:t>19.8</w:t>
      </w:r>
      <w:r w:rsidR="00BA2EEC">
        <w:rPr>
          <w:rFonts w:ascii="Arial" w:hAnsi="Arial" w:cs="Arial"/>
          <w:sz w:val="20"/>
          <w:szCs w:val="20"/>
        </w:rPr>
        <w:t xml:space="preserve"> </w:t>
      </w:r>
      <w:r w:rsidR="00BA2EEC" w:rsidRPr="00F17DB3">
        <w:rPr>
          <w:rFonts w:ascii="Arial" w:hAnsi="Arial" w:cs="Arial"/>
          <w:sz w:val="20"/>
          <w:szCs w:val="20"/>
        </w:rPr>
        <w:t>per 100,000</w:t>
      </w:r>
      <w:r w:rsidR="00BA2EEC">
        <w:rPr>
          <w:rFonts w:ascii="Arial" w:hAnsi="Arial" w:cs="Arial"/>
          <w:sz w:val="20"/>
          <w:szCs w:val="20"/>
        </w:rPr>
        <w:t>,</w:t>
      </w:r>
      <w:r w:rsidR="00BA2EEC" w:rsidRPr="00F17DB3">
        <w:rPr>
          <w:rFonts w:ascii="Arial" w:hAnsi="Arial" w:cs="Arial"/>
          <w:sz w:val="20"/>
          <w:szCs w:val="20"/>
        </w:rPr>
        <w:t xml:space="preserve"> </w:t>
      </w:r>
      <w:r w:rsidR="00BA2EEC">
        <w:rPr>
          <w:rFonts w:ascii="Arial" w:hAnsi="Arial" w:cs="Arial"/>
          <w:sz w:val="20"/>
          <w:szCs w:val="20"/>
        </w:rPr>
        <w:t xml:space="preserve">more than </w:t>
      </w:r>
      <w:r w:rsidR="004D1987">
        <w:rPr>
          <w:rFonts w:ascii="Arial" w:hAnsi="Arial" w:cs="Arial"/>
          <w:sz w:val="20"/>
          <w:szCs w:val="20"/>
        </w:rPr>
        <w:t xml:space="preserve">five </w:t>
      </w:r>
      <w:r w:rsidR="00BA2EEC" w:rsidRPr="00F17DB3">
        <w:rPr>
          <w:rFonts w:ascii="Arial" w:hAnsi="Arial" w:cs="Arial"/>
          <w:sz w:val="20"/>
          <w:szCs w:val="20"/>
        </w:rPr>
        <w:t xml:space="preserve">times </w:t>
      </w:r>
      <w:r w:rsidR="00452FB2">
        <w:rPr>
          <w:rFonts w:ascii="Arial" w:hAnsi="Arial" w:cs="Arial"/>
          <w:sz w:val="20"/>
          <w:szCs w:val="20"/>
        </w:rPr>
        <w:t xml:space="preserve">than </w:t>
      </w:r>
      <w:r w:rsidR="00BA2EEC" w:rsidRPr="00F17DB3">
        <w:rPr>
          <w:rFonts w:ascii="Arial" w:hAnsi="Arial" w:cs="Arial"/>
          <w:sz w:val="20"/>
          <w:szCs w:val="20"/>
        </w:rPr>
        <w:t xml:space="preserve">that of </w:t>
      </w:r>
      <w:r w:rsidR="00BA2EEC">
        <w:rPr>
          <w:rFonts w:ascii="Arial" w:hAnsi="Arial" w:cs="Arial"/>
          <w:sz w:val="20"/>
          <w:szCs w:val="20"/>
        </w:rPr>
        <w:t>females</w:t>
      </w:r>
      <w:r w:rsidR="00BA2EEC" w:rsidRPr="00F17DB3">
        <w:rPr>
          <w:rFonts w:ascii="Arial" w:hAnsi="Arial" w:cs="Arial"/>
          <w:sz w:val="20"/>
          <w:szCs w:val="20"/>
        </w:rPr>
        <w:t xml:space="preserve"> (</w:t>
      </w:r>
      <w:r w:rsidR="004D1987">
        <w:rPr>
          <w:rFonts w:ascii="Arial" w:hAnsi="Arial" w:cs="Arial"/>
          <w:sz w:val="20"/>
          <w:szCs w:val="20"/>
        </w:rPr>
        <w:t>3.5</w:t>
      </w:r>
      <w:r w:rsidR="00BA2EEC">
        <w:rPr>
          <w:rFonts w:ascii="Arial" w:hAnsi="Arial" w:cs="Arial"/>
          <w:sz w:val="20"/>
          <w:szCs w:val="20"/>
        </w:rPr>
        <w:t xml:space="preserve"> </w:t>
      </w:r>
      <w:r w:rsidR="00BA2EEC" w:rsidRPr="00F17DB3">
        <w:rPr>
          <w:rFonts w:ascii="Arial" w:hAnsi="Arial" w:cs="Arial"/>
          <w:sz w:val="20"/>
          <w:szCs w:val="20"/>
        </w:rPr>
        <w:t>per 100,000)</w:t>
      </w:r>
      <w:r w:rsidR="00BA2EEC" w:rsidRPr="001257E5">
        <w:rPr>
          <w:rFonts w:ascii="Arial" w:hAnsi="Arial" w:cs="Arial"/>
          <w:sz w:val="20"/>
          <w:szCs w:val="20"/>
        </w:rPr>
        <w:t>.</w:t>
      </w:r>
    </w:p>
    <w:p w14:paraId="7131FCC3" w14:textId="7F47940C" w:rsidR="00F1556B" w:rsidRDefault="00F1556B" w:rsidP="00952DF7">
      <w:pPr>
        <w:rPr>
          <w:rFonts w:ascii="Arial" w:hAnsi="Arial" w:cs="Arial"/>
          <w:noProof/>
          <w:sz w:val="20"/>
          <w:szCs w:val="20"/>
        </w:rPr>
      </w:pPr>
    </w:p>
    <w:p w14:paraId="3DC3BBFE" w14:textId="6CECEF9B" w:rsidR="00952DF7" w:rsidRDefault="00952DF7" w:rsidP="00272D41">
      <w:pPr>
        <w:ind w:left="270"/>
        <w:rPr>
          <w:rFonts w:ascii="Arial" w:hAnsi="Arial" w:cs="Arial"/>
          <w:noProof/>
          <w:sz w:val="20"/>
          <w:szCs w:val="20"/>
        </w:rPr>
      </w:pPr>
      <w:r>
        <w:rPr>
          <w:rFonts w:ascii="Arial" w:hAnsi="Arial" w:cs="Arial"/>
          <w:noProof/>
          <w:sz w:val="20"/>
          <w:szCs w:val="20"/>
        </w:rPr>
        <w:drawing>
          <wp:inline distT="0" distB="0" distL="0" distR="0" wp14:anchorId="10EC14FE" wp14:editId="5EAD4311">
            <wp:extent cx="6912864" cy="2286000"/>
            <wp:effectExtent l="0" t="0" r="0" b="0"/>
            <wp:docPr id="521839764" name="Picture 3" descr="Graph depicts the rates per 100,000 population of infectious syphilis in Massachusetts statewide, in Hampshire County overall, and by gender in Hampshire County between 2015 and 2024. The line showing statewide rate begins at 11.7 in 2015 and ends at 18.9 in 2024, with a peak of 22.7 in 2022. The line showing Hampshire County overall rate begins at 2.5 in 2015 and ends at 11.1 in 2024. The line showing the rate among females in Hampshire County begins at 1.2 in 2015 and ends at 3.5 in 2024, with a peak of 4.6 in 2023. The line showing the rate among males in Hampshire County begins at 4.0 in 2015 and ends at 19.8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39764" name="Picture 3" descr="Graph depicts the rates per 100,000 population of infectious syphilis in Massachusetts statewide, in Hampshire County overall, and by gender in Hampshire County between 2015 and 2024. The line showing statewide rate begins at 11.7 in 2015 and ends at 18.9 in 2024, with a peak of 22.7 in 2022. The line showing Hampshire County overall rate begins at 2.5 in 2015 and ends at 11.1 in 2024. The line showing the rate among females in Hampshire County begins at 1.2 in 2015 and ends at 3.5 in 2024, with a peak of 4.6 in 2023. The line showing the rate among males in Hampshire County begins at 4.0 in 2015 and ends at 19.8 in 20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86000"/>
                    </a:xfrm>
                    <a:prstGeom prst="rect">
                      <a:avLst/>
                    </a:prstGeom>
                    <a:noFill/>
                  </pic:spPr>
                </pic:pic>
              </a:graphicData>
            </a:graphic>
          </wp:inline>
        </w:drawing>
      </w:r>
    </w:p>
    <w:p w14:paraId="4B7F94AB" w14:textId="77777777" w:rsidR="00F1556B" w:rsidRPr="002F5B67" w:rsidRDefault="00F1556B" w:rsidP="00F1556B">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78775170" w14:textId="77777777" w:rsidR="00F1556B" w:rsidRPr="002F5B67" w:rsidRDefault="00F1556B" w:rsidP="00F1556B">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147C366B" w14:textId="77777777" w:rsidR="00F1556B" w:rsidRDefault="00F1556B" w:rsidP="00F1556B">
      <w:pPr>
        <w:rPr>
          <w:rFonts w:ascii="Arial" w:hAnsi="Arial" w:cs="Arial"/>
          <w:sz w:val="20"/>
          <w:szCs w:val="20"/>
        </w:rPr>
      </w:pPr>
      <w:r w:rsidRPr="002F5B67">
        <w:rPr>
          <w:rFonts w:ascii="Arial" w:hAnsi="Arial" w:cs="Arial"/>
          <w:sz w:val="12"/>
          <w:szCs w:val="12"/>
        </w:rPr>
        <w:t>Data source: Massachusetts Department of Public Health/Bureau of Infectious Disease and Laboratory Sciences/Division of STD Prevention.</w:t>
      </w:r>
    </w:p>
    <w:p w14:paraId="6C8DD56D" w14:textId="77777777" w:rsidR="008332F1" w:rsidRDefault="008332F1" w:rsidP="00EE12C8">
      <w:pPr>
        <w:rPr>
          <w:rFonts w:ascii="Arial" w:hAnsi="Arial" w:cs="Arial"/>
          <w:b/>
          <w:bCs/>
          <w:sz w:val="20"/>
          <w:szCs w:val="20"/>
        </w:rPr>
      </w:pPr>
      <w:bookmarkStart w:id="11" w:name="_Hlk200638979"/>
      <w:bookmarkEnd w:id="8"/>
    </w:p>
    <w:p w14:paraId="37C7E9E7" w14:textId="6B54B015" w:rsidR="00EE12C8" w:rsidRDefault="00EE12C8" w:rsidP="00EE12C8">
      <w:pPr>
        <w:rPr>
          <w:rFonts w:ascii="Arial" w:hAnsi="Arial" w:cs="Arial"/>
          <w:b/>
          <w:bCs/>
          <w:sz w:val="20"/>
          <w:szCs w:val="20"/>
        </w:rPr>
      </w:pPr>
      <w:r w:rsidRPr="008332F1">
        <w:rPr>
          <w:rFonts w:ascii="Arial" w:hAnsi="Arial" w:cs="Arial"/>
          <w:b/>
          <w:bCs/>
          <w:sz w:val="20"/>
          <w:szCs w:val="20"/>
        </w:rPr>
        <w:t>I</w:t>
      </w:r>
      <w:r w:rsidRPr="005A47A6">
        <w:rPr>
          <w:rFonts w:ascii="Arial" w:hAnsi="Arial" w:cs="Arial"/>
          <w:b/>
          <w:bCs/>
          <w:sz w:val="20"/>
          <w:szCs w:val="20"/>
        </w:rPr>
        <w:t>n 2024,</w:t>
      </w:r>
      <w:r>
        <w:rPr>
          <w:rFonts w:ascii="Arial" w:hAnsi="Arial" w:cs="Arial"/>
          <w:b/>
          <w:bCs/>
          <w:sz w:val="20"/>
          <w:szCs w:val="20"/>
        </w:rPr>
        <w:t xml:space="preserve"> 6</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Pr>
          <w:rFonts w:ascii="Arial" w:hAnsi="Arial" w:cs="Arial"/>
          <w:b/>
          <w:bCs/>
          <w:sz w:val="20"/>
          <w:szCs w:val="20"/>
        </w:rPr>
        <w:t>3</w:t>
      </w:r>
      <w:r w:rsidRPr="005A47A6">
        <w:rPr>
          <w:rFonts w:ascii="Arial" w:hAnsi="Arial" w:cs="Arial"/>
          <w:b/>
          <w:bCs/>
          <w:sz w:val="20"/>
          <w:szCs w:val="20"/>
        </w:rPr>
        <w:t>0</w:t>
      </w:r>
      <w:r w:rsidR="001A6732">
        <w:rPr>
          <w:rFonts w:ascii="Arial" w:hAnsi="Arial" w:cs="Arial"/>
          <w:b/>
          <w:bCs/>
          <w:sz w:val="20"/>
          <w:szCs w:val="20"/>
        </w:rPr>
        <w:t>-</w:t>
      </w:r>
      <w:r>
        <w:rPr>
          <w:rFonts w:ascii="Arial" w:hAnsi="Arial" w:cs="Arial"/>
          <w:b/>
          <w:bCs/>
          <w:sz w:val="20"/>
          <w:szCs w:val="20"/>
        </w:rPr>
        <w:t>3</w:t>
      </w:r>
      <w:r w:rsidRPr="005A47A6">
        <w:rPr>
          <w:rFonts w:ascii="Arial" w:hAnsi="Arial" w:cs="Arial"/>
          <w:b/>
          <w:bCs/>
          <w:sz w:val="20"/>
          <w:szCs w:val="20"/>
        </w:rPr>
        <w:t>9-year-olds,</w:t>
      </w:r>
      <w:r w:rsidR="00952DF7">
        <w:rPr>
          <w:rFonts w:ascii="Arial" w:hAnsi="Arial" w:cs="Arial"/>
          <w:b/>
          <w:bCs/>
          <w:sz w:val="20"/>
          <w:szCs w:val="20"/>
        </w:rPr>
        <w:t xml:space="preserve"> at a rate of 36.1 per 100,000,</w:t>
      </w:r>
      <w:r w:rsidRPr="005A47A6">
        <w:rPr>
          <w:rFonts w:ascii="Arial" w:hAnsi="Arial" w:cs="Arial"/>
          <w:b/>
          <w:bCs/>
          <w:sz w:val="20"/>
          <w:szCs w:val="20"/>
        </w:rPr>
        <w:t xml:space="preserve"> the highest among all age groups in </w:t>
      </w:r>
      <w:r w:rsidR="004D1987">
        <w:rPr>
          <w:rFonts w:ascii="Arial" w:hAnsi="Arial" w:cs="Arial"/>
          <w:b/>
          <w:bCs/>
          <w:sz w:val="20"/>
          <w:szCs w:val="20"/>
        </w:rPr>
        <w:t>Hampshire</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Pr>
          <w:rFonts w:ascii="Arial" w:hAnsi="Arial" w:cs="Arial"/>
          <w:sz w:val="20"/>
          <w:szCs w:val="20"/>
        </w:rPr>
        <w:t>M</w:t>
      </w:r>
      <w:r w:rsidRPr="00A806D7">
        <w:rPr>
          <w:rFonts w:ascii="Arial" w:hAnsi="Arial" w:cs="Arial"/>
          <w:sz w:val="20"/>
          <w:szCs w:val="20"/>
        </w:rPr>
        <w:t xml:space="preserve">ales accounted for </w:t>
      </w:r>
      <w:r w:rsidR="00044F5A">
        <w:rPr>
          <w:rFonts w:ascii="Arial" w:hAnsi="Arial" w:cs="Arial"/>
          <w:sz w:val="20"/>
          <w:szCs w:val="20"/>
        </w:rPr>
        <w:t xml:space="preserve">the majority of </w:t>
      </w:r>
      <w:r w:rsidR="001A6732">
        <w:rPr>
          <w:rFonts w:ascii="Arial" w:hAnsi="Arial" w:cs="Arial"/>
          <w:sz w:val="20"/>
          <w:szCs w:val="20"/>
        </w:rPr>
        <w:t xml:space="preserve">cases in </w:t>
      </w:r>
      <w:r w:rsidR="00561941">
        <w:rPr>
          <w:rFonts w:ascii="Arial" w:hAnsi="Arial" w:cs="Arial"/>
          <w:sz w:val="20"/>
          <w:szCs w:val="20"/>
        </w:rPr>
        <w:t>this age group</w:t>
      </w:r>
      <w:r w:rsidRPr="00A806D7">
        <w:rPr>
          <w:rFonts w:ascii="Arial" w:hAnsi="Arial" w:cs="Arial"/>
          <w:sz w:val="20"/>
          <w:szCs w:val="20"/>
        </w:rPr>
        <w:t xml:space="preserve">. Although the chart below represents rates by age group only, the highest burden </w:t>
      </w:r>
      <w:r w:rsidR="00155E4B">
        <w:rPr>
          <w:rFonts w:ascii="Arial" w:hAnsi="Arial" w:cs="Arial"/>
          <w:sz w:val="20"/>
          <w:szCs w:val="20"/>
        </w:rPr>
        <w:t>i</w:t>
      </w:r>
      <w:r w:rsidR="00155E4B" w:rsidRPr="00A806D7">
        <w:rPr>
          <w:rFonts w:ascii="Arial" w:hAnsi="Arial" w:cs="Arial"/>
          <w:sz w:val="20"/>
          <w:szCs w:val="20"/>
        </w:rPr>
        <w:t xml:space="preserve">s </w:t>
      </w:r>
      <w:r w:rsidRPr="00A806D7">
        <w:rPr>
          <w:rFonts w:ascii="Arial" w:hAnsi="Arial" w:cs="Arial"/>
          <w:sz w:val="20"/>
          <w:szCs w:val="20"/>
        </w:rPr>
        <w:t xml:space="preserve">concentrated among </w:t>
      </w:r>
      <w:r w:rsidR="00155E4B">
        <w:rPr>
          <w:rFonts w:ascii="Arial" w:hAnsi="Arial" w:cs="Arial"/>
          <w:sz w:val="20"/>
          <w:szCs w:val="20"/>
        </w:rPr>
        <w:t>30-39-year-old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8621FC">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401A9ECB" w14:textId="54281150" w:rsidR="00272D41" w:rsidRDefault="00272D41" w:rsidP="00044F5A">
      <w:pPr>
        <w:rPr>
          <w:rFonts w:ascii="Arial" w:hAnsi="Arial" w:cs="Arial"/>
          <w:sz w:val="20"/>
          <w:szCs w:val="20"/>
        </w:rPr>
      </w:pPr>
    </w:p>
    <w:p w14:paraId="057FDF97" w14:textId="6AEDD921" w:rsidR="00F1556B" w:rsidRDefault="00F1556B" w:rsidP="00044F5A">
      <w:pPr>
        <w:rPr>
          <w:rFonts w:ascii="Arial" w:hAnsi="Arial" w:cs="Arial"/>
          <w:sz w:val="20"/>
          <w:szCs w:val="20"/>
        </w:rPr>
      </w:pPr>
      <w:r>
        <w:rPr>
          <w:rFonts w:ascii="Arial" w:hAnsi="Arial" w:cs="Arial"/>
          <w:noProof/>
          <w:sz w:val="20"/>
          <w:szCs w:val="20"/>
        </w:rPr>
        <w:drawing>
          <wp:inline distT="0" distB="0" distL="0" distR="0" wp14:anchorId="518111C1" wp14:editId="7820F149">
            <wp:extent cx="6912864" cy="2642616"/>
            <wp:effectExtent l="0" t="0" r="2540" b="5715"/>
            <wp:docPr id="159448873" name="Picture 12" descr="Graph depicts the rates per 100,000 population of infectious syphilis cases in Hampshire County, Massachusetts by age group for 2015 and 2024. The included age groups are &lt;20 years, 20-29 years, 30-39 years, and 40+ years. Rates and counts are suppressed for those aged 20-29 and 30-39 years in 2015 and for those aged &lt;20 and 20-29 years in 2024 due to low counts. In 2024, the highest rate is among those aged 30-39, at 36.1, and the lowest unsuppressed rate is among those aged 40+, at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8873" name="Picture 12" descr="Graph depicts the rates per 100,000 population of infectious syphilis cases in Hampshire County, Massachusetts by age group for 2015 and 2024. The included age groups are &lt;20 years, 20-29 years, 30-39 years, and 40+ years. Rates and counts are suppressed for those aged 20-29 and 30-39 years in 2015 and for those aged &lt;20 and 20-29 years in 2024 due to low counts. In 2024, the highest rate is among those aged 30-39, at 36.1, and the lowest unsuppressed rate is among those aged 40+, at 1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1A5795E0" w14:textId="77777777" w:rsidR="00F1556B" w:rsidRPr="001E7A0A" w:rsidRDefault="00F1556B" w:rsidP="00F1556B">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2D1D7C2E" w14:textId="77777777" w:rsidR="00F1556B" w:rsidRPr="001E7A0A" w:rsidRDefault="00F1556B" w:rsidP="00F1556B">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5F31C754" w14:textId="77777777" w:rsidR="00F1556B" w:rsidRPr="001E7A0A" w:rsidRDefault="00F1556B" w:rsidP="00F1556B">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6BC9463D" w14:textId="36633825" w:rsidR="00F1556B" w:rsidRPr="00DD4E6F" w:rsidRDefault="00DD4E6F" w:rsidP="00044F5A">
      <w:pPr>
        <w:rPr>
          <w:rFonts w:ascii="Arial" w:hAnsi="Arial" w:cs="Arial"/>
          <w:sz w:val="12"/>
          <w:szCs w:val="12"/>
        </w:rPr>
      </w:pPr>
      <w:r>
        <w:rPr>
          <w:rFonts w:ascii="Arial" w:hAnsi="Arial" w:cs="Arial"/>
          <w:sz w:val="12"/>
          <w:szCs w:val="12"/>
        </w:rPr>
        <w:t>Dashes represent censored counts and rates.</w:t>
      </w:r>
    </w:p>
    <w:p w14:paraId="6F477D0D" w14:textId="13B8BA75" w:rsidR="00272D41" w:rsidRDefault="00272D41" w:rsidP="00F1556B">
      <w:pPr>
        <w:ind w:left="230"/>
        <w:rPr>
          <w:rFonts w:ascii="Arial" w:hAnsi="Arial" w:cs="Arial"/>
          <w:sz w:val="20"/>
          <w:szCs w:val="20"/>
        </w:rPr>
      </w:pPr>
    </w:p>
    <w:p w14:paraId="18C9DFA3" w14:textId="77777777" w:rsidR="00F1556B" w:rsidRDefault="00F1556B" w:rsidP="00F1556B">
      <w:pPr>
        <w:ind w:left="230"/>
        <w:rPr>
          <w:rFonts w:ascii="Arial" w:hAnsi="Arial" w:cs="Arial"/>
          <w:sz w:val="20"/>
          <w:szCs w:val="20"/>
        </w:rPr>
      </w:pPr>
    </w:p>
    <w:p w14:paraId="41DF5816" w14:textId="77777777" w:rsidR="00F1556B" w:rsidRDefault="00F1556B" w:rsidP="00F1556B">
      <w:pPr>
        <w:ind w:left="230"/>
        <w:rPr>
          <w:rFonts w:ascii="Arial" w:hAnsi="Arial" w:cs="Arial"/>
          <w:sz w:val="20"/>
          <w:szCs w:val="20"/>
        </w:rPr>
      </w:pPr>
    </w:p>
    <w:p w14:paraId="1B7D134D" w14:textId="77777777" w:rsidR="00F1556B" w:rsidRPr="00F1556B" w:rsidRDefault="00F1556B" w:rsidP="00F1556B">
      <w:pPr>
        <w:ind w:left="230"/>
        <w:rPr>
          <w:rFonts w:ascii="Arial" w:hAnsi="Arial" w:cs="Arial"/>
          <w:sz w:val="20"/>
          <w:szCs w:val="20"/>
        </w:rPr>
      </w:pPr>
    </w:p>
    <w:p w14:paraId="24955B8D" w14:textId="77777777" w:rsidR="00272D41" w:rsidRDefault="00272D41" w:rsidP="00272D41">
      <w:pPr>
        <w:rPr>
          <w:rFonts w:ascii="Arial" w:hAnsi="Arial" w:cs="Arial"/>
          <w:b/>
          <w:bCs/>
          <w:sz w:val="20"/>
          <w:szCs w:val="20"/>
          <w:u w:val="single"/>
        </w:rPr>
      </w:pPr>
    </w:p>
    <w:bookmarkEnd w:id="11"/>
    <w:p w14:paraId="6B11E703" w14:textId="37E95B8D" w:rsidR="00773130" w:rsidRDefault="00773130" w:rsidP="00773130">
      <w:pPr>
        <w:rPr>
          <w:rFonts w:ascii="Arial" w:hAnsi="Arial" w:cs="Arial"/>
          <w:sz w:val="20"/>
          <w:szCs w:val="20"/>
        </w:rPr>
      </w:pPr>
    </w:p>
    <w:p w14:paraId="2AC41705" w14:textId="77777777" w:rsidR="008332F1" w:rsidRDefault="008332F1" w:rsidP="00773130">
      <w:pPr>
        <w:rPr>
          <w:rFonts w:ascii="Arial" w:hAnsi="Arial" w:cs="Arial"/>
          <w:sz w:val="20"/>
          <w:szCs w:val="20"/>
        </w:rPr>
      </w:pPr>
    </w:p>
    <w:p w14:paraId="71F4EE48" w14:textId="77777777" w:rsidR="008332F1" w:rsidRDefault="008332F1" w:rsidP="00773130">
      <w:pPr>
        <w:rPr>
          <w:rFonts w:ascii="Arial" w:hAnsi="Arial" w:cs="Arial"/>
          <w:sz w:val="20"/>
          <w:szCs w:val="20"/>
        </w:rPr>
      </w:pPr>
    </w:p>
    <w:p w14:paraId="5AD6AE8C" w14:textId="77777777" w:rsidR="008332F1" w:rsidRDefault="008332F1" w:rsidP="00773130">
      <w:pPr>
        <w:rPr>
          <w:rFonts w:ascii="Arial" w:hAnsi="Arial" w:cs="Arial"/>
          <w:sz w:val="20"/>
          <w:szCs w:val="20"/>
        </w:rPr>
      </w:pPr>
    </w:p>
    <w:p w14:paraId="2232C111" w14:textId="77777777" w:rsidR="008332F1" w:rsidRDefault="008332F1" w:rsidP="00773130">
      <w:pPr>
        <w:rPr>
          <w:rFonts w:ascii="Arial" w:hAnsi="Arial" w:cs="Arial"/>
          <w:sz w:val="20"/>
          <w:szCs w:val="20"/>
        </w:rPr>
      </w:pPr>
    </w:p>
    <w:p w14:paraId="089353FA" w14:textId="77777777" w:rsidR="008332F1" w:rsidRDefault="008332F1" w:rsidP="00773130">
      <w:pPr>
        <w:rPr>
          <w:rFonts w:ascii="Arial" w:hAnsi="Arial" w:cs="Arial"/>
          <w:sz w:val="20"/>
          <w:szCs w:val="20"/>
        </w:rPr>
      </w:pPr>
    </w:p>
    <w:p w14:paraId="72E9C002" w14:textId="77777777" w:rsidR="008332F1" w:rsidRDefault="008332F1" w:rsidP="00773130">
      <w:pPr>
        <w:rPr>
          <w:rFonts w:ascii="Arial" w:hAnsi="Arial" w:cs="Arial"/>
          <w:sz w:val="20"/>
          <w:szCs w:val="20"/>
        </w:rPr>
      </w:pPr>
    </w:p>
    <w:p w14:paraId="6088D54D" w14:textId="77777777" w:rsidR="007A0A91" w:rsidRDefault="007A0A91" w:rsidP="00773130">
      <w:pPr>
        <w:rPr>
          <w:rFonts w:ascii="Arial" w:hAnsi="Arial" w:cs="Arial"/>
          <w:sz w:val="20"/>
          <w:szCs w:val="20"/>
        </w:rPr>
      </w:pPr>
    </w:p>
    <w:p w14:paraId="285A098F" w14:textId="77777777" w:rsidR="001A111E" w:rsidRDefault="001A111E" w:rsidP="00645405">
      <w:pPr>
        <w:pStyle w:val="Heading1"/>
      </w:pPr>
      <w:r>
        <w:lastRenderedPageBreak/>
        <w:t xml:space="preserve">2024 Statewide Massachusetts </w:t>
      </w:r>
    </w:p>
    <w:p w14:paraId="10466507" w14:textId="77777777" w:rsidR="00B10DC2" w:rsidRPr="00B10DC2" w:rsidRDefault="00B10DC2" w:rsidP="00B10DC2">
      <w:pPr>
        <w:rPr>
          <w:rFonts w:ascii="Arial" w:hAnsi="Arial" w:cs="Arial"/>
          <w:sz w:val="20"/>
          <w:szCs w:val="20"/>
        </w:rPr>
      </w:pPr>
      <w:r w:rsidRPr="00B10DC2">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779E7B35" w14:textId="77777777" w:rsidR="00B10DC2" w:rsidRPr="00B10DC2" w:rsidRDefault="00B10DC2" w:rsidP="00B10DC2">
      <w:pPr>
        <w:rPr>
          <w:rFonts w:ascii="Arial" w:hAnsi="Arial" w:cs="Arial"/>
          <w:sz w:val="20"/>
          <w:szCs w:val="20"/>
        </w:rPr>
      </w:pPr>
    </w:p>
    <w:p w14:paraId="15E98CE7" w14:textId="77777777" w:rsidR="00B10DC2" w:rsidRPr="00B10DC2" w:rsidRDefault="00B10DC2" w:rsidP="00B10DC2">
      <w:pPr>
        <w:rPr>
          <w:rFonts w:ascii="Arial" w:hAnsi="Arial" w:cs="Arial"/>
          <w:sz w:val="20"/>
          <w:szCs w:val="20"/>
        </w:rPr>
      </w:pPr>
      <w:r w:rsidRPr="00B10DC2">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3BCF3C15" w14:textId="77777777" w:rsidR="00B10DC2" w:rsidRPr="00B10DC2" w:rsidRDefault="00B10DC2" w:rsidP="00B10DC2">
      <w:pPr>
        <w:rPr>
          <w:rFonts w:ascii="Arial" w:hAnsi="Arial" w:cs="Arial"/>
          <w:sz w:val="20"/>
          <w:szCs w:val="20"/>
        </w:rPr>
      </w:pPr>
    </w:p>
    <w:p w14:paraId="1840B405" w14:textId="77777777" w:rsidR="00B10DC2" w:rsidRPr="00B10DC2" w:rsidRDefault="00B10DC2" w:rsidP="00B10DC2">
      <w:pPr>
        <w:rPr>
          <w:rFonts w:ascii="Arial" w:hAnsi="Arial" w:cs="Arial"/>
          <w:sz w:val="20"/>
          <w:szCs w:val="20"/>
        </w:rPr>
      </w:pPr>
      <w:r w:rsidRPr="00B10DC2">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B10DC2">
        <w:rPr>
          <w:rFonts w:ascii="Arial" w:hAnsi="Arial" w:cs="Arial"/>
          <w:sz w:val="20"/>
          <w:szCs w:val="20"/>
          <w:vertAlign w:val="superscript"/>
        </w:rPr>
        <w:t>th</w:t>
      </w:r>
      <w:r w:rsidRPr="00B10DC2">
        <w:rPr>
          <w:rFonts w:ascii="Arial" w:hAnsi="Arial" w:cs="Arial"/>
          <w:sz w:val="20"/>
          <w:szCs w:val="20"/>
        </w:rPr>
        <w:t xml:space="preserve"> among the 48 states reporting congenital syphilis incidence, indicating relatively better outcomes compared to many other states. </w:t>
      </w:r>
    </w:p>
    <w:p w14:paraId="0546D4C0" w14:textId="77777777" w:rsidR="00B10DC2" w:rsidRPr="00B10DC2" w:rsidRDefault="00B10DC2" w:rsidP="00B10DC2">
      <w:pPr>
        <w:rPr>
          <w:rFonts w:ascii="Arial" w:hAnsi="Arial" w:cs="Arial"/>
          <w:sz w:val="20"/>
          <w:szCs w:val="20"/>
        </w:rPr>
      </w:pPr>
    </w:p>
    <w:p w14:paraId="095C6E52" w14:textId="77777777" w:rsidR="00B10DC2" w:rsidRPr="00B10DC2" w:rsidRDefault="00B10DC2" w:rsidP="00B10DC2">
      <w:pPr>
        <w:rPr>
          <w:rFonts w:ascii="Arial" w:hAnsi="Arial" w:cs="Arial"/>
          <w:sz w:val="20"/>
          <w:szCs w:val="20"/>
          <w:vertAlign w:val="superscript"/>
        </w:rPr>
      </w:pPr>
      <w:r w:rsidRPr="00B10DC2">
        <w:rPr>
          <w:rFonts w:ascii="Arial" w:hAnsi="Arial" w:cs="Arial"/>
          <w:sz w:val="20"/>
          <w:szCs w:val="20"/>
        </w:rPr>
        <w:t>Among individuals of transgender experience and/or individuals who are nonbinary, 51 chlamydia, 91 gonorrhea, and 5 infectious syphilis cases were reported in Massachusetts.</w:t>
      </w:r>
      <w:r w:rsidRPr="00B10DC2">
        <w:rPr>
          <w:rFonts w:ascii="Arial" w:hAnsi="Arial" w:cs="Arial"/>
          <w:sz w:val="20"/>
          <w:szCs w:val="20"/>
          <w:vertAlign w:val="superscript"/>
        </w:rPr>
        <w:t>6</w:t>
      </w:r>
    </w:p>
    <w:p w14:paraId="61D0066C" w14:textId="77777777" w:rsidR="0099132F" w:rsidRPr="00B37112" w:rsidRDefault="0099132F" w:rsidP="0099132F">
      <w:pPr>
        <w:rPr>
          <w:rFonts w:ascii="Arial" w:hAnsi="Arial" w:cs="Arial"/>
        </w:rPr>
      </w:pPr>
      <w:r w:rsidRPr="00B37112">
        <w:rPr>
          <w:rFonts w:ascii="Arial" w:hAnsi="Arial" w:cs="Arial"/>
        </w:rPr>
        <w:t>________________________________________________________________________________</w:t>
      </w:r>
    </w:p>
    <w:p w14:paraId="01197C55" w14:textId="668922A5" w:rsidR="00F02F72" w:rsidRPr="00832748" w:rsidRDefault="00F02F72" w:rsidP="00F02F72">
      <w:pPr>
        <w:rPr>
          <w:rFonts w:ascii="Arial" w:hAnsi="Arial" w:cs="Arial"/>
          <w:sz w:val="16"/>
          <w:szCs w:val="16"/>
        </w:rPr>
      </w:pPr>
      <w:bookmarkStart w:id="12" w:name="_Hlk200616528"/>
      <w:r w:rsidRPr="16BE746D">
        <w:rPr>
          <w:rFonts w:ascii="Arial" w:hAnsi="Arial" w:cs="Arial"/>
          <w:sz w:val="16"/>
          <w:szCs w:val="16"/>
          <w:vertAlign w:val="superscript"/>
        </w:rPr>
        <w:t xml:space="preserve">1 </w:t>
      </w:r>
      <w:r w:rsidRPr="16BE746D">
        <w:rPr>
          <w:rFonts w:ascii="Arial" w:hAnsi="Arial" w:cs="Arial"/>
          <w:sz w:val="16"/>
          <w:szCs w:val="16"/>
        </w:rPr>
        <w:t xml:space="preserve">Source: U.S. Census Bureau. QuickFacts: </w:t>
      </w:r>
      <w:r w:rsidR="008C6E51">
        <w:rPr>
          <w:rFonts w:ascii="Arial" w:hAnsi="Arial" w:cs="Arial"/>
          <w:sz w:val="16"/>
          <w:szCs w:val="16"/>
        </w:rPr>
        <w:t>Hampshire</w:t>
      </w:r>
      <w:r w:rsidRPr="16BE746D">
        <w:rPr>
          <w:rFonts w:ascii="Arial" w:hAnsi="Arial" w:cs="Arial"/>
          <w:sz w:val="16"/>
          <w:szCs w:val="16"/>
        </w:rPr>
        <w:t xml:space="preserve"> County, Massachusetts; Massachusetts. Population Estimates Program, July 1,2024 (Vintage 2024).</w:t>
      </w:r>
    </w:p>
    <w:p w14:paraId="49C374B6" w14:textId="77777777" w:rsidR="00F02F72" w:rsidRDefault="00F02F72" w:rsidP="00F02F72">
      <w:pPr>
        <w:rPr>
          <w:rFonts w:ascii="Arial" w:hAnsi="Arial" w:cs="Arial"/>
          <w:sz w:val="16"/>
          <w:szCs w:val="16"/>
        </w:rPr>
      </w:pPr>
      <w:r w:rsidRPr="16BE746D">
        <w:rPr>
          <w:rFonts w:ascii="Arial" w:hAnsi="Arial" w:cs="Arial"/>
          <w:sz w:val="16"/>
          <w:szCs w:val="16"/>
          <w:vertAlign w:val="superscript"/>
        </w:rPr>
        <w:t>2</w:t>
      </w:r>
      <w:r w:rsidRPr="16BE746D">
        <w:rPr>
          <w:rFonts w:ascii="Arial" w:hAnsi="Arial" w:cs="Arial"/>
          <w:sz w:val="16"/>
          <w:szCs w:val="16"/>
        </w:rPr>
        <w:t xml:space="preserve"> Source: CDC: Sexually Transmitted Infections</w:t>
      </w:r>
    </w:p>
    <w:p w14:paraId="6A614DEC" w14:textId="77777777" w:rsidR="00F02F72" w:rsidRPr="00C66B1B" w:rsidRDefault="00F02F72" w:rsidP="00F02F72">
      <w:pPr>
        <w:rPr>
          <w:rFonts w:ascii="Arial" w:hAnsi="Arial" w:cs="Arial"/>
          <w:sz w:val="16"/>
          <w:szCs w:val="16"/>
        </w:rPr>
      </w:pPr>
      <w:r w:rsidRPr="16BE746D">
        <w:rPr>
          <w:rFonts w:ascii="Arial" w:hAnsi="Arial" w:cs="Arial"/>
          <w:sz w:val="16"/>
          <w:szCs w:val="16"/>
          <w:vertAlign w:val="superscript"/>
        </w:rPr>
        <w:t>3</w:t>
      </w:r>
      <w:r w:rsidRPr="16BE746D">
        <w:rPr>
          <w:rFonts w:ascii="Arial" w:hAnsi="Arial" w:cs="Arial"/>
          <w:sz w:val="16"/>
          <w:szCs w:val="16"/>
        </w:rPr>
        <w:t xml:space="preserve"> Please note the impact of the COVID-19 pandemic on infectious disease screening, treatment, and surveillance in the interpretation of 2020-2023 data </w:t>
      </w:r>
      <w:r w:rsidRPr="006418F9">
        <w:rPr>
          <w:rFonts w:ascii="Arial" w:hAnsi="Arial" w:cs="Arial"/>
          <w:sz w:val="16"/>
          <w:szCs w:val="16"/>
          <w:vertAlign w:val="superscript"/>
        </w:rPr>
        <w:t>4</w:t>
      </w:r>
      <w:r w:rsidRPr="16BE746D">
        <w:rPr>
          <w:rFonts w:ascii="Arial" w:hAnsi="Arial" w:cs="Arial"/>
          <w:sz w:val="16"/>
          <w:szCs w:val="16"/>
        </w:rPr>
        <w:t xml:space="preserve">Source: CDC: Sexually Transmitted Infections Surveillance, 2024 (Provisional). </w:t>
      </w:r>
    </w:p>
    <w:p w14:paraId="31F739F1" w14:textId="77777777" w:rsidR="00F02F72" w:rsidRPr="00C66B1B" w:rsidRDefault="00F02F72" w:rsidP="00F02F72">
      <w:pPr>
        <w:rPr>
          <w:rFonts w:ascii="Arial" w:hAnsi="Arial" w:cs="Arial"/>
          <w:sz w:val="16"/>
          <w:szCs w:val="16"/>
        </w:rPr>
      </w:pPr>
      <w:r w:rsidRPr="16BE746D">
        <w:rPr>
          <w:rFonts w:ascii="Arial" w:hAnsi="Arial" w:cs="Arial"/>
          <w:sz w:val="16"/>
          <w:szCs w:val="16"/>
          <w:vertAlign w:val="superscript"/>
        </w:rPr>
        <w:t xml:space="preserve">5 </w:t>
      </w:r>
      <w:r w:rsidRPr="16BE746D">
        <w:rPr>
          <w:rFonts w:ascii="Arial" w:hAnsi="Arial" w:cs="Arial"/>
          <w:sz w:val="16"/>
          <w:szCs w:val="16"/>
        </w:rPr>
        <w:t>Infectious syphilis is defined as primary, secondary and early latent stages of syphilis within one year of infection.</w:t>
      </w:r>
    </w:p>
    <w:bookmarkEnd w:id="12"/>
    <w:p w14:paraId="747698E8" w14:textId="77777777" w:rsidR="00F02F72" w:rsidRPr="005A5B0D" w:rsidRDefault="00F02F72" w:rsidP="00F02F72">
      <w:pPr>
        <w:rPr>
          <w:rFonts w:ascii="Arial" w:hAnsi="Arial" w:cs="Arial"/>
          <w:sz w:val="16"/>
          <w:szCs w:val="16"/>
        </w:rPr>
      </w:pPr>
      <w:r w:rsidRPr="16BE746D">
        <w:rPr>
          <w:rFonts w:ascii="Arial" w:hAnsi="Arial" w:cs="Arial"/>
          <w:sz w:val="16"/>
          <w:szCs w:val="16"/>
          <w:vertAlign w:val="superscript"/>
        </w:rPr>
        <w:t>6</w:t>
      </w:r>
      <w:r w:rsidRPr="16BE746D">
        <w:rPr>
          <w:rFonts w:ascii="Arial" w:hAnsi="Arial" w:cs="Arial"/>
          <w:sz w:val="16"/>
          <w:szCs w:val="16"/>
        </w:rPr>
        <w:t xml:space="preserve">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w:t>
      </w:r>
    </w:p>
    <w:p w14:paraId="6F5D72AB" w14:textId="5F600129" w:rsidR="00367446" w:rsidRPr="0099132F" w:rsidRDefault="00367446" w:rsidP="00F02F72">
      <w:pPr>
        <w:rPr>
          <w:rFonts w:ascii="Arial" w:hAnsi="Arial" w:cs="Arial"/>
          <w:sz w:val="16"/>
          <w:szCs w:val="16"/>
        </w:rPr>
      </w:pPr>
    </w:p>
    <w:sectPr w:rsidR="00367446" w:rsidRPr="0099132F"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06F5" w14:textId="77777777" w:rsidR="00B21F31" w:rsidRDefault="00B21F31" w:rsidP="0018731B">
      <w:r>
        <w:separator/>
      </w:r>
    </w:p>
  </w:endnote>
  <w:endnote w:type="continuationSeparator" w:id="0">
    <w:p w14:paraId="51A8D2C8" w14:textId="77777777" w:rsidR="00B21F31" w:rsidRDefault="00B21F31"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9FEB" w14:textId="77777777" w:rsidR="00B21F31" w:rsidRDefault="00B21F31" w:rsidP="0018731B">
      <w:r>
        <w:separator/>
      </w:r>
    </w:p>
  </w:footnote>
  <w:footnote w:type="continuationSeparator" w:id="0">
    <w:p w14:paraId="03621F11" w14:textId="77777777" w:rsidR="00B21F31" w:rsidRDefault="00B21F31"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06679"/>
    <w:rsid w:val="0001435E"/>
    <w:rsid w:val="00016D44"/>
    <w:rsid w:val="00026E52"/>
    <w:rsid w:val="00044F5A"/>
    <w:rsid w:val="000467A8"/>
    <w:rsid w:val="000631B0"/>
    <w:rsid w:val="00074C99"/>
    <w:rsid w:val="000B1C6E"/>
    <w:rsid w:val="000B58C3"/>
    <w:rsid w:val="000B72E8"/>
    <w:rsid w:val="000C4537"/>
    <w:rsid w:val="000F2A7E"/>
    <w:rsid w:val="000F32A9"/>
    <w:rsid w:val="00120B8B"/>
    <w:rsid w:val="00121004"/>
    <w:rsid w:val="00126AE4"/>
    <w:rsid w:val="00155E4B"/>
    <w:rsid w:val="00157D41"/>
    <w:rsid w:val="0016162E"/>
    <w:rsid w:val="00173387"/>
    <w:rsid w:val="0018731B"/>
    <w:rsid w:val="001909BC"/>
    <w:rsid w:val="001A0610"/>
    <w:rsid w:val="001A111E"/>
    <w:rsid w:val="001A4145"/>
    <w:rsid w:val="001A6732"/>
    <w:rsid w:val="001B683C"/>
    <w:rsid w:val="00210ECD"/>
    <w:rsid w:val="00241DF2"/>
    <w:rsid w:val="00247B9C"/>
    <w:rsid w:val="0025059B"/>
    <w:rsid w:val="00255994"/>
    <w:rsid w:val="002665EA"/>
    <w:rsid w:val="00272D41"/>
    <w:rsid w:val="00295EEA"/>
    <w:rsid w:val="002A0EE7"/>
    <w:rsid w:val="002C7062"/>
    <w:rsid w:val="002D2AA8"/>
    <w:rsid w:val="002D5027"/>
    <w:rsid w:val="00325307"/>
    <w:rsid w:val="003443C5"/>
    <w:rsid w:val="003662DB"/>
    <w:rsid w:val="00367446"/>
    <w:rsid w:val="00372EDD"/>
    <w:rsid w:val="003847AB"/>
    <w:rsid w:val="00384FC5"/>
    <w:rsid w:val="003E4460"/>
    <w:rsid w:val="003F0556"/>
    <w:rsid w:val="003F1767"/>
    <w:rsid w:val="00433000"/>
    <w:rsid w:val="00433E5B"/>
    <w:rsid w:val="00452FB2"/>
    <w:rsid w:val="00453970"/>
    <w:rsid w:val="00454176"/>
    <w:rsid w:val="0047300B"/>
    <w:rsid w:val="00473095"/>
    <w:rsid w:val="00481234"/>
    <w:rsid w:val="004849AC"/>
    <w:rsid w:val="004926E5"/>
    <w:rsid w:val="004A18B7"/>
    <w:rsid w:val="004A279C"/>
    <w:rsid w:val="004A5D68"/>
    <w:rsid w:val="004C37AA"/>
    <w:rsid w:val="004D1987"/>
    <w:rsid w:val="004E053F"/>
    <w:rsid w:val="00514EBE"/>
    <w:rsid w:val="00561941"/>
    <w:rsid w:val="005665F8"/>
    <w:rsid w:val="00593D61"/>
    <w:rsid w:val="005A30DC"/>
    <w:rsid w:val="005A4548"/>
    <w:rsid w:val="005B5BFA"/>
    <w:rsid w:val="005E05B8"/>
    <w:rsid w:val="005F5600"/>
    <w:rsid w:val="00605ED8"/>
    <w:rsid w:val="00645405"/>
    <w:rsid w:val="00661836"/>
    <w:rsid w:val="006632CE"/>
    <w:rsid w:val="00680249"/>
    <w:rsid w:val="006806DF"/>
    <w:rsid w:val="0069217B"/>
    <w:rsid w:val="006C4077"/>
    <w:rsid w:val="006E4764"/>
    <w:rsid w:val="0070539D"/>
    <w:rsid w:val="00706DAD"/>
    <w:rsid w:val="00717F57"/>
    <w:rsid w:val="00720EDB"/>
    <w:rsid w:val="00726290"/>
    <w:rsid w:val="007453C9"/>
    <w:rsid w:val="00755AD7"/>
    <w:rsid w:val="00773130"/>
    <w:rsid w:val="00776090"/>
    <w:rsid w:val="00783305"/>
    <w:rsid w:val="007863C7"/>
    <w:rsid w:val="007A0A91"/>
    <w:rsid w:val="007A7248"/>
    <w:rsid w:val="007A72A6"/>
    <w:rsid w:val="007B58A6"/>
    <w:rsid w:val="007C3E81"/>
    <w:rsid w:val="007E6957"/>
    <w:rsid w:val="007F3039"/>
    <w:rsid w:val="00806AAA"/>
    <w:rsid w:val="008104D4"/>
    <w:rsid w:val="00821FA8"/>
    <w:rsid w:val="008332F1"/>
    <w:rsid w:val="00840181"/>
    <w:rsid w:val="008621FC"/>
    <w:rsid w:val="00862898"/>
    <w:rsid w:val="0087083C"/>
    <w:rsid w:val="008948E6"/>
    <w:rsid w:val="008C1004"/>
    <w:rsid w:val="008C6E51"/>
    <w:rsid w:val="008D731F"/>
    <w:rsid w:val="00905A5E"/>
    <w:rsid w:val="0092297C"/>
    <w:rsid w:val="00941589"/>
    <w:rsid w:val="00947A13"/>
    <w:rsid w:val="00952DF7"/>
    <w:rsid w:val="00954E5B"/>
    <w:rsid w:val="00972569"/>
    <w:rsid w:val="0097602D"/>
    <w:rsid w:val="0099132F"/>
    <w:rsid w:val="00993B27"/>
    <w:rsid w:val="00994BE7"/>
    <w:rsid w:val="009A16C5"/>
    <w:rsid w:val="009C7550"/>
    <w:rsid w:val="009C77CD"/>
    <w:rsid w:val="009D212A"/>
    <w:rsid w:val="009D3A5E"/>
    <w:rsid w:val="009F1DE3"/>
    <w:rsid w:val="00A00EE2"/>
    <w:rsid w:val="00A1078B"/>
    <w:rsid w:val="00A12516"/>
    <w:rsid w:val="00A14913"/>
    <w:rsid w:val="00A14A42"/>
    <w:rsid w:val="00A24D5D"/>
    <w:rsid w:val="00A270E9"/>
    <w:rsid w:val="00A55E77"/>
    <w:rsid w:val="00A624BD"/>
    <w:rsid w:val="00A701CD"/>
    <w:rsid w:val="00A82668"/>
    <w:rsid w:val="00A83E04"/>
    <w:rsid w:val="00A95970"/>
    <w:rsid w:val="00AB0A3E"/>
    <w:rsid w:val="00AB3594"/>
    <w:rsid w:val="00AB3732"/>
    <w:rsid w:val="00B01E5D"/>
    <w:rsid w:val="00B10413"/>
    <w:rsid w:val="00B10DC2"/>
    <w:rsid w:val="00B1441D"/>
    <w:rsid w:val="00B21F31"/>
    <w:rsid w:val="00B221FF"/>
    <w:rsid w:val="00B227D2"/>
    <w:rsid w:val="00B37473"/>
    <w:rsid w:val="00B47C52"/>
    <w:rsid w:val="00B5637D"/>
    <w:rsid w:val="00B60AEB"/>
    <w:rsid w:val="00B714FC"/>
    <w:rsid w:val="00B84444"/>
    <w:rsid w:val="00BA2EEC"/>
    <w:rsid w:val="00BB1765"/>
    <w:rsid w:val="00BB2968"/>
    <w:rsid w:val="00BB365E"/>
    <w:rsid w:val="00BC64CB"/>
    <w:rsid w:val="00BE2313"/>
    <w:rsid w:val="00C10E56"/>
    <w:rsid w:val="00C1302B"/>
    <w:rsid w:val="00C26688"/>
    <w:rsid w:val="00C45337"/>
    <w:rsid w:val="00C50C59"/>
    <w:rsid w:val="00C66B1B"/>
    <w:rsid w:val="00C753A3"/>
    <w:rsid w:val="00C87E8B"/>
    <w:rsid w:val="00CC19E2"/>
    <w:rsid w:val="00CC67EF"/>
    <w:rsid w:val="00CD5004"/>
    <w:rsid w:val="00CF0CE3"/>
    <w:rsid w:val="00D05E01"/>
    <w:rsid w:val="00D061FF"/>
    <w:rsid w:val="00D06EBE"/>
    <w:rsid w:val="00D10369"/>
    <w:rsid w:val="00D12E02"/>
    <w:rsid w:val="00D2362D"/>
    <w:rsid w:val="00D3255A"/>
    <w:rsid w:val="00D43667"/>
    <w:rsid w:val="00D765A1"/>
    <w:rsid w:val="00D81D97"/>
    <w:rsid w:val="00DD4E6F"/>
    <w:rsid w:val="00DE1285"/>
    <w:rsid w:val="00E07ABD"/>
    <w:rsid w:val="00E150E7"/>
    <w:rsid w:val="00E172A4"/>
    <w:rsid w:val="00E407D1"/>
    <w:rsid w:val="00E55624"/>
    <w:rsid w:val="00E7337F"/>
    <w:rsid w:val="00E83783"/>
    <w:rsid w:val="00E91699"/>
    <w:rsid w:val="00EC6B1F"/>
    <w:rsid w:val="00EE12C8"/>
    <w:rsid w:val="00EF353D"/>
    <w:rsid w:val="00EF4AD4"/>
    <w:rsid w:val="00F02F72"/>
    <w:rsid w:val="00F074BF"/>
    <w:rsid w:val="00F13627"/>
    <w:rsid w:val="00F1556B"/>
    <w:rsid w:val="00F15743"/>
    <w:rsid w:val="00F202D0"/>
    <w:rsid w:val="00F22B7D"/>
    <w:rsid w:val="00F522FB"/>
    <w:rsid w:val="00FC09A9"/>
    <w:rsid w:val="00FC5164"/>
    <w:rsid w:val="00FE226A"/>
    <w:rsid w:val="00FE3788"/>
    <w:rsid w:val="00FF1F02"/>
    <w:rsid w:val="0241D09D"/>
    <w:rsid w:val="0BF8C60E"/>
    <w:rsid w:val="0D45E238"/>
    <w:rsid w:val="1537E997"/>
    <w:rsid w:val="1571893B"/>
    <w:rsid w:val="169AEC96"/>
    <w:rsid w:val="1B0DA0B8"/>
    <w:rsid w:val="2D5AB88A"/>
    <w:rsid w:val="3655CCF3"/>
    <w:rsid w:val="3AAE99A8"/>
    <w:rsid w:val="3AE6B61D"/>
    <w:rsid w:val="3DB17959"/>
    <w:rsid w:val="42844AF5"/>
    <w:rsid w:val="5492335D"/>
    <w:rsid w:val="55764DEE"/>
    <w:rsid w:val="57B0ABC2"/>
    <w:rsid w:val="5EC82D85"/>
    <w:rsid w:val="6A16D7C2"/>
    <w:rsid w:val="6DD0F520"/>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B"/>
  </w:style>
  <w:style w:type="paragraph" w:styleId="Heading1">
    <w:name w:val="heading 1"/>
    <w:basedOn w:val="Normal"/>
    <w:next w:val="Normal"/>
    <w:link w:val="Heading1Char"/>
    <w:uiPriority w:val="9"/>
    <w:qFormat/>
    <w:rsid w:val="00645405"/>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table" w:styleId="TableGrid">
    <w:name w:val="Table Grid"/>
    <w:basedOn w:val="TableNormal"/>
    <w:uiPriority w:val="39"/>
    <w:rsid w:val="00266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37AA"/>
  </w:style>
  <w:style w:type="character" w:styleId="Mention">
    <w:name w:val="Mention"/>
    <w:basedOn w:val="DefaultParagraphFont"/>
    <w:uiPriority w:val="99"/>
    <w:unhideWhenUsed/>
    <w:rsid w:val="00044F5A"/>
    <w:rPr>
      <w:color w:val="2B579A"/>
      <w:shd w:val="clear" w:color="auto" w:fill="E1DFDD"/>
    </w:rPr>
  </w:style>
  <w:style w:type="paragraph" w:styleId="Title">
    <w:name w:val="Title"/>
    <w:basedOn w:val="Normal"/>
    <w:next w:val="Normal"/>
    <w:link w:val="TitleChar"/>
    <w:uiPriority w:val="10"/>
    <w:qFormat/>
    <w:rsid w:val="00645405"/>
    <w:rPr>
      <w:rFonts w:ascii="Arial" w:hAnsi="Arial" w:cs="Arial"/>
      <w:b/>
      <w:bCs/>
      <w:i/>
      <w:sz w:val="20"/>
    </w:rPr>
  </w:style>
  <w:style w:type="character" w:customStyle="1" w:styleId="TitleChar">
    <w:name w:val="Title Char"/>
    <w:basedOn w:val="DefaultParagraphFont"/>
    <w:link w:val="Title"/>
    <w:uiPriority w:val="10"/>
    <w:rsid w:val="00645405"/>
    <w:rPr>
      <w:rFonts w:ascii="Arial" w:hAnsi="Arial" w:cs="Arial"/>
      <w:b/>
      <w:bCs/>
      <w:i/>
      <w:sz w:val="20"/>
    </w:rPr>
  </w:style>
  <w:style w:type="paragraph" w:styleId="Subtitle">
    <w:name w:val="Subtitle"/>
    <w:basedOn w:val="Normal"/>
    <w:next w:val="Normal"/>
    <w:link w:val="SubtitleChar"/>
    <w:uiPriority w:val="11"/>
    <w:qFormat/>
    <w:rsid w:val="00645405"/>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645405"/>
    <w:rPr>
      <w:rFonts w:ascii="Arial" w:hAnsi="Arial" w:cs="Arial"/>
      <w:b/>
      <w:bCs/>
      <w:sz w:val="20"/>
      <w:szCs w:val="20"/>
    </w:rPr>
  </w:style>
  <w:style w:type="character" w:customStyle="1" w:styleId="Heading1Char">
    <w:name w:val="Heading 1 Char"/>
    <w:basedOn w:val="DefaultParagraphFont"/>
    <w:link w:val="Heading1"/>
    <w:uiPriority w:val="9"/>
    <w:rsid w:val="00645405"/>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9070801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397214636">
      <w:bodyDiv w:val="1"/>
      <w:marLeft w:val="0"/>
      <w:marRight w:val="0"/>
      <w:marTop w:val="0"/>
      <w:marBottom w:val="0"/>
      <w:divBdr>
        <w:top w:val="none" w:sz="0" w:space="0" w:color="auto"/>
        <w:left w:val="none" w:sz="0" w:space="0" w:color="auto"/>
        <w:bottom w:val="none" w:sz="0" w:space="0" w:color="auto"/>
        <w:right w:val="none" w:sz="0" w:space="0" w:color="auto"/>
      </w:divBdr>
    </w:div>
    <w:div w:id="487482546">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1949</Words>
  <Characters>11114</Characters>
  <Application>Microsoft Office Word</Application>
  <DocSecurity>4</DocSecurity>
  <Lines>92</Lines>
  <Paragraphs>26</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Hampshire County 2024</dc:title>
  <dc:subject/>
  <dc:creator>Elder, Heather (DPH)</dc:creator>
  <cp:keywords/>
  <dc:description/>
  <cp:lastModifiedBy>Yeaple, Jennifer (DPH)</cp:lastModifiedBy>
  <cp:revision>2</cp:revision>
  <dcterms:created xsi:type="dcterms:W3CDTF">2026-05-21T14:33:00Z</dcterms:created>
  <dcterms:modified xsi:type="dcterms:W3CDTF">2026-05-21T14:33:00Z</dcterms:modified>
</cp:coreProperties>
</file>