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D8C" w14:textId="77777777" w:rsidR="00A95970" w:rsidRPr="00FC412A" w:rsidRDefault="00A95970" w:rsidP="00FC412A">
      <w:pPr>
        <w:pStyle w:val="Title"/>
      </w:pPr>
      <w:r w:rsidRPr="00FC412A">
        <w:t>Massachusetts Department of Public Health, Bureau of Infectious Disease and Laboratory Sciences</w:t>
      </w:r>
    </w:p>
    <w:p w14:paraId="233039C6" w14:textId="4BBA0E6B" w:rsidR="004849AC" w:rsidRPr="00FC412A" w:rsidRDefault="00A95970" w:rsidP="00FC412A">
      <w:pPr>
        <w:pStyle w:val="Subtitle"/>
      </w:pPr>
      <w:r w:rsidRPr="00FC412A">
        <w:t xml:space="preserve">Summary for </w:t>
      </w:r>
      <w:r w:rsidR="00384C2F" w:rsidRPr="00FC412A">
        <w:t>Plymouth</w:t>
      </w:r>
      <w:r w:rsidR="00C45337" w:rsidRPr="00FC412A">
        <w:t xml:space="preserve"> County</w:t>
      </w:r>
      <w:r w:rsidR="004849AC" w:rsidRPr="00FC412A">
        <w:t>, Massachusetts, 202</w:t>
      </w:r>
      <w:r w:rsidR="00CF0CE3" w:rsidRPr="00FC412A">
        <w:t>4</w:t>
      </w:r>
    </w:p>
    <w:p w14:paraId="74FF50A5" w14:textId="7FF0472D" w:rsidR="00D5052D" w:rsidRPr="00D5052D" w:rsidRDefault="00D5052D" w:rsidP="00D5052D">
      <w:pPr>
        <w:rPr>
          <w:rFonts w:ascii="Arial" w:hAnsi="Arial" w:cs="Arial"/>
          <w:sz w:val="20"/>
          <w:szCs w:val="20"/>
          <w:vertAlign w:val="superscript"/>
        </w:rPr>
      </w:pPr>
      <w:r w:rsidRPr="00D5052D">
        <w:rPr>
          <w:rFonts w:ascii="Arial" w:hAnsi="Arial" w:cs="Arial"/>
          <w:sz w:val="20"/>
          <w:szCs w:val="20"/>
        </w:rPr>
        <w:t xml:space="preserve">Plymouth County, located in southeastern Massachusetts, was established in 1685 and encompasses communities along the South Shore and Cape Cod Canal region. As of July 1, 2024, it has an estimated population of 542,090, up from 530,819 at the 2020 Census. </w:t>
      </w:r>
      <w:r w:rsidR="007448C5">
        <w:rPr>
          <w:rFonts w:ascii="Arial" w:hAnsi="Arial" w:cs="Arial"/>
          <w:sz w:val="20"/>
          <w:szCs w:val="20"/>
        </w:rPr>
        <w:t>As of 2024, t</w:t>
      </w:r>
      <w:r w:rsidRPr="00D5052D">
        <w:rPr>
          <w:rFonts w:ascii="Arial" w:hAnsi="Arial" w:cs="Arial"/>
          <w:sz w:val="20"/>
          <w:szCs w:val="20"/>
        </w:rPr>
        <w:t>he population is predominantly White, with 82.0% identifying as White alone. Other racial and ethnic groups include Black or African American alone (13.3%), Asian alone (1.9%), American Indian and Alaska Native alone (0.4%), Native Hawaiian and Other Pacific Islander alone (0.1%), and individuals reporting two or more races (2.3%). Hispanic or Latino residents make up about 5.3% of the population. In the county, 20.2% of residents are under 18 years old and 20.9% are 65 years and over. In comparison, Massachusetts’ population has 19.0% under 18 years old and 18.7% aged 65 and over. The county also exhibits a slightly higher proportion of females compared to males, with approximately 51.2% of the population identifying as female.</w:t>
      </w:r>
      <w:r>
        <w:rPr>
          <w:rFonts w:ascii="Arial" w:hAnsi="Arial" w:cs="Arial"/>
          <w:sz w:val="20"/>
          <w:szCs w:val="20"/>
          <w:vertAlign w:val="superscript"/>
        </w:rPr>
        <w:t>1</w:t>
      </w:r>
    </w:p>
    <w:p w14:paraId="100DE767" w14:textId="77777777" w:rsidR="003E4460" w:rsidRDefault="003E4460" w:rsidP="00773130">
      <w:pPr>
        <w:rPr>
          <w:rFonts w:ascii="Arial" w:hAnsi="Arial" w:cs="Arial"/>
          <w:sz w:val="20"/>
          <w:szCs w:val="20"/>
        </w:rPr>
      </w:pPr>
    </w:p>
    <w:p w14:paraId="6D656B2D" w14:textId="44DF3C11" w:rsidR="00C64FD4" w:rsidRPr="00FC412A" w:rsidRDefault="003E4460" w:rsidP="00FC412A">
      <w:pPr>
        <w:pStyle w:val="Heading1"/>
      </w:pPr>
      <w:r w:rsidRPr="00FC412A">
        <w:t>Quick Stats</w:t>
      </w:r>
    </w:p>
    <w:p w14:paraId="6392481D" w14:textId="7B31706D" w:rsidR="003E45EC" w:rsidRPr="00D5052D" w:rsidRDefault="003E45EC" w:rsidP="003E4460">
      <w:pPr>
        <w:rPr>
          <w:rFonts w:ascii="Arial" w:hAnsi="Arial" w:cs="Arial"/>
          <w:b/>
          <w:bCs/>
          <w:sz w:val="20"/>
          <w:szCs w:val="20"/>
          <w:u w:val="single"/>
        </w:rPr>
      </w:pPr>
      <w:r>
        <w:rPr>
          <w:noProof/>
        </w:rPr>
        <w:drawing>
          <wp:inline distT="0" distB="0" distL="0" distR="0" wp14:anchorId="4CB794FB" wp14:editId="0FB6516A">
            <wp:extent cx="6858000" cy="1021080"/>
            <wp:effectExtent l="0" t="0" r="0" b="7620"/>
            <wp:docPr id="415866066" name="Picture 1" descr="Table shows counts and rates per 100,000 of chlamydia, gonorrhea, and infectious syphilis cases in Plymouth County for 2015, 2023, and 2024, as well as counts and rates statewide and nationally for 2024. Additionally, the table includes percent change calculations for all three STIs comparing rates from 2023 to 2024 and 2015 to 2024 in Plymouth County. From 2023 to 2024, Plymouth County saw a 7.1% decrease in chlamydia rate, a 13.4% decrease in gonorrhea rate, and a 6.4% increase in infectious syphilis rate. From 2015 to 2024, Plymouth County saw a 33.1% increase in chlamydia rate, a 152.3% increase in gonorrhea rate, and a 152.8% increase in infectious syphilis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021080"/>
                    </a:xfrm>
                    <a:prstGeom prst="rect">
                      <a:avLst/>
                    </a:prstGeom>
                    <a:noFill/>
                    <a:ln>
                      <a:noFill/>
                    </a:ln>
                  </pic:spPr>
                </pic:pic>
              </a:graphicData>
            </a:graphic>
          </wp:inline>
        </w:drawing>
      </w:r>
    </w:p>
    <w:p w14:paraId="16547138" w14:textId="77777777" w:rsidR="003E4460" w:rsidRPr="00364785" w:rsidRDefault="003E4460" w:rsidP="003E4460">
      <w:pPr>
        <w:rPr>
          <w:rFonts w:ascii="Arial" w:hAnsi="Arial" w:cs="Arial"/>
          <w:sz w:val="12"/>
          <w:szCs w:val="12"/>
        </w:rPr>
      </w:pPr>
      <w:r w:rsidRPr="00364785">
        <w:rPr>
          <w:rFonts w:ascii="Arial" w:hAnsi="Arial" w:cs="Arial"/>
          <w:sz w:val="12"/>
          <w:szCs w:val="12"/>
        </w:rPr>
        <w:t xml:space="preserve">Data are current as of </w:t>
      </w:r>
      <w:r>
        <w:rPr>
          <w:rFonts w:ascii="Arial" w:hAnsi="Arial" w:cs="Arial"/>
          <w:sz w:val="12"/>
          <w:szCs w:val="12"/>
        </w:rPr>
        <w:t>6</w:t>
      </w:r>
      <w:r w:rsidRPr="00364785">
        <w:rPr>
          <w:rFonts w:ascii="Arial" w:hAnsi="Arial" w:cs="Arial"/>
          <w:sz w:val="12"/>
          <w:szCs w:val="12"/>
        </w:rPr>
        <w:t>/</w:t>
      </w:r>
      <w:r>
        <w:rPr>
          <w:rFonts w:ascii="Arial" w:hAnsi="Arial" w:cs="Arial"/>
          <w:sz w:val="12"/>
          <w:szCs w:val="12"/>
        </w:rPr>
        <w:t>02</w:t>
      </w:r>
      <w:r w:rsidRPr="00364785">
        <w:rPr>
          <w:rFonts w:ascii="Arial" w:hAnsi="Arial" w:cs="Arial"/>
          <w:sz w:val="12"/>
          <w:szCs w:val="12"/>
        </w:rPr>
        <w:t>/202</w:t>
      </w:r>
      <w:r>
        <w:rPr>
          <w:rFonts w:ascii="Arial" w:hAnsi="Arial" w:cs="Arial"/>
          <w:sz w:val="12"/>
          <w:szCs w:val="12"/>
        </w:rPr>
        <w:t>5</w:t>
      </w:r>
      <w:r w:rsidRPr="00364785">
        <w:rPr>
          <w:rFonts w:ascii="Arial" w:hAnsi="Arial" w:cs="Arial"/>
          <w:sz w:val="12"/>
          <w:szCs w:val="12"/>
        </w:rPr>
        <w:t xml:space="preserve"> and are subject to change. </w:t>
      </w:r>
    </w:p>
    <w:p w14:paraId="40882AD0" w14:textId="77777777" w:rsidR="003E4460" w:rsidRPr="00364785" w:rsidRDefault="003E4460" w:rsidP="003E4460">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42DF539D" w14:textId="77777777" w:rsidR="003E4460" w:rsidRPr="007C1EF3" w:rsidRDefault="003E4460" w:rsidP="003E4460">
      <w:pPr>
        <w:rPr>
          <w:rFonts w:ascii="Arial" w:hAnsi="Arial" w:cs="Arial"/>
          <w:sz w:val="12"/>
          <w:szCs w:val="12"/>
        </w:rPr>
      </w:pPr>
      <w:r w:rsidRPr="00364785">
        <w:rPr>
          <w:rFonts w:ascii="Arial" w:hAnsi="Arial" w:cs="Arial"/>
          <w:sz w:val="12"/>
          <w:szCs w:val="12"/>
        </w:rPr>
        <w:t>Data source: Massachusetts Department of Public Health/Bureau of Infectious Disease and Laboratory Sciences/Division of STD Prevention.</w:t>
      </w:r>
    </w:p>
    <w:p w14:paraId="597397F6" w14:textId="77777777" w:rsidR="003E4460" w:rsidRPr="009D424A" w:rsidRDefault="003E4460" w:rsidP="00773130">
      <w:pPr>
        <w:rPr>
          <w:rFonts w:ascii="Arial" w:hAnsi="Arial" w:cs="Arial"/>
          <w:sz w:val="20"/>
          <w:szCs w:val="20"/>
        </w:rPr>
      </w:pPr>
    </w:p>
    <w:p w14:paraId="73F18A86" w14:textId="7721F652" w:rsidR="004849AC" w:rsidRPr="00E07ABD" w:rsidRDefault="004849AC" w:rsidP="004849AC">
      <w:pPr>
        <w:rPr>
          <w:rFonts w:ascii="Arial" w:hAnsi="Arial" w:cs="Arial"/>
          <w:b/>
          <w:bCs/>
          <w:sz w:val="20"/>
          <w:szCs w:val="20"/>
          <w:u w:val="single"/>
        </w:rPr>
      </w:pPr>
      <w:r w:rsidRPr="00E07ABD">
        <w:rPr>
          <w:rFonts w:ascii="Arial" w:hAnsi="Arial" w:cs="Arial"/>
          <w:b/>
          <w:bCs/>
          <w:sz w:val="20"/>
          <w:szCs w:val="20"/>
          <w:u w:val="single"/>
        </w:rPr>
        <w:t>Chlamydia</w:t>
      </w:r>
    </w:p>
    <w:p w14:paraId="1520ACBA" w14:textId="425DF34E" w:rsidR="007863C7" w:rsidRPr="00D5052D" w:rsidRDefault="007863C7" w:rsidP="26CF2D6E">
      <w:pPr>
        <w:rPr>
          <w:rFonts w:ascii="Arial" w:hAnsi="Arial" w:cs="Arial"/>
          <w:sz w:val="20"/>
          <w:szCs w:val="20"/>
          <w:vertAlign w:val="superscript"/>
        </w:rPr>
      </w:pPr>
      <w:r w:rsidRPr="26CF2D6E">
        <w:rPr>
          <w:rFonts w:ascii="Arial" w:hAnsi="Arial" w:cs="Arial"/>
          <w:sz w:val="20"/>
          <w:szCs w:val="20"/>
        </w:rPr>
        <w:t>Chlamydia has the highest reported incidence among STIs in Massachusetts and nationally. I</w:t>
      </w:r>
      <w:r w:rsidR="007C3E81" w:rsidRPr="26CF2D6E">
        <w:rPr>
          <w:rFonts w:ascii="Arial" w:hAnsi="Arial" w:cs="Arial"/>
          <w:sz w:val="20"/>
          <w:szCs w:val="20"/>
        </w:rPr>
        <w:t>t</w:t>
      </w:r>
      <w:r w:rsidRPr="26CF2D6E">
        <w:rPr>
          <w:rFonts w:ascii="Arial" w:hAnsi="Arial" w:cs="Arial"/>
          <w:sz w:val="20"/>
          <w:szCs w:val="20"/>
        </w:rPr>
        <w:t xml:space="preserve"> is a bacterial infection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6DF49C78" w:rsidRPr="26CF2D6E">
        <w:rPr>
          <w:rFonts w:ascii="Arial" w:hAnsi="Arial" w:cs="Arial"/>
          <w:sz w:val="20"/>
          <w:szCs w:val="20"/>
        </w:rPr>
        <w:t xml:space="preserve"> </w:t>
      </w:r>
      <w:r w:rsidR="6DF49C78" w:rsidRPr="26CF2D6E">
        <w:rPr>
          <w:rFonts w:ascii="Arial" w:eastAsia="Arial" w:hAnsi="Arial" w:cs="Arial"/>
          <w:sz w:val="20"/>
          <w:szCs w:val="20"/>
        </w:rPr>
        <w:t>with medication from a medical provider</w:t>
      </w:r>
      <w:r w:rsidRPr="26CF2D6E">
        <w:rPr>
          <w:rFonts w:ascii="Arial" w:hAnsi="Arial" w:cs="Arial"/>
          <w:sz w:val="20"/>
          <w:szCs w:val="20"/>
        </w:rPr>
        <w:t>, but repeated infections are common. Women are at a greater risk of complications from repeated infections.</w:t>
      </w:r>
      <w:r w:rsidR="00D5052D" w:rsidRPr="26CF2D6E">
        <w:rPr>
          <w:rFonts w:ascii="Arial" w:hAnsi="Arial" w:cs="Arial"/>
          <w:sz w:val="20"/>
          <w:szCs w:val="20"/>
          <w:vertAlign w:val="superscript"/>
        </w:rPr>
        <w:t>2</w:t>
      </w:r>
    </w:p>
    <w:p w14:paraId="76312227" w14:textId="2C347000" w:rsidR="00E07ABD" w:rsidRDefault="00E07ABD" w:rsidP="00E07ABD">
      <w:pPr>
        <w:rPr>
          <w:rFonts w:ascii="Arial" w:hAnsi="Arial" w:cs="Arial"/>
          <w:sz w:val="20"/>
          <w:szCs w:val="20"/>
        </w:rPr>
      </w:pPr>
    </w:p>
    <w:p w14:paraId="7D80CE0B" w14:textId="66CD43E9" w:rsidR="0069217B" w:rsidRPr="0069217B" w:rsidRDefault="007E6957" w:rsidP="00862898">
      <w:pPr>
        <w:rPr>
          <w:rFonts w:ascii="Arial" w:hAnsi="Arial" w:cs="Arial"/>
          <w:sz w:val="20"/>
          <w:szCs w:val="20"/>
          <w:vertAlign w:val="superscript"/>
        </w:rPr>
      </w:pPr>
      <w:r w:rsidRPr="007E6957">
        <w:rPr>
          <w:rFonts w:ascii="Arial" w:hAnsi="Arial" w:cs="Arial"/>
          <w:b/>
          <w:bCs/>
          <w:sz w:val="20"/>
          <w:szCs w:val="20"/>
        </w:rPr>
        <w:t>Since 2015, there has been an overall increase in reported chlamydia cases statewide, except for 2020, when case counts temporarily dropped due to the impacts of the COVID-19 pandemic</w:t>
      </w:r>
      <w:r w:rsidR="00D5052D">
        <w:rPr>
          <w:rFonts w:ascii="Arial" w:hAnsi="Arial" w:cs="Arial"/>
          <w:b/>
          <w:bCs/>
          <w:sz w:val="20"/>
          <w:szCs w:val="20"/>
          <w:vertAlign w:val="superscript"/>
        </w:rPr>
        <w:t>3</w:t>
      </w:r>
      <w:r w:rsidRPr="007E6957">
        <w:rPr>
          <w:rFonts w:ascii="Arial" w:hAnsi="Arial" w:cs="Arial"/>
          <w:b/>
          <w:bCs/>
          <w:sz w:val="20"/>
          <w:szCs w:val="20"/>
        </w:rPr>
        <w:t xml:space="preserve">. During this period, statewide case counts ranged from 23,944 cases in 2015 to 26,623 cases in 2024. </w:t>
      </w:r>
      <w:r w:rsidR="00D5052D" w:rsidRPr="00D5052D">
        <w:rPr>
          <w:rFonts w:ascii="Arial" w:hAnsi="Arial" w:cs="Arial"/>
          <w:sz w:val="20"/>
          <w:szCs w:val="20"/>
        </w:rPr>
        <w:t>Plymouth County also experienced an increase in reported chlamydia cases, ranging from</w:t>
      </w:r>
      <w:r w:rsidR="00D5052D">
        <w:rPr>
          <w:rFonts w:ascii="Arial" w:hAnsi="Arial" w:cs="Arial"/>
          <w:b/>
          <w:bCs/>
          <w:sz w:val="20"/>
          <w:szCs w:val="20"/>
        </w:rPr>
        <w:t xml:space="preserve"> </w:t>
      </w:r>
      <w:r w:rsidR="00C64FD4">
        <w:rPr>
          <w:rFonts w:ascii="Arial" w:hAnsi="Arial" w:cs="Arial"/>
          <w:sz w:val="20"/>
          <w:szCs w:val="20"/>
        </w:rPr>
        <w:t xml:space="preserve">1,512 </w:t>
      </w:r>
      <w:r w:rsidR="00B5637D">
        <w:rPr>
          <w:rFonts w:ascii="Arial" w:hAnsi="Arial" w:cs="Arial"/>
          <w:sz w:val="20"/>
          <w:szCs w:val="20"/>
        </w:rPr>
        <w:t>cases in 2015</w:t>
      </w:r>
      <w:r w:rsidR="00D5052D">
        <w:rPr>
          <w:rFonts w:ascii="Arial" w:hAnsi="Arial" w:cs="Arial"/>
          <w:sz w:val="20"/>
          <w:szCs w:val="20"/>
        </w:rPr>
        <w:t xml:space="preserve"> to</w:t>
      </w:r>
      <w:r w:rsidR="00B5637D">
        <w:rPr>
          <w:rFonts w:ascii="Arial" w:hAnsi="Arial" w:cs="Arial"/>
          <w:sz w:val="20"/>
          <w:szCs w:val="20"/>
        </w:rPr>
        <w:t xml:space="preserve"> </w:t>
      </w:r>
      <w:r w:rsidR="00C64FD4">
        <w:rPr>
          <w:rFonts w:ascii="Arial" w:hAnsi="Arial" w:cs="Arial"/>
          <w:sz w:val="20"/>
          <w:szCs w:val="20"/>
        </w:rPr>
        <w:t>2,083</w:t>
      </w:r>
      <w:r w:rsidR="00B5637D">
        <w:rPr>
          <w:rFonts w:ascii="Arial" w:hAnsi="Arial" w:cs="Arial"/>
          <w:sz w:val="20"/>
          <w:szCs w:val="20"/>
        </w:rPr>
        <w:t xml:space="preserve"> cases in 2024, with a peak of 2</w:t>
      </w:r>
      <w:r w:rsidR="00C64FD4">
        <w:rPr>
          <w:rFonts w:ascii="Arial" w:hAnsi="Arial" w:cs="Arial"/>
          <w:sz w:val="20"/>
          <w:szCs w:val="20"/>
        </w:rPr>
        <w:t>,241</w:t>
      </w:r>
      <w:r w:rsidR="00B5637D">
        <w:rPr>
          <w:rFonts w:ascii="Arial" w:hAnsi="Arial" w:cs="Arial"/>
          <w:sz w:val="20"/>
          <w:szCs w:val="20"/>
        </w:rPr>
        <w:t xml:space="preserve"> in 20</w:t>
      </w:r>
      <w:r w:rsidR="00C64FD4">
        <w:rPr>
          <w:rFonts w:ascii="Arial" w:hAnsi="Arial" w:cs="Arial"/>
          <w:sz w:val="20"/>
          <w:szCs w:val="20"/>
        </w:rPr>
        <w:t>23</w:t>
      </w:r>
      <w:r w:rsidR="00BB2968">
        <w:rPr>
          <w:rFonts w:ascii="Arial" w:hAnsi="Arial" w:cs="Arial"/>
          <w:sz w:val="20"/>
          <w:szCs w:val="20"/>
        </w:rPr>
        <w:t>.</w:t>
      </w:r>
      <w:r w:rsidR="00773130" w:rsidRPr="00AB0A6F">
        <w:rPr>
          <w:rFonts w:ascii="Arial" w:hAnsi="Arial" w:cs="Arial"/>
          <w:sz w:val="20"/>
          <w:szCs w:val="20"/>
        </w:rPr>
        <w:t xml:space="preserve"> In 202</w:t>
      </w:r>
      <w:r w:rsidR="00B47C52">
        <w:rPr>
          <w:rFonts w:ascii="Arial" w:hAnsi="Arial" w:cs="Arial"/>
          <w:sz w:val="20"/>
          <w:szCs w:val="20"/>
        </w:rPr>
        <w:t>4</w:t>
      </w:r>
      <w:r w:rsidR="00773130" w:rsidRPr="00AB0A6F">
        <w:rPr>
          <w:rFonts w:ascii="Arial" w:hAnsi="Arial" w:cs="Arial"/>
          <w:sz w:val="20"/>
          <w:szCs w:val="20"/>
        </w:rPr>
        <w:t xml:space="preserve">, </w:t>
      </w:r>
      <w:bookmarkStart w:id="0" w:name="_Hlk173233478"/>
      <w:r w:rsidR="00BB2968" w:rsidRPr="00A95970">
        <w:rPr>
          <w:rFonts w:ascii="Arial" w:hAnsi="Arial" w:cs="Arial"/>
          <w:sz w:val="20"/>
          <w:szCs w:val="20"/>
        </w:rPr>
        <w:t>the</w:t>
      </w:r>
      <w:r w:rsidR="005B5BFA">
        <w:rPr>
          <w:rFonts w:ascii="Arial" w:hAnsi="Arial" w:cs="Arial"/>
          <w:sz w:val="20"/>
          <w:szCs w:val="20"/>
        </w:rPr>
        <w:t xml:space="preserve"> county</w:t>
      </w:r>
      <w:r w:rsidR="00BB2968" w:rsidRPr="00A95970">
        <w:rPr>
          <w:rFonts w:ascii="Arial" w:hAnsi="Arial" w:cs="Arial"/>
          <w:sz w:val="20"/>
          <w:szCs w:val="20"/>
        </w:rPr>
        <w:t xml:space="preserve"> </w:t>
      </w:r>
      <w:r w:rsidR="00B37473">
        <w:rPr>
          <w:rFonts w:ascii="Arial" w:hAnsi="Arial" w:cs="Arial"/>
          <w:sz w:val="20"/>
          <w:szCs w:val="20"/>
        </w:rPr>
        <w:t xml:space="preserve">incidence </w:t>
      </w:r>
      <w:r w:rsidR="00BB2968">
        <w:rPr>
          <w:rFonts w:ascii="Arial" w:hAnsi="Arial" w:cs="Arial"/>
          <w:sz w:val="20"/>
          <w:szCs w:val="20"/>
        </w:rPr>
        <w:t>rate of chlamydia infection</w:t>
      </w:r>
      <w:bookmarkEnd w:id="0"/>
      <w:r w:rsidR="00BB2968">
        <w:rPr>
          <w:rFonts w:ascii="Arial" w:hAnsi="Arial" w:cs="Arial"/>
          <w:sz w:val="20"/>
          <w:szCs w:val="20"/>
        </w:rPr>
        <w:t xml:space="preserve"> </w:t>
      </w:r>
      <w:r w:rsidR="00773130" w:rsidRPr="00AB0A6F">
        <w:rPr>
          <w:rFonts w:ascii="Arial" w:hAnsi="Arial" w:cs="Arial"/>
          <w:sz w:val="20"/>
          <w:szCs w:val="20"/>
        </w:rPr>
        <w:t xml:space="preserve">was </w:t>
      </w:r>
      <w:r w:rsidR="00C64FD4">
        <w:rPr>
          <w:rFonts w:ascii="Arial" w:hAnsi="Arial" w:cs="Arial"/>
          <w:sz w:val="20"/>
          <w:szCs w:val="20"/>
        </w:rPr>
        <w:t>392.4</w:t>
      </w:r>
      <w:r w:rsidR="00B5637D">
        <w:rPr>
          <w:rFonts w:ascii="Arial" w:hAnsi="Arial" w:cs="Arial"/>
          <w:sz w:val="20"/>
          <w:szCs w:val="20"/>
        </w:rPr>
        <w:t xml:space="preserve"> </w:t>
      </w:r>
      <w:r w:rsidR="00773130" w:rsidRPr="00AB0A6F">
        <w:rPr>
          <w:rFonts w:ascii="Arial" w:hAnsi="Arial" w:cs="Arial"/>
          <w:sz w:val="20"/>
          <w:szCs w:val="20"/>
        </w:rPr>
        <w:t xml:space="preserve">per 100,000, </w:t>
      </w:r>
      <w:r w:rsidR="0047300B" w:rsidRPr="00A95970">
        <w:rPr>
          <w:rFonts w:ascii="Arial" w:hAnsi="Arial" w:cs="Arial"/>
          <w:sz w:val="20"/>
          <w:szCs w:val="20"/>
        </w:rPr>
        <w:t xml:space="preserve">while the statewide rate was </w:t>
      </w:r>
      <w:r w:rsidR="0047300B">
        <w:rPr>
          <w:rFonts w:ascii="Arial" w:hAnsi="Arial" w:cs="Arial"/>
          <w:sz w:val="20"/>
          <w:szCs w:val="20"/>
        </w:rPr>
        <w:t>378.7</w:t>
      </w:r>
      <w:r w:rsidR="0047300B" w:rsidRPr="00A95970">
        <w:rPr>
          <w:rFonts w:ascii="Arial" w:hAnsi="Arial" w:cs="Arial"/>
          <w:sz w:val="20"/>
          <w:szCs w:val="20"/>
        </w:rPr>
        <w:t xml:space="preserve"> per 100,000. These </w:t>
      </w:r>
      <w:r w:rsidR="00024287">
        <w:rPr>
          <w:rFonts w:ascii="Arial" w:hAnsi="Arial" w:cs="Arial"/>
          <w:sz w:val="20"/>
          <w:szCs w:val="20"/>
        </w:rPr>
        <w:t xml:space="preserve">rates </w:t>
      </w:r>
      <w:r w:rsidR="00CA4B89">
        <w:rPr>
          <w:rFonts w:ascii="Arial" w:hAnsi="Arial" w:cs="Arial"/>
          <w:sz w:val="20"/>
          <w:szCs w:val="20"/>
        </w:rPr>
        <w:t>are lower</w:t>
      </w:r>
      <w:r w:rsidR="0047300B" w:rsidRPr="00A95970">
        <w:rPr>
          <w:rFonts w:ascii="Arial" w:hAnsi="Arial" w:cs="Arial"/>
          <w:sz w:val="20"/>
          <w:szCs w:val="20"/>
        </w:rPr>
        <w:t xml:space="preserve"> compared to the national rate of </w:t>
      </w:r>
      <w:r w:rsidR="00E2733E">
        <w:rPr>
          <w:rFonts w:ascii="Arial" w:hAnsi="Arial" w:cs="Arial"/>
          <w:sz w:val="20"/>
          <w:szCs w:val="20"/>
        </w:rPr>
        <w:t>445.7</w:t>
      </w:r>
      <w:r w:rsidR="0047300B" w:rsidRPr="00A95970">
        <w:rPr>
          <w:rFonts w:ascii="Arial" w:hAnsi="Arial" w:cs="Arial"/>
          <w:sz w:val="20"/>
          <w:szCs w:val="20"/>
        </w:rPr>
        <w:t xml:space="preserve"> per </w:t>
      </w:r>
      <w:r w:rsidR="00B5637D" w:rsidRPr="00A95970">
        <w:rPr>
          <w:rFonts w:ascii="Arial" w:hAnsi="Arial" w:cs="Arial"/>
          <w:sz w:val="20"/>
          <w:szCs w:val="20"/>
        </w:rPr>
        <w:t>100,000</w:t>
      </w:r>
      <w:r w:rsidR="00B5637D" w:rsidRPr="00F47AFA">
        <w:rPr>
          <w:rFonts w:ascii="Arial" w:hAnsi="Arial" w:cs="Arial"/>
          <w:sz w:val="20"/>
          <w:szCs w:val="20"/>
        </w:rPr>
        <w:t>.</w:t>
      </w:r>
      <w:r w:rsidR="00D5052D">
        <w:rPr>
          <w:rFonts w:ascii="Arial" w:hAnsi="Arial" w:cs="Arial"/>
          <w:sz w:val="20"/>
          <w:szCs w:val="20"/>
          <w:vertAlign w:val="superscript"/>
        </w:rPr>
        <w:t>4</w:t>
      </w:r>
    </w:p>
    <w:p w14:paraId="7BC4E99E" w14:textId="77777777" w:rsidR="00272D41" w:rsidRDefault="00272D41" w:rsidP="00862898">
      <w:pPr>
        <w:rPr>
          <w:rFonts w:ascii="Arial" w:hAnsi="Arial" w:cs="Arial"/>
          <w:sz w:val="20"/>
          <w:szCs w:val="20"/>
          <w:vertAlign w:val="superscript"/>
        </w:rPr>
      </w:pPr>
    </w:p>
    <w:p w14:paraId="0F4035EE" w14:textId="6BB3351B" w:rsidR="002665EA" w:rsidRDefault="00CA4B89" w:rsidP="00E2733E">
      <w:pPr>
        <w:rPr>
          <w:rFonts w:ascii="Arial" w:hAnsi="Arial" w:cs="Arial"/>
          <w:sz w:val="20"/>
          <w:szCs w:val="18"/>
        </w:rPr>
      </w:pPr>
      <w:r>
        <w:rPr>
          <w:rFonts w:ascii="Arial" w:hAnsi="Arial" w:cs="Arial"/>
          <w:b/>
          <w:bCs/>
          <w:sz w:val="20"/>
          <w:szCs w:val="20"/>
        </w:rPr>
        <w:t>Between 2015 and 2024, t</w:t>
      </w:r>
      <w:r w:rsidR="0047300B" w:rsidRPr="40CCF988">
        <w:rPr>
          <w:rFonts w:ascii="Arial" w:hAnsi="Arial" w:cs="Arial"/>
          <w:b/>
          <w:bCs/>
          <w:sz w:val="20"/>
          <w:szCs w:val="20"/>
        </w:rPr>
        <w:t xml:space="preserve">he county incidence rate among </w:t>
      </w:r>
      <w:r w:rsidR="0047300B">
        <w:rPr>
          <w:rFonts w:ascii="Arial" w:hAnsi="Arial" w:cs="Arial"/>
          <w:b/>
          <w:bCs/>
          <w:sz w:val="20"/>
          <w:szCs w:val="20"/>
        </w:rPr>
        <w:t>females</w:t>
      </w:r>
      <w:r w:rsidR="0047300B" w:rsidRPr="40CCF988">
        <w:rPr>
          <w:rFonts w:ascii="Arial" w:hAnsi="Arial" w:cs="Arial"/>
          <w:b/>
          <w:bCs/>
          <w:sz w:val="20"/>
          <w:szCs w:val="20"/>
        </w:rPr>
        <w:t xml:space="preserve"> remained higher </w:t>
      </w:r>
      <w:r w:rsidR="0047300B" w:rsidRPr="008B3DBC">
        <w:rPr>
          <w:rFonts w:ascii="Arial" w:hAnsi="Arial" w:cs="Arial"/>
          <w:sz w:val="20"/>
          <w:szCs w:val="20"/>
        </w:rPr>
        <w:t>compared to males</w:t>
      </w:r>
      <w:r>
        <w:rPr>
          <w:rFonts w:ascii="Arial" w:hAnsi="Arial" w:cs="Arial"/>
          <w:sz w:val="20"/>
          <w:szCs w:val="20"/>
        </w:rPr>
        <w:t>, overall county, and statewide</w:t>
      </w:r>
      <w:r w:rsidR="0047300B" w:rsidRPr="008B3DBC">
        <w:rPr>
          <w:rFonts w:ascii="Arial" w:hAnsi="Arial" w:cs="Arial"/>
          <w:sz w:val="20"/>
          <w:szCs w:val="20"/>
        </w:rPr>
        <w:t>.</w:t>
      </w:r>
      <w:r w:rsidR="0047300B">
        <w:rPr>
          <w:rFonts w:ascii="Arial" w:hAnsi="Arial" w:cs="Arial"/>
          <w:sz w:val="20"/>
          <w:szCs w:val="20"/>
        </w:rPr>
        <w:t xml:space="preserve"> </w:t>
      </w:r>
      <w:r w:rsidR="00272D41" w:rsidRPr="00AB0A6F">
        <w:rPr>
          <w:rFonts w:ascii="Arial" w:hAnsi="Arial" w:cs="Arial"/>
          <w:sz w:val="20"/>
          <w:szCs w:val="18"/>
        </w:rPr>
        <w:t>In 202</w:t>
      </w:r>
      <w:r w:rsidR="00272D41">
        <w:rPr>
          <w:rFonts w:ascii="Arial" w:hAnsi="Arial" w:cs="Arial"/>
          <w:sz w:val="20"/>
          <w:szCs w:val="18"/>
        </w:rPr>
        <w:t>4</w:t>
      </w:r>
      <w:r w:rsidR="00272D41" w:rsidRPr="00AB0A6F">
        <w:rPr>
          <w:rFonts w:ascii="Arial" w:hAnsi="Arial" w:cs="Arial"/>
          <w:sz w:val="20"/>
          <w:szCs w:val="18"/>
        </w:rPr>
        <w:t xml:space="preserve">, the incidence rate of chlamydia among </w:t>
      </w:r>
      <w:r w:rsidR="00272D41">
        <w:rPr>
          <w:rFonts w:ascii="Arial" w:hAnsi="Arial" w:cs="Arial"/>
          <w:sz w:val="20"/>
          <w:szCs w:val="18"/>
        </w:rPr>
        <w:t>females</w:t>
      </w:r>
      <w:r w:rsidR="00272D41" w:rsidRPr="00AB0A6F">
        <w:rPr>
          <w:rFonts w:ascii="Arial" w:hAnsi="Arial" w:cs="Arial"/>
          <w:sz w:val="20"/>
          <w:szCs w:val="18"/>
        </w:rPr>
        <w:t xml:space="preserve"> was </w:t>
      </w:r>
      <w:r w:rsidR="00E2733E">
        <w:rPr>
          <w:rFonts w:ascii="Arial" w:hAnsi="Arial" w:cs="Arial"/>
          <w:sz w:val="20"/>
          <w:szCs w:val="18"/>
        </w:rPr>
        <w:t>493.7</w:t>
      </w:r>
      <w:r w:rsidR="00272D41">
        <w:rPr>
          <w:rFonts w:ascii="Arial" w:hAnsi="Arial" w:cs="Arial"/>
          <w:sz w:val="20"/>
          <w:szCs w:val="20"/>
        </w:rPr>
        <w:t xml:space="preserve"> </w:t>
      </w:r>
      <w:r w:rsidR="00272D41" w:rsidRPr="00AB0A6F">
        <w:rPr>
          <w:rFonts w:ascii="Arial" w:hAnsi="Arial" w:cs="Arial"/>
          <w:sz w:val="20"/>
          <w:szCs w:val="18"/>
        </w:rPr>
        <w:t xml:space="preserve">per 100,000, </w:t>
      </w:r>
      <w:r w:rsidR="00E2733E">
        <w:rPr>
          <w:rFonts w:ascii="Arial" w:hAnsi="Arial" w:cs="Arial"/>
          <w:sz w:val="20"/>
          <w:szCs w:val="18"/>
        </w:rPr>
        <w:t>compared to 284.4 per 100,000 among males.</w:t>
      </w:r>
      <w:r w:rsidR="00272D41">
        <w:rPr>
          <w:rFonts w:ascii="Arial" w:hAnsi="Arial" w:cs="Arial"/>
          <w:sz w:val="20"/>
          <w:szCs w:val="18"/>
        </w:rPr>
        <w:t xml:space="preserve"> </w:t>
      </w:r>
    </w:p>
    <w:p w14:paraId="2D1053E5" w14:textId="6B4E2F06" w:rsidR="00024287" w:rsidRDefault="00024287" w:rsidP="00E2733E">
      <w:pPr>
        <w:rPr>
          <w:rFonts w:ascii="Arial" w:hAnsi="Arial" w:cs="Arial"/>
          <w:sz w:val="20"/>
          <w:szCs w:val="20"/>
        </w:rPr>
      </w:pPr>
    </w:p>
    <w:p w14:paraId="2C38A6F7" w14:textId="66B37EEA" w:rsidR="007448C5" w:rsidRDefault="007448C5" w:rsidP="00E2733E">
      <w:pPr>
        <w:rPr>
          <w:rFonts w:ascii="Arial" w:hAnsi="Arial" w:cs="Arial"/>
          <w:sz w:val="20"/>
          <w:szCs w:val="20"/>
        </w:rPr>
      </w:pPr>
      <w:r>
        <w:rPr>
          <w:rFonts w:ascii="Arial" w:hAnsi="Arial" w:cs="Arial"/>
          <w:noProof/>
          <w:sz w:val="20"/>
          <w:szCs w:val="20"/>
        </w:rPr>
        <w:drawing>
          <wp:inline distT="0" distB="0" distL="0" distR="0" wp14:anchorId="123228A0" wp14:editId="076C3536">
            <wp:extent cx="6912864" cy="2286000"/>
            <wp:effectExtent l="0" t="0" r="0" b="0"/>
            <wp:docPr id="563481139" name="Picture 1" descr="Graph depicts the rates per 100,000 population of chlamydia in Massachusetts statewide, in Plymouth County overall, and by gender in Plymouth County between 2015 and 2024. The line showing statewide rate begins at 350.4 in 2015 and ends at 378.7 in 2024, with a peak of 454.1 in 2019. The line showing Plymouth County overall rate begins at 294.9 in 2015 and ends at 392.4 in 2024, with a peak of 422.2 in 2023. The line showing the rate among females in Plymouth County begins at 396.4 in 2015 and ends at 493.7 in 2024, with a peak of 532.9 in 2023. The line showing the rate among males in Plymouth County begins at 187.3 in 2015 and ends at 284.4 in 2024, with a peak of 326.5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81139" name="Picture 1" descr="Graph depicts the rates per 100,000 population of chlamydia in Massachusetts statewide, in Plymouth County overall, and by gender in Plymouth County between 2015 and 2024. The line showing statewide rate begins at 350.4 in 2015 and ends at 378.7 in 2024, with a peak of 454.1 in 2019. The line showing Plymouth County overall rate begins at 294.9 in 2015 and ends at 392.4 in 2024, with a peak of 422.2 in 2023. The line showing the rate among females in Plymouth County begins at 396.4 in 2015 and ends at 493.7 in 2024, with a peak of 532.9 in 2023. The line showing the rate among males in Plymouth County begins at 187.3 in 2015 and ends at 284.4 in 2024, with a peak of 326.5 in 20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286000"/>
                    </a:xfrm>
                    <a:prstGeom prst="rect">
                      <a:avLst/>
                    </a:prstGeom>
                    <a:noFill/>
                  </pic:spPr>
                </pic:pic>
              </a:graphicData>
            </a:graphic>
          </wp:inline>
        </w:drawing>
      </w:r>
    </w:p>
    <w:p w14:paraId="65F59099" w14:textId="77777777" w:rsidR="00024287" w:rsidRPr="0038297E" w:rsidRDefault="00024287" w:rsidP="00024287">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18B921D6" w14:textId="77777777" w:rsidR="00024287" w:rsidRPr="0038297E" w:rsidRDefault="00024287" w:rsidP="00024287">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1B284B5D" w14:textId="715174E3" w:rsidR="002665EA" w:rsidRPr="00024287" w:rsidRDefault="00024287" w:rsidP="00024287">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73DFEA33" w14:textId="77777777" w:rsidR="002665EA" w:rsidRDefault="002665EA" w:rsidP="002665EA">
      <w:pPr>
        <w:rPr>
          <w:rFonts w:ascii="Arial" w:hAnsi="Arial" w:cs="Arial"/>
          <w:b/>
          <w:bCs/>
          <w:sz w:val="20"/>
          <w:szCs w:val="20"/>
        </w:rPr>
      </w:pPr>
    </w:p>
    <w:p w14:paraId="7028A84D" w14:textId="77777777" w:rsidR="002665EA" w:rsidRDefault="002665EA" w:rsidP="002665EA">
      <w:pPr>
        <w:rPr>
          <w:rFonts w:ascii="Arial" w:hAnsi="Arial" w:cs="Arial"/>
          <w:b/>
          <w:bCs/>
          <w:sz w:val="20"/>
          <w:szCs w:val="20"/>
        </w:rPr>
      </w:pPr>
    </w:p>
    <w:p w14:paraId="3F384F8D" w14:textId="10DBC227" w:rsidR="1B0DA0B8" w:rsidRDefault="1B0DA0B8" w:rsidP="1B0DA0B8">
      <w:pPr>
        <w:rPr>
          <w:rFonts w:ascii="Arial" w:eastAsia="Arial" w:hAnsi="Arial" w:cs="Arial"/>
          <w:sz w:val="19"/>
          <w:szCs w:val="19"/>
        </w:rPr>
      </w:pPr>
    </w:p>
    <w:p w14:paraId="7EA9B928" w14:textId="77777777" w:rsidR="00BA3C56" w:rsidRDefault="00BA3C56" w:rsidP="1B0DA0B8">
      <w:pPr>
        <w:rPr>
          <w:rFonts w:ascii="Arial" w:eastAsia="Arial" w:hAnsi="Arial" w:cs="Arial"/>
          <w:sz w:val="19"/>
          <w:szCs w:val="19"/>
        </w:rPr>
      </w:pPr>
    </w:p>
    <w:p w14:paraId="63942040" w14:textId="27241F01" w:rsidR="00605ED8" w:rsidRDefault="00605ED8" w:rsidP="00605ED8">
      <w:pPr>
        <w:rPr>
          <w:rFonts w:ascii="Arial" w:hAnsi="Arial" w:cs="Arial"/>
          <w:b/>
          <w:bCs/>
          <w:sz w:val="20"/>
          <w:szCs w:val="20"/>
        </w:rPr>
      </w:pPr>
      <w:bookmarkStart w:id="1" w:name="_Hlk200638837"/>
      <w:r w:rsidRPr="00A83E04">
        <w:rPr>
          <w:rFonts w:ascii="Arial" w:hAnsi="Arial" w:cs="Arial"/>
          <w:b/>
          <w:bCs/>
          <w:sz w:val="20"/>
          <w:szCs w:val="20"/>
        </w:rPr>
        <w:lastRenderedPageBreak/>
        <w:t>The statewide</w:t>
      </w:r>
      <w:r>
        <w:rPr>
          <w:rFonts w:ascii="Arial" w:hAnsi="Arial" w:cs="Arial"/>
          <w:b/>
          <w:bCs/>
          <w:sz w:val="20"/>
          <w:szCs w:val="20"/>
        </w:rPr>
        <w:t xml:space="preserve"> and county</w:t>
      </w:r>
      <w:r w:rsidRPr="00A83E04">
        <w:rPr>
          <w:rFonts w:ascii="Arial" w:hAnsi="Arial" w:cs="Arial"/>
          <w:b/>
          <w:bCs/>
          <w:sz w:val="20"/>
          <w:szCs w:val="20"/>
        </w:rPr>
        <w:t xml:space="preserve"> incidence rate</w:t>
      </w:r>
      <w:r w:rsidR="00CA4B89">
        <w:rPr>
          <w:rFonts w:ascii="Arial" w:hAnsi="Arial" w:cs="Arial"/>
          <w:b/>
          <w:bCs/>
          <w:sz w:val="20"/>
          <w:szCs w:val="20"/>
        </w:rPr>
        <w:t>s</w:t>
      </w:r>
      <w:r w:rsidRPr="00A83E04">
        <w:rPr>
          <w:rFonts w:ascii="Arial" w:hAnsi="Arial" w:cs="Arial"/>
          <w:b/>
          <w:bCs/>
          <w:sz w:val="20"/>
          <w:szCs w:val="20"/>
        </w:rPr>
        <w:t xml:space="preserve"> of chlamydia </w:t>
      </w:r>
      <w:r w:rsidR="00CA4B89">
        <w:rPr>
          <w:rFonts w:ascii="Arial" w:hAnsi="Arial" w:cs="Arial"/>
          <w:b/>
          <w:bCs/>
          <w:sz w:val="20"/>
          <w:szCs w:val="20"/>
        </w:rPr>
        <w:t>are</w:t>
      </w:r>
      <w:r w:rsidR="00CA4B89" w:rsidRPr="00A83E04">
        <w:rPr>
          <w:rFonts w:ascii="Arial" w:hAnsi="Arial" w:cs="Arial"/>
          <w:b/>
          <w:bCs/>
          <w:sz w:val="20"/>
          <w:szCs w:val="20"/>
        </w:rPr>
        <w:t xml:space="preserve"> </w:t>
      </w:r>
      <w:r w:rsidRPr="00A83E04">
        <w:rPr>
          <w:rFonts w:ascii="Arial" w:hAnsi="Arial" w:cs="Arial"/>
          <w:b/>
          <w:bCs/>
          <w:sz w:val="20"/>
          <w:szCs w:val="20"/>
        </w:rPr>
        <w:t>highest among young adults</w:t>
      </w:r>
      <w:r w:rsidRPr="00A83E04">
        <w:rPr>
          <w:rFonts w:ascii="Arial" w:hAnsi="Arial" w:cs="Arial"/>
          <w:sz w:val="20"/>
          <w:szCs w:val="20"/>
        </w:rPr>
        <w:t xml:space="preserve">. </w:t>
      </w:r>
      <w:r w:rsidRPr="007448C5">
        <w:rPr>
          <w:rFonts w:ascii="Arial" w:hAnsi="Arial" w:cs="Arial"/>
          <w:b/>
          <w:bCs/>
          <w:sz w:val="20"/>
          <w:szCs w:val="20"/>
        </w:rPr>
        <w:t>I</w:t>
      </w:r>
      <w:r w:rsidRPr="005A47A6">
        <w:rPr>
          <w:rFonts w:ascii="Arial" w:hAnsi="Arial" w:cs="Arial"/>
          <w:b/>
          <w:bCs/>
          <w:sz w:val="20"/>
          <w:szCs w:val="20"/>
        </w:rPr>
        <w:t>n 2024,</w:t>
      </w:r>
      <w:r>
        <w:rPr>
          <w:rFonts w:ascii="Arial" w:hAnsi="Arial" w:cs="Arial"/>
          <w:b/>
          <w:bCs/>
          <w:sz w:val="20"/>
          <w:szCs w:val="20"/>
        </w:rPr>
        <w:t xml:space="preserve"> 1,</w:t>
      </w:r>
      <w:r w:rsidR="00E2733E">
        <w:rPr>
          <w:rFonts w:ascii="Arial" w:hAnsi="Arial" w:cs="Arial"/>
          <w:b/>
          <w:bCs/>
          <w:sz w:val="20"/>
          <w:szCs w:val="20"/>
        </w:rPr>
        <w:t>111</w:t>
      </w:r>
      <w:r w:rsidRPr="005A47A6">
        <w:rPr>
          <w:rFonts w:ascii="Arial" w:hAnsi="Arial" w:cs="Arial"/>
          <w:b/>
          <w:bCs/>
          <w:sz w:val="20"/>
          <w:szCs w:val="20"/>
        </w:rPr>
        <w:t> chlamydia cases were reported among 20–29-year-olds,</w:t>
      </w:r>
      <w:r w:rsidR="007448C5">
        <w:rPr>
          <w:rFonts w:ascii="Arial" w:hAnsi="Arial" w:cs="Arial"/>
          <w:b/>
          <w:bCs/>
          <w:sz w:val="20"/>
          <w:szCs w:val="20"/>
        </w:rPr>
        <w:t xml:space="preserve"> at a rate of 1,806.0 per 100,000,</w:t>
      </w:r>
      <w:r w:rsidRPr="005A47A6">
        <w:rPr>
          <w:rFonts w:ascii="Arial" w:hAnsi="Arial" w:cs="Arial"/>
          <w:b/>
          <w:bCs/>
          <w:sz w:val="20"/>
          <w:szCs w:val="20"/>
        </w:rPr>
        <w:t xml:space="preserve"> the highest among all age groups in </w:t>
      </w:r>
      <w:r w:rsidR="00E2733E">
        <w:rPr>
          <w:rFonts w:ascii="Arial" w:hAnsi="Arial" w:cs="Arial"/>
          <w:b/>
          <w:bCs/>
          <w:sz w:val="20"/>
          <w:szCs w:val="20"/>
        </w:rPr>
        <w:t>Plymouth</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sidRPr="00A806D7">
        <w:rPr>
          <w:rFonts w:ascii="Arial" w:hAnsi="Arial" w:cs="Arial"/>
          <w:sz w:val="20"/>
          <w:szCs w:val="20"/>
        </w:rPr>
        <w:t xml:space="preserve">Females accounted for </w:t>
      </w:r>
      <w:r w:rsidR="00E2733E">
        <w:rPr>
          <w:rFonts w:ascii="Arial" w:hAnsi="Arial" w:cs="Arial"/>
          <w:sz w:val="20"/>
          <w:szCs w:val="20"/>
        </w:rPr>
        <w:t>713</w:t>
      </w:r>
      <w:r w:rsidRPr="00A806D7">
        <w:rPr>
          <w:rFonts w:ascii="Arial" w:hAnsi="Arial" w:cs="Arial"/>
          <w:sz w:val="20"/>
          <w:szCs w:val="20"/>
        </w:rPr>
        <w:t xml:space="preserve"> cases</w:t>
      </w:r>
      <w:r w:rsidR="00475DCF">
        <w:rPr>
          <w:rFonts w:ascii="Arial" w:hAnsi="Arial" w:cs="Arial"/>
          <w:sz w:val="20"/>
          <w:szCs w:val="20"/>
        </w:rPr>
        <w:t xml:space="preserve"> (</w:t>
      </w:r>
      <w:r w:rsidR="007448C5">
        <w:rPr>
          <w:rFonts w:ascii="Arial" w:hAnsi="Arial" w:cs="Arial"/>
          <w:sz w:val="20"/>
          <w:szCs w:val="20"/>
        </w:rPr>
        <w:t>64.2</w:t>
      </w:r>
      <w:r w:rsidR="00475DCF">
        <w:rPr>
          <w:rFonts w:ascii="Arial" w:hAnsi="Arial" w:cs="Arial"/>
          <w:sz w:val="20"/>
          <w:szCs w:val="20"/>
        </w:rPr>
        <w:t>%)</w:t>
      </w:r>
      <w:r w:rsidR="00E2733E">
        <w:rPr>
          <w:rFonts w:ascii="Arial" w:hAnsi="Arial" w:cs="Arial"/>
          <w:sz w:val="20"/>
          <w:szCs w:val="20"/>
        </w:rPr>
        <w:t xml:space="preserve"> in this age group</w:t>
      </w:r>
      <w:r w:rsidRPr="00A806D7">
        <w:rPr>
          <w:rFonts w:ascii="Arial" w:hAnsi="Arial" w:cs="Arial"/>
          <w:sz w:val="20"/>
          <w:szCs w:val="20"/>
        </w:rPr>
        <w:t>, with a rate of</w:t>
      </w:r>
      <w:r w:rsidR="002A0EE7">
        <w:rPr>
          <w:rFonts w:ascii="Arial" w:hAnsi="Arial" w:cs="Arial"/>
          <w:sz w:val="20"/>
          <w:szCs w:val="20"/>
        </w:rPr>
        <w:t xml:space="preserve"> </w:t>
      </w:r>
      <w:r w:rsidR="002A0EE7" w:rsidRPr="002A0EE7">
        <w:rPr>
          <w:rFonts w:ascii="Arial" w:hAnsi="Arial" w:cs="Arial"/>
          <w:sz w:val="20"/>
          <w:szCs w:val="20"/>
        </w:rPr>
        <w:t>2</w:t>
      </w:r>
      <w:r w:rsidR="002A0EE7">
        <w:rPr>
          <w:rFonts w:ascii="Arial" w:hAnsi="Arial" w:cs="Arial"/>
          <w:sz w:val="20"/>
          <w:szCs w:val="20"/>
        </w:rPr>
        <w:t>,</w:t>
      </w:r>
      <w:r w:rsidR="00E2733E">
        <w:rPr>
          <w:rFonts w:ascii="Arial" w:hAnsi="Arial" w:cs="Arial"/>
          <w:sz w:val="20"/>
          <w:szCs w:val="20"/>
        </w:rPr>
        <w:t>346.0</w:t>
      </w:r>
      <w:r w:rsidRPr="00A806D7">
        <w:rPr>
          <w:rFonts w:ascii="Arial" w:hAnsi="Arial" w:cs="Arial"/>
          <w:sz w:val="20"/>
          <w:szCs w:val="20"/>
        </w:rPr>
        <w:t xml:space="preserve"> per 100,000, while 3</w:t>
      </w:r>
      <w:r w:rsidR="00E2733E">
        <w:rPr>
          <w:rFonts w:ascii="Arial" w:hAnsi="Arial" w:cs="Arial"/>
          <w:sz w:val="20"/>
          <w:szCs w:val="20"/>
        </w:rPr>
        <w:t>96</w:t>
      </w:r>
      <w:r w:rsidRPr="00A806D7">
        <w:rPr>
          <w:rFonts w:ascii="Arial" w:hAnsi="Arial" w:cs="Arial"/>
          <w:sz w:val="20"/>
          <w:szCs w:val="20"/>
        </w:rPr>
        <w:t xml:space="preserve"> cases</w:t>
      </w:r>
      <w:r w:rsidR="00475DCF">
        <w:rPr>
          <w:rFonts w:ascii="Arial" w:hAnsi="Arial" w:cs="Arial"/>
          <w:sz w:val="20"/>
          <w:szCs w:val="20"/>
        </w:rPr>
        <w:t xml:space="preserve"> (</w:t>
      </w:r>
      <w:r w:rsidR="007448C5">
        <w:rPr>
          <w:rFonts w:ascii="Arial" w:hAnsi="Arial" w:cs="Arial"/>
          <w:sz w:val="20"/>
          <w:szCs w:val="20"/>
        </w:rPr>
        <w:t>35.6</w:t>
      </w:r>
      <w:r w:rsidR="00475DCF">
        <w:rPr>
          <w:rFonts w:ascii="Arial" w:hAnsi="Arial" w:cs="Arial"/>
          <w:sz w:val="20"/>
          <w:szCs w:val="20"/>
        </w:rPr>
        <w:t>%)</w:t>
      </w:r>
      <w:r w:rsidRPr="00A806D7">
        <w:rPr>
          <w:rFonts w:ascii="Arial" w:hAnsi="Arial" w:cs="Arial"/>
          <w:sz w:val="20"/>
          <w:szCs w:val="20"/>
        </w:rPr>
        <w:t xml:space="preserve"> were reported </w:t>
      </w:r>
      <w:r w:rsidR="007448C5">
        <w:rPr>
          <w:rFonts w:ascii="Arial" w:hAnsi="Arial" w:cs="Arial"/>
          <w:sz w:val="20"/>
          <w:szCs w:val="20"/>
        </w:rPr>
        <w:t>among</w:t>
      </w:r>
      <w:r w:rsidRPr="00A806D7">
        <w:rPr>
          <w:rFonts w:ascii="Arial" w:hAnsi="Arial" w:cs="Arial"/>
          <w:sz w:val="20"/>
          <w:szCs w:val="20"/>
        </w:rPr>
        <w:t xml:space="preserve"> males, at a rate of </w:t>
      </w:r>
      <w:r w:rsidR="00E2733E">
        <w:rPr>
          <w:rFonts w:ascii="Arial" w:hAnsi="Arial" w:cs="Arial"/>
          <w:sz w:val="20"/>
          <w:szCs w:val="20"/>
        </w:rPr>
        <w:t>1,272.3</w:t>
      </w:r>
      <w:r w:rsidRPr="00A806D7">
        <w:rPr>
          <w:rFonts w:ascii="Arial" w:hAnsi="Arial" w:cs="Arial"/>
          <w:sz w:val="20"/>
          <w:szCs w:val="20"/>
        </w:rPr>
        <w:t xml:space="preserve"> per 100,000. Although the chart below represents rates by age group only, the highest burden </w:t>
      </w:r>
      <w:r w:rsidR="00475DCF">
        <w:rPr>
          <w:rFonts w:ascii="Arial" w:hAnsi="Arial" w:cs="Arial"/>
          <w:sz w:val="20"/>
          <w:szCs w:val="20"/>
        </w:rPr>
        <w:t>i</w:t>
      </w:r>
      <w:r w:rsidR="00475DCF" w:rsidRPr="00A806D7">
        <w:rPr>
          <w:rFonts w:ascii="Arial" w:hAnsi="Arial" w:cs="Arial"/>
          <w:sz w:val="20"/>
          <w:szCs w:val="20"/>
        </w:rPr>
        <w:t xml:space="preserve">s </w:t>
      </w:r>
      <w:r w:rsidRPr="00A806D7">
        <w:rPr>
          <w:rFonts w:ascii="Arial" w:hAnsi="Arial" w:cs="Arial"/>
          <w:sz w:val="20"/>
          <w:szCs w:val="20"/>
        </w:rPr>
        <w:t xml:space="preserve">concentrated among </w:t>
      </w:r>
      <w:r w:rsidR="00475DCF">
        <w:rPr>
          <w:rFonts w:ascii="Arial" w:hAnsi="Arial" w:cs="Arial"/>
          <w:sz w:val="20"/>
          <w:szCs w:val="20"/>
        </w:rPr>
        <w:t>20-29-year-old females</w:t>
      </w:r>
      <w:r w:rsidRPr="00A806D7">
        <w:rPr>
          <w:rFonts w:ascii="Arial" w:hAnsi="Arial" w:cs="Arial"/>
          <w:sz w:val="20"/>
          <w:szCs w:val="20"/>
        </w:rPr>
        <w:t xml:space="preserve">. </w:t>
      </w:r>
      <w:r w:rsidRPr="00A806D7">
        <w:rPr>
          <w:rFonts w:ascii="Arial" w:hAnsi="Arial" w:cs="Arial"/>
          <w:b/>
          <w:bCs/>
          <w:sz w:val="20"/>
          <w:szCs w:val="20"/>
        </w:rPr>
        <w:t xml:space="preserve">Data by </w:t>
      </w:r>
      <w:r w:rsidR="003E45EC">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 </w:t>
      </w:r>
    </w:p>
    <w:p w14:paraId="69113B12" w14:textId="228AF208" w:rsidR="00272D41" w:rsidRDefault="00272D41" w:rsidP="00272D41">
      <w:pPr>
        <w:ind w:left="230"/>
        <w:rPr>
          <w:rFonts w:ascii="Arial" w:hAnsi="Arial" w:cs="Arial"/>
          <w:sz w:val="20"/>
          <w:szCs w:val="20"/>
        </w:rPr>
      </w:pPr>
    </w:p>
    <w:p w14:paraId="5A2DC1DC" w14:textId="3F2BD166" w:rsidR="00024287" w:rsidRDefault="00024287" w:rsidP="00272D41">
      <w:pPr>
        <w:ind w:left="230"/>
        <w:rPr>
          <w:rFonts w:ascii="Arial" w:hAnsi="Arial" w:cs="Arial"/>
          <w:sz w:val="20"/>
          <w:szCs w:val="20"/>
        </w:rPr>
      </w:pPr>
      <w:r>
        <w:rPr>
          <w:rFonts w:ascii="Arial" w:hAnsi="Arial" w:cs="Arial"/>
          <w:noProof/>
          <w:sz w:val="20"/>
          <w:szCs w:val="20"/>
        </w:rPr>
        <w:drawing>
          <wp:inline distT="0" distB="0" distL="0" distR="0" wp14:anchorId="155C9EC8" wp14:editId="6EA1C6F7">
            <wp:extent cx="6912864" cy="2642616"/>
            <wp:effectExtent l="0" t="0" r="2540" b="5715"/>
            <wp:docPr id="882788148" name="Picture 8" descr="Graph depicts the rates per 100,000 population of chlamydia cases in Plymouth County, Massachusetts by age group for 2015 and 2024. The included age groups are &lt;20 years, 20-29 years, 30-39 years, 40-49 years, 50-59 years, and 60+ years. Rates are consistently higher in 2024 compared to 2015. Rates are highest among those aged 20-29, at 1517.2 in 2015 and 1806.0 in 2024. Rates are lowest among those aged 60+ years, at 7.5 in 2015 and 10.9 in 2024. The age group that saw the largest change in rate was 20-29 years, from 1517.2 in 2015 to 1806.0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788148" name="Picture 8" descr="Graph depicts the rates per 100,000 population of chlamydia cases in Plymouth County, Massachusetts by age group for 2015 and 2024. The included age groups are &lt;20 years, 20-29 years, 30-39 years, 40-49 years, 50-59 years, and 60+ years. Rates are consistently higher in 2024 compared to 2015. Rates are highest among those aged 20-29, at 1517.2 in 2015 and 1806.0 in 2024. Rates are lowest among those aged 60+ years, at 7.5 in 2015 and 10.9 in 2024. The age group that saw the largest change in rate was 20-29 years, from 1517.2 in 2015 to 1806.0 in 20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4AB1802B" w14:textId="77777777" w:rsidR="00024287" w:rsidRPr="001A0A68" w:rsidRDefault="00024287" w:rsidP="00024287">
      <w:pPr>
        <w:rPr>
          <w:rFonts w:ascii="Arial" w:hAnsi="Arial" w:cs="Arial"/>
          <w:sz w:val="12"/>
          <w:szCs w:val="12"/>
        </w:rPr>
      </w:pPr>
      <w:r w:rsidRPr="001A0A68">
        <w:rPr>
          <w:rFonts w:ascii="Arial" w:hAnsi="Arial" w:cs="Arial"/>
          <w:sz w:val="12"/>
          <w:szCs w:val="12"/>
        </w:rPr>
        <w:t xml:space="preserve">Data are current as of </w:t>
      </w:r>
      <w:r>
        <w:rPr>
          <w:rFonts w:ascii="Arial" w:hAnsi="Arial" w:cs="Arial"/>
          <w:sz w:val="12"/>
          <w:szCs w:val="12"/>
        </w:rPr>
        <w:t>6</w:t>
      </w:r>
      <w:r w:rsidRPr="001A0A68">
        <w:rPr>
          <w:rFonts w:ascii="Arial" w:hAnsi="Arial" w:cs="Arial"/>
          <w:sz w:val="12"/>
          <w:szCs w:val="12"/>
        </w:rPr>
        <w:t>/</w:t>
      </w:r>
      <w:r>
        <w:rPr>
          <w:rFonts w:ascii="Arial" w:hAnsi="Arial" w:cs="Arial"/>
          <w:sz w:val="12"/>
          <w:szCs w:val="12"/>
        </w:rPr>
        <w:t>02</w:t>
      </w:r>
      <w:r w:rsidRPr="001A0A68">
        <w:rPr>
          <w:rFonts w:ascii="Arial" w:hAnsi="Arial" w:cs="Arial"/>
          <w:sz w:val="12"/>
          <w:szCs w:val="12"/>
        </w:rPr>
        <w:t>/202</w:t>
      </w:r>
      <w:r>
        <w:rPr>
          <w:rFonts w:ascii="Arial" w:hAnsi="Arial" w:cs="Arial"/>
          <w:sz w:val="12"/>
          <w:szCs w:val="12"/>
        </w:rPr>
        <w:t>5</w:t>
      </w:r>
      <w:r w:rsidRPr="001A0A68">
        <w:rPr>
          <w:rFonts w:ascii="Arial" w:hAnsi="Arial" w:cs="Arial"/>
          <w:sz w:val="12"/>
          <w:szCs w:val="12"/>
        </w:rPr>
        <w:t xml:space="preserve"> and are subject to change. </w:t>
      </w:r>
    </w:p>
    <w:p w14:paraId="168EC70B" w14:textId="77777777" w:rsidR="00024287" w:rsidRPr="001A0A68" w:rsidRDefault="00024287" w:rsidP="00024287">
      <w:pPr>
        <w:rPr>
          <w:rFonts w:ascii="Arial" w:hAnsi="Arial" w:cs="Arial"/>
          <w:sz w:val="12"/>
          <w:szCs w:val="12"/>
        </w:rPr>
      </w:pPr>
      <w:r w:rsidRPr="001A0A68">
        <w:rPr>
          <w:rFonts w:ascii="Arial" w:hAnsi="Arial" w:cs="Arial"/>
          <w:sz w:val="12"/>
          <w:szCs w:val="12"/>
        </w:rPr>
        <w:t>Population denominators: Strate S, et al. Small Area Population Estimates for 2011 through 2020 report, Oct 2016.</w:t>
      </w:r>
    </w:p>
    <w:p w14:paraId="7E76A72A" w14:textId="77777777" w:rsidR="00024287" w:rsidRPr="001A0A68" w:rsidRDefault="00024287" w:rsidP="00024287">
      <w:pPr>
        <w:rPr>
          <w:rFonts w:ascii="Arial" w:hAnsi="Arial" w:cs="Arial"/>
          <w:sz w:val="12"/>
          <w:szCs w:val="12"/>
        </w:rPr>
      </w:pPr>
      <w:r w:rsidRPr="001A0A68">
        <w:rPr>
          <w:rFonts w:ascii="Arial" w:hAnsi="Arial" w:cs="Arial"/>
          <w:sz w:val="12"/>
          <w:szCs w:val="12"/>
        </w:rPr>
        <w:t>Data source: Massachusetts Department of Public Health/Bureau of Infectious Disease and Laboratory Sciences/Division of STD Prevention.</w:t>
      </w:r>
    </w:p>
    <w:bookmarkEnd w:id="1"/>
    <w:p w14:paraId="07B5F6AB" w14:textId="008EBDC8" w:rsidR="00773130" w:rsidRDefault="00773130" w:rsidP="0016162E">
      <w:pPr>
        <w:rPr>
          <w:rFonts w:ascii="Arial" w:hAnsi="Arial" w:cs="Arial"/>
          <w:b/>
          <w:bCs/>
          <w:sz w:val="20"/>
          <w:szCs w:val="20"/>
          <w:u w:val="single"/>
        </w:rPr>
      </w:pPr>
    </w:p>
    <w:p w14:paraId="2730B763" w14:textId="7715BD90" w:rsidR="0016162E" w:rsidRDefault="0016162E" w:rsidP="00FC412A">
      <w:pPr>
        <w:pStyle w:val="Heading1"/>
      </w:pPr>
      <w:r w:rsidRPr="00173387">
        <w:t>Gonorrhea</w:t>
      </w:r>
    </w:p>
    <w:p w14:paraId="57FC7AE1" w14:textId="0E0DD4FA" w:rsidR="008948E6" w:rsidRPr="00D5052D" w:rsidRDefault="008948E6" w:rsidP="008948E6">
      <w:pPr>
        <w:rPr>
          <w:rFonts w:ascii="Arial" w:hAnsi="Arial" w:cs="Arial"/>
          <w:sz w:val="20"/>
          <w:szCs w:val="20"/>
          <w:vertAlign w:val="superscript"/>
        </w:rPr>
      </w:pPr>
      <w:r w:rsidRPr="00D96A7B">
        <w:rPr>
          <w:rFonts w:ascii="Arial" w:hAnsi="Arial" w:cs="Arial"/>
          <w:sz w:val="20"/>
          <w:szCs w:val="20"/>
        </w:rPr>
        <w:t xml:space="preserve">Gonorrhea has the second highest incidence among STIs reported both in Massachusetts and nationally. 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7448C5">
        <w:rPr>
          <w:rFonts w:ascii="Arial" w:hAnsi="Arial" w:cs="Arial"/>
          <w:sz w:val="20"/>
          <w:szCs w:val="20"/>
        </w:rPr>
        <w:t>M</w:t>
      </w:r>
      <w:r w:rsidRPr="00D96A7B">
        <w:rPr>
          <w:rFonts w:ascii="Arial" w:hAnsi="Arial" w:cs="Arial"/>
          <w:sz w:val="20"/>
          <w:szCs w:val="20"/>
        </w:rPr>
        <w:t>any infected individuals do not present with any symptoms of infection</w:t>
      </w:r>
      <w:r w:rsidR="007448C5">
        <w:rPr>
          <w:rFonts w:ascii="Arial" w:hAnsi="Arial" w:cs="Arial"/>
          <w:sz w:val="20"/>
          <w:szCs w:val="20"/>
        </w:rPr>
        <w:t>, though males are more likely than females to experience symptoms</w:t>
      </w:r>
      <w:r w:rsidRPr="00D96A7B">
        <w:rPr>
          <w:rFonts w:ascii="Arial" w:hAnsi="Arial" w:cs="Arial"/>
          <w:sz w:val="20"/>
          <w:szCs w:val="20"/>
        </w:rPr>
        <w:t>. Although gonorrhea infection is treatable, it has become more complex with increased antimicrobial non-susceptibility</w:t>
      </w:r>
      <w:r w:rsidRPr="00EC31A8">
        <w:rPr>
          <w:rFonts w:ascii="Arial" w:hAnsi="Arial" w:cs="Arial"/>
          <w:sz w:val="20"/>
          <w:szCs w:val="20"/>
        </w:rPr>
        <w:t>.</w:t>
      </w:r>
      <w:r w:rsidR="00D5052D">
        <w:rPr>
          <w:rFonts w:ascii="Arial" w:hAnsi="Arial" w:cs="Arial"/>
          <w:sz w:val="20"/>
          <w:szCs w:val="20"/>
          <w:vertAlign w:val="superscript"/>
        </w:rPr>
        <w:t>2</w:t>
      </w:r>
    </w:p>
    <w:p w14:paraId="7DC81173" w14:textId="282A4D75" w:rsidR="00173387" w:rsidRPr="0018731B" w:rsidRDefault="00173387" w:rsidP="00173387">
      <w:pPr>
        <w:rPr>
          <w:rFonts w:ascii="Arial" w:hAnsi="Arial" w:cs="Arial"/>
          <w:sz w:val="22"/>
        </w:rPr>
      </w:pPr>
    </w:p>
    <w:p w14:paraId="0ED2EBE3" w14:textId="53CDD49C" w:rsidR="00773130" w:rsidRPr="00BA2EEC" w:rsidRDefault="00B5637D" w:rsidP="00773130">
      <w:pPr>
        <w:rPr>
          <w:rFonts w:ascii="Arial" w:hAnsi="Arial" w:cs="Arial"/>
          <w:sz w:val="20"/>
          <w:szCs w:val="20"/>
        </w:rPr>
      </w:pPr>
      <w:r w:rsidRPr="00B5637D">
        <w:rPr>
          <w:rFonts w:ascii="Arial" w:hAnsi="Arial" w:cs="Arial"/>
          <w:b/>
          <w:bCs/>
          <w:sz w:val="20"/>
          <w:szCs w:val="20"/>
        </w:rPr>
        <w:t xml:space="preserve">Since 2015, there has been an overall increase </w:t>
      </w:r>
      <w:r w:rsidR="00143CB8">
        <w:rPr>
          <w:rFonts w:ascii="Arial" w:hAnsi="Arial" w:cs="Arial"/>
          <w:b/>
          <w:bCs/>
          <w:sz w:val="20"/>
          <w:szCs w:val="20"/>
        </w:rPr>
        <w:t xml:space="preserve">in </w:t>
      </w:r>
      <w:r w:rsidRPr="00B5637D">
        <w:rPr>
          <w:rFonts w:ascii="Arial" w:hAnsi="Arial" w:cs="Arial"/>
          <w:b/>
          <w:bCs/>
          <w:sz w:val="20"/>
          <w:szCs w:val="20"/>
        </w:rPr>
        <w:t>reported gonorrhea cases statewide, ranging from 3,592 cases in 2015 to 8,678 cases in 2024.</w:t>
      </w:r>
      <w:r>
        <w:rPr>
          <w:rFonts w:ascii="Arial" w:hAnsi="Arial" w:cs="Arial"/>
          <w:b/>
          <w:bCs/>
          <w:sz w:val="20"/>
          <w:szCs w:val="20"/>
        </w:rPr>
        <w:t xml:space="preserve"> </w:t>
      </w:r>
      <w:r w:rsidR="00F93C3D" w:rsidRPr="00F93C3D">
        <w:rPr>
          <w:rFonts w:ascii="Arial" w:hAnsi="Arial" w:cs="Arial"/>
          <w:sz w:val="20"/>
          <w:szCs w:val="20"/>
        </w:rPr>
        <w:t xml:space="preserve">Plymouth </w:t>
      </w:r>
      <w:r w:rsidR="00F93C3D">
        <w:rPr>
          <w:rFonts w:ascii="Arial" w:hAnsi="Arial" w:cs="Arial"/>
          <w:sz w:val="20"/>
          <w:szCs w:val="20"/>
        </w:rPr>
        <w:t>County also saw an overall increase in reported gonorrhea cases, ranging from 213 in 2015 to a peak of 642 in 2023, declining to 556 in 2024.</w:t>
      </w:r>
      <w:r w:rsidR="00E61012">
        <w:rPr>
          <w:rFonts w:ascii="Arial" w:hAnsi="Arial" w:cs="Arial"/>
          <w:sz w:val="20"/>
          <w:szCs w:val="20"/>
        </w:rPr>
        <w:t xml:space="preserve"> In 2024, the county incidence rate of gonorrhea was 104.7 per 100,000, while the overall state rate was 12</w:t>
      </w:r>
      <w:r w:rsidR="00C8104A">
        <w:rPr>
          <w:rFonts w:ascii="Arial" w:hAnsi="Arial" w:cs="Arial"/>
          <w:sz w:val="20"/>
          <w:szCs w:val="20"/>
        </w:rPr>
        <w:t>3.4</w:t>
      </w:r>
      <w:r w:rsidR="00E61012">
        <w:rPr>
          <w:rFonts w:ascii="Arial" w:hAnsi="Arial" w:cs="Arial"/>
          <w:sz w:val="20"/>
          <w:szCs w:val="20"/>
        </w:rPr>
        <w:t xml:space="preserve"> per 100,000.</w:t>
      </w:r>
      <w:r w:rsidR="00F93C3D">
        <w:rPr>
          <w:rFonts w:ascii="Arial" w:hAnsi="Arial" w:cs="Arial"/>
          <w:sz w:val="20"/>
          <w:szCs w:val="20"/>
        </w:rPr>
        <w:t xml:space="preserve"> </w:t>
      </w:r>
      <w:r w:rsidR="00E61012">
        <w:rPr>
          <w:rFonts w:ascii="Arial" w:hAnsi="Arial" w:cs="Arial"/>
          <w:sz w:val="20"/>
          <w:szCs w:val="20"/>
        </w:rPr>
        <w:t>These rates</w:t>
      </w:r>
      <w:r w:rsidR="00114B32" w:rsidRPr="00173387">
        <w:rPr>
          <w:rFonts w:ascii="Arial" w:hAnsi="Arial" w:cs="Arial"/>
          <w:sz w:val="20"/>
          <w:szCs w:val="20"/>
        </w:rPr>
        <w:t xml:space="preserve"> </w:t>
      </w:r>
      <w:r w:rsidR="00143CB8">
        <w:rPr>
          <w:rFonts w:ascii="Arial" w:hAnsi="Arial" w:cs="Arial"/>
          <w:sz w:val="20"/>
          <w:szCs w:val="20"/>
        </w:rPr>
        <w:t>are lower</w:t>
      </w:r>
      <w:r w:rsidR="00BA2EEC" w:rsidRPr="00173387">
        <w:rPr>
          <w:rFonts w:ascii="Arial" w:hAnsi="Arial" w:cs="Arial"/>
          <w:sz w:val="20"/>
          <w:szCs w:val="20"/>
        </w:rPr>
        <w:t xml:space="preserve"> compared to the national rate of </w:t>
      </w:r>
      <w:r w:rsidR="00BA2EEC">
        <w:rPr>
          <w:rFonts w:ascii="Arial" w:hAnsi="Arial" w:cs="Arial"/>
          <w:sz w:val="20"/>
          <w:szCs w:val="20"/>
        </w:rPr>
        <w:t>1</w:t>
      </w:r>
      <w:r w:rsidR="00F93C3D">
        <w:rPr>
          <w:rFonts w:ascii="Arial" w:hAnsi="Arial" w:cs="Arial"/>
          <w:sz w:val="20"/>
          <w:szCs w:val="20"/>
        </w:rPr>
        <w:t>59.8</w:t>
      </w:r>
      <w:r w:rsidR="00BA2EEC">
        <w:rPr>
          <w:rFonts w:ascii="Arial" w:hAnsi="Arial" w:cs="Arial"/>
          <w:sz w:val="20"/>
          <w:szCs w:val="20"/>
        </w:rPr>
        <w:t xml:space="preserve"> </w:t>
      </w:r>
      <w:r w:rsidR="00BA2EEC" w:rsidRPr="00173387">
        <w:rPr>
          <w:rFonts w:ascii="Arial" w:hAnsi="Arial" w:cs="Arial"/>
          <w:sz w:val="20"/>
          <w:szCs w:val="20"/>
        </w:rPr>
        <w:t>per 100,000.</w:t>
      </w:r>
      <w:r w:rsidR="00BA2EEC" w:rsidRPr="007C665D">
        <w:rPr>
          <w:rFonts w:ascii="Arial" w:hAnsi="Arial" w:cs="Arial"/>
          <w:sz w:val="20"/>
          <w:szCs w:val="20"/>
          <w:vertAlign w:val="superscript"/>
        </w:rPr>
        <w:t xml:space="preserve"> </w:t>
      </w:r>
      <w:r w:rsidR="00D5052D">
        <w:rPr>
          <w:rFonts w:ascii="Arial" w:hAnsi="Arial" w:cs="Arial"/>
          <w:sz w:val="20"/>
          <w:szCs w:val="20"/>
          <w:vertAlign w:val="superscript"/>
        </w:rPr>
        <w:t>4</w:t>
      </w:r>
    </w:p>
    <w:p w14:paraId="4CB01E0F" w14:textId="46BBCE0C" w:rsidR="00773130" w:rsidRDefault="00773130" w:rsidP="00773130">
      <w:pPr>
        <w:rPr>
          <w:rFonts w:ascii="Arial" w:hAnsi="Arial" w:cs="Arial"/>
          <w:b/>
          <w:bCs/>
          <w:sz w:val="20"/>
          <w:szCs w:val="20"/>
          <w:u w:val="single"/>
        </w:rPr>
      </w:pPr>
    </w:p>
    <w:p w14:paraId="2CD291DA" w14:textId="482CE06E" w:rsidR="00272D41" w:rsidRDefault="00143CB8" w:rsidP="00F93C3D">
      <w:pPr>
        <w:rPr>
          <w:rFonts w:ascii="Arial" w:hAnsi="Arial" w:cs="Arial"/>
          <w:sz w:val="20"/>
          <w:szCs w:val="20"/>
        </w:rPr>
      </w:pPr>
      <w:r>
        <w:rPr>
          <w:rFonts w:ascii="Arial" w:hAnsi="Arial" w:cs="Arial"/>
          <w:b/>
          <w:bCs/>
          <w:sz w:val="20"/>
          <w:szCs w:val="20"/>
        </w:rPr>
        <w:t>Between 2015 and 2024</w:t>
      </w:r>
      <w:r w:rsidR="00773130" w:rsidRPr="009D424A">
        <w:rPr>
          <w:rFonts w:ascii="Arial" w:hAnsi="Arial" w:cs="Arial"/>
          <w:b/>
          <w:bCs/>
          <w:sz w:val="20"/>
          <w:szCs w:val="20"/>
        </w:rPr>
        <w:t xml:space="preserve">, the county incidence rate among </w:t>
      </w:r>
      <w:r w:rsidR="001B683C">
        <w:rPr>
          <w:rFonts w:ascii="Arial" w:hAnsi="Arial" w:cs="Arial"/>
          <w:b/>
          <w:bCs/>
          <w:sz w:val="20"/>
          <w:szCs w:val="20"/>
        </w:rPr>
        <w:t>males</w:t>
      </w:r>
      <w:r w:rsidR="00773130" w:rsidRPr="009D424A">
        <w:rPr>
          <w:rFonts w:ascii="Arial" w:hAnsi="Arial" w:cs="Arial"/>
          <w:b/>
          <w:bCs/>
          <w:sz w:val="20"/>
          <w:szCs w:val="20"/>
        </w:rPr>
        <w:t xml:space="preserve"> has been higher</w:t>
      </w:r>
      <w:r w:rsidR="00773130" w:rsidRPr="009D424A">
        <w:rPr>
          <w:rFonts w:ascii="Arial" w:hAnsi="Arial" w:cs="Arial"/>
          <w:sz w:val="20"/>
          <w:szCs w:val="20"/>
        </w:rPr>
        <w:t xml:space="preserve"> than that of </w:t>
      </w:r>
      <w:r w:rsidR="001B683C">
        <w:rPr>
          <w:rFonts w:ascii="Arial" w:hAnsi="Arial" w:cs="Arial"/>
          <w:sz w:val="20"/>
          <w:szCs w:val="20"/>
        </w:rPr>
        <w:t>females</w:t>
      </w:r>
      <w:r>
        <w:rPr>
          <w:rFonts w:ascii="Arial" w:hAnsi="Arial" w:cs="Arial"/>
          <w:sz w:val="20"/>
          <w:szCs w:val="20"/>
        </w:rPr>
        <w:t xml:space="preserve"> and the overall county</w:t>
      </w:r>
      <w:r w:rsidR="00773130" w:rsidRPr="009D424A">
        <w:rPr>
          <w:rFonts w:ascii="Arial" w:hAnsi="Arial" w:cs="Arial"/>
          <w:sz w:val="20"/>
          <w:szCs w:val="20"/>
        </w:rPr>
        <w:t>. In 202</w:t>
      </w:r>
      <w:r w:rsidR="00272D41">
        <w:rPr>
          <w:rFonts w:ascii="Arial" w:hAnsi="Arial" w:cs="Arial"/>
          <w:sz w:val="20"/>
          <w:szCs w:val="20"/>
        </w:rPr>
        <w:t>4</w:t>
      </w:r>
      <w:r w:rsidR="00773130" w:rsidRPr="009D424A">
        <w:rPr>
          <w:rFonts w:ascii="Arial" w:hAnsi="Arial" w:cs="Arial"/>
          <w:sz w:val="20"/>
          <w:szCs w:val="20"/>
        </w:rPr>
        <w:t xml:space="preserve">, </w:t>
      </w:r>
      <w:r w:rsidR="001B683C">
        <w:rPr>
          <w:rFonts w:ascii="Arial" w:hAnsi="Arial" w:cs="Arial"/>
          <w:sz w:val="20"/>
          <w:szCs w:val="20"/>
        </w:rPr>
        <w:t>males</w:t>
      </w:r>
      <w:r w:rsidR="00773130" w:rsidRPr="009D424A">
        <w:rPr>
          <w:rFonts w:ascii="Arial" w:hAnsi="Arial" w:cs="Arial"/>
          <w:sz w:val="20"/>
          <w:szCs w:val="20"/>
        </w:rPr>
        <w:t xml:space="preserve"> accounted for approximately </w:t>
      </w:r>
      <w:r w:rsidR="00BA2EEC">
        <w:rPr>
          <w:rFonts w:ascii="Arial" w:hAnsi="Arial" w:cs="Arial"/>
          <w:sz w:val="20"/>
          <w:szCs w:val="20"/>
        </w:rPr>
        <w:t>5</w:t>
      </w:r>
      <w:r w:rsidR="00F93C3D">
        <w:rPr>
          <w:rFonts w:ascii="Arial" w:hAnsi="Arial" w:cs="Arial"/>
          <w:sz w:val="20"/>
          <w:szCs w:val="20"/>
        </w:rPr>
        <w:t>9.4</w:t>
      </w:r>
      <w:r w:rsidR="00773130" w:rsidRPr="009D424A">
        <w:rPr>
          <w:rFonts w:ascii="Arial" w:hAnsi="Arial" w:cs="Arial"/>
          <w:sz w:val="20"/>
          <w:szCs w:val="20"/>
        </w:rPr>
        <w:t xml:space="preserve">% of all gonorrhea cases in </w:t>
      </w:r>
      <w:r w:rsidR="00F93C3D">
        <w:rPr>
          <w:rFonts w:ascii="Arial" w:hAnsi="Arial" w:cs="Arial"/>
          <w:sz w:val="20"/>
          <w:szCs w:val="20"/>
        </w:rPr>
        <w:t>Plymouth</w:t>
      </w:r>
      <w:r w:rsidR="00773130" w:rsidRPr="009D424A">
        <w:rPr>
          <w:rFonts w:ascii="Arial" w:hAnsi="Arial" w:cs="Arial"/>
          <w:sz w:val="20"/>
          <w:szCs w:val="20"/>
        </w:rPr>
        <w:t xml:space="preserve"> County with a rate of </w:t>
      </w:r>
      <w:r w:rsidR="00F93C3D">
        <w:rPr>
          <w:rFonts w:ascii="Arial" w:hAnsi="Arial" w:cs="Arial"/>
          <w:sz w:val="20"/>
          <w:szCs w:val="20"/>
        </w:rPr>
        <w:t>128.0</w:t>
      </w:r>
      <w:r w:rsidR="00272D41">
        <w:rPr>
          <w:rFonts w:ascii="Arial" w:hAnsi="Arial" w:cs="Arial"/>
          <w:sz w:val="20"/>
          <w:szCs w:val="20"/>
        </w:rPr>
        <w:t xml:space="preserve"> </w:t>
      </w:r>
      <w:r w:rsidR="00773130" w:rsidRPr="009D424A">
        <w:rPr>
          <w:rFonts w:ascii="Arial" w:hAnsi="Arial" w:cs="Arial"/>
          <w:sz w:val="20"/>
          <w:szCs w:val="20"/>
        </w:rPr>
        <w:t>per 100,000</w:t>
      </w:r>
      <w:r w:rsidR="00BA2EEC">
        <w:rPr>
          <w:rFonts w:ascii="Arial" w:hAnsi="Arial" w:cs="Arial"/>
          <w:sz w:val="20"/>
          <w:szCs w:val="20"/>
        </w:rPr>
        <w:t>,</w:t>
      </w:r>
      <w:r w:rsidR="00773130" w:rsidRPr="009D424A">
        <w:rPr>
          <w:rFonts w:ascii="Arial" w:hAnsi="Arial" w:cs="Arial"/>
          <w:sz w:val="20"/>
          <w:szCs w:val="20"/>
        </w:rPr>
        <w:t xml:space="preserve"> while </w:t>
      </w:r>
      <w:r w:rsidR="001B683C">
        <w:rPr>
          <w:rFonts w:ascii="Arial" w:hAnsi="Arial" w:cs="Arial"/>
          <w:sz w:val="20"/>
          <w:szCs w:val="20"/>
        </w:rPr>
        <w:t>females</w:t>
      </w:r>
      <w:r w:rsidR="00773130" w:rsidRPr="009D424A">
        <w:rPr>
          <w:rFonts w:ascii="Arial" w:hAnsi="Arial" w:cs="Arial"/>
          <w:sz w:val="20"/>
          <w:szCs w:val="20"/>
        </w:rPr>
        <w:t xml:space="preserve"> had a rate of </w:t>
      </w:r>
      <w:r w:rsidR="00F93C3D">
        <w:rPr>
          <w:rFonts w:ascii="Arial" w:hAnsi="Arial" w:cs="Arial"/>
          <w:sz w:val="20"/>
          <w:szCs w:val="20"/>
        </w:rPr>
        <w:t>81.7</w:t>
      </w:r>
      <w:r w:rsidR="00272D41">
        <w:rPr>
          <w:rFonts w:ascii="Arial" w:hAnsi="Arial" w:cs="Arial"/>
          <w:sz w:val="20"/>
          <w:szCs w:val="20"/>
        </w:rPr>
        <w:t xml:space="preserve"> </w:t>
      </w:r>
      <w:r w:rsidR="00773130" w:rsidRPr="009D424A">
        <w:rPr>
          <w:rFonts w:ascii="Arial" w:hAnsi="Arial" w:cs="Arial"/>
          <w:sz w:val="20"/>
          <w:szCs w:val="20"/>
        </w:rPr>
        <w:t>per 100,000.</w:t>
      </w:r>
      <w:bookmarkStart w:id="2" w:name="_Hlk200638872"/>
    </w:p>
    <w:p w14:paraId="58C2C1B8" w14:textId="12B6DD5E" w:rsidR="00024287" w:rsidRDefault="00024287" w:rsidP="00F93C3D">
      <w:pPr>
        <w:rPr>
          <w:rFonts w:ascii="Arial" w:hAnsi="Arial" w:cs="Arial"/>
          <w:sz w:val="20"/>
          <w:szCs w:val="20"/>
        </w:rPr>
      </w:pPr>
    </w:p>
    <w:p w14:paraId="32F6C0AF" w14:textId="77777777" w:rsidR="007448C5" w:rsidRDefault="007448C5" w:rsidP="00F93C3D">
      <w:pPr>
        <w:rPr>
          <w:rFonts w:ascii="Arial" w:hAnsi="Arial" w:cs="Arial"/>
          <w:sz w:val="20"/>
          <w:szCs w:val="20"/>
        </w:rPr>
      </w:pPr>
    </w:p>
    <w:p w14:paraId="30700B4A" w14:textId="77777777" w:rsidR="007448C5" w:rsidRDefault="007448C5" w:rsidP="00F93C3D">
      <w:pPr>
        <w:rPr>
          <w:rFonts w:ascii="Arial" w:hAnsi="Arial" w:cs="Arial"/>
          <w:sz w:val="20"/>
          <w:szCs w:val="20"/>
        </w:rPr>
      </w:pPr>
    </w:p>
    <w:p w14:paraId="29D6F030" w14:textId="5203A87C" w:rsidR="007448C5" w:rsidRDefault="007448C5" w:rsidP="00F93C3D">
      <w:pPr>
        <w:rPr>
          <w:rFonts w:ascii="Arial" w:hAnsi="Arial" w:cs="Arial"/>
          <w:sz w:val="20"/>
          <w:szCs w:val="20"/>
        </w:rPr>
      </w:pPr>
      <w:r>
        <w:rPr>
          <w:rFonts w:ascii="Arial" w:hAnsi="Arial" w:cs="Arial"/>
          <w:noProof/>
          <w:sz w:val="20"/>
          <w:szCs w:val="20"/>
        </w:rPr>
        <w:lastRenderedPageBreak/>
        <w:drawing>
          <wp:inline distT="0" distB="0" distL="0" distR="0" wp14:anchorId="01C91D6E" wp14:editId="2956F11A">
            <wp:extent cx="6912864" cy="2258568"/>
            <wp:effectExtent l="0" t="0" r="0" b="8890"/>
            <wp:docPr id="844391134" name="Picture 2" descr="Graph depicts the rates per 100,000 population of gonorrhea in Massachusetts statewide, in Plymouth County overall, and by gender in Plymouth County between 2015 and 2024. The line showing statewide rate begins at 52.6 in 2015 and ends at 123.4 in 2024, with a peak of 139.1 in 2023. The line showing Plymouth County overall rate begins at 41.5 in 2015 and ends at 104.7 in 2024, with a peak of 120.9 in 2023. The line showing the rate among females in Plymouth County begins at 27.0 in 2015 and ends at 81.7 in 2024, with a peak of 90.5 in 2023. The line showing the rate among males in Plymouth County begins at 56.9 in 2015 and ends at 128.0 in 2024, with a peak of 152.5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91134" name="Picture 2" descr="Graph depicts the rates per 100,000 population of gonorrhea in Massachusetts statewide, in Plymouth County overall, and by gender in Plymouth County between 2015 and 2024. The line showing statewide rate begins at 52.6 in 2015 and ends at 123.4 in 2024, with a peak of 139.1 in 2023. The line showing Plymouth County overall rate begins at 41.5 in 2015 and ends at 104.7 in 2024, with a peak of 120.9 in 2023. The line showing the rate among females in Plymouth County begins at 27.0 in 2015 and ends at 81.7 in 2024, with a peak of 90.5 in 2023. The line showing the rate among males in Plymouth County begins at 56.9 in 2015 and ends at 128.0 in 2024, with a peak of 152.5 in 20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58568"/>
                    </a:xfrm>
                    <a:prstGeom prst="rect">
                      <a:avLst/>
                    </a:prstGeom>
                    <a:noFill/>
                  </pic:spPr>
                </pic:pic>
              </a:graphicData>
            </a:graphic>
          </wp:inline>
        </w:drawing>
      </w:r>
    </w:p>
    <w:p w14:paraId="60DAF9BB" w14:textId="77777777" w:rsidR="00024287" w:rsidRPr="004B107C" w:rsidRDefault="00024287" w:rsidP="00024287">
      <w:pPr>
        <w:rPr>
          <w:rFonts w:ascii="Arial" w:hAnsi="Arial" w:cs="Arial"/>
          <w:sz w:val="12"/>
          <w:szCs w:val="12"/>
        </w:rPr>
      </w:pPr>
      <w:r w:rsidRPr="004B107C">
        <w:rPr>
          <w:rFonts w:ascii="Arial" w:hAnsi="Arial" w:cs="Arial"/>
          <w:sz w:val="12"/>
          <w:szCs w:val="12"/>
        </w:rPr>
        <w:t xml:space="preserve">Data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4BAB77D7" w14:textId="77777777" w:rsidR="00024287" w:rsidRPr="004B107C" w:rsidRDefault="00024287" w:rsidP="00024287">
      <w:pPr>
        <w:rPr>
          <w:rFonts w:ascii="Arial" w:hAnsi="Arial" w:cs="Arial"/>
          <w:sz w:val="12"/>
          <w:szCs w:val="12"/>
        </w:rPr>
      </w:pPr>
      <w:r w:rsidRPr="004B107C">
        <w:rPr>
          <w:rFonts w:ascii="Arial" w:hAnsi="Arial" w:cs="Arial"/>
          <w:sz w:val="12"/>
          <w:szCs w:val="12"/>
        </w:rPr>
        <w:t>Population denominators: Strate S, et al. Small Area Population Estimates for 2011 through 2020 report, Oct 2016.</w:t>
      </w:r>
    </w:p>
    <w:p w14:paraId="0C214515" w14:textId="77777777" w:rsidR="00024287" w:rsidRPr="004B107C" w:rsidRDefault="00024287" w:rsidP="00024287">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p>
    <w:p w14:paraId="3C1129AF" w14:textId="77777777" w:rsidR="00024287" w:rsidRPr="00024287" w:rsidRDefault="00024287" w:rsidP="00F93C3D">
      <w:pPr>
        <w:rPr>
          <w:rFonts w:ascii="Arial" w:hAnsi="Arial" w:cs="Arial"/>
          <w:sz w:val="20"/>
          <w:szCs w:val="20"/>
        </w:rPr>
      </w:pPr>
    </w:p>
    <w:p w14:paraId="3D885FD2" w14:textId="3975EDFB" w:rsidR="004A18B7" w:rsidRDefault="004A18B7" w:rsidP="004A18B7">
      <w:pPr>
        <w:rPr>
          <w:rFonts w:ascii="Arial" w:hAnsi="Arial" w:cs="Arial"/>
          <w:b/>
          <w:bCs/>
          <w:sz w:val="20"/>
          <w:szCs w:val="20"/>
        </w:rPr>
      </w:pPr>
      <w:bookmarkStart w:id="3" w:name="_Hlk200638889"/>
      <w:bookmarkEnd w:id="2"/>
      <w:r w:rsidRPr="00FD1CAC">
        <w:rPr>
          <w:rFonts w:ascii="Arial" w:hAnsi="Arial" w:cs="Arial"/>
          <w:b/>
          <w:bCs/>
          <w:sz w:val="20"/>
          <w:szCs w:val="20"/>
        </w:rPr>
        <w:t xml:space="preserve">In 2024, </w:t>
      </w:r>
      <w:r w:rsidR="00F93C3D">
        <w:rPr>
          <w:rFonts w:ascii="Arial" w:hAnsi="Arial" w:cs="Arial"/>
          <w:b/>
          <w:bCs/>
          <w:sz w:val="20"/>
          <w:szCs w:val="20"/>
        </w:rPr>
        <w:t>216</w:t>
      </w:r>
      <w:r w:rsidRPr="00FD1CAC">
        <w:rPr>
          <w:rFonts w:ascii="Arial" w:hAnsi="Arial" w:cs="Arial"/>
          <w:b/>
          <w:bCs/>
          <w:sz w:val="20"/>
          <w:szCs w:val="20"/>
        </w:rPr>
        <w:t xml:space="preserve"> gonorrhea cases were reported among </w:t>
      </w:r>
      <w:r>
        <w:rPr>
          <w:rFonts w:ascii="Arial" w:hAnsi="Arial" w:cs="Arial"/>
          <w:b/>
          <w:bCs/>
          <w:sz w:val="20"/>
          <w:szCs w:val="20"/>
        </w:rPr>
        <w:t>2</w:t>
      </w:r>
      <w:r w:rsidRPr="00FD1CAC">
        <w:rPr>
          <w:rFonts w:ascii="Arial" w:hAnsi="Arial" w:cs="Arial"/>
          <w:b/>
          <w:bCs/>
          <w:sz w:val="20"/>
          <w:szCs w:val="20"/>
        </w:rPr>
        <w:t>0-</w:t>
      </w:r>
      <w:r>
        <w:rPr>
          <w:rFonts w:ascii="Arial" w:hAnsi="Arial" w:cs="Arial"/>
          <w:b/>
          <w:bCs/>
          <w:sz w:val="20"/>
          <w:szCs w:val="20"/>
        </w:rPr>
        <w:t>2</w:t>
      </w:r>
      <w:r w:rsidRPr="00FD1CAC">
        <w:rPr>
          <w:rFonts w:ascii="Arial" w:hAnsi="Arial" w:cs="Arial"/>
          <w:b/>
          <w:bCs/>
          <w:sz w:val="20"/>
          <w:szCs w:val="20"/>
        </w:rPr>
        <w:t xml:space="preserve">9 year-olds, </w:t>
      </w:r>
      <w:r w:rsidR="007448C5">
        <w:rPr>
          <w:rFonts w:ascii="Arial" w:hAnsi="Arial" w:cs="Arial"/>
          <w:b/>
          <w:bCs/>
          <w:sz w:val="20"/>
          <w:szCs w:val="20"/>
        </w:rPr>
        <w:t xml:space="preserve">at a rate of 351.1 per 100,000, </w:t>
      </w:r>
      <w:r w:rsidRPr="00FD1CAC">
        <w:rPr>
          <w:rFonts w:ascii="Arial" w:hAnsi="Arial" w:cs="Arial"/>
          <w:b/>
          <w:bCs/>
          <w:sz w:val="20"/>
          <w:szCs w:val="20"/>
        </w:rPr>
        <w:t xml:space="preserve">the highest among all age groups in </w:t>
      </w:r>
      <w:r w:rsidR="00F93C3D">
        <w:rPr>
          <w:rFonts w:ascii="Arial" w:hAnsi="Arial" w:cs="Arial"/>
          <w:b/>
          <w:bCs/>
          <w:sz w:val="20"/>
          <w:szCs w:val="20"/>
        </w:rPr>
        <w:t>Plymouth</w:t>
      </w:r>
      <w:r w:rsidRPr="00FD1CAC">
        <w:rPr>
          <w:rFonts w:ascii="Arial" w:hAnsi="Arial" w:cs="Arial"/>
          <w:b/>
          <w:bCs/>
          <w:sz w:val="20"/>
          <w:szCs w:val="20"/>
        </w:rPr>
        <w:t xml:space="preserve"> County.</w:t>
      </w:r>
      <w:r w:rsidR="007448C5">
        <w:rPr>
          <w:rFonts w:ascii="Arial" w:hAnsi="Arial" w:cs="Arial"/>
          <w:sz w:val="20"/>
          <w:szCs w:val="20"/>
        </w:rPr>
        <w:t xml:space="preserve"> </w:t>
      </w:r>
      <w:r w:rsidR="007F3039">
        <w:rPr>
          <w:rFonts w:ascii="Arial" w:hAnsi="Arial" w:cs="Arial"/>
          <w:sz w:val="20"/>
          <w:szCs w:val="20"/>
        </w:rPr>
        <w:t>Fem</w:t>
      </w:r>
      <w:r w:rsidRPr="00FD1CAC">
        <w:rPr>
          <w:rFonts w:ascii="Arial" w:hAnsi="Arial" w:cs="Arial"/>
          <w:sz w:val="20"/>
          <w:szCs w:val="20"/>
        </w:rPr>
        <w:t xml:space="preserve">ales accounted for </w:t>
      </w:r>
      <w:r w:rsidR="00F93C3D">
        <w:rPr>
          <w:rFonts w:ascii="Arial" w:hAnsi="Arial" w:cs="Arial"/>
          <w:sz w:val="20"/>
          <w:szCs w:val="20"/>
        </w:rPr>
        <w:t>93</w:t>
      </w:r>
      <w:r w:rsidR="00A12516">
        <w:rPr>
          <w:rFonts w:ascii="Arial" w:hAnsi="Arial" w:cs="Arial"/>
          <w:sz w:val="20"/>
          <w:szCs w:val="20"/>
        </w:rPr>
        <w:t xml:space="preserve"> </w:t>
      </w:r>
      <w:r w:rsidRPr="00FD1CAC">
        <w:rPr>
          <w:rFonts w:ascii="Arial" w:hAnsi="Arial" w:cs="Arial"/>
          <w:sz w:val="20"/>
          <w:szCs w:val="20"/>
        </w:rPr>
        <w:t>cases</w:t>
      </w:r>
      <w:r w:rsidR="00563E7B">
        <w:rPr>
          <w:rFonts w:ascii="Arial" w:hAnsi="Arial" w:cs="Arial"/>
          <w:sz w:val="20"/>
          <w:szCs w:val="20"/>
        </w:rPr>
        <w:t xml:space="preserve"> (</w:t>
      </w:r>
      <w:r w:rsidR="007448C5">
        <w:rPr>
          <w:rFonts w:ascii="Arial" w:hAnsi="Arial" w:cs="Arial"/>
          <w:sz w:val="20"/>
          <w:szCs w:val="20"/>
        </w:rPr>
        <w:t>43.1</w:t>
      </w:r>
      <w:r w:rsidR="00563E7B">
        <w:rPr>
          <w:rFonts w:ascii="Arial" w:hAnsi="Arial" w:cs="Arial"/>
          <w:sz w:val="20"/>
          <w:szCs w:val="20"/>
        </w:rPr>
        <w:t>%) in this age group</w:t>
      </w:r>
      <w:r w:rsidRPr="00FD1CAC">
        <w:rPr>
          <w:rFonts w:ascii="Arial" w:hAnsi="Arial" w:cs="Arial"/>
          <w:sz w:val="20"/>
          <w:szCs w:val="20"/>
        </w:rPr>
        <w:t xml:space="preserve">, with a rate of </w:t>
      </w:r>
      <w:r w:rsidR="00F93C3D">
        <w:rPr>
          <w:rFonts w:ascii="Arial" w:hAnsi="Arial" w:cs="Arial"/>
          <w:sz w:val="20"/>
          <w:szCs w:val="20"/>
        </w:rPr>
        <w:t>306.0</w:t>
      </w:r>
      <w:r w:rsidRPr="00FD1CAC">
        <w:rPr>
          <w:rFonts w:ascii="Arial" w:hAnsi="Arial" w:cs="Arial"/>
          <w:sz w:val="20"/>
          <w:szCs w:val="20"/>
        </w:rPr>
        <w:t xml:space="preserve"> per 100,000</w:t>
      </w:r>
      <w:r>
        <w:rPr>
          <w:rFonts w:ascii="Arial" w:hAnsi="Arial" w:cs="Arial"/>
          <w:sz w:val="20"/>
          <w:szCs w:val="20"/>
        </w:rPr>
        <w:t xml:space="preserve">, </w:t>
      </w:r>
      <w:r w:rsidRPr="00A806D7">
        <w:rPr>
          <w:rFonts w:ascii="Arial" w:hAnsi="Arial" w:cs="Arial"/>
          <w:sz w:val="20"/>
          <w:szCs w:val="20"/>
        </w:rPr>
        <w:t xml:space="preserve">while </w:t>
      </w:r>
      <w:r w:rsidR="00F93C3D">
        <w:rPr>
          <w:rFonts w:ascii="Arial" w:hAnsi="Arial" w:cs="Arial"/>
          <w:sz w:val="20"/>
          <w:szCs w:val="20"/>
        </w:rPr>
        <w:t>122</w:t>
      </w:r>
      <w:r w:rsidRPr="00A806D7">
        <w:rPr>
          <w:rFonts w:ascii="Arial" w:hAnsi="Arial" w:cs="Arial"/>
          <w:sz w:val="20"/>
          <w:szCs w:val="20"/>
        </w:rPr>
        <w:t xml:space="preserve"> cases</w:t>
      </w:r>
      <w:r w:rsidR="00563E7B">
        <w:rPr>
          <w:rFonts w:ascii="Arial" w:hAnsi="Arial" w:cs="Arial"/>
          <w:sz w:val="20"/>
          <w:szCs w:val="20"/>
        </w:rPr>
        <w:t xml:space="preserve"> (</w:t>
      </w:r>
      <w:r w:rsidR="007448C5">
        <w:rPr>
          <w:rFonts w:ascii="Arial" w:hAnsi="Arial" w:cs="Arial"/>
          <w:sz w:val="20"/>
          <w:szCs w:val="20"/>
        </w:rPr>
        <w:t>56.5</w:t>
      </w:r>
      <w:r w:rsidR="00563E7B">
        <w:rPr>
          <w:rFonts w:ascii="Arial" w:hAnsi="Arial" w:cs="Arial"/>
          <w:sz w:val="20"/>
          <w:szCs w:val="20"/>
        </w:rPr>
        <w:t>%)</w:t>
      </w:r>
      <w:r w:rsidRPr="00A806D7">
        <w:rPr>
          <w:rFonts w:ascii="Arial" w:hAnsi="Arial" w:cs="Arial"/>
          <w:sz w:val="20"/>
          <w:szCs w:val="20"/>
        </w:rPr>
        <w:t xml:space="preserve"> were reported </w:t>
      </w:r>
      <w:r w:rsidR="007448C5">
        <w:rPr>
          <w:rFonts w:ascii="Arial" w:hAnsi="Arial" w:cs="Arial"/>
          <w:sz w:val="20"/>
          <w:szCs w:val="20"/>
        </w:rPr>
        <w:t>among</w:t>
      </w:r>
      <w:r w:rsidRPr="00A806D7">
        <w:rPr>
          <w:rFonts w:ascii="Arial" w:hAnsi="Arial" w:cs="Arial"/>
          <w:sz w:val="20"/>
          <w:szCs w:val="20"/>
        </w:rPr>
        <w:t xml:space="preserve"> males, at a rate of </w:t>
      </w:r>
      <w:r w:rsidR="00F93C3D">
        <w:rPr>
          <w:rFonts w:ascii="Arial" w:hAnsi="Arial" w:cs="Arial"/>
          <w:sz w:val="20"/>
          <w:szCs w:val="20"/>
        </w:rPr>
        <w:t>392.0</w:t>
      </w:r>
      <w:r w:rsidR="00706DAD">
        <w:rPr>
          <w:rFonts w:ascii="Arial" w:hAnsi="Arial" w:cs="Arial"/>
          <w:sz w:val="20"/>
          <w:szCs w:val="20"/>
        </w:rPr>
        <w:t xml:space="preserve"> </w:t>
      </w:r>
      <w:r w:rsidRPr="00A806D7">
        <w:rPr>
          <w:rFonts w:ascii="Arial" w:hAnsi="Arial" w:cs="Arial"/>
          <w:sz w:val="20"/>
          <w:szCs w:val="20"/>
        </w:rPr>
        <w:t>per 100,000.</w:t>
      </w:r>
      <w:r>
        <w:rPr>
          <w:rFonts w:ascii="Arial" w:hAnsi="Arial" w:cs="Arial"/>
          <w:sz w:val="20"/>
          <w:szCs w:val="20"/>
        </w:rPr>
        <w:t xml:space="preserve"> </w:t>
      </w:r>
      <w:r w:rsidRPr="00A806D7">
        <w:rPr>
          <w:rFonts w:ascii="Arial" w:hAnsi="Arial" w:cs="Arial"/>
          <w:sz w:val="20"/>
          <w:szCs w:val="20"/>
        </w:rPr>
        <w:t xml:space="preserve">Although the chart below represents rates by age group only, the highest burden </w:t>
      </w:r>
      <w:r w:rsidR="00A95E21">
        <w:rPr>
          <w:rFonts w:ascii="Arial" w:hAnsi="Arial" w:cs="Arial"/>
          <w:sz w:val="20"/>
          <w:szCs w:val="20"/>
        </w:rPr>
        <w:t>i</w:t>
      </w:r>
      <w:r w:rsidR="00A95E21" w:rsidRPr="00A806D7">
        <w:rPr>
          <w:rFonts w:ascii="Arial" w:hAnsi="Arial" w:cs="Arial"/>
          <w:sz w:val="20"/>
          <w:szCs w:val="20"/>
        </w:rPr>
        <w:t xml:space="preserve">s </w:t>
      </w:r>
      <w:r w:rsidRPr="00A806D7">
        <w:rPr>
          <w:rFonts w:ascii="Arial" w:hAnsi="Arial" w:cs="Arial"/>
          <w:sz w:val="20"/>
          <w:szCs w:val="20"/>
        </w:rPr>
        <w:t xml:space="preserve">concentrated among </w:t>
      </w:r>
      <w:r w:rsidR="00A95E21">
        <w:rPr>
          <w:rFonts w:ascii="Arial" w:hAnsi="Arial" w:cs="Arial"/>
          <w:sz w:val="20"/>
          <w:szCs w:val="20"/>
        </w:rPr>
        <w:t>20-29-year-old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3E45EC">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590AF207" w14:textId="486A6CBB" w:rsidR="00272D41" w:rsidRDefault="00272D41" w:rsidP="00272D41">
      <w:pPr>
        <w:tabs>
          <w:tab w:val="left" w:pos="1853"/>
        </w:tabs>
        <w:ind w:left="230"/>
        <w:rPr>
          <w:rFonts w:ascii="Arial" w:hAnsi="Arial" w:cs="Arial"/>
          <w:sz w:val="20"/>
          <w:szCs w:val="20"/>
        </w:rPr>
      </w:pPr>
    </w:p>
    <w:p w14:paraId="34FF075B" w14:textId="7EA0ACF7" w:rsidR="00024287" w:rsidRDefault="00024287" w:rsidP="00272D41">
      <w:pPr>
        <w:tabs>
          <w:tab w:val="left" w:pos="1853"/>
        </w:tabs>
        <w:ind w:left="230"/>
        <w:rPr>
          <w:rFonts w:ascii="Arial" w:hAnsi="Arial" w:cs="Arial"/>
          <w:sz w:val="20"/>
          <w:szCs w:val="20"/>
        </w:rPr>
      </w:pPr>
      <w:r>
        <w:rPr>
          <w:rFonts w:ascii="Arial" w:hAnsi="Arial" w:cs="Arial"/>
          <w:noProof/>
          <w:sz w:val="20"/>
          <w:szCs w:val="20"/>
        </w:rPr>
        <w:drawing>
          <wp:inline distT="0" distB="0" distL="0" distR="0" wp14:anchorId="6846D639" wp14:editId="5A40DAB0">
            <wp:extent cx="6912864" cy="2642616"/>
            <wp:effectExtent l="0" t="0" r="2540" b="5715"/>
            <wp:docPr id="1155968266" name="Picture 10" descr="Graph depicts the rates per 100,000 population of gonorrhea cases in Plymouth County, Massachusetts by age group for 2015 and 2024. The included age groups are &lt;20 years, 20-29 years, 30-39 years, 40-49 years, 50-59 years, and 60+ years. Rates are consistently higher in 2024 compared to 2015. Rates are highest among those aged 20-29, at 153.2 in 2015 and 351.1 in 2024. Rates are lowest among those aged 60+ years, at 3.3 in 2015 and 11.7 in 2024. The age group that saw the largest change in rate was 20-29 years, from 153.2 in 2015 to 351.1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68266" name="Picture 10" descr="Graph depicts the rates per 100,000 population of gonorrhea cases in Plymouth County, Massachusetts by age group for 2015 and 2024. The included age groups are &lt;20 years, 20-29 years, 30-39 years, 40-49 years, 50-59 years, and 60+ years. Rates are consistently higher in 2024 compared to 2015. Rates are highest among those aged 20-29, at 153.2 in 2015 and 351.1 in 2024. Rates are lowest among those aged 60+ years, at 3.3 in 2015 and 11.7 in 2024. The age group that saw the largest change in rate was 20-29 years, from 153.2 in 2015 to 351.1 in 2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31F5CD30" w14:textId="77777777" w:rsidR="00024287" w:rsidRPr="002F5B67" w:rsidRDefault="00024287" w:rsidP="00024287">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3DCD8447" w14:textId="77777777" w:rsidR="00024287" w:rsidRPr="002F5B67" w:rsidRDefault="00024287" w:rsidP="00024287">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10586978" w14:textId="77777777" w:rsidR="00024287" w:rsidRPr="002F5B67" w:rsidRDefault="00024287" w:rsidP="00024287">
      <w:pPr>
        <w:rPr>
          <w:rFonts w:ascii="Arial" w:hAnsi="Arial" w:cs="Arial"/>
          <w:sz w:val="12"/>
          <w:szCs w:val="12"/>
        </w:rPr>
      </w:pPr>
      <w:r w:rsidRPr="002F5B67">
        <w:rPr>
          <w:rFonts w:ascii="Arial" w:hAnsi="Arial" w:cs="Arial"/>
          <w:sz w:val="12"/>
          <w:szCs w:val="12"/>
        </w:rPr>
        <w:t>Data source: Massachusetts Department of Public Health/Bureau of Infectious Disease and Laboratory Sciences/Division of STD Prevention.</w:t>
      </w:r>
    </w:p>
    <w:p w14:paraId="15D172D7" w14:textId="77777777" w:rsidR="00024287" w:rsidRDefault="00024287" w:rsidP="00024287">
      <w:pPr>
        <w:tabs>
          <w:tab w:val="left" w:pos="1853"/>
        </w:tabs>
        <w:rPr>
          <w:rFonts w:ascii="Arial" w:hAnsi="Arial" w:cs="Arial"/>
          <w:sz w:val="20"/>
          <w:szCs w:val="20"/>
        </w:rPr>
      </w:pPr>
    </w:p>
    <w:bookmarkEnd w:id="3"/>
    <w:p w14:paraId="7EA208A8" w14:textId="632F544D" w:rsidR="00E83783" w:rsidRPr="00F2432D" w:rsidRDefault="00E83783" w:rsidP="00FC412A">
      <w:pPr>
        <w:pStyle w:val="Heading1"/>
        <w:rPr>
          <w:vertAlign w:val="superscript"/>
        </w:rPr>
      </w:pPr>
      <w:r>
        <w:t>Infectious Syphilis</w:t>
      </w:r>
      <w:r w:rsidR="00D5052D">
        <w:rPr>
          <w:vertAlign w:val="superscript"/>
        </w:rPr>
        <w:t>5</w:t>
      </w:r>
    </w:p>
    <w:p w14:paraId="2932FE4F" w14:textId="539EFDAD" w:rsidR="00E83783" w:rsidRPr="00024287" w:rsidRDefault="00E83783" w:rsidP="00E83783">
      <w:pPr>
        <w:rPr>
          <w:rFonts w:ascii="Arial" w:hAnsi="Arial" w:cs="Arial"/>
          <w:sz w:val="20"/>
          <w:szCs w:val="20"/>
          <w:vertAlign w:val="superscript"/>
        </w:rPr>
      </w:pPr>
      <w:r w:rsidRPr="00F2432D">
        <w:rPr>
          <w:rFonts w:ascii="Arial" w:hAnsi="Arial" w:cs="Arial"/>
          <w:sz w:val="20"/>
          <w:szCs w:val="20"/>
        </w:rPr>
        <w:t>Infectious Syphilis, which includes primary, secondary, and early non-primary, non-secondary stages, has been on the rise in the Commonwealth and nationally since the early 2000s</w:t>
      </w:r>
      <w:r w:rsidR="00337963">
        <w:rPr>
          <w:rFonts w:ascii="Arial" w:hAnsi="Arial" w:cs="Arial"/>
          <w:sz w:val="20"/>
          <w:szCs w:val="20"/>
        </w:rPr>
        <w:t>, but in more recent years there has been a decrease</w:t>
      </w:r>
      <w:r w:rsidRPr="00F2432D">
        <w:rPr>
          <w:rFonts w:ascii="Arial" w:hAnsi="Arial" w:cs="Arial"/>
          <w:sz w:val="20"/>
          <w:szCs w:val="20"/>
        </w:rPr>
        <w:t>.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syphilis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024287">
        <w:rPr>
          <w:rFonts w:ascii="Arial" w:hAnsi="Arial" w:cs="Arial"/>
          <w:sz w:val="20"/>
          <w:szCs w:val="20"/>
          <w:vertAlign w:val="superscript"/>
        </w:rPr>
        <w:t>2</w:t>
      </w:r>
    </w:p>
    <w:p w14:paraId="0982B49D" w14:textId="591AF005" w:rsidR="00C66B1B" w:rsidRPr="00C66B1B" w:rsidRDefault="00C66B1B" w:rsidP="00C66B1B">
      <w:pPr>
        <w:rPr>
          <w:rFonts w:ascii="Arial" w:hAnsi="Arial" w:cs="Arial"/>
          <w:sz w:val="20"/>
          <w:szCs w:val="20"/>
        </w:rPr>
      </w:pPr>
    </w:p>
    <w:p w14:paraId="6ACB1A47" w14:textId="4741DA6B" w:rsidR="00BA2EEC" w:rsidRPr="00C66B1B" w:rsidRDefault="00BA2EEC" w:rsidP="00BA2EEC">
      <w:pPr>
        <w:rPr>
          <w:rFonts w:ascii="Arial" w:hAnsi="Arial" w:cs="Arial"/>
          <w:sz w:val="20"/>
          <w:szCs w:val="20"/>
        </w:rPr>
      </w:pPr>
      <w:bookmarkStart w:id="4" w:name="_Hlk173234521"/>
      <w:bookmarkStart w:id="5" w:name="_Hlk173236170"/>
      <w:bookmarkStart w:id="6" w:name="_Hlk206981355"/>
      <w:bookmarkStart w:id="7" w:name="_Hlk206979373"/>
      <w:bookmarkStart w:id="8" w:name="_Hlk200638962"/>
      <w:r w:rsidRPr="00173387">
        <w:rPr>
          <w:rFonts w:ascii="Arial" w:hAnsi="Arial" w:cs="Arial"/>
          <w:b/>
          <w:bCs/>
          <w:sz w:val="20"/>
          <w:szCs w:val="20"/>
        </w:rPr>
        <w:t>Since 201</w:t>
      </w:r>
      <w:r>
        <w:rPr>
          <w:rFonts w:ascii="Arial" w:hAnsi="Arial" w:cs="Arial"/>
          <w:b/>
          <w:bCs/>
          <w:sz w:val="20"/>
          <w:szCs w:val="20"/>
        </w:rPr>
        <w:t>5</w:t>
      </w:r>
      <w:r w:rsidRPr="00173387">
        <w:rPr>
          <w:rFonts w:ascii="Arial" w:hAnsi="Arial" w:cs="Arial"/>
          <w:b/>
          <w:bCs/>
          <w:sz w:val="20"/>
          <w:szCs w:val="20"/>
        </w:rPr>
        <w:t>, the</w:t>
      </w:r>
      <w:r>
        <w:rPr>
          <w:rFonts w:ascii="Arial" w:hAnsi="Arial" w:cs="Arial"/>
          <w:b/>
          <w:bCs/>
          <w:sz w:val="20"/>
          <w:szCs w:val="20"/>
        </w:rPr>
        <w:t xml:space="preserve">re has been an </w:t>
      </w:r>
      <w:r w:rsidRPr="00173387">
        <w:rPr>
          <w:rFonts w:ascii="Arial" w:hAnsi="Arial" w:cs="Arial"/>
          <w:b/>
          <w:bCs/>
          <w:sz w:val="20"/>
          <w:szCs w:val="20"/>
        </w:rPr>
        <w:t xml:space="preserve">overall </w:t>
      </w:r>
      <w:r>
        <w:rPr>
          <w:rFonts w:ascii="Arial" w:hAnsi="Arial" w:cs="Arial"/>
          <w:b/>
          <w:bCs/>
          <w:sz w:val="20"/>
          <w:szCs w:val="20"/>
        </w:rPr>
        <w:t xml:space="preserve">increase </w:t>
      </w:r>
      <w:r w:rsidRPr="00173387">
        <w:rPr>
          <w:rFonts w:ascii="Arial" w:hAnsi="Arial" w:cs="Arial"/>
          <w:b/>
          <w:bCs/>
          <w:sz w:val="20"/>
          <w:szCs w:val="20"/>
        </w:rPr>
        <w:t xml:space="preserve">of reported </w:t>
      </w:r>
      <w:r>
        <w:rPr>
          <w:rFonts w:ascii="Arial" w:hAnsi="Arial" w:cs="Arial"/>
          <w:b/>
          <w:bCs/>
          <w:sz w:val="20"/>
          <w:szCs w:val="20"/>
        </w:rPr>
        <w:t>infectious</w:t>
      </w:r>
      <w:r w:rsidRPr="000E2772">
        <w:rPr>
          <w:rFonts w:ascii="Arial" w:hAnsi="Arial" w:cs="Arial"/>
          <w:b/>
          <w:bCs/>
          <w:sz w:val="20"/>
          <w:szCs w:val="20"/>
        </w:rPr>
        <w:t xml:space="preserve"> syphilis</w:t>
      </w:r>
      <w:r w:rsidRPr="00C66B1B">
        <w:rPr>
          <w:rFonts w:ascii="Arial" w:hAnsi="Arial" w:cs="Arial"/>
          <w:sz w:val="20"/>
          <w:szCs w:val="20"/>
        </w:rPr>
        <w:t xml:space="preserve"> </w:t>
      </w:r>
      <w:r>
        <w:rPr>
          <w:rFonts w:ascii="Arial" w:hAnsi="Arial" w:cs="Arial"/>
          <w:b/>
          <w:bCs/>
          <w:sz w:val="20"/>
          <w:szCs w:val="20"/>
        </w:rPr>
        <w:t xml:space="preserve">cases statewide, </w:t>
      </w:r>
      <w:r w:rsidRPr="00B5513C">
        <w:rPr>
          <w:rFonts w:ascii="Arial" w:hAnsi="Arial" w:cs="Arial"/>
          <w:b/>
          <w:bCs/>
          <w:sz w:val="20"/>
          <w:szCs w:val="20"/>
        </w:rPr>
        <w:t xml:space="preserve">ranging from </w:t>
      </w:r>
      <w:r>
        <w:rPr>
          <w:rFonts w:ascii="Arial" w:hAnsi="Arial" w:cs="Arial"/>
          <w:b/>
          <w:bCs/>
          <w:sz w:val="20"/>
          <w:szCs w:val="20"/>
        </w:rPr>
        <w:t>789</w:t>
      </w:r>
      <w:r w:rsidRPr="00B5513C">
        <w:rPr>
          <w:rFonts w:ascii="Arial" w:hAnsi="Arial" w:cs="Arial"/>
          <w:b/>
          <w:bCs/>
          <w:sz w:val="20"/>
          <w:szCs w:val="20"/>
        </w:rPr>
        <w:t xml:space="preserve"> cases in 201</w:t>
      </w:r>
      <w:r>
        <w:rPr>
          <w:rFonts w:ascii="Arial" w:hAnsi="Arial" w:cs="Arial"/>
          <w:b/>
          <w:bCs/>
          <w:sz w:val="20"/>
          <w:szCs w:val="20"/>
        </w:rPr>
        <w:t>5</w:t>
      </w:r>
      <w:r w:rsidRPr="00B5513C">
        <w:rPr>
          <w:rFonts w:ascii="Arial" w:hAnsi="Arial" w:cs="Arial"/>
          <w:b/>
          <w:bCs/>
          <w:sz w:val="20"/>
          <w:szCs w:val="20"/>
        </w:rPr>
        <w:t xml:space="preserve"> to </w:t>
      </w:r>
      <w:r>
        <w:rPr>
          <w:rFonts w:ascii="Arial" w:hAnsi="Arial" w:cs="Arial"/>
          <w:b/>
          <w:bCs/>
          <w:sz w:val="20"/>
          <w:szCs w:val="20"/>
        </w:rPr>
        <w:t xml:space="preserve">1,329 </w:t>
      </w:r>
      <w:r w:rsidRPr="00B5513C">
        <w:rPr>
          <w:rFonts w:ascii="Arial" w:hAnsi="Arial" w:cs="Arial"/>
          <w:b/>
          <w:bCs/>
          <w:sz w:val="20"/>
          <w:szCs w:val="20"/>
        </w:rPr>
        <w:t>cases in 202</w:t>
      </w:r>
      <w:bookmarkEnd w:id="4"/>
      <w:r>
        <w:rPr>
          <w:rFonts w:ascii="Arial" w:hAnsi="Arial" w:cs="Arial"/>
          <w:b/>
          <w:bCs/>
          <w:sz w:val="20"/>
          <w:szCs w:val="20"/>
        </w:rPr>
        <w:t>4</w:t>
      </w:r>
      <w:bookmarkEnd w:id="5"/>
      <w:r>
        <w:rPr>
          <w:rFonts w:ascii="Arial" w:hAnsi="Arial" w:cs="Arial"/>
          <w:sz w:val="20"/>
          <w:szCs w:val="20"/>
        </w:rPr>
        <w:t>.</w:t>
      </w:r>
      <w:bookmarkEnd w:id="6"/>
      <w:r>
        <w:rPr>
          <w:rFonts w:ascii="Arial" w:hAnsi="Arial" w:cs="Arial"/>
          <w:sz w:val="20"/>
          <w:szCs w:val="20"/>
        </w:rPr>
        <w:t xml:space="preserve"> </w:t>
      </w:r>
      <w:bookmarkStart w:id="9" w:name="_Hlk206979445"/>
      <w:bookmarkEnd w:id="7"/>
      <w:r w:rsidR="00914DF8">
        <w:rPr>
          <w:rFonts w:ascii="Arial" w:hAnsi="Arial" w:cs="Arial"/>
          <w:sz w:val="20"/>
          <w:szCs w:val="20"/>
        </w:rPr>
        <w:t>Plymouth</w:t>
      </w:r>
      <w:r>
        <w:rPr>
          <w:rFonts w:ascii="Arial" w:hAnsi="Arial" w:cs="Arial"/>
          <w:sz w:val="20"/>
          <w:szCs w:val="20"/>
        </w:rPr>
        <w:t xml:space="preserve"> County also experienced an overall increase of reported infectious syphilis cases, ranging from </w:t>
      </w:r>
      <w:r w:rsidR="00914DF8">
        <w:rPr>
          <w:rFonts w:ascii="Arial" w:hAnsi="Arial" w:cs="Arial"/>
          <w:sz w:val="20"/>
          <w:szCs w:val="20"/>
        </w:rPr>
        <w:t>27</w:t>
      </w:r>
      <w:r>
        <w:rPr>
          <w:rFonts w:ascii="Arial" w:hAnsi="Arial" w:cs="Arial"/>
          <w:sz w:val="20"/>
          <w:szCs w:val="20"/>
        </w:rPr>
        <w:t xml:space="preserve"> in 2015 a peak of </w:t>
      </w:r>
      <w:r w:rsidR="00914DF8">
        <w:rPr>
          <w:rFonts w:ascii="Arial" w:hAnsi="Arial" w:cs="Arial"/>
          <w:sz w:val="20"/>
          <w:szCs w:val="20"/>
        </w:rPr>
        <w:t>79</w:t>
      </w:r>
      <w:r>
        <w:rPr>
          <w:rFonts w:ascii="Arial" w:hAnsi="Arial" w:cs="Arial"/>
          <w:sz w:val="20"/>
          <w:szCs w:val="20"/>
        </w:rPr>
        <w:t xml:space="preserve"> in 202</w:t>
      </w:r>
      <w:r w:rsidR="00914DF8">
        <w:rPr>
          <w:rFonts w:ascii="Arial" w:hAnsi="Arial" w:cs="Arial"/>
          <w:sz w:val="20"/>
          <w:szCs w:val="20"/>
        </w:rPr>
        <w:t>1</w:t>
      </w:r>
      <w:r>
        <w:rPr>
          <w:rFonts w:ascii="Arial" w:hAnsi="Arial" w:cs="Arial"/>
          <w:sz w:val="20"/>
          <w:szCs w:val="20"/>
        </w:rPr>
        <w:t xml:space="preserve">, before declining slightly to </w:t>
      </w:r>
      <w:r w:rsidR="00914DF8">
        <w:rPr>
          <w:rFonts w:ascii="Arial" w:hAnsi="Arial" w:cs="Arial"/>
          <w:sz w:val="20"/>
          <w:szCs w:val="20"/>
        </w:rPr>
        <w:t>71</w:t>
      </w:r>
      <w:r>
        <w:rPr>
          <w:rFonts w:ascii="Arial" w:hAnsi="Arial" w:cs="Arial"/>
          <w:sz w:val="20"/>
          <w:szCs w:val="20"/>
        </w:rPr>
        <w:t xml:space="preserve"> in 2024. I</w:t>
      </w:r>
      <w:r w:rsidRPr="00F17DB3">
        <w:rPr>
          <w:rFonts w:ascii="Arial" w:hAnsi="Arial" w:cs="Arial"/>
          <w:sz w:val="20"/>
          <w:szCs w:val="20"/>
        </w:rPr>
        <w:t>n 202</w:t>
      </w:r>
      <w:r>
        <w:rPr>
          <w:rFonts w:ascii="Arial" w:hAnsi="Arial" w:cs="Arial"/>
          <w:sz w:val="20"/>
          <w:szCs w:val="20"/>
        </w:rPr>
        <w:t>4</w:t>
      </w:r>
      <w:r w:rsidRPr="00F17DB3">
        <w:rPr>
          <w:rFonts w:ascii="Arial" w:hAnsi="Arial" w:cs="Arial"/>
          <w:sz w:val="20"/>
          <w:szCs w:val="20"/>
        </w:rPr>
        <w:t>, the</w:t>
      </w:r>
      <w:r>
        <w:rPr>
          <w:rFonts w:ascii="Arial" w:hAnsi="Arial" w:cs="Arial"/>
          <w:sz w:val="20"/>
          <w:szCs w:val="20"/>
        </w:rPr>
        <w:t xml:space="preserve"> county incidence rate of infectious syphilis was</w:t>
      </w:r>
      <w:r w:rsidRPr="00F17DB3">
        <w:rPr>
          <w:rFonts w:ascii="Arial" w:hAnsi="Arial" w:cs="Arial"/>
          <w:sz w:val="20"/>
          <w:szCs w:val="20"/>
        </w:rPr>
        <w:t xml:space="preserve"> </w:t>
      </w:r>
      <w:r w:rsidR="00914DF8">
        <w:rPr>
          <w:rFonts w:ascii="Arial" w:hAnsi="Arial" w:cs="Arial"/>
          <w:sz w:val="20"/>
          <w:szCs w:val="20"/>
        </w:rPr>
        <w:t>13.4</w:t>
      </w:r>
      <w:r>
        <w:rPr>
          <w:rFonts w:ascii="Arial" w:hAnsi="Arial" w:cs="Arial"/>
          <w:sz w:val="20"/>
          <w:szCs w:val="20"/>
        </w:rPr>
        <w:t xml:space="preserve"> </w:t>
      </w:r>
      <w:r w:rsidRPr="00F17DB3">
        <w:rPr>
          <w:rFonts w:ascii="Arial" w:hAnsi="Arial" w:cs="Arial"/>
          <w:sz w:val="20"/>
          <w:szCs w:val="20"/>
        </w:rPr>
        <w:t xml:space="preserve">per 100,000, </w:t>
      </w:r>
      <w:bookmarkStart w:id="10" w:name="_Hlk206967248"/>
      <w:r>
        <w:rPr>
          <w:rFonts w:ascii="Arial" w:hAnsi="Arial" w:cs="Arial"/>
          <w:sz w:val="20"/>
          <w:szCs w:val="20"/>
        </w:rPr>
        <w:t>while t</w:t>
      </w:r>
      <w:r w:rsidRPr="00C66B1B">
        <w:rPr>
          <w:rFonts w:ascii="Arial" w:hAnsi="Arial" w:cs="Arial"/>
          <w:sz w:val="20"/>
          <w:szCs w:val="20"/>
        </w:rPr>
        <w:t>he statewide rate was</w:t>
      </w:r>
      <w:r>
        <w:rPr>
          <w:rFonts w:ascii="Arial" w:hAnsi="Arial" w:cs="Arial"/>
          <w:sz w:val="20"/>
          <w:szCs w:val="20"/>
        </w:rPr>
        <w:t xml:space="preserve"> 18.9 </w:t>
      </w:r>
      <w:r w:rsidRPr="00C66B1B">
        <w:rPr>
          <w:rFonts w:ascii="Arial" w:hAnsi="Arial" w:cs="Arial"/>
          <w:sz w:val="20"/>
          <w:szCs w:val="20"/>
        </w:rPr>
        <w:t>per 100,000</w:t>
      </w:r>
      <w:bookmarkEnd w:id="10"/>
      <w:r w:rsidRPr="00C66B1B">
        <w:rPr>
          <w:rFonts w:ascii="Arial" w:hAnsi="Arial" w:cs="Arial"/>
          <w:sz w:val="20"/>
          <w:szCs w:val="20"/>
        </w:rPr>
        <w:t xml:space="preserve">. </w:t>
      </w:r>
      <w:r w:rsidRPr="007C665D">
        <w:rPr>
          <w:rFonts w:ascii="Arial" w:hAnsi="Arial" w:cs="Arial"/>
          <w:sz w:val="20"/>
          <w:szCs w:val="20"/>
        </w:rPr>
        <w:t xml:space="preserve">These </w:t>
      </w:r>
      <w:r w:rsidR="00114B32">
        <w:rPr>
          <w:rFonts w:ascii="Arial" w:hAnsi="Arial" w:cs="Arial"/>
          <w:sz w:val="20"/>
          <w:szCs w:val="20"/>
        </w:rPr>
        <w:t xml:space="preserve">rates </w:t>
      </w:r>
      <w:r w:rsidR="00337963">
        <w:rPr>
          <w:rFonts w:ascii="Arial" w:hAnsi="Arial" w:cs="Arial"/>
          <w:sz w:val="20"/>
          <w:szCs w:val="20"/>
        </w:rPr>
        <w:t>are lower</w:t>
      </w:r>
      <w:r w:rsidRPr="007C665D">
        <w:rPr>
          <w:rFonts w:ascii="Arial" w:hAnsi="Arial" w:cs="Arial"/>
          <w:sz w:val="20"/>
          <w:szCs w:val="20"/>
        </w:rPr>
        <w:t xml:space="preserve"> compared to the national rate of</w:t>
      </w:r>
      <w:r>
        <w:rPr>
          <w:rFonts w:ascii="Arial" w:hAnsi="Arial" w:cs="Arial"/>
          <w:sz w:val="20"/>
          <w:szCs w:val="20"/>
        </w:rPr>
        <w:t xml:space="preserve"> </w:t>
      </w:r>
      <w:r w:rsidR="00914DF8">
        <w:rPr>
          <w:rFonts w:ascii="Arial" w:hAnsi="Arial" w:cs="Arial"/>
          <w:sz w:val="20"/>
          <w:szCs w:val="20"/>
        </w:rPr>
        <w:t>2</w:t>
      </w:r>
      <w:r w:rsidR="00D377B6">
        <w:rPr>
          <w:rFonts w:ascii="Arial" w:hAnsi="Arial" w:cs="Arial"/>
          <w:sz w:val="20"/>
          <w:szCs w:val="20"/>
        </w:rPr>
        <w:t>6.2</w:t>
      </w:r>
      <w:r>
        <w:rPr>
          <w:rFonts w:ascii="Arial" w:hAnsi="Arial" w:cs="Arial"/>
          <w:sz w:val="20"/>
          <w:szCs w:val="20"/>
        </w:rPr>
        <w:t xml:space="preserve"> </w:t>
      </w:r>
      <w:r w:rsidRPr="007C665D">
        <w:rPr>
          <w:rFonts w:ascii="Arial" w:hAnsi="Arial" w:cs="Arial"/>
          <w:sz w:val="20"/>
          <w:szCs w:val="20"/>
        </w:rPr>
        <w:t>per 100,000</w:t>
      </w:r>
      <w:r w:rsidR="00914DF8">
        <w:rPr>
          <w:rFonts w:ascii="Arial" w:hAnsi="Arial" w:cs="Arial"/>
          <w:sz w:val="20"/>
          <w:szCs w:val="20"/>
        </w:rPr>
        <w:t xml:space="preserve"> </w:t>
      </w:r>
      <w:r w:rsidR="00914DF8" w:rsidRPr="00914DF8">
        <w:rPr>
          <w:rFonts w:ascii="Arial" w:hAnsi="Arial" w:cs="Arial"/>
          <w:sz w:val="20"/>
          <w:szCs w:val="20"/>
        </w:rPr>
        <w:t>(based on CDC data for primary, secondary, and early non-primary, non-secondary syphilis)</w:t>
      </w:r>
      <w:r w:rsidRPr="00F47AFA">
        <w:rPr>
          <w:rFonts w:ascii="Arial" w:hAnsi="Arial" w:cs="Arial"/>
          <w:sz w:val="20"/>
          <w:szCs w:val="20"/>
        </w:rPr>
        <w:t>.</w:t>
      </w:r>
      <w:r w:rsidR="00D5052D">
        <w:rPr>
          <w:rFonts w:ascii="Arial" w:hAnsi="Arial" w:cs="Arial"/>
          <w:sz w:val="20"/>
          <w:szCs w:val="20"/>
          <w:vertAlign w:val="superscript"/>
        </w:rPr>
        <w:t>4</w:t>
      </w:r>
      <w:bookmarkEnd w:id="9"/>
    </w:p>
    <w:p w14:paraId="0CBBFB53" w14:textId="4CA8F2DD" w:rsidR="00BA2EEC" w:rsidRDefault="005D59F2" w:rsidP="00BA2EEC">
      <w:pPr>
        <w:rPr>
          <w:rFonts w:ascii="Arial" w:hAnsi="Arial" w:cs="Arial"/>
          <w:b/>
          <w:bCs/>
          <w:sz w:val="20"/>
          <w:szCs w:val="20"/>
        </w:rPr>
      </w:pPr>
      <w:r>
        <w:rPr>
          <w:rFonts w:ascii="Arial" w:hAnsi="Arial" w:cs="Arial"/>
          <w:b/>
          <w:bCs/>
          <w:sz w:val="20"/>
          <w:szCs w:val="20"/>
        </w:rPr>
        <w:lastRenderedPageBreak/>
        <w:t>Between 2015 and 2024, t</w:t>
      </w:r>
      <w:r w:rsidR="00BA2EEC" w:rsidRPr="00F17DB3">
        <w:rPr>
          <w:rFonts w:ascii="Arial" w:hAnsi="Arial" w:cs="Arial"/>
          <w:b/>
          <w:bCs/>
          <w:sz w:val="20"/>
          <w:szCs w:val="20"/>
        </w:rPr>
        <w:t xml:space="preserve">he county rate of </w:t>
      </w:r>
      <w:r w:rsidR="00BA2EEC">
        <w:rPr>
          <w:rFonts w:ascii="Arial" w:hAnsi="Arial" w:cs="Arial"/>
          <w:b/>
          <w:bCs/>
          <w:sz w:val="20"/>
          <w:szCs w:val="20"/>
        </w:rPr>
        <w:t>infectious</w:t>
      </w:r>
      <w:r w:rsidR="00BA2EEC" w:rsidRPr="00F17DB3">
        <w:rPr>
          <w:rFonts w:ascii="Arial" w:hAnsi="Arial" w:cs="Arial"/>
          <w:b/>
          <w:bCs/>
          <w:sz w:val="20"/>
          <w:szCs w:val="20"/>
        </w:rPr>
        <w:t xml:space="preserve"> syphilis among </w:t>
      </w:r>
      <w:r w:rsidR="00BA2EEC">
        <w:rPr>
          <w:rFonts w:ascii="Arial" w:hAnsi="Arial" w:cs="Arial"/>
          <w:b/>
          <w:bCs/>
          <w:sz w:val="20"/>
          <w:szCs w:val="20"/>
        </w:rPr>
        <w:t>males</w:t>
      </w:r>
      <w:r w:rsidR="00BA2EEC" w:rsidRPr="00F17DB3">
        <w:rPr>
          <w:rFonts w:ascii="Arial" w:hAnsi="Arial" w:cs="Arial"/>
          <w:b/>
          <w:bCs/>
          <w:sz w:val="20"/>
          <w:szCs w:val="20"/>
        </w:rPr>
        <w:t xml:space="preserve"> was much higher </w:t>
      </w:r>
      <w:r w:rsidR="00BA2EEC" w:rsidRPr="00F17DB3">
        <w:rPr>
          <w:rFonts w:ascii="Arial" w:hAnsi="Arial" w:cs="Arial"/>
          <w:sz w:val="20"/>
          <w:szCs w:val="20"/>
        </w:rPr>
        <w:t xml:space="preserve">compared to the rate among </w:t>
      </w:r>
      <w:r w:rsidR="00BA2EEC">
        <w:rPr>
          <w:rFonts w:ascii="Arial" w:hAnsi="Arial" w:cs="Arial"/>
          <w:sz w:val="20"/>
          <w:szCs w:val="20"/>
        </w:rPr>
        <w:t>females</w:t>
      </w:r>
      <w:r w:rsidR="00BA2EEC" w:rsidRPr="00F17DB3">
        <w:rPr>
          <w:rFonts w:ascii="Arial" w:hAnsi="Arial" w:cs="Arial"/>
          <w:sz w:val="20"/>
          <w:szCs w:val="20"/>
        </w:rPr>
        <w:t>. In 202</w:t>
      </w:r>
      <w:r w:rsidR="00BA2EEC">
        <w:rPr>
          <w:rFonts w:ascii="Arial" w:hAnsi="Arial" w:cs="Arial"/>
          <w:sz w:val="20"/>
          <w:szCs w:val="20"/>
        </w:rPr>
        <w:t>4</w:t>
      </w:r>
      <w:r w:rsidR="00BA2EEC" w:rsidRPr="00F17DB3">
        <w:rPr>
          <w:rFonts w:ascii="Arial" w:hAnsi="Arial" w:cs="Arial"/>
          <w:sz w:val="20"/>
          <w:szCs w:val="20"/>
        </w:rPr>
        <w:t xml:space="preserve">, </w:t>
      </w:r>
      <w:r w:rsidR="00BA2EEC">
        <w:rPr>
          <w:rFonts w:ascii="Arial" w:hAnsi="Arial" w:cs="Arial"/>
          <w:sz w:val="20"/>
          <w:szCs w:val="20"/>
        </w:rPr>
        <w:t>males</w:t>
      </w:r>
      <w:r w:rsidR="00BA2EEC" w:rsidRPr="00F17DB3">
        <w:rPr>
          <w:rFonts w:ascii="Arial" w:hAnsi="Arial" w:cs="Arial"/>
          <w:sz w:val="20"/>
          <w:szCs w:val="20"/>
        </w:rPr>
        <w:t xml:space="preserve"> accounted for </w:t>
      </w:r>
      <w:r w:rsidR="00BA2EEC">
        <w:rPr>
          <w:rFonts w:ascii="Arial" w:hAnsi="Arial" w:cs="Arial"/>
          <w:sz w:val="20"/>
          <w:szCs w:val="20"/>
        </w:rPr>
        <w:t>7</w:t>
      </w:r>
      <w:r w:rsidR="00914DF8">
        <w:rPr>
          <w:rFonts w:ascii="Arial" w:hAnsi="Arial" w:cs="Arial"/>
          <w:sz w:val="20"/>
          <w:szCs w:val="20"/>
        </w:rPr>
        <w:t>1.8</w:t>
      </w:r>
      <w:r w:rsidR="00BA2EEC">
        <w:rPr>
          <w:rFonts w:ascii="Arial" w:hAnsi="Arial" w:cs="Arial"/>
          <w:sz w:val="20"/>
          <w:szCs w:val="20"/>
        </w:rPr>
        <w:t>%</w:t>
      </w:r>
      <w:r w:rsidR="00BA2EEC" w:rsidRPr="00F17DB3">
        <w:rPr>
          <w:rFonts w:ascii="Arial" w:hAnsi="Arial" w:cs="Arial"/>
          <w:sz w:val="20"/>
          <w:szCs w:val="20"/>
        </w:rPr>
        <w:t xml:space="preserve"> of all </w:t>
      </w:r>
      <w:r w:rsidR="00BA2EEC">
        <w:rPr>
          <w:rFonts w:ascii="Arial" w:hAnsi="Arial" w:cs="Arial"/>
          <w:sz w:val="20"/>
          <w:szCs w:val="20"/>
        </w:rPr>
        <w:t>infectious</w:t>
      </w:r>
      <w:r w:rsidR="00BA2EEC" w:rsidRPr="00F17DB3">
        <w:rPr>
          <w:rFonts w:ascii="Arial" w:hAnsi="Arial" w:cs="Arial"/>
          <w:sz w:val="20"/>
          <w:szCs w:val="20"/>
        </w:rPr>
        <w:t xml:space="preserve"> syphilis cases in the county with a rate of</w:t>
      </w:r>
      <w:r w:rsidR="00C753A3">
        <w:rPr>
          <w:rFonts w:ascii="Arial" w:hAnsi="Arial" w:cs="Arial"/>
          <w:sz w:val="20"/>
          <w:szCs w:val="20"/>
        </w:rPr>
        <w:t xml:space="preserve"> </w:t>
      </w:r>
      <w:r w:rsidR="00914DF8">
        <w:rPr>
          <w:rFonts w:ascii="Arial" w:hAnsi="Arial" w:cs="Arial"/>
          <w:sz w:val="20"/>
          <w:szCs w:val="20"/>
        </w:rPr>
        <w:t>19.8</w:t>
      </w:r>
      <w:r w:rsidR="00BA2EEC">
        <w:rPr>
          <w:rFonts w:ascii="Arial" w:hAnsi="Arial" w:cs="Arial"/>
          <w:sz w:val="20"/>
          <w:szCs w:val="20"/>
        </w:rPr>
        <w:t xml:space="preserve"> </w:t>
      </w:r>
      <w:r w:rsidR="00BA2EEC" w:rsidRPr="00F17DB3">
        <w:rPr>
          <w:rFonts w:ascii="Arial" w:hAnsi="Arial" w:cs="Arial"/>
          <w:sz w:val="20"/>
          <w:szCs w:val="20"/>
        </w:rPr>
        <w:t>per 100,000</w:t>
      </w:r>
      <w:r w:rsidR="00BA2EEC">
        <w:rPr>
          <w:rFonts w:ascii="Arial" w:hAnsi="Arial" w:cs="Arial"/>
          <w:sz w:val="20"/>
          <w:szCs w:val="20"/>
        </w:rPr>
        <w:t>,</w:t>
      </w:r>
      <w:r w:rsidR="00BA2EEC" w:rsidRPr="00F17DB3">
        <w:rPr>
          <w:rFonts w:ascii="Arial" w:hAnsi="Arial" w:cs="Arial"/>
          <w:sz w:val="20"/>
          <w:szCs w:val="20"/>
        </w:rPr>
        <w:t xml:space="preserve"> </w:t>
      </w:r>
      <w:r w:rsidR="00BA2EEC">
        <w:rPr>
          <w:rFonts w:ascii="Arial" w:hAnsi="Arial" w:cs="Arial"/>
          <w:sz w:val="20"/>
          <w:szCs w:val="20"/>
        </w:rPr>
        <w:t xml:space="preserve">more than </w:t>
      </w:r>
      <w:r w:rsidR="00914DF8">
        <w:rPr>
          <w:rFonts w:ascii="Arial" w:hAnsi="Arial" w:cs="Arial"/>
          <w:sz w:val="20"/>
          <w:szCs w:val="20"/>
        </w:rPr>
        <w:t xml:space="preserve">twice </w:t>
      </w:r>
      <w:r w:rsidR="00BA2EEC" w:rsidRPr="00F17DB3">
        <w:rPr>
          <w:rFonts w:ascii="Arial" w:hAnsi="Arial" w:cs="Arial"/>
          <w:sz w:val="20"/>
          <w:szCs w:val="20"/>
        </w:rPr>
        <w:t xml:space="preserve">that of </w:t>
      </w:r>
      <w:r w:rsidR="00BA2EEC">
        <w:rPr>
          <w:rFonts w:ascii="Arial" w:hAnsi="Arial" w:cs="Arial"/>
          <w:sz w:val="20"/>
          <w:szCs w:val="20"/>
        </w:rPr>
        <w:t>females</w:t>
      </w:r>
      <w:r w:rsidR="00BA2EEC" w:rsidRPr="00F17DB3">
        <w:rPr>
          <w:rFonts w:ascii="Arial" w:hAnsi="Arial" w:cs="Arial"/>
          <w:sz w:val="20"/>
          <w:szCs w:val="20"/>
        </w:rPr>
        <w:t xml:space="preserve"> (</w:t>
      </w:r>
      <w:r w:rsidR="00914DF8">
        <w:rPr>
          <w:rFonts w:ascii="Arial" w:hAnsi="Arial" w:cs="Arial"/>
          <w:sz w:val="20"/>
          <w:szCs w:val="20"/>
        </w:rPr>
        <w:t>7.3</w:t>
      </w:r>
      <w:r w:rsidR="00BA2EEC">
        <w:rPr>
          <w:rFonts w:ascii="Arial" w:hAnsi="Arial" w:cs="Arial"/>
          <w:sz w:val="20"/>
          <w:szCs w:val="20"/>
        </w:rPr>
        <w:t xml:space="preserve"> </w:t>
      </w:r>
      <w:r w:rsidR="00BA2EEC" w:rsidRPr="00F17DB3">
        <w:rPr>
          <w:rFonts w:ascii="Arial" w:hAnsi="Arial" w:cs="Arial"/>
          <w:sz w:val="20"/>
          <w:szCs w:val="20"/>
        </w:rPr>
        <w:t>per 100,000)</w:t>
      </w:r>
      <w:r w:rsidR="00BA2EEC" w:rsidRPr="001257E5">
        <w:rPr>
          <w:rFonts w:ascii="Arial" w:hAnsi="Arial" w:cs="Arial"/>
          <w:sz w:val="20"/>
          <w:szCs w:val="20"/>
        </w:rPr>
        <w:t>.</w:t>
      </w:r>
      <w:r w:rsidR="00BA2EEC" w:rsidRPr="00F17DB3">
        <w:rPr>
          <w:rFonts w:ascii="Arial" w:hAnsi="Arial" w:cs="Arial"/>
          <w:b/>
          <w:bCs/>
          <w:sz w:val="20"/>
          <w:szCs w:val="20"/>
        </w:rPr>
        <w:t xml:space="preserve">  </w:t>
      </w:r>
    </w:p>
    <w:p w14:paraId="4A0A6085" w14:textId="7EBA0489" w:rsidR="00BA3C56" w:rsidRDefault="00BA3C56" w:rsidP="007448C5">
      <w:pPr>
        <w:rPr>
          <w:rFonts w:ascii="Arial" w:hAnsi="Arial" w:cs="Arial"/>
          <w:noProof/>
          <w:sz w:val="20"/>
          <w:szCs w:val="20"/>
        </w:rPr>
      </w:pPr>
    </w:p>
    <w:p w14:paraId="5BC5CB1F" w14:textId="31D0DA5A" w:rsidR="007448C5" w:rsidRDefault="007448C5" w:rsidP="00272D41">
      <w:pPr>
        <w:ind w:left="270"/>
        <w:rPr>
          <w:rFonts w:ascii="Arial" w:hAnsi="Arial" w:cs="Arial"/>
          <w:noProof/>
          <w:sz w:val="20"/>
          <w:szCs w:val="20"/>
        </w:rPr>
      </w:pPr>
      <w:r>
        <w:rPr>
          <w:rFonts w:ascii="Arial" w:hAnsi="Arial" w:cs="Arial"/>
          <w:noProof/>
          <w:sz w:val="20"/>
          <w:szCs w:val="20"/>
        </w:rPr>
        <w:drawing>
          <wp:inline distT="0" distB="0" distL="0" distR="0" wp14:anchorId="05D57DF4" wp14:editId="7845D059">
            <wp:extent cx="6912864" cy="2276856"/>
            <wp:effectExtent l="0" t="0" r="0" b="9525"/>
            <wp:docPr id="328809810" name="Picture 3" descr="Graph depicts the rates per 100,000 population of infectious syphilis in Massachusetts statewide, in Plymouth County overall, and by gender in Plymouth County between 2015 and 2024. The line showing statewide rate begins at 11.7 in 2015 and ends at 18.9 in 2024, with a peak of 22.7 in 2022. The line showing Plymouth County overall rate begins at 5.3 in 2015 and ends at 13.4 in 2024, with a peak of 14.9 in 2021. The line showing the rate among females in Plymouth County begins at 1.1 in 2015 and ends at 7.3 in 2024. The line showing the rate among males in Plymouth County begins at 9.6 in 2015 and ends at 19.8 in 2024, with a peak of 25.6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09810" name="Picture 3" descr="Graph depicts the rates per 100,000 population of infectious syphilis in Massachusetts statewide, in Plymouth County overall, and by gender in Plymouth County between 2015 and 2024. The line showing statewide rate begins at 11.7 in 2015 and ends at 18.9 in 2024, with a peak of 22.7 in 2022. The line showing Plymouth County overall rate begins at 5.3 in 2015 and ends at 13.4 in 2024, with a peak of 14.9 in 2021. The line showing the rate among females in Plymouth County begins at 1.1 in 2015 and ends at 7.3 in 2024. The line showing the rate among males in Plymouth County begins at 9.6 in 2015 and ends at 19.8 in 2024, with a peak of 25.6 in 20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276856"/>
                    </a:xfrm>
                    <a:prstGeom prst="rect">
                      <a:avLst/>
                    </a:prstGeom>
                    <a:noFill/>
                  </pic:spPr>
                </pic:pic>
              </a:graphicData>
            </a:graphic>
          </wp:inline>
        </w:drawing>
      </w:r>
    </w:p>
    <w:p w14:paraId="64280D11" w14:textId="77777777" w:rsidR="00024287" w:rsidRPr="002F5B67" w:rsidRDefault="00024287" w:rsidP="00024287">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6F8A392A" w14:textId="77777777" w:rsidR="00024287" w:rsidRPr="002F5B67" w:rsidRDefault="00024287" w:rsidP="00024287">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2706E447" w14:textId="702736EE" w:rsidR="00024287" w:rsidRDefault="00024287" w:rsidP="00024287">
      <w:pPr>
        <w:rPr>
          <w:rFonts w:ascii="Arial" w:hAnsi="Arial" w:cs="Arial"/>
          <w:noProof/>
          <w:sz w:val="20"/>
          <w:szCs w:val="20"/>
        </w:rPr>
      </w:pPr>
      <w:r w:rsidRPr="002F5B67">
        <w:rPr>
          <w:rFonts w:ascii="Arial" w:hAnsi="Arial" w:cs="Arial"/>
          <w:sz w:val="12"/>
          <w:szCs w:val="12"/>
        </w:rPr>
        <w:t>Data source: Massachusetts Department of Public Health/Bureau of Infectious Disease and Laboratory Sciences/Division of STD Prevention</w:t>
      </w:r>
      <w:r>
        <w:rPr>
          <w:rFonts w:ascii="Arial" w:hAnsi="Arial" w:cs="Arial"/>
          <w:sz w:val="12"/>
          <w:szCs w:val="12"/>
        </w:rPr>
        <w:t>.</w:t>
      </w:r>
    </w:p>
    <w:p w14:paraId="3D4C683D" w14:textId="77777777" w:rsidR="00BA3C56" w:rsidRDefault="00BA3C56" w:rsidP="00EE12C8">
      <w:pPr>
        <w:rPr>
          <w:rFonts w:ascii="Arial" w:hAnsi="Arial" w:cs="Arial"/>
          <w:b/>
          <w:bCs/>
          <w:sz w:val="20"/>
          <w:szCs w:val="20"/>
        </w:rPr>
      </w:pPr>
      <w:bookmarkStart w:id="11" w:name="_Hlk200638979"/>
      <w:bookmarkEnd w:id="8"/>
    </w:p>
    <w:p w14:paraId="37C7E9E7" w14:textId="1C3B6040" w:rsidR="00EE12C8" w:rsidRDefault="00EE12C8" w:rsidP="00EE12C8">
      <w:pPr>
        <w:rPr>
          <w:rFonts w:ascii="Arial" w:hAnsi="Arial" w:cs="Arial"/>
          <w:b/>
          <w:bCs/>
          <w:sz w:val="20"/>
          <w:szCs w:val="20"/>
        </w:rPr>
      </w:pPr>
      <w:r w:rsidRPr="00BA3C56">
        <w:rPr>
          <w:rFonts w:ascii="Arial" w:hAnsi="Arial" w:cs="Arial"/>
          <w:b/>
          <w:bCs/>
          <w:sz w:val="20"/>
          <w:szCs w:val="20"/>
        </w:rPr>
        <w:t>I</w:t>
      </w:r>
      <w:r w:rsidRPr="005A47A6">
        <w:rPr>
          <w:rFonts w:ascii="Arial" w:hAnsi="Arial" w:cs="Arial"/>
          <w:b/>
          <w:bCs/>
          <w:sz w:val="20"/>
          <w:szCs w:val="20"/>
        </w:rPr>
        <w:t>n 2024,</w:t>
      </w:r>
      <w:r>
        <w:rPr>
          <w:rFonts w:ascii="Arial" w:hAnsi="Arial" w:cs="Arial"/>
          <w:b/>
          <w:bCs/>
          <w:sz w:val="20"/>
          <w:szCs w:val="20"/>
        </w:rPr>
        <w:t xml:space="preserve"> </w:t>
      </w:r>
      <w:r w:rsidR="00914DF8">
        <w:rPr>
          <w:rFonts w:ascii="Arial" w:hAnsi="Arial" w:cs="Arial"/>
          <w:b/>
          <w:bCs/>
          <w:sz w:val="20"/>
          <w:szCs w:val="20"/>
        </w:rPr>
        <w:t>27</w:t>
      </w:r>
      <w:r w:rsidRPr="005A47A6">
        <w:rPr>
          <w:rFonts w:ascii="Arial" w:hAnsi="Arial" w:cs="Arial"/>
          <w:b/>
          <w:bCs/>
          <w:sz w:val="20"/>
          <w:szCs w:val="20"/>
        </w:rPr>
        <w:t> </w:t>
      </w:r>
      <w:r>
        <w:rPr>
          <w:rFonts w:ascii="Arial" w:hAnsi="Arial" w:cs="Arial"/>
          <w:b/>
          <w:bCs/>
          <w:sz w:val="20"/>
          <w:szCs w:val="20"/>
        </w:rPr>
        <w:t>infectious syphilis</w:t>
      </w:r>
      <w:r w:rsidRPr="005A47A6">
        <w:rPr>
          <w:rFonts w:ascii="Arial" w:hAnsi="Arial" w:cs="Arial"/>
          <w:b/>
          <w:bCs/>
          <w:sz w:val="20"/>
          <w:szCs w:val="20"/>
        </w:rPr>
        <w:t xml:space="preserve"> cases were reported among </w:t>
      </w:r>
      <w:r>
        <w:rPr>
          <w:rFonts w:ascii="Arial" w:hAnsi="Arial" w:cs="Arial"/>
          <w:b/>
          <w:bCs/>
          <w:sz w:val="20"/>
          <w:szCs w:val="20"/>
        </w:rPr>
        <w:t>3</w:t>
      </w:r>
      <w:r w:rsidRPr="005A47A6">
        <w:rPr>
          <w:rFonts w:ascii="Arial" w:hAnsi="Arial" w:cs="Arial"/>
          <w:b/>
          <w:bCs/>
          <w:sz w:val="20"/>
          <w:szCs w:val="20"/>
        </w:rPr>
        <w:t>0–</w:t>
      </w:r>
      <w:r>
        <w:rPr>
          <w:rFonts w:ascii="Arial" w:hAnsi="Arial" w:cs="Arial"/>
          <w:b/>
          <w:bCs/>
          <w:sz w:val="20"/>
          <w:szCs w:val="20"/>
        </w:rPr>
        <w:t>3</w:t>
      </w:r>
      <w:r w:rsidRPr="005A47A6">
        <w:rPr>
          <w:rFonts w:ascii="Arial" w:hAnsi="Arial" w:cs="Arial"/>
          <w:b/>
          <w:bCs/>
          <w:sz w:val="20"/>
          <w:szCs w:val="20"/>
        </w:rPr>
        <w:t xml:space="preserve">9-year-olds, </w:t>
      </w:r>
      <w:r w:rsidR="007448C5">
        <w:rPr>
          <w:rFonts w:ascii="Arial" w:hAnsi="Arial" w:cs="Arial"/>
          <w:b/>
          <w:bCs/>
          <w:sz w:val="20"/>
          <w:szCs w:val="20"/>
        </w:rPr>
        <w:t xml:space="preserve">at a rate of 44.1 per 100,000, </w:t>
      </w:r>
      <w:r w:rsidRPr="005A47A6">
        <w:rPr>
          <w:rFonts w:ascii="Arial" w:hAnsi="Arial" w:cs="Arial"/>
          <w:b/>
          <w:bCs/>
          <w:sz w:val="20"/>
          <w:szCs w:val="20"/>
        </w:rPr>
        <w:t xml:space="preserve">the highest among all age groups in </w:t>
      </w:r>
      <w:r w:rsidR="00914DF8">
        <w:rPr>
          <w:rFonts w:ascii="Arial" w:hAnsi="Arial" w:cs="Arial"/>
          <w:b/>
          <w:bCs/>
          <w:sz w:val="20"/>
          <w:szCs w:val="20"/>
        </w:rPr>
        <w:t>Plymouth</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sidRPr="00A806D7">
        <w:rPr>
          <w:rFonts w:ascii="Arial" w:hAnsi="Arial" w:cs="Arial"/>
          <w:sz w:val="20"/>
          <w:szCs w:val="20"/>
        </w:rPr>
        <w:t>This group also had the highest incidence rate at</w:t>
      </w:r>
      <w:r w:rsidR="006806DF">
        <w:rPr>
          <w:rFonts w:ascii="Arial" w:hAnsi="Arial" w:cs="Arial"/>
          <w:sz w:val="20"/>
          <w:szCs w:val="20"/>
        </w:rPr>
        <w:t xml:space="preserve"> </w:t>
      </w:r>
      <w:r w:rsidR="00914DF8">
        <w:rPr>
          <w:rFonts w:ascii="Arial" w:hAnsi="Arial" w:cs="Arial"/>
          <w:sz w:val="20"/>
          <w:szCs w:val="20"/>
        </w:rPr>
        <w:t>44.1</w:t>
      </w:r>
      <w:r w:rsidRPr="00A806D7">
        <w:rPr>
          <w:rFonts w:ascii="Arial" w:hAnsi="Arial" w:cs="Arial"/>
          <w:sz w:val="20"/>
          <w:szCs w:val="20"/>
        </w:rPr>
        <w:t xml:space="preserve"> per 100,000. </w:t>
      </w:r>
      <w:r>
        <w:rPr>
          <w:rFonts w:ascii="Arial" w:hAnsi="Arial" w:cs="Arial"/>
          <w:sz w:val="20"/>
          <w:szCs w:val="20"/>
        </w:rPr>
        <w:t>M</w:t>
      </w:r>
      <w:r w:rsidRPr="00A806D7">
        <w:rPr>
          <w:rFonts w:ascii="Arial" w:hAnsi="Arial" w:cs="Arial"/>
          <w:sz w:val="20"/>
          <w:szCs w:val="20"/>
        </w:rPr>
        <w:t xml:space="preserve">ales accounted for </w:t>
      </w:r>
      <w:r w:rsidR="00914DF8">
        <w:rPr>
          <w:rFonts w:ascii="Arial" w:hAnsi="Arial" w:cs="Arial"/>
          <w:sz w:val="20"/>
          <w:szCs w:val="20"/>
        </w:rPr>
        <w:t>18</w:t>
      </w:r>
      <w:r w:rsidRPr="00A806D7">
        <w:rPr>
          <w:rFonts w:ascii="Arial" w:hAnsi="Arial" w:cs="Arial"/>
          <w:sz w:val="20"/>
          <w:szCs w:val="20"/>
        </w:rPr>
        <w:t xml:space="preserve"> cases</w:t>
      </w:r>
      <w:r w:rsidR="006D6E57">
        <w:rPr>
          <w:rFonts w:ascii="Arial" w:hAnsi="Arial" w:cs="Arial"/>
          <w:sz w:val="20"/>
          <w:szCs w:val="20"/>
        </w:rPr>
        <w:t xml:space="preserve"> (</w:t>
      </w:r>
      <w:r w:rsidR="007448C5">
        <w:rPr>
          <w:rFonts w:ascii="Arial" w:hAnsi="Arial" w:cs="Arial"/>
          <w:sz w:val="20"/>
          <w:szCs w:val="20"/>
        </w:rPr>
        <w:t>66.7</w:t>
      </w:r>
      <w:r w:rsidR="006D6E57">
        <w:rPr>
          <w:rFonts w:ascii="Arial" w:hAnsi="Arial" w:cs="Arial"/>
          <w:sz w:val="20"/>
          <w:szCs w:val="20"/>
        </w:rPr>
        <w:t>%) within the age group</w:t>
      </w:r>
      <w:r w:rsidRPr="00A806D7">
        <w:rPr>
          <w:rFonts w:ascii="Arial" w:hAnsi="Arial" w:cs="Arial"/>
          <w:sz w:val="20"/>
          <w:szCs w:val="20"/>
        </w:rPr>
        <w:t xml:space="preserve">, with a rate of </w:t>
      </w:r>
      <w:r w:rsidR="00914DF8">
        <w:rPr>
          <w:rFonts w:ascii="Arial" w:hAnsi="Arial" w:cs="Arial"/>
          <w:sz w:val="20"/>
          <w:szCs w:val="20"/>
        </w:rPr>
        <w:t>59.8</w:t>
      </w:r>
      <w:r>
        <w:rPr>
          <w:rFonts w:ascii="Arial" w:hAnsi="Arial" w:cs="Arial"/>
          <w:sz w:val="20"/>
          <w:szCs w:val="20"/>
        </w:rPr>
        <w:t xml:space="preserve"> </w:t>
      </w:r>
      <w:r w:rsidRPr="00A806D7">
        <w:rPr>
          <w:rFonts w:ascii="Arial" w:hAnsi="Arial" w:cs="Arial"/>
          <w:sz w:val="20"/>
          <w:szCs w:val="20"/>
        </w:rPr>
        <w:t xml:space="preserve">per 100,000, while </w:t>
      </w:r>
      <w:r w:rsidR="00914DF8">
        <w:rPr>
          <w:rFonts w:ascii="Arial" w:hAnsi="Arial" w:cs="Arial"/>
          <w:sz w:val="20"/>
          <w:szCs w:val="20"/>
        </w:rPr>
        <w:t>9</w:t>
      </w:r>
      <w:r>
        <w:rPr>
          <w:rFonts w:ascii="Arial" w:hAnsi="Arial" w:cs="Arial"/>
          <w:sz w:val="20"/>
          <w:szCs w:val="20"/>
        </w:rPr>
        <w:t xml:space="preserve"> </w:t>
      </w:r>
      <w:r w:rsidRPr="00A806D7">
        <w:rPr>
          <w:rFonts w:ascii="Arial" w:hAnsi="Arial" w:cs="Arial"/>
          <w:sz w:val="20"/>
          <w:szCs w:val="20"/>
        </w:rPr>
        <w:t xml:space="preserve">cases </w:t>
      </w:r>
      <w:r w:rsidR="007448C5">
        <w:rPr>
          <w:rFonts w:ascii="Arial" w:hAnsi="Arial" w:cs="Arial"/>
          <w:sz w:val="20"/>
          <w:szCs w:val="20"/>
        </w:rPr>
        <w:t xml:space="preserve">(33.3%) </w:t>
      </w:r>
      <w:r w:rsidRPr="00A806D7">
        <w:rPr>
          <w:rFonts w:ascii="Arial" w:hAnsi="Arial" w:cs="Arial"/>
          <w:sz w:val="20"/>
          <w:szCs w:val="20"/>
        </w:rPr>
        <w:t xml:space="preserve">were reported for </w:t>
      </w:r>
      <w:r>
        <w:rPr>
          <w:rFonts w:ascii="Arial" w:hAnsi="Arial" w:cs="Arial"/>
          <w:sz w:val="20"/>
          <w:szCs w:val="20"/>
        </w:rPr>
        <w:t>fe</w:t>
      </w:r>
      <w:r w:rsidRPr="00A806D7">
        <w:rPr>
          <w:rFonts w:ascii="Arial" w:hAnsi="Arial" w:cs="Arial"/>
          <w:sz w:val="20"/>
          <w:szCs w:val="20"/>
        </w:rPr>
        <w:t xml:space="preserve">males, at a rate of </w:t>
      </w:r>
      <w:r w:rsidR="00914DF8">
        <w:rPr>
          <w:rFonts w:ascii="Arial" w:hAnsi="Arial" w:cs="Arial"/>
          <w:sz w:val="20"/>
          <w:szCs w:val="20"/>
        </w:rPr>
        <w:t>28.9</w:t>
      </w:r>
      <w:r w:rsidRPr="00A806D7">
        <w:rPr>
          <w:rFonts w:ascii="Arial" w:hAnsi="Arial" w:cs="Arial"/>
          <w:sz w:val="20"/>
          <w:szCs w:val="20"/>
        </w:rPr>
        <w:t xml:space="preserve"> per 100,000. Although the chart below represents rates by age group only, the highest burden </w:t>
      </w:r>
      <w:r w:rsidR="006D6E57">
        <w:rPr>
          <w:rFonts w:ascii="Arial" w:hAnsi="Arial" w:cs="Arial"/>
          <w:sz w:val="20"/>
          <w:szCs w:val="20"/>
        </w:rPr>
        <w:t>i</w:t>
      </w:r>
      <w:r w:rsidR="006D6E57" w:rsidRPr="00A806D7">
        <w:rPr>
          <w:rFonts w:ascii="Arial" w:hAnsi="Arial" w:cs="Arial"/>
          <w:sz w:val="20"/>
          <w:szCs w:val="20"/>
        </w:rPr>
        <w:t xml:space="preserve">s </w:t>
      </w:r>
      <w:r w:rsidRPr="00A806D7">
        <w:rPr>
          <w:rFonts w:ascii="Arial" w:hAnsi="Arial" w:cs="Arial"/>
          <w:sz w:val="20"/>
          <w:szCs w:val="20"/>
        </w:rPr>
        <w:t xml:space="preserve">concentrated among </w:t>
      </w:r>
      <w:r w:rsidR="006D6E57">
        <w:rPr>
          <w:rFonts w:ascii="Arial" w:hAnsi="Arial" w:cs="Arial"/>
          <w:sz w:val="20"/>
          <w:szCs w:val="20"/>
        </w:rPr>
        <w:t>30-39-year-old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3E45EC">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401A9ECB" w14:textId="72A1299B" w:rsidR="00272D41" w:rsidRDefault="00272D41" w:rsidP="00914DF8">
      <w:pPr>
        <w:rPr>
          <w:rFonts w:ascii="Arial" w:hAnsi="Arial" w:cs="Arial"/>
          <w:sz w:val="20"/>
          <w:szCs w:val="20"/>
        </w:rPr>
      </w:pPr>
    </w:p>
    <w:p w14:paraId="39DC7AED" w14:textId="1DA78AA2" w:rsidR="00024287" w:rsidRDefault="00024287" w:rsidP="00914DF8">
      <w:pPr>
        <w:rPr>
          <w:rFonts w:ascii="Arial" w:hAnsi="Arial" w:cs="Arial"/>
          <w:sz w:val="20"/>
          <w:szCs w:val="20"/>
        </w:rPr>
      </w:pPr>
      <w:r>
        <w:rPr>
          <w:rFonts w:ascii="Arial" w:hAnsi="Arial" w:cs="Arial"/>
          <w:noProof/>
          <w:sz w:val="20"/>
          <w:szCs w:val="20"/>
        </w:rPr>
        <w:drawing>
          <wp:inline distT="0" distB="0" distL="0" distR="0" wp14:anchorId="2AF89E37" wp14:editId="20176A2E">
            <wp:extent cx="6912864" cy="2642616"/>
            <wp:effectExtent l="0" t="0" r="2540" b="5715"/>
            <wp:docPr id="251823225" name="Picture 12" descr="Graph depicts the rates per 100,000 population of infectious syphilis cases in Plymouth County, Massachusetts by age group for 2015 and 2024. The included age groups are &lt;20 years, 20-29 years, 30-39 years, 40-49 years, 50-59 years, and 60+ years. In 2015, the rate is highest among those aged 20-29, at 21.7. In 2024, the rate is highest among those aged 30-39, at 44.1. Rates are lowest among those aged 60+ years, at 0.0 in 2015 and 1.5 in 2024. The age group that saw the largest change in rate was 30-39 years, from 5.5 in 2015 to 44.1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23225" name="Picture 12" descr="Graph depicts the rates per 100,000 population of infectious syphilis cases in Plymouth County, Massachusetts by age group for 2015 and 2024. The included age groups are &lt;20 years, 20-29 years, 30-39 years, 40-49 years, 50-59 years, and 60+ years. In 2015, the rate is highest among those aged 20-29, at 21.7. In 2024, the rate is highest among those aged 30-39, at 44.1. Rates are lowest among those aged 60+ years, at 0.0 in 2015 and 1.5 in 2024. The age group that saw the largest change in rate was 30-39 years, from 5.5 in 2015 to 44.1 in 2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3982B318" w14:textId="77777777" w:rsidR="00024287" w:rsidRPr="001E7A0A" w:rsidRDefault="00024287" w:rsidP="00024287">
      <w:pPr>
        <w:rPr>
          <w:rFonts w:ascii="Arial" w:hAnsi="Arial" w:cs="Arial"/>
          <w:sz w:val="12"/>
          <w:szCs w:val="12"/>
        </w:rPr>
      </w:pPr>
      <w:r w:rsidRPr="001E7A0A">
        <w:rPr>
          <w:rFonts w:ascii="Arial" w:hAnsi="Arial" w:cs="Arial"/>
          <w:sz w:val="12"/>
          <w:szCs w:val="12"/>
        </w:rPr>
        <w:t xml:space="preserve">Data are current as of </w:t>
      </w:r>
      <w:r>
        <w:rPr>
          <w:rFonts w:ascii="Arial" w:hAnsi="Arial" w:cs="Arial"/>
          <w:sz w:val="12"/>
          <w:szCs w:val="12"/>
        </w:rPr>
        <w:t>6</w:t>
      </w:r>
      <w:r w:rsidRPr="001E7A0A">
        <w:rPr>
          <w:rFonts w:ascii="Arial" w:hAnsi="Arial" w:cs="Arial"/>
          <w:sz w:val="12"/>
          <w:szCs w:val="12"/>
        </w:rPr>
        <w:t>/</w:t>
      </w:r>
      <w:r>
        <w:rPr>
          <w:rFonts w:ascii="Arial" w:hAnsi="Arial" w:cs="Arial"/>
          <w:sz w:val="12"/>
          <w:szCs w:val="12"/>
        </w:rPr>
        <w:t>02</w:t>
      </w:r>
      <w:r w:rsidRPr="001E7A0A">
        <w:rPr>
          <w:rFonts w:ascii="Arial" w:hAnsi="Arial" w:cs="Arial"/>
          <w:sz w:val="12"/>
          <w:szCs w:val="12"/>
        </w:rPr>
        <w:t>/202</w:t>
      </w:r>
      <w:r>
        <w:rPr>
          <w:rFonts w:ascii="Arial" w:hAnsi="Arial" w:cs="Arial"/>
          <w:sz w:val="12"/>
          <w:szCs w:val="12"/>
        </w:rPr>
        <w:t>5</w:t>
      </w:r>
      <w:r w:rsidRPr="001E7A0A">
        <w:rPr>
          <w:rFonts w:ascii="Arial" w:hAnsi="Arial" w:cs="Arial"/>
          <w:sz w:val="12"/>
          <w:szCs w:val="12"/>
        </w:rPr>
        <w:t xml:space="preserve"> and are subject to change. </w:t>
      </w:r>
    </w:p>
    <w:p w14:paraId="661D72AA" w14:textId="77777777" w:rsidR="00024287" w:rsidRPr="001E7A0A" w:rsidRDefault="00024287" w:rsidP="00024287">
      <w:pPr>
        <w:rPr>
          <w:rFonts w:ascii="Arial" w:hAnsi="Arial" w:cs="Arial"/>
          <w:sz w:val="12"/>
          <w:szCs w:val="12"/>
        </w:rPr>
      </w:pPr>
      <w:r w:rsidRPr="001E7A0A">
        <w:rPr>
          <w:rFonts w:ascii="Arial" w:hAnsi="Arial" w:cs="Arial"/>
          <w:sz w:val="12"/>
          <w:szCs w:val="12"/>
        </w:rPr>
        <w:t>Population denominators: Strate S, et al. Small Area Population Estimates for 2011 through 2020 report, Oct 2016.</w:t>
      </w:r>
    </w:p>
    <w:p w14:paraId="12C4C086" w14:textId="77777777" w:rsidR="00024287" w:rsidRPr="001E7A0A" w:rsidRDefault="00024287" w:rsidP="00024287">
      <w:pPr>
        <w:rPr>
          <w:rFonts w:ascii="Arial" w:hAnsi="Arial" w:cs="Arial"/>
          <w:sz w:val="12"/>
          <w:szCs w:val="12"/>
        </w:rPr>
      </w:pPr>
      <w:r w:rsidRPr="001E7A0A">
        <w:rPr>
          <w:rFonts w:ascii="Arial" w:hAnsi="Arial" w:cs="Arial"/>
          <w:sz w:val="12"/>
          <w:szCs w:val="12"/>
        </w:rPr>
        <w:t>Data source: Massachusetts Department of Public Health/Bureau of Infectious Disease and Laboratory Sciences/Division of STD Prevention.</w:t>
      </w:r>
    </w:p>
    <w:p w14:paraId="0BD350AE" w14:textId="77777777" w:rsidR="00024287" w:rsidRDefault="00024287" w:rsidP="00914DF8">
      <w:pPr>
        <w:rPr>
          <w:rFonts w:ascii="Arial" w:hAnsi="Arial" w:cs="Arial"/>
          <w:sz w:val="20"/>
          <w:szCs w:val="20"/>
        </w:rPr>
      </w:pPr>
    </w:p>
    <w:p w14:paraId="6F477D0D" w14:textId="211A8336" w:rsidR="00272D41" w:rsidRDefault="00272D41" w:rsidP="00024287">
      <w:pPr>
        <w:rPr>
          <w:rFonts w:ascii="Arial" w:hAnsi="Arial" w:cs="Arial"/>
          <w:sz w:val="20"/>
          <w:szCs w:val="20"/>
        </w:rPr>
      </w:pPr>
    </w:p>
    <w:p w14:paraId="59DFAF7F" w14:textId="77777777" w:rsidR="00024287" w:rsidRDefault="00024287" w:rsidP="00024287">
      <w:pPr>
        <w:rPr>
          <w:rFonts w:ascii="Arial" w:hAnsi="Arial" w:cs="Arial"/>
          <w:sz w:val="20"/>
          <w:szCs w:val="20"/>
        </w:rPr>
      </w:pPr>
    </w:p>
    <w:p w14:paraId="774E08FF" w14:textId="77777777" w:rsidR="00024287" w:rsidRDefault="00024287" w:rsidP="00024287">
      <w:pPr>
        <w:rPr>
          <w:rFonts w:ascii="Arial" w:hAnsi="Arial" w:cs="Arial"/>
          <w:sz w:val="20"/>
          <w:szCs w:val="20"/>
        </w:rPr>
      </w:pPr>
    </w:p>
    <w:p w14:paraId="577C29E7" w14:textId="77777777" w:rsidR="00024287" w:rsidRDefault="00024287" w:rsidP="00024287">
      <w:pPr>
        <w:rPr>
          <w:rFonts w:ascii="Arial" w:hAnsi="Arial" w:cs="Arial"/>
          <w:sz w:val="20"/>
          <w:szCs w:val="20"/>
        </w:rPr>
      </w:pPr>
    </w:p>
    <w:p w14:paraId="7A23A104" w14:textId="77777777" w:rsidR="00024287" w:rsidRDefault="00024287" w:rsidP="00024287">
      <w:pPr>
        <w:rPr>
          <w:rFonts w:ascii="Arial" w:hAnsi="Arial" w:cs="Arial"/>
          <w:sz w:val="20"/>
          <w:szCs w:val="20"/>
        </w:rPr>
      </w:pPr>
    </w:p>
    <w:p w14:paraId="434D4343" w14:textId="77777777" w:rsidR="00024287" w:rsidRDefault="00024287" w:rsidP="00024287">
      <w:pPr>
        <w:rPr>
          <w:rFonts w:ascii="Arial" w:hAnsi="Arial" w:cs="Arial"/>
          <w:sz w:val="20"/>
          <w:szCs w:val="20"/>
        </w:rPr>
      </w:pPr>
    </w:p>
    <w:p w14:paraId="04D1FC88" w14:textId="77777777" w:rsidR="00024287" w:rsidRDefault="00024287" w:rsidP="00024287">
      <w:pPr>
        <w:rPr>
          <w:rFonts w:ascii="Arial" w:hAnsi="Arial" w:cs="Arial"/>
          <w:sz w:val="20"/>
          <w:szCs w:val="20"/>
        </w:rPr>
      </w:pPr>
    </w:p>
    <w:p w14:paraId="5806F5A0" w14:textId="77777777" w:rsidR="007448C5" w:rsidRDefault="007448C5" w:rsidP="00024287">
      <w:pPr>
        <w:rPr>
          <w:rFonts w:ascii="Arial" w:hAnsi="Arial" w:cs="Arial"/>
          <w:sz w:val="20"/>
          <w:szCs w:val="20"/>
        </w:rPr>
      </w:pPr>
    </w:p>
    <w:p w14:paraId="7417C473" w14:textId="77777777" w:rsidR="006A2735" w:rsidRDefault="006A2735" w:rsidP="00024287">
      <w:pPr>
        <w:rPr>
          <w:rFonts w:ascii="Arial" w:hAnsi="Arial" w:cs="Arial"/>
          <w:sz w:val="20"/>
          <w:szCs w:val="20"/>
        </w:rPr>
      </w:pPr>
    </w:p>
    <w:p w14:paraId="310D872F" w14:textId="77777777" w:rsidR="00024287" w:rsidRPr="00024287" w:rsidRDefault="00024287" w:rsidP="00024287">
      <w:pPr>
        <w:rPr>
          <w:rFonts w:ascii="Arial" w:hAnsi="Arial" w:cs="Arial"/>
          <w:sz w:val="20"/>
          <w:szCs w:val="20"/>
        </w:rPr>
      </w:pPr>
    </w:p>
    <w:p w14:paraId="24955B8D" w14:textId="77777777" w:rsidR="00272D41" w:rsidRDefault="00272D41" w:rsidP="00272D41">
      <w:pPr>
        <w:rPr>
          <w:rFonts w:ascii="Arial" w:hAnsi="Arial" w:cs="Arial"/>
          <w:b/>
          <w:bCs/>
          <w:sz w:val="20"/>
          <w:szCs w:val="20"/>
          <w:u w:val="single"/>
        </w:rPr>
      </w:pPr>
    </w:p>
    <w:bookmarkEnd w:id="11"/>
    <w:p w14:paraId="6B11E703" w14:textId="37E95B8D" w:rsidR="00773130" w:rsidRDefault="00773130" w:rsidP="00773130">
      <w:pPr>
        <w:rPr>
          <w:rFonts w:ascii="Arial" w:hAnsi="Arial" w:cs="Arial"/>
          <w:sz w:val="20"/>
          <w:szCs w:val="20"/>
        </w:rPr>
      </w:pPr>
    </w:p>
    <w:p w14:paraId="285A098F" w14:textId="00B53DEA" w:rsidR="001A111E" w:rsidRDefault="001A111E" w:rsidP="00FC412A">
      <w:pPr>
        <w:pStyle w:val="Heading1"/>
      </w:pPr>
      <w:r>
        <w:lastRenderedPageBreak/>
        <w:t xml:space="preserve">2024 Statewide Massachusetts </w:t>
      </w:r>
    </w:p>
    <w:p w14:paraId="5BB2EFA2" w14:textId="77777777" w:rsidR="001D7844" w:rsidRPr="001D7844" w:rsidRDefault="001D7844" w:rsidP="001D7844">
      <w:pPr>
        <w:rPr>
          <w:rFonts w:ascii="Arial" w:hAnsi="Arial" w:cs="Arial"/>
          <w:sz w:val="20"/>
          <w:szCs w:val="20"/>
        </w:rPr>
      </w:pPr>
      <w:r w:rsidRPr="001D7844">
        <w:rPr>
          <w:rFonts w:ascii="Arial" w:hAnsi="Arial" w:cs="Arial"/>
          <w:sz w:val="20"/>
          <w:szCs w:val="20"/>
        </w:rPr>
        <w:t>Chlamydia cases have increased by 18.5% from 2015 (n=23,944) to 2022 (n=28,384) and decreased by 6.2% in 2024 (n=26,623). From 2020 to 2024, there was a 7.8% increase in cases. This is possibly due to factors such as increased service utilization after health care clinics re-opened following the end of the COVID-19 public health emergency.</w:t>
      </w:r>
    </w:p>
    <w:p w14:paraId="7AA001B3" w14:textId="77777777" w:rsidR="001D7844" w:rsidRPr="001D7844" w:rsidRDefault="001D7844" w:rsidP="001D7844">
      <w:pPr>
        <w:rPr>
          <w:rFonts w:ascii="Arial" w:hAnsi="Arial" w:cs="Arial"/>
          <w:sz w:val="20"/>
          <w:szCs w:val="20"/>
        </w:rPr>
      </w:pPr>
    </w:p>
    <w:p w14:paraId="676E26C9" w14:textId="77777777" w:rsidR="001D7844" w:rsidRPr="001D7844" w:rsidRDefault="001D7844" w:rsidP="001D7844">
      <w:pPr>
        <w:rPr>
          <w:rFonts w:ascii="Arial" w:hAnsi="Arial" w:cs="Arial"/>
          <w:sz w:val="20"/>
          <w:szCs w:val="20"/>
        </w:rPr>
      </w:pPr>
      <w:r w:rsidRPr="001D7844">
        <w:rPr>
          <w:rFonts w:ascii="Arial" w:hAnsi="Arial" w:cs="Arial"/>
          <w:sz w:val="20"/>
          <w:szCs w:val="20"/>
        </w:rPr>
        <w:t>Gonorrhea cases have increased 233.3% from 2015 (n=3,592) to 2024, peaking at 9,779 cases in 2023 before declining to 8,678 cases in 2024. Unlike chlamydia, gonorrhea cases did not drop during the COVID-19 public health emergency. Between 2015 and 2024, the majority of gonorrhea cases were reported among males. There were 11 reported cases of Disseminated Gonococcal Infection (DGI) in 2024, an increase from 6 in 2022. In 2022, a novel strain of multi-drug-non-susceptible Neisseria gonorrhoeae was identified in two Massachusetts residents. As a result, Massachusetts DPH released a clinical alert in January 2023 requesting that clinicians perform gonococcal culture in addition to NAAT testing for symptomatic patients. Two additional multi-drug-non-susceptible cases of gonorrhea have been identified since then.</w:t>
      </w:r>
    </w:p>
    <w:p w14:paraId="07D2E97B" w14:textId="77777777" w:rsidR="001D7844" w:rsidRPr="001D7844" w:rsidRDefault="001D7844" w:rsidP="001D7844">
      <w:pPr>
        <w:rPr>
          <w:rFonts w:ascii="Arial" w:hAnsi="Arial" w:cs="Arial"/>
          <w:sz w:val="20"/>
          <w:szCs w:val="20"/>
        </w:rPr>
      </w:pPr>
    </w:p>
    <w:p w14:paraId="4153BBD8" w14:textId="77777777" w:rsidR="001D7844" w:rsidRPr="001D7844" w:rsidRDefault="001D7844" w:rsidP="001D7844">
      <w:pPr>
        <w:rPr>
          <w:rFonts w:ascii="Arial" w:hAnsi="Arial" w:cs="Arial"/>
          <w:sz w:val="20"/>
          <w:szCs w:val="20"/>
        </w:rPr>
      </w:pPr>
      <w:r w:rsidRPr="001D7844">
        <w:rPr>
          <w:rFonts w:ascii="Arial" w:hAnsi="Arial" w:cs="Arial"/>
          <w:sz w:val="20"/>
          <w:szCs w:val="20"/>
        </w:rPr>
        <w:t>Infectious syphilis cases have increased 43.8% from 2015 (n=798) to 2024, peaking at 1,579 cases in 2022 before declining to 1,329 cases in 2024. Despite close follow-up of cases of syphilis in pregnant patients and their partners, breakthrough cases of congenital syphilis have increased in Massachusetts. From 2021 to 2024, the annual number of probable cases of congenital syphilis diagnosed in Massachusetts ranged from 9 to 18 after remaining between zero and four from 2011 to 2018. However, as of September 2023, Massachusetts ranks 44</w:t>
      </w:r>
      <w:r w:rsidRPr="001D7844">
        <w:rPr>
          <w:rFonts w:ascii="Arial" w:hAnsi="Arial" w:cs="Arial"/>
          <w:sz w:val="20"/>
          <w:szCs w:val="20"/>
          <w:vertAlign w:val="superscript"/>
        </w:rPr>
        <w:t>th</w:t>
      </w:r>
      <w:r w:rsidRPr="001D7844">
        <w:rPr>
          <w:rFonts w:ascii="Arial" w:hAnsi="Arial" w:cs="Arial"/>
          <w:sz w:val="20"/>
          <w:szCs w:val="20"/>
        </w:rPr>
        <w:t xml:space="preserve"> among the 48 states reporting congenital syphilis incidence, indicating relatively better outcomes compared to many other states. </w:t>
      </w:r>
    </w:p>
    <w:p w14:paraId="445A3518" w14:textId="77777777" w:rsidR="001D7844" w:rsidRPr="001D7844" w:rsidRDefault="001D7844" w:rsidP="001D7844">
      <w:pPr>
        <w:rPr>
          <w:rFonts w:ascii="Arial" w:hAnsi="Arial" w:cs="Arial"/>
          <w:sz w:val="20"/>
          <w:szCs w:val="20"/>
        </w:rPr>
      </w:pPr>
    </w:p>
    <w:p w14:paraId="53B3BB93" w14:textId="77777777" w:rsidR="001D7844" w:rsidRPr="001D7844" w:rsidRDefault="001D7844" w:rsidP="001D7844">
      <w:pPr>
        <w:rPr>
          <w:rFonts w:ascii="Arial" w:hAnsi="Arial" w:cs="Arial"/>
          <w:sz w:val="20"/>
          <w:szCs w:val="20"/>
          <w:vertAlign w:val="superscript"/>
        </w:rPr>
      </w:pPr>
      <w:r w:rsidRPr="001D7844">
        <w:rPr>
          <w:rFonts w:ascii="Arial" w:hAnsi="Arial" w:cs="Arial"/>
          <w:sz w:val="20"/>
          <w:szCs w:val="20"/>
        </w:rPr>
        <w:t>Among individuals of transgender experience and/or individuals who are nonbinary, 51 chlamydia, 91 gonorrhea, and 5 infectious syphilis cases were reported in Massachusetts.</w:t>
      </w:r>
      <w:r w:rsidRPr="001D7844">
        <w:rPr>
          <w:rFonts w:ascii="Arial" w:hAnsi="Arial" w:cs="Arial"/>
          <w:sz w:val="20"/>
          <w:szCs w:val="20"/>
          <w:vertAlign w:val="superscript"/>
        </w:rPr>
        <w:t>6</w:t>
      </w:r>
    </w:p>
    <w:p w14:paraId="61D0066C" w14:textId="77777777" w:rsidR="0099132F" w:rsidRPr="00B37112" w:rsidRDefault="0099132F" w:rsidP="0099132F">
      <w:pPr>
        <w:rPr>
          <w:rFonts w:ascii="Arial" w:hAnsi="Arial" w:cs="Arial"/>
        </w:rPr>
      </w:pPr>
      <w:r w:rsidRPr="00B37112">
        <w:rPr>
          <w:rFonts w:ascii="Arial" w:hAnsi="Arial" w:cs="Arial"/>
        </w:rPr>
        <w:t>________________________________________________________________________________</w:t>
      </w:r>
    </w:p>
    <w:p w14:paraId="1560182B" w14:textId="090CAD1A" w:rsidR="00D5052D" w:rsidRPr="00832748" w:rsidRDefault="00D5052D" w:rsidP="00D5052D">
      <w:pPr>
        <w:rPr>
          <w:rFonts w:ascii="Arial" w:hAnsi="Arial" w:cs="Arial"/>
          <w:sz w:val="16"/>
          <w:szCs w:val="16"/>
        </w:rPr>
      </w:pPr>
      <w:bookmarkStart w:id="12" w:name="_Hlk200616528"/>
      <w:r w:rsidRPr="16BE746D">
        <w:rPr>
          <w:rFonts w:ascii="Arial" w:hAnsi="Arial" w:cs="Arial"/>
          <w:sz w:val="16"/>
          <w:szCs w:val="16"/>
          <w:vertAlign w:val="superscript"/>
        </w:rPr>
        <w:t xml:space="preserve">1 </w:t>
      </w:r>
      <w:r w:rsidRPr="16BE746D">
        <w:rPr>
          <w:rFonts w:ascii="Arial" w:hAnsi="Arial" w:cs="Arial"/>
          <w:sz w:val="16"/>
          <w:szCs w:val="16"/>
        </w:rPr>
        <w:t xml:space="preserve">Source: U.S. Census Bureau. QuickFacts: </w:t>
      </w:r>
      <w:r>
        <w:rPr>
          <w:rFonts w:ascii="Arial" w:hAnsi="Arial" w:cs="Arial"/>
          <w:sz w:val="16"/>
          <w:szCs w:val="16"/>
        </w:rPr>
        <w:t>Plymouth</w:t>
      </w:r>
      <w:r w:rsidRPr="16BE746D">
        <w:rPr>
          <w:rFonts w:ascii="Arial" w:hAnsi="Arial" w:cs="Arial"/>
          <w:sz w:val="16"/>
          <w:szCs w:val="16"/>
        </w:rPr>
        <w:t xml:space="preserve"> County, Massachusetts; Massachusetts. Population Estimates Program, July 1,2024 (Vintage 2024).</w:t>
      </w:r>
    </w:p>
    <w:p w14:paraId="228BEE8F" w14:textId="77777777" w:rsidR="00D5052D" w:rsidRDefault="00D5052D" w:rsidP="00D5052D">
      <w:pPr>
        <w:rPr>
          <w:rFonts w:ascii="Arial" w:hAnsi="Arial" w:cs="Arial"/>
          <w:sz w:val="16"/>
          <w:szCs w:val="16"/>
        </w:rPr>
      </w:pPr>
      <w:r w:rsidRPr="16BE746D">
        <w:rPr>
          <w:rFonts w:ascii="Arial" w:hAnsi="Arial" w:cs="Arial"/>
          <w:sz w:val="16"/>
          <w:szCs w:val="16"/>
          <w:vertAlign w:val="superscript"/>
        </w:rPr>
        <w:t>2</w:t>
      </w:r>
      <w:r w:rsidRPr="16BE746D">
        <w:rPr>
          <w:rFonts w:ascii="Arial" w:hAnsi="Arial" w:cs="Arial"/>
          <w:sz w:val="16"/>
          <w:szCs w:val="16"/>
        </w:rPr>
        <w:t xml:space="preserve"> Source: CDC: Sexually Transmitted Infections</w:t>
      </w:r>
    </w:p>
    <w:p w14:paraId="6D4B9B9E" w14:textId="77777777" w:rsidR="00D5052D" w:rsidRPr="00C66B1B" w:rsidRDefault="00D5052D" w:rsidP="00D5052D">
      <w:pPr>
        <w:rPr>
          <w:rFonts w:ascii="Arial" w:hAnsi="Arial" w:cs="Arial"/>
          <w:sz w:val="16"/>
          <w:szCs w:val="16"/>
        </w:rPr>
      </w:pPr>
      <w:r w:rsidRPr="16BE746D">
        <w:rPr>
          <w:rFonts w:ascii="Arial" w:hAnsi="Arial" w:cs="Arial"/>
          <w:sz w:val="16"/>
          <w:szCs w:val="16"/>
          <w:vertAlign w:val="superscript"/>
        </w:rPr>
        <w:t>3</w:t>
      </w:r>
      <w:r w:rsidRPr="16BE746D">
        <w:rPr>
          <w:rFonts w:ascii="Arial" w:hAnsi="Arial" w:cs="Arial"/>
          <w:sz w:val="16"/>
          <w:szCs w:val="16"/>
        </w:rPr>
        <w:t xml:space="preserve"> Please note the impact of the COVID-19 pandemic on infectious disease screening, treatment, and surveillance in the interpretation of 2020-2023 data </w:t>
      </w:r>
      <w:r w:rsidRPr="00721AEB">
        <w:rPr>
          <w:rFonts w:ascii="Arial" w:hAnsi="Arial" w:cs="Arial"/>
          <w:sz w:val="16"/>
          <w:szCs w:val="16"/>
          <w:vertAlign w:val="superscript"/>
        </w:rPr>
        <w:t>4</w:t>
      </w:r>
      <w:r>
        <w:rPr>
          <w:rFonts w:ascii="Arial" w:hAnsi="Arial" w:cs="Arial"/>
          <w:sz w:val="16"/>
          <w:szCs w:val="16"/>
          <w:vertAlign w:val="superscript"/>
        </w:rPr>
        <w:t xml:space="preserve"> </w:t>
      </w:r>
      <w:r w:rsidRPr="16BE746D">
        <w:rPr>
          <w:rFonts w:ascii="Arial" w:hAnsi="Arial" w:cs="Arial"/>
          <w:sz w:val="16"/>
          <w:szCs w:val="16"/>
        </w:rPr>
        <w:t xml:space="preserve">Source: CDC: Sexually Transmitted Infections Surveillance, 2024 (Provisional). </w:t>
      </w:r>
    </w:p>
    <w:p w14:paraId="089DFB08" w14:textId="77777777" w:rsidR="00D5052D" w:rsidRPr="00C66B1B" w:rsidRDefault="00D5052D" w:rsidP="00D5052D">
      <w:pPr>
        <w:rPr>
          <w:rFonts w:ascii="Arial" w:hAnsi="Arial" w:cs="Arial"/>
          <w:sz w:val="16"/>
          <w:szCs w:val="16"/>
        </w:rPr>
      </w:pPr>
      <w:r w:rsidRPr="16BE746D">
        <w:rPr>
          <w:rFonts w:ascii="Arial" w:hAnsi="Arial" w:cs="Arial"/>
          <w:sz w:val="16"/>
          <w:szCs w:val="16"/>
          <w:vertAlign w:val="superscript"/>
        </w:rPr>
        <w:t xml:space="preserve">5 </w:t>
      </w:r>
      <w:r w:rsidRPr="16BE746D">
        <w:rPr>
          <w:rFonts w:ascii="Arial" w:hAnsi="Arial" w:cs="Arial"/>
          <w:sz w:val="16"/>
          <w:szCs w:val="16"/>
        </w:rPr>
        <w:t>Infectious syphilis is defined as primary, secondary and early latent stages of syphilis within one year of infection.</w:t>
      </w:r>
    </w:p>
    <w:bookmarkEnd w:id="12"/>
    <w:p w14:paraId="6F5D72AB" w14:textId="430B5F8F" w:rsidR="00367446" w:rsidRPr="0099132F" w:rsidRDefault="00D5052D" w:rsidP="0099132F">
      <w:pPr>
        <w:rPr>
          <w:rFonts w:ascii="Arial" w:hAnsi="Arial" w:cs="Arial"/>
          <w:sz w:val="16"/>
          <w:szCs w:val="16"/>
        </w:rPr>
      </w:pPr>
      <w:r w:rsidRPr="16BE746D">
        <w:rPr>
          <w:rFonts w:ascii="Arial" w:hAnsi="Arial" w:cs="Arial"/>
          <w:sz w:val="16"/>
          <w:szCs w:val="16"/>
          <w:vertAlign w:val="superscript"/>
        </w:rPr>
        <w:t>6</w:t>
      </w:r>
      <w:r w:rsidRPr="16BE746D">
        <w:rPr>
          <w:rFonts w:ascii="Arial" w:hAnsi="Arial" w:cs="Arial"/>
          <w:sz w:val="16"/>
          <w:szCs w:val="16"/>
        </w:rPr>
        <w:t xml:space="preserve">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 in data collection systems.</w:t>
      </w:r>
      <w:r w:rsidR="0099132F" w:rsidRPr="00B37112">
        <w:rPr>
          <w:rFonts w:ascii="Arial" w:hAnsi="Arial" w:cs="Arial"/>
          <w:sz w:val="16"/>
          <w:szCs w:val="16"/>
        </w:rPr>
        <w:t> </w:t>
      </w:r>
    </w:p>
    <w:sectPr w:rsidR="00367446" w:rsidRPr="0099132F" w:rsidSect="004849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C852D" w14:textId="77777777" w:rsidR="002B3715" w:rsidRDefault="002B3715" w:rsidP="0018731B">
      <w:r>
        <w:separator/>
      </w:r>
    </w:p>
  </w:endnote>
  <w:endnote w:type="continuationSeparator" w:id="0">
    <w:p w14:paraId="7F4DC945" w14:textId="77777777" w:rsidR="002B3715" w:rsidRDefault="002B3715" w:rsidP="001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62B42" w14:textId="77777777" w:rsidR="002B3715" w:rsidRDefault="002B3715" w:rsidP="0018731B">
      <w:r>
        <w:separator/>
      </w:r>
    </w:p>
  </w:footnote>
  <w:footnote w:type="continuationSeparator" w:id="0">
    <w:p w14:paraId="499405D3" w14:textId="77777777" w:rsidR="002B3715" w:rsidRDefault="002B3715" w:rsidP="0018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0EE"/>
    <w:multiLevelType w:val="hybridMultilevel"/>
    <w:tmpl w:val="F112F950"/>
    <w:lvl w:ilvl="0" w:tplc="3C1E9C98">
      <w:start w:val="1"/>
      <w:numFmt w:val="bullet"/>
      <w:lvlText w:val="•"/>
      <w:lvlJc w:val="left"/>
      <w:pPr>
        <w:tabs>
          <w:tab w:val="num" w:pos="720"/>
        </w:tabs>
        <w:ind w:left="720" w:hanging="360"/>
      </w:pPr>
      <w:rPr>
        <w:rFonts w:ascii="Arial" w:hAnsi="Arial" w:hint="default"/>
      </w:rPr>
    </w:lvl>
    <w:lvl w:ilvl="1" w:tplc="2388803A" w:tentative="1">
      <w:start w:val="1"/>
      <w:numFmt w:val="bullet"/>
      <w:lvlText w:val="•"/>
      <w:lvlJc w:val="left"/>
      <w:pPr>
        <w:tabs>
          <w:tab w:val="num" w:pos="1440"/>
        </w:tabs>
        <w:ind w:left="1440" w:hanging="360"/>
      </w:pPr>
      <w:rPr>
        <w:rFonts w:ascii="Arial" w:hAnsi="Arial" w:hint="default"/>
      </w:rPr>
    </w:lvl>
    <w:lvl w:ilvl="2" w:tplc="D09EFA40" w:tentative="1">
      <w:start w:val="1"/>
      <w:numFmt w:val="bullet"/>
      <w:lvlText w:val="•"/>
      <w:lvlJc w:val="left"/>
      <w:pPr>
        <w:tabs>
          <w:tab w:val="num" w:pos="2160"/>
        </w:tabs>
        <w:ind w:left="2160" w:hanging="360"/>
      </w:pPr>
      <w:rPr>
        <w:rFonts w:ascii="Arial" w:hAnsi="Arial" w:hint="default"/>
      </w:rPr>
    </w:lvl>
    <w:lvl w:ilvl="3" w:tplc="FB3CB5A4" w:tentative="1">
      <w:start w:val="1"/>
      <w:numFmt w:val="bullet"/>
      <w:lvlText w:val="•"/>
      <w:lvlJc w:val="left"/>
      <w:pPr>
        <w:tabs>
          <w:tab w:val="num" w:pos="2880"/>
        </w:tabs>
        <w:ind w:left="2880" w:hanging="360"/>
      </w:pPr>
      <w:rPr>
        <w:rFonts w:ascii="Arial" w:hAnsi="Arial" w:hint="default"/>
      </w:rPr>
    </w:lvl>
    <w:lvl w:ilvl="4" w:tplc="F99EACF8" w:tentative="1">
      <w:start w:val="1"/>
      <w:numFmt w:val="bullet"/>
      <w:lvlText w:val="•"/>
      <w:lvlJc w:val="left"/>
      <w:pPr>
        <w:tabs>
          <w:tab w:val="num" w:pos="3600"/>
        </w:tabs>
        <w:ind w:left="3600" w:hanging="360"/>
      </w:pPr>
      <w:rPr>
        <w:rFonts w:ascii="Arial" w:hAnsi="Arial" w:hint="default"/>
      </w:rPr>
    </w:lvl>
    <w:lvl w:ilvl="5" w:tplc="2EFCCF74" w:tentative="1">
      <w:start w:val="1"/>
      <w:numFmt w:val="bullet"/>
      <w:lvlText w:val="•"/>
      <w:lvlJc w:val="left"/>
      <w:pPr>
        <w:tabs>
          <w:tab w:val="num" w:pos="4320"/>
        </w:tabs>
        <w:ind w:left="4320" w:hanging="360"/>
      </w:pPr>
      <w:rPr>
        <w:rFonts w:ascii="Arial" w:hAnsi="Arial" w:hint="default"/>
      </w:rPr>
    </w:lvl>
    <w:lvl w:ilvl="6" w:tplc="403A79F6" w:tentative="1">
      <w:start w:val="1"/>
      <w:numFmt w:val="bullet"/>
      <w:lvlText w:val="•"/>
      <w:lvlJc w:val="left"/>
      <w:pPr>
        <w:tabs>
          <w:tab w:val="num" w:pos="5040"/>
        </w:tabs>
        <w:ind w:left="5040" w:hanging="360"/>
      </w:pPr>
      <w:rPr>
        <w:rFonts w:ascii="Arial" w:hAnsi="Arial" w:hint="default"/>
      </w:rPr>
    </w:lvl>
    <w:lvl w:ilvl="7" w:tplc="77708FA4" w:tentative="1">
      <w:start w:val="1"/>
      <w:numFmt w:val="bullet"/>
      <w:lvlText w:val="•"/>
      <w:lvlJc w:val="left"/>
      <w:pPr>
        <w:tabs>
          <w:tab w:val="num" w:pos="5760"/>
        </w:tabs>
        <w:ind w:left="5760" w:hanging="360"/>
      </w:pPr>
      <w:rPr>
        <w:rFonts w:ascii="Arial" w:hAnsi="Arial" w:hint="default"/>
      </w:rPr>
    </w:lvl>
    <w:lvl w:ilvl="8" w:tplc="1472CC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623B72"/>
    <w:multiLevelType w:val="hybridMultilevel"/>
    <w:tmpl w:val="9DF2C7DE"/>
    <w:lvl w:ilvl="0" w:tplc="09902D62">
      <w:start w:val="1"/>
      <w:numFmt w:val="bullet"/>
      <w:lvlText w:val="•"/>
      <w:lvlJc w:val="left"/>
      <w:pPr>
        <w:tabs>
          <w:tab w:val="num" w:pos="720"/>
        </w:tabs>
        <w:ind w:left="720" w:hanging="360"/>
      </w:pPr>
      <w:rPr>
        <w:rFonts w:ascii="Arial" w:hAnsi="Arial" w:hint="default"/>
      </w:rPr>
    </w:lvl>
    <w:lvl w:ilvl="1" w:tplc="5F40AD60" w:tentative="1">
      <w:start w:val="1"/>
      <w:numFmt w:val="bullet"/>
      <w:lvlText w:val="•"/>
      <w:lvlJc w:val="left"/>
      <w:pPr>
        <w:tabs>
          <w:tab w:val="num" w:pos="1440"/>
        </w:tabs>
        <w:ind w:left="1440" w:hanging="360"/>
      </w:pPr>
      <w:rPr>
        <w:rFonts w:ascii="Arial" w:hAnsi="Arial" w:hint="default"/>
      </w:rPr>
    </w:lvl>
    <w:lvl w:ilvl="2" w:tplc="B6EAE298" w:tentative="1">
      <w:start w:val="1"/>
      <w:numFmt w:val="bullet"/>
      <w:lvlText w:val="•"/>
      <w:lvlJc w:val="left"/>
      <w:pPr>
        <w:tabs>
          <w:tab w:val="num" w:pos="2160"/>
        </w:tabs>
        <w:ind w:left="2160" w:hanging="360"/>
      </w:pPr>
      <w:rPr>
        <w:rFonts w:ascii="Arial" w:hAnsi="Arial" w:hint="default"/>
      </w:rPr>
    </w:lvl>
    <w:lvl w:ilvl="3" w:tplc="75DAC5FC" w:tentative="1">
      <w:start w:val="1"/>
      <w:numFmt w:val="bullet"/>
      <w:lvlText w:val="•"/>
      <w:lvlJc w:val="left"/>
      <w:pPr>
        <w:tabs>
          <w:tab w:val="num" w:pos="2880"/>
        </w:tabs>
        <w:ind w:left="2880" w:hanging="360"/>
      </w:pPr>
      <w:rPr>
        <w:rFonts w:ascii="Arial" w:hAnsi="Arial" w:hint="default"/>
      </w:rPr>
    </w:lvl>
    <w:lvl w:ilvl="4" w:tplc="E6DAD5F8" w:tentative="1">
      <w:start w:val="1"/>
      <w:numFmt w:val="bullet"/>
      <w:lvlText w:val="•"/>
      <w:lvlJc w:val="left"/>
      <w:pPr>
        <w:tabs>
          <w:tab w:val="num" w:pos="3600"/>
        </w:tabs>
        <w:ind w:left="3600" w:hanging="360"/>
      </w:pPr>
      <w:rPr>
        <w:rFonts w:ascii="Arial" w:hAnsi="Arial" w:hint="default"/>
      </w:rPr>
    </w:lvl>
    <w:lvl w:ilvl="5" w:tplc="1FAA2924" w:tentative="1">
      <w:start w:val="1"/>
      <w:numFmt w:val="bullet"/>
      <w:lvlText w:val="•"/>
      <w:lvlJc w:val="left"/>
      <w:pPr>
        <w:tabs>
          <w:tab w:val="num" w:pos="4320"/>
        </w:tabs>
        <w:ind w:left="4320" w:hanging="360"/>
      </w:pPr>
      <w:rPr>
        <w:rFonts w:ascii="Arial" w:hAnsi="Arial" w:hint="default"/>
      </w:rPr>
    </w:lvl>
    <w:lvl w:ilvl="6" w:tplc="9F60A484" w:tentative="1">
      <w:start w:val="1"/>
      <w:numFmt w:val="bullet"/>
      <w:lvlText w:val="•"/>
      <w:lvlJc w:val="left"/>
      <w:pPr>
        <w:tabs>
          <w:tab w:val="num" w:pos="5040"/>
        </w:tabs>
        <w:ind w:left="5040" w:hanging="360"/>
      </w:pPr>
      <w:rPr>
        <w:rFonts w:ascii="Arial" w:hAnsi="Arial" w:hint="default"/>
      </w:rPr>
    </w:lvl>
    <w:lvl w:ilvl="7" w:tplc="DB722E8C" w:tentative="1">
      <w:start w:val="1"/>
      <w:numFmt w:val="bullet"/>
      <w:lvlText w:val="•"/>
      <w:lvlJc w:val="left"/>
      <w:pPr>
        <w:tabs>
          <w:tab w:val="num" w:pos="5760"/>
        </w:tabs>
        <w:ind w:left="5760" w:hanging="360"/>
      </w:pPr>
      <w:rPr>
        <w:rFonts w:ascii="Arial" w:hAnsi="Arial" w:hint="default"/>
      </w:rPr>
    </w:lvl>
    <w:lvl w:ilvl="8" w:tplc="019E89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4806DE"/>
    <w:multiLevelType w:val="hybridMultilevel"/>
    <w:tmpl w:val="4C561466"/>
    <w:lvl w:ilvl="0" w:tplc="0D2CD4C6">
      <w:start w:val="1"/>
      <w:numFmt w:val="bullet"/>
      <w:lvlText w:val="•"/>
      <w:lvlJc w:val="left"/>
      <w:pPr>
        <w:tabs>
          <w:tab w:val="num" w:pos="720"/>
        </w:tabs>
        <w:ind w:left="720" w:hanging="360"/>
      </w:pPr>
      <w:rPr>
        <w:rFonts w:ascii="Arial" w:hAnsi="Arial" w:hint="default"/>
      </w:rPr>
    </w:lvl>
    <w:lvl w:ilvl="1" w:tplc="656C38D6" w:tentative="1">
      <w:start w:val="1"/>
      <w:numFmt w:val="bullet"/>
      <w:lvlText w:val="•"/>
      <w:lvlJc w:val="left"/>
      <w:pPr>
        <w:tabs>
          <w:tab w:val="num" w:pos="1440"/>
        </w:tabs>
        <w:ind w:left="1440" w:hanging="360"/>
      </w:pPr>
      <w:rPr>
        <w:rFonts w:ascii="Arial" w:hAnsi="Arial" w:hint="default"/>
      </w:rPr>
    </w:lvl>
    <w:lvl w:ilvl="2" w:tplc="BD2613F4" w:tentative="1">
      <w:start w:val="1"/>
      <w:numFmt w:val="bullet"/>
      <w:lvlText w:val="•"/>
      <w:lvlJc w:val="left"/>
      <w:pPr>
        <w:tabs>
          <w:tab w:val="num" w:pos="2160"/>
        </w:tabs>
        <w:ind w:left="2160" w:hanging="360"/>
      </w:pPr>
      <w:rPr>
        <w:rFonts w:ascii="Arial" w:hAnsi="Arial" w:hint="default"/>
      </w:rPr>
    </w:lvl>
    <w:lvl w:ilvl="3" w:tplc="ED84A3A6" w:tentative="1">
      <w:start w:val="1"/>
      <w:numFmt w:val="bullet"/>
      <w:lvlText w:val="•"/>
      <w:lvlJc w:val="left"/>
      <w:pPr>
        <w:tabs>
          <w:tab w:val="num" w:pos="2880"/>
        </w:tabs>
        <w:ind w:left="2880" w:hanging="360"/>
      </w:pPr>
      <w:rPr>
        <w:rFonts w:ascii="Arial" w:hAnsi="Arial" w:hint="default"/>
      </w:rPr>
    </w:lvl>
    <w:lvl w:ilvl="4" w:tplc="AF3C4588" w:tentative="1">
      <w:start w:val="1"/>
      <w:numFmt w:val="bullet"/>
      <w:lvlText w:val="•"/>
      <w:lvlJc w:val="left"/>
      <w:pPr>
        <w:tabs>
          <w:tab w:val="num" w:pos="3600"/>
        </w:tabs>
        <w:ind w:left="3600" w:hanging="360"/>
      </w:pPr>
      <w:rPr>
        <w:rFonts w:ascii="Arial" w:hAnsi="Arial" w:hint="default"/>
      </w:rPr>
    </w:lvl>
    <w:lvl w:ilvl="5" w:tplc="D6981E84" w:tentative="1">
      <w:start w:val="1"/>
      <w:numFmt w:val="bullet"/>
      <w:lvlText w:val="•"/>
      <w:lvlJc w:val="left"/>
      <w:pPr>
        <w:tabs>
          <w:tab w:val="num" w:pos="4320"/>
        </w:tabs>
        <w:ind w:left="4320" w:hanging="360"/>
      </w:pPr>
      <w:rPr>
        <w:rFonts w:ascii="Arial" w:hAnsi="Arial" w:hint="default"/>
      </w:rPr>
    </w:lvl>
    <w:lvl w:ilvl="6" w:tplc="F614FC7E" w:tentative="1">
      <w:start w:val="1"/>
      <w:numFmt w:val="bullet"/>
      <w:lvlText w:val="•"/>
      <w:lvlJc w:val="left"/>
      <w:pPr>
        <w:tabs>
          <w:tab w:val="num" w:pos="5040"/>
        </w:tabs>
        <w:ind w:left="5040" w:hanging="360"/>
      </w:pPr>
      <w:rPr>
        <w:rFonts w:ascii="Arial" w:hAnsi="Arial" w:hint="default"/>
      </w:rPr>
    </w:lvl>
    <w:lvl w:ilvl="7" w:tplc="0D7E1394" w:tentative="1">
      <w:start w:val="1"/>
      <w:numFmt w:val="bullet"/>
      <w:lvlText w:val="•"/>
      <w:lvlJc w:val="left"/>
      <w:pPr>
        <w:tabs>
          <w:tab w:val="num" w:pos="5760"/>
        </w:tabs>
        <w:ind w:left="5760" w:hanging="360"/>
      </w:pPr>
      <w:rPr>
        <w:rFonts w:ascii="Arial" w:hAnsi="Arial" w:hint="default"/>
      </w:rPr>
    </w:lvl>
    <w:lvl w:ilvl="8" w:tplc="8E840A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1706E5"/>
    <w:multiLevelType w:val="hybridMultilevel"/>
    <w:tmpl w:val="3DC2A498"/>
    <w:lvl w:ilvl="0" w:tplc="DADEFFE6">
      <w:start w:val="1"/>
      <w:numFmt w:val="bullet"/>
      <w:lvlText w:val="•"/>
      <w:lvlJc w:val="left"/>
      <w:pPr>
        <w:tabs>
          <w:tab w:val="num" w:pos="720"/>
        </w:tabs>
        <w:ind w:left="720" w:hanging="360"/>
      </w:pPr>
      <w:rPr>
        <w:rFonts w:ascii="Arial" w:hAnsi="Arial" w:hint="default"/>
      </w:rPr>
    </w:lvl>
    <w:lvl w:ilvl="1" w:tplc="AE6E5074" w:tentative="1">
      <w:start w:val="1"/>
      <w:numFmt w:val="bullet"/>
      <w:lvlText w:val="•"/>
      <w:lvlJc w:val="left"/>
      <w:pPr>
        <w:tabs>
          <w:tab w:val="num" w:pos="1440"/>
        </w:tabs>
        <w:ind w:left="1440" w:hanging="360"/>
      </w:pPr>
      <w:rPr>
        <w:rFonts w:ascii="Arial" w:hAnsi="Arial" w:hint="default"/>
      </w:rPr>
    </w:lvl>
    <w:lvl w:ilvl="2" w:tplc="D99025F6" w:tentative="1">
      <w:start w:val="1"/>
      <w:numFmt w:val="bullet"/>
      <w:lvlText w:val="•"/>
      <w:lvlJc w:val="left"/>
      <w:pPr>
        <w:tabs>
          <w:tab w:val="num" w:pos="2160"/>
        </w:tabs>
        <w:ind w:left="2160" w:hanging="360"/>
      </w:pPr>
      <w:rPr>
        <w:rFonts w:ascii="Arial" w:hAnsi="Arial" w:hint="default"/>
      </w:rPr>
    </w:lvl>
    <w:lvl w:ilvl="3" w:tplc="D16248F6" w:tentative="1">
      <w:start w:val="1"/>
      <w:numFmt w:val="bullet"/>
      <w:lvlText w:val="•"/>
      <w:lvlJc w:val="left"/>
      <w:pPr>
        <w:tabs>
          <w:tab w:val="num" w:pos="2880"/>
        </w:tabs>
        <w:ind w:left="2880" w:hanging="360"/>
      </w:pPr>
      <w:rPr>
        <w:rFonts w:ascii="Arial" w:hAnsi="Arial" w:hint="default"/>
      </w:rPr>
    </w:lvl>
    <w:lvl w:ilvl="4" w:tplc="773475C0" w:tentative="1">
      <w:start w:val="1"/>
      <w:numFmt w:val="bullet"/>
      <w:lvlText w:val="•"/>
      <w:lvlJc w:val="left"/>
      <w:pPr>
        <w:tabs>
          <w:tab w:val="num" w:pos="3600"/>
        </w:tabs>
        <w:ind w:left="3600" w:hanging="360"/>
      </w:pPr>
      <w:rPr>
        <w:rFonts w:ascii="Arial" w:hAnsi="Arial" w:hint="default"/>
      </w:rPr>
    </w:lvl>
    <w:lvl w:ilvl="5" w:tplc="E4AA0012" w:tentative="1">
      <w:start w:val="1"/>
      <w:numFmt w:val="bullet"/>
      <w:lvlText w:val="•"/>
      <w:lvlJc w:val="left"/>
      <w:pPr>
        <w:tabs>
          <w:tab w:val="num" w:pos="4320"/>
        </w:tabs>
        <w:ind w:left="4320" w:hanging="360"/>
      </w:pPr>
      <w:rPr>
        <w:rFonts w:ascii="Arial" w:hAnsi="Arial" w:hint="default"/>
      </w:rPr>
    </w:lvl>
    <w:lvl w:ilvl="6" w:tplc="124AF99C" w:tentative="1">
      <w:start w:val="1"/>
      <w:numFmt w:val="bullet"/>
      <w:lvlText w:val="•"/>
      <w:lvlJc w:val="left"/>
      <w:pPr>
        <w:tabs>
          <w:tab w:val="num" w:pos="5040"/>
        </w:tabs>
        <w:ind w:left="5040" w:hanging="360"/>
      </w:pPr>
      <w:rPr>
        <w:rFonts w:ascii="Arial" w:hAnsi="Arial" w:hint="default"/>
      </w:rPr>
    </w:lvl>
    <w:lvl w:ilvl="7" w:tplc="5C8CB8CC" w:tentative="1">
      <w:start w:val="1"/>
      <w:numFmt w:val="bullet"/>
      <w:lvlText w:val="•"/>
      <w:lvlJc w:val="left"/>
      <w:pPr>
        <w:tabs>
          <w:tab w:val="num" w:pos="5760"/>
        </w:tabs>
        <w:ind w:left="5760" w:hanging="360"/>
      </w:pPr>
      <w:rPr>
        <w:rFonts w:ascii="Arial" w:hAnsi="Arial" w:hint="default"/>
      </w:rPr>
    </w:lvl>
    <w:lvl w:ilvl="8" w:tplc="F7AE97E6" w:tentative="1">
      <w:start w:val="1"/>
      <w:numFmt w:val="bullet"/>
      <w:lvlText w:val="•"/>
      <w:lvlJc w:val="left"/>
      <w:pPr>
        <w:tabs>
          <w:tab w:val="num" w:pos="6480"/>
        </w:tabs>
        <w:ind w:left="6480" w:hanging="360"/>
      </w:pPr>
      <w:rPr>
        <w:rFonts w:ascii="Arial" w:hAnsi="Arial" w:hint="default"/>
      </w:rPr>
    </w:lvl>
  </w:abstractNum>
  <w:num w:numId="1" w16cid:durableId="348873566">
    <w:abstractNumId w:val="0"/>
  </w:num>
  <w:num w:numId="2" w16cid:durableId="1122991604">
    <w:abstractNumId w:val="3"/>
  </w:num>
  <w:num w:numId="3" w16cid:durableId="1013461997">
    <w:abstractNumId w:val="2"/>
  </w:num>
  <w:num w:numId="4" w16cid:durableId="317927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AC"/>
    <w:rsid w:val="00000156"/>
    <w:rsid w:val="0001435E"/>
    <w:rsid w:val="00024287"/>
    <w:rsid w:val="000631B0"/>
    <w:rsid w:val="000F2A7E"/>
    <w:rsid w:val="0010611A"/>
    <w:rsid w:val="001104D4"/>
    <w:rsid w:val="00114B32"/>
    <w:rsid w:val="00120B8B"/>
    <w:rsid w:val="00143CB8"/>
    <w:rsid w:val="0016162E"/>
    <w:rsid w:val="00173387"/>
    <w:rsid w:val="0018731B"/>
    <w:rsid w:val="001A0610"/>
    <w:rsid w:val="001A111E"/>
    <w:rsid w:val="001A4145"/>
    <w:rsid w:val="001B683C"/>
    <w:rsid w:val="001D4BFD"/>
    <w:rsid w:val="001D7844"/>
    <w:rsid w:val="00210ECD"/>
    <w:rsid w:val="00247B9C"/>
    <w:rsid w:val="002665EA"/>
    <w:rsid w:val="00272D41"/>
    <w:rsid w:val="00295EEA"/>
    <w:rsid w:val="002A0EE7"/>
    <w:rsid w:val="002B3715"/>
    <w:rsid w:val="002C7062"/>
    <w:rsid w:val="002D2AA8"/>
    <w:rsid w:val="00325307"/>
    <w:rsid w:val="00337963"/>
    <w:rsid w:val="003443C5"/>
    <w:rsid w:val="003662DB"/>
    <w:rsid w:val="00367446"/>
    <w:rsid w:val="00372EDD"/>
    <w:rsid w:val="003810DF"/>
    <w:rsid w:val="00384C2F"/>
    <w:rsid w:val="00384FC5"/>
    <w:rsid w:val="003852F6"/>
    <w:rsid w:val="003E4460"/>
    <w:rsid w:val="003E45EC"/>
    <w:rsid w:val="003F0556"/>
    <w:rsid w:val="003F1767"/>
    <w:rsid w:val="00411E85"/>
    <w:rsid w:val="004200D8"/>
    <w:rsid w:val="00433000"/>
    <w:rsid w:val="00433E5B"/>
    <w:rsid w:val="00452FB2"/>
    <w:rsid w:val="00454176"/>
    <w:rsid w:val="0047300B"/>
    <w:rsid w:val="00475DCF"/>
    <w:rsid w:val="00481234"/>
    <w:rsid w:val="004849AC"/>
    <w:rsid w:val="004926E5"/>
    <w:rsid w:val="00492B59"/>
    <w:rsid w:val="004A18B7"/>
    <w:rsid w:val="004A5D68"/>
    <w:rsid w:val="00514EBE"/>
    <w:rsid w:val="00563E7B"/>
    <w:rsid w:val="005665F8"/>
    <w:rsid w:val="00593D61"/>
    <w:rsid w:val="005A30DC"/>
    <w:rsid w:val="005A4548"/>
    <w:rsid w:val="005B5BFA"/>
    <w:rsid w:val="005C3455"/>
    <w:rsid w:val="005D59F2"/>
    <w:rsid w:val="005E05B8"/>
    <w:rsid w:val="005F5600"/>
    <w:rsid w:val="00605ED8"/>
    <w:rsid w:val="006147E4"/>
    <w:rsid w:val="00661836"/>
    <w:rsid w:val="00680249"/>
    <w:rsid w:val="006806DF"/>
    <w:rsid w:val="0069217B"/>
    <w:rsid w:val="006A2735"/>
    <w:rsid w:val="006C4077"/>
    <w:rsid w:val="006D6E57"/>
    <w:rsid w:val="006E4764"/>
    <w:rsid w:val="0070539D"/>
    <w:rsid w:val="00706DAD"/>
    <w:rsid w:val="00717F57"/>
    <w:rsid w:val="00720EDB"/>
    <w:rsid w:val="00726290"/>
    <w:rsid w:val="007448C5"/>
    <w:rsid w:val="007453C9"/>
    <w:rsid w:val="00755AD7"/>
    <w:rsid w:val="00773130"/>
    <w:rsid w:val="007863C7"/>
    <w:rsid w:val="007A7248"/>
    <w:rsid w:val="007A72A6"/>
    <w:rsid w:val="007B58A6"/>
    <w:rsid w:val="007C3E81"/>
    <w:rsid w:val="007E6957"/>
    <w:rsid w:val="007F3039"/>
    <w:rsid w:val="00821FA8"/>
    <w:rsid w:val="00840181"/>
    <w:rsid w:val="008503B0"/>
    <w:rsid w:val="00862898"/>
    <w:rsid w:val="0087083C"/>
    <w:rsid w:val="008948E6"/>
    <w:rsid w:val="008B1FDE"/>
    <w:rsid w:val="008D731F"/>
    <w:rsid w:val="00905A5E"/>
    <w:rsid w:val="00914DF8"/>
    <w:rsid w:val="0092297C"/>
    <w:rsid w:val="00941589"/>
    <w:rsid w:val="00947A13"/>
    <w:rsid w:val="00954E5B"/>
    <w:rsid w:val="0099132F"/>
    <w:rsid w:val="00993B27"/>
    <w:rsid w:val="009A3A4D"/>
    <w:rsid w:val="009C7550"/>
    <w:rsid w:val="009C77CD"/>
    <w:rsid w:val="009D3A5E"/>
    <w:rsid w:val="00A00EE2"/>
    <w:rsid w:val="00A0530B"/>
    <w:rsid w:val="00A1108E"/>
    <w:rsid w:val="00A12516"/>
    <w:rsid w:val="00A14A42"/>
    <w:rsid w:val="00A270E9"/>
    <w:rsid w:val="00A82668"/>
    <w:rsid w:val="00A83E04"/>
    <w:rsid w:val="00A95970"/>
    <w:rsid w:val="00A95E21"/>
    <w:rsid w:val="00AB0A3E"/>
    <w:rsid w:val="00AB36C8"/>
    <w:rsid w:val="00B01E5D"/>
    <w:rsid w:val="00B10413"/>
    <w:rsid w:val="00B221FF"/>
    <w:rsid w:val="00B227D2"/>
    <w:rsid w:val="00B37473"/>
    <w:rsid w:val="00B47C52"/>
    <w:rsid w:val="00B5637D"/>
    <w:rsid w:val="00B714FC"/>
    <w:rsid w:val="00BA2EEC"/>
    <w:rsid w:val="00BA3C56"/>
    <w:rsid w:val="00BB1765"/>
    <w:rsid w:val="00BB2968"/>
    <w:rsid w:val="00BB365E"/>
    <w:rsid w:val="00BC4FDE"/>
    <w:rsid w:val="00BC64CB"/>
    <w:rsid w:val="00BE2313"/>
    <w:rsid w:val="00C1302B"/>
    <w:rsid w:val="00C45337"/>
    <w:rsid w:val="00C50C59"/>
    <w:rsid w:val="00C64FD4"/>
    <w:rsid w:val="00C66B1B"/>
    <w:rsid w:val="00C753A3"/>
    <w:rsid w:val="00C8104A"/>
    <w:rsid w:val="00C87E8B"/>
    <w:rsid w:val="00CA4B89"/>
    <w:rsid w:val="00CC19E2"/>
    <w:rsid w:val="00CF0CE3"/>
    <w:rsid w:val="00D061FF"/>
    <w:rsid w:val="00D06EBE"/>
    <w:rsid w:val="00D11D93"/>
    <w:rsid w:val="00D2362D"/>
    <w:rsid w:val="00D3255A"/>
    <w:rsid w:val="00D377B6"/>
    <w:rsid w:val="00D5052D"/>
    <w:rsid w:val="00D760D3"/>
    <w:rsid w:val="00D81D97"/>
    <w:rsid w:val="00DE1285"/>
    <w:rsid w:val="00E07ABD"/>
    <w:rsid w:val="00E150E7"/>
    <w:rsid w:val="00E172A4"/>
    <w:rsid w:val="00E2733E"/>
    <w:rsid w:val="00E46248"/>
    <w:rsid w:val="00E55624"/>
    <w:rsid w:val="00E61012"/>
    <w:rsid w:val="00E7337F"/>
    <w:rsid w:val="00E83783"/>
    <w:rsid w:val="00EE12C8"/>
    <w:rsid w:val="00EF353D"/>
    <w:rsid w:val="00EF4AD4"/>
    <w:rsid w:val="00EF4BF8"/>
    <w:rsid w:val="00EF75A6"/>
    <w:rsid w:val="00F114DB"/>
    <w:rsid w:val="00F1150B"/>
    <w:rsid w:val="00F13627"/>
    <w:rsid w:val="00F15743"/>
    <w:rsid w:val="00F22B7D"/>
    <w:rsid w:val="00F45753"/>
    <w:rsid w:val="00F522FB"/>
    <w:rsid w:val="00F5272E"/>
    <w:rsid w:val="00F723E9"/>
    <w:rsid w:val="00F93C3D"/>
    <w:rsid w:val="00FC09A9"/>
    <w:rsid w:val="00FC412A"/>
    <w:rsid w:val="00FC5164"/>
    <w:rsid w:val="00FE226A"/>
    <w:rsid w:val="00FE3788"/>
    <w:rsid w:val="00FF1F02"/>
    <w:rsid w:val="0241D09D"/>
    <w:rsid w:val="0BF8C60E"/>
    <w:rsid w:val="0D45E238"/>
    <w:rsid w:val="1537E997"/>
    <w:rsid w:val="1571893B"/>
    <w:rsid w:val="1B0DA0B8"/>
    <w:rsid w:val="1BC8B774"/>
    <w:rsid w:val="26CF2D6E"/>
    <w:rsid w:val="3655CCF3"/>
    <w:rsid w:val="3AAE99A8"/>
    <w:rsid w:val="3AE6B61D"/>
    <w:rsid w:val="42844AF5"/>
    <w:rsid w:val="5492335D"/>
    <w:rsid w:val="55764DEE"/>
    <w:rsid w:val="57B0ABC2"/>
    <w:rsid w:val="5EC82D85"/>
    <w:rsid w:val="67A81D45"/>
    <w:rsid w:val="6DD0F520"/>
    <w:rsid w:val="6DF49C78"/>
    <w:rsid w:val="7AB49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AB6"/>
  <w15:chartTrackingRefBased/>
  <w15:docId w15:val="{44364EE5-D4E7-4013-B3E8-BE6C9975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290"/>
  </w:style>
  <w:style w:type="paragraph" w:styleId="Heading1">
    <w:name w:val="heading 1"/>
    <w:basedOn w:val="Normal"/>
    <w:next w:val="Normal"/>
    <w:link w:val="Heading1Char"/>
    <w:uiPriority w:val="9"/>
    <w:qFormat/>
    <w:rsid w:val="00FC412A"/>
    <w:pPr>
      <w:outlineLvl w:val="0"/>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731B"/>
    <w:rPr>
      <w:sz w:val="20"/>
      <w:szCs w:val="20"/>
    </w:rPr>
  </w:style>
  <w:style w:type="character" w:customStyle="1" w:styleId="FootnoteTextChar">
    <w:name w:val="Footnote Text Char"/>
    <w:basedOn w:val="DefaultParagraphFont"/>
    <w:link w:val="FootnoteText"/>
    <w:uiPriority w:val="99"/>
    <w:semiHidden/>
    <w:rsid w:val="0018731B"/>
    <w:rPr>
      <w:sz w:val="20"/>
      <w:szCs w:val="20"/>
    </w:rPr>
  </w:style>
  <w:style w:type="character" w:styleId="FootnoteReference">
    <w:name w:val="footnote reference"/>
    <w:basedOn w:val="DefaultParagraphFont"/>
    <w:uiPriority w:val="99"/>
    <w:semiHidden/>
    <w:unhideWhenUsed/>
    <w:rsid w:val="0018731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C4077"/>
    <w:rPr>
      <w:b/>
      <w:bCs/>
    </w:rPr>
  </w:style>
  <w:style w:type="character" w:customStyle="1" w:styleId="CommentSubjectChar">
    <w:name w:val="Comment Subject Char"/>
    <w:basedOn w:val="CommentTextChar"/>
    <w:link w:val="CommentSubject"/>
    <w:uiPriority w:val="99"/>
    <w:semiHidden/>
    <w:rsid w:val="006C4077"/>
    <w:rPr>
      <w:b/>
      <w:bCs/>
      <w:sz w:val="20"/>
      <w:szCs w:val="20"/>
    </w:rPr>
  </w:style>
  <w:style w:type="table" w:styleId="TableGrid">
    <w:name w:val="Table Grid"/>
    <w:basedOn w:val="TableNormal"/>
    <w:uiPriority w:val="39"/>
    <w:rsid w:val="00266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D5052D"/>
    <w:rPr>
      <w:color w:val="2B579A"/>
      <w:shd w:val="clear" w:color="auto" w:fill="E1DFDD"/>
    </w:rPr>
  </w:style>
  <w:style w:type="paragraph" w:styleId="Revision">
    <w:name w:val="Revision"/>
    <w:hidden/>
    <w:uiPriority w:val="99"/>
    <w:semiHidden/>
    <w:rsid w:val="00114B32"/>
  </w:style>
  <w:style w:type="paragraph" w:styleId="Title">
    <w:name w:val="Title"/>
    <w:basedOn w:val="Normal"/>
    <w:next w:val="Normal"/>
    <w:link w:val="TitleChar"/>
    <w:uiPriority w:val="10"/>
    <w:qFormat/>
    <w:rsid w:val="00FC412A"/>
    <w:rPr>
      <w:rFonts w:ascii="Arial" w:hAnsi="Arial" w:cs="Arial"/>
      <w:b/>
      <w:bCs/>
      <w:i/>
      <w:sz w:val="20"/>
    </w:rPr>
  </w:style>
  <w:style w:type="character" w:customStyle="1" w:styleId="TitleChar">
    <w:name w:val="Title Char"/>
    <w:basedOn w:val="DefaultParagraphFont"/>
    <w:link w:val="Title"/>
    <w:uiPriority w:val="10"/>
    <w:rsid w:val="00FC412A"/>
    <w:rPr>
      <w:rFonts w:ascii="Arial" w:hAnsi="Arial" w:cs="Arial"/>
      <w:b/>
      <w:bCs/>
      <w:i/>
      <w:sz w:val="20"/>
    </w:rPr>
  </w:style>
  <w:style w:type="paragraph" w:styleId="Subtitle">
    <w:name w:val="Subtitle"/>
    <w:basedOn w:val="Normal"/>
    <w:next w:val="Normal"/>
    <w:link w:val="SubtitleChar"/>
    <w:uiPriority w:val="11"/>
    <w:qFormat/>
    <w:rsid w:val="00FC412A"/>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FC412A"/>
    <w:rPr>
      <w:rFonts w:ascii="Arial" w:hAnsi="Arial" w:cs="Arial"/>
      <w:b/>
      <w:bCs/>
      <w:sz w:val="20"/>
      <w:szCs w:val="20"/>
    </w:rPr>
  </w:style>
  <w:style w:type="character" w:customStyle="1" w:styleId="Heading1Char">
    <w:name w:val="Heading 1 Char"/>
    <w:basedOn w:val="DefaultParagraphFont"/>
    <w:link w:val="Heading1"/>
    <w:uiPriority w:val="9"/>
    <w:rsid w:val="00FC412A"/>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764">
      <w:bodyDiv w:val="1"/>
      <w:marLeft w:val="0"/>
      <w:marRight w:val="0"/>
      <w:marTop w:val="0"/>
      <w:marBottom w:val="0"/>
      <w:divBdr>
        <w:top w:val="none" w:sz="0" w:space="0" w:color="auto"/>
        <w:left w:val="none" w:sz="0" w:space="0" w:color="auto"/>
        <w:bottom w:val="none" w:sz="0" w:space="0" w:color="auto"/>
        <w:right w:val="none" w:sz="0" w:space="0" w:color="auto"/>
      </w:divBdr>
    </w:div>
    <w:div w:id="29496037">
      <w:bodyDiv w:val="1"/>
      <w:marLeft w:val="0"/>
      <w:marRight w:val="0"/>
      <w:marTop w:val="0"/>
      <w:marBottom w:val="0"/>
      <w:divBdr>
        <w:top w:val="none" w:sz="0" w:space="0" w:color="auto"/>
        <w:left w:val="none" w:sz="0" w:space="0" w:color="auto"/>
        <w:bottom w:val="none" w:sz="0" w:space="0" w:color="auto"/>
        <w:right w:val="none" w:sz="0" w:space="0" w:color="auto"/>
      </w:divBdr>
    </w:div>
    <w:div w:id="90708017">
      <w:bodyDiv w:val="1"/>
      <w:marLeft w:val="0"/>
      <w:marRight w:val="0"/>
      <w:marTop w:val="0"/>
      <w:marBottom w:val="0"/>
      <w:divBdr>
        <w:top w:val="none" w:sz="0" w:space="0" w:color="auto"/>
        <w:left w:val="none" w:sz="0" w:space="0" w:color="auto"/>
        <w:bottom w:val="none" w:sz="0" w:space="0" w:color="auto"/>
        <w:right w:val="none" w:sz="0" w:space="0" w:color="auto"/>
      </w:divBdr>
    </w:div>
    <w:div w:id="226888632">
      <w:bodyDiv w:val="1"/>
      <w:marLeft w:val="0"/>
      <w:marRight w:val="0"/>
      <w:marTop w:val="0"/>
      <w:marBottom w:val="0"/>
      <w:divBdr>
        <w:top w:val="none" w:sz="0" w:space="0" w:color="auto"/>
        <w:left w:val="none" w:sz="0" w:space="0" w:color="auto"/>
        <w:bottom w:val="none" w:sz="0" w:space="0" w:color="auto"/>
        <w:right w:val="none" w:sz="0" w:space="0" w:color="auto"/>
      </w:divBdr>
    </w:div>
    <w:div w:id="397214636">
      <w:bodyDiv w:val="1"/>
      <w:marLeft w:val="0"/>
      <w:marRight w:val="0"/>
      <w:marTop w:val="0"/>
      <w:marBottom w:val="0"/>
      <w:divBdr>
        <w:top w:val="none" w:sz="0" w:space="0" w:color="auto"/>
        <w:left w:val="none" w:sz="0" w:space="0" w:color="auto"/>
        <w:bottom w:val="none" w:sz="0" w:space="0" w:color="auto"/>
        <w:right w:val="none" w:sz="0" w:space="0" w:color="auto"/>
      </w:divBdr>
    </w:div>
    <w:div w:id="487482546">
      <w:bodyDiv w:val="1"/>
      <w:marLeft w:val="0"/>
      <w:marRight w:val="0"/>
      <w:marTop w:val="0"/>
      <w:marBottom w:val="0"/>
      <w:divBdr>
        <w:top w:val="none" w:sz="0" w:space="0" w:color="auto"/>
        <w:left w:val="none" w:sz="0" w:space="0" w:color="auto"/>
        <w:bottom w:val="none" w:sz="0" w:space="0" w:color="auto"/>
        <w:right w:val="none" w:sz="0" w:space="0" w:color="auto"/>
      </w:divBdr>
    </w:div>
    <w:div w:id="570584811">
      <w:bodyDiv w:val="1"/>
      <w:marLeft w:val="0"/>
      <w:marRight w:val="0"/>
      <w:marTop w:val="0"/>
      <w:marBottom w:val="0"/>
      <w:divBdr>
        <w:top w:val="none" w:sz="0" w:space="0" w:color="auto"/>
        <w:left w:val="none" w:sz="0" w:space="0" w:color="auto"/>
        <w:bottom w:val="none" w:sz="0" w:space="0" w:color="auto"/>
        <w:right w:val="none" w:sz="0" w:space="0" w:color="auto"/>
      </w:divBdr>
    </w:div>
    <w:div w:id="683091494">
      <w:bodyDiv w:val="1"/>
      <w:marLeft w:val="0"/>
      <w:marRight w:val="0"/>
      <w:marTop w:val="0"/>
      <w:marBottom w:val="0"/>
      <w:divBdr>
        <w:top w:val="none" w:sz="0" w:space="0" w:color="auto"/>
        <w:left w:val="none" w:sz="0" w:space="0" w:color="auto"/>
        <w:bottom w:val="none" w:sz="0" w:space="0" w:color="auto"/>
        <w:right w:val="none" w:sz="0" w:space="0" w:color="auto"/>
      </w:divBdr>
    </w:div>
    <w:div w:id="843592827">
      <w:bodyDiv w:val="1"/>
      <w:marLeft w:val="0"/>
      <w:marRight w:val="0"/>
      <w:marTop w:val="0"/>
      <w:marBottom w:val="0"/>
      <w:divBdr>
        <w:top w:val="none" w:sz="0" w:space="0" w:color="auto"/>
        <w:left w:val="none" w:sz="0" w:space="0" w:color="auto"/>
        <w:bottom w:val="none" w:sz="0" w:space="0" w:color="auto"/>
        <w:right w:val="none" w:sz="0" w:space="0" w:color="auto"/>
      </w:divBdr>
    </w:div>
    <w:div w:id="940838059">
      <w:bodyDiv w:val="1"/>
      <w:marLeft w:val="0"/>
      <w:marRight w:val="0"/>
      <w:marTop w:val="0"/>
      <w:marBottom w:val="0"/>
      <w:divBdr>
        <w:top w:val="none" w:sz="0" w:space="0" w:color="auto"/>
        <w:left w:val="none" w:sz="0" w:space="0" w:color="auto"/>
        <w:bottom w:val="none" w:sz="0" w:space="0" w:color="auto"/>
        <w:right w:val="none" w:sz="0" w:space="0" w:color="auto"/>
      </w:divBdr>
    </w:div>
    <w:div w:id="1009411954">
      <w:bodyDiv w:val="1"/>
      <w:marLeft w:val="0"/>
      <w:marRight w:val="0"/>
      <w:marTop w:val="0"/>
      <w:marBottom w:val="0"/>
      <w:divBdr>
        <w:top w:val="none" w:sz="0" w:space="0" w:color="auto"/>
        <w:left w:val="none" w:sz="0" w:space="0" w:color="auto"/>
        <w:bottom w:val="none" w:sz="0" w:space="0" w:color="auto"/>
        <w:right w:val="none" w:sz="0" w:space="0" w:color="auto"/>
      </w:divBdr>
    </w:div>
    <w:div w:id="113606876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69">
          <w:marLeft w:val="274"/>
          <w:marRight w:val="0"/>
          <w:marTop w:val="0"/>
          <w:marBottom w:val="120"/>
          <w:divBdr>
            <w:top w:val="none" w:sz="0" w:space="0" w:color="auto"/>
            <w:left w:val="none" w:sz="0" w:space="0" w:color="auto"/>
            <w:bottom w:val="none" w:sz="0" w:space="0" w:color="auto"/>
            <w:right w:val="none" w:sz="0" w:space="0" w:color="auto"/>
          </w:divBdr>
        </w:div>
        <w:div w:id="1428380211">
          <w:marLeft w:val="274"/>
          <w:marRight w:val="0"/>
          <w:marTop w:val="0"/>
          <w:marBottom w:val="120"/>
          <w:divBdr>
            <w:top w:val="none" w:sz="0" w:space="0" w:color="auto"/>
            <w:left w:val="none" w:sz="0" w:space="0" w:color="auto"/>
            <w:bottom w:val="none" w:sz="0" w:space="0" w:color="auto"/>
            <w:right w:val="none" w:sz="0" w:space="0" w:color="auto"/>
          </w:divBdr>
        </w:div>
        <w:div w:id="461273552">
          <w:marLeft w:val="274"/>
          <w:marRight w:val="0"/>
          <w:marTop w:val="0"/>
          <w:marBottom w:val="120"/>
          <w:divBdr>
            <w:top w:val="none" w:sz="0" w:space="0" w:color="auto"/>
            <w:left w:val="none" w:sz="0" w:space="0" w:color="auto"/>
            <w:bottom w:val="none" w:sz="0" w:space="0" w:color="auto"/>
            <w:right w:val="none" w:sz="0" w:space="0" w:color="auto"/>
          </w:divBdr>
        </w:div>
        <w:div w:id="193731036">
          <w:marLeft w:val="274"/>
          <w:marRight w:val="0"/>
          <w:marTop w:val="0"/>
          <w:marBottom w:val="120"/>
          <w:divBdr>
            <w:top w:val="none" w:sz="0" w:space="0" w:color="auto"/>
            <w:left w:val="none" w:sz="0" w:space="0" w:color="auto"/>
            <w:bottom w:val="none" w:sz="0" w:space="0" w:color="auto"/>
            <w:right w:val="none" w:sz="0" w:space="0" w:color="auto"/>
          </w:divBdr>
        </w:div>
        <w:div w:id="169299525">
          <w:marLeft w:val="274"/>
          <w:marRight w:val="0"/>
          <w:marTop w:val="0"/>
          <w:marBottom w:val="120"/>
          <w:divBdr>
            <w:top w:val="none" w:sz="0" w:space="0" w:color="auto"/>
            <w:left w:val="none" w:sz="0" w:space="0" w:color="auto"/>
            <w:bottom w:val="none" w:sz="0" w:space="0" w:color="auto"/>
            <w:right w:val="none" w:sz="0" w:space="0" w:color="auto"/>
          </w:divBdr>
        </w:div>
      </w:divsChild>
    </w:div>
    <w:div w:id="1545021598">
      <w:bodyDiv w:val="1"/>
      <w:marLeft w:val="0"/>
      <w:marRight w:val="0"/>
      <w:marTop w:val="0"/>
      <w:marBottom w:val="0"/>
      <w:divBdr>
        <w:top w:val="none" w:sz="0" w:space="0" w:color="auto"/>
        <w:left w:val="none" w:sz="0" w:space="0" w:color="auto"/>
        <w:bottom w:val="none" w:sz="0" w:space="0" w:color="auto"/>
        <w:right w:val="none" w:sz="0" w:space="0" w:color="auto"/>
      </w:divBdr>
    </w:div>
    <w:div w:id="1637417063">
      <w:bodyDiv w:val="1"/>
      <w:marLeft w:val="0"/>
      <w:marRight w:val="0"/>
      <w:marTop w:val="0"/>
      <w:marBottom w:val="0"/>
      <w:divBdr>
        <w:top w:val="none" w:sz="0" w:space="0" w:color="auto"/>
        <w:left w:val="none" w:sz="0" w:space="0" w:color="auto"/>
        <w:bottom w:val="none" w:sz="0" w:space="0" w:color="auto"/>
        <w:right w:val="none" w:sz="0" w:space="0" w:color="auto"/>
      </w:divBdr>
      <w:divsChild>
        <w:div w:id="862474168">
          <w:marLeft w:val="274"/>
          <w:marRight w:val="0"/>
          <w:marTop w:val="0"/>
          <w:marBottom w:val="120"/>
          <w:divBdr>
            <w:top w:val="none" w:sz="0" w:space="0" w:color="auto"/>
            <w:left w:val="none" w:sz="0" w:space="0" w:color="auto"/>
            <w:bottom w:val="none" w:sz="0" w:space="0" w:color="auto"/>
            <w:right w:val="none" w:sz="0" w:space="0" w:color="auto"/>
          </w:divBdr>
        </w:div>
        <w:div w:id="1276208515">
          <w:marLeft w:val="274"/>
          <w:marRight w:val="0"/>
          <w:marTop w:val="0"/>
          <w:marBottom w:val="120"/>
          <w:divBdr>
            <w:top w:val="none" w:sz="0" w:space="0" w:color="auto"/>
            <w:left w:val="none" w:sz="0" w:space="0" w:color="auto"/>
            <w:bottom w:val="none" w:sz="0" w:space="0" w:color="auto"/>
            <w:right w:val="none" w:sz="0" w:space="0" w:color="auto"/>
          </w:divBdr>
        </w:div>
        <w:div w:id="364796045">
          <w:marLeft w:val="274"/>
          <w:marRight w:val="0"/>
          <w:marTop w:val="0"/>
          <w:marBottom w:val="120"/>
          <w:divBdr>
            <w:top w:val="none" w:sz="0" w:space="0" w:color="auto"/>
            <w:left w:val="none" w:sz="0" w:space="0" w:color="auto"/>
            <w:bottom w:val="none" w:sz="0" w:space="0" w:color="auto"/>
            <w:right w:val="none" w:sz="0" w:space="0" w:color="auto"/>
          </w:divBdr>
        </w:div>
        <w:div w:id="739712639">
          <w:marLeft w:val="274"/>
          <w:marRight w:val="0"/>
          <w:marTop w:val="0"/>
          <w:marBottom w:val="120"/>
          <w:divBdr>
            <w:top w:val="none" w:sz="0" w:space="0" w:color="auto"/>
            <w:left w:val="none" w:sz="0" w:space="0" w:color="auto"/>
            <w:bottom w:val="none" w:sz="0" w:space="0" w:color="auto"/>
            <w:right w:val="none" w:sz="0" w:space="0" w:color="auto"/>
          </w:divBdr>
        </w:div>
        <w:div w:id="865365105">
          <w:marLeft w:val="274"/>
          <w:marRight w:val="0"/>
          <w:marTop w:val="0"/>
          <w:marBottom w:val="0"/>
          <w:divBdr>
            <w:top w:val="none" w:sz="0" w:space="0" w:color="auto"/>
            <w:left w:val="none" w:sz="0" w:space="0" w:color="auto"/>
            <w:bottom w:val="none" w:sz="0" w:space="0" w:color="auto"/>
            <w:right w:val="none" w:sz="0" w:space="0" w:color="auto"/>
          </w:divBdr>
        </w:div>
      </w:divsChild>
    </w:div>
    <w:div w:id="1696150329">
      <w:bodyDiv w:val="1"/>
      <w:marLeft w:val="0"/>
      <w:marRight w:val="0"/>
      <w:marTop w:val="0"/>
      <w:marBottom w:val="0"/>
      <w:divBdr>
        <w:top w:val="none" w:sz="0" w:space="0" w:color="auto"/>
        <w:left w:val="none" w:sz="0" w:space="0" w:color="auto"/>
        <w:bottom w:val="none" w:sz="0" w:space="0" w:color="auto"/>
        <w:right w:val="none" w:sz="0" w:space="0" w:color="auto"/>
      </w:divBdr>
    </w:div>
    <w:div w:id="1764374913">
      <w:bodyDiv w:val="1"/>
      <w:marLeft w:val="0"/>
      <w:marRight w:val="0"/>
      <w:marTop w:val="0"/>
      <w:marBottom w:val="0"/>
      <w:divBdr>
        <w:top w:val="none" w:sz="0" w:space="0" w:color="auto"/>
        <w:left w:val="none" w:sz="0" w:space="0" w:color="auto"/>
        <w:bottom w:val="none" w:sz="0" w:space="0" w:color="auto"/>
        <w:right w:val="none" w:sz="0" w:space="0" w:color="auto"/>
      </w:divBdr>
      <w:divsChild>
        <w:div w:id="981419856">
          <w:marLeft w:val="274"/>
          <w:marRight w:val="0"/>
          <w:marTop w:val="0"/>
          <w:marBottom w:val="120"/>
          <w:divBdr>
            <w:top w:val="none" w:sz="0" w:space="0" w:color="auto"/>
            <w:left w:val="none" w:sz="0" w:space="0" w:color="auto"/>
            <w:bottom w:val="none" w:sz="0" w:space="0" w:color="auto"/>
            <w:right w:val="none" w:sz="0" w:space="0" w:color="auto"/>
          </w:divBdr>
        </w:div>
        <w:div w:id="366296693">
          <w:marLeft w:val="274"/>
          <w:marRight w:val="0"/>
          <w:marTop w:val="0"/>
          <w:marBottom w:val="120"/>
          <w:divBdr>
            <w:top w:val="none" w:sz="0" w:space="0" w:color="auto"/>
            <w:left w:val="none" w:sz="0" w:space="0" w:color="auto"/>
            <w:bottom w:val="none" w:sz="0" w:space="0" w:color="auto"/>
            <w:right w:val="none" w:sz="0" w:space="0" w:color="auto"/>
          </w:divBdr>
        </w:div>
        <w:div w:id="365255492">
          <w:marLeft w:val="274"/>
          <w:marRight w:val="0"/>
          <w:marTop w:val="0"/>
          <w:marBottom w:val="120"/>
          <w:divBdr>
            <w:top w:val="none" w:sz="0" w:space="0" w:color="auto"/>
            <w:left w:val="none" w:sz="0" w:space="0" w:color="auto"/>
            <w:bottom w:val="none" w:sz="0" w:space="0" w:color="auto"/>
            <w:right w:val="none" w:sz="0" w:space="0" w:color="auto"/>
          </w:divBdr>
        </w:div>
      </w:divsChild>
    </w:div>
    <w:div w:id="1802726030">
      <w:bodyDiv w:val="1"/>
      <w:marLeft w:val="0"/>
      <w:marRight w:val="0"/>
      <w:marTop w:val="0"/>
      <w:marBottom w:val="0"/>
      <w:divBdr>
        <w:top w:val="none" w:sz="0" w:space="0" w:color="auto"/>
        <w:left w:val="none" w:sz="0" w:space="0" w:color="auto"/>
        <w:bottom w:val="none" w:sz="0" w:space="0" w:color="auto"/>
        <w:right w:val="none" w:sz="0" w:space="0" w:color="auto"/>
      </w:divBdr>
    </w:div>
    <w:div w:id="1965959814">
      <w:bodyDiv w:val="1"/>
      <w:marLeft w:val="0"/>
      <w:marRight w:val="0"/>
      <w:marTop w:val="0"/>
      <w:marBottom w:val="0"/>
      <w:divBdr>
        <w:top w:val="none" w:sz="0" w:space="0" w:color="auto"/>
        <w:left w:val="none" w:sz="0" w:space="0" w:color="auto"/>
        <w:bottom w:val="none" w:sz="0" w:space="0" w:color="auto"/>
        <w:right w:val="none" w:sz="0" w:space="0" w:color="auto"/>
      </w:divBdr>
    </w:div>
    <w:div w:id="2100758566">
      <w:bodyDiv w:val="1"/>
      <w:marLeft w:val="0"/>
      <w:marRight w:val="0"/>
      <w:marTop w:val="0"/>
      <w:marBottom w:val="0"/>
      <w:divBdr>
        <w:top w:val="none" w:sz="0" w:space="0" w:color="auto"/>
        <w:left w:val="none" w:sz="0" w:space="0" w:color="auto"/>
        <w:bottom w:val="none" w:sz="0" w:space="0" w:color="auto"/>
        <w:right w:val="none" w:sz="0" w:space="0" w:color="auto"/>
      </w:divBdr>
      <w:divsChild>
        <w:div w:id="597517889">
          <w:marLeft w:val="274"/>
          <w:marRight w:val="0"/>
          <w:marTop w:val="0"/>
          <w:marBottom w:val="120"/>
          <w:divBdr>
            <w:top w:val="none" w:sz="0" w:space="0" w:color="auto"/>
            <w:left w:val="none" w:sz="0" w:space="0" w:color="auto"/>
            <w:bottom w:val="none" w:sz="0" w:space="0" w:color="auto"/>
            <w:right w:val="none" w:sz="0" w:space="0" w:color="auto"/>
          </w:divBdr>
        </w:div>
        <w:div w:id="1117479862">
          <w:marLeft w:val="274"/>
          <w:marRight w:val="0"/>
          <w:marTop w:val="0"/>
          <w:marBottom w:val="120"/>
          <w:divBdr>
            <w:top w:val="none" w:sz="0" w:space="0" w:color="auto"/>
            <w:left w:val="none" w:sz="0" w:space="0" w:color="auto"/>
            <w:bottom w:val="none" w:sz="0" w:space="0" w:color="auto"/>
            <w:right w:val="none" w:sz="0" w:space="0" w:color="auto"/>
          </w:divBdr>
        </w:div>
        <w:div w:id="952060016">
          <w:marLeft w:val="274"/>
          <w:marRight w:val="0"/>
          <w:marTop w:val="0"/>
          <w:marBottom w:val="120"/>
          <w:divBdr>
            <w:top w:val="none" w:sz="0" w:space="0" w:color="auto"/>
            <w:left w:val="none" w:sz="0" w:space="0" w:color="auto"/>
            <w:bottom w:val="none" w:sz="0" w:space="0" w:color="auto"/>
            <w:right w:val="none" w:sz="0" w:space="0" w:color="auto"/>
          </w:divBdr>
        </w:div>
        <w:div w:id="593588379">
          <w:marLeft w:val="274"/>
          <w:marRight w:val="0"/>
          <w:marTop w:val="0"/>
          <w:marBottom w:val="120"/>
          <w:divBdr>
            <w:top w:val="none" w:sz="0" w:space="0" w:color="auto"/>
            <w:left w:val="none" w:sz="0" w:space="0" w:color="auto"/>
            <w:bottom w:val="none" w:sz="0" w:space="0" w:color="auto"/>
            <w:right w:val="none" w:sz="0" w:space="0" w:color="auto"/>
          </w:divBdr>
        </w:div>
        <w:div w:id="12160468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32AC-8353-45A5-B7AF-7CE33CFB15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1947</Words>
  <Characters>11099</Characters>
  <Application>Microsoft Office Word</Application>
  <DocSecurity>4</DocSecurity>
  <Lines>92</Lines>
  <Paragraphs>26</Paragraphs>
  <ScaleCrop>false</ScaleCrop>
  <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 Data: Summary for Plymouth County 2024</dc:title>
  <dc:subject/>
  <dc:creator>Elder, Heather (DPH)</dc:creator>
  <cp:keywords/>
  <dc:description/>
  <cp:lastModifiedBy>Yeaple, Jennifer (DPH)</cp:lastModifiedBy>
  <cp:revision>2</cp:revision>
  <dcterms:created xsi:type="dcterms:W3CDTF">2026-05-21T14:42:00Z</dcterms:created>
  <dcterms:modified xsi:type="dcterms:W3CDTF">2026-05-21T14:42:00Z</dcterms:modified>
</cp:coreProperties>
</file>