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8A048A" w:rsidRDefault="00A95970" w:rsidP="008A048A">
      <w:pPr>
        <w:pStyle w:val="Title"/>
      </w:pPr>
      <w:r w:rsidRPr="008A048A">
        <w:t>Massachusetts Department of Public Health, Bureau of Infectious Disease and Laboratory Sciences</w:t>
      </w:r>
    </w:p>
    <w:p w14:paraId="233039C6" w14:textId="514CE149" w:rsidR="004849AC" w:rsidRPr="008A048A" w:rsidRDefault="00A95970" w:rsidP="008A048A">
      <w:pPr>
        <w:pStyle w:val="Subtitle"/>
      </w:pPr>
      <w:r w:rsidRPr="008A048A">
        <w:t xml:space="preserve">Summary for </w:t>
      </w:r>
      <w:r w:rsidR="009F60FB" w:rsidRPr="008A048A">
        <w:t>Suffolk</w:t>
      </w:r>
      <w:r w:rsidR="00C45337" w:rsidRPr="008A048A">
        <w:t xml:space="preserve"> County</w:t>
      </w:r>
      <w:r w:rsidR="004849AC" w:rsidRPr="008A048A">
        <w:t>, Massachusetts, 202</w:t>
      </w:r>
      <w:r w:rsidR="00CF0CE3" w:rsidRPr="008A048A">
        <w:t>4</w:t>
      </w:r>
    </w:p>
    <w:p w14:paraId="0D53D961" w14:textId="490F3302" w:rsidR="00861828" w:rsidRPr="00861828" w:rsidRDefault="00861828" w:rsidP="00861828">
      <w:pPr>
        <w:rPr>
          <w:rFonts w:ascii="Arial" w:hAnsi="Arial" w:cs="Arial"/>
          <w:sz w:val="20"/>
          <w:szCs w:val="20"/>
        </w:rPr>
      </w:pPr>
      <w:r w:rsidRPr="00861828">
        <w:rPr>
          <w:rFonts w:ascii="Arial" w:hAnsi="Arial" w:cs="Arial"/>
          <w:sz w:val="20"/>
          <w:szCs w:val="20"/>
        </w:rPr>
        <w:t>Suffolk County, located in eastern Massachusetts and encompassing Boston, Chelsea, Revere, and Winthrop, was established in 1643 and includes the state capital and surrounding urban communities. As of July 1, 2024, it has an estimated population of 793,144, down slightly from 800,937 at the 2020 Census</w:t>
      </w:r>
      <w:r w:rsidR="0038295E">
        <w:rPr>
          <w:rFonts w:ascii="Arial" w:hAnsi="Arial" w:cs="Arial"/>
          <w:sz w:val="20"/>
          <w:szCs w:val="20"/>
        </w:rPr>
        <w:t xml:space="preserve">. </w:t>
      </w:r>
      <w:r w:rsidR="001D33D8">
        <w:rPr>
          <w:rFonts w:ascii="Arial" w:hAnsi="Arial" w:cs="Arial"/>
          <w:sz w:val="20"/>
          <w:szCs w:val="20"/>
        </w:rPr>
        <w:t>As of 2024, t</w:t>
      </w:r>
      <w:r w:rsidRPr="00861828">
        <w:rPr>
          <w:rFonts w:ascii="Arial" w:hAnsi="Arial" w:cs="Arial"/>
          <w:sz w:val="20"/>
          <w:szCs w:val="20"/>
        </w:rPr>
        <w:t>he population is racially and ethnically diverse, with 61.0% identifying as White alone, 23.5% as Black or African American alone, 10.4% as Asian alone, 0.8% as American Indian and Alaska Native alone, 0.2% as Native Hawaiian and Other Pacific Islander alone, and 4.1% reporting two or more races. Hispanic or Latino residents make up about 24.1% of the population. In the county, 15.8% of residents are under 18 years old and 13.9% are 65 years and over. In comparison, Massachusetts’ population has 19.0% under 18 years old and 18.7% aged 65 and over. The county also exhibits a slightly higher proportion of females compared to males, with approximately 51.8% of the population identifying as female.</w:t>
      </w:r>
      <w:r>
        <w:rPr>
          <w:rFonts w:ascii="Arial" w:hAnsi="Arial" w:cs="Arial"/>
          <w:sz w:val="20"/>
          <w:szCs w:val="20"/>
          <w:vertAlign w:val="superscript"/>
        </w:rPr>
        <w:t>1</w:t>
      </w:r>
    </w:p>
    <w:p w14:paraId="061FE0B0" w14:textId="77777777" w:rsidR="00181ACA" w:rsidRDefault="00181ACA" w:rsidP="00773130">
      <w:pPr>
        <w:rPr>
          <w:rFonts w:ascii="Arial" w:hAnsi="Arial" w:cs="Arial"/>
          <w:sz w:val="20"/>
          <w:szCs w:val="20"/>
        </w:rPr>
      </w:pPr>
    </w:p>
    <w:p w14:paraId="6A889F4E" w14:textId="3EF60683" w:rsidR="003E4460" w:rsidRPr="008A048A" w:rsidRDefault="003E4460" w:rsidP="008A048A">
      <w:pPr>
        <w:pStyle w:val="Heading1"/>
      </w:pPr>
      <w:r w:rsidRPr="008A048A">
        <w:t>Quick Stats</w:t>
      </w:r>
    </w:p>
    <w:p w14:paraId="33976CAF" w14:textId="60EF72B1" w:rsidR="005B555F" w:rsidRPr="00861828" w:rsidRDefault="005B555F" w:rsidP="003E4460">
      <w:pPr>
        <w:rPr>
          <w:rFonts w:ascii="Arial" w:hAnsi="Arial" w:cs="Arial"/>
          <w:b/>
          <w:bCs/>
          <w:sz w:val="20"/>
          <w:szCs w:val="20"/>
          <w:u w:val="single"/>
        </w:rPr>
      </w:pPr>
      <w:r>
        <w:rPr>
          <w:noProof/>
        </w:rPr>
        <w:drawing>
          <wp:inline distT="0" distB="0" distL="0" distR="0" wp14:anchorId="3F0285F5" wp14:editId="3DC09215">
            <wp:extent cx="6858000" cy="1038860"/>
            <wp:effectExtent l="0" t="0" r="0" b="8890"/>
            <wp:docPr id="2056950330" name="Picture 1" descr="Table shows counts and rates per 100,000 of chlamydia, gonorrhea, and infectious syphilis cases in Suffolk County for 2015, 2023, and 2024, as well as counts and rates statewide and nationally for 2024. Additionally, the table includes percent change calculations for all three STIs comparing rates from 2023 to 2024 and 2015 to 2024 in Suffolk County. From 2023 to 2024, Suffolk County saw a 9.6% decrease in chlamydia rate, a 16.2% decrease in gonorrhea rate, and a 17.8% decrease in infectious syphilis rate. From 2015 to 2024, Suffolk County saw a 13.3% increase in chlamydia rate, a 97.3% increase in gonorrhea rate, and a 19.5%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38860"/>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8A048A">
      <w:pPr>
        <w:pStyle w:val="Heading1"/>
      </w:pPr>
      <w:r w:rsidRPr="00E07ABD">
        <w:t>Chlamydia</w:t>
      </w:r>
    </w:p>
    <w:p w14:paraId="1520ACBA" w14:textId="149C08B9" w:rsidR="007863C7" w:rsidRPr="001E6515" w:rsidRDefault="007863C7" w:rsidP="7BF5CAAF">
      <w:pPr>
        <w:rPr>
          <w:rFonts w:ascii="Arial" w:hAnsi="Arial" w:cs="Arial"/>
          <w:sz w:val="20"/>
          <w:szCs w:val="20"/>
          <w:vertAlign w:val="superscript"/>
        </w:rPr>
      </w:pPr>
      <w:r w:rsidRPr="7BF5CAAF">
        <w:rPr>
          <w:rFonts w:ascii="Arial" w:hAnsi="Arial" w:cs="Arial"/>
          <w:sz w:val="20"/>
          <w:szCs w:val="20"/>
        </w:rPr>
        <w:t>Chlamydia has the highest reported incidence among STIs in Massachusetts and nationally. I</w:t>
      </w:r>
      <w:r w:rsidR="007C3E81" w:rsidRPr="7BF5CAAF">
        <w:rPr>
          <w:rFonts w:ascii="Arial" w:hAnsi="Arial" w:cs="Arial"/>
          <w:sz w:val="20"/>
          <w:szCs w:val="20"/>
        </w:rPr>
        <w:t>t</w:t>
      </w:r>
      <w:r w:rsidRPr="7BF5CAAF">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2FA38AD9" w:rsidRPr="7BF5CAAF">
        <w:rPr>
          <w:rFonts w:ascii="Arial" w:hAnsi="Arial" w:cs="Arial"/>
          <w:sz w:val="20"/>
          <w:szCs w:val="20"/>
        </w:rPr>
        <w:t xml:space="preserve"> </w:t>
      </w:r>
      <w:r w:rsidR="2FA38AD9" w:rsidRPr="7BF5CAAF">
        <w:rPr>
          <w:rFonts w:ascii="Arial" w:eastAsia="Arial" w:hAnsi="Arial" w:cs="Arial"/>
          <w:sz w:val="20"/>
          <w:szCs w:val="20"/>
        </w:rPr>
        <w:t>with medication from a medical provider</w:t>
      </w:r>
      <w:r w:rsidRPr="7BF5CAAF">
        <w:rPr>
          <w:rFonts w:ascii="Arial" w:hAnsi="Arial" w:cs="Arial"/>
          <w:sz w:val="20"/>
          <w:szCs w:val="20"/>
        </w:rPr>
        <w:t>, but repeated infections are common. Women are at a greater risk of complications from repeated infections.</w:t>
      </w:r>
      <w:r w:rsidR="001E6515" w:rsidRPr="7BF5CAAF">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36DFEF97"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1E6515">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861828" w:rsidRPr="00861828">
        <w:rPr>
          <w:rFonts w:ascii="Arial" w:hAnsi="Arial" w:cs="Arial"/>
          <w:sz w:val="20"/>
          <w:szCs w:val="20"/>
        </w:rPr>
        <w:t xml:space="preserve">Suffolk County also experienced an overall increase in reported chlamydia cases, ranging from </w:t>
      </w:r>
      <w:r w:rsidR="009F60FB">
        <w:rPr>
          <w:rFonts w:ascii="Arial" w:hAnsi="Arial" w:cs="Arial"/>
          <w:sz w:val="20"/>
          <w:szCs w:val="20"/>
        </w:rPr>
        <w:t xml:space="preserve">5,373 </w:t>
      </w:r>
      <w:r w:rsidR="00B5637D">
        <w:rPr>
          <w:rFonts w:ascii="Arial" w:hAnsi="Arial" w:cs="Arial"/>
          <w:sz w:val="20"/>
          <w:szCs w:val="20"/>
        </w:rPr>
        <w:t xml:space="preserve">cases in 2015 </w:t>
      </w:r>
      <w:r w:rsidR="00861828">
        <w:rPr>
          <w:rFonts w:ascii="Arial" w:hAnsi="Arial" w:cs="Arial"/>
          <w:sz w:val="20"/>
          <w:szCs w:val="20"/>
        </w:rPr>
        <w:t xml:space="preserve">to </w:t>
      </w:r>
      <w:r w:rsidR="009F60FB">
        <w:rPr>
          <w:rFonts w:ascii="Arial" w:hAnsi="Arial" w:cs="Arial"/>
          <w:sz w:val="20"/>
          <w:szCs w:val="20"/>
        </w:rPr>
        <w:t>6,192</w:t>
      </w:r>
      <w:r w:rsidR="00B5637D">
        <w:rPr>
          <w:rFonts w:ascii="Arial" w:hAnsi="Arial" w:cs="Arial"/>
          <w:sz w:val="20"/>
          <w:szCs w:val="20"/>
        </w:rPr>
        <w:t xml:space="preserve"> cases in 2024, with a peak of </w:t>
      </w:r>
      <w:r w:rsidR="009F60FB">
        <w:rPr>
          <w:rFonts w:ascii="Arial" w:hAnsi="Arial" w:cs="Arial"/>
          <w:sz w:val="20"/>
          <w:szCs w:val="20"/>
        </w:rPr>
        <w:t>7,285</w:t>
      </w:r>
      <w:r w:rsidR="00B5637D">
        <w:rPr>
          <w:rFonts w:ascii="Arial" w:hAnsi="Arial" w:cs="Arial"/>
          <w:sz w:val="20"/>
          <w:szCs w:val="20"/>
        </w:rPr>
        <w:t xml:space="preserve"> in 201</w:t>
      </w:r>
      <w:r w:rsidR="009F60FB">
        <w:rPr>
          <w:rFonts w:ascii="Arial" w:hAnsi="Arial" w:cs="Arial"/>
          <w:sz w:val="20"/>
          <w:szCs w:val="20"/>
        </w:rPr>
        <w:t>9</w:t>
      </w:r>
      <w:r w:rsidR="00BB2968">
        <w:rPr>
          <w:rFonts w:ascii="Arial" w:hAnsi="Arial" w:cs="Arial"/>
          <w:sz w:val="20"/>
          <w:szCs w:val="20"/>
        </w:rPr>
        <w:t>.</w:t>
      </w:r>
      <w:r w:rsidR="00773130" w:rsidRPr="00AB0A6F">
        <w:rPr>
          <w:rFonts w:ascii="Arial" w:hAnsi="Arial" w:cs="Arial"/>
          <w:sz w:val="20"/>
          <w:szCs w:val="20"/>
        </w:rPr>
        <w:t xml:space="preserve"> 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9F60FB">
        <w:rPr>
          <w:rFonts w:ascii="Arial" w:hAnsi="Arial" w:cs="Arial"/>
          <w:sz w:val="20"/>
          <w:szCs w:val="20"/>
        </w:rPr>
        <w:t>776.0</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w:t>
      </w:r>
      <w:r w:rsidR="00CA5A80">
        <w:rPr>
          <w:rFonts w:ascii="Arial" w:hAnsi="Arial" w:cs="Arial"/>
          <w:sz w:val="20"/>
          <w:szCs w:val="20"/>
        </w:rPr>
        <w:t>While the statewide rate is lower</w:t>
      </w:r>
      <w:r w:rsidR="001E6515" w:rsidRPr="00F46157">
        <w:rPr>
          <w:rFonts w:ascii="Arial" w:hAnsi="Arial" w:cs="Arial"/>
          <w:sz w:val="20"/>
          <w:szCs w:val="20"/>
        </w:rPr>
        <w:t xml:space="preserve"> compared to the national rate of 445.7 per 100,000</w:t>
      </w:r>
      <w:r w:rsidR="00CA5A80">
        <w:rPr>
          <w:rFonts w:ascii="Arial" w:hAnsi="Arial" w:cs="Arial"/>
          <w:sz w:val="20"/>
          <w:szCs w:val="20"/>
        </w:rPr>
        <w:t>, the county rate is higher than both the national and statewide rates</w:t>
      </w:r>
      <w:r w:rsidR="001E6515">
        <w:rPr>
          <w:rFonts w:ascii="Arial" w:hAnsi="Arial" w:cs="Arial"/>
          <w:sz w:val="20"/>
          <w:szCs w:val="20"/>
        </w:rPr>
        <w:t>.</w:t>
      </w:r>
      <w:r w:rsidR="001E6515">
        <w:rPr>
          <w:rFonts w:ascii="Arial" w:hAnsi="Arial" w:cs="Arial"/>
          <w:sz w:val="20"/>
          <w:szCs w:val="20"/>
          <w:vertAlign w:val="superscript"/>
        </w:rPr>
        <w:t>4</w:t>
      </w:r>
      <w:r w:rsidR="009F60FB">
        <w:rPr>
          <w:rFonts w:ascii="Arial" w:hAnsi="Arial" w:cs="Arial"/>
          <w:sz w:val="20"/>
          <w:szCs w:val="20"/>
        </w:rPr>
        <w:t xml:space="preserve"> </w:t>
      </w:r>
      <w:r w:rsidR="0069217B" w:rsidRPr="1B0DA0B8" w:rsidDel="00773130">
        <w:rPr>
          <w:rFonts w:ascii="Arial" w:hAnsi="Arial" w:cs="Arial"/>
          <w:sz w:val="20"/>
          <w:szCs w:val="20"/>
        </w:rPr>
        <w:t>Since 201</w:t>
      </w:r>
      <w:r w:rsidR="009F60FB">
        <w:rPr>
          <w:rFonts w:ascii="Arial" w:hAnsi="Arial" w:cs="Arial"/>
          <w:sz w:val="20"/>
          <w:szCs w:val="20"/>
        </w:rPr>
        <w:t>5</w:t>
      </w:r>
      <w:r w:rsidR="0069217B" w:rsidRPr="1B0DA0B8" w:rsidDel="00773130">
        <w:rPr>
          <w:rFonts w:ascii="Arial" w:hAnsi="Arial" w:cs="Arial"/>
          <w:sz w:val="20"/>
          <w:szCs w:val="20"/>
        </w:rPr>
        <w:t xml:space="preserve">, the incidence rate of </w:t>
      </w:r>
      <w:r w:rsidR="009F60FB">
        <w:rPr>
          <w:rFonts w:ascii="Arial" w:hAnsi="Arial" w:cs="Arial"/>
          <w:sz w:val="20"/>
          <w:szCs w:val="20"/>
        </w:rPr>
        <w:t>Suffolk</w:t>
      </w:r>
      <w:r w:rsidR="0069217B" w:rsidRPr="1B0DA0B8" w:rsidDel="00773130">
        <w:rPr>
          <w:rFonts w:ascii="Arial" w:hAnsi="Arial" w:cs="Arial"/>
          <w:sz w:val="20"/>
          <w:szCs w:val="20"/>
        </w:rPr>
        <w:t xml:space="preserve"> County has been consistently higher than the overall state incidence rate</w:t>
      </w:r>
      <w:r w:rsidR="009E64A9">
        <w:rPr>
          <w:rFonts w:ascii="Arial" w:hAnsi="Arial" w:cs="Arial"/>
          <w:sz w:val="20"/>
          <w:szCs w:val="20"/>
        </w:rPr>
        <w:t>.</w:t>
      </w:r>
    </w:p>
    <w:p w14:paraId="7BC4E99E" w14:textId="77777777" w:rsidR="00272D41" w:rsidRDefault="00272D41" w:rsidP="00862898">
      <w:pPr>
        <w:rPr>
          <w:rFonts w:ascii="Arial" w:hAnsi="Arial" w:cs="Arial"/>
          <w:sz w:val="20"/>
          <w:szCs w:val="20"/>
          <w:vertAlign w:val="superscript"/>
        </w:rPr>
      </w:pPr>
    </w:p>
    <w:p w14:paraId="5457CA85" w14:textId="18212323" w:rsidR="0038295E" w:rsidRDefault="00CA5A80" w:rsidP="00890B95">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Pr>
          <w:rFonts w:ascii="Arial" w:hAnsi="Arial" w:cs="Arial"/>
          <w:sz w:val="20"/>
          <w:szCs w:val="20"/>
        </w:rPr>
        <w:t>, overall county, and statewide</w:t>
      </w:r>
      <w:r w:rsidR="0047300B" w:rsidRPr="008B3DBC">
        <w:rPr>
          <w:rFonts w:ascii="Arial" w:hAnsi="Arial" w:cs="Arial"/>
          <w:sz w:val="20"/>
          <w:szCs w:val="20"/>
        </w:rPr>
        <w:t>.</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9F60FB">
        <w:rPr>
          <w:rFonts w:ascii="Arial" w:hAnsi="Arial" w:cs="Arial"/>
          <w:sz w:val="20"/>
          <w:szCs w:val="18"/>
        </w:rPr>
        <w:t>910.1</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9F60FB">
        <w:rPr>
          <w:rFonts w:ascii="Arial" w:hAnsi="Arial" w:cs="Arial"/>
          <w:sz w:val="20"/>
          <w:szCs w:val="18"/>
        </w:rPr>
        <w:t>compared to 631.2 per 100,000 among males.</w:t>
      </w:r>
      <w:r w:rsidR="00272D41">
        <w:rPr>
          <w:rFonts w:ascii="Arial" w:hAnsi="Arial" w:cs="Arial"/>
          <w:sz w:val="20"/>
          <w:szCs w:val="18"/>
        </w:rPr>
        <w:t xml:space="preserve"> </w:t>
      </w:r>
    </w:p>
    <w:p w14:paraId="0ED6AF9F" w14:textId="77777777" w:rsidR="00890B95" w:rsidRPr="00890B95" w:rsidRDefault="00890B95" w:rsidP="00890B95">
      <w:pPr>
        <w:rPr>
          <w:rFonts w:ascii="Arial" w:hAnsi="Arial" w:cs="Arial"/>
          <w:sz w:val="20"/>
          <w:szCs w:val="20"/>
        </w:rPr>
      </w:pPr>
    </w:p>
    <w:p w14:paraId="2306F398" w14:textId="5661F0FE" w:rsidR="00890B95" w:rsidRDefault="00890B95" w:rsidP="0038295E">
      <w:pPr>
        <w:spacing w:before="120"/>
        <w:rPr>
          <w:noProof/>
        </w:rPr>
      </w:pPr>
      <w:r>
        <w:rPr>
          <w:noProof/>
        </w:rPr>
        <w:drawing>
          <wp:inline distT="0" distB="0" distL="0" distR="0" wp14:anchorId="7F019686" wp14:editId="7BC1913E">
            <wp:extent cx="6912864" cy="2276856"/>
            <wp:effectExtent l="0" t="0" r="0" b="9525"/>
            <wp:docPr id="79326071" name="Picture 1" descr="Graph depicts the rates per 100,000 population of chlamydia in Massachusetts statewide, in Suffolk County overall, and by gender in Suffolk County between 2015 and 2024. The line showing statewide rate begins at 350.4 in 2015 and ends at 378.7 in 2024, with a peak of 454.1 in 2019. The line showing Suffolk County overall rate begins at 684.9 in 2015 and ends at 776.0 in 2024, with a peak of 897.6 in 2019. The line showing the rate among females in Suffolk County begins at 795.1 in 2015 and ends at 910.1 in 2024, with a peak of 965.0 in 2019. The line showing the rate among males in Suffolk County begins at 566.1 in 2015 and ends at 631.2 in 2024, with a peak of 827.1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6071" name="Picture 1" descr="Graph depicts the rates per 100,000 population of chlamydia in Massachusetts statewide, in Suffolk County overall, and by gender in Suffolk County between 2015 and 2024. The line showing statewide rate begins at 350.4 in 2015 and ends at 378.7 in 2024, with a peak of 454.1 in 2019. The line showing Suffolk County overall rate begins at 684.9 in 2015 and ends at 776.0 in 2024, with a peak of 897.6 in 2019. The line showing the rate among females in Suffolk County begins at 795.1 in 2015 and ends at 910.1 in 2024, with a peak of 965.0 in 2019. The line showing the rate among males in Suffolk County begins at 566.1 in 2015 and ends at 631.2 in 2024, with a peak of 827.1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06BE39EA" w14:textId="77777777" w:rsidR="0038295E" w:rsidRPr="0038297E" w:rsidRDefault="0038295E" w:rsidP="0038295E">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4AC08579" w14:textId="77777777" w:rsidR="0038295E" w:rsidRPr="0038297E" w:rsidRDefault="0038295E" w:rsidP="0038295E">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1B284B5D" w14:textId="2BBE9B77" w:rsidR="002665EA" w:rsidRPr="0038295E" w:rsidRDefault="0038295E" w:rsidP="0038295E">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0F1BC573" w14:textId="77777777" w:rsidR="00E10136" w:rsidRDefault="00E10136" w:rsidP="1B0DA0B8">
      <w:pPr>
        <w:rPr>
          <w:rFonts w:ascii="Arial" w:eastAsia="Arial" w:hAnsi="Arial" w:cs="Arial"/>
          <w:sz w:val="19"/>
          <w:szCs w:val="19"/>
        </w:rPr>
      </w:pPr>
    </w:p>
    <w:p w14:paraId="21D1B900" w14:textId="1324BB60" w:rsidR="00434D55" w:rsidRDefault="00605ED8" w:rsidP="00605ED8">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CA5A80">
        <w:rPr>
          <w:rFonts w:ascii="Arial" w:hAnsi="Arial" w:cs="Arial"/>
          <w:b/>
          <w:bCs/>
          <w:sz w:val="20"/>
          <w:szCs w:val="20"/>
        </w:rPr>
        <w:t>s</w:t>
      </w:r>
      <w:r w:rsidRPr="00A83E04">
        <w:rPr>
          <w:rFonts w:ascii="Arial" w:hAnsi="Arial" w:cs="Arial"/>
          <w:b/>
          <w:bCs/>
          <w:sz w:val="20"/>
          <w:szCs w:val="20"/>
        </w:rPr>
        <w:t xml:space="preserve"> of chlamydia </w:t>
      </w:r>
      <w:r w:rsidR="00CA5A80">
        <w:rPr>
          <w:rFonts w:ascii="Arial" w:hAnsi="Arial" w:cs="Arial"/>
          <w:b/>
          <w:bCs/>
          <w:sz w:val="20"/>
          <w:szCs w:val="20"/>
        </w:rPr>
        <w:t>are</w:t>
      </w:r>
      <w:r w:rsidR="00CA5A80"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890B95">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9F60FB">
        <w:rPr>
          <w:rFonts w:ascii="Arial" w:hAnsi="Arial" w:cs="Arial"/>
          <w:b/>
          <w:bCs/>
          <w:sz w:val="20"/>
          <w:szCs w:val="20"/>
        </w:rPr>
        <w:t>3,159</w:t>
      </w:r>
      <w:r w:rsidRPr="005A47A6">
        <w:rPr>
          <w:rFonts w:ascii="Arial" w:hAnsi="Arial" w:cs="Arial"/>
          <w:b/>
          <w:bCs/>
          <w:sz w:val="20"/>
          <w:szCs w:val="20"/>
        </w:rPr>
        <w:t xml:space="preserve"> chlamydia cases were reported among 20–29-year-olds, </w:t>
      </w:r>
      <w:r w:rsidR="00890B95">
        <w:rPr>
          <w:rFonts w:ascii="Arial" w:hAnsi="Arial" w:cs="Arial"/>
          <w:b/>
          <w:bCs/>
          <w:sz w:val="20"/>
          <w:szCs w:val="20"/>
        </w:rPr>
        <w:t xml:space="preserve">at a rate of 1,791.4 per 100,000, </w:t>
      </w:r>
      <w:r w:rsidRPr="005A47A6">
        <w:rPr>
          <w:rFonts w:ascii="Arial" w:hAnsi="Arial" w:cs="Arial"/>
          <w:b/>
          <w:bCs/>
          <w:sz w:val="20"/>
          <w:szCs w:val="20"/>
        </w:rPr>
        <w:t xml:space="preserve">the highest among all age groups in </w:t>
      </w:r>
      <w:r w:rsidR="009F60FB">
        <w:rPr>
          <w:rFonts w:ascii="Arial" w:hAnsi="Arial" w:cs="Arial"/>
          <w:b/>
          <w:bCs/>
          <w:sz w:val="20"/>
          <w:szCs w:val="20"/>
        </w:rPr>
        <w:t>Suffolk</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Pr="00A806D7">
        <w:rPr>
          <w:rFonts w:ascii="Arial" w:hAnsi="Arial" w:cs="Arial"/>
          <w:sz w:val="20"/>
          <w:szCs w:val="20"/>
        </w:rPr>
        <w:t xml:space="preserve">Females accounted for </w:t>
      </w:r>
      <w:r w:rsidR="00434D55">
        <w:rPr>
          <w:rFonts w:ascii="Arial" w:hAnsi="Arial" w:cs="Arial"/>
          <w:sz w:val="20"/>
          <w:szCs w:val="20"/>
        </w:rPr>
        <w:t xml:space="preserve">1989 </w:t>
      </w:r>
      <w:r w:rsidRPr="00A806D7">
        <w:rPr>
          <w:rFonts w:ascii="Arial" w:hAnsi="Arial" w:cs="Arial"/>
          <w:sz w:val="20"/>
          <w:szCs w:val="20"/>
        </w:rPr>
        <w:t>cases</w:t>
      </w:r>
      <w:r w:rsidR="00CA5A80">
        <w:rPr>
          <w:rFonts w:ascii="Arial" w:hAnsi="Arial" w:cs="Arial"/>
          <w:sz w:val="20"/>
          <w:szCs w:val="20"/>
        </w:rPr>
        <w:t xml:space="preserve"> (</w:t>
      </w:r>
      <w:r w:rsidR="00890B95">
        <w:rPr>
          <w:rFonts w:ascii="Arial" w:hAnsi="Arial" w:cs="Arial"/>
          <w:sz w:val="20"/>
          <w:szCs w:val="20"/>
        </w:rPr>
        <w:t>63.0</w:t>
      </w:r>
      <w:r w:rsidR="00CA5A80">
        <w:rPr>
          <w:rFonts w:ascii="Arial" w:hAnsi="Arial" w:cs="Arial"/>
          <w:sz w:val="20"/>
          <w:szCs w:val="20"/>
        </w:rPr>
        <w:t>%) within this age group</w:t>
      </w:r>
      <w:r w:rsidRPr="00A806D7">
        <w:rPr>
          <w:rFonts w:ascii="Arial" w:hAnsi="Arial" w:cs="Arial"/>
          <w:sz w:val="20"/>
          <w:szCs w:val="20"/>
        </w:rPr>
        <w:t>, with a rate of</w:t>
      </w:r>
      <w:r w:rsidR="002A0EE7">
        <w:rPr>
          <w:rFonts w:ascii="Arial" w:hAnsi="Arial" w:cs="Arial"/>
          <w:sz w:val="20"/>
          <w:szCs w:val="20"/>
        </w:rPr>
        <w:t xml:space="preserve"> </w:t>
      </w:r>
      <w:r w:rsidR="002A0EE7" w:rsidRPr="002A0EE7">
        <w:rPr>
          <w:rFonts w:ascii="Arial" w:hAnsi="Arial" w:cs="Arial"/>
          <w:sz w:val="20"/>
          <w:szCs w:val="20"/>
        </w:rPr>
        <w:t>2</w:t>
      </w:r>
      <w:r w:rsidR="002A0EE7">
        <w:rPr>
          <w:rFonts w:ascii="Arial" w:hAnsi="Arial" w:cs="Arial"/>
          <w:sz w:val="20"/>
          <w:szCs w:val="20"/>
        </w:rPr>
        <w:t>,</w:t>
      </w:r>
      <w:r w:rsidR="00434D55">
        <w:rPr>
          <w:rFonts w:ascii="Arial" w:hAnsi="Arial" w:cs="Arial"/>
          <w:sz w:val="20"/>
          <w:szCs w:val="20"/>
        </w:rPr>
        <w:t>192.1</w:t>
      </w:r>
      <w:r w:rsidRPr="00A806D7">
        <w:rPr>
          <w:rFonts w:ascii="Arial" w:hAnsi="Arial" w:cs="Arial"/>
          <w:sz w:val="20"/>
          <w:szCs w:val="20"/>
        </w:rPr>
        <w:t xml:space="preserve"> per 100,000, while </w:t>
      </w:r>
      <w:r w:rsidR="00434D55">
        <w:rPr>
          <w:rFonts w:ascii="Arial" w:hAnsi="Arial" w:cs="Arial"/>
          <w:sz w:val="20"/>
          <w:szCs w:val="20"/>
        </w:rPr>
        <w:t>1169</w:t>
      </w:r>
      <w:r w:rsidRPr="00A806D7">
        <w:rPr>
          <w:rFonts w:ascii="Arial" w:hAnsi="Arial" w:cs="Arial"/>
          <w:sz w:val="20"/>
          <w:szCs w:val="20"/>
        </w:rPr>
        <w:t xml:space="preserve"> cases </w:t>
      </w:r>
      <w:r w:rsidR="00890B95">
        <w:rPr>
          <w:rFonts w:ascii="Arial" w:hAnsi="Arial" w:cs="Arial"/>
          <w:sz w:val="20"/>
          <w:szCs w:val="20"/>
        </w:rPr>
        <w:t xml:space="preserve">(37.0) </w:t>
      </w:r>
      <w:r w:rsidRPr="00A806D7">
        <w:rPr>
          <w:rFonts w:ascii="Arial" w:hAnsi="Arial" w:cs="Arial"/>
          <w:sz w:val="20"/>
          <w:szCs w:val="20"/>
        </w:rPr>
        <w:t xml:space="preserve">were reported </w:t>
      </w:r>
      <w:r w:rsidR="00890B95">
        <w:rPr>
          <w:rFonts w:ascii="Arial" w:hAnsi="Arial" w:cs="Arial"/>
          <w:sz w:val="20"/>
          <w:szCs w:val="20"/>
        </w:rPr>
        <w:t>among</w:t>
      </w:r>
      <w:r w:rsidRPr="00A806D7">
        <w:rPr>
          <w:rFonts w:ascii="Arial" w:hAnsi="Arial" w:cs="Arial"/>
          <w:sz w:val="20"/>
          <w:szCs w:val="20"/>
        </w:rPr>
        <w:t xml:space="preserve"> males, at a rate of </w:t>
      </w:r>
      <w:r w:rsidR="00372EDD" w:rsidRPr="00372EDD">
        <w:rPr>
          <w:rFonts w:ascii="Arial" w:hAnsi="Arial" w:cs="Arial"/>
          <w:sz w:val="20"/>
          <w:szCs w:val="20"/>
        </w:rPr>
        <w:t>1</w:t>
      </w:r>
      <w:r w:rsidR="00372EDD">
        <w:rPr>
          <w:rFonts w:ascii="Arial" w:hAnsi="Arial" w:cs="Arial"/>
          <w:sz w:val="20"/>
          <w:szCs w:val="20"/>
        </w:rPr>
        <w:t>,</w:t>
      </w:r>
      <w:r w:rsidR="00434D55">
        <w:rPr>
          <w:rFonts w:ascii="Arial" w:hAnsi="Arial" w:cs="Arial"/>
          <w:sz w:val="20"/>
          <w:szCs w:val="20"/>
        </w:rPr>
        <w:t>365.5</w:t>
      </w:r>
      <w:r w:rsidRPr="00A806D7">
        <w:rPr>
          <w:rFonts w:ascii="Arial" w:hAnsi="Arial" w:cs="Arial"/>
          <w:sz w:val="20"/>
          <w:szCs w:val="20"/>
        </w:rPr>
        <w:t xml:space="preserve"> per 100,000. Although the chart below represents rates by age group only, the highest burden </w:t>
      </w:r>
      <w:r w:rsidR="00CA5A80">
        <w:rPr>
          <w:rFonts w:ascii="Arial" w:hAnsi="Arial" w:cs="Arial"/>
          <w:sz w:val="20"/>
          <w:szCs w:val="20"/>
        </w:rPr>
        <w:t>i</w:t>
      </w:r>
      <w:r w:rsidR="00CA5A80" w:rsidRPr="00A806D7">
        <w:rPr>
          <w:rFonts w:ascii="Arial" w:hAnsi="Arial" w:cs="Arial"/>
          <w:sz w:val="20"/>
          <w:szCs w:val="20"/>
        </w:rPr>
        <w:t xml:space="preserve">s </w:t>
      </w:r>
      <w:r w:rsidRPr="00A806D7">
        <w:rPr>
          <w:rFonts w:ascii="Arial" w:hAnsi="Arial" w:cs="Arial"/>
          <w:sz w:val="20"/>
          <w:szCs w:val="20"/>
        </w:rPr>
        <w:t xml:space="preserve">concentrated among </w:t>
      </w:r>
      <w:r w:rsidR="00CA5A80">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5B555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69113B12" w14:textId="711C577E" w:rsidR="00272D41" w:rsidRDefault="00272D41" w:rsidP="00434D55">
      <w:pPr>
        <w:rPr>
          <w:rFonts w:ascii="Arial" w:hAnsi="Arial" w:cs="Arial"/>
          <w:sz w:val="20"/>
          <w:szCs w:val="20"/>
        </w:rPr>
      </w:pPr>
    </w:p>
    <w:p w14:paraId="38F54DD5" w14:textId="27E1D04C" w:rsidR="0038295E" w:rsidRDefault="0038295E" w:rsidP="00434D55">
      <w:pPr>
        <w:rPr>
          <w:rFonts w:ascii="Arial" w:hAnsi="Arial" w:cs="Arial"/>
          <w:sz w:val="20"/>
          <w:szCs w:val="20"/>
        </w:rPr>
      </w:pPr>
      <w:r>
        <w:rPr>
          <w:rFonts w:ascii="Arial" w:hAnsi="Arial" w:cs="Arial"/>
          <w:noProof/>
          <w:sz w:val="20"/>
          <w:szCs w:val="20"/>
        </w:rPr>
        <w:drawing>
          <wp:inline distT="0" distB="0" distL="0" distR="0" wp14:anchorId="65037C46" wp14:editId="2BC6220B">
            <wp:extent cx="6912864" cy="2642616"/>
            <wp:effectExtent l="0" t="0" r="2540" b="5715"/>
            <wp:docPr id="2046348881" name="Picture 8" descr="Graph depicts the rates per 100,000 population of chlamydia cases in Suffolk County, Massachusetts by age group for 2015 and 2024. The included age groups are &lt;20 years, 20-29 years, 30-39 years, 40-49 years, 50-59 years, and 60+ years. Rates are consistently higher in 2024 compared to 2015. Rates are highest among those aged 20-29, at 1759.6 in 2015 and 1791.4 in 2024. Rates are lowest among those aged 60+ years, at 18.5 in 2015 and 45.3 in 2024. The age group that saw the largest change in rate was &lt;20 years, from 601.2 in 2015 to 841.4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48881" name="Picture 8" descr="Graph depicts the rates per 100,000 population of chlamydia cases in Suffolk County, Massachusetts by age group for 2015 and 2024. The included age groups are &lt;20 years, 20-29 years, 30-39 years, 40-49 years, 50-59 years, and 60+ years. Rates are consistently higher in 2024 compared to 2015. Rates are highest among those aged 20-29, at 1759.6 in 2015 and 1791.4 in 2024. Rates are lowest among those aged 60+ years, at 18.5 in 2015 and 45.3 in 2024. The age group that saw the largest change in rate was &lt;20 years, from 601.2 in 2015 to 841.4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7A1B60A9" w14:textId="77777777" w:rsidR="0038295E" w:rsidRPr="001A0A68" w:rsidRDefault="0038295E" w:rsidP="0038295E">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07582C68" w14:textId="77777777" w:rsidR="0038295E" w:rsidRPr="001A0A68" w:rsidRDefault="0038295E" w:rsidP="0038295E">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6A794744" w14:textId="3AB48A63" w:rsidR="00272D41" w:rsidRDefault="0038295E" w:rsidP="00272D41">
      <w:pPr>
        <w:rPr>
          <w:rFonts w:ascii="Arial" w:hAnsi="Arial" w:cs="Arial"/>
          <w:sz w:val="20"/>
          <w:szCs w:val="20"/>
        </w:rPr>
      </w:pPr>
      <w:r w:rsidRPr="001A0A68">
        <w:rPr>
          <w:rFonts w:ascii="Arial" w:hAnsi="Arial" w:cs="Arial"/>
          <w:sz w:val="12"/>
          <w:szCs w:val="12"/>
        </w:rPr>
        <w:t>Data source: Massachusetts Department of Public Health/Bureau of Infectious Disease and Laboratory Sciences/Division of STD Prevention.</w:t>
      </w:r>
    </w:p>
    <w:bookmarkEnd w:id="1"/>
    <w:p w14:paraId="07B5F6AB" w14:textId="008EBDC8" w:rsidR="00773130" w:rsidRDefault="00773130" w:rsidP="0016162E">
      <w:pPr>
        <w:rPr>
          <w:rFonts w:ascii="Arial" w:hAnsi="Arial" w:cs="Arial"/>
          <w:b/>
          <w:bCs/>
          <w:sz w:val="20"/>
          <w:szCs w:val="20"/>
          <w:u w:val="single"/>
        </w:rPr>
      </w:pPr>
    </w:p>
    <w:p w14:paraId="2730B763" w14:textId="7715BD90" w:rsidR="0016162E" w:rsidRDefault="0016162E" w:rsidP="008A048A">
      <w:pPr>
        <w:pStyle w:val="Heading1"/>
      </w:pPr>
      <w:r w:rsidRPr="00173387">
        <w:t>Gonorrhea</w:t>
      </w:r>
    </w:p>
    <w:p w14:paraId="57FC7AE1" w14:textId="3BE03E39" w:rsidR="008948E6" w:rsidRPr="001E6515"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890B95">
        <w:rPr>
          <w:rFonts w:ascii="Arial" w:hAnsi="Arial" w:cs="Arial"/>
          <w:sz w:val="20"/>
          <w:szCs w:val="20"/>
        </w:rPr>
        <w:t>M</w:t>
      </w:r>
      <w:r w:rsidRPr="00D96A7B">
        <w:rPr>
          <w:rFonts w:ascii="Arial" w:hAnsi="Arial" w:cs="Arial"/>
          <w:sz w:val="20"/>
          <w:szCs w:val="20"/>
        </w:rPr>
        <w:t>any infected individuals do not present with any symptoms of infection</w:t>
      </w:r>
      <w:r w:rsidR="00890B95">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1E6515">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16871A6B" w:rsidR="00773130" w:rsidRPr="00BA2EEC" w:rsidRDefault="00B5637D" w:rsidP="00773130">
      <w:pPr>
        <w:rPr>
          <w:rFonts w:ascii="Arial" w:hAnsi="Arial" w:cs="Arial"/>
          <w:sz w:val="20"/>
          <w:szCs w:val="20"/>
        </w:rPr>
      </w:pPr>
      <w:r w:rsidRPr="00B5637D">
        <w:rPr>
          <w:rFonts w:ascii="Arial" w:hAnsi="Arial" w:cs="Arial"/>
          <w:b/>
          <w:bCs/>
          <w:sz w:val="20"/>
          <w:szCs w:val="20"/>
        </w:rPr>
        <w:t xml:space="preserve">Since 2015, there has been an overall increase </w:t>
      </w:r>
      <w:r w:rsidR="00712BD1">
        <w:rPr>
          <w:rFonts w:ascii="Arial" w:hAnsi="Arial" w:cs="Arial"/>
          <w:b/>
          <w:bCs/>
          <w:sz w:val="20"/>
          <w:szCs w:val="20"/>
        </w:rPr>
        <w:t>in</w:t>
      </w:r>
      <w:r w:rsidR="00712BD1" w:rsidRPr="00B5637D">
        <w:rPr>
          <w:rFonts w:ascii="Arial" w:hAnsi="Arial" w:cs="Arial"/>
          <w:b/>
          <w:bCs/>
          <w:sz w:val="20"/>
          <w:szCs w:val="20"/>
        </w:rPr>
        <w:t xml:space="preserve"> </w:t>
      </w:r>
      <w:r w:rsidRPr="00B5637D">
        <w:rPr>
          <w:rFonts w:ascii="Arial" w:hAnsi="Arial" w:cs="Arial"/>
          <w:b/>
          <w:bCs/>
          <w:sz w:val="20"/>
          <w:szCs w:val="20"/>
        </w:rPr>
        <w:t>reported gonorrhea cases statewide, ranging from 3,592 cases in 2015 to 8,678 cases in 2024.</w:t>
      </w:r>
      <w:r>
        <w:rPr>
          <w:rFonts w:ascii="Arial" w:hAnsi="Arial" w:cs="Arial"/>
          <w:b/>
          <w:bCs/>
          <w:sz w:val="20"/>
          <w:szCs w:val="20"/>
        </w:rPr>
        <w:t xml:space="preserve"> </w:t>
      </w:r>
      <w:r w:rsidR="00773130" w:rsidRPr="009D424A">
        <w:rPr>
          <w:rFonts w:ascii="Arial" w:hAnsi="Arial" w:cs="Arial"/>
          <w:sz w:val="20"/>
          <w:szCs w:val="20"/>
        </w:rPr>
        <w:t>In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9E64A9">
        <w:rPr>
          <w:rFonts w:ascii="Arial" w:hAnsi="Arial" w:cs="Arial"/>
          <w:sz w:val="20"/>
          <w:szCs w:val="20"/>
        </w:rPr>
        <w:t>325.6</w:t>
      </w:r>
      <w:r w:rsidR="00272D41">
        <w:rPr>
          <w:rFonts w:ascii="Arial" w:hAnsi="Arial" w:cs="Arial"/>
          <w:sz w:val="20"/>
          <w:szCs w:val="20"/>
        </w:rPr>
        <w:t xml:space="preserve"> </w:t>
      </w:r>
      <w:r w:rsidR="00773130" w:rsidRPr="009D424A">
        <w:rPr>
          <w:rFonts w:ascii="Arial" w:hAnsi="Arial" w:cs="Arial"/>
          <w:sz w:val="20"/>
          <w:szCs w:val="20"/>
        </w:rPr>
        <w:t>per 100,000, which surpassed the</w:t>
      </w:r>
      <w:r w:rsidR="00BA2EEC">
        <w:rPr>
          <w:rFonts w:ascii="Arial" w:hAnsi="Arial" w:cs="Arial"/>
          <w:sz w:val="20"/>
          <w:szCs w:val="20"/>
        </w:rPr>
        <w:t xml:space="preserve"> </w:t>
      </w:r>
      <w:r w:rsidR="00BA2EEC" w:rsidRPr="009604B7">
        <w:rPr>
          <w:rFonts w:ascii="Arial" w:hAnsi="Arial" w:cs="Arial"/>
          <w:sz w:val="20"/>
          <w:szCs w:val="20"/>
        </w:rPr>
        <w:t xml:space="preserve">statewide </w:t>
      </w:r>
      <w:r w:rsidR="00BA2EEC" w:rsidRPr="00173387">
        <w:rPr>
          <w:rFonts w:ascii="Arial" w:hAnsi="Arial" w:cs="Arial"/>
          <w:sz w:val="20"/>
          <w:szCs w:val="20"/>
        </w:rPr>
        <w:t xml:space="preserve">rate </w:t>
      </w:r>
      <w:r w:rsidR="00150060">
        <w:rPr>
          <w:rFonts w:ascii="Arial" w:hAnsi="Arial" w:cs="Arial"/>
          <w:sz w:val="20"/>
          <w:szCs w:val="20"/>
        </w:rPr>
        <w:t>of</w:t>
      </w:r>
      <w:r w:rsidR="00BA2EEC" w:rsidRPr="00173387">
        <w:rPr>
          <w:rFonts w:ascii="Arial" w:hAnsi="Arial" w:cs="Arial"/>
          <w:sz w:val="20"/>
          <w:szCs w:val="20"/>
        </w:rPr>
        <w:t xml:space="preserve"> </w:t>
      </w:r>
      <w:r w:rsidR="00BA2EEC">
        <w:rPr>
          <w:rFonts w:ascii="Arial" w:hAnsi="Arial" w:cs="Arial"/>
          <w:sz w:val="20"/>
          <w:szCs w:val="20"/>
        </w:rPr>
        <w:t>12</w:t>
      </w:r>
      <w:r w:rsidR="005440B0">
        <w:rPr>
          <w:rFonts w:ascii="Arial" w:hAnsi="Arial" w:cs="Arial"/>
          <w:sz w:val="20"/>
          <w:szCs w:val="20"/>
        </w:rPr>
        <w:t>3.4</w:t>
      </w:r>
      <w:r w:rsidR="00BA2EEC">
        <w:rPr>
          <w:rFonts w:ascii="Arial" w:hAnsi="Arial" w:cs="Arial"/>
          <w:sz w:val="20"/>
          <w:szCs w:val="20"/>
        </w:rPr>
        <w:t xml:space="preserve"> </w:t>
      </w:r>
      <w:r w:rsidR="00BA2EEC" w:rsidRPr="00173387">
        <w:rPr>
          <w:rFonts w:ascii="Arial" w:hAnsi="Arial" w:cs="Arial"/>
          <w:sz w:val="20"/>
          <w:szCs w:val="20"/>
        </w:rPr>
        <w:t>per 100,000</w:t>
      </w:r>
      <w:r w:rsidR="00712BD1">
        <w:rPr>
          <w:rFonts w:ascii="Arial" w:hAnsi="Arial" w:cs="Arial"/>
          <w:sz w:val="20"/>
          <w:szCs w:val="20"/>
        </w:rPr>
        <w:t xml:space="preserve"> and </w:t>
      </w:r>
      <w:r w:rsidR="001E6515" w:rsidRPr="005419BE">
        <w:rPr>
          <w:rFonts w:ascii="Arial" w:hAnsi="Arial" w:cs="Arial"/>
          <w:sz w:val="20"/>
          <w:szCs w:val="20"/>
        </w:rPr>
        <w:t>the national rate of 159.8 per 100,000.</w:t>
      </w:r>
      <w:r w:rsidR="001E6515">
        <w:rPr>
          <w:rFonts w:ascii="Arial" w:hAnsi="Arial" w:cs="Arial"/>
          <w:sz w:val="20"/>
          <w:szCs w:val="20"/>
          <w:vertAlign w:val="superscript"/>
        </w:rPr>
        <w:t xml:space="preserve">4 </w:t>
      </w:r>
    </w:p>
    <w:p w14:paraId="4CB01E0F" w14:textId="46BBCE0C" w:rsidR="00773130" w:rsidRDefault="00773130" w:rsidP="00773130">
      <w:pPr>
        <w:rPr>
          <w:rFonts w:ascii="Arial" w:hAnsi="Arial" w:cs="Arial"/>
          <w:b/>
          <w:bCs/>
          <w:sz w:val="20"/>
          <w:szCs w:val="20"/>
          <w:u w:val="single"/>
        </w:rPr>
      </w:pPr>
    </w:p>
    <w:p w14:paraId="6E1B046A" w14:textId="0C8F9FD1" w:rsidR="00E10136" w:rsidRDefault="00712BD1" w:rsidP="009E64A9">
      <w:pPr>
        <w:rPr>
          <w:rFonts w:ascii="Arial" w:hAnsi="Arial" w:cs="Arial"/>
          <w:sz w:val="20"/>
          <w:szCs w:val="20"/>
        </w:rPr>
      </w:pPr>
      <w:r>
        <w:rPr>
          <w:rFonts w:ascii="Arial" w:hAnsi="Arial" w:cs="Arial"/>
          <w:b/>
          <w:bCs/>
          <w:sz w:val="20"/>
          <w:szCs w:val="20"/>
        </w:rPr>
        <w:t>Between 2015 and 2024</w:t>
      </w:r>
      <w:r w:rsidR="00773130"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00773130" w:rsidRPr="009D424A">
        <w:rPr>
          <w:rFonts w:ascii="Arial" w:hAnsi="Arial" w:cs="Arial"/>
          <w:b/>
          <w:bCs/>
          <w:sz w:val="20"/>
          <w:szCs w:val="20"/>
        </w:rPr>
        <w:t xml:space="preserve"> has been higher</w:t>
      </w:r>
      <w:r w:rsidR="00773130" w:rsidRPr="009D424A">
        <w:rPr>
          <w:rFonts w:ascii="Arial" w:hAnsi="Arial" w:cs="Arial"/>
          <w:sz w:val="20"/>
          <w:szCs w:val="20"/>
        </w:rPr>
        <w:t xml:space="preserve"> than that of </w:t>
      </w:r>
      <w:r w:rsidR="001B683C">
        <w:rPr>
          <w:rFonts w:ascii="Arial" w:hAnsi="Arial" w:cs="Arial"/>
          <w:sz w:val="20"/>
          <w:szCs w:val="20"/>
        </w:rPr>
        <w:t>females</w:t>
      </w:r>
      <w:r>
        <w:rPr>
          <w:rFonts w:ascii="Arial" w:hAnsi="Arial" w:cs="Arial"/>
          <w:sz w:val="20"/>
          <w:szCs w:val="20"/>
        </w:rPr>
        <w:t>, the overall county, and statewide rates</w:t>
      </w:r>
      <w:r w:rsidR="00773130" w:rsidRPr="009D424A">
        <w:rPr>
          <w:rFonts w:ascii="Arial" w:hAnsi="Arial" w:cs="Arial"/>
          <w:sz w:val="20"/>
          <w:szCs w:val="20"/>
        </w:rPr>
        <w:t>. In 202</w:t>
      </w:r>
      <w:r w:rsidR="00272D41">
        <w:rPr>
          <w:rFonts w:ascii="Arial" w:hAnsi="Arial" w:cs="Arial"/>
          <w:sz w:val="20"/>
          <w:szCs w:val="20"/>
        </w:rPr>
        <w:t>4</w:t>
      </w:r>
      <w:r w:rsidR="00773130" w:rsidRPr="009D424A">
        <w:rPr>
          <w:rFonts w:ascii="Arial" w:hAnsi="Arial" w:cs="Arial"/>
          <w:sz w:val="20"/>
          <w:szCs w:val="20"/>
        </w:rPr>
        <w:t xml:space="preserve">, </w:t>
      </w:r>
      <w:r w:rsidR="001B683C">
        <w:rPr>
          <w:rFonts w:ascii="Arial" w:hAnsi="Arial" w:cs="Arial"/>
          <w:sz w:val="20"/>
          <w:szCs w:val="20"/>
        </w:rPr>
        <w:t>males</w:t>
      </w:r>
      <w:r w:rsidR="00773130" w:rsidRPr="009D424A">
        <w:rPr>
          <w:rFonts w:ascii="Arial" w:hAnsi="Arial" w:cs="Arial"/>
          <w:sz w:val="20"/>
          <w:szCs w:val="20"/>
        </w:rPr>
        <w:t xml:space="preserve"> accounted for approximately </w:t>
      </w:r>
      <w:r w:rsidR="009E64A9">
        <w:rPr>
          <w:rFonts w:ascii="Arial" w:hAnsi="Arial" w:cs="Arial"/>
          <w:sz w:val="20"/>
          <w:szCs w:val="20"/>
        </w:rPr>
        <w:t>73.2</w:t>
      </w:r>
      <w:r w:rsidR="00773130" w:rsidRPr="009D424A">
        <w:rPr>
          <w:rFonts w:ascii="Arial" w:hAnsi="Arial" w:cs="Arial"/>
          <w:sz w:val="20"/>
          <w:szCs w:val="20"/>
        </w:rPr>
        <w:t xml:space="preserve">% of all gonorrhea cases in </w:t>
      </w:r>
      <w:r w:rsidR="009E64A9">
        <w:rPr>
          <w:rFonts w:ascii="Arial" w:hAnsi="Arial" w:cs="Arial"/>
          <w:sz w:val="20"/>
          <w:szCs w:val="20"/>
        </w:rPr>
        <w:t xml:space="preserve">Suffolk </w:t>
      </w:r>
      <w:r w:rsidR="00773130" w:rsidRPr="009D424A">
        <w:rPr>
          <w:rFonts w:ascii="Arial" w:hAnsi="Arial" w:cs="Arial"/>
          <w:sz w:val="20"/>
          <w:szCs w:val="20"/>
        </w:rPr>
        <w:t xml:space="preserve">County with a rate of </w:t>
      </w:r>
      <w:r w:rsidR="009E64A9">
        <w:rPr>
          <w:rFonts w:ascii="Arial" w:hAnsi="Arial" w:cs="Arial"/>
          <w:sz w:val="20"/>
          <w:szCs w:val="20"/>
        </w:rPr>
        <w:t xml:space="preserve">493.3 </w:t>
      </w:r>
      <w:r w:rsidR="00773130" w:rsidRPr="009D424A">
        <w:rPr>
          <w:rFonts w:ascii="Arial" w:hAnsi="Arial" w:cs="Arial"/>
          <w:sz w:val="20"/>
          <w:szCs w:val="20"/>
        </w:rPr>
        <w:t>per 100,000</w:t>
      </w:r>
      <w:r w:rsidR="00BA2EEC">
        <w:rPr>
          <w:rFonts w:ascii="Arial" w:hAnsi="Arial" w:cs="Arial"/>
          <w:sz w:val="20"/>
          <w:szCs w:val="20"/>
        </w:rPr>
        <w:t>,</w:t>
      </w:r>
      <w:r w:rsidR="00773130" w:rsidRPr="009D424A">
        <w:rPr>
          <w:rFonts w:ascii="Arial" w:hAnsi="Arial" w:cs="Arial"/>
          <w:sz w:val="20"/>
          <w:szCs w:val="20"/>
        </w:rPr>
        <w:t xml:space="preserve"> </w:t>
      </w:r>
      <w:r w:rsidR="009E64A9">
        <w:rPr>
          <w:rFonts w:ascii="Arial" w:hAnsi="Arial" w:cs="Arial"/>
          <w:sz w:val="20"/>
          <w:szCs w:val="20"/>
        </w:rPr>
        <w:t>more than twice the rate among females (167.5 per 100,000).</w:t>
      </w:r>
      <w:bookmarkStart w:id="2" w:name="_Hlk200638872"/>
    </w:p>
    <w:p w14:paraId="1F6AB525" w14:textId="5EB0E633" w:rsidR="00E10136" w:rsidRDefault="00E10136" w:rsidP="009E64A9">
      <w:pPr>
        <w:rPr>
          <w:rFonts w:ascii="Arial" w:hAnsi="Arial" w:cs="Arial"/>
          <w:sz w:val="20"/>
          <w:szCs w:val="20"/>
        </w:rPr>
      </w:pPr>
    </w:p>
    <w:p w14:paraId="3B02DCAD" w14:textId="2977D1C3" w:rsidR="00387E17" w:rsidRDefault="00387E17" w:rsidP="009E64A9">
      <w:pPr>
        <w:rPr>
          <w:rFonts w:ascii="Arial" w:hAnsi="Arial" w:cs="Arial"/>
          <w:sz w:val="20"/>
          <w:szCs w:val="20"/>
        </w:rPr>
      </w:pPr>
      <w:r>
        <w:rPr>
          <w:rFonts w:ascii="Arial" w:hAnsi="Arial" w:cs="Arial"/>
          <w:noProof/>
          <w:sz w:val="20"/>
          <w:szCs w:val="20"/>
        </w:rPr>
        <w:drawing>
          <wp:inline distT="0" distB="0" distL="0" distR="0" wp14:anchorId="603ED5B8" wp14:editId="442C8A47">
            <wp:extent cx="6912864" cy="2276856"/>
            <wp:effectExtent l="0" t="0" r="0" b="9525"/>
            <wp:docPr id="2131187727" name="Picture 2" descr="Graph depicts the rates per 100,000 population of gonorrhea in Massachusetts statewide, in Suffolk County overall, and by gender in Suffolk County between 2015 and 2024. The line showing statewide rate begins at 52.6 in 2015 and ends at 123.4 in 2024, with a peak of 139.1 in 2023. The line showing Suffolk County overall rate begins at 165.0 in 2015 and ends at 325.6 in 2024, with a peak of 388.6 in 2023. The line showing the rate among females in Suffolk County begins at 70.1 in 2015 and ends at 167.5 in 2024, with a peak of 203.1 in 2023. The line showing the rate among males in Suffolk County begins at 265.8 in 2015 and ends at 493.3 in 2024, with a peak of 585.2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87727" name="Picture 2" descr="Graph depicts the rates per 100,000 population of gonorrhea in Massachusetts statewide, in Suffolk County overall, and by gender in Suffolk County between 2015 and 2024. The line showing statewide rate begins at 52.6 in 2015 and ends at 123.4 in 2024, with a peak of 139.1 in 2023. The line showing Suffolk County overall rate begins at 165.0 in 2015 and ends at 325.6 in 2024, with a peak of 388.6 in 2023. The line showing the rate among females in Suffolk County begins at 70.1 in 2015 and ends at 167.5 in 2024, with a peak of 203.1 in 2023. The line showing the rate among males in Suffolk County begins at 265.8 in 2015 and ends at 493.3 in 2024, with a peak of 585.2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244CFD88" w14:textId="77777777" w:rsidR="0038295E" w:rsidRPr="004B107C" w:rsidRDefault="0038295E" w:rsidP="0038295E">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38A70740" w14:textId="77777777" w:rsidR="0038295E" w:rsidRPr="004B107C" w:rsidRDefault="0038295E" w:rsidP="0038295E">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7ACDE89B" w14:textId="77777777" w:rsidR="0038295E" w:rsidRPr="004B107C" w:rsidRDefault="0038295E" w:rsidP="0038295E">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64D870A4" w14:textId="77777777" w:rsidR="00E10136" w:rsidRPr="0038295E" w:rsidRDefault="00E10136" w:rsidP="004A18B7">
      <w:pPr>
        <w:rPr>
          <w:rFonts w:ascii="Arial" w:hAnsi="Arial" w:cs="Arial"/>
          <w:b/>
          <w:bCs/>
          <w:sz w:val="20"/>
          <w:szCs w:val="20"/>
        </w:rPr>
      </w:pPr>
      <w:bookmarkStart w:id="3" w:name="_Hlk200638889"/>
      <w:bookmarkEnd w:id="2"/>
    </w:p>
    <w:p w14:paraId="3D885FD2" w14:textId="1D8AA790" w:rsidR="004A18B7" w:rsidRDefault="004A18B7" w:rsidP="004A18B7">
      <w:pPr>
        <w:rPr>
          <w:rFonts w:ascii="Arial" w:hAnsi="Arial" w:cs="Arial"/>
          <w:b/>
          <w:bCs/>
          <w:sz w:val="20"/>
          <w:szCs w:val="20"/>
        </w:rPr>
      </w:pPr>
      <w:r w:rsidRPr="00FD1CAC">
        <w:rPr>
          <w:rFonts w:ascii="Arial" w:hAnsi="Arial" w:cs="Arial"/>
          <w:b/>
          <w:bCs/>
          <w:sz w:val="20"/>
          <w:szCs w:val="20"/>
        </w:rPr>
        <w:lastRenderedPageBreak/>
        <w:t xml:space="preserve">In 2024, </w:t>
      </w:r>
      <w:r w:rsidR="009E64A9">
        <w:rPr>
          <w:rFonts w:ascii="Arial" w:hAnsi="Arial" w:cs="Arial"/>
          <w:b/>
          <w:bCs/>
          <w:sz w:val="20"/>
          <w:szCs w:val="20"/>
        </w:rPr>
        <w:t>1,047</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387E17">
        <w:rPr>
          <w:rFonts w:ascii="Arial" w:hAnsi="Arial" w:cs="Arial"/>
          <w:b/>
          <w:bCs/>
          <w:sz w:val="20"/>
          <w:szCs w:val="20"/>
        </w:rPr>
        <w:t xml:space="preserve">at a rate of 593.7 per 100,000, </w:t>
      </w:r>
      <w:r w:rsidRPr="00FD1CAC">
        <w:rPr>
          <w:rFonts w:ascii="Arial" w:hAnsi="Arial" w:cs="Arial"/>
          <w:b/>
          <w:bCs/>
          <w:sz w:val="20"/>
          <w:szCs w:val="20"/>
        </w:rPr>
        <w:t xml:space="preserve">the highest among all age groups in </w:t>
      </w:r>
      <w:r w:rsidR="009E64A9">
        <w:rPr>
          <w:rFonts w:ascii="Arial" w:hAnsi="Arial" w:cs="Arial"/>
          <w:b/>
          <w:bCs/>
          <w:sz w:val="20"/>
          <w:szCs w:val="20"/>
        </w:rPr>
        <w:t>Suffolk</w:t>
      </w:r>
      <w:r w:rsidRPr="00FD1CAC">
        <w:rPr>
          <w:rFonts w:ascii="Arial" w:hAnsi="Arial" w:cs="Arial"/>
          <w:b/>
          <w:bCs/>
          <w:sz w:val="20"/>
          <w:szCs w:val="20"/>
        </w:rPr>
        <w:t xml:space="preserve"> County.</w:t>
      </w:r>
      <w:r w:rsidR="00387E17">
        <w:rPr>
          <w:rFonts w:ascii="Arial" w:hAnsi="Arial" w:cs="Arial"/>
          <w:sz w:val="20"/>
          <w:szCs w:val="20"/>
        </w:rPr>
        <w:t xml:space="preserve"> </w:t>
      </w:r>
      <w:r w:rsidR="007F3039">
        <w:rPr>
          <w:rFonts w:ascii="Arial" w:hAnsi="Arial" w:cs="Arial"/>
          <w:sz w:val="20"/>
          <w:szCs w:val="20"/>
        </w:rPr>
        <w:t>Fem</w:t>
      </w:r>
      <w:r w:rsidRPr="00FD1CAC">
        <w:rPr>
          <w:rFonts w:ascii="Arial" w:hAnsi="Arial" w:cs="Arial"/>
          <w:sz w:val="20"/>
          <w:szCs w:val="20"/>
        </w:rPr>
        <w:t xml:space="preserve">ales accounted for </w:t>
      </w:r>
      <w:r w:rsidR="00A12516">
        <w:rPr>
          <w:rFonts w:ascii="Arial" w:hAnsi="Arial" w:cs="Arial"/>
          <w:sz w:val="20"/>
          <w:szCs w:val="20"/>
        </w:rPr>
        <w:t>2</w:t>
      </w:r>
      <w:r w:rsidR="009E64A9">
        <w:rPr>
          <w:rFonts w:ascii="Arial" w:hAnsi="Arial" w:cs="Arial"/>
          <w:sz w:val="20"/>
          <w:szCs w:val="20"/>
        </w:rPr>
        <w:t>99</w:t>
      </w:r>
      <w:r w:rsidR="00A12516">
        <w:rPr>
          <w:rFonts w:ascii="Arial" w:hAnsi="Arial" w:cs="Arial"/>
          <w:sz w:val="20"/>
          <w:szCs w:val="20"/>
        </w:rPr>
        <w:t xml:space="preserve"> </w:t>
      </w:r>
      <w:r w:rsidRPr="00FD1CAC">
        <w:rPr>
          <w:rFonts w:ascii="Arial" w:hAnsi="Arial" w:cs="Arial"/>
          <w:sz w:val="20"/>
          <w:szCs w:val="20"/>
        </w:rPr>
        <w:t>cases</w:t>
      </w:r>
      <w:r w:rsidR="00712BD1">
        <w:rPr>
          <w:rFonts w:ascii="Arial" w:hAnsi="Arial" w:cs="Arial"/>
          <w:sz w:val="20"/>
          <w:szCs w:val="20"/>
        </w:rPr>
        <w:t xml:space="preserve"> (</w:t>
      </w:r>
      <w:r w:rsidR="00387E17">
        <w:rPr>
          <w:rFonts w:ascii="Arial" w:hAnsi="Arial" w:cs="Arial"/>
          <w:sz w:val="20"/>
          <w:szCs w:val="20"/>
        </w:rPr>
        <w:t>28.6</w:t>
      </w:r>
      <w:r w:rsidR="00712BD1">
        <w:rPr>
          <w:rFonts w:ascii="Arial" w:hAnsi="Arial" w:cs="Arial"/>
          <w:sz w:val="20"/>
          <w:szCs w:val="20"/>
        </w:rPr>
        <w:t>%) within the age group</w:t>
      </w:r>
      <w:r w:rsidRPr="00FD1CAC">
        <w:rPr>
          <w:rFonts w:ascii="Arial" w:hAnsi="Arial" w:cs="Arial"/>
          <w:sz w:val="20"/>
          <w:szCs w:val="20"/>
        </w:rPr>
        <w:t xml:space="preserve">, with a rate of </w:t>
      </w:r>
      <w:r w:rsidR="009E64A9">
        <w:rPr>
          <w:rFonts w:ascii="Arial" w:hAnsi="Arial" w:cs="Arial"/>
          <w:sz w:val="20"/>
          <w:szCs w:val="20"/>
        </w:rPr>
        <w:t xml:space="preserve">329.5 </w:t>
      </w:r>
      <w:r w:rsidRPr="00FD1CAC">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while </w:t>
      </w:r>
      <w:r w:rsidR="009E64A9">
        <w:rPr>
          <w:rFonts w:ascii="Arial" w:hAnsi="Arial" w:cs="Arial"/>
          <w:sz w:val="20"/>
          <w:szCs w:val="20"/>
        </w:rPr>
        <w:t>744</w:t>
      </w:r>
      <w:r w:rsidRPr="00A806D7">
        <w:rPr>
          <w:rFonts w:ascii="Arial" w:hAnsi="Arial" w:cs="Arial"/>
          <w:sz w:val="20"/>
          <w:szCs w:val="20"/>
        </w:rPr>
        <w:t xml:space="preserve"> cases </w:t>
      </w:r>
      <w:r w:rsidR="00387E17">
        <w:rPr>
          <w:rFonts w:ascii="Arial" w:hAnsi="Arial" w:cs="Arial"/>
          <w:sz w:val="20"/>
          <w:szCs w:val="20"/>
        </w:rPr>
        <w:t xml:space="preserve">(71.1%) </w:t>
      </w:r>
      <w:r w:rsidRPr="00A806D7">
        <w:rPr>
          <w:rFonts w:ascii="Arial" w:hAnsi="Arial" w:cs="Arial"/>
          <w:sz w:val="20"/>
          <w:szCs w:val="20"/>
        </w:rPr>
        <w:t xml:space="preserve">were reported for males, at a rate of </w:t>
      </w:r>
      <w:r w:rsidR="009E64A9">
        <w:rPr>
          <w:rFonts w:ascii="Arial" w:hAnsi="Arial" w:cs="Arial"/>
          <w:sz w:val="20"/>
          <w:szCs w:val="20"/>
        </w:rPr>
        <w:t>869.1</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712BD1">
        <w:rPr>
          <w:rFonts w:ascii="Arial" w:hAnsi="Arial" w:cs="Arial"/>
          <w:sz w:val="20"/>
          <w:szCs w:val="20"/>
        </w:rPr>
        <w:t>i</w:t>
      </w:r>
      <w:r w:rsidR="00712BD1" w:rsidRPr="00A806D7">
        <w:rPr>
          <w:rFonts w:ascii="Arial" w:hAnsi="Arial" w:cs="Arial"/>
          <w:sz w:val="20"/>
          <w:szCs w:val="20"/>
        </w:rPr>
        <w:t xml:space="preserve">s </w:t>
      </w:r>
      <w:r w:rsidRPr="00A806D7">
        <w:rPr>
          <w:rFonts w:ascii="Arial" w:hAnsi="Arial" w:cs="Arial"/>
          <w:sz w:val="20"/>
          <w:szCs w:val="20"/>
        </w:rPr>
        <w:t xml:space="preserve">concentrated among </w:t>
      </w:r>
      <w:r w:rsidR="00712BD1">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5B555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590AF207" w14:textId="7A5319B9" w:rsidR="00272D41" w:rsidRDefault="00272D41" w:rsidP="00272D41">
      <w:pPr>
        <w:tabs>
          <w:tab w:val="left" w:pos="1853"/>
        </w:tabs>
        <w:ind w:left="230"/>
        <w:rPr>
          <w:rFonts w:ascii="Arial" w:hAnsi="Arial" w:cs="Arial"/>
          <w:sz w:val="20"/>
          <w:szCs w:val="20"/>
        </w:rPr>
      </w:pPr>
    </w:p>
    <w:p w14:paraId="4E3CC60F" w14:textId="4CBFDB25" w:rsidR="0038295E" w:rsidRDefault="0038295E" w:rsidP="00272D41">
      <w:pPr>
        <w:tabs>
          <w:tab w:val="left" w:pos="1853"/>
        </w:tabs>
        <w:ind w:left="230"/>
        <w:rPr>
          <w:rFonts w:ascii="Arial" w:hAnsi="Arial" w:cs="Arial"/>
          <w:sz w:val="20"/>
          <w:szCs w:val="20"/>
        </w:rPr>
      </w:pPr>
      <w:r>
        <w:rPr>
          <w:rFonts w:ascii="Arial" w:hAnsi="Arial" w:cs="Arial"/>
          <w:noProof/>
          <w:sz w:val="20"/>
          <w:szCs w:val="20"/>
        </w:rPr>
        <w:drawing>
          <wp:inline distT="0" distB="0" distL="0" distR="0" wp14:anchorId="3467F517" wp14:editId="714E3F71">
            <wp:extent cx="6912864" cy="2642616"/>
            <wp:effectExtent l="0" t="0" r="2540" b="5715"/>
            <wp:docPr id="902948949" name="Picture 10" descr="Graph depicts the rates per 100,000 population of gonorrhea cases in Suffolk County, Massachusetts by age group for 2015 and 2024. The included age groups are &lt;20 years, 20-29 years, 30-39 years, 40-49 years, 50-59 years, and 60+ years. Rates are consistently higher in 2024 compared to 2015. Rates are highest among those aged 20-29, at 366.3 in 2015 and 593.7 in 2024. Rates are lowest among those aged 60+ years, at 17.7 in 2015 and 41.7 in 2024. The age group that saw the largest change in rate was 30-39, from 217.7 in 2015 to 565.6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48949" name="Picture 10" descr="Graph depicts the rates per 100,000 population of gonorrhea cases in Suffolk County, Massachusetts by age group for 2015 and 2024. The included age groups are &lt;20 years, 20-29 years, 30-39 years, 40-49 years, 50-59 years, and 60+ years. Rates are consistently higher in 2024 compared to 2015. Rates are highest among those aged 20-29, at 366.3 in 2015 and 593.7 in 2024. Rates are lowest among those aged 60+ years, at 17.7 in 2015 and 41.7 in 2024. The age group that saw the largest change in rate was 30-39, from 217.7 in 2015 to 565.6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76312298" w14:textId="77777777" w:rsidR="0038295E" w:rsidRPr="002F5B67" w:rsidRDefault="0038295E" w:rsidP="0038295E">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56090612" w14:textId="77777777" w:rsidR="0038295E" w:rsidRPr="002F5B67" w:rsidRDefault="0038295E" w:rsidP="0038295E">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3E321989" w14:textId="21009AAB" w:rsidR="00272D41" w:rsidRDefault="0038295E" w:rsidP="00272D41">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230A6D9F" w14:textId="77777777" w:rsidR="00272D41" w:rsidRPr="004D6B45" w:rsidRDefault="00272D41" w:rsidP="00272D41">
      <w:pPr>
        <w:rPr>
          <w:rFonts w:ascii="Arial" w:hAnsi="Arial" w:cs="Arial"/>
          <w:b/>
          <w:bCs/>
          <w:sz w:val="4"/>
          <w:szCs w:val="4"/>
          <w:u w:val="single"/>
        </w:rPr>
      </w:pPr>
    </w:p>
    <w:p w14:paraId="757F413A" w14:textId="0F64F719" w:rsidR="00755AD7" w:rsidRPr="00173387" w:rsidRDefault="00C50C59" w:rsidP="00C50C59">
      <w:pPr>
        <w:tabs>
          <w:tab w:val="left" w:pos="1302"/>
        </w:tabs>
        <w:rPr>
          <w:rFonts w:ascii="Arial" w:hAnsi="Arial" w:cs="Arial"/>
          <w:sz w:val="20"/>
          <w:szCs w:val="20"/>
        </w:rPr>
      </w:pPr>
      <w:r>
        <w:rPr>
          <w:rFonts w:ascii="Arial" w:hAnsi="Arial" w:cs="Arial"/>
          <w:sz w:val="20"/>
          <w:szCs w:val="20"/>
        </w:rPr>
        <w:tab/>
      </w:r>
    </w:p>
    <w:bookmarkEnd w:id="3"/>
    <w:p w14:paraId="7EA208A8" w14:textId="27E6DEF3" w:rsidR="00E83783" w:rsidRPr="00F2432D" w:rsidRDefault="00E83783" w:rsidP="008A048A">
      <w:pPr>
        <w:pStyle w:val="Heading1"/>
        <w:rPr>
          <w:vertAlign w:val="superscript"/>
        </w:rPr>
      </w:pPr>
      <w:r>
        <w:t>Infectious Syphilis</w:t>
      </w:r>
      <w:r w:rsidR="001E6515">
        <w:rPr>
          <w:vertAlign w:val="superscript"/>
        </w:rPr>
        <w:t>5</w:t>
      </w:r>
    </w:p>
    <w:p w14:paraId="2932FE4F" w14:textId="30982D9E" w:rsidR="00E83783" w:rsidRPr="0038295E"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035FCB">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38295E">
        <w:rPr>
          <w:rFonts w:ascii="Arial" w:hAnsi="Arial" w:cs="Arial"/>
          <w:sz w:val="20"/>
          <w:szCs w:val="20"/>
          <w:vertAlign w:val="superscript"/>
        </w:rPr>
        <w:t>2</w:t>
      </w:r>
    </w:p>
    <w:p w14:paraId="3566CCC6" w14:textId="77777777" w:rsidR="0009025F" w:rsidRPr="00C66B1B" w:rsidRDefault="0009025F" w:rsidP="00C66B1B">
      <w:pPr>
        <w:rPr>
          <w:rFonts w:ascii="Arial" w:hAnsi="Arial" w:cs="Arial"/>
          <w:sz w:val="20"/>
          <w:szCs w:val="20"/>
        </w:rPr>
      </w:pPr>
    </w:p>
    <w:p w14:paraId="3C42D3FB" w14:textId="2FE5DFFF"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B03079">
        <w:rPr>
          <w:rFonts w:ascii="Arial" w:hAnsi="Arial" w:cs="Arial"/>
          <w:sz w:val="20"/>
          <w:szCs w:val="20"/>
        </w:rPr>
        <w:t>Suffolk</w:t>
      </w:r>
      <w:r>
        <w:rPr>
          <w:rFonts w:ascii="Arial" w:hAnsi="Arial" w:cs="Arial"/>
          <w:sz w:val="20"/>
          <w:szCs w:val="20"/>
        </w:rPr>
        <w:t xml:space="preserve"> County also experienced </w:t>
      </w:r>
      <w:r w:rsidR="0009025F">
        <w:rPr>
          <w:rFonts w:ascii="Arial" w:hAnsi="Arial" w:cs="Arial"/>
          <w:sz w:val="20"/>
          <w:szCs w:val="20"/>
        </w:rPr>
        <w:t xml:space="preserve">a slight </w:t>
      </w:r>
      <w:r>
        <w:rPr>
          <w:rFonts w:ascii="Arial" w:hAnsi="Arial" w:cs="Arial"/>
          <w:sz w:val="20"/>
          <w:szCs w:val="20"/>
        </w:rPr>
        <w:t xml:space="preserve">overall increase </w:t>
      </w:r>
      <w:r w:rsidR="0009025F">
        <w:rPr>
          <w:rFonts w:ascii="Arial" w:hAnsi="Arial" w:cs="Arial"/>
          <w:sz w:val="20"/>
          <w:szCs w:val="20"/>
        </w:rPr>
        <w:t xml:space="preserve">in </w:t>
      </w:r>
      <w:r>
        <w:rPr>
          <w:rFonts w:ascii="Arial" w:hAnsi="Arial" w:cs="Arial"/>
          <w:sz w:val="20"/>
          <w:szCs w:val="20"/>
        </w:rPr>
        <w:t xml:space="preserve">reported infectious syphilis cases, ranging from </w:t>
      </w:r>
      <w:r w:rsidR="00B03079">
        <w:rPr>
          <w:rFonts w:ascii="Arial" w:hAnsi="Arial" w:cs="Arial"/>
          <w:sz w:val="20"/>
          <w:szCs w:val="20"/>
        </w:rPr>
        <w:t>293</w:t>
      </w:r>
      <w:r>
        <w:rPr>
          <w:rFonts w:ascii="Arial" w:hAnsi="Arial" w:cs="Arial"/>
          <w:sz w:val="20"/>
          <w:szCs w:val="20"/>
        </w:rPr>
        <w:t xml:space="preserve"> in 2015 </w:t>
      </w:r>
      <w:r w:rsidR="00387E17">
        <w:rPr>
          <w:rFonts w:ascii="Arial" w:hAnsi="Arial" w:cs="Arial"/>
          <w:sz w:val="20"/>
          <w:szCs w:val="20"/>
        </w:rPr>
        <w:t xml:space="preserve">to </w:t>
      </w:r>
      <w:r>
        <w:rPr>
          <w:rFonts w:ascii="Arial" w:hAnsi="Arial" w:cs="Arial"/>
          <w:sz w:val="20"/>
          <w:szCs w:val="20"/>
        </w:rPr>
        <w:t xml:space="preserve">a peak of </w:t>
      </w:r>
      <w:r w:rsidR="00B03079">
        <w:rPr>
          <w:rFonts w:ascii="Arial" w:hAnsi="Arial" w:cs="Arial"/>
          <w:sz w:val="20"/>
          <w:szCs w:val="20"/>
        </w:rPr>
        <w:t>452</w:t>
      </w:r>
      <w:r>
        <w:rPr>
          <w:rFonts w:ascii="Arial" w:hAnsi="Arial" w:cs="Arial"/>
          <w:sz w:val="20"/>
          <w:szCs w:val="20"/>
        </w:rPr>
        <w:t xml:space="preserve"> in 202</w:t>
      </w:r>
      <w:r w:rsidR="00B03079">
        <w:rPr>
          <w:rFonts w:ascii="Arial" w:hAnsi="Arial" w:cs="Arial"/>
          <w:sz w:val="20"/>
          <w:szCs w:val="20"/>
        </w:rPr>
        <w:t>2</w:t>
      </w:r>
      <w:r>
        <w:rPr>
          <w:rFonts w:ascii="Arial" w:hAnsi="Arial" w:cs="Arial"/>
          <w:sz w:val="20"/>
          <w:szCs w:val="20"/>
        </w:rPr>
        <w:t xml:space="preserve">, before declining to </w:t>
      </w:r>
      <w:r w:rsidR="00B03079">
        <w:rPr>
          <w:rFonts w:ascii="Arial" w:hAnsi="Arial" w:cs="Arial"/>
          <w:sz w:val="20"/>
          <w:szCs w:val="20"/>
        </w:rPr>
        <w:t>357</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B03079">
        <w:rPr>
          <w:rFonts w:ascii="Arial" w:hAnsi="Arial" w:cs="Arial"/>
          <w:sz w:val="20"/>
          <w:szCs w:val="20"/>
        </w:rPr>
        <w:t>44.7</w:t>
      </w:r>
      <w:r>
        <w:rPr>
          <w:rFonts w:ascii="Arial" w:hAnsi="Arial" w:cs="Arial"/>
          <w:sz w:val="20"/>
          <w:szCs w:val="20"/>
        </w:rPr>
        <w:t xml:space="preserve"> </w:t>
      </w:r>
      <w:r w:rsidRPr="00F17DB3">
        <w:rPr>
          <w:rFonts w:ascii="Arial" w:hAnsi="Arial" w:cs="Arial"/>
          <w:sz w:val="20"/>
          <w:szCs w:val="20"/>
        </w:rPr>
        <w:t>per 100,000</w:t>
      </w:r>
      <w:r w:rsidR="0009025F">
        <w:rPr>
          <w:rFonts w:ascii="Arial" w:hAnsi="Arial" w:cs="Arial"/>
          <w:sz w:val="20"/>
          <w:szCs w:val="20"/>
        </w:rPr>
        <w:t xml:space="preserve">, which is higher than the </w:t>
      </w:r>
      <w:r w:rsidR="001E6515" w:rsidRPr="00004746">
        <w:rPr>
          <w:rFonts w:ascii="Arial" w:hAnsi="Arial" w:cs="Arial"/>
          <w:sz w:val="20"/>
          <w:szCs w:val="20"/>
        </w:rPr>
        <w:t xml:space="preserve">statewide rate </w:t>
      </w:r>
      <w:r w:rsidR="0009025F">
        <w:rPr>
          <w:rFonts w:ascii="Arial" w:hAnsi="Arial" w:cs="Arial"/>
          <w:sz w:val="20"/>
          <w:szCs w:val="20"/>
        </w:rPr>
        <w:t>of</w:t>
      </w:r>
      <w:r w:rsidR="0009025F" w:rsidRPr="00004746">
        <w:rPr>
          <w:rFonts w:ascii="Arial" w:hAnsi="Arial" w:cs="Arial"/>
          <w:sz w:val="20"/>
          <w:szCs w:val="20"/>
        </w:rPr>
        <w:t xml:space="preserve"> </w:t>
      </w:r>
      <w:r w:rsidR="001E6515" w:rsidRPr="00004746">
        <w:rPr>
          <w:rFonts w:ascii="Arial" w:hAnsi="Arial" w:cs="Arial"/>
          <w:sz w:val="20"/>
          <w:szCs w:val="20"/>
        </w:rPr>
        <w:t>18.9 per 100,000</w:t>
      </w:r>
      <w:r w:rsidR="0009025F">
        <w:rPr>
          <w:rFonts w:ascii="Arial" w:hAnsi="Arial" w:cs="Arial"/>
          <w:sz w:val="20"/>
          <w:szCs w:val="20"/>
        </w:rPr>
        <w:t xml:space="preserve"> and </w:t>
      </w:r>
      <w:r w:rsidR="001E6515" w:rsidRPr="00004746">
        <w:rPr>
          <w:rFonts w:ascii="Arial" w:hAnsi="Arial" w:cs="Arial"/>
          <w:sz w:val="20"/>
          <w:szCs w:val="20"/>
        </w:rPr>
        <w:t xml:space="preserve">the national rate of </w:t>
      </w:r>
      <w:r w:rsidR="001E6515" w:rsidRPr="00277724">
        <w:rPr>
          <w:rFonts w:ascii="Arial" w:hAnsi="Arial" w:cs="Arial"/>
          <w:sz w:val="20"/>
          <w:szCs w:val="20"/>
        </w:rPr>
        <w:t>2</w:t>
      </w:r>
      <w:r w:rsidR="00834A87">
        <w:rPr>
          <w:rFonts w:ascii="Arial" w:hAnsi="Arial" w:cs="Arial"/>
          <w:sz w:val="20"/>
          <w:szCs w:val="20"/>
        </w:rPr>
        <w:t>6.2</w:t>
      </w:r>
      <w:r w:rsidR="001E6515" w:rsidRPr="00277724">
        <w:rPr>
          <w:rFonts w:ascii="Arial" w:hAnsi="Arial" w:cs="Arial"/>
          <w:sz w:val="20"/>
          <w:szCs w:val="20"/>
        </w:rPr>
        <w:t> per 100,000 (based on CDC data for primary, secondary, and early non-primary, non-secondary syphilis).</w:t>
      </w:r>
      <w:r w:rsidR="001E6515">
        <w:rPr>
          <w:rFonts w:ascii="Arial" w:hAnsi="Arial" w:cs="Arial"/>
          <w:sz w:val="20"/>
          <w:szCs w:val="20"/>
          <w:vertAlign w:val="superscript"/>
        </w:rPr>
        <w:t>4</w:t>
      </w:r>
    </w:p>
    <w:bookmarkEnd w:id="9"/>
    <w:p w14:paraId="6ACB1A47" w14:textId="77777777" w:rsidR="00BA2EEC" w:rsidRPr="00C66B1B" w:rsidRDefault="00BA2EEC" w:rsidP="00BA2EEC">
      <w:pPr>
        <w:rPr>
          <w:rFonts w:ascii="Arial" w:hAnsi="Arial" w:cs="Arial"/>
          <w:sz w:val="20"/>
          <w:szCs w:val="20"/>
        </w:rPr>
      </w:pPr>
    </w:p>
    <w:p w14:paraId="087102A1" w14:textId="479C054E" w:rsidR="0038295E" w:rsidRDefault="0009025F" w:rsidP="00B03079">
      <w:pPr>
        <w:rPr>
          <w:rFonts w:ascii="Arial" w:hAnsi="Arial" w:cs="Arial"/>
          <w:b/>
          <w:bCs/>
          <w:sz w:val="20"/>
          <w:szCs w:val="20"/>
        </w:rPr>
      </w:pPr>
      <w:r>
        <w:rPr>
          <w:rFonts w:ascii="Arial" w:hAnsi="Arial" w:cs="Arial"/>
          <w:b/>
          <w:bCs/>
          <w:sz w:val="20"/>
          <w:szCs w:val="20"/>
        </w:rPr>
        <w:t>Between 2015 and 2024, t</w:t>
      </w:r>
      <w:r w:rsidR="00BA2EEC" w:rsidRPr="00F17DB3">
        <w:rPr>
          <w:rFonts w:ascii="Arial" w:hAnsi="Arial" w:cs="Arial"/>
          <w:b/>
          <w:bCs/>
          <w:sz w:val="20"/>
          <w:szCs w:val="20"/>
        </w:rPr>
        <w:t xml:space="preserve">he county rate of </w:t>
      </w:r>
      <w:r w:rsidR="00BA2EEC">
        <w:rPr>
          <w:rFonts w:ascii="Arial" w:hAnsi="Arial" w:cs="Arial"/>
          <w:b/>
          <w:bCs/>
          <w:sz w:val="20"/>
          <w:szCs w:val="20"/>
        </w:rPr>
        <w:t>infectious</w:t>
      </w:r>
      <w:r w:rsidR="00BA2EEC" w:rsidRPr="00F17DB3">
        <w:rPr>
          <w:rFonts w:ascii="Arial" w:hAnsi="Arial" w:cs="Arial"/>
          <w:b/>
          <w:bCs/>
          <w:sz w:val="20"/>
          <w:szCs w:val="20"/>
        </w:rPr>
        <w:t xml:space="preserve"> syphilis among </w:t>
      </w:r>
      <w:r w:rsidR="00BA2EEC">
        <w:rPr>
          <w:rFonts w:ascii="Arial" w:hAnsi="Arial" w:cs="Arial"/>
          <w:b/>
          <w:bCs/>
          <w:sz w:val="20"/>
          <w:szCs w:val="20"/>
        </w:rPr>
        <w:t>males</w:t>
      </w:r>
      <w:r w:rsidR="00BA2EEC" w:rsidRPr="00F17DB3">
        <w:rPr>
          <w:rFonts w:ascii="Arial" w:hAnsi="Arial" w:cs="Arial"/>
          <w:b/>
          <w:bCs/>
          <w:sz w:val="20"/>
          <w:szCs w:val="20"/>
        </w:rPr>
        <w:t xml:space="preserve"> was much higher </w:t>
      </w:r>
      <w:r w:rsidR="00BA2EEC" w:rsidRPr="00F17DB3">
        <w:rPr>
          <w:rFonts w:ascii="Arial" w:hAnsi="Arial" w:cs="Arial"/>
          <w:sz w:val="20"/>
          <w:szCs w:val="20"/>
        </w:rPr>
        <w:t xml:space="preserve">compared to the rate among </w:t>
      </w:r>
      <w:r w:rsidR="00BA2EEC">
        <w:rPr>
          <w:rFonts w:ascii="Arial" w:hAnsi="Arial" w:cs="Arial"/>
          <w:sz w:val="20"/>
          <w:szCs w:val="20"/>
        </w:rPr>
        <w:t>females</w:t>
      </w:r>
      <w:r w:rsidR="00BA2EEC" w:rsidRPr="00F17DB3">
        <w:rPr>
          <w:rFonts w:ascii="Arial" w:hAnsi="Arial" w:cs="Arial"/>
          <w:sz w:val="20"/>
          <w:szCs w:val="20"/>
        </w:rPr>
        <w:t>.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B03079">
        <w:rPr>
          <w:rFonts w:ascii="Arial" w:hAnsi="Arial" w:cs="Arial"/>
          <w:sz w:val="20"/>
          <w:szCs w:val="20"/>
        </w:rPr>
        <w:t>83.5</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B03079">
        <w:rPr>
          <w:rFonts w:ascii="Arial" w:hAnsi="Arial" w:cs="Arial"/>
          <w:sz w:val="20"/>
          <w:szCs w:val="20"/>
        </w:rPr>
        <w:t>77.3</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B03079">
        <w:rPr>
          <w:rFonts w:ascii="Arial" w:hAnsi="Arial" w:cs="Arial"/>
          <w:sz w:val="20"/>
          <w:szCs w:val="20"/>
        </w:rPr>
        <w:t>five</w:t>
      </w:r>
      <w:r w:rsidR="00C753A3">
        <w:rPr>
          <w:rFonts w:ascii="Arial" w:hAnsi="Arial" w:cs="Arial"/>
          <w:sz w:val="20"/>
          <w:szCs w:val="20"/>
        </w:rPr>
        <w:t xml:space="preserve">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C753A3">
        <w:rPr>
          <w:rFonts w:ascii="Arial" w:hAnsi="Arial" w:cs="Arial"/>
          <w:sz w:val="20"/>
          <w:szCs w:val="20"/>
        </w:rPr>
        <w:t>1</w:t>
      </w:r>
      <w:r w:rsidR="00B03079">
        <w:rPr>
          <w:rFonts w:ascii="Arial" w:hAnsi="Arial" w:cs="Arial"/>
          <w:sz w:val="20"/>
          <w:szCs w:val="20"/>
        </w:rPr>
        <w:t>4.3</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p>
    <w:p w14:paraId="2E36C61D" w14:textId="1B4DAB5F" w:rsidR="007221C2" w:rsidRDefault="007221C2" w:rsidP="00B03079">
      <w:pPr>
        <w:rPr>
          <w:rFonts w:ascii="Arial" w:hAnsi="Arial" w:cs="Arial"/>
          <w:b/>
          <w:bCs/>
          <w:sz w:val="20"/>
          <w:szCs w:val="20"/>
        </w:rPr>
      </w:pPr>
      <w:r>
        <w:rPr>
          <w:rFonts w:ascii="Arial" w:hAnsi="Arial" w:cs="Arial"/>
          <w:b/>
          <w:bCs/>
          <w:noProof/>
          <w:sz w:val="20"/>
          <w:szCs w:val="20"/>
        </w:rPr>
        <w:lastRenderedPageBreak/>
        <w:drawing>
          <wp:inline distT="0" distB="0" distL="0" distR="0" wp14:anchorId="59ADA96F" wp14:editId="327B6DB5">
            <wp:extent cx="6912864" cy="2286000"/>
            <wp:effectExtent l="0" t="0" r="0" b="0"/>
            <wp:docPr id="1011621527" name="Picture 1" descr="Graph depicts the rates per 100,000 population of infectious syphilis in Massachusetts statewide, in Suffolk County overall, and by gender in Suffolk County between 2015 and 2024. The line showing statewide rate begins at 11.7 in 2015 and ends at 18.9 in 2024, with a peak of 22.7 in 2022. The line showing Suffolk County overall rate begins at 37.4 in 2015 and ends at 44.7 in 2024, with a peak of 57.1 in 2022. The line showing the rate among females in Suffolk County begins at 2.5 in 2015 and ends at 14.3 in 2024, with a peak of 15.8 in 2023. The line showing the rate among males in Suffolk County begins at 74.6 in 2015 and ends at 77.3 in 2024, with a peak of 106.1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21527" name="Picture 1" descr="Graph depicts the rates per 100,000 population of infectious syphilis in Massachusetts statewide, in Suffolk County overall, and by gender in Suffolk County between 2015 and 2024. The line showing statewide rate begins at 11.7 in 2015 and ends at 18.9 in 2024, with a peak of 22.7 in 2022. The line showing Suffolk County overall rate begins at 37.4 in 2015 and ends at 44.7 in 2024, with a peak of 57.1 in 2022. The line showing the rate among females in Suffolk County begins at 2.5 in 2015 and ends at 14.3 in 2024, with a peak of 15.8 in 2023. The line showing the rate among males in Suffolk County begins at 74.6 in 2015 and ends at 77.3 in 2024, with a peak of 106.1 in 20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4D783149" w14:textId="77777777" w:rsidR="0038295E" w:rsidRPr="002F5B67" w:rsidRDefault="0038295E" w:rsidP="0038295E">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1707AC91" w14:textId="77777777" w:rsidR="0038295E" w:rsidRPr="002F5B67" w:rsidRDefault="0038295E" w:rsidP="0038295E">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1C73F17F" w14:textId="77777777" w:rsidR="0038295E" w:rsidRDefault="0038295E" w:rsidP="0038295E">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10E7A800" w14:textId="77777777" w:rsidR="00E10136" w:rsidRDefault="00E10136" w:rsidP="00EE12C8">
      <w:pPr>
        <w:rPr>
          <w:rFonts w:ascii="Arial" w:hAnsi="Arial" w:cs="Arial"/>
          <w:b/>
          <w:bCs/>
          <w:sz w:val="20"/>
          <w:szCs w:val="20"/>
        </w:rPr>
      </w:pPr>
      <w:bookmarkStart w:id="10" w:name="_Hlk200638979"/>
      <w:bookmarkEnd w:id="8"/>
    </w:p>
    <w:p w14:paraId="37C7E9E7" w14:textId="77328316" w:rsidR="00EE12C8" w:rsidRDefault="00EE12C8" w:rsidP="00EE12C8">
      <w:pPr>
        <w:rPr>
          <w:rFonts w:ascii="Arial" w:hAnsi="Arial" w:cs="Arial"/>
          <w:b/>
          <w:bCs/>
          <w:sz w:val="20"/>
          <w:szCs w:val="20"/>
        </w:rPr>
      </w:pPr>
      <w:r w:rsidRPr="00861828">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w:t>
      </w:r>
      <w:r w:rsidR="00B03079">
        <w:rPr>
          <w:rFonts w:ascii="Arial" w:hAnsi="Arial" w:cs="Arial"/>
          <w:b/>
          <w:bCs/>
          <w:sz w:val="20"/>
          <w:szCs w:val="20"/>
        </w:rPr>
        <w:t>128</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Pr>
          <w:rFonts w:ascii="Arial" w:hAnsi="Arial" w:cs="Arial"/>
          <w:b/>
          <w:bCs/>
          <w:sz w:val="20"/>
          <w:szCs w:val="20"/>
        </w:rPr>
        <w:t>3</w:t>
      </w:r>
      <w:r w:rsidRPr="005A47A6">
        <w:rPr>
          <w:rFonts w:ascii="Arial" w:hAnsi="Arial" w:cs="Arial"/>
          <w:b/>
          <w:bCs/>
          <w:sz w:val="20"/>
          <w:szCs w:val="20"/>
        </w:rPr>
        <w:t>9-year-olds,</w:t>
      </w:r>
      <w:r w:rsidR="00387E17">
        <w:rPr>
          <w:rFonts w:ascii="Arial" w:hAnsi="Arial" w:cs="Arial"/>
          <w:b/>
          <w:bCs/>
          <w:sz w:val="20"/>
          <w:szCs w:val="20"/>
        </w:rPr>
        <w:t xml:space="preserve"> at a rate of 87.8 per 100,000,</w:t>
      </w:r>
      <w:r w:rsidRPr="005A47A6">
        <w:rPr>
          <w:rFonts w:ascii="Arial" w:hAnsi="Arial" w:cs="Arial"/>
          <w:b/>
          <w:bCs/>
          <w:sz w:val="20"/>
          <w:szCs w:val="20"/>
        </w:rPr>
        <w:t xml:space="preserve"> the highest among all age groups in </w:t>
      </w:r>
      <w:r w:rsidR="00B03079">
        <w:rPr>
          <w:rFonts w:ascii="Arial" w:hAnsi="Arial" w:cs="Arial"/>
          <w:b/>
          <w:bCs/>
          <w:sz w:val="20"/>
          <w:szCs w:val="20"/>
        </w:rPr>
        <w:t>Suffolk</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Pr>
          <w:rFonts w:ascii="Arial" w:hAnsi="Arial" w:cs="Arial"/>
          <w:sz w:val="20"/>
          <w:szCs w:val="20"/>
        </w:rPr>
        <w:t>M</w:t>
      </w:r>
      <w:r w:rsidRPr="00A806D7">
        <w:rPr>
          <w:rFonts w:ascii="Arial" w:hAnsi="Arial" w:cs="Arial"/>
          <w:sz w:val="20"/>
          <w:szCs w:val="20"/>
        </w:rPr>
        <w:t xml:space="preserve">ales accounted for </w:t>
      </w:r>
      <w:r w:rsidR="00B03079">
        <w:rPr>
          <w:rFonts w:ascii="Arial" w:hAnsi="Arial" w:cs="Arial"/>
          <w:sz w:val="20"/>
          <w:szCs w:val="20"/>
        </w:rPr>
        <w:t>109</w:t>
      </w:r>
      <w:r w:rsidRPr="00A806D7">
        <w:rPr>
          <w:rFonts w:ascii="Arial" w:hAnsi="Arial" w:cs="Arial"/>
          <w:sz w:val="20"/>
          <w:szCs w:val="20"/>
        </w:rPr>
        <w:t xml:space="preserve"> cases</w:t>
      </w:r>
      <w:r w:rsidR="0009025F">
        <w:rPr>
          <w:rFonts w:ascii="Arial" w:hAnsi="Arial" w:cs="Arial"/>
          <w:sz w:val="20"/>
          <w:szCs w:val="20"/>
        </w:rPr>
        <w:t xml:space="preserve"> (</w:t>
      </w:r>
      <w:r w:rsidR="00387E17">
        <w:rPr>
          <w:rFonts w:ascii="Arial" w:hAnsi="Arial" w:cs="Arial"/>
          <w:sz w:val="20"/>
          <w:szCs w:val="20"/>
        </w:rPr>
        <w:t>85.2</w:t>
      </w:r>
      <w:r w:rsidR="0009025F">
        <w:rPr>
          <w:rFonts w:ascii="Arial" w:hAnsi="Arial" w:cs="Arial"/>
          <w:sz w:val="20"/>
          <w:szCs w:val="20"/>
        </w:rPr>
        <w:t>%) in this age group</w:t>
      </w:r>
      <w:r w:rsidRPr="00A806D7">
        <w:rPr>
          <w:rFonts w:ascii="Arial" w:hAnsi="Arial" w:cs="Arial"/>
          <w:sz w:val="20"/>
          <w:szCs w:val="20"/>
        </w:rPr>
        <w:t xml:space="preserve">, with a rate of </w:t>
      </w:r>
      <w:r w:rsidR="00B03079">
        <w:rPr>
          <w:rFonts w:ascii="Arial" w:hAnsi="Arial" w:cs="Arial"/>
          <w:sz w:val="20"/>
          <w:szCs w:val="20"/>
        </w:rPr>
        <w:t>148.7</w:t>
      </w:r>
      <w:r>
        <w:rPr>
          <w:rFonts w:ascii="Arial" w:hAnsi="Arial" w:cs="Arial"/>
          <w:sz w:val="20"/>
          <w:szCs w:val="20"/>
        </w:rPr>
        <w:t xml:space="preserve"> </w:t>
      </w:r>
      <w:r w:rsidRPr="00A806D7">
        <w:rPr>
          <w:rFonts w:ascii="Arial" w:hAnsi="Arial" w:cs="Arial"/>
          <w:sz w:val="20"/>
          <w:szCs w:val="20"/>
        </w:rPr>
        <w:t xml:space="preserve">per 100,000, while </w:t>
      </w:r>
      <w:r w:rsidR="00C1302B">
        <w:rPr>
          <w:rFonts w:ascii="Arial" w:hAnsi="Arial" w:cs="Arial"/>
          <w:sz w:val="20"/>
          <w:szCs w:val="20"/>
        </w:rPr>
        <w:t>1</w:t>
      </w:r>
      <w:r w:rsidR="00B03079">
        <w:rPr>
          <w:rFonts w:ascii="Arial" w:hAnsi="Arial" w:cs="Arial"/>
          <w:sz w:val="20"/>
          <w:szCs w:val="20"/>
        </w:rPr>
        <w:t>9</w:t>
      </w:r>
      <w:r>
        <w:rPr>
          <w:rFonts w:ascii="Arial" w:hAnsi="Arial" w:cs="Arial"/>
          <w:sz w:val="20"/>
          <w:szCs w:val="20"/>
        </w:rPr>
        <w:t xml:space="preserve"> </w:t>
      </w:r>
      <w:r w:rsidRPr="00A806D7">
        <w:rPr>
          <w:rFonts w:ascii="Arial" w:hAnsi="Arial" w:cs="Arial"/>
          <w:sz w:val="20"/>
          <w:szCs w:val="20"/>
        </w:rPr>
        <w:t>cases</w:t>
      </w:r>
      <w:r w:rsidR="00387E17">
        <w:rPr>
          <w:rFonts w:ascii="Arial" w:hAnsi="Arial" w:cs="Arial"/>
          <w:sz w:val="20"/>
          <w:szCs w:val="20"/>
        </w:rPr>
        <w:t xml:space="preserve"> (14.8%)</w:t>
      </w:r>
      <w:r w:rsidRPr="00A806D7">
        <w:rPr>
          <w:rFonts w:ascii="Arial" w:hAnsi="Arial" w:cs="Arial"/>
          <w:sz w:val="20"/>
          <w:szCs w:val="20"/>
        </w:rPr>
        <w:t xml:space="preserve"> were reported </w:t>
      </w:r>
      <w:r w:rsidR="00387E17">
        <w:rPr>
          <w:rFonts w:ascii="Arial" w:hAnsi="Arial" w:cs="Arial"/>
          <w:sz w:val="20"/>
          <w:szCs w:val="20"/>
        </w:rPr>
        <w:t>among</w:t>
      </w:r>
      <w:r w:rsidRPr="00A806D7">
        <w:rPr>
          <w:rFonts w:ascii="Arial" w:hAnsi="Arial" w:cs="Arial"/>
          <w:sz w:val="20"/>
          <w:szCs w:val="20"/>
        </w:rPr>
        <w:t xml:space="preserve"> </w:t>
      </w:r>
      <w:r>
        <w:rPr>
          <w:rFonts w:ascii="Arial" w:hAnsi="Arial" w:cs="Arial"/>
          <w:sz w:val="20"/>
          <w:szCs w:val="20"/>
        </w:rPr>
        <w:t>fe</w:t>
      </w:r>
      <w:r w:rsidRPr="00A806D7">
        <w:rPr>
          <w:rFonts w:ascii="Arial" w:hAnsi="Arial" w:cs="Arial"/>
          <w:sz w:val="20"/>
          <w:szCs w:val="20"/>
        </w:rPr>
        <w:t xml:space="preserve">males, at a rate of </w:t>
      </w:r>
      <w:r w:rsidR="00B03079">
        <w:rPr>
          <w:rFonts w:ascii="Arial" w:hAnsi="Arial" w:cs="Arial"/>
          <w:sz w:val="20"/>
          <w:szCs w:val="20"/>
        </w:rPr>
        <w:t>26.2</w:t>
      </w:r>
      <w:r w:rsidRPr="00A806D7">
        <w:rPr>
          <w:rFonts w:ascii="Arial" w:hAnsi="Arial" w:cs="Arial"/>
          <w:sz w:val="20"/>
          <w:szCs w:val="20"/>
        </w:rPr>
        <w:t xml:space="preserve"> per 100,000. Although the chart below represents rates by age group only, the highest burden </w:t>
      </w:r>
      <w:r w:rsidR="0009025F">
        <w:rPr>
          <w:rFonts w:ascii="Arial" w:hAnsi="Arial" w:cs="Arial"/>
          <w:sz w:val="20"/>
          <w:szCs w:val="20"/>
        </w:rPr>
        <w:t>i</w:t>
      </w:r>
      <w:r w:rsidR="0009025F" w:rsidRPr="00A806D7">
        <w:rPr>
          <w:rFonts w:ascii="Arial" w:hAnsi="Arial" w:cs="Arial"/>
          <w:sz w:val="20"/>
          <w:szCs w:val="20"/>
        </w:rPr>
        <w:t xml:space="preserve">s </w:t>
      </w:r>
      <w:r w:rsidRPr="00A806D7">
        <w:rPr>
          <w:rFonts w:ascii="Arial" w:hAnsi="Arial" w:cs="Arial"/>
          <w:sz w:val="20"/>
          <w:szCs w:val="20"/>
        </w:rPr>
        <w:t xml:space="preserve">concentrated among </w:t>
      </w:r>
      <w:r w:rsidR="0009025F">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5B555F">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1DEBCE39" w:rsidR="00272D41" w:rsidRDefault="00272D41" w:rsidP="00B03079">
      <w:pPr>
        <w:rPr>
          <w:rFonts w:ascii="Arial" w:hAnsi="Arial" w:cs="Arial"/>
          <w:sz w:val="20"/>
          <w:szCs w:val="20"/>
        </w:rPr>
      </w:pPr>
    </w:p>
    <w:p w14:paraId="08BAFA3D" w14:textId="1775B964" w:rsidR="0038295E" w:rsidRDefault="0038295E" w:rsidP="00B03079">
      <w:pPr>
        <w:rPr>
          <w:rFonts w:ascii="Arial" w:hAnsi="Arial" w:cs="Arial"/>
          <w:sz w:val="20"/>
          <w:szCs w:val="20"/>
        </w:rPr>
      </w:pPr>
      <w:r>
        <w:rPr>
          <w:rFonts w:ascii="Arial" w:hAnsi="Arial" w:cs="Arial"/>
          <w:noProof/>
          <w:sz w:val="20"/>
          <w:szCs w:val="20"/>
        </w:rPr>
        <w:drawing>
          <wp:inline distT="0" distB="0" distL="0" distR="0" wp14:anchorId="74091AEC" wp14:editId="328BAD33">
            <wp:extent cx="6912864" cy="2642616"/>
            <wp:effectExtent l="0" t="0" r="2540" b="5715"/>
            <wp:docPr id="956629718" name="Picture 12" descr="Graph depicts the rates per 100,000 population of infectious syphilis cases in Suffolk County, Massachusetts by age group for 2015 and 2024. The included age groups are &lt;20 years, 20-29 years, 30-39 years, 40-49 years, 50-59 years, and 60+ years. In 2015, the rate is highest among those aged 40-49, at 76.3. In 2024, the rate is highest among those aged 30-39, at 87.8. The rates are lowest among those aged &lt;20 years, at 4.1 in 2015 and 10.0 in 2024. The age group that saw the largest change in rate was 40-49, from 76.3 in 2015 to 54.1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29718" name="Picture 12" descr="Graph depicts the rates per 100,000 population of infectious syphilis cases in Suffolk County, Massachusetts by age group for 2015 and 2024. The included age groups are &lt;20 years, 20-29 years, 30-39 years, 40-49 years, 50-59 years, and 60+ years. In 2015, the rate is highest among those aged 40-49, at 76.3. In 2024, the rate is highest among those aged 30-39, at 87.8. The rates are lowest among those aged &lt;20 years, at 4.1 in 2015 and 10.0 in 2024. The age group that saw the largest change in rate was 40-49, from 76.3 in 2015 to 54.1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6F936995" w14:textId="77777777" w:rsidR="0038295E" w:rsidRPr="001E7A0A" w:rsidRDefault="0038295E" w:rsidP="0038295E">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05466627" w14:textId="77777777" w:rsidR="0038295E" w:rsidRPr="001E7A0A" w:rsidRDefault="0038295E" w:rsidP="0038295E">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6F477D0D" w14:textId="71B1AD64" w:rsidR="00272D41" w:rsidRDefault="0038295E" w:rsidP="0038295E">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1C869B44" w14:textId="77777777" w:rsidR="0038295E" w:rsidRDefault="0038295E" w:rsidP="0038295E">
      <w:pPr>
        <w:rPr>
          <w:rFonts w:ascii="Arial" w:hAnsi="Arial" w:cs="Arial"/>
          <w:sz w:val="12"/>
          <w:szCs w:val="12"/>
        </w:rPr>
      </w:pPr>
    </w:p>
    <w:p w14:paraId="4671B9D1" w14:textId="77777777" w:rsidR="0038295E" w:rsidRPr="0038295E" w:rsidRDefault="0038295E" w:rsidP="0038295E">
      <w:pPr>
        <w:rPr>
          <w:rFonts w:ascii="Arial" w:hAnsi="Arial" w:cs="Arial"/>
          <w:sz w:val="12"/>
          <w:szCs w:val="12"/>
        </w:rPr>
      </w:pPr>
    </w:p>
    <w:p w14:paraId="24955B8D" w14:textId="77777777" w:rsidR="00272D41" w:rsidRDefault="00272D41" w:rsidP="00272D41">
      <w:pPr>
        <w:rPr>
          <w:rFonts w:ascii="Arial" w:hAnsi="Arial" w:cs="Arial"/>
          <w:b/>
          <w:bCs/>
          <w:sz w:val="20"/>
          <w:szCs w:val="20"/>
          <w:u w:val="single"/>
        </w:rPr>
      </w:pPr>
    </w:p>
    <w:bookmarkEnd w:id="10"/>
    <w:p w14:paraId="6B11E703" w14:textId="37E95B8D" w:rsidR="00773130" w:rsidRDefault="00773130" w:rsidP="00773130">
      <w:pPr>
        <w:rPr>
          <w:rFonts w:ascii="Arial" w:hAnsi="Arial" w:cs="Arial"/>
          <w:sz w:val="20"/>
          <w:szCs w:val="20"/>
        </w:rPr>
      </w:pPr>
    </w:p>
    <w:p w14:paraId="76D721E0" w14:textId="77777777" w:rsidR="00E10136" w:rsidRDefault="00E10136" w:rsidP="00773130">
      <w:pPr>
        <w:rPr>
          <w:rFonts w:ascii="Arial" w:hAnsi="Arial" w:cs="Arial"/>
          <w:sz w:val="20"/>
          <w:szCs w:val="20"/>
        </w:rPr>
      </w:pPr>
    </w:p>
    <w:p w14:paraId="264F7023" w14:textId="77777777" w:rsidR="00E10136" w:rsidRDefault="00E10136" w:rsidP="00773130">
      <w:pPr>
        <w:rPr>
          <w:rFonts w:ascii="Arial" w:hAnsi="Arial" w:cs="Arial"/>
          <w:sz w:val="20"/>
          <w:szCs w:val="20"/>
        </w:rPr>
      </w:pPr>
    </w:p>
    <w:p w14:paraId="67EF7CCD" w14:textId="77777777" w:rsidR="00E10136" w:rsidRDefault="00E10136" w:rsidP="00773130">
      <w:pPr>
        <w:rPr>
          <w:rFonts w:ascii="Arial" w:hAnsi="Arial" w:cs="Arial"/>
          <w:sz w:val="20"/>
          <w:szCs w:val="20"/>
        </w:rPr>
      </w:pPr>
    </w:p>
    <w:p w14:paraId="642C5B2F" w14:textId="77777777" w:rsidR="00E10136" w:rsidRDefault="00E10136" w:rsidP="00773130">
      <w:pPr>
        <w:rPr>
          <w:rFonts w:ascii="Arial" w:hAnsi="Arial" w:cs="Arial"/>
          <w:sz w:val="20"/>
          <w:szCs w:val="20"/>
        </w:rPr>
      </w:pPr>
    </w:p>
    <w:p w14:paraId="31553D65" w14:textId="77777777" w:rsidR="00E10136" w:rsidRDefault="00E10136" w:rsidP="00773130">
      <w:pPr>
        <w:rPr>
          <w:rFonts w:ascii="Arial" w:hAnsi="Arial" w:cs="Arial"/>
          <w:sz w:val="20"/>
          <w:szCs w:val="20"/>
        </w:rPr>
      </w:pPr>
    </w:p>
    <w:p w14:paraId="476A926F" w14:textId="77777777" w:rsidR="00E10136" w:rsidRDefault="00E10136" w:rsidP="00773130">
      <w:pPr>
        <w:rPr>
          <w:rFonts w:ascii="Arial" w:hAnsi="Arial" w:cs="Arial"/>
          <w:sz w:val="20"/>
          <w:szCs w:val="20"/>
        </w:rPr>
      </w:pPr>
    </w:p>
    <w:p w14:paraId="032670C1" w14:textId="77777777" w:rsidR="00E10136" w:rsidRDefault="00E10136" w:rsidP="00773130">
      <w:pPr>
        <w:rPr>
          <w:rFonts w:ascii="Arial" w:hAnsi="Arial" w:cs="Arial"/>
          <w:sz w:val="20"/>
          <w:szCs w:val="20"/>
        </w:rPr>
      </w:pPr>
    </w:p>
    <w:p w14:paraId="0FB4914D" w14:textId="77777777" w:rsidR="00E10136" w:rsidRDefault="00E10136" w:rsidP="00773130">
      <w:pPr>
        <w:rPr>
          <w:rFonts w:ascii="Arial" w:hAnsi="Arial" w:cs="Arial"/>
          <w:sz w:val="20"/>
          <w:szCs w:val="20"/>
        </w:rPr>
      </w:pPr>
    </w:p>
    <w:p w14:paraId="0E27534C" w14:textId="77777777" w:rsidR="00387E17" w:rsidRDefault="00387E17" w:rsidP="00773130">
      <w:pPr>
        <w:rPr>
          <w:rFonts w:ascii="Arial" w:hAnsi="Arial" w:cs="Arial"/>
          <w:sz w:val="20"/>
          <w:szCs w:val="20"/>
        </w:rPr>
      </w:pPr>
    </w:p>
    <w:p w14:paraId="1B4A222C" w14:textId="77777777" w:rsidR="00387E17" w:rsidRDefault="00387E17" w:rsidP="00773130">
      <w:pPr>
        <w:rPr>
          <w:rFonts w:ascii="Arial" w:hAnsi="Arial" w:cs="Arial"/>
          <w:sz w:val="20"/>
          <w:szCs w:val="20"/>
        </w:rPr>
      </w:pPr>
    </w:p>
    <w:p w14:paraId="5585C68C" w14:textId="77777777" w:rsidR="00387E17" w:rsidRDefault="00387E17" w:rsidP="00773130">
      <w:pPr>
        <w:rPr>
          <w:rFonts w:ascii="Arial" w:hAnsi="Arial" w:cs="Arial"/>
          <w:sz w:val="20"/>
          <w:szCs w:val="20"/>
        </w:rPr>
      </w:pPr>
    </w:p>
    <w:p w14:paraId="1E4E4824" w14:textId="77777777" w:rsidR="00387E17" w:rsidRDefault="00387E17" w:rsidP="00773130">
      <w:pPr>
        <w:rPr>
          <w:rFonts w:ascii="Arial" w:hAnsi="Arial" w:cs="Arial"/>
          <w:sz w:val="20"/>
          <w:szCs w:val="20"/>
        </w:rPr>
      </w:pPr>
    </w:p>
    <w:p w14:paraId="60E3B765" w14:textId="77777777" w:rsidR="00E10136" w:rsidRDefault="00E10136" w:rsidP="00773130">
      <w:pPr>
        <w:rPr>
          <w:rFonts w:ascii="Arial" w:hAnsi="Arial" w:cs="Arial"/>
          <w:sz w:val="20"/>
          <w:szCs w:val="20"/>
        </w:rPr>
      </w:pPr>
    </w:p>
    <w:p w14:paraId="55A4ED8F" w14:textId="77777777" w:rsidR="00E10136" w:rsidRDefault="00E10136" w:rsidP="00773130">
      <w:pPr>
        <w:rPr>
          <w:rFonts w:ascii="Arial" w:hAnsi="Arial" w:cs="Arial"/>
          <w:sz w:val="20"/>
          <w:szCs w:val="20"/>
        </w:rPr>
      </w:pPr>
    </w:p>
    <w:p w14:paraId="64D61211" w14:textId="77777777" w:rsidR="00E10136" w:rsidRDefault="00E10136" w:rsidP="00773130">
      <w:pPr>
        <w:rPr>
          <w:rFonts w:ascii="Arial" w:hAnsi="Arial" w:cs="Arial"/>
          <w:sz w:val="20"/>
          <w:szCs w:val="20"/>
        </w:rPr>
      </w:pPr>
    </w:p>
    <w:p w14:paraId="285A098F" w14:textId="77777777" w:rsidR="001A111E" w:rsidRDefault="001A111E" w:rsidP="008A048A">
      <w:pPr>
        <w:pStyle w:val="Heading1"/>
      </w:pPr>
      <w:r>
        <w:lastRenderedPageBreak/>
        <w:t xml:space="preserve">2024 Statewide Massachusetts </w:t>
      </w:r>
    </w:p>
    <w:p w14:paraId="0FD1B3D6" w14:textId="77777777" w:rsidR="00106D05" w:rsidRPr="00106D05" w:rsidRDefault="00106D05" w:rsidP="00106D05">
      <w:pPr>
        <w:rPr>
          <w:rFonts w:ascii="Arial" w:hAnsi="Arial" w:cs="Arial"/>
          <w:sz w:val="20"/>
          <w:szCs w:val="20"/>
        </w:rPr>
      </w:pPr>
      <w:r w:rsidRPr="00106D05">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7AECC4F2" w14:textId="77777777" w:rsidR="00106D05" w:rsidRPr="00106D05" w:rsidRDefault="00106D05" w:rsidP="00106D05">
      <w:pPr>
        <w:rPr>
          <w:rFonts w:ascii="Arial" w:hAnsi="Arial" w:cs="Arial"/>
          <w:sz w:val="20"/>
          <w:szCs w:val="20"/>
        </w:rPr>
      </w:pPr>
    </w:p>
    <w:p w14:paraId="684C7E8F" w14:textId="77777777" w:rsidR="00106D05" w:rsidRPr="00106D05" w:rsidRDefault="00106D05" w:rsidP="00106D05">
      <w:pPr>
        <w:rPr>
          <w:rFonts w:ascii="Arial" w:hAnsi="Arial" w:cs="Arial"/>
          <w:sz w:val="20"/>
          <w:szCs w:val="20"/>
        </w:rPr>
      </w:pPr>
      <w:r w:rsidRPr="00106D05">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59A01D86" w14:textId="77777777" w:rsidR="00106D05" w:rsidRPr="00106D05" w:rsidRDefault="00106D05" w:rsidP="00106D05">
      <w:pPr>
        <w:rPr>
          <w:rFonts w:ascii="Arial" w:hAnsi="Arial" w:cs="Arial"/>
          <w:sz w:val="20"/>
          <w:szCs w:val="20"/>
        </w:rPr>
      </w:pPr>
    </w:p>
    <w:p w14:paraId="6E9974E5" w14:textId="77777777" w:rsidR="00106D05" w:rsidRPr="00106D05" w:rsidRDefault="00106D05" w:rsidP="00106D05">
      <w:pPr>
        <w:rPr>
          <w:rFonts w:ascii="Arial" w:hAnsi="Arial" w:cs="Arial"/>
          <w:sz w:val="20"/>
          <w:szCs w:val="20"/>
        </w:rPr>
      </w:pPr>
      <w:r w:rsidRPr="00106D05">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106D05">
        <w:rPr>
          <w:rFonts w:ascii="Arial" w:hAnsi="Arial" w:cs="Arial"/>
          <w:sz w:val="20"/>
          <w:szCs w:val="20"/>
          <w:vertAlign w:val="superscript"/>
        </w:rPr>
        <w:t>th</w:t>
      </w:r>
      <w:r w:rsidRPr="00106D05">
        <w:rPr>
          <w:rFonts w:ascii="Arial" w:hAnsi="Arial" w:cs="Arial"/>
          <w:sz w:val="20"/>
          <w:szCs w:val="20"/>
        </w:rPr>
        <w:t xml:space="preserve"> among the 48 states reporting congenital syphilis incidence, indicating relatively better outcomes compared to many other states. </w:t>
      </w:r>
    </w:p>
    <w:p w14:paraId="10265F85" w14:textId="77777777" w:rsidR="00106D05" w:rsidRPr="00106D05" w:rsidRDefault="00106D05" w:rsidP="00106D05">
      <w:pPr>
        <w:rPr>
          <w:rFonts w:ascii="Arial" w:hAnsi="Arial" w:cs="Arial"/>
          <w:sz w:val="20"/>
          <w:szCs w:val="20"/>
        </w:rPr>
      </w:pPr>
    </w:p>
    <w:p w14:paraId="2B2B1B34" w14:textId="77777777" w:rsidR="00106D05" w:rsidRPr="00106D05" w:rsidRDefault="00106D05" w:rsidP="00106D05">
      <w:pPr>
        <w:rPr>
          <w:rFonts w:ascii="Arial" w:hAnsi="Arial" w:cs="Arial"/>
          <w:sz w:val="20"/>
          <w:szCs w:val="20"/>
          <w:vertAlign w:val="superscript"/>
        </w:rPr>
      </w:pPr>
      <w:r w:rsidRPr="00106D05">
        <w:rPr>
          <w:rFonts w:ascii="Arial" w:hAnsi="Arial" w:cs="Arial"/>
          <w:sz w:val="20"/>
          <w:szCs w:val="20"/>
        </w:rPr>
        <w:t>Among individuals of transgender experience and/or individuals who are nonbinary, 51 chlamydia, 91 gonorrhea, and 5 infectious syphilis cases were reported in Massachusetts.</w:t>
      </w:r>
      <w:r w:rsidRPr="00106D05">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1AC0F2DE" w14:textId="32B8804C" w:rsidR="00861828" w:rsidRPr="00832748" w:rsidRDefault="00861828" w:rsidP="00861828">
      <w:pPr>
        <w:rPr>
          <w:rFonts w:ascii="Arial" w:hAnsi="Arial" w:cs="Arial"/>
          <w:sz w:val="16"/>
          <w:szCs w:val="16"/>
        </w:rPr>
      </w:pPr>
      <w:bookmarkStart w:id="11"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Pr>
          <w:rFonts w:ascii="Arial" w:hAnsi="Arial" w:cs="Arial"/>
          <w:sz w:val="16"/>
          <w:szCs w:val="16"/>
        </w:rPr>
        <w:t>Suffolk</w:t>
      </w:r>
      <w:r w:rsidRPr="16BE746D">
        <w:rPr>
          <w:rFonts w:ascii="Arial" w:hAnsi="Arial" w:cs="Arial"/>
          <w:sz w:val="16"/>
          <w:szCs w:val="16"/>
        </w:rPr>
        <w:t xml:space="preserve"> County, Massachusetts; Massachusetts. Population Estimates Program, July 1,2024 (Vintage 2024).</w:t>
      </w:r>
    </w:p>
    <w:p w14:paraId="7731E9C4" w14:textId="77777777" w:rsidR="00861828" w:rsidRDefault="00861828" w:rsidP="00861828">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50E1EA1B" w14:textId="77777777" w:rsidR="00861828" w:rsidRPr="00C66B1B" w:rsidRDefault="00861828" w:rsidP="00861828">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721AEB">
        <w:rPr>
          <w:rFonts w:ascii="Arial" w:hAnsi="Arial" w:cs="Arial"/>
          <w:sz w:val="16"/>
          <w:szCs w:val="16"/>
          <w:vertAlign w:val="superscript"/>
        </w:rPr>
        <w:t>4</w:t>
      </w:r>
      <w:r>
        <w:rPr>
          <w:rFonts w:ascii="Arial" w:hAnsi="Arial" w:cs="Arial"/>
          <w:sz w:val="16"/>
          <w:szCs w:val="16"/>
          <w:vertAlign w:val="superscript"/>
        </w:rPr>
        <w:t xml:space="preserve"> </w:t>
      </w:r>
      <w:r w:rsidRPr="16BE746D">
        <w:rPr>
          <w:rFonts w:ascii="Arial" w:hAnsi="Arial" w:cs="Arial"/>
          <w:sz w:val="16"/>
          <w:szCs w:val="16"/>
        </w:rPr>
        <w:t xml:space="preserve">Source: CDC: Sexually Transmitted Infections Surveillance, 2024 (Provisional). </w:t>
      </w:r>
    </w:p>
    <w:p w14:paraId="05DEE8DA" w14:textId="77777777" w:rsidR="00861828" w:rsidRPr="00C66B1B" w:rsidRDefault="00861828" w:rsidP="00861828">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1"/>
    <w:p w14:paraId="6F5D72AB" w14:textId="2672D303" w:rsidR="00367446" w:rsidRPr="0099132F" w:rsidRDefault="00861828" w:rsidP="001E6515">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E0A1" w14:textId="77777777" w:rsidR="00717A6E" w:rsidRDefault="00717A6E" w:rsidP="0018731B">
      <w:r>
        <w:separator/>
      </w:r>
    </w:p>
  </w:endnote>
  <w:endnote w:type="continuationSeparator" w:id="0">
    <w:p w14:paraId="08D96F41" w14:textId="77777777" w:rsidR="00717A6E" w:rsidRDefault="00717A6E"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160A" w14:textId="77777777" w:rsidR="00717A6E" w:rsidRDefault="00717A6E" w:rsidP="0018731B">
      <w:r>
        <w:separator/>
      </w:r>
    </w:p>
  </w:footnote>
  <w:footnote w:type="continuationSeparator" w:id="0">
    <w:p w14:paraId="53A09E26" w14:textId="77777777" w:rsidR="00717A6E" w:rsidRDefault="00717A6E"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1435E"/>
    <w:rsid w:val="00035FCB"/>
    <w:rsid w:val="000631B0"/>
    <w:rsid w:val="0009025F"/>
    <w:rsid w:val="000B1447"/>
    <w:rsid w:val="000E3AB7"/>
    <w:rsid w:val="000F2A7E"/>
    <w:rsid w:val="00106D05"/>
    <w:rsid w:val="00120B8B"/>
    <w:rsid w:val="00150060"/>
    <w:rsid w:val="00150166"/>
    <w:rsid w:val="0016162E"/>
    <w:rsid w:val="00173387"/>
    <w:rsid w:val="00181ACA"/>
    <w:rsid w:val="0018731B"/>
    <w:rsid w:val="001A0610"/>
    <w:rsid w:val="001A111E"/>
    <w:rsid w:val="001A4145"/>
    <w:rsid w:val="001B683C"/>
    <w:rsid w:val="001D33D8"/>
    <w:rsid w:val="001D3DE4"/>
    <w:rsid w:val="001E6515"/>
    <w:rsid w:val="00210ECD"/>
    <w:rsid w:val="00215434"/>
    <w:rsid w:val="00247B9C"/>
    <w:rsid w:val="002665EA"/>
    <w:rsid w:val="00272D41"/>
    <w:rsid w:val="00295EEA"/>
    <w:rsid w:val="002A0EE7"/>
    <w:rsid w:val="002C7062"/>
    <w:rsid w:val="002C7826"/>
    <w:rsid w:val="002D2AA8"/>
    <w:rsid w:val="00325307"/>
    <w:rsid w:val="003443C5"/>
    <w:rsid w:val="00363525"/>
    <w:rsid w:val="003662DB"/>
    <w:rsid w:val="00367446"/>
    <w:rsid w:val="00372EDD"/>
    <w:rsid w:val="0038295E"/>
    <w:rsid w:val="0038460F"/>
    <w:rsid w:val="00384FC5"/>
    <w:rsid w:val="00387E17"/>
    <w:rsid w:val="003B41DF"/>
    <w:rsid w:val="003E4460"/>
    <w:rsid w:val="003F0556"/>
    <w:rsid w:val="003F1767"/>
    <w:rsid w:val="00433000"/>
    <w:rsid w:val="00433E5B"/>
    <w:rsid w:val="00434D55"/>
    <w:rsid w:val="004425C4"/>
    <w:rsid w:val="00452FB2"/>
    <w:rsid w:val="00454176"/>
    <w:rsid w:val="00472C7C"/>
    <w:rsid w:val="0047300B"/>
    <w:rsid w:val="00481234"/>
    <w:rsid w:val="004849AC"/>
    <w:rsid w:val="004926E5"/>
    <w:rsid w:val="004A18B7"/>
    <w:rsid w:val="004A5D68"/>
    <w:rsid w:val="00514EBE"/>
    <w:rsid w:val="00541A69"/>
    <w:rsid w:val="005440B0"/>
    <w:rsid w:val="005665F8"/>
    <w:rsid w:val="00593D61"/>
    <w:rsid w:val="005A30DC"/>
    <w:rsid w:val="005A4548"/>
    <w:rsid w:val="005B555F"/>
    <w:rsid w:val="005B5BFA"/>
    <w:rsid w:val="005E05B8"/>
    <w:rsid w:val="005F062E"/>
    <w:rsid w:val="005F5600"/>
    <w:rsid w:val="00605ED8"/>
    <w:rsid w:val="00661836"/>
    <w:rsid w:val="00680249"/>
    <w:rsid w:val="006806DF"/>
    <w:rsid w:val="0069217B"/>
    <w:rsid w:val="006C35E6"/>
    <w:rsid w:val="006C4077"/>
    <w:rsid w:val="006E4764"/>
    <w:rsid w:val="0070539D"/>
    <w:rsid w:val="00706DAD"/>
    <w:rsid w:val="00712BD1"/>
    <w:rsid w:val="00717A6E"/>
    <w:rsid w:val="00717F57"/>
    <w:rsid w:val="00720EDB"/>
    <w:rsid w:val="007221C2"/>
    <w:rsid w:val="00726290"/>
    <w:rsid w:val="007329B7"/>
    <w:rsid w:val="0074260D"/>
    <w:rsid w:val="007453C9"/>
    <w:rsid w:val="00755AD7"/>
    <w:rsid w:val="00773130"/>
    <w:rsid w:val="007863C7"/>
    <w:rsid w:val="007A7248"/>
    <w:rsid w:val="007A72A6"/>
    <w:rsid w:val="007B58A6"/>
    <w:rsid w:val="007C3E81"/>
    <w:rsid w:val="007E6957"/>
    <w:rsid w:val="007F3039"/>
    <w:rsid w:val="008172F6"/>
    <w:rsid w:val="00821FA8"/>
    <w:rsid w:val="00834A87"/>
    <w:rsid w:val="00840181"/>
    <w:rsid w:val="00852757"/>
    <w:rsid w:val="00861828"/>
    <w:rsid w:val="00862898"/>
    <w:rsid w:val="00890B95"/>
    <w:rsid w:val="008948E6"/>
    <w:rsid w:val="008A048A"/>
    <w:rsid w:val="008B0BFE"/>
    <w:rsid w:val="008D731F"/>
    <w:rsid w:val="008F24FE"/>
    <w:rsid w:val="00905A5E"/>
    <w:rsid w:val="0092297C"/>
    <w:rsid w:val="00941589"/>
    <w:rsid w:val="00947A13"/>
    <w:rsid w:val="00954E5B"/>
    <w:rsid w:val="0099132F"/>
    <w:rsid w:val="00993B27"/>
    <w:rsid w:val="009C7550"/>
    <w:rsid w:val="009C77CD"/>
    <w:rsid w:val="009D3A5E"/>
    <w:rsid w:val="009E64A9"/>
    <w:rsid w:val="009F60FB"/>
    <w:rsid w:val="00A00EE2"/>
    <w:rsid w:val="00A12516"/>
    <w:rsid w:val="00A14A42"/>
    <w:rsid w:val="00A270E9"/>
    <w:rsid w:val="00A82668"/>
    <w:rsid w:val="00A83E04"/>
    <w:rsid w:val="00A95970"/>
    <w:rsid w:val="00AB0A3E"/>
    <w:rsid w:val="00AB36C8"/>
    <w:rsid w:val="00AD269B"/>
    <w:rsid w:val="00B01E5D"/>
    <w:rsid w:val="00B03079"/>
    <w:rsid w:val="00B10413"/>
    <w:rsid w:val="00B221FF"/>
    <w:rsid w:val="00B227D2"/>
    <w:rsid w:val="00B25900"/>
    <w:rsid w:val="00B37473"/>
    <w:rsid w:val="00B47C52"/>
    <w:rsid w:val="00B5637D"/>
    <w:rsid w:val="00B714FC"/>
    <w:rsid w:val="00BA2EEC"/>
    <w:rsid w:val="00BB1765"/>
    <w:rsid w:val="00BB2968"/>
    <w:rsid w:val="00BB365E"/>
    <w:rsid w:val="00BC64CB"/>
    <w:rsid w:val="00BE2313"/>
    <w:rsid w:val="00C1302B"/>
    <w:rsid w:val="00C45337"/>
    <w:rsid w:val="00C50C59"/>
    <w:rsid w:val="00C66B1B"/>
    <w:rsid w:val="00C753A3"/>
    <w:rsid w:val="00C87E8B"/>
    <w:rsid w:val="00CA5A80"/>
    <w:rsid w:val="00CC19E2"/>
    <w:rsid w:val="00CF0CE3"/>
    <w:rsid w:val="00D061FF"/>
    <w:rsid w:val="00D06EBE"/>
    <w:rsid w:val="00D2362D"/>
    <w:rsid w:val="00D3255A"/>
    <w:rsid w:val="00D54AC8"/>
    <w:rsid w:val="00D81D97"/>
    <w:rsid w:val="00D94553"/>
    <w:rsid w:val="00D96CF0"/>
    <w:rsid w:val="00DD07A2"/>
    <w:rsid w:val="00DE1285"/>
    <w:rsid w:val="00E07ABD"/>
    <w:rsid w:val="00E10136"/>
    <w:rsid w:val="00E150E7"/>
    <w:rsid w:val="00E172A4"/>
    <w:rsid w:val="00E55624"/>
    <w:rsid w:val="00E7337F"/>
    <w:rsid w:val="00E83783"/>
    <w:rsid w:val="00EE12C8"/>
    <w:rsid w:val="00EF353D"/>
    <w:rsid w:val="00EF4AD4"/>
    <w:rsid w:val="00F13627"/>
    <w:rsid w:val="00F15743"/>
    <w:rsid w:val="00F22B7D"/>
    <w:rsid w:val="00F522FB"/>
    <w:rsid w:val="00FC09A9"/>
    <w:rsid w:val="00FC5164"/>
    <w:rsid w:val="00FE226A"/>
    <w:rsid w:val="00FE3788"/>
    <w:rsid w:val="00FF1F02"/>
    <w:rsid w:val="0241D09D"/>
    <w:rsid w:val="0BF8C60E"/>
    <w:rsid w:val="0D45E238"/>
    <w:rsid w:val="1537E997"/>
    <w:rsid w:val="1571893B"/>
    <w:rsid w:val="1B0DA0B8"/>
    <w:rsid w:val="2FA38AD9"/>
    <w:rsid w:val="3655CCF3"/>
    <w:rsid w:val="3AAE99A8"/>
    <w:rsid w:val="3AB7AEB6"/>
    <w:rsid w:val="3AE6B61D"/>
    <w:rsid w:val="42844AF5"/>
    <w:rsid w:val="4E0D7125"/>
    <w:rsid w:val="5492335D"/>
    <w:rsid w:val="55764DEE"/>
    <w:rsid w:val="57B0ABC2"/>
    <w:rsid w:val="5EC82D85"/>
    <w:rsid w:val="6DD0F520"/>
    <w:rsid w:val="7AB4992F"/>
    <w:rsid w:val="7BF5C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paragraph" w:styleId="Heading1">
    <w:name w:val="heading 1"/>
    <w:basedOn w:val="Normal"/>
    <w:next w:val="Normal"/>
    <w:link w:val="Heading1Char"/>
    <w:uiPriority w:val="9"/>
    <w:qFormat/>
    <w:rsid w:val="008A048A"/>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61828"/>
    <w:rPr>
      <w:color w:val="2B579A"/>
      <w:shd w:val="clear" w:color="auto" w:fill="E1DFDD"/>
    </w:rPr>
  </w:style>
  <w:style w:type="paragraph" w:styleId="Revision">
    <w:name w:val="Revision"/>
    <w:hidden/>
    <w:uiPriority w:val="99"/>
    <w:semiHidden/>
    <w:rsid w:val="005F062E"/>
  </w:style>
  <w:style w:type="paragraph" w:styleId="Title">
    <w:name w:val="Title"/>
    <w:basedOn w:val="Normal"/>
    <w:next w:val="Normal"/>
    <w:link w:val="TitleChar"/>
    <w:uiPriority w:val="10"/>
    <w:qFormat/>
    <w:rsid w:val="008A048A"/>
    <w:rPr>
      <w:rFonts w:ascii="Arial" w:hAnsi="Arial" w:cs="Arial"/>
      <w:b/>
      <w:bCs/>
      <w:i/>
      <w:sz w:val="20"/>
    </w:rPr>
  </w:style>
  <w:style w:type="character" w:customStyle="1" w:styleId="TitleChar">
    <w:name w:val="Title Char"/>
    <w:basedOn w:val="DefaultParagraphFont"/>
    <w:link w:val="Title"/>
    <w:uiPriority w:val="10"/>
    <w:rsid w:val="008A048A"/>
    <w:rPr>
      <w:rFonts w:ascii="Arial" w:hAnsi="Arial" w:cs="Arial"/>
      <w:b/>
      <w:bCs/>
      <w:i/>
      <w:sz w:val="20"/>
    </w:rPr>
  </w:style>
  <w:style w:type="paragraph" w:styleId="Subtitle">
    <w:name w:val="Subtitle"/>
    <w:basedOn w:val="Normal"/>
    <w:next w:val="Normal"/>
    <w:link w:val="SubtitleChar"/>
    <w:uiPriority w:val="11"/>
    <w:qFormat/>
    <w:rsid w:val="008A048A"/>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8A048A"/>
    <w:rPr>
      <w:rFonts w:ascii="Arial" w:hAnsi="Arial" w:cs="Arial"/>
      <w:b/>
      <w:bCs/>
      <w:sz w:val="20"/>
      <w:szCs w:val="20"/>
    </w:rPr>
  </w:style>
  <w:style w:type="character" w:customStyle="1" w:styleId="Heading1Char">
    <w:name w:val="Heading 1 Char"/>
    <w:basedOn w:val="DefaultParagraphFont"/>
    <w:link w:val="Heading1"/>
    <w:uiPriority w:val="9"/>
    <w:rsid w:val="008A048A"/>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1950</Words>
  <Characters>11115</Characters>
  <Application>Microsoft Office Word</Application>
  <DocSecurity>4</DocSecurity>
  <Lines>92</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Suffolk County 2024</dc:title>
  <dc:subject/>
  <dc:creator>Elder, Heather (DPH)</dc:creator>
  <cp:keywords/>
  <dc:description/>
  <cp:lastModifiedBy>Yeaple, Jennifer (DPH)</cp:lastModifiedBy>
  <cp:revision>2</cp:revision>
  <dcterms:created xsi:type="dcterms:W3CDTF">2026-05-21T14:47:00Z</dcterms:created>
  <dcterms:modified xsi:type="dcterms:W3CDTF">2026-05-21T14:47:00Z</dcterms:modified>
</cp:coreProperties>
</file>