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22" w:rsidRDefault="00803D32" w:rsidP="00803D3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803D3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77E22DA" wp14:editId="6D0BE3FA">
            <wp:simplePos x="0" y="0"/>
            <wp:positionH relativeFrom="column">
              <wp:posOffset>0</wp:posOffset>
            </wp:positionH>
            <wp:positionV relativeFrom="paragraph">
              <wp:posOffset>-26357</wp:posOffset>
            </wp:positionV>
            <wp:extent cx="1602740" cy="1600200"/>
            <wp:effectExtent l="0" t="0" r="0" b="0"/>
            <wp:wrapNone/>
            <wp:docPr id="1" name="Picture 1" descr="H:\Images\mclgbtqqy-seal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mages\mclgbtqqy-seal-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D3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C35E567" wp14:editId="3AAE9CBA">
            <wp:simplePos x="0" y="0"/>
            <wp:positionH relativeFrom="column">
              <wp:posOffset>5241290</wp:posOffset>
            </wp:positionH>
            <wp:positionV relativeFrom="paragraph">
              <wp:posOffset>28575</wp:posOffset>
            </wp:positionV>
            <wp:extent cx="1448435" cy="1448435"/>
            <wp:effectExtent l="0" t="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D32">
        <w:rPr>
          <w:rFonts w:ascii="Arial" w:hAnsi="Arial" w:cs="Arial"/>
        </w:rPr>
        <w:br/>
      </w:r>
      <w:r>
        <w:rPr>
          <w:rFonts w:ascii="Arial" w:hAnsi="Arial" w:cs="Arial"/>
          <w:sz w:val="32"/>
          <w:szCs w:val="32"/>
        </w:rPr>
        <w:t>Massachusetts Commission on</w:t>
      </w:r>
    </w:p>
    <w:p w:rsidR="00803D32" w:rsidRDefault="00803D32" w:rsidP="00803D3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LGBTQ Youth</w:t>
      </w:r>
    </w:p>
    <w:p w:rsidR="00803D32" w:rsidRDefault="00803D32" w:rsidP="00803D3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803D32" w:rsidRPr="00803D32" w:rsidRDefault="00803D32" w:rsidP="00803D3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803D32">
        <w:rPr>
          <w:rFonts w:ascii="Arial" w:hAnsi="Arial" w:cs="Arial"/>
          <w:sz w:val="36"/>
          <w:szCs w:val="36"/>
        </w:rPr>
        <w:t xml:space="preserve">Summary of </w:t>
      </w:r>
      <w:r w:rsidR="00ED420A">
        <w:rPr>
          <w:rFonts w:ascii="Arial" w:hAnsi="Arial" w:cs="Arial"/>
          <w:sz w:val="36"/>
          <w:szCs w:val="36"/>
        </w:rPr>
        <w:t>Fiscal Year</w:t>
      </w:r>
    </w:p>
    <w:p w:rsidR="00803D32" w:rsidRPr="00ED420A" w:rsidRDefault="00803D32" w:rsidP="00803D32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ED420A">
        <w:rPr>
          <w:rFonts w:ascii="Arial" w:hAnsi="Arial" w:cs="Arial"/>
          <w:sz w:val="40"/>
          <w:szCs w:val="40"/>
        </w:rPr>
        <w:t>2019 Recommendations</w:t>
      </w:r>
    </w:p>
    <w:p w:rsidR="00803D32" w:rsidRDefault="00803D32" w:rsidP="00803D3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803D32" w:rsidRDefault="00803D32" w:rsidP="00803D3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803D32" w:rsidRDefault="00803D32" w:rsidP="00ED420A">
      <w:pPr>
        <w:spacing w:after="0" w:line="240" w:lineRule="auto"/>
        <w:jc w:val="both"/>
        <w:rPr>
          <w:rFonts w:ascii="Arial" w:hAnsi="Arial" w:cs="Arial"/>
        </w:rPr>
      </w:pPr>
      <w:r w:rsidRPr="00803D32">
        <w:rPr>
          <w:rFonts w:ascii="Arial" w:hAnsi="Arial" w:cs="Arial"/>
        </w:rPr>
        <w:t xml:space="preserve">The </w:t>
      </w:r>
      <w:r w:rsidR="00ED420A">
        <w:rPr>
          <w:rFonts w:ascii="Arial" w:hAnsi="Arial" w:cs="Arial"/>
        </w:rPr>
        <w:t>Massachusetts</w:t>
      </w:r>
      <w:r w:rsidRPr="00803D32">
        <w:rPr>
          <w:rFonts w:ascii="Arial" w:hAnsi="Arial" w:cs="Arial"/>
        </w:rPr>
        <w:t xml:space="preserve"> Commission on LGBTQ Youth was founded in 1992 and works towards making the Commonwealth a place in which all youth can thrive. </w:t>
      </w:r>
      <w:r>
        <w:rPr>
          <w:rFonts w:ascii="Arial" w:hAnsi="Arial" w:cs="Arial"/>
        </w:rPr>
        <w:t xml:space="preserve">The Commission issues recommendations  before the start of each fiscal year, and this year </w:t>
      </w:r>
      <w:r w:rsidR="00ED420A">
        <w:rPr>
          <w:rFonts w:ascii="Arial" w:hAnsi="Arial" w:cs="Arial"/>
        </w:rPr>
        <w:t>(</w:t>
      </w:r>
      <w:r>
        <w:rPr>
          <w:rFonts w:ascii="Arial" w:hAnsi="Arial" w:cs="Arial"/>
        </w:rPr>
        <w:t>in addition to specific recommendations issued to 18 different agencies</w:t>
      </w:r>
      <w:r w:rsidR="00ED420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has issued core recommendations to the Legislature and Executive Branch to work on achieving together. </w:t>
      </w:r>
      <w:r w:rsidR="00D9576E">
        <w:rPr>
          <w:rFonts w:ascii="Arial" w:hAnsi="Arial" w:cs="Arial"/>
        </w:rPr>
        <w:t>These core recommendations have four thematic areas</w:t>
      </w:r>
      <w:r w:rsidR="00ED420A">
        <w:rPr>
          <w:rFonts w:ascii="Arial" w:hAnsi="Arial" w:cs="Arial"/>
        </w:rPr>
        <w:t xml:space="preserve"> reflecting our commitment to racial justice</w:t>
      </w:r>
      <w:r w:rsidR="00D9576E">
        <w:rPr>
          <w:rFonts w:ascii="Arial" w:hAnsi="Arial" w:cs="Arial"/>
        </w:rPr>
        <w:t>: reducing bias, preventing and treating homelessness, reforming criminal justice, and improving health.</w:t>
      </w:r>
    </w:p>
    <w:p w:rsidR="00F81701" w:rsidRDefault="00F81701" w:rsidP="00803D32">
      <w:pPr>
        <w:spacing w:after="0" w:line="240" w:lineRule="auto"/>
        <w:jc w:val="both"/>
        <w:rPr>
          <w:rFonts w:ascii="Arial" w:hAnsi="Arial" w:cs="Arial"/>
        </w:rPr>
      </w:pPr>
    </w:p>
    <w:p w:rsidR="00F81701" w:rsidRDefault="00ED420A">
      <w:pPr>
        <w:rPr>
          <w:rFonts w:ascii="Arial" w:hAnsi="Arial" w:cs="Arial"/>
        </w:rPr>
      </w:pPr>
      <w:r w:rsidRPr="000711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9FEA1C" wp14:editId="4DE51966">
                <wp:simplePos x="0" y="0"/>
                <wp:positionH relativeFrom="column">
                  <wp:posOffset>3614136</wp:posOffset>
                </wp:positionH>
                <wp:positionV relativeFrom="paragraph">
                  <wp:posOffset>5319367</wp:posOffset>
                </wp:positionV>
                <wp:extent cx="320675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20A" w:rsidRDefault="00ED420A" w:rsidP="0007110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Turn over for more </w:t>
                            </w:r>
                            <w:r w:rsidRPr="00ED420A">
                              <w:rPr>
                                <w:color w:val="000000" w:themeColor="text1"/>
                              </w:rPr>
                              <w:sym w:font="Wingdings" w:char="F0E0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7110A" w:rsidRPr="0007110A" w:rsidRDefault="00ED420A" w:rsidP="0007110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Full report at </w:t>
                            </w:r>
                            <w:hyperlink r:id="rId8" w:history="1">
                              <w:r w:rsidR="0007110A" w:rsidRPr="0007110A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>Mass.gov/annual-recommendations</w:t>
                              </w:r>
                            </w:hyperlink>
                            <w:r w:rsidR="0007110A" w:rsidRPr="0007110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6pt;margin-top:418.85pt;width:252.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dJIw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" stroked="f">
                <v:textbox style="mso-fit-shape-to-text:t">
                  <w:txbxContent>
                    <w:p w:rsidR="00ED420A" w:rsidRDefault="00ED420A" w:rsidP="0007110A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Turn over for more </w:t>
                      </w:r>
                      <w:r w:rsidRPr="00ED420A">
                        <w:rPr>
                          <w:color w:val="000000" w:themeColor="text1"/>
                        </w:rPr>
                        <w:sym w:font="Wingdings" w:char="F0E0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07110A" w:rsidRPr="0007110A" w:rsidRDefault="00ED420A" w:rsidP="0007110A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Full report at </w:t>
                      </w:r>
                      <w:hyperlink r:id="rId9" w:history="1">
                        <w:r w:rsidR="0007110A" w:rsidRPr="0007110A">
                          <w:rPr>
                            <w:rStyle w:val="Hyperlink"/>
                            <w:color w:val="000000" w:themeColor="text1"/>
                            <w:u w:val="none"/>
                          </w:rPr>
                          <w:t>Mass.gov/annual-recommendations</w:t>
                        </w:r>
                      </w:hyperlink>
                      <w:r w:rsidR="0007110A" w:rsidRPr="0007110A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7110A" w:rsidRPr="00D957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B8D0627" wp14:editId="0C31C6AF">
                <wp:simplePos x="0" y="0"/>
                <wp:positionH relativeFrom="margin">
                  <wp:posOffset>3547110</wp:posOffset>
                </wp:positionH>
                <wp:positionV relativeFrom="margin">
                  <wp:posOffset>3089910</wp:posOffset>
                </wp:positionV>
                <wp:extent cx="3279775" cy="1496060"/>
                <wp:effectExtent l="0" t="0" r="0" b="889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9775" cy="149606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81701" w:rsidRDefault="0007110A" w:rsidP="00F8170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07110A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I would like to see more education for medical personnel so they don’t make assumptions on the teen’s identity and orientation in basic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 physical exams and counseling.</w:t>
                            </w:r>
                          </w:p>
                          <w:p w:rsidR="0007110A" w:rsidRPr="00F81701" w:rsidRDefault="0007110A" w:rsidP="00F8170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D9576E" w:rsidRPr="00D9576E" w:rsidRDefault="00D9576E" w:rsidP="00D9576E">
                            <w:pPr>
                              <w:spacing w:after="0"/>
                              <w:jc w:val="center"/>
                              <w:rPr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D9576E">
                              <w:rPr>
                                <w:iCs/>
                                <w:color w:val="000000" w:themeColor="text1"/>
                                <w:sz w:val="24"/>
                              </w:rPr>
                              <w:t xml:space="preserve">– </w:t>
                            </w:r>
                            <w:r w:rsidR="0007110A">
                              <w:rPr>
                                <w:iCs/>
                                <w:color w:val="000000" w:themeColor="text1"/>
                                <w:sz w:val="24"/>
                              </w:rPr>
                              <w:t>Parent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7" type="#_x0000_t185" style="position:absolute;margin-left:279.3pt;margin-top:243.3pt;width:258.25pt;height:117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" o:allowincell="f" adj="1739" filled="t" fillcolor="#dbe5f1 [660]" stroked="f" strokeweight=".5pt">
                <v:textbox inset="3.6pt,,3.6pt">
                  <w:txbxContent>
                    <w:p w:rsidR="00F81701" w:rsidRDefault="0007110A" w:rsidP="00F81701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07110A">
                        <w:rPr>
                          <w:i/>
                          <w:iCs/>
                          <w:color w:val="000000" w:themeColor="text1"/>
                          <w:sz w:val="24"/>
                        </w:rPr>
                        <w:t>I would like to see more education for medical personnel so they don’t make assumptions on the teen’s identity and orientation in basic</w:t>
                      </w:r>
                      <w:r>
                        <w:rPr>
                          <w:i/>
                          <w:iCs/>
                          <w:color w:val="000000" w:themeColor="text1"/>
                          <w:sz w:val="24"/>
                        </w:rPr>
                        <w:t xml:space="preserve"> physical exams and counseling.</w:t>
                      </w:r>
                    </w:p>
                    <w:p w:rsidR="0007110A" w:rsidRPr="00F81701" w:rsidRDefault="0007110A" w:rsidP="00F81701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</w:p>
                    <w:p w:rsidR="00D9576E" w:rsidRPr="00D9576E" w:rsidRDefault="00D9576E" w:rsidP="00D9576E">
                      <w:pPr>
                        <w:spacing w:after="0"/>
                        <w:jc w:val="center"/>
                        <w:rPr>
                          <w:iCs/>
                          <w:color w:val="000000" w:themeColor="text1"/>
                          <w:sz w:val="24"/>
                        </w:rPr>
                      </w:pPr>
                      <w:r w:rsidRPr="00D9576E">
                        <w:rPr>
                          <w:iCs/>
                          <w:color w:val="000000" w:themeColor="text1"/>
                          <w:sz w:val="24"/>
                        </w:rPr>
                        <w:t xml:space="preserve">– </w:t>
                      </w:r>
                      <w:r w:rsidR="0007110A">
                        <w:rPr>
                          <w:iCs/>
                          <w:color w:val="000000" w:themeColor="text1"/>
                          <w:sz w:val="24"/>
                        </w:rPr>
                        <w:t>Parent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7110A" w:rsidRPr="00D957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2161D" wp14:editId="26673F96">
                <wp:simplePos x="0" y="0"/>
                <wp:positionH relativeFrom="column">
                  <wp:posOffset>3640043</wp:posOffset>
                </wp:positionH>
                <wp:positionV relativeFrom="paragraph">
                  <wp:posOffset>1761177</wp:posOffset>
                </wp:positionV>
                <wp:extent cx="3205480" cy="3408045"/>
                <wp:effectExtent l="0" t="0" r="13970" b="209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340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76E" w:rsidRDefault="00D9576E">
                            <w:r>
                              <w:rPr>
                                <w:b/>
                              </w:rPr>
                              <w:t xml:space="preserve">Core Recommendations on Homelessness: </w:t>
                            </w:r>
                          </w:p>
                          <w:p w:rsidR="00D9576E" w:rsidRDefault="00D9576E">
                            <w:r w:rsidRPr="00D9576E">
                              <w:t>1. Restore to previous levels the budget line items for prevention of youth homelessness and services for youth experiencing homelessness.</w:t>
                            </w:r>
                          </w:p>
                          <w:p w:rsidR="00D9576E" w:rsidRDefault="00D9576E">
                            <w:r w:rsidRPr="00D9576E">
                              <w:t>2. Prioritize funds allocated to homelessness prevention and services for release as early in the fiscal year as possible.</w:t>
                            </w:r>
                          </w:p>
                          <w:p w:rsidR="00D9576E" w:rsidRDefault="00D9576E">
                            <w:r w:rsidRPr="00D9576E">
                              <w:t>3. Improve access to state IDs for youth experiencing homelessness.</w:t>
                            </w:r>
                          </w:p>
                          <w:p w:rsidR="00D9576E" w:rsidRDefault="00D9576E">
                            <w:r w:rsidRPr="00D9576E">
                              <w:t>4. Create a bill of rights for people experiencing homelessness.</w:t>
                            </w:r>
                          </w:p>
                          <w:p w:rsidR="00D9576E" w:rsidRPr="00D9576E" w:rsidRDefault="00D9576E">
                            <w:r w:rsidRPr="00D9576E">
                              <w:t>5. Improve the Youth Count survey and ensure LGBTQ inclusion.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6.6pt;margin-top:138.7pt;width:252.4pt;height:26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" strokecolor="#ffc000" strokeweight="1.5pt">
                <v:textbox>
                  <w:txbxContent>
                    <w:p w:rsidR="00D9576E" w:rsidRDefault="00D9576E">
                      <w:r>
                        <w:rPr>
                          <w:b/>
                        </w:rPr>
                        <w:t xml:space="preserve">Core Recommendations on Homelessness: </w:t>
                      </w:r>
                    </w:p>
                    <w:p w:rsidR="00D9576E" w:rsidRDefault="00D9576E">
                      <w:r w:rsidRPr="00D9576E">
                        <w:t>1. Restore to previous levels the budget line items for prevention of youth homelessness and services for youth experiencing homelessness.</w:t>
                      </w:r>
                    </w:p>
                    <w:p w:rsidR="00D9576E" w:rsidRDefault="00D9576E">
                      <w:r w:rsidRPr="00D9576E">
                        <w:t>2. Prioritize funds allocated to homelessness prevention and services for release as early in the fiscal year as possible.</w:t>
                      </w:r>
                    </w:p>
                    <w:p w:rsidR="00D9576E" w:rsidRDefault="00D9576E">
                      <w:r w:rsidRPr="00D9576E">
                        <w:t>3. Improve access to state IDs for youth experiencing homelessness.</w:t>
                      </w:r>
                    </w:p>
                    <w:p w:rsidR="00D9576E" w:rsidRDefault="00D9576E">
                      <w:r w:rsidRPr="00D9576E">
                        <w:t>4. Create a bill of rights for people experiencing homelessness.</w:t>
                      </w:r>
                    </w:p>
                    <w:p w:rsidR="00D9576E" w:rsidRPr="00D9576E" w:rsidRDefault="00D9576E">
                      <w:r w:rsidRPr="00D9576E">
                        <w:t>5. Improve the Youth Count survey and ensure LGBTQ inclusion.</w:t>
                      </w:r>
                    </w:p>
                  </w:txbxContent>
                </v:textbox>
              </v:shape>
            </w:pict>
          </mc:Fallback>
        </mc:AlternateContent>
      </w:r>
      <w:r w:rsidR="00F81701" w:rsidRPr="00D957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7BA4390" wp14:editId="7FBEB0FE">
                <wp:simplePos x="0" y="0"/>
                <wp:positionH relativeFrom="margin">
                  <wp:posOffset>5080</wp:posOffset>
                </wp:positionH>
                <wp:positionV relativeFrom="margin">
                  <wp:posOffset>5870575</wp:posOffset>
                </wp:positionV>
                <wp:extent cx="3300730" cy="3051810"/>
                <wp:effectExtent l="0" t="0" r="0" b="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0730" cy="305181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9576E" w:rsidRPr="00D9576E" w:rsidRDefault="00F81701" w:rsidP="00D9576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F81701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The disparities facing LGBTQ youth in the Commonwealth are vast and varied, but most are closely tied – in one way or another – to the rejection and exclusion of these young people from broader society.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 w:rsidRPr="00F81701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. To address this social exclusion, the Commonwealth must both treat the immediate needs of youth facing exclusion as well as work on the larger, more difficult project of making Massachusetts a more just and equitable place for all.</w:t>
                            </w:r>
                          </w:p>
                          <w:p w:rsidR="00D9576E" w:rsidRDefault="00D9576E" w:rsidP="00D9576E">
                            <w:pPr>
                              <w:spacing w:after="0"/>
                              <w:jc w:val="center"/>
                              <w:rPr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D9576E">
                              <w:rPr>
                                <w:iCs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:rsidR="00F81701" w:rsidRPr="00F81701" w:rsidRDefault="00F81701" w:rsidP="00F81701">
                            <w:pPr>
                              <w:spacing w:after="0"/>
                              <w:jc w:val="center"/>
                              <w:rPr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:sz w:val="24"/>
                              </w:rPr>
                              <w:t>– Excerpt from annual report section, “State of LGBTQ Youth in the Commonwealth”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185" style="position:absolute;margin-left:.4pt;margin-top:462.25pt;width:259.9pt;height:240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" o:allowincell="f" adj="1739" filled="t" fillcolor="#dbe5f1 [660]" stroked="f" strokeweight=".5pt">
                <v:textbox inset="3.6pt,,3.6pt">
                  <w:txbxContent>
                    <w:p w:rsidR="00D9576E" w:rsidRPr="00D9576E" w:rsidRDefault="00F81701" w:rsidP="00D9576E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F81701">
                        <w:rPr>
                          <w:i/>
                          <w:iCs/>
                          <w:color w:val="000000" w:themeColor="text1"/>
                          <w:sz w:val="24"/>
                        </w:rPr>
                        <w:t>The disparities facing LGBTQ youth in the Commonwealth are vast and varied, but most are closely tied – in one way or another – to the rejection and exclusion of these young people from broader society.</w:t>
                      </w:r>
                      <w:r>
                        <w:rPr>
                          <w:i/>
                          <w:iCs/>
                          <w:color w:val="000000" w:themeColor="text1"/>
                          <w:sz w:val="24"/>
                        </w:rPr>
                        <w:t>.</w:t>
                      </w:r>
                      <w:r w:rsidRPr="00F81701">
                        <w:rPr>
                          <w:i/>
                          <w:iCs/>
                          <w:color w:val="000000" w:themeColor="text1"/>
                          <w:sz w:val="24"/>
                        </w:rPr>
                        <w:t>. To address this social exclusion, the Commonwealth must both treat the immediate needs of youth facing exclusion as well as work on the larger, more difficult project of making Massachusetts a more just and equitable place for all.</w:t>
                      </w:r>
                    </w:p>
                    <w:p w:rsidR="00D9576E" w:rsidRDefault="00D9576E" w:rsidP="00D9576E">
                      <w:pPr>
                        <w:spacing w:after="0"/>
                        <w:jc w:val="center"/>
                        <w:rPr>
                          <w:iCs/>
                          <w:color w:val="000000" w:themeColor="text1"/>
                          <w:sz w:val="24"/>
                        </w:rPr>
                      </w:pPr>
                      <w:r w:rsidRPr="00D9576E">
                        <w:rPr>
                          <w:iCs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:rsidR="00F81701" w:rsidRPr="00F81701" w:rsidRDefault="00F81701" w:rsidP="00F81701">
                      <w:pPr>
                        <w:spacing w:after="0"/>
                        <w:jc w:val="center"/>
                        <w:rPr>
                          <w:iCs/>
                          <w:color w:val="000000" w:themeColor="text1"/>
                          <w:sz w:val="24"/>
                        </w:rPr>
                      </w:pPr>
                      <w:r>
                        <w:rPr>
                          <w:iCs/>
                          <w:color w:val="000000" w:themeColor="text1"/>
                          <w:sz w:val="24"/>
                        </w:rPr>
                        <w:t>– Excerpt from annual report section, “State of LGBTQ Youth in the Commonwealth”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81701" w:rsidRPr="00803D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3D14F" wp14:editId="2191A08A">
                <wp:simplePos x="0" y="0"/>
                <wp:positionH relativeFrom="column">
                  <wp:posOffset>5814</wp:posOffset>
                </wp:positionH>
                <wp:positionV relativeFrom="paragraph">
                  <wp:posOffset>51657</wp:posOffset>
                </wp:positionV>
                <wp:extent cx="3194050" cy="1403985"/>
                <wp:effectExtent l="0" t="0" r="2540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D32" w:rsidRPr="00803D32" w:rsidRDefault="00803D32" w:rsidP="00803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Core Recommendations on Reducing Bias:</w:t>
                            </w:r>
                          </w:p>
                          <w:p w:rsidR="00803D32" w:rsidRDefault="00803D32" w:rsidP="00803D32">
                            <w:r>
                              <w:t>1. Require basic LGBTQ competency training for all state employees and contractors.</w:t>
                            </w:r>
                          </w:p>
                          <w:p w:rsidR="00803D32" w:rsidRDefault="00803D32">
                            <w:r w:rsidRPr="00803D32">
                              <w:t>2. Adopt policies that recognize gender identity diversity in state workplaces.</w:t>
                            </w:r>
                          </w:p>
                          <w:p w:rsidR="00803D32" w:rsidRDefault="00803D32">
                            <w:r w:rsidRPr="00803D32">
                              <w:t>3. Eliminate discrimination on the basis of gender identity and sexual orientation in all settings.</w:t>
                            </w:r>
                          </w:p>
                          <w:p w:rsidR="00803D32" w:rsidRPr="00803D32" w:rsidRDefault="00803D32">
                            <w:r w:rsidRPr="00803D32">
                              <w:t>4. Establish an interagency collaboration to address familial rejection of LGBTQ youth.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.45pt;margin-top:4.05pt;width:251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" strokecolor="#ffc000" strokeweight="1.5pt">
                <v:textbox style="mso-fit-shape-to-text:t">
                  <w:txbxContent>
                    <w:p w:rsidR="00803D32" w:rsidRPr="00803D32" w:rsidRDefault="00803D32" w:rsidP="00803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Core Recommendations on Reducing Bias:</w:t>
                      </w:r>
                    </w:p>
                    <w:p w:rsidR="00803D32" w:rsidRDefault="00803D32" w:rsidP="00803D32">
                      <w:r>
                        <w:t>1. Require basic LGBTQ competency training for all state employees and contractors.</w:t>
                      </w:r>
                    </w:p>
                    <w:p w:rsidR="00803D32" w:rsidRDefault="00803D32">
                      <w:r w:rsidRPr="00803D32">
                        <w:t>2. Adopt policies that recognize gender identity diversity in state workplaces.</w:t>
                      </w:r>
                    </w:p>
                    <w:p w:rsidR="00803D32" w:rsidRDefault="00803D32">
                      <w:r w:rsidRPr="00803D32">
                        <w:t>3. Eliminate discrimination on the basis of gender identity and sexual orientation in all settings.</w:t>
                      </w:r>
                    </w:p>
                    <w:p w:rsidR="00803D32" w:rsidRPr="00803D32" w:rsidRDefault="00803D32">
                      <w:r w:rsidRPr="00803D32">
                        <w:t>4. Establish an interagency collaboration to address familial rejection of LGBTQ youth.</w:t>
                      </w:r>
                    </w:p>
                  </w:txbxContent>
                </v:textbox>
              </v:shape>
            </w:pict>
          </mc:Fallback>
        </mc:AlternateContent>
      </w:r>
      <w:r w:rsidR="00F81701">
        <w:rPr>
          <w:rFonts w:ascii="Arial" w:hAnsi="Arial" w:cs="Arial"/>
        </w:rPr>
        <w:br w:type="page"/>
      </w:r>
    </w:p>
    <w:p w:rsidR="00803D32" w:rsidRPr="00803D32" w:rsidRDefault="00ED420A" w:rsidP="00803D32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07110A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CA782" wp14:editId="30131127">
                <wp:simplePos x="0" y="0"/>
                <wp:positionH relativeFrom="column">
                  <wp:posOffset>2437130</wp:posOffset>
                </wp:positionH>
                <wp:positionV relativeFrom="paragraph">
                  <wp:posOffset>8291830</wp:posOffset>
                </wp:positionV>
                <wp:extent cx="2350770" cy="6762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10A" w:rsidRPr="0007110A" w:rsidRDefault="0007110A" w:rsidP="000711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Learn more about the Commission at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Mass.gov/cgly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91.9pt;margin-top:652.9pt;width:185.1pt;height:5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" stroked="f">
                <v:textbox>
                  <w:txbxContent>
                    <w:p w:rsidR="0007110A" w:rsidRPr="0007110A" w:rsidRDefault="0007110A" w:rsidP="0007110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Learn more about the Commission at</w:t>
                      </w:r>
                      <w:r>
                        <w:rPr>
                          <w:color w:val="000000" w:themeColor="text1"/>
                        </w:rPr>
                        <w:br/>
                        <w:t>Mass.gov/cgly</w:t>
                      </w:r>
                    </w:p>
                  </w:txbxContent>
                </v:textbox>
              </v:shape>
            </w:pict>
          </mc:Fallback>
        </mc:AlternateContent>
      </w:r>
      <w:r w:rsidRPr="000711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C69277" wp14:editId="36ED9E3F">
                <wp:simplePos x="0" y="0"/>
                <wp:positionH relativeFrom="column">
                  <wp:posOffset>4886696</wp:posOffset>
                </wp:positionH>
                <wp:positionV relativeFrom="paragraph">
                  <wp:posOffset>8306790</wp:posOffset>
                </wp:positionV>
                <wp:extent cx="1910995" cy="676894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995" cy="676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20A" w:rsidRPr="0007110A" w:rsidRDefault="00ED420A" w:rsidP="00ED420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Follow us on social media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@MassLGBTQYouth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84.8pt;margin-top:654.1pt;width:150.45pt;height:5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" stroked="f">
                <v:textbox>
                  <w:txbxContent>
                    <w:p w:rsidR="00ED420A" w:rsidRPr="0007110A" w:rsidRDefault="00ED420A" w:rsidP="00ED420A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Follow us on social media</w:t>
                      </w:r>
                      <w:r>
                        <w:rPr>
                          <w:color w:val="000000" w:themeColor="text1"/>
                        </w:rPr>
                        <w:br/>
                        <w:t>@MassLGBTQYouth</w:t>
                      </w:r>
                    </w:p>
                  </w:txbxContent>
                </v:textbox>
              </v:shape>
            </w:pict>
          </mc:Fallback>
        </mc:AlternateContent>
      </w:r>
      <w:r w:rsidR="0007110A" w:rsidRPr="000711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BE3B7E" wp14:editId="59FD37A6">
                <wp:simplePos x="0" y="0"/>
                <wp:positionH relativeFrom="column">
                  <wp:posOffset>-41564</wp:posOffset>
                </wp:positionH>
                <wp:positionV relativeFrom="paragraph">
                  <wp:posOffset>8294914</wp:posOffset>
                </wp:positionV>
                <wp:extent cx="2351315" cy="676894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315" cy="676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10A" w:rsidRPr="0007110A" w:rsidRDefault="0007110A" w:rsidP="00ED420A">
                            <w:pPr>
                              <w:rPr>
                                <w:color w:val="000000" w:themeColor="text1"/>
                              </w:rPr>
                            </w:pPr>
                            <w:r w:rsidRPr="0007110A">
                              <w:rPr>
                                <w:color w:val="000000" w:themeColor="text1"/>
                              </w:rPr>
                              <w:t xml:space="preserve">Download the full report at </w:t>
                            </w:r>
                            <w:r w:rsidRPr="0007110A">
                              <w:rPr>
                                <w:color w:val="000000" w:themeColor="text1"/>
                              </w:rPr>
                              <w:br/>
                            </w:r>
                            <w:hyperlink r:id="rId10" w:history="1">
                              <w:r w:rsidRPr="0007110A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>Mass.gov/annual-recommendations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.25pt;margin-top:653.15pt;width:185.15pt;height:5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" stroked="f">
                <v:textbox>
                  <w:txbxContent>
                    <w:p w:rsidR="0007110A" w:rsidRPr="0007110A" w:rsidRDefault="0007110A" w:rsidP="00ED420A">
                      <w:pPr>
                        <w:rPr>
                          <w:color w:val="000000" w:themeColor="text1"/>
                        </w:rPr>
                      </w:pPr>
                      <w:r w:rsidRPr="0007110A">
                        <w:rPr>
                          <w:color w:val="000000" w:themeColor="text1"/>
                        </w:rPr>
                        <w:t xml:space="preserve">Download the full report at </w:t>
                      </w:r>
                      <w:r w:rsidRPr="0007110A">
                        <w:rPr>
                          <w:color w:val="000000" w:themeColor="text1"/>
                        </w:rPr>
                        <w:br/>
                      </w:r>
                      <w:hyperlink r:id="rId11" w:history="1">
                        <w:r w:rsidRPr="0007110A">
                          <w:rPr>
                            <w:rStyle w:val="Hyperlink"/>
                            <w:color w:val="000000" w:themeColor="text1"/>
                            <w:u w:val="none"/>
                          </w:rPr>
                          <w:t>Mass.gov/annual-recommendations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7110A" w:rsidRPr="00803D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11D3A6" wp14:editId="61F16856">
                <wp:simplePos x="0" y="0"/>
                <wp:positionH relativeFrom="column">
                  <wp:posOffset>-41564</wp:posOffset>
                </wp:positionH>
                <wp:positionV relativeFrom="paragraph">
                  <wp:posOffset>6323610</wp:posOffset>
                </wp:positionV>
                <wp:extent cx="6828199" cy="1840676"/>
                <wp:effectExtent l="0" t="0" r="10795" b="266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8199" cy="1840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10A" w:rsidRDefault="0007110A" w:rsidP="00ED420A">
                            <w:pPr>
                              <w:jc w:val="center"/>
                            </w:pPr>
                            <w:r>
                              <w:t>The Commission also issues recommendations on things like training, data collection, and nondiscrimination to:</w:t>
                            </w:r>
                          </w:p>
                          <w:p w:rsidR="0007110A" w:rsidRDefault="0007110A" w:rsidP="0007110A">
                            <w:pPr>
                              <w:jc w:val="center"/>
                            </w:pPr>
                            <w:r>
                              <w:t xml:space="preserve">Department of Early Education and Childhood  |  Department of Elementary and Secondary Education </w:t>
                            </w:r>
                            <w:r>
                              <w:br/>
                              <w:t xml:space="preserve">Department of Higher Education   |  Department of Children and Families  |  Commission for the Blind  </w:t>
                            </w:r>
                            <w:r>
                              <w:br/>
                              <w:t xml:space="preserve">Commission for the Deaf and Hard of Hearing  |  Rehabilitation Commission  |  Department of Mental Health    Department of Public Health  |  Office of Refugees and Immigrants  |  Department of Transitional Assistance   Department of Youth Services  |  Executive Office of Public Safety and Security  |  Registry of Motor Vehicles   Regional Transit Authorities  |  Board of Library Commissioners  |  Department of Career Services   </w:t>
                            </w:r>
                            <w:r>
                              <w:br/>
                              <w:t>Department of Housing and Community Development</w:t>
                            </w:r>
                          </w:p>
                          <w:p w:rsidR="0007110A" w:rsidRPr="0007110A" w:rsidRDefault="0007110A" w:rsidP="000711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3.25pt;margin-top:497.9pt;width:537.65pt;height:14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" strokecolor="#ffc000" strokeweight="1.5pt">
                <v:textbox>
                  <w:txbxContent>
                    <w:p w:rsidR="0007110A" w:rsidRDefault="0007110A" w:rsidP="00ED420A">
                      <w:pPr>
                        <w:jc w:val="center"/>
                      </w:pPr>
                      <w:r>
                        <w:t>The Commission also issues recommendations on things like training, data collection, and nondiscrimination to:</w:t>
                      </w:r>
                    </w:p>
                    <w:p w:rsidR="0007110A" w:rsidRDefault="0007110A" w:rsidP="0007110A">
                      <w:pPr>
                        <w:jc w:val="center"/>
                      </w:pPr>
                      <w:r>
                        <w:t xml:space="preserve">Department of Early Education and Childhood  |  Department of Elementary and Secondary Education </w:t>
                      </w:r>
                      <w:r>
                        <w:br/>
                        <w:t xml:space="preserve">Department of Higher Education   |  Department of Children and Families  |  Commission for the Blind  </w:t>
                      </w:r>
                      <w:r>
                        <w:br/>
                        <w:t xml:space="preserve">Commission for the Deaf and Hard of Hearing  |  Rehabilitation Commission  |  Department of Mental Health    Department of Public Health  |  Office of Refugees and Immigrants  |  Department of Transitional Assistance   Department of Youth Services  |  Executive Office of Public Safety and Security  |  Registry of Motor Vehicles   Regional Transit Authorities  |  Board of Library Commissioners  |  Department of Career Services   </w:t>
                      </w:r>
                      <w:r>
                        <w:br/>
                        <w:t>Department of Housing and Community Development</w:t>
                      </w:r>
                    </w:p>
                    <w:p w:rsidR="0007110A" w:rsidRPr="0007110A" w:rsidRDefault="0007110A" w:rsidP="0007110A"/>
                  </w:txbxContent>
                </v:textbox>
              </v:shape>
            </w:pict>
          </mc:Fallback>
        </mc:AlternateContent>
      </w:r>
      <w:r w:rsidR="0007110A" w:rsidRPr="00803D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FAC74E" wp14:editId="0CBCA41A">
                <wp:simplePos x="0" y="0"/>
                <wp:positionH relativeFrom="column">
                  <wp:posOffset>62230</wp:posOffset>
                </wp:positionH>
                <wp:positionV relativeFrom="paragraph">
                  <wp:posOffset>200660</wp:posOffset>
                </wp:positionV>
                <wp:extent cx="3194050" cy="1403985"/>
                <wp:effectExtent l="0" t="0" r="25400" b="196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701" w:rsidRPr="00803D32" w:rsidRDefault="00F81701" w:rsidP="00F817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Core Recommendations on </w:t>
                            </w:r>
                            <w:r>
                              <w:rPr>
                                <w:b/>
                              </w:rPr>
                              <w:t>Criminal Justice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F81701" w:rsidRDefault="00F81701" w:rsidP="00F81701">
                            <w:r>
                              <w:t xml:space="preserve">1. </w:t>
                            </w:r>
                            <w:r w:rsidRPr="00F81701">
                              <w:t>Support organizations seeking to eliminate the school-to-prison pipeline and explore how to develop a comprehensive state plan to do so.</w:t>
                            </w:r>
                          </w:p>
                          <w:p w:rsidR="00F81701" w:rsidRDefault="00F81701" w:rsidP="00F81701">
                            <w:r w:rsidRPr="00803D32">
                              <w:t>2</w:t>
                            </w:r>
                            <w:r>
                              <w:t xml:space="preserve">. </w:t>
                            </w:r>
                            <w:r w:rsidRPr="00F81701">
                              <w:t>Increase collection of data on sexual orientation and gender identity throughout the juvenile and criminal justice systems.</w:t>
                            </w:r>
                          </w:p>
                          <w:p w:rsidR="00F81701" w:rsidRDefault="00F81701" w:rsidP="00F81701">
                            <w:r w:rsidRPr="00803D32">
                              <w:t xml:space="preserve">3. </w:t>
                            </w:r>
                            <w:r w:rsidRPr="00F81701">
                              <w:t>Ensure that memorandums of understanding (MOUs) regarding school resource officers (SROs) address LGBTQ disparities.</w:t>
                            </w:r>
                          </w:p>
                          <w:p w:rsidR="00F81701" w:rsidRDefault="00F81701" w:rsidP="00F81701">
                            <w:r w:rsidRPr="00803D32">
                              <w:t xml:space="preserve">4. </w:t>
                            </w:r>
                            <w:r w:rsidRPr="00F81701">
                              <w:t>Decriminalize consensual sexual relations among parties close in age.</w:t>
                            </w:r>
                          </w:p>
                          <w:p w:rsidR="00F81701" w:rsidRPr="00803D32" w:rsidRDefault="00F81701" w:rsidP="00F81701">
                            <w:r w:rsidRPr="00F81701">
                              <w:t>5. Issue guidance on reporting consensual sexual relations between minors.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.9pt;margin-top:15.8pt;width:251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" strokecolor="#ffc000" strokeweight="1.5pt">
                <v:textbox style="mso-fit-shape-to-text:t">
                  <w:txbxContent>
                    <w:p w:rsidR="00F81701" w:rsidRPr="00803D32" w:rsidRDefault="00F81701" w:rsidP="00F817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Core Recommendations on </w:t>
                      </w:r>
                      <w:r>
                        <w:rPr>
                          <w:b/>
                        </w:rPr>
                        <w:t>Criminal Justice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F81701" w:rsidRDefault="00F81701" w:rsidP="00F81701">
                      <w:r>
                        <w:t xml:space="preserve">1. </w:t>
                      </w:r>
                      <w:r w:rsidRPr="00F81701">
                        <w:t>Support organizations seeking to eliminate the school-to-prison pipeline and explore how to develop a comprehensive state plan to do so.</w:t>
                      </w:r>
                    </w:p>
                    <w:p w:rsidR="00F81701" w:rsidRDefault="00F81701" w:rsidP="00F81701">
                      <w:r w:rsidRPr="00803D32">
                        <w:t>2</w:t>
                      </w:r>
                      <w:r>
                        <w:t xml:space="preserve">. </w:t>
                      </w:r>
                      <w:r w:rsidRPr="00F81701">
                        <w:t>Increase collection of data on sexual orientation and gender identity throughout the juvenile and criminal justice systems.</w:t>
                      </w:r>
                    </w:p>
                    <w:p w:rsidR="00F81701" w:rsidRDefault="00F81701" w:rsidP="00F81701">
                      <w:r w:rsidRPr="00803D32">
                        <w:t xml:space="preserve">3. </w:t>
                      </w:r>
                      <w:r w:rsidRPr="00F81701">
                        <w:t>Ensure that memorandums of understanding (MOUs) regarding school resource officers (SROs) address LGBTQ disparities.</w:t>
                      </w:r>
                    </w:p>
                    <w:p w:rsidR="00F81701" w:rsidRDefault="00F81701" w:rsidP="00F81701">
                      <w:r w:rsidRPr="00803D32">
                        <w:t xml:space="preserve">4. </w:t>
                      </w:r>
                      <w:r w:rsidRPr="00F81701">
                        <w:t>Decriminalize consensual sexual relations among parties close in age.</w:t>
                      </w:r>
                    </w:p>
                    <w:p w:rsidR="00F81701" w:rsidRPr="00803D32" w:rsidRDefault="00F81701" w:rsidP="00F81701">
                      <w:r w:rsidRPr="00F81701">
                        <w:t>5. Issue guidance on reporting consensual sexual relations between minors.</w:t>
                      </w:r>
                    </w:p>
                  </w:txbxContent>
                </v:textbox>
              </v:shape>
            </w:pict>
          </mc:Fallback>
        </mc:AlternateContent>
      </w:r>
      <w:r w:rsidR="0007110A" w:rsidRPr="00D957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0E71D88" wp14:editId="4D64C512">
                <wp:simplePos x="0" y="0"/>
                <wp:positionH relativeFrom="margin">
                  <wp:posOffset>-33655</wp:posOffset>
                </wp:positionH>
                <wp:positionV relativeFrom="margin">
                  <wp:posOffset>4013835</wp:posOffset>
                </wp:positionV>
                <wp:extent cx="3359785" cy="2028825"/>
                <wp:effectExtent l="0" t="0" r="0" b="9525"/>
                <wp:wrapSquare wrapText="bothSides"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785" cy="202882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7110A" w:rsidRPr="00F81701" w:rsidRDefault="0007110A" w:rsidP="000711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F81701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The education for LGBTQ issues is lacking at best. The information we receive in health classes is either overgeneralized or inaccurate. I remember in 10th grade I was essentially teaching my health class for my teacher because he just wasn't well educated on what he was talking about.</w:t>
                            </w:r>
                          </w:p>
                          <w:p w:rsidR="0007110A" w:rsidRPr="00F81701" w:rsidRDefault="0007110A" w:rsidP="000711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07110A" w:rsidRPr="00D9576E" w:rsidRDefault="0007110A" w:rsidP="0007110A">
                            <w:pPr>
                              <w:spacing w:after="0"/>
                              <w:jc w:val="center"/>
                              <w:rPr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D9576E">
                              <w:rPr>
                                <w:iCs/>
                                <w:color w:val="000000" w:themeColor="text1"/>
                                <w:sz w:val="24"/>
                              </w:rPr>
                              <w:t>– High School Student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185" style="position:absolute;left:0;text-align:left;margin-left:-2.65pt;margin-top:316.05pt;width:264.55pt;height:15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" o:allowincell="f" adj="1739" filled="t" fillcolor="#dbe5f1 [660]" stroked="f" strokeweight=".5pt">
                <v:textbox inset="3.6pt,,3.6pt">
                  <w:txbxContent>
                    <w:p w:rsidR="0007110A" w:rsidRPr="00F81701" w:rsidRDefault="0007110A" w:rsidP="0007110A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F81701">
                        <w:rPr>
                          <w:i/>
                          <w:iCs/>
                          <w:color w:val="000000" w:themeColor="text1"/>
                          <w:sz w:val="24"/>
                        </w:rPr>
                        <w:t>The education for LGBTQ issues is lacking at best. The information we receive in health classes is either overgeneralized or inaccurate. I remember in 10th grade I was essentially teaching my health class for my teacher because he just wasn't well educated on what he was talking about.</w:t>
                      </w:r>
                    </w:p>
                    <w:p w:rsidR="0007110A" w:rsidRPr="00F81701" w:rsidRDefault="0007110A" w:rsidP="0007110A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</w:p>
                    <w:p w:rsidR="0007110A" w:rsidRPr="00D9576E" w:rsidRDefault="0007110A" w:rsidP="0007110A">
                      <w:pPr>
                        <w:spacing w:after="0"/>
                        <w:jc w:val="center"/>
                        <w:rPr>
                          <w:iCs/>
                          <w:color w:val="000000" w:themeColor="text1"/>
                          <w:sz w:val="24"/>
                        </w:rPr>
                      </w:pPr>
                      <w:r w:rsidRPr="00D9576E">
                        <w:rPr>
                          <w:iCs/>
                          <w:color w:val="000000" w:themeColor="text1"/>
                          <w:sz w:val="24"/>
                        </w:rPr>
                        <w:t>– High School Student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81701" w:rsidRPr="00D957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DE91523" wp14:editId="61DCB222">
                <wp:simplePos x="0" y="0"/>
                <wp:positionH relativeFrom="margin">
                  <wp:posOffset>3437890</wp:posOffset>
                </wp:positionH>
                <wp:positionV relativeFrom="margin">
                  <wp:posOffset>290830</wp:posOffset>
                </wp:positionV>
                <wp:extent cx="3359785" cy="1935480"/>
                <wp:effectExtent l="0" t="0" r="0" b="7620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785" cy="19354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81701" w:rsidRDefault="00F81701" w:rsidP="00F8170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F81701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Conversion therapy has proven to be psychologically damaging to LGBTQ youth and poses a public health risk in mental health to a vulnerable population. Massachusetts should be leading on this issue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..</w:t>
                            </w:r>
                            <w:r w:rsidRPr="00F81701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. The LGBTQ youth of Massachusetts can’t wait any longer.</w:t>
                            </w:r>
                          </w:p>
                          <w:p w:rsidR="00F81701" w:rsidRDefault="00F81701" w:rsidP="00F8170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F81701" w:rsidRPr="00F81701" w:rsidRDefault="00F81701" w:rsidP="00F81701">
                            <w:pPr>
                              <w:spacing w:after="0"/>
                              <w:jc w:val="center"/>
                              <w:rPr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:sz w:val="24"/>
                              </w:rPr>
                              <w:t>– Youth Advocate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185" style="position:absolute;left:0;text-align:left;margin-left:270.7pt;margin-top:22.9pt;width:264.55pt;height:15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" o:allowincell="f" adj="1739" filled="t" fillcolor="#dbe5f1 [660]" stroked="f" strokeweight=".5pt">
                <v:textbox inset="3.6pt,,3.6pt">
                  <w:txbxContent>
                    <w:p w:rsidR="00F81701" w:rsidRDefault="00F81701" w:rsidP="00F81701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F81701">
                        <w:rPr>
                          <w:i/>
                          <w:iCs/>
                          <w:color w:val="000000" w:themeColor="text1"/>
                          <w:sz w:val="24"/>
                        </w:rPr>
                        <w:t>Conversion therapy has proven to be psychologically damaging to LGBTQ youth and poses a public health risk in mental health to a vulnerable population. Massachusetts should be leading on this issue</w:t>
                      </w:r>
                      <w:r>
                        <w:rPr>
                          <w:i/>
                          <w:iCs/>
                          <w:color w:val="000000" w:themeColor="text1"/>
                          <w:sz w:val="24"/>
                        </w:rPr>
                        <w:t>..</w:t>
                      </w:r>
                      <w:r w:rsidRPr="00F81701">
                        <w:rPr>
                          <w:i/>
                          <w:iCs/>
                          <w:color w:val="000000" w:themeColor="text1"/>
                          <w:sz w:val="24"/>
                        </w:rPr>
                        <w:t>. The LGBTQ youth of Massachusetts can’t wait any longer.</w:t>
                      </w:r>
                    </w:p>
                    <w:p w:rsidR="00F81701" w:rsidRDefault="00F81701" w:rsidP="00F81701">
                      <w:pP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</w:p>
                    <w:p w:rsidR="00F81701" w:rsidRPr="00F81701" w:rsidRDefault="00F81701" w:rsidP="00F81701">
                      <w:pPr>
                        <w:spacing w:after="0"/>
                        <w:jc w:val="center"/>
                        <w:rPr>
                          <w:iCs/>
                          <w:color w:val="000000" w:themeColor="text1"/>
                          <w:sz w:val="24"/>
                        </w:rPr>
                      </w:pPr>
                      <w:r>
                        <w:rPr>
                          <w:iCs/>
                          <w:color w:val="000000" w:themeColor="text1"/>
                          <w:sz w:val="24"/>
                        </w:rPr>
                        <w:t>– Youth Advocate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81701" w:rsidRPr="00803D3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AABB0F" wp14:editId="32D72031">
                <wp:simplePos x="0" y="0"/>
                <wp:positionH relativeFrom="column">
                  <wp:posOffset>3597811</wp:posOffset>
                </wp:positionH>
                <wp:positionV relativeFrom="paragraph">
                  <wp:posOffset>2431415</wp:posOffset>
                </wp:positionV>
                <wp:extent cx="3194050" cy="1403985"/>
                <wp:effectExtent l="0" t="0" r="25400" b="196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701" w:rsidRPr="00803D32" w:rsidRDefault="00F81701" w:rsidP="00F817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Core Recommendations on </w:t>
                            </w:r>
                            <w:r>
                              <w:rPr>
                                <w:b/>
                              </w:rPr>
                              <w:t>Health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F81701" w:rsidRDefault="00F81701" w:rsidP="00F81701">
                            <w:r>
                              <w:t xml:space="preserve">1. </w:t>
                            </w:r>
                            <w:r w:rsidRPr="00F81701">
                              <w:t>Ban the harmful and discredited practice of conversion therapy.</w:t>
                            </w:r>
                          </w:p>
                          <w:p w:rsidR="00F81701" w:rsidRDefault="00F81701" w:rsidP="00F81701">
                            <w:r w:rsidRPr="00803D32">
                              <w:t>2</w:t>
                            </w:r>
                            <w:r>
                              <w:t xml:space="preserve">. </w:t>
                            </w:r>
                            <w:r w:rsidRPr="00F81701">
                              <w:t>Ensure that comprehensive, age-appropriate, and LGBTQ-inclusive sexual health education is given in every school district and supported with adequate funding.</w:t>
                            </w:r>
                          </w:p>
                          <w:p w:rsidR="00F81701" w:rsidRDefault="00F81701" w:rsidP="00F81701">
                            <w:r w:rsidRPr="00803D32">
                              <w:t xml:space="preserve">3. </w:t>
                            </w:r>
                            <w:r w:rsidRPr="00F81701">
                              <w:t xml:space="preserve">Provide level or increased funding for the HIV line item (4512-0103) that provides critical services for LGBTQ youth, particularly LGBTQ youth of color. </w:t>
                            </w:r>
                          </w:p>
                          <w:p w:rsidR="00F81701" w:rsidRDefault="00F81701" w:rsidP="00F81701">
                            <w:r w:rsidRPr="00803D32">
                              <w:t xml:space="preserve">4. </w:t>
                            </w:r>
                            <w:r w:rsidRPr="00F81701">
                              <w:t>Prioritize funds allocated to sexual health for release as early in the fiscal year as possible.</w:t>
                            </w:r>
                          </w:p>
                          <w:p w:rsidR="00F81701" w:rsidRPr="00803D32" w:rsidRDefault="00F81701" w:rsidP="00F81701">
                            <w:r w:rsidRPr="00F81701">
                              <w:t xml:space="preserve">5. </w:t>
                            </w:r>
                            <w:r w:rsidRPr="00F81701">
                              <w:t>Ensure that the response to the opioid crisis takes into account the specific needs of LGBTQ youth.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83.3pt;margin-top:191.45pt;width:251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" strokecolor="#ffc000" strokeweight="1.5pt">
                <v:textbox style="mso-fit-shape-to-text:t">
                  <w:txbxContent>
                    <w:p w:rsidR="00F81701" w:rsidRPr="00803D32" w:rsidRDefault="00F81701" w:rsidP="00F817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Core Recommendations on </w:t>
                      </w:r>
                      <w:r>
                        <w:rPr>
                          <w:b/>
                        </w:rPr>
                        <w:t>Health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F81701" w:rsidRDefault="00F81701" w:rsidP="00F81701">
                      <w:r>
                        <w:t xml:space="preserve">1. </w:t>
                      </w:r>
                      <w:r w:rsidRPr="00F81701">
                        <w:t>Ban the harmful and discredited practice of conversion therapy.</w:t>
                      </w:r>
                    </w:p>
                    <w:p w:rsidR="00F81701" w:rsidRDefault="00F81701" w:rsidP="00F81701">
                      <w:r w:rsidRPr="00803D32">
                        <w:t>2</w:t>
                      </w:r>
                      <w:r>
                        <w:t xml:space="preserve">. </w:t>
                      </w:r>
                      <w:r w:rsidRPr="00F81701">
                        <w:t>Ensure that comprehensive, age-appropriate, and LGBTQ-inclusive sexual health education is given in every school district and supported with adequate funding.</w:t>
                      </w:r>
                    </w:p>
                    <w:p w:rsidR="00F81701" w:rsidRDefault="00F81701" w:rsidP="00F81701">
                      <w:r w:rsidRPr="00803D32">
                        <w:t xml:space="preserve">3. </w:t>
                      </w:r>
                      <w:r w:rsidRPr="00F81701">
                        <w:t xml:space="preserve">Provide level or increased funding for the HIV line item (4512-0103) that provides critical services for LGBTQ youth, particularly LGBTQ youth of color. </w:t>
                      </w:r>
                    </w:p>
                    <w:p w:rsidR="00F81701" w:rsidRDefault="00F81701" w:rsidP="00F81701">
                      <w:r w:rsidRPr="00803D32">
                        <w:t xml:space="preserve">4. </w:t>
                      </w:r>
                      <w:r w:rsidRPr="00F81701">
                        <w:t>Prioritize funds allocated to sexual health for release as early in the fiscal year as possible.</w:t>
                      </w:r>
                    </w:p>
                    <w:p w:rsidR="00F81701" w:rsidRPr="00803D32" w:rsidRDefault="00F81701" w:rsidP="00F81701">
                      <w:r w:rsidRPr="00F81701">
                        <w:t xml:space="preserve">5. </w:t>
                      </w:r>
                      <w:r w:rsidRPr="00F81701">
                        <w:t>Ensure that the response to the opioid crisis takes into account the specific needs of LGBTQ youth.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3D32" w:rsidRPr="00803D32" w:rsidSect="00803D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666"/>
    <w:multiLevelType w:val="hybridMultilevel"/>
    <w:tmpl w:val="C086514C"/>
    <w:lvl w:ilvl="0" w:tplc="DFECFF8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32"/>
    <w:rsid w:val="0007110A"/>
    <w:rsid w:val="00803D32"/>
    <w:rsid w:val="00D9576E"/>
    <w:rsid w:val="00EA3022"/>
    <w:rsid w:val="00ED420A"/>
    <w:rsid w:val="00F8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D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1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D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s.gov/annual-recommendation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ass.gov/annual-recommendat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ss.gov/annual-recommend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ss.gov/annual-recommend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19050">
          <a:solidFill>
            <a:srgbClr val="FFBC37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Prachniak-Rincón</dc:creator>
  <cp:lastModifiedBy> Corey Prachniak-Rincón</cp:lastModifiedBy>
  <cp:revision>1</cp:revision>
  <dcterms:created xsi:type="dcterms:W3CDTF">2018-05-07T13:09:00Z</dcterms:created>
  <dcterms:modified xsi:type="dcterms:W3CDTF">2018-05-07T13:55:00Z</dcterms:modified>
</cp:coreProperties>
</file>