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826" w:rsidRPr="009A77FA" w:rsidRDefault="00D57C61">
      <w:pPr>
        <w:rPr>
          <w:b/>
        </w:rPr>
      </w:pPr>
      <w:r>
        <w:rPr>
          <w:b/>
          <w:u w:val="single"/>
        </w:rPr>
        <w:t xml:space="preserve">Summary of Pricing Methodology for </w:t>
      </w:r>
      <w:proofErr w:type="gramStart"/>
      <w:r>
        <w:rPr>
          <w:b/>
          <w:u w:val="single"/>
        </w:rPr>
        <w:t>Accountable</w:t>
      </w:r>
      <w:proofErr w:type="gramEnd"/>
      <w:r>
        <w:rPr>
          <w:b/>
          <w:u w:val="single"/>
        </w:rPr>
        <w:t xml:space="preserve"> Care Organizations</w:t>
      </w:r>
      <w:r w:rsidR="009A77FA">
        <w:rPr>
          <w:b/>
          <w:u w:val="single"/>
        </w:rPr>
        <w:t xml:space="preserve"> and Managed Care Organizations</w:t>
      </w:r>
      <w:r w:rsidR="009A77FA">
        <w:rPr>
          <w:b/>
        </w:rPr>
        <w:t xml:space="preserve"> </w:t>
      </w:r>
      <w:r w:rsidR="009A77FA" w:rsidRPr="00FD382A">
        <w:t>– February 7, 2017</w:t>
      </w:r>
    </w:p>
    <w:p w:rsidR="003F49F5" w:rsidRDefault="003F49F5" w:rsidP="003F49F5">
      <w:r>
        <w:t>In December</w:t>
      </w:r>
      <w:r w:rsidR="000C660A">
        <w:t xml:space="preserve"> 2016</w:t>
      </w:r>
      <w:r>
        <w:t xml:space="preserve">, EOHHS released a detailed overview of the </w:t>
      </w:r>
      <w:r w:rsidR="00E502D9">
        <w:t>Accountable Care Organization (</w:t>
      </w:r>
      <w:r>
        <w:t>ACO</w:t>
      </w:r>
      <w:r w:rsidR="00E502D9">
        <w:t>)</w:t>
      </w:r>
      <w:r>
        <w:t xml:space="preserve"> rate and benchmark setting methodology for </w:t>
      </w:r>
      <w:proofErr w:type="spellStart"/>
      <w:r w:rsidR="00E502D9">
        <w:t>MassHealth’s</w:t>
      </w:r>
      <w:proofErr w:type="spellEnd"/>
      <w:r w:rsidR="00E502D9">
        <w:t xml:space="preserve"> ACO</w:t>
      </w:r>
      <w:r>
        <w:t xml:space="preserve"> program. In addition, EOHHS has described its Managed Care Organization (MCO) rate development process</w:t>
      </w:r>
      <w:r w:rsidR="008C6A16">
        <w:t xml:space="preserve"> as part of its MCO procurement process</w:t>
      </w:r>
      <w:r>
        <w:t xml:space="preserve">. </w:t>
      </w:r>
      <w:r w:rsidR="00926082">
        <w:t xml:space="preserve">The appended documents, </w:t>
      </w:r>
      <w:r w:rsidR="00E75084">
        <w:t xml:space="preserve">previously </w:t>
      </w:r>
      <w:r w:rsidR="00926082">
        <w:t xml:space="preserve">shared </w:t>
      </w:r>
      <w:r w:rsidR="00F75AEB">
        <w:t>for information</w:t>
      </w:r>
      <w:r w:rsidR="00065DC5">
        <w:t>al</w:t>
      </w:r>
      <w:r w:rsidR="00F75AEB">
        <w:t xml:space="preserve"> purposes as part of the ACO and MCO procurements</w:t>
      </w:r>
      <w:r w:rsidR="00926082">
        <w:t xml:space="preserve">, describe the </w:t>
      </w:r>
      <w:r w:rsidR="00931A99">
        <w:t xml:space="preserve">methodology by which EOHHS will develop rates and benchmarks for </w:t>
      </w:r>
      <w:r w:rsidR="00926082">
        <w:t>ACO</w:t>
      </w:r>
      <w:r w:rsidR="00931A99">
        <w:t>s, and</w:t>
      </w:r>
      <w:r w:rsidR="00C80282">
        <w:t xml:space="preserve"> base capitation rate</w:t>
      </w:r>
      <w:r w:rsidR="00E502D9">
        <w:t>s</w:t>
      </w:r>
      <w:r w:rsidR="00931A99">
        <w:t xml:space="preserve"> for MCOs</w:t>
      </w:r>
      <w:r w:rsidR="00926082">
        <w:t xml:space="preserve">; EOHHS encourages </w:t>
      </w:r>
      <w:r w:rsidR="00B045C7">
        <w:t>Bidders for the Request for Responses (RFR)</w:t>
      </w:r>
      <w:r w:rsidR="00E502D9">
        <w:t xml:space="preserve"> for ACOs</w:t>
      </w:r>
      <w:r w:rsidR="00B045C7">
        <w:t>, Bidders for the RFR</w:t>
      </w:r>
      <w:r w:rsidR="00E502D9">
        <w:t xml:space="preserve"> for MCOs</w:t>
      </w:r>
      <w:r w:rsidR="00926082">
        <w:t xml:space="preserve">, and other interested stakeholders to review these documents. </w:t>
      </w:r>
      <w:r>
        <w:t xml:space="preserve">Given </w:t>
      </w:r>
      <w:r w:rsidR="000C65D9">
        <w:t>that pricing methodologies for the ACO and MCO programs are linked</w:t>
      </w:r>
      <w:r>
        <w:t xml:space="preserve">, this document </w:t>
      </w:r>
      <w:r w:rsidR="00F75AEB">
        <w:t xml:space="preserve">has been </w:t>
      </w:r>
      <w:r w:rsidR="00926082">
        <w:t>prepared</w:t>
      </w:r>
      <w:r>
        <w:t xml:space="preserve"> to provide </w:t>
      </w:r>
      <w:r w:rsidR="00926082">
        <w:t xml:space="preserve">interested stakeholders </w:t>
      </w:r>
      <w:r>
        <w:t xml:space="preserve">a clarifying summary of </w:t>
      </w:r>
      <w:r w:rsidR="00F75AEB">
        <w:t>critical features of</w:t>
      </w:r>
      <w:r>
        <w:t xml:space="preserve"> EOHHS’s integrated pricing </w:t>
      </w:r>
      <w:r w:rsidR="00106B08">
        <w:t>approach</w:t>
      </w:r>
      <w:r w:rsidR="00926082">
        <w:t xml:space="preserve">. </w:t>
      </w:r>
    </w:p>
    <w:p w:rsidR="00926082" w:rsidRDefault="00783E40" w:rsidP="003F49F5">
      <w:r>
        <w:t xml:space="preserve">Specifically, </w:t>
      </w:r>
      <w:r w:rsidR="00F75AEB">
        <w:t xml:space="preserve">EOHHS’s </w:t>
      </w:r>
      <w:r w:rsidR="00926082">
        <w:t xml:space="preserve">unified </w:t>
      </w:r>
      <w:r w:rsidR="00F75AEB">
        <w:t xml:space="preserve">pricing </w:t>
      </w:r>
      <w:r w:rsidR="00926082">
        <w:t>approach:</w:t>
      </w:r>
    </w:p>
    <w:p w:rsidR="00E04316" w:rsidRDefault="00E04316" w:rsidP="00E04316">
      <w:pPr>
        <w:pStyle w:val="ListParagraph"/>
        <w:numPr>
          <w:ilvl w:val="0"/>
          <w:numId w:val="3"/>
        </w:numPr>
      </w:pPr>
      <w:r w:rsidRPr="00F75AEB">
        <w:rPr>
          <w:b/>
        </w:rPr>
        <w:t xml:space="preserve">Combines </w:t>
      </w:r>
      <w:r w:rsidR="00290091">
        <w:rPr>
          <w:b/>
        </w:rPr>
        <w:t xml:space="preserve">historical </w:t>
      </w:r>
      <w:r w:rsidRPr="00F75AEB">
        <w:rPr>
          <w:b/>
        </w:rPr>
        <w:t>MCO</w:t>
      </w:r>
      <w:r w:rsidR="002A385D">
        <w:rPr>
          <w:b/>
        </w:rPr>
        <w:t xml:space="preserve"> encounters</w:t>
      </w:r>
      <w:r w:rsidRPr="00F75AEB">
        <w:rPr>
          <w:b/>
        </w:rPr>
        <w:t xml:space="preserve"> and P</w:t>
      </w:r>
      <w:r w:rsidR="00AA1C60">
        <w:rPr>
          <w:b/>
        </w:rPr>
        <w:t>rimary Care Clinician (P</w:t>
      </w:r>
      <w:r w:rsidRPr="00F75AEB">
        <w:rPr>
          <w:b/>
        </w:rPr>
        <w:t>CC</w:t>
      </w:r>
      <w:r w:rsidR="00AA1C60">
        <w:rPr>
          <w:b/>
        </w:rPr>
        <w:t>)</w:t>
      </w:r>
      <w:r w:rsidRPr="00F75AEB">
        <w:rPr>
          <w:b/>
        </w:rPr>
        <w:t xml:space="preserve"> </w:t>
      </w:r>
      <w:r w:rsidR="007078E0">
        <w:rPr>
          <w:b/>
        </w:rPr>
        <w:t xml:space="preserve">plan </w:t>
      </w:r>
      <w:r w:rsidR="002A385D">
        <w:rPr>
          <w:b/>
        </w:rPr>
        <w:t>claims</w:t>
      </w:r>
      <w:r w:rsidR="002D7EC1">
        <w:rPr>
          <w:b/>
        </w:rPr>
        <w:t xml:space="preserve">, </w:t>
      </w:r>
      <w:r w:rsidR="002D7EC1">
        <w:t>and other claims and encounters for managed care eligible</w:t>
      </w:r>
      <w:r w:rsidR="00C3140F">
        <w:t xml:space="preserve"> members</w:t>
      </w:r>
      <w:r w:rsidR="002D7EC1">
        <w:t>,</w:t>
      </w:r>
      <w:r w:rsidR="002A385D">
        <w:rPr>
          <w:b/>
        </w:rPr>
        <w:t xml:space="preserve"> </w:t>
      </w:r>
      <w:r w:rsidRPr="00F75AEB">
        <w:t>t</w:t>
      </w:r>
      <w:r>
        <w:t xml:space="preserve">o set a </w:t>
      </w:r>
      <w:r w:rsidR="00CB6C93">
        <w:t>common</w:t>
      </w:r>
      <w:r>
        <w:t xml:space="preserve"> market-based </w:t>
      </w:r>
      <w:r w:rsidR="00E8537B">
        <w:t xml:space="preserve">Total Cost of Care (TCOC) </w:t>
      </w:r>
      <w:r>
        <w:t>standard</w:t>
      </w:r>
    </w:p>
    <w:p w:rsidR="00E04316" w:rsidRDefault="00E04316" w:rsidP="00E04316">
      <w:pPr>
        <w:pStyle w:val="ListParagraph"/>
        <w:numPr>
          <w:ilvl w:val="1"/>
          <w:numId w:val="3"/>
        </w:numPr>
      </w:pPr>
      <w:r>
        <w:t xml:space="preserve">EOHHS will combine the experience of members in the PCC plan and MCO program to calculate </w:t>
      </w:r>
      <w:r w:rsidR="002A385D">
        <w:t xml:space="preserve">a common market-based </w:t>
      </w:r>
      <w:r w:rsidR="00E502D9">
        <w:t xml:space="preserve">TCOC </w:t>
      </w:r>
      <w:r w:rsidR="002A385D">
        <w:t>standard</w:t>
      </w:r>
      <w:r>
        <w:t xml:space="preserve"> for members in each region a</w:t>
      </w:r>
      <w:r w:rsidR="002A385D">
        <w:t xml:space="preserve">nd rating category; this market-based </w:t>
      </w:r>
      <w:r w:rsidR="00E502D9">
        <w:t xml:space="preserve">TCOC </w:t>
      </w:r>
      <w:r w:rsidR="002A385D">
        <w:t xml:space="preserve">standard </w:t>
      </w:r>
      <w:r>
        <w:t xml:space="preserve">will be </w:t>
      </w:r>
      <w:r w:rsidR="001E7CFD">
        <w:t xml:space="preserve">a key input into </w:t>
      </w:r>
      <w:r>
        <w:t>ACO and MCO rate and benchmark development</w:t>
      </w:r>
      <w:r w:rsidR="00D905BD">
        <w:t>.</w:t>
      </w:r>
      <w:r>
        <w:t xml:space="preserve"> </w:t>
      </w:r>
    </w:p>
    <w:p w:rsidR="000C660A" w:rsidRPr="000C660A" w:rsidRDefault="000C660A" w:rsidP="00926082">
      <w:pPr>
        <w:pStyle w:val="ListParagraph"/>
        <w:numPr>
          <w:ilvl w:val="0"/>
          <w:numId w:val="3"/>
        </w:numPr>
        <w:rPr>
          <w:b/>
        </w:rPr>
      </w:pPr>
      <w:r w:rsidRPr="000C660A">
        <w:rPr>
          <w:b/>
        </w:rPr>
        <w:t>Sets TCOC for each individual ACO and the MCOs as a class</w:t>
      </w:r>
      <w:r w:rsidR="008A41A7">
        <w:rPr>
          <w:b/>
        </w:rPr>
        <w:t xml:space="preserve">, </w:t>
      </w:r>
      <w:r w:rsidR="008A41A7" w:rsidRPr="008A41A7">
        <w:t>which will inform rate and benchmark development</w:t>
      </w:r>
    </w:p>
    <w:p w:rsidR="006F4028" w:rsidRDefault="002E196E" w:rsidP="000C660A">
      <w:pPr>
        <w:pStyle w:val="ListParagraph"/>
        <w:numPr>
          <w:ilvl w:val="1"/>
          <w:numId w:val="3"/>
        </w:numPr>
      </w:pPr>
      <w:r>
        <w:t>Each A</w:t>
      </w:r>
      <w:r w:rsidR="000C660A">
        <w:t xml:space="preserve">ccountable </w:t>
      </w:r>
      <w:r>
        <w:t>C</w:t>
      </w:r>
      <w:r w:rsidR="000C660A">
        <w:t xml:space="preserve">are </w:t>
      </w:r>
      <w:r>
        <w:t>P</w:t>
      </w:r>
      <w:r w:rsidR="000C660A">
        <w:t xml:space="preserve">artnership </w:t>
      </w:r>
      <w:r>
        <w:t>Plan</w:t>
      </w:r>
      <w:r w:rsidR="000C660A">
        <w:t xml:space="preserve"> will receive a prospective capitation rate </w:t>
      </w:r>
      <w:r w:rsidR="00262780">
        <w:t>with the Medical component</w:t>
      </w:r>
      <w:r w:rsidR="00483372">
        <w:t xml:space="preserve"> </w:t>
      </w:r>
      <w:r w:rsidR="00E502D9">
        <w:t xml:space="preserve">of such rate </w:t>
      </w:r>
      <w:r w:rsidR="00D905BD">
        <w:t xml:space="preserve">based on its </w:t>
      </w:r>
      <w:r w:rsidR="000C660A">
        <w:t>TCOC</w:t>
      </w:r>
      <w:r w:rsidR="00D905BD">
        <w:t>.</w:t>
      </w:r>
    </w:p>
    <w:p w:rsidR="006F4028" w:rsidRDefault="002E196E" w:rsidP="000C660A">
      <w:pPr>
        <w:pStyle w:val="ListParagraph"/>
        <w:numPr>
          <w:ilvl w:val="1"/>
          <w:numId w:val="3"/>
        </w:numPr>
      </w:pPr>
      <w:r>
        <w:t>Each Primary Care ACO and MCO-administered ACO</w:t>
      </w:r>
      <w:r w:rsidR="000C660A">
        <w:t xml:space="preserve"> will have a TCOC benchmark against which savings and losses are calculated after the end of the performance perio</w:t>
      </w:r>
      <w:r w:rsidR="006F4028">
        <w:t>d</w:t>
      </w:r>
      <w:r w:rsidR="00E52108">
        <w:t>.</w:t>
      </w:r>
    </w:p>
    <w:p w:rsidR="006F4028" w:rsidRDefault="000C660A" w:rsidP="000C660A">
      <w:pPr>
        <w:pStyle w:val="ListParagraph"/>
        <w:numPr>
          <w:ilvl w:val="1"/>
          <w:numId w:val="3"/>
        </w:numPr>
      </w:pPr>
      <w:r>
        <w:t xml:space="preserve">MCOs will receive a </w:t>
      </w:r>
      <w:r w:rsidR="00AF40B2">
        <w:t xml:space="preserve">prospective </w:t>
      </w:r>
      <w:r>
        <w:t xml:space="preserve">base capitation rate for the entire MCO class </w:t>
      </w:r>
      <w:r w:rsidR="00262780">
        <w:t>with the Medical component</w:t>
      </w:r>
      <w:r w:rsidR="00E502D9">
        <w:t xml:space="preserve"> of such rate</w:t>
      </w:r>
      <w:r w:rsidR="00262780">
        <w:t xml:space="preserve"> </w:t>
      </w:r>
      <w:r>
        <w:t>ba</w:t>
      </w:r>
      <w:r w:rsidR="001E7CFD">
        <w:t>sed on the class’s TCOC</w:t>
      </w:r>
      <w:r w:rsidR="00D905BD">
        <w:t>.</w:t>
      </w:r>
    </w:p>
    <w:p w:rsidR="000C660A" w:rsidRPr="006F4028" w:rsidRDefault="006F4028" w:rsidP="000C660A">
      <w:pPr>
        <w:pStyle w:val="ListParagraph"/>
        <w:numPr>
          <w:ilvl w:val="1"/>
          <w:numId w:val="3"/>
        </w:numPr>
      </w:pPr>
      <w:r w:rsidRPr="006F4028">
        <w:t xml:space="preserve">See the appended documents for a </w:t>
      </w:r>
      <w:r w:rsidR="00E52108">
        <w:t xml:space="preserve">more detailed </w:t>
      </w:r>
      <w:r w:rsidRPr="006F4028">
        <w:t xml:space="preserve">description of the adjustments made to </w:t>
      </w:r>
      <w:r>
        <w:t xml:space="preserve">determine </w:t>
      </w:r>
      <w:r w:rsidRPr="006F4028">
        <w:t xml:space="preserve">TCOC </w:t>
      </w:r>
      <w:r w:rsidR="009E4C79">
        <w:t>Benchmarks</w:t>
      </w:r>
      <w:r w:rsidR="00262780">
        <w:t xml:space="preserve"> for the Primary Care ACOs and MCO-administered ACOs and capitation rates for the </w:t>
      </w:r>
      <w:r w:rsidR="00E502D9">
        <w:t xml:space="preserve">Accountable Care </w:t>
      </w:r>
      <w:r w:rsidR="00262780">
        <w:t>Partnership Plan</w:t>
      </w:r>
      <w:r w:rsidR="00E502D9">
        <w:t>s</w:t>
      </w:r>
      <w:r w:rsidR="00262780">
        <w:t xml:space="preserve"> and MCOs</w:t>
      </w:r>
      <w:r w:rsidR="00D905BD">
        <w:t>.</w:t>
      </w:r>
    </w:p>
    <w:p w:rsidR="00A30DF6" w:rsidRDefault="00A30DF6" w:rsidP="00926082">
      <w:pPr>
        <w:pStyle w:val="ListParagraph"/>
        <w:numPr>
          <w:ilvl w:val="0"/>
          <w:numId w:val="3"/>
        </w:numPr>
      </w:pPr>
      <w:r w:rsidRPr="00A30DF6">
        <w:rPr>
          <w:b/>
        </w:rPr>
        <w:t xml:space="preserve">Assumes fee schedule </w:t>
      </w:r>
      <w:r w:rsidRPr="000F57D1">
        <w:rPr>
          <w:b/>
        </w:rPr>
        <w:t xml:space="preserve">parity </w:t>
      </w:r>
      <w:r w:rsidR="000F57D1">
        <w:rPr>
          <w:b/>
        </w:rPr>
        <w:t>across the Managed Care-eligible MassHealth population</w:t>
      </w:r>
    </w:p>
    <w:p w:rsidR="007929AA" w:rsidRPr="00FE29C0" w:rsidRDefault="00942274" w:rsidP="00FE29C0">
      <w:pPr>
        <w:pStyle w:val="ListParagraph"/>
        <w:numPr>
          <w:ilvl w:val="1"/>
          <w:numId w:val="3"/>
        </w:numPr>
      </w:pPr>
      <w:r w:rsidRPr="00FE29C0">
        <w:t>Historically, EOHHS has built into the MCO prospective capitation rates the assumption that hospitals will be paid no more than 105% of the MassHealth fee schedule and professional services will be paid no more than 110% of the MassHealth fee schedule</w:t>
      </w:r>
      <w:r w:rsidR="000F57D1">
        <w:t>.</w:t>
      </w:r>
    </w:p>
    <w:p w:rsidR="00FE29C0" w:rsidRDefault="00A30DF6" w:rsidP="00FE29C0">
      <w:pPr>
        <w:pStyle w:val="ListParagraph"/>
        <w:numPr>
          <w:ilvl w:val="1"/>
          <w:numId w:val="3"/>
        </w:numPr>
      </w:pPr>
      <w:r>
        <w:t>Under the new pricin</w:t>
      </w:r>
      <w:r w:rsidR="00FE29C0">
        <w:t xml:space="preserve">g approach, EOHHS will (1) </w:t>
      </w:r>
      <w:r w:rsidR="00FE29C0" w:rsidRPr="00FE29C0">
        <w:t xml:space="preserve">in aggregate increase the </w:t>
      </w:r>
      <w:r w:rsidR="000F57D1">
        <w:t>MassHealth fee schedules</w:t>
      </w:r>
      <w:r w:rsidR="00FE29C0" w:rsidRPr="00FE29C0">
        <w:t>, including but not limited to hospital and professional fee schedules</w:t>
      </w:r>
      <w:r w:rsidR="00FE29C0">
        <w:t>,</w:t>
      </w:r>
      <w:r>
        <w:t xml:space="preserve"> and (2) </w:t>
      </w:r>
      <w:r w:rsidR="00FE29C0" w:rsidRPr="00FE29C0">
        <w:t xml:space="preserve">assume that providers get paid (in aggregate/on average) at the </w:t>
      </w:r>
      <w:r w:rsidR="00FE2E60">
        <w:t>MassHealth</w:t>
      </w:r>
      <w:r w:rsidR="00FE29C0" w:rsidRPr="00FE29C0">
        <w:t xml:space="preserve"> fee schedule when setting the capitation rates</w:t>
      </w:r>
      <w:r w:rsidR="00FE29C0">
        <w:t xml:space="preserve"> </w:t>
      </w:r>
      <w:r w:rsidR="00617C4F">
        <w:t xml:space="preserve">for </w:t>
      </w:r>
      <w:r w:rsidR="00E502D9">
        <w:t xml:space="preserve">Accountable Care </w:t>
      </w:r>
      <w:r w:rsidR="00617C4F">
        <w:t>Partnership Plans and MCOs and the TCOC benchmarks for Primary Care ACOs and MCO-administered ACOs</w:t>
      </w:r>
      <w:r>
        <w:t xml:space="preserve">. </w:t>
      </w:r>
      <w:r w:rsidR="00FE29C0" w:rsidRPr="00FE29C0">
        <w:t>EOHHS intends to make this change in a way that is budget neutral for the Commonwealth and fo</w:t>
      </w:r>
      <w:r w:rsidR="00EE5EAE">
        <w:t>r impacted classes of providers</w:t>
      </w:r>
      <w:r w:rsidR="000F57D1">
        <w:t>.</w:t>
      </w:r>
    </w:p>
    <w:p w:rsidR="00F75AEB" w:rsidRDefault="00F75AEB" w:rsidP="006E7CF6">
      <w:pPr>
        <w:pStyle w:val="ListParagraph"/>
        <w:numPr>
          <w:ilvl w:val="0"/>
          <w:numId w:val="3"/>
        </w:numPr>
      </w:pPr>
      <w:r w:rsidRPr="00FE29C0">
        <w:rPr>
          <w:b/>
        </w:rPr>
        <w:t xml:space="preserve">Transitions ACO and MCO </w:t>
      </w:r>
      <w:r w:rsidR="00580339" w:rsidRPr="00FE29C0">
        <w:rPr>
          <w:b/>
        </w:rPr>
        <w:t>TCOCs</w:t>
      </w:r>
      <w:r w:rsidRPr="00FE29C0">
        <w:rPr>
          <w:b/>
        </w:rPr>
        <w:t xml:space="preserve"> toward the </w:t>
      </w:r>
      <w:r w:rsidR="006D57A8">
        <w:rPr>
          <w:b/>
        </w:rPr>
        <w:t xml:space="preserve">common </w:t>
      </w:r>
      <w:r w:rsidRPr="00FE29C0">
        <w:rPr>
          <w:b/>
        </w:rPr>
        <w:t xml:space="preserve">market-based TCOC standard </w:t>
      </w:r>
      <w:r>
        <w:t>over many years</w:t>
      </w:r>
    </w:p>
    <w:p w:rsidR="000C660A" w:rsidRDefault="008F6C19" w:rsidP="00F75AEB">
      <w:pPr>
        <w:pStyle w:val="ListParagraph"/>
        <w:numPr>
          <w:ilvl w:val="1"/>
          <w:numId w:val="3"/>
        </w:numPr>
      </w:pPr>
      <w:r>
        <w:t>EOHHS will</w:t>
      </w:r>
      <w:r w:rsidR="00693732">
        <w:t xml:space="preserve"> calculate a </w:t>
      </w:r>
      <w:r w:rsidR="00E5168B">
        <w:t>“historical”</w:t>
      </w:r>
      <w:r w:rsidR="00693732">
        <w:t xml:space="preserve"> TCOC for each</w:t>
      </w:r>
      <w:r>
        <w:t xml:space="preserve"> ACO</w:t>
      </w:r>
      <w:r w:rsidR="00693732">
        <w:t xml:space="preserve"> and the MCO class</w:t>
      </w:r>
      <w:r w:rsidR="00A30DF6">
        <w:t xml:space="preserve"> </w:t>
      </w:r>
      <w:r>
        <w:t xml:space="preserve">based on </w:t>
      </w:r>
      <w:r w:rsidR="00693732">
        <w:t>the</w:t>
      </w:r>
      <w:r w:rsidR="005A269F">
        <w:t xml:space="preserve"> TCOC for</w:t>
      </w:r>
      <w:r w:rsidR="00693732">
        <w:t xml:space="preserve"> members that were historically attributed to each entity’s primary care providers in the </w:t>
      </w:r>
      <w:r w:rsidR="00740D3D">
        <w:t>combined MCO-PCC base dataset described above</w:t>
      </w:r>
      <w:r>
        <w:t>.</w:t>
      </w:r>
      <w:r w:rsidR="00A30DF6">
        <w:t xml:space="preserve"> EOHHS will </w:t>
      </w:r>
      <w:r w:rsidR="00E5168B">
        <w:t xml:space="preserve">then </w:t>
      </w:r>
      <w:r w:rsidR="00A30DF6">
        <w:t>calculate a “Network Variance Factor” (NVF) for each ACO and the MCO class overall</w:t>
      </w:r>
      <w:r>
        <w:t>; t</w:t>
      </w:r>
      <w:r w:rsidR="00A30DF6">
        <w:t xml:space="preserve">he </w:t>
      </w:r>
      <w:r>
        <w:t xml:space="preserve">NVF will </w:t>
      </w:r>
      <w:r w:rsidR="00E5168B">
        <w:t xml:space="preserve">be </w:t>
      </w:r>
      <w:r>
        <w:t xml:space="preserve">the ratio of </w:t>
      </w:r>
      <w:r w:rsidR="00E5168B">
        <w:t>each entity’s “historical” TCOC to the common market-based TCOC standard</w:t>
      </w:r>
      <w:r w:rsidRPr="008F6C19">
        <w:t xml:space="preserve">, after </w:t>
      </w:r>
      <w:r>
        <w:t xml:space="preserve">normalizing for </w:t>
      </w:r>
      <w:r w:rsidR="00740D3D">
        <w:t xml:space="preserve">historical </w:t>
      </w:r>
      <w:r>
        <w:t xml:space="preserve">differences in </w:t>
      </w:r>
      <w:r w:rsidRPr="008F6C19">
        <w:t>unit price</w:t>
      </w:r>
      <w:r>
        <w:t xml:space="preserve">s paid </w:t>
      </w:r>
      <w:r w:rsidR="006F379E">
        <w:t xml:space="preserve">and </w:t>
      </w:r>
      <w:r>
        <w:t xml:space="preserve">members’ </w:t>
      </w:r>
      <w:r w:rsidRPr="008F6C19">
        <w:t>risk score</w:t>
      </w:r>
      <w:r w:rsidR="00483372">
        <w:t>s</w:t>
      </w:r>
      <w:r>
        <w:t>,</w:t>
      </w:r>
      <w:r w:rsidR="000C660A">
        <w:t xml:space="preserve"> and </w:t>
      </w:r>
      <w:r w:rsidRPr="008F6C19">
        <w:t xml:space="preserve">other </w:t>
      </w:r>
      <w:r>
        <w:t xml:space="preserve">actuarial </w:t>
      </w:r>
      <w:r w:rsidRPr="008F6C19">
        <w:t>adjustments</w:t>
      </w:r>
      <w:r>
        <w:t>.</w:t>
      </w:r>
      <w:r w:rsidR="00BC0623">
        <w:t xml:space="preserve"> </w:t>
      </w:r>
      <w:r w:rsidR="006F379E">
        <w:t xml:space="preserve">Put </w:t>
      </w:r>
      <w:r w:rsidR="005A269F">
        <w:t>another way</w:t>
      </w:r>
      <w:r w:rsidR="006F379E">
        <w:t xml:space="preserve">, the NVF </w:t>
      </w:r>
      <w:r w:rsidR="001923DF">
        <w:t>represents unexplained variance</w:t>
      </w:r>
      <w:r w:rsidR="006F379E">
        <w:t xml:space="preserve"> in entities’ </w:t>
      </w:r>
      <w:r w:rsidR="00486F74">
        <w:t>“</w:t>
      </w:r>
      <w:r w:rsidR="006F379E">
        <w:t>historical</w:t>
      </w:r>
      <w:r w:rsidR="00486F74">
        <w:t>”</w:t>
      </w:r>
      <w:r w:rsidR="006F379E">
        <w:t xml:space="preserve"> </w:t>
      </w:r>
      <w:r w:rsidR="006D40D4">
        <w:t xml:space="preserve">TCOC </w:t>
      </w:r>
      <w:r w:rsidR="006F379E">
        <w:t xml:space="preserve">after accounting for </w:t>
      </w:r>
      <w:r w:rsidR="009B58F5">
        <w:t xml:space="preserve">historical </w:t>
      </w:r>
      <w:r w:rsidR="006F379E">
        <w:t>differences in unit price paid and member risk.</w:t>
      </w:r>
    </w:p>
    <w:p w:rsidR="00F75AEB" w:rsidRDefault="00BC0623" w:rsidP="00F75AEB">
      <w:pPr>
        <w:pStyle w:val="ListParagraph"/>
        <w:numPr>
          <w:ilvl w:val="1"/>
          <w:numId w:val="3"/>
        </w:numPr>
      </w:pPr>
      <w:r>
        <w:t xml:space="preserve">Each ACO, and the MCO class overall, will receive a rate </w:t>
      </w:r>
      <w:r w:rsidR="00DC44F8">
        <w:t>or</w:t>
      </w:r>
      <w:r>
        <w:t xml:space="preserve"> benchmark </w:t>
      </w:r>
      <w:r w:rsidR="003A037D">
        <w:t xml:space="preserve">based on a TCOC </w:t>
      </w:r>
      <w:r>
        <w:t xml:space="preserve">that incorporates its </w:t>
      </w:r>
      <w:r w:rsidR="000C660A">
        <w:t xml:space="preserve">specific </w:t>
      </w:r>
      <w:r>
        <w:t>NVF</w:t>
      </w:r>
      <w:r w:rsidR="006D10DC">
        <w:t>. T</w:t>
      </w:r>
      <w:r>
        <w:t xml:space="preserve">he weight placed on the NVF will decline </w:t>
      </w:r>
      <w:r w:rsidR="006D427E">
        <w:t>f</w:t>
      </w:r>
      <w:r>
        <w:t xml:space="preserve">or ACOs and MCOs over the next </w:t>
      </w:r>
      <w:r w:rsidR="00D2285E">
        <w:t>seven</w:t>
      </w:r>
      <w:r>
        <w:t xml:space="preserve"> to ten years, with the effect of bringing each entity’s </w:t>
      </w:r>
      <w:r w:rsidR="004018D6">
        <w:t xml:space="preserve">base </w:t>
      </w:r>
      <w:r>
        <w:t xml:space="preserve">TCOC closer to the </w:t>
      </w:r>
      <w:r w:rsidR="0089685F">
        <w:t xml:space="preserve">common </w:t>
      </w:r>
      <w:r>
        <w:t>market-based TCOC standard.</w:t>
      </w:r>
      <w:r w:rsidR="00DF2417">
        <w:t xml:space="preserve">  </w:t>
      </w:r>
    </w:p>
    <w:p w:rsidR="003F77F4" w:rsidRDefault="00707974" w:rsidP="00F75AEB">
      <w:pPr>
        <w:pStyle w:val="ListParagraph"/>
        <w:numPr>
          <w:ilvl w:val="1"/>
          <w:numId w:val="3"/>
        </w:numPr>
      </w:pPr>
      <w:r>
        <w:t xml:space="preserve">The NVF for each ACO and the MCO class will be calculated such that the weighted average NVF for all </w:t>
      </w:r>
      <w:r w:rsidR="00580339">
        <w:t>Managed Care</w:t>
      </w:r>
      <w:r>
        <w:t>-eligible members will equal 1.0.</w:t>
      </w:r>
      <w:r w:rsidR="00116BB1">
        <w:t xml:space="preserve"> </w:t>
      </w:r>
    </w:p>
    <w:p w:rsidR="00707974" w:rsidRDefault="00116BB1" w:rsidP="00F75AEB">
      <w:pPr>
        <w:pStyle w:val="ListParagraph"/>
        <w:numPr>
          <w:ilvl w:val="1"/>
          <w:numId w:val="3"/>
        </w:numPr>
      </w:pPr>
      <w:r>
        <w:t xml:space="preserve">Consider the </w:t>
      </w:r>
      <w:r w:rsidR="00D13EBC">
        <w:t xml:space="preserve">following </w:t>
      </w:r>
      <w:r>
        <w:t>example</w:t>
      </w:r>
      <w:r w:rsidR="00D13EBC">
        <w:t xml:space="preserve"> for Rate Year 2018</w:t>
      </w:r>
      <w:r>
        <w:t>:</w:t>
      </w:r>
    </w:p>
    <w:p w:rsidR="00D12F04" w:rsidRDefault="009126D4" w:rsidP="00EC2DF7">
      <w:pPr>
        <w:spacing w:after="0"/>
        <w:jc w:val="center"/>
        <w:rPr>
          <w:sz w:val="18"/>
        </w:rPr>
      </w:pPr>
      <w:r>
        <w:rPr>
          <w:noProof/>
          <w:sz w:val="18"/>
        </w:rPr>
        <w:drawing>
          <wp:inline distT="0" distB="0" distL="0" distR="0" wp14:anchorId="54A41178" wp14:editId="22F4237B">
            <wp:extent cx="5172280" cy="2209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3142" cy="2210168"/>
                    </a:xfrm>
                    <a:prstGeom prst="rect">
                      <a:avLst/>
                    </a:prstGeom>
                    <a:noFill/>
                  </pic:spPr>
                </pic:pic>
              </a:graphicData>
            </a:graphic>
          </wp:inline>
        </w:drawing>
      </w:r>
    </w:p>
    <w:p w:rsidR="00116BB1" w:rsidRPr="00647012" w:rsidRDefault="00F66AD5" w:rsidP="00B540FC">
      <w:pPr>
        <w:spacing w:after="0"/>
        <w:rPr>
          <w:sz w:val="18"/>
        </w:rPr>
      </w:pPr>
      <w:proofErr w:type="spellStart"/>
      <w:r>
        <w:rPr>
          <w:sz w:val="18"/>
          <w:vertAlign w:val="superscript"/>
        </w:rPr>
        <w:t>a</w:t>
      </w:r>
      <w:proofErr w:type="spellEnd"/>
      <w:r w:rsidR="00B540FC" w:rsidRPr="00647012">
        <w:rPr>
          <w:sz w:val="18"/>
        </w:rPr>
        <w:t xml:space="preserve"> </w:t>
      </w:r>
      <w:r w:rsidR="00FA3E5E">
        <w:rPr>
          <w:sz w:val="18"/>
        </w:rPr>
        <w:t xml:space="preserve">The </w:t>
      </w:r>
      <w:r w:rsidR="00B540FC" w:rsidRPr="00647012">
        <w:rPr>
          <w:sz w:val="18"/>
        </w:rPr>
        <w:t>MCO class</w:t>
      </w:r>
      <w:r w:rsidR="0080214D">
        <w:rPr>
          <w:sz w:val="18"/>
        </w:rPr>
        <w:t>’s</w:t>
      </w:r>
      <w:r w:rsidR="00F37B9B">
        <w:rPr>
          <w:sz w:val="18"/>
        </w:rPr>
        <w:t xml:space="preserve"> base</w:t>
      </w:r>
      <w:r w:rsidR="00B540FC" w:rsidRPr="00647012">
        <w:rPr>
          <w:sz w:val="18"/>
        </w:rPr>
        <w:t xml:space="preserve"> </w:t>
      </w:r>
      <w:r w:rsidR="000062FD">
        <w:rPr>
          <w:sz w:val="18"/>
        </w:rPr>
        <w:t xml:space="preserve">TCOC, which will inform the medical component of the MCO base capitation rate, </w:t>
      </w:r>
      <w:r w:rsidR="00B540FC" w:rsidRPr="00647012">
        <w:rPr>
          <w:sz w:val="18"/>
        </w:rPr>
        <w:t>reflects historical experience of MCO-administered ACOs, which will be in</w:t>
      </w:r>
      <w:r w:rsidR="0089550B" w:rsidRPr="00647012">
        <w:rPr>
          <w:sz w:val="18"/>
        </w:rPr>
        <w:t>cluded in</w:t>
      </w:r>
      <w:r w:rsidR="00B540FC" w:rsidRPr="00647012">
        <w:rPr>
          <w:sz w:val="18"/>
        </w:rPr>
        <w:t xml:space="preserve"> MCO networks</w:t>
      </w:r>
      <w:r w:rsidR="006D10DC">
        <w:rPr>
          <w:sz w:val="18"/>
        </w:rPr>
        <w:t>;</w:t>
      </w:r>
      <w:r w:rsidR="0089550B" w:rsidRPr="00647012">
        <w:rPr>
          <w:sz w:val="18"/>
        </w:rPr>
        <w:t xml:space="preserve"> those ACOs will share savings and losses with MCOs based on their own ACO-specific TCOC</w:t>
      </w:r>
      <w:r w:rsidR="006D10DC">
        <w:rPr>
          <w:sz w:val="18"/>
        </w:rPr>
        <w:t>.</w:t>
      </w:r>
    </w:p>
    <w:p w:rsidR="00B540FC" w:rsidRPr="00647012" w:rsidRDefault="00F66AD5" w:rsidP="00B540FC">
      <w:pPr>
        <w:rPr>
          <w:sz w:val="18"/>
        </w:rPr>
      </w:pPr>
      <w:r>
        <w:rPr>
          <w:sz w:val="18"/>
          <w:vertAlign w:val="superscript"/>
        </w:rPr>
        <w:t>b</w:t>
      </w:r>
      <w:r>
        <w:rPr>
          <w:sz w:val="18"/>
        </w:rPr>
        <w:t xml:space="preserve"> </w:t>
      </w:r>
      <w:r w:rsidR="00B540FC" w:rsidRPr="00647012">
        <w:rPr>
          <w:sz w:val="18"/>
        </w:rPr>
        <w:t xml:space="preserve">Totals arrive to a </w:t>
      </w:r>
      <w:r w:rsidR="003B0322">
        <w:rPr>
          <w:sz w:val="18"/>
        </w:rPr>
        <w:t xml:space="preserve">base TCOC </w:t>
      </w:r>
      <w:r w:rsidR="00B540FC" w:rsidRPr="00647012">
        <w:rPr>
          <w:sz w:val="18"/>
        </w:rPr>
        <w:t xml:space="preserve">of $500 </w:t>
      </w:r>
      <w:r w:rsidR="006D10DC">
        <w:rPr>
          <w:sz w:val="18"/>
        </w:rPr>
        <w:t xml:space="preserve">PMPM (the common market-based TCOC standard) </w:t>
      </w:r>
      <w:r w:rsidR="0089550B" w:rsidRPr="00647012">
        <w:rPr>
          <w:sz w:val="18"/>
        </w:rPr>
        <w:t xml:space="preserve">only under the assumption that </w:t>
      </w:r>
      <w:r w:rsidR="00B540FC" w:rsidRPr="00647012">
        <w:rPr>
          <w:sz w:val="18"/>
        </w:rPr>
        <w:t xml:space="preserve">the PCC plan incurs medical spending equal </w:t>
      </w:r>
      <w:r w:rsidR="0089550B" w:rsidRPr="00647012">
        <w:rPr>
          <w:sz w:val="18"/>
        </w:rPr>
        <w:t xml:space="preserve">to $518 </w:t>
      </w:r>
      <w:r w:rsidR="00B540FC" w:rsidRPr="00647012">
        <w:rPr>
          <w:sz w:val="18"/>
        </w:rPr>
        <w:t>PMPM</w:t>
      </w:r>
      <w:r w:rsidR="00D13EBC">
        <w:rPr>
          <w:sz w:val="18"/>
        </w:rPr>
        <w:t>, in line with a NVF of 1.04 applied with a 90% weighting</w:t>
      </w:r>
      <w:r w:rsidR="00B540FC" w:rsidRPr="00647012">
        <w:rPr>
          <w:sz w:val="18"/>
        </w:rPr>
        <w:t xml:space="preserve">; that is, if the PCC plan achieves a TCOC analogous to an ACO with an identical NVF </w:t>
      </w:r>
      <w:r w:rsidR="009E05D2" w:rsidRPr="00647012">
        <w:rPr>
          <w:sz w:val="18"/>
        </w:rPr>
        <w:t>based on historical experience.</w:t>
      </w:r>
    </w:p>
    <w:p w:rsidR="00D13EBC" w:rsidRPr="00D13EBC" w:rsidRDefault="00264AA3" w:rsidP="00D13EBC">
      <w:pPr>
        <w:pStyle w:val="ListParagraph"/>
        <w:numPr>
          <w:ilvl w:val="1"/>
          <w:numId w:val="3"/>
        </w:numPr>
      </w:pPr>
      <w:r>
        <w:rPr>
          <w:iCs/>
        </w:rPr>
        <w:t>T</w:t>
      </w:r>
      <w:r w:rsidR="00C63701">
        <w:rPr>
          <w:iCs/>
        </w:rPr>
        <w:t>o calculate the a</w:t>
      </w:r>
      <w:r w:rsidR="00C63701" w:rsidRPr="00D13EBC">
        <w:rPr>
          <w:iCs/>
        </w:rPr>
        <w:t xml:space="preserve">ctual TCOC benchmarks </w:t>
      </w:r>
      <w:r w:rsidR="00C63701">
        <w:rPr>
          <w:iCs/>
        </w:rPr>
        <w:t xml:space="preserve">for Primary Care ACOs and MCO-administered ACOs, </w:t>
      </w:r>
      <w:r w:rsidR="00C63701" w:rsidRPr="00D13EBC">
        <w:rPr>
          <w:iCs/>
        </w:rPr>
        <w:t xml:space="preserve">and </w:t>
      </w:r>
      <w:r w:rsidR="00C63701">
        <w:rPr>
          <w:iCs/>
        </w:rPr>
        <w:t xml:space="preserve">the </w:t>
      </w:r>
      <w:r w:rsidR="00C63701" w:rsidRPr="00D13EBC">
        <w:rPr>
          <w:iCs/>
        </w:rPr>
        <w:t xml:space="preserve">medical components of capitation rates </w:t>
      </w:r>
      <w:r w:rsidR="00C63701">
        <w:rPr>
          <w:iCs/>
        </w:rPr>
        <w:t xml:space="preserve">for </w:t>
      </w:r>
      <w:r w:rsidR="00695FDB">
        <w:rPr>
          <w:iCs/>
        </w:rPr>
        <w:t xml:space="preserve">Accountable Care </w:t>
      </w:r>
      <w:r w:rsidR="00C63701">
        <w:rPr>
          <w:iCs/>
        </w:rPr>
        <w:t>Partnership Plans and the MCO class, t</w:t>
      </w:r>
      <w:r w:rsidR="00146EB9">
        <w:rPr>
          <w:iCs/>
        </w:rPr>
        <w:t xml:space="preserve">he base TCOCs </w:t>
      </w:r>
      <w:r w:rsidR="00170954">
        <w:rPr>
          <w:iCs/>
        </w:rPr>
        <w:t xml:space="preserve">illustrated above </w:t>
      </w:r>
      <w:r w:rsidR="00146EB9">
        <w:rPr>
          <w:iCs/>
        </w:rPr>
        <w:t>will be further adjusted for th</w:t>
      </w:r>
      <w:r w:rsidR="00C63701">
        <w:rPr>
          <w:iCs/>
        </w:rPr>
        <w:t>e acuity of attributed members</w:t>
      </w:r>
      <w:r w:rsidR="0001775F">
        <w:rPr>
          <w:iCs/>
        </w:rPr>
        <w:t xml:space="preserve">, </w:t>
      </w:r>
      <w:r w:rsidR="00C63701">
        <w:rPr>
          <w:iCs/>
        </w:rPr>
        <w:t>risk mitigation provisions</w:t>
      </w:r>
      <w:r w:rsidR="0001775F">
        <w:rPr>
          <w:iCs/>
        </w:rPr>
        <w:t xml:space="preserve">, and </w:t>
      </w:r>
      <w:r w:rsidR="00DD6FA3">
        <w:rPr>
          <w:iCs/>
        </w:rPr>
        <w:t xml:space="preserve">several </w:t>
      </w:r>
      <w:r w:rsidR="0001775F">
        <w:rPr>
          <w:iCs/>
        </w:rPr>
        <w:t>other factors</w:t>
      </w:r>
      <w:r w:rsidR="00C63701">
        <w:rPr>
          <w:iCs/>
        </w:rPr>
        <w:t>.</w:t>
      </w:r>
    </w:p>
    <w:p w:rsidR="00915A81" w:rsidRDefault="00915A81">
      <w:pPr>
        <w:rPr>
          <w:u w:val="single"/>
        </w:rPr>
      </w:pPr>
      <w:r>
        <w:rPr>
          <w:u w:val="single"/>
        </w:rPr>
        <w:br w:type="page"/>
      </w:r>
    </w:p>
    <w:p w:rsidR="00B540FC" w:rsidRPr="0089550B" w:rsidRDefault="0089550B" w:rsidP="00561AF6">
      <w:pPr>
        <w:keepNext/>
        <w:rPr>
          <w:u w:val="single"/>
        </w:rPr>
      </w:pPr>
      <w:r w:rsidRPr="0089550B">
        <w:rPr>
          <w:u w:val="single"/>
        </w:rPr>
        <w:t>Future information sharing</w:t>
      </w:r>
    </w:p>
    <w:p w:rsidR="00116BB1" w:rsidRDefault="00A71B7A" w:rsidP="00116BB1">
      <w:r>
        <w:t>I</w:t>
      </w:r>
      <w:r w:rsidR="00116BB1">
        <w:t xml:space="preserve">n March, EOHHS </w:t>
      </w:r>
      <w:r w:rsidR="00695FDB">
        <w:t xml:space="preserve">anticipates </w:t>
      </w:r>
      <w:r w:rsidR="00116BB1">
        <w:t>releas</w:t>
      </w:r>
      <w:r w:rsidR="00695FDB">
        <w:t>ing</w:t>
      </w:r>
      <w:r w:rsidR="00116BB1">
        <w:t xml:space="preserve"> further details on its pricing approach for the ACO and MCO programs, including but not limited to the following:</w:t>
      </w:r>
    </w:p>
    <w:p w:rsidR="00116BB1" w:rsidRDefault="00116BB1" w:rsidP="00116BB1">
      <w:pPr>
        <w:pStyle w:val="ListParagraph"/>
        <w:numPr>
          <w:ilvl w:val="0"/>
          <w:numId w:val="3"/>
        </w:numPr>
      </w:pPr>
      <w:r>
        <w:t>The planned percentage increases in the MassHealth fee schedule</w:t>
      </w:r>
    </w:p>
    <w:p w:rsidR="00116BB1" w:rsidRDefault="00116BB1" w:rsidP="00116BB1">
      <w:pPr>
        <w:pStyle w:val="ListParagraph"/>
        <w:numPr>
          <w:ilvl w:val="0"/>
          <w:numId w:val="3"/>
        </w:numPr>
      </w:pPr>
      <w:r>
        <w:t>The percent weight placed on the NVF for ACOs and MCOs</w:t>
      </w:r>
      <w:r w:rsidR="003E3214">
        <w:t xml:space="preserve"> in the first two years of the program</w:t>
      </w:r>
      <w:r w:rsidR="00557866">
        <w:t>s</w:t>
      </w:r>
    </w:p>
    <w:p w:rsidR="003E3214" w:rsidRDefault="003E3214" w:rsidP="00116BB1">
      <w:pPr>
        <w:pStyle w:val="ListParagraph"/>
        <w:numPr>
          <w:ilvl w:val="0"/>
          <w:numId w:val="3"/>
        </w:numPr>
      </w:pPr>
      <w:r>
        <w:t>Risk mitigation details for Hepatitis C therapeutics in the ACO and MCO programs</w:t>
      </w:r>
    </w:p>
    <w:p w:rsidR="003E3214" w:rsidRDefault="003E3214" w:rsidP="00116BB1">
      <w:pPr>
        <w:pStyle w:val="ListParagraph"/>
        <w:numPr>
          <w:ilvl w:val="0"/>
          <w:numId w:val="3"/>
        </w:numPr>
      </w:pPr>
      <w:r>
        <w:t>Details on the ACO quality slate, which impacts ACO shared savings and losses</w:t>
      </w:r>
    </w:p>
    <w:p w:rsidR="003E3214" w:rsidRDefault="003E3214" w:rsidP="003E3214">
      <w:r>
        <w:t xml:space="preserve">In April, EOHHS </w:t>
      </w:r>
      <w:r w:rsidR="00695FDB">
        <w:t xml:space="preserve">anticipates </w:t>
      </w:r>
      <w:r>
        <w:t>releas</w:t>
      </w:r>
      <w:r w:rsidR="00695FDB">
        <w:t>ing</w:t>
      </w:r>
      <w:r>
        <w:t xml:space="preserve"> further details related to the following:</w:t>
      </w:r>
    </w:p>
    <w:p w:rsidR="003E3214" w:rsidRDefault="003E3214" w:rsidP="003E3214">
      <w:pPr>
        <w:pStyle w:val="ListParagraph"/>
        <w:numPr>
          <w:ilvl w:val="0"/>
          <w:numId w:val="3"/>
        </w:numPr>
      </w:pPr>
      <w:r>
        <w:t>Funding for administrative spending for Primary Care ACOs</w:t>
      </w:r>
    </w:p>
    <w:p w:rsidR="00E8668D" w:rsidRDefault="00580339" w:rsidP="00EB2AD3">
      <w:pPr>
        <w:pStyle w:val="ListParagraph"/>
        <w:numPr>
          <w:ilvl w:val="0"/>
          <w:numId w:val="3"/>
        </w:numPr>
      </w:pPr>
      <w:r>
        <w:t xml:space="preserve">Details on </w:t>
      </w:r>
      <w:r w:rsidR="000F6214">
        <w:t>how rates and benchmarks will be risk-adjusted</w:t>
      </w:r>
    </w:p>
    <w:p w:rsidR="009F1AA0" w:rsidRDefault="00BD1A59" w:rsidP="00EB2AD3">
      <w:pPr>
        <w:pStyle w:val="ListParagraph"/>
        <w:numPr>
          <w:ilvl w:val="0"/>
          <w:numId w:val="3"/>
        </w:numPr>
      </w:pPr>
      <w:r>
        <w:t>The m</w:t>
      </w:r>
      <w:r w:rsidR="009F1AA0">
        <w:t>ethodology for updating rates and benchmarks based on substantial network changes</w:t>
      </w:r>
    </w:p>
    <w:p w:rsidR="00230092" w:rsidRDefault="00230092" w:rsidP="00230092"/>
    <w:p w:rsidR="00230092" w:rsidRDefault="00230092">
      <w:r>
        <w:br w:type="page"/>
      </w:r>
    </w:p>
    <w:p w:rsidR="00230092" w:rsidRDefault="00230092" w:rsidP="00230092">
      <w:pPr>
        <w:jc w:val="center"/>
        <w:rPr>
          <w:b/>
        </w:rPr>
      </w:pPr>
      <w:r w:rsidRPr="00D04E2D">
        <w:rPr>
          <w:b/>
        </w:rPr>
        <w:t xml:space="preserve">EOHHS ACO </w:t>
      </w:r>
      <w:r>
        <w:rPr>
          <w:b/>
        </w:rPr>
        <w:t xml:space="preserve">Rate and Benchmark Setting </w:t>
      </w:r>
      <w:r w:rsidRPr="00D04E2D">
        <w:rPr>
          <w:b/>
        </w:rPr>
        <w:t>Methodology for</w:t>
      </w:r>
      <w:r w:rsidRPr="00D04E2D">
        <w:rPr>
          <w:b/>
        </w:rPr>
        <w:br/>
      </w:r>
      <w:proofErr w:type="gramStart"/>
      <w:r w:rsidRPr="00D04E2D">
        <w:rPr>
          <w:b/>
        </w:rPr>
        <w:t>The</w:t>
      </w:r>
      <w:proofErr w:type="gramEnd"/>
      <w:r w:rsidRPr="00D04E2D">
        <w:rPr>
          <w:b/>
        </w:rPr>
        <w:t xml:space="preserve"> Request for Responses for Accountable Care Organizations</w:t>
      </w:r>
      <w:r w:rsidRPr="00D04E2D">
        <w:rPr>
          <w:b/>
        </w:rPr>
        <w:br/>
        <w:t>December 2016</w:t>
      </w:r>
    </w:p>
    <w:p w:rsidR="00230092" w:rsidRPr="00D04E2D" w:rsidRDefault="00230092" w:rsidP="00230092">
      <w:pPr>
        <w:jc w:val="center"/>
        <w:rPr>
          <w:b/>
        </w:rPr>
      </w:pPr>
      <w:r>
        <w:rPr>
          <w:i/>
          <w:iCs/>
        </w:rPr>
        <w:t xml:space="preserve">NOTE: </w:t>
      </w:r>
      <w:r>
        <w:rPr>
          <w:i/>
          <w:iCs/>
        </w:rPr>
        <w:t>This document was posted in December 2016 on the COMMBUYS site for the Request for Responses for Accountable Care Organizations.</w:t>
      </w:r>
    </w:p>
    <w:p w:rsidR="00230092" w:rsidRPr="00D04E2D" w:rsidRDefault="00230092" w:rsidP="00230092">
      <w:pPr>
        <w:jc w:val="center"/>
      </w:pPr>
      <w:r w:rsidRPr="00D04E2D">
        <w:rPr>
          <w:b/>
        </w:rPr>
        <w:t>Executive Summary</w:t>
      </w:r>
    </w:p>
    <w:p w:rsidR="00230092" w:rsidRPr="000A4F1E" w:rsidRDefault="00230092" w:rsidP="00230092">
      <w:pPr>
        <w:spacing w:before="240"/>
      </w:pPr>
      <w:r w:rsidRPr="000A4F1E">
        <w:rPr>
          <w:u w:val="single"/>
        </w:rPr>
        <w:t>Overview</w:t>
      </w:r>
    </w:p>
    <w:p w:rsidR="00230092" w:rsidRDefault="00230092" w:rsidP="00230092">
      <w:r w:rsidRPr="00D04E2D">
        <w:t xml:space="preserve">This document provides </w:t>
      </w:r>
      <w:r>
        <w:t>a summary</w:t>
      </w:r>
      <w:r w:rsidRPr="00D04E2D">
        <w:t xml:space="preserve"> of </w:t>
      </w:r>
      <w:r>
        <w:t>the Executive Office of Health and Human Services’ (</w:t>
      </w:r>
      <w:r w:rsidRPr="00D04E2D">
        <w:t>EOHHS</w:t>
      </w:r>
      <w:r>
        <w:t>) Accountable Care Organization</w:t>
      </w:r>
      <w:r w:rsidRPr="00D04E2D">
        <w:t xml:space="preserve"> </w:t>
      </w:r>
      <w:r>
        <w:t>(</w:t>
      </w:r>
      <w:r w:rsidRPr="00D04E2D">
        <w:t>ACO</w:t>
      </w:r>
      <w:r>
        <w:t>)</w:t>
      </w:r>
      <w:r w:rsidRPr="00D04E2D">
        <w:t xml:space="preserve"> </w:t>
      </w:r>
      <w:r>
        <w:t>rate and benchmark setting</w:t>
      </w:r>
      <w:r w:rsidRPr="00D04E2D">
        <w:t xml:space="preserve"> methodology.</w:t>
      </w:r>
      <w:r>
        <w:t xml:space="preserve"> EOHHS</w:t>
      </w:r>
      <w:r w:rsidRPr="00D04E2D">
        <w:t xml:space="preserve">’ ACO </w:t>
      </w:r>
      <w:r>
        <w:t>rate and benchmark setting</w:t>
      </w:r>
      <w:r w:rsidRPr="00D04E2D">
        <w:t xml:space="preserve"> </w:t>
      </w:r>
      <w:r>
        <w:t>methodology</w:t>
      </w:r>
      <w:r w:rsidRPr="00D04E2D">
        <w:t xml:space="preserve"> is based on a set of </w:t>
      </w:r>
      <w:r w:rsidRPr="00F67AC3">
        <w:rPr>
          <w:b/>
        </w:rPr>
        <w:t>consistent assumptions</w:t>
      </w:r>
      <w:r w:rsidRPr="00D04E2D">
        <w:t xml:space="preserve"> across </w:t>
      </w:r>
      <w:r>
        <w:t xml:space="preserve">ACO </w:t>
      </w:r>
      <w:r w:rsidRPr="00D04E2D">
        <w:t xml:space="preserve">models, and balances </w:t>
      </w:r>
      <w:r w:rsidRPr="00F67AC3">
        <w:rPr>
          <w:b/>
        </w:rPr>
        <w:t>risk mitigation</w:t>
      </w:r>
      <w:r w:rsidRPr="00D04E2D">
        <w:t xml:space="preserve"> with </w:t>
      </w:r>
      <w:r w:rsidRPr="00F67AC3">
        <w:rPr>
          <w:b/>
        </w:rPr>
        <w:t>financial accountability for total cost of care</w:t>
      </w:r>
      <w:r>
        <w:rPr>
          <w:b/>
        </w:rPr>
        <w:t xml:space="preserve"> (TCOC).  </w:t>
      </w:r>
      <w:r>
        <w:t xml:space="preserve">EOHHS’ rate and benchmark setting methodology </w:t>
      </w:r>
      <w:r w:rsidRPr="00D04E2D">
        <w:t xml:space="preserve">across all three ACO models will follow </w:t>
      </w:r>
      <w:r w:rsidRPr="00F67AC3">
        <w:rPr>
          <w:b/>
        </w:rPr>
        <w:t>standard actuarial principles</w:t>
      </w:r>
      <w:r w:rsidRPr="00D04E2D">
        <w:t xml:space="preserve"> and methods, as well as annual processes for rate</w:t>
      </w:r>
      <w:r>
        <w:t xml:space="preserve"> and benchmark</w:t>
      </w:r>
      <w:r w:rsidRPr="00D04E2D">
        <w:t xml:space="preserve"> development, communication, and acceptance</w:t>
      </w:r>
      <w:r>
        <w:t>.</w:t>
      </w:r>
    </w:p>
    <w:p w:rsidR="00230092" w:rsidRPr="00D04E2D" w:rsidRDefault="00230092" w:rsidP="00230092">
      <w:r>
        <w:t>EOHHS</w:t>
      </w:r>
      <w:r w:rsidRPr="00D04E2D">
        <w:t xml:space="preserve"> will provide </w:t>
      </w:r>
      <w:r w:rsidRPr="002D679D">
        <w:rPr>
          <w:b/>
        </w:rPr>
        <w:t>ongoing information and support</w:t>
      </w:r>
      <w:r w:rsidRPr="00D04E2D">
        <w:t xml:space="preserve"> to potential ACO bidders in understanding rate</w:t>
      </w:r>
      <w:r>
        <w:t xml:space="preserve"> and benchmark </w:t>
      </w:r>
      <w:r w:rsidRPr="00D04E2D">
        <w:t>setting for ACO models</w:t>
      </w:r>
      <w:r>
        <w:t>. Please see the November process update document posted on COMMBUYS for additional details.</w:t>
      </w:r>
    </w:p>
    <w:p w:rsidR="00230092" w:rsidRDefault="00230092" w:rsidP="00230092">
      <w:r w:rsidRPr="00D04E2D">
        <w:t xml:space="preserve">The information provided </w:t>
      </w:r>
      <w:r>
        <w:t>in this document</w:t>
      </w:r>
      <w:r w:rsidRPr="00D04E2D">
        <w:t xml:space="preserve"> is </w:t>
      </w:r>
      <w:r w:rsidRPr="002D679D">
        <w:rPr>
          <w:b/>
        </w:rPr>
        <w:t>subject to change</w:t>
      </w:r>
      <w:r w:rsidRPr="00D04E2D">
        <w:t xml:space="preserve"> and is not binding on EOHHS. All information</w:t>
      </w:r>
      <w:r w:rsidRPr="00BB37FC">
        <w:t xml:space="preserve"> </w:t>
      </w:r>
      <w:r w:rsidRPr="00D04E2D">
        <w:t xml:space="preserve">provided in this document, including example calculations, </w:t>
      </w:r>
      <w:r>
        <w:t>is</w:t>
      </w:r>
      <w:r w:rsidRPr="00D04E2D">
        <w:t xml:space="preserve"> for </w:t>
      </w:r>
      <w:r>
        <w:t xml:space="preserve">information and </w:t>
      </w:r>
      <w:r w:rsidRPr="00D04E2D">
        <w:t xml:space="preserve">illustrative purposes only. Examples incorporate </w:t>
      </w:r>
      <w:r w:rsidRPr="002D679D">
        <w:rPr>
          <w:b/>
        </w:rPr>
        <w:t>illustrative numbers</w:t>
      </w:r>
      <w:r w:rsidRPr="00D04E2D">
        <w:t xml:space="preserve"> (e.g., for admin</w:t>
      </w:r>
      <w:r>
        <w:t>istrative</w:t>
      </w:r>
      <w:r w:rsidRPr="00D04E2D">
        <w:t xml:space="preserve"> rates, capitation payments, etc.) that may not reflect actual values, and example calculations use </w:t>
      </w:r>
      <w:r w:rsidRPr="002D679D">
        <w:rPr>
          <w:b/>
        </w:rPr>
        <w:t>simplifying assumptions</w:t>
      </w:r>
      <w:r w:rsidRPr="00D04E2D">
        <w:t xml:space="preserve"> that may not reflect actual calculations.</w:t>
      </w:r>
    </w:p>
    <w:p w:rsidR="00230092" w:rsidRPr="00973754" w:rsidRDefault="00230092" w:rsidP="00230092">
      <w:pPr>
        <w:pStyle w:val="CommentText"/>
        <w:rPr>
          <w:sz w:val="22"/>
          <w:szCs w:val="22"/>
        </w:rPr>
      </w:pPr>
      <w:r w:rsidRPr="00973754">
        <w:rPr>
          <w:sz w:val="22"/>
          <w:szCs w:val="22"/>
        </w:rPr>
        <w:t xml:space="preserve">Methodologies and information provided in this document </w:t>
      </w:r>
      <w:r>
        <w:rPr>
          <w:sz w:val="22"/>
          <w:szCs w:val="22"/>
        </w:rPr>
        <w:t>are</w:t>
      </w:r>
      <w:r w:rsidRPr="00973754">
        <w:rPr>
          <w:sz w:val="22"/>
          <w:szCs w:val="22"/>
        </w:rPr>
        <w:t xml:space="preserve"> subject to change as required to comply with any applicable laws</w:t>
      </w:r>
      <w:r>
        <w:rPr>
          <w:sz w:val="22"/>
          <w:szCs w:val="22"/>
        </w:rPr>
        <w:t xml:space="preserve"> and</w:t>
      </w:r>
      <w:r w:rsidRPr="00973754">
        <w:rPr>
          <w:sz w:val="22"/>
          <w:szCs w:val="22"/>
        </w:rPr>
        <w:t xml:space="preserve"> regulations and </w:t>
      </w:r>
      <w:r>
        <w:rPr>
          <w:sz w:val="22"/>
          <w:szCs w:val="22"/>
        </w:rPr>
        <w:t xml:space="preserve">to obtain </w:t>
      </w:r>
      <w:r w:rsidRPr="00973754">
        <w:rPr>
          <w:sz w:val="22"/>
          <w:szCs w:val="22"/>
        </w:rPr>
        <w:t>necessary approvals.  All final terms and conditions of ACO participation shall be set forth in contracts to be entered into pursuant to the Request for Responses for Accountable Care Organizations (RFR).</w:t>
      </w:r>
    </w:p>
    <w:p w:rsidR="00230092" w:rsidRPr="000A4F1E" w:rsidRDefault="00230092" w:rsidP="00230092">
      <w:pPr>
        <w:rPr>
          <w:u w:val="single"/>
        </w:rPr>
      </w:pPr>
      <w:r w:rsidRPr="000A4F1E">
        <w:rPr>
          <w:u w:val="single"/>
        </w:rPr>
        <w:t>Overview of Financial Accountability for ACO Models</w:t>
      </w:r>
    </w:p>
    <w:p w:rsidR="00230092" w:rsidRPr="00D04E2D" w:rsidRDefault="00230092" w:rsidP="00230092">
      <w:r w:rsidRPr="00D04E2D">
        <w:t>All ACOs, across all three models, will be financially accountable for their populations’ utilization of included services.</w:t>
      </w:r>
      <w:r>
        <w:t xml:space="preserve"> All ACOs are also accountable for the clinical quality and member experience of care.</w:t>
      </w:r>
      <w:r w:rsidRPr="00D04E2D">
        <w:t xml:space="preserve"> </w:t>
      </w:r>
    </w:p>
    <w:p w:rsidR="00230092" w:rsidRPr="00D04E2D" w:rsidRDefault="00230092" w:rsidP="00230092">
      <w:r w:rsidRPr="00D04E2D">
        <w:t xml:space="preserve">An </w:t>
      </w:r>
      <w:r w:rsidRPr="00D04E2D">
        <w:rPr>
          <w:b/>
        </w:rPr>
        <w:t>Accountable Care Partnership Plan</w:t>
      </w:r>
      <w:r>
        <w:rPr>
          <w:b/>
        </w:rPr>
        <w:t xml:space="preserve"> (a Partnership Plan)</w:t>
      </w:r>
      <w:r w:rsidRPr="00D04E2D">
        <w:t xml:space="preserve"> is accountable under a prospective payment and is responsible for negotiating rates </w:t>
      </w:r>
      <w:r>
        <w:t xml:space="preserve">with providers </w:t>
      </w:r>
      <w:r w:rsidRPr="00D04E2D">
        <w:t xml:space="preserve">and paying </w:t>
      </w:r>
      <w:r>
        <w:t xml:space="preserve">providers’ </w:t>
      </w:r>
      <w:r w:rsidRPr="00D04E2D">
        <w:t>claims for services</w:t>
      </w:r>
      <w:r>
        <w:t xml:space="preserve">. A Partnership Plan </w:t>
      </w:r>
      <w:r w:rsidRPr="00D04E2D">
        <w:t xml:space="preserve">is therefore accountable for both </w:t>
      </w:r>
      <w:r w:rsidRPr="00D04E2D">
        <w:rPr>
          <w:b/>
        </w:rPr>
        <w:t>unit cost/provider rates</w:t>
      </w:r>
      <w:r w:rsidRPr="00D04E2D">
        <w:t xml:space="preserve"> </w:t>
      </w:r>
      <w:r w:rsidRPr="00D04E2D">
        <w:rPr>
          <w:b/>
          <w:u w:val="single"/>
        </w:rPr>
        <w:t>as well as</w:t>
      </w:r>
      <w:r w:rsidRPr="00D04E2D">
        <w:rPr>
          <w:b/>
        </w:rPr>
        <w:t xml:space="preserve"> for utilization.</w:t>
      </w:r>
    </w:p>
    <w:p w:rsidR="00230092" w:rsidRPr="00D04E2D" w:rsidRDefault="00230092" w:rsidP="00230092">
      <w:r w:rsidRPr="00D04E2D">
        <w:t xml:space="preserve">A </w:t>
      </w:r>
      <w:r w:rsidRPr="00D04E2D">
        <w:rPr>
          <w:b/>
        </w:rPr>
        <w:t xml:space="preserve">Primary Care ACO </w:t>
      </w:r>
      <w:r w:rsidRPr="00D04E2D">
        <w:t>is accountable to a price-normalized</w:t>
      </w:r>
      <w:r>
        <w:t xml:space="preserve"> TCOC</w:t>
      </w:r>
      <w:r w:rsidRPr="00D04E2D">
        <w:t xml:space="preserve"> Benchmark compared to the Primary Care ACO’s price-normalized TCOC Performance. The Primary Care ACO is therefore primarily </w:t>
      </w:r>
      <w:r w:rsidRPr="003A4B44">
        <w:t>accountable for</w:t>
      </w:r>
      <w:r w:rsidRPr="007B70C0">
        <w:t xml:space="preserve"> </w:t>
      </w:r>
      <w:r w:rsidRPr="00D04E2D">
        <w:rPr>
          <w:b/>
        </w:rPr>
        <w:t>utilization</w:t>
      </w:r>
      <w:r w:rsidRPr="00D04E2D">
        <w:t xml:space="preserve">, </w:t>
      </w:r>
      <w:r w:rsidRPr="00D04E2D">
        <w:rPr>
          <w:b/>
        </w:rPr>
        <w:t>not differences in provider fee schedules.</w:t>
      </w:r>
    </w:p>
    <w:p w:rsidR="00230092" w:rsidRPr="00D04E2D" w:rsidRDefault="00230092" w:rsidP="00230092">
      <w:r w:rsidRPr="00D04E2D">
        <w:t xml:space="preserve">An </w:t>
      </w:r>
      <w:r w:rsidRPr="00D04E2D">
        <w:rPr>
          <w:b/>
        </w:rPr>
        <w:t>MCO-Administered ACO</w:t>
      </w:r>
      <w:r w:rsidRPr="00D04E2D">
        <w:t xml:space="preserve"> is also accountable to a price-normalized TCOC Benchmark. While the actual costs incurred by the MCO-Administered ACO’s Contracting MCO may vary based on the rates that MCO negotiates with individual providers, </w:t>
      </w:r>
      <w:r w:rsidRPr="00D04E2D">
        <w:rPr>
          <w:b/>
        </w:rPr>
        <w:t>these costs will be price-normalized</w:t>
      </w:r>
      <w:r w:rsidRPr="00D04E2D">
        <w:t xml:space="preserve">, so that the MCO-Administered ACO’s </w:t>
      </w:r>
      <w:r>
        <w:t xml:space="preserve">TCOC </w:t>
      </w:r>
      <w:r w:rsidRPr="00D04E2D">
        <w:t xml:space="preserve">Benchmark and </w:t>
      </w:r>
      <w:r>
        <w:t xml:space="preserve">TCOC </w:t>
      </w:r>
      <w:r w:rsidRPr="00D04E2D">
        <w:t xml:space="preserve">Performance are compared on a price-normalized basis. The MCO-Administered ACO is therefore primarily accountable for </w:t>
      </w:r>
      <w:r w:rsidRPr="00D04E2D">
        <w:rPr>
          <w:b/>
        </w:rPr>
        <w:t>utilization</w:t>
      </w:r>
      <w:r w:rsidRPr="00D04E2D">
        <w:t xml:space="preserve">, </w:t>
      </w:r>
      <w:r w:rsidRPr="00D04E2D">
        <w:rPr>
          <w:b/>
        </w:rPr>
        <w:t>not differences in provider fee schedules.</w:t>
      </w:r>
    </w:p>
    <w:p w:rsidR="00230092" w:rsidRPr="00D04E2D" w:rsidRDefault="00230092" w:rsidP="00230092">
      <w:r w:rsidRPr="00D04E2D">
        <w:rPr>
          <w:b/>
        </w:rPr>
        <w:t>“Price normalization”</w:t>
      </w:r>
      <w:r w:rsidRPr="00D04E2D">
        <w:t xml:space="preserve"> refers to a process </w:t>
      </w:r>
      <w:r>
        <w:t>EOHHS</w:t>
      </w:r>
      <w:r w:rsidRPr="00D04E2D">
        <w:t xml:space="preserve"> will use to ensure that costs of care are being compared “apples to apples” between a base period and a Performance Year, and across differen</w:t>
      </w:r>
      <w:r>
        <w:t>t</w:t>
      </w:r>
      <w:r w:rsidRPr="00D04E2D">
        <w:t xml:space="preserve"> </w:t>
      </w:r>
      <w:r>
        <w:t>EOHHS</w:t>
      </w:r>
      <w:r w:rsidRPr="00D04E2D">
        <w:t xml:space="preserve"> plans. Through price normalization, </w:t>
      </w:r>
      <w:r>
        <w:t>EOHHS</w:t>
      </w:r>
      <w:r w:rsidRPr="00D04E2D">
        <w:t xml:space="preserve"> will use a standard payment amount for </w:t>
      </w:r>
      <w:r w:rsidRPr="00D04E2D">
        <w:rPr>
          <w:b/>
        </w:rPr>
        <w:t>a given type of event</w:t>
      </w:r>
      <w:r w:rsidRPr="00D04E2D">
        <w:t xml:space="preserve"> in a member’s care (e.g., a particular procedure performed by a particular type of provider), regardless of the “amount paid” shown on the claim or encounter, which may incorporate variation in fee schedules paid in different programs. For example:</w:t>
      </w:r>
    </w:p>
    <w:p w:rsidR="00230092" w:rsidRPr="00D04E2D" w:rsidRDefault="00230092" w:rsidP="00230092">
      <w:pPr>
        <w:pStyle w:val="ListParagraph"/>
      </w:pPr>
      <w:r w:rsidRPr="00D04E2D">
        <w:t xml:space="preserve">During a base data year </w:t>
      </w:r>
      <w:r w:rsidRPr="002D679D">
        <w:rPr>
          <w:b/>
        </w:rPr>
        <w:t>Member A</w:t>
      </w:r>
      <w:r w:rsidRPr="00D04E2D">
        <w:t xml:space="preserve"> was enrolled in an MCO and</w:t>
      </w:r>
      <w:r w:rsidRPr="00D04E2D">
        <w:rPr>
          <w:b/>
        </w:rPr>
        <w:t xml:space="preserve"> </w:t>
      </w:r>
      <w:r w:rsidRPr="00D04E2D">
        <w:t xml:space="preserve">had a standard primary care office visit with </w:t>
      </w:r>
      <w:r>
        <w:t>the member’s</w:t>
      </w:r>
      <w:r w:rsidRPr="00D04E2D">
        <w:t xml:space="preserve"> PCP.  Member A’s MCO paid that PCP $90 for that visit. During a Performance Year</w:t>
      </w:r>
      <w:r w:rsidRPr="00D04E2D">
        <w:rPr>
          <w:b/>
        </w:rPr>
        <w:t xml:space="preserve"> Member A</w:t>
      </w:r>
      <w:r w:rsidRPr="00D04E2D">
        <w:t xml:space="preserve"> is enrolled in Primary Care ACO 1 and has another standard primary care office visit with </w:t>
      </w:r>
      <w:r>
        <w:t>the member’s</w:t>
      </w:r>
      <w:r w:rsidRPr="00D04E2D">
        <w:t xml:space="preserve"> PCP. Under </w:t>
      </w:r>
      <w:r>
        <w:t>EOHHS</w:t>
      </w:r>
      <w:r w:rsidRPr="00D04E2D">
        <w:t xml:space="preserve">’s fee schedule, </w:t>
      </w:r>
      <w:r>
        <w:t>EOHHS</w:t>
      </w:r>
      <w:r w:rsidRPr="00D04E2D">
        <w:t xml:space="preserve"> pays the PCP $110.</w:t>
      </w:r>
    </w:p>
    <w:p w:rsidR="00230092" w:rsidRPr="00D04E2D" w:rsidRDefault="00230092" w:rsidP="00230092">
      <w:pPr>
        <w:pStyle w:val="ListParagraph"/>
        <w:numPr>
          <w:ilvl w:val="1"/>
          <w:numId w:val="30"/>
        </w:numPr>
        <w:spacing w:line="259" w:lineRule="auto"/>
      </w:pPr>
      <w:r w:rsidRPr="00D04E2D">
        <w:t xml:space="preserve">Without price normalization, </w:t>
      </w:r>
      <w:r w:rsidRPr="00D04E2D">
        <w:rPr>
          <w:b/>
        </w:rPr>
        <w:t xml:space="preserve">Primary Care ACO 1 </w:t>
      </w:r>
      <w:r w:rsidRPr="00D04E2D">
        <w:t xml:space="preserve">would look as if it had </w:t>
      </w:r>
      <w:r w:rsidRPr="00D04E2D">
        <w:rPr>
          <w:b/>
        </w:rPr>
        <w:t>$20 in losses</w:t>
      </w:r>
      <w:r w:rsidRPr="00D04E2D">
        <w:t xml:space="preserve"> (22% </w:t>
      </w:r>
      <w:r>
        <w:t xml:space="preserve">of </w:t>
      </w:r>
      <w:r w:rsidRPr="00D04E2D">
        <w:t>the cost of care for this visit) even though the actual utilization of care in the two periods is the same</w:t>
      </w:r>
    </w:p>
    <w:p w:rsidR="00230092" w:rsidRPr="002D679D" w:rsidRDefault="00230092" w:rsidP="00230092">
      <w:pPr>
        <w:pStyle w:val="ListParagraph"/>
        <w:numPr>
          <w:ilvl w:val="1"/>
          <w:numId w:val="30"/>
        </w:numPr>
        <w:spacing w:line="259" w:lineRule="auto"/>
        <w:rPr>
          <w:b/>
        </w:rPr>
      </w:pPr>
      <w:r w:rsidRPr="00D04E2D">
        <w:t xml:space="preserve">With price normalization, </w:t>
      </w:r>
      <w:r>
        <w:t>EOHHS</w:t>
      </w:r>
      <w:r w:rsidRPr="00D04E2D">
        <w:t xml:space="preserve"> may, for example, count all primary care office visits with Member A’s PCP as $</w:t>
      </w:r>
      <w:r>
        <w:t>110</w:t>
      </w:r>
      <w:r w:rsidRPr="00D04E2D">
        <w:t xml:space="preserve">, thereby allowing </w:t>
      </w:r>
      <w:r>
        <w:t>EOHHS</w:t>
      </w:r>
      <w:r w:rsidRPr="00D04E2D">
        <w:t xml:space="preserve"> to compare </w:t>
      </w:r>
      <w:r w:rsidRPr="002D679D">
        <w:rPr>
          <w:b/>
        </w:rPr>
        <w:t>actual utilization of services.</w:t>
      </w:r>
    </w:p>
    <w:p w:rsidR="00230092" w:rsidRPr="00D04E2D" w:rsidRDefault="00230092" w:rsidP="00230092">
      <w:r>
        <w:t>EOHHS</w:t>
      </w:r>
      <w:r w:rsidRPr="00D04E2D">
        <w:t xml:space="preserve"> </w:t>
      </w:r>
      <w:r>
        <w:t>may</w:t>
      </w:r>
      <w:r w:rsidRPr="00D04E2D">
        <w:t xml:space="preserve"> provide </w:t>
      </w:r>
      <w:r>
        <w:t>additional</w:t>
      </w:r>
      <w:r w:rsidRPr="00D04E2D">
        <w:t xml:space="preserve"> details o</w:t>
      </w:r>
      <w:r>
        <w:t>n</w:t>
      </w:r>
      <w:r w:rsidRPr="00D04E2D">
        <w:t xml:space="preserve"> </w:t>
      </w:r>
      <w:r>
        <w:t>EOHHS</w:t>
      </w:r>
      <w:r w:rsidRPr="00D04E2D">
        <w:t>’s price normalization methodology, e.g.</w:t>
      </w:r>
      <w:r>
        <w:t>,</w:t>
      </w:r>
      <w:r w:rsidRPr="00D04E2D">
        <w:t xml:space="preserve"> which services will be normalized, how these services will be defined, and how the normalization will be calculated and applied</w:t>
      </w:r>
      <w:r>
        <w:t>.</w:t>
      </w:r>
    </w:p>
    <w:p w:rsidR="00230092" w:rsidRPr="00D04E2D" w:rsidRDefault="00230092" w:rsidP="00230092">
      <w:pPr>
        <w:rPr>
          <w:u w:val="single"/>
        </w:rPr>
      </w:pPr>
      <w:r w:rsidRPr="000A4F1E">
        <w:rPr>
          <w:u w:val="single"/>
        </w:rPr>
        <w:t xml:space="preserve">ACO-specific Benchmarks: Blend of market-based </w:t>
      </w:r>
      <w:r>
        <w:rPr>
          <w:u w:val="single"/>
        </w:rPr>
        <w:t xml:space="preserve">standard and ACO-specific </w:t>
      </w:r>
      <w:r w:rsidRPr="000A4F1E">
        <w:rPr>
          <w:u w:val="single"/>
        </w:rPr>
        <w:t>TCOC</w:t>
      </w:r>
    </w:p>
    <w:p w:rsidR="00230092" w:rsidRPr="00D04E2D" w:rsidRDefault="00230092" w:rsidP="00230092">
      <w:r>
        <w:t>EOHHS</w:t>
      </w:r>
      <w:r w:rsidRPr="00D04E2D">
        <w:t xml:space="preserve"> intends to move to a pricing structure over time in which all ACOs are, after accounting for the risk profile of the members they serve, </w:t>
      </w:r>
      <w:r w:rsidRPr="00D04E2D">
        <w:rPr>
          <w:b/>
        </w:rPr>
        <w:t>accountable to perform to the same, market-based standard</w:t>
      </w:r>
      <w:r w:rsidRPr="00D04E2D">
        <w:t xml:space="preserve">. However, given </w:t>
      </w:r>
      <w:r>
        <w:t>that same ACOs may serve populations with historically higher or lower TCOC than average (even on a risk- and price-normalized basis)</w:t>
      </w:r>
      <w:r w:rsidRPr="00D04E2D">
        <w:t xml:space="preserve">, </w:t>
      </w:r>
      <w:r>
        <w:t>EOHHS</w:t>
      </w:r>
      <w:r w:rsidRPr="00D04E2D">
        <w:t xml:space="preserve"> will take a </w:t>
      </w:r>
      <w:r w:rsidRPr="00D04E2D">
        <w:rPr>
          <w:b/>
        </w:rPr>
        <w:t>gradual, sustainable approach</w:t>
      </w:r>
      <w:r w:rsidRPr="00D04E2D">
        <w:t xml:space="preserve"> in shifting ACOs toward </w:t>
      </w:r>
      <w:r>
        <w:t xml:space="preserve">this </w:t>
      </w:r>
      <w:r w:rsidRPr="00D04E2D">
        <w:t>full market-based accountability.</w:t>
      </w:r>
    </w:p>
    <w:p w:rsidR="00230092" w:rsidRPr="00D04E2D" w:rsidRDefault="00230092" w:rsidP="00230092">
      <w:r w:rsidRPr="00D04E2D">
        <w:t>Initially, each Partnership Plan’s rate and each Primary Care ACO</w:t>
      </w:r>
      <w:r>
        <w:t>’s</w:t>
      </w:r>
      <w:r w:rsidRPr="00D04E2D">
        <w:t xml:space="preserve"> and MCO-Administered ACO’s TCOC Benchmark will be adjusted based on </w:t>
      </w:r>
      <w:r w:rsidRPr="00D04E2D">
        <w:rPr>
          <w:b/>
        </w:rPr>
        <w:t xml:space="preserve">that ACO’s historical experience.  </w:t>
      </w:r>
      <w:r w:rsidRPr="00D04E2D">
        <w:t xml:space="preserve">  </w:t>
      </w:r>
      <w:r>
        <w:t>EOHHS</w:t>
      </w:r>
      <w:r w:rsidRPr="00D04E2D">
        <w:t xml:space="preserve"> will make this adjustment by:</w:t>
      </w:r>
    </w:p>
    <w:p w:rsidR="00230092" w:rsidRPr="00D04E2D" w:rsidRDefault="00230092" w:rsidP="00230092">
      <w:pPr>
        <w:pStyle w:val="ListParagraph"/>
        <w:numPr>
          <w:ilvl w:val="0"/>
          <w:numId w:val="34"/>
        </w:numPr>
        <w:spacing w:line="259" w:lineRule="auto"/>
      </w:pPr>
      <w:r w:rsidRPr="00D04E2D">
        <w:t xml:space="preserve">Calculating a </w:t>
      </w:r>
      <w:r w:rsidRPr="00D04E2D">
        <w:rPr>
          <w:b/>
        </w:rPr>
        <w:t xml:space="preserve">“market-based” </w:t>
      </w:r>
      <w:r w:rsidRPr="00D04E2D">
        <w:t xml:space="preserve">rate for Accountable Care Partnership Plans and a </w:t>
      </w:r>
      <w:r w:rsidRPr="00D04E2D">
        <w:rPr>
          <w:b/>
        </w:rPr>
        <w:t xml:space="preserve"> “market-based” TCOC</w:t>
      </w:r>
      <w:r w:rsidRPr="00D04E2D">
        <w:t xml:space="preserve"> Benchmark for Primary Care ACOs and MCO-Administered ACOs</w:t>
      </w:r>
    </w:p>
    <w:p w:rsidR="00230092" w:rsidRPr="00D04E2D" w:rsidRDefault="00230092" w:rsidP="00230092">
      <w:pPr>
        <w:pStyle w:val="ListParagraph"/>
        <w:numPr>
          <w:ilvl w:val="0"/>
          <w:numId w:val="34"/>
        </w:numPr>
        <w:spacing w:line="259" w:lineRule="auto"/>
      </w:pPr>
      <w:r w:rsidRPr="00D04E2D">
        <w:t xml:space="preserve">Calculating a </w:t>
      </w:r>
      <w:r w:rsidRPr="00D04E2D">
        <w:rPr>
          <w:b/>
        </w:rPr>
        <w:t xml:space="preserve">“historical” </w:t>
      </w:r>
      <w:r w:rsidRPr="00D04E2D">
        <w:t xml:space="preserve">rate for Accountable Care Partnership Plans and a </w:t>
      </w:r>
      <w:r w:rsidRPr="00D04E2D">
        <w:rPr>
          <w:b/>
        </w:rPr>
        <w:t xml:space="preserve"> “historical” TCOC</w:t>
      </w:r>
      <w:r w:rsidRPr="00D04E2D">
        <w:t xml:space="preserve"> Benchmark for Primary Care ACOs and MCO-Administered ACOs, based on the TCOC for members that were </w:t>
      </w:r>
      <w:r w:rsidRPr="00D04E2D">
        <w:rPr>
          <w:b/>
        </w:rPr>
        <w:t>historically attributed to each ACO’s primary care providers</w:t>
      </w:r>
      <w:r w:rsidRPr="00D04E2D">
        <w:t xml:space="preserve"> in the base data</w:t>
      </w:r>
    </w:p>
    <w:p w:rsidR="00230092" w:rsidRPr="002D679D" w:rsidRDefault="00230092" w:rsidP="00230092">
      <w:pPr>
        <w:pStyle w:val="ListParagraph"/>
        <w:numPr>
          <w:ilvl w:val="0"/>
          <w:numId w:val="34"/>
        </w:numPr>
        <w:spacing w:line="259" w:lineRule="auto"/>
        <w:rPr>
          <w:b/>
        </w:rPr>
      </w:pPr>
      <w:r w:rsidRPr="00D04E2D">
        <w:t xml:space="preserve">Blending these two values together in a </w:t>
      </w:r>
      <w:r w:rsidRPr="00D04E2D">
        <w:rPr>
          <w:b/>
        </w:rPr>
        <w:t>weighted average</w:t>
      </w:r>
      <w:r>
        <w:rPr>
          <w:b/>
        </w:rPr>
        <w:t xml:space="preserve"> </w:t>
      </w:r>
      <w:r>
        <w:t xml:space="preserve">to produce an </w:t>
      </w:r>
      <w:r w:rsidRPr="002D679D">
        <w:rPr>
          <w:b/>
        </w:rPr>
        <w:t>ACO-specific adjusted TCOC</w:t>
      </w:r>
    </w:p>
    <w:p w:rsidR="00230092" w:rsidRPr="00D04E2D" w:rsidRDefault="00230092" w:rsidP="00230092">
      <w:r>
        <w:t>EOHHS</w:t>
      </w:r>
      <w:r w:rsidRPr="00D04E2D">
        <w:t xml:space="preserve"> intends to </w:t>
      </w:r>
      <w:r w:rsidRPr="00D04E2D">
        <w:rPr>
          <w:b/>
        </w:rPr>
        <w:t>reduce the weighting of ACOs’ historical experience</w:t>
      </w:r>
      <w:r w:rsidRPr="00D04E2D">
        <w:t xml:space="preserve"> and </w:t>
      </w:r>
      <w:r w:rsidRPr="00D04E2D">
        <w:rPr>
          <w:b/>
        </w:rPr>
        <w:t>increase the weighting of the market-based standard</w:t>
      </w:r>
      <w:r w:rsidRPr="00D04E2D">
        <w:t xml:space="preserve"> over the course of the ACO program, </w:t>
      </w:r>
      <w:r w:rsidRPr="00D04E2D">
        <w:rPr>
          <w:b/>
        </w:rPr>
        <w:t>transitioning ACOs sustainably</w:t>
      </w:r>
      <w:r w:rsidRPr="00D04E2D">
        <w:t xml:space="preserve"> toward market-based accountability.  For example, </w:t>
      </w:r>
      <w:r>
        <w:t>EOHHS</w:t>
      </w:r>
      <w:r w:rsidRPr="00D04E2D">
        <w:t xml:space="preserve"> anticipates that in Performance</w:t>
      </w:r>
      <w:r>
        <w:t xml:space="preserve"> or Contract</w:t>
      </w:r>
      <w:r w:rsidRPr="00D04E2D">
        <w:t xml:space="preserve"> Year 1 of the ACO program, each ACO’s historical experience will be weighted between 70-90%. This weighting is preliminary and subject to change.</w:t>
      </w:r>
    </w:p>
    <w:p w:rsidR="00230092" w:rsidRPr="000A4F1E" w:rsidRDefault="00230092" w:rsidP="00230092">
      <w:r w:rsidRPr="000A4F1E">
        <w:rPr>
          <w:u w:val="single"/>
        </w:rPr>
        <w:t>Setting the market-based standard</w:t>
      </w:r>
    </w:p>
    <w:p w:rsidR="00230092" w:rsidRPr="00D04E2D" w:rsidRDefault="00230092" w:rsidP="00230092">
      <w:r w:rsidRPr="00D04E2D">
        <w:t>Accountable Care Partnership Plans’ rates and Primary Care ACOs</w:t>
      </w:r>
      <w:r>
        <w:t>’</w:t>
      </w:r>
      <w:r w:rsidRPr="00D04E2D">
        <w:t xml:space="preserve"> and MCO-Administered ACOs’ TCOC Benchmarks will be based on a </w:t>
      </w:r>
      <w:r w:rsidRPr="00D04E2D">
        <w:rPr>
          <w:b/>
        </w:rPr>
        <w:t xml:space="preserve">common market-based </w:t>
      </w:r>
      <w:r>
        <w:rPr>
          <w:b/>
        </w:rPr>
        <w:t>standard</w:t>
      </w:r>
      <w:r w:rsidRPr="00D04E2D">
        <w:rPr>
          <w:b/>
        </w:rPr>
        <w:t xml:space="preserve">. </w:t>
      </w:r>
      <w:r>
        <w:t>EOHHS</w:t>
      </w:r>
      <w:r w:rsidRPr="00D04E2D">
        <w:t xml:space="preserve"> will develop </w:t>
      </w:r>
      <w:r>
        <w:t>this standard</w:t>
      </w:r>
      <w:r w:rsidRPr="00D04E2D">
        <w:t xml:space="preserve"> by combining historical MCO encounters, PCC Plan claims</w:t>
      </w:r>
      <w:r>
        <w:t>, including behavioral health</w:t>
      </w:r>
      <w:r w:rsidRPr="00D04E2D">
        <w:t xml:space="preserve"> encounters</w:t>
      </w:r>
      <w:r>
        <w:t>,</w:t>
      </w:r>
      <w:r w:rsidRPr="00D04E2D">
        <w:t xml:space="preserve"> into a </w:t>
      </w:r>
      <w:r w:rsidRPr="00D04E2D">
        <w:rPr>
          <w:b/>
        </w:rPr>
        <w:t>base actuarial dataset</w:t>
      </w:r>
      <w:r w:rsidRPr="00D04E2D">
        <w:t xml:space="preserve">. </w:t>
      </w:r>
      <w:r>
        <w:t>EOHHS</w:t>
      </w:r>
      <w:r w:rsidRPr="00D04E2D">
        <w:t xml:space="preserve"> will use actuarial methods to normalize unit cost and other differences across programs. </w:t>
      </w:r>
      <w:r>
        <w:t>EOHHS</w:t>
      </w:r>
      <w:r w:rsidRPr="00D04E2D">
        <w:t xml:space="preserve"> will develop this </w:t>
      </w:r>
      <w:r>
        <w:t>standard</w:t>
      </w:r>
      <w:r w:rsidRPr="00D04E2D">
        <w:t xml:space="preserve"> for each population rate cell (i.e., combination of </w:t>
      </w:r>
      <w:r w:rsidRPr="00D04E2D">
        <w:rPr>
          <w:b/>
        </w:rPr>
        <w:t>managed care</w:t>
      </w:r>
      <w:r w:rsidRPr="00D04E2D">
        <w:t xml:space="preserve"> </w:t>
      </w:r>
      <w:r w:rsidRPr="00D04E2D">
        <w:rPr>
          <w:b/>
        </w:rPr>
        <w:t>region</w:t>
      </w:r>
      <w:r w:rsidRPr="00D04E2D">
        <w:t xml:space="preserve"> and </w:t>
      </w:r>
      <w:r w:rsidRPr="00D04E2D">
        <w:rPr>
          <w:b/>
        </w:rPr>
        <w:t>rating category</w:t>
      </w:r>
      <w:r w:rsidRPr="00D04E2D">
        <w:t xml:space="preserve">).  This </w:t>
      </w:r>
      <w:r>
        <w:t xml:space="preserve">standard </w:t>
      </w:r>
      <w:r w:rsidRPr="00D04E2D">
        <w:t xml:space="preserve">will also be adjusted for acuity, trend, program changes, and other factors that will take into account </w:t>
      </w:r>
      <w:r w:rsidRPr="00D04E2D">
        <w:rPr>
          <w:b/>
        </w:rPr>
        <w:t xml:space="preserve">ACO-specific considerations.  </w:t>
      </w:r>
      <w:r w:rsidRPr="00D04E2D">
        <w:t>There will be separate rates for adults and children.</w:t>
      </w:r>
    </w:p>
    <w:p w:rsidR="00230092" w:rsidRPr="00D04E2D" w:rsidRDefault="00230092" w:rsidP="00230092">
      <w:r w:rsidRPr="00D04E2D">
        <w:t xml:space="preserve">Because </w:t>
      </w:r>
      <w:r>
        <w:t>EOHHS</w:t>
      </w:r>
      <w:r w:rsidRPr="00D04E2D">
        <w:t xml:space="preserve">’ PCC Plan and MCO program have historically assumed </w:t>
      </w:r>
      <w:r w:rsidRPr="00D04E2D">
        <w:rPr>
          <w:b/>
        </w:rPr>
        <w:t xml:space="preserve">different fee schedules </w:t>
      </w:r>
      <w:r w:rsidRPr="00D04E2D">
        <w:t xml:space="preserve">and had </w:t>
      </w:r>
      <w:r w:rsidRPr="00D04E2D">
        <w:rPr>
          <w:b/>
        </w:rPr>
        <w:t>different cost patterns</w:t>
      </w:r>
      <w:r w:rsidRPr="00D04E2D">
        <w:t xml:space="preserve">, producing a unified base rate that normalizes differences among programs, accounting for the ratio of historical PCC Plan vs. MCO members enrolled in the ACO, allows for </w:t>
      </w:r>
      <w:r w:rsidRPr="00D04E2D">
        <w:rPr>
          <w:b/>
        </w:rPr>
        <w:t>fair standards for accountability</w:t>
      </w:r>
      <w:r w:rsidRPr="00D04E2D">
        <w:t xml:space="preserve"> in new models. For example:</w:t>
      </w:r>
    </w:p>
    <w:p w:rsidR="00230092" w:rsidRPr="00D04E2D" w:rsidRDefault="00230092" w:rsidP="00230092">
      <w:pPr>
        <w:pStyle w:val="ListParagraph"/>
        <w:numPr>
          <w:ilvl w:val="0"/>
          <w:numId w:val="33"/>
        </w:numPr>
        <w:spacing w:line="259" w:lineRule="auto"/>
      </w:pPr>
      <w:r w:rsidRPr="00D04E2D">
        <w:t>ACO 1’s enrolled members were, during the base period, 50% PCC Plan and 50% MCO enrollees. ACO 2’s enrolled members were, during the base period</w:t>
      </w:r>
      <w:proofErr w:type="gramStart"/>
      <w:r w:rsidRPr="00D04E2D">
        <w:t>,  25</w:t>
      </w:r>
      <w:proofErr w:type="gramEnd"/>
      <w:r w:rsidRPr="00D04E2D">
        <w:t>% PCC Plan and 75% MCO enrollees</w:t>
      </w:r>
      <w:r>
        <w:t>.</w:t>
      </w:r>
    </w:p>
    <w:p w:rsidR="00230092" w:rsidRPr="00D04E2D" w:rsidRDefault="00230092" w:rsidP="00230092">
      <w:pPr>
        <w:pStyle w:val="ListParagraph"/>
        <w:numPr>
          <w:ilvl w:val="0"/>
          <w:numId w:val="33"/>
        </w:numPr>
        <w:spacing w:line="259" w:lineRule="auto"/>
      </w:pPr>
      <w:r w:rsidRPr="00D04E2D">
        <w:t xml:space="preserve">By setting the market-based </w:t>
      </w:r>
      <w:r>
        <w:t>standard</w:t>
      </w:r>
      <w:r w:rsidRPr="00D04E2D">
        <w:t xml:space="preserve"> across </w:t>
      </w:r>
      <w:r w:rsidRPr="00D04E2D">
        <w:rPr>
          <w:b/>
        </w:rPr>
        <w:t>all managed care eligible members</w:t>
      </w:r>
      <w:r w:rsidRPr="00D04E2D">
        <w:t xml:space="preserve"> (i.e., both PCC Plan and MCO enrollees) in the base data, ACO 1 and ACO 2 are held accountable to the </w:t>
      </w:r>
      <w:r w:rsidRPr="00D04E2D">
        <w:rPr>
          <w:b/>
        </w:rPr>
        <w:t xml:space="preserve">same, market-based </w:t>
      </w:r>
      <w:r>
        <w:rPr>
          <w:b/>
        </w:rPr>
        <w:t>standard</w:t>
      </w:r>
      <w:r w:rsidRPr="00D04E2D">
        <w:rPr>
          <w:b/>
        </w:rPr>
        <w:t xml:space="preserve"> for a given member</w:t>
      </w:r>
      <w:r w:rsidRPr="00D04E2D">
        <w:t xml:space="preserve">. If a given member with a particular rating category, region, and risk score were to enroll in ACO 1, ACO 1 might get paid (or have incorporated into its TCOC Benchmark) a market-based </w:t>
      </w:r>
      <w:r>
        <w:t>standard</w:t>
      </w:r>
      <w:r w:rsidRPr="00D04E2D">
        <w:t xml:space="preserve"> of $500 (prior to modifying this rate for the ACO’s historical experience). If that member were to enroll in ACO 2, ACO 2 would similarly get $500 for this member. </w:t>
      </w:r>
    </w:p>
    <w:p w:rsidR="00230092" w:rsidRPr="00D04E2D" w:rsidRDefault="00230092" w:rsidP="00230092">
      <w:pPr>
        <w:pStyle w:val="ListParagraph"/>
        <w:numPr>
          <w:ilvl w:val="0"/>
          <w:numId w:val="33"/>
        </w:numPr>
        <w:spacing w:line="259" w:lineRule="auto"/>
      </w:pPr>
      <w:r w:rsidRPr="00D04E2D">
        <w:t xml:space="preserve">If instead </w:t>
      </w:r>
      <w:r>
        <w:t>EOHHS</w:t>
      </w:r>
      <w:r w:rsidRPr="00D04E2D">
        <w:t xml:space="preserve"> calculated </w:t>
      </w:r>
      <w:r w:rsidRPr="00D04E2D">
        <w:rPr>
          <w:b/>
        </w:rPr>
        <w:t xml:space="preserve">separate </w:t>
      </w:r>
      <w:r>
        <w:rPr>
          <w:b/>
        </w:rPr>
        <w:t>TCOC</w:t>
      </w:r>
      <w:r w:rsidRPr="00D04E2D">
        <w:rPr>
          <w:b/>
        </w:rPr>
        <w:t xml:space="preserve"> </w:t>
      </w:r>
      <w:r>
        <w:rPr>
          <w:b/>
        </w:rPr>
        <w:t>standards</w:t>
      </w:r>
      <w:r w:rsidRPr="00D04E2D">
        <w:rPr>
          <w:b/>
        </w:rPr>
        <w:t xml:space="preserve"> for MCO and PCC Plan</w:t>
      </w:r>
      <w:r>
        <w:rPr>
          <w:b/>
        </w:rPr>
        <w:t xml:space="preserve"> enrollees</w:t>
      </w:r>
      <w:r w:rsidRPr="00D04E2D">
        <w:t xml:space="preserve">, and used each ACO’s historical mix of attributed members to determine the </w:t>
      </w:r>
      <w:r>
        <w:t>ACO’s TCOC Benchmark or rate</w:t>
      </w:r>
      <w:r w:rsidRPr="00D04E2D">
        <w:t xml:space="preserve">, ACO 1 and ACO 2 might get </w:t>
      </w:r>
      <w:r w:rsidRPr="00D04E2D">
        <w:rPr>
          <w:b/>
        </w:rPr>
        <w:t xml:space="preserve">different amounts (or have different TCOC Benchmarks) for this same member </w:t>
      </w:r>
      <w:r w:rsidRPr="00D04E2D">
        <w:t xml:space="preserve">because of their different historical mixes of PCC Plan </w:t>
      </w:r>
      <w:r w:rsidRPr="000738F3">
        <w:t>vs.</w:t>
      </w:r>
      <w:r w:rsidRPr="00D04E2D">
        <w:t xml:space="preserve"> MCO enrollees</w:t>
      </w:r>
      <w:r>
        <w:t>.</w:t>
      </w:r>
    </w:p>
    <w:p w:rsidR="00230092" w:rsidRPr="000A4F1E" w:rsidRDefault="00230092" w:rsidP="00230092">
      <w:pPr>
        <w:rPr>
          <w:u w:val="single"/>
        </w:rPr>
      </w:pPr>
      <w:r w:rsidRPr="000A4F1E">
        <w:rPr>
          <w:u w:val="single"/>
        </w:rPr>
        <w:t>Fee schedule parity</w:t>
      </w:r>
    </w:p>
    <w:p w:rsidR="00230092" w:rsidRPr="00D04E2D" w:rsidRDefault="00230092" w:rsidP="00230092">
      <w:pPr>
        <w:rPr>
          <w:b/>
        </w:rPr>
      </w:pPr>
      <w:r>
        <w:t>EOHHS</w:t>
      </w:r>
      <w:r w:rsidRPr="00D04E2D">
        <w:t xml:space="preserve"> will incorporate the </w:t>
      </w:r>
      <w:r w:rsidRPr="00D04E2D">
        <w:rPr>
          <w:b/>
        </w:rPr>
        <w:t>same fee schedule assumptions</w:t>
      </w:r>
      <w:r w:rsidRPr="00D04E2D">
        <w:t xml:space="preserve"> in its pricing of Accountable Care Partnership Plan rates, TCOC Benchmarks for Primary Care ACOs and MCO-Administered ACOs, and MCO rates going forward. </w:t>
      </w:r>
      <w:r>
        <w:t>EOHHS</w:t>
      </w:r>
      <w:r w:rsidRPr="00D04E2D">
        <w:t xml:space="preserve"> will use the </w:t>
      </w:r>
      <w:r>
        <w:t>EOHHS</w:t>
      </w:r>
      <w:r w:rsidRPr="00D04E2D">
        <w:t xml:space="preserve"> </w:t>
      </w:r>
      <w:r>
        <w:t>fee-for-service (</w:t>
      </w:r>
      <w:r w:rsidRPr="00D04E2D">
        <w:t>FFS</w:t>
      </w:r>
      <w:r>
        <w:t>)</w:t>
      </w:r>
      <w:r w:rsidRPr="00D04E2D">
        <w:t xml:space="preserve"> fee schedule in setting capitation rates for Accountable Care Partnership Plans.  </w:t>
      </w:r>
      <w:r>
        <w:t>EOHHS</w:t>
      </w:r>
      <w:r w:rsidRPr="00D04E2D">
        <w:t xml:space="preserve"> will assume that providers get paid (in aggregate/on average) at the </w:t>
      </w:r>
      <w:r>
        <w:rPr>
          <w:b/>
        </w:rPr>
        <w:t>EOHHS</w:t>
      </w:r>
      <w:r w:rsidRPr="00D04E2D">
        <w:rPr>
          <w:b/>
        </w:rPr>
        <w:t xml:space="preserve"> </w:t>
      </w:r>
      <w:r>
        <w:rPr>
          <w:b/>
        </w:rPr>
        <w:t>FFS</w:t>
      </w:r>
      <w:r w:rsidRPr="00D04E2D">
        <w:rPr>
          <w:b/>
        </w:rPr>
        <w:t xml:space="preserve"> fee schedule </w:t>
      </w:r>
      <w:r w:rsidRPr="00D04E2D">
        <w:t xml:space="preserve">when setting the TCOC Benchmarks for Primary Care ACOs and MCO-Administered ACOs.  </w:t>
      </w:r>
      <w:r>
        <w:t>EOHHS</w:t>
      </w:r>
      <w:r w:rsidRPr="00D04E2D">
        <w:t xml:space="preserve"> intends to make this change in a way that is </w:t>
      </w:r>
      <w:r w:rsidRPr="00D04E2D">
        <w:rPr>
          <w:b/>
        </w:rPr>
        <w:t>budget neutral</w:t>
      </w:r>
      <w:r w:rsidRPr="00D04E2D">
        <w:t xml:space="preserve"> for the state and for </w:t>
      </w:r>
      <w:r w:rsidRPr="00D04E2D">
        <w:rPr>
          <w:b/>
        </w:rPr>
        <w:t>impacted classes of providers</w:t>
      </w:r>
      <w:r w:rsidRPr="00D04E2D">
        <w:t>, as a whole</w:t>
      </w:r>
      <w:r>
        <w:t>, e.g.,</w:t>
      </w:r>
      <w:r w:rsidRPr="00D04E2D">
        <w:t xml:space="preserve"> </w:t>
      </w:r>
      <w:r>
        <w:t>EOHHS</w:t>
      </w:r>
      <w:r w:rsidRPr="00D04E2D">
        <w:t xml:space="preserve"> </w:t>
      </w:r>
      <w:r>
        <w:t>will</w:t>
      </w:r>
      <w:r w:rsidRPr="00D04E2D">
        <w:t xml:space="preserve"> </w:t>
      </w:r>
      <w:r w:rsidRPr="00D04E2D">
        <w:rPr>
          <w:b/>
        </w:rPr>
        <w:t xml:space="preserve">raise the </w:t>
      </w:r>
      <w:r>
        <w:rPr>
          <w:b/>
        </w:rPr>
        <w:t>EOHHS</w:t>
      </w:r>
      <w:r w:rsidRPr="00D04E2D">
        <w:rPr>
          <w:b/>
        </w:rPr>
        <w:t xml:space="preserve"> FFS fee schedule</w:t>
      </w:r>
      <w:r w:rsidRPr="00D04E2D">
        <w:t xml:space="preserve"> for </w:t>
      </w:r>
      <w:r>
        <w:t xml:space="preserve">certain </w:t>
      </w:r>
      <w:r w:rsidRPr="00D04E2D">
        <w:t>services</w:t>
      </w:r>
      <w:r>
        <w:t>.</w:t>
      </w:r>
      <w:r w:rsidRPr="00D04E2D">
        <w:t xml:space="preserve"> </w:t>
      </w:r>
      <w:r>
        <w:t>EOHHS</w:t>
      </w:r>
      <w:r w:rsidRPr="00D04E2D">
        <w:t xml:space="preserve"> </w:t>
      </w:r>
      <w:r>
        <w:t>may</w:t>
      </w:r>
      <w:r w:rsidRPr="00D04E2D">
        <w:t xml:space="preserve"> also </w:t>
      </w:r>
      <w:r>
        <w:t xml:space="preserve">establish </w:t>
      </w:r>
      <w:r>
        <w:rPr>
          <w:b/>
        </w:rPr>
        <w:t>additional policies</w:t>
      </w:r>
      <w:r w:rsidRPr="00D04E2D">
        <w:t xml:space="preserve"> to </w:t>
      </w:r>
      <w:r w:rsidRPr="002D679D">
        <w:rPr>
          <w:b/>
        </w:rPr>
        <w:t xml:space="preserve">assist Accountable Care Partnership Plans and </w:t>
      </w:r>
      <w:r w:rsidRPr="00D04E2D">
        <w:t xml:space="preserve">MCOs in developing networks that include </w:t>
      </w:r>
      <w:r w:rsidRPr="002D679D">
        <w:rPr>
          <w:b/>
        </w:rPr>
        <w:t>geographically remote and specialty hospitals</w:t>
      </w:r>
      <w:r>
        <w:rPr>
          <w:b/>
        </w:rPr>
        <w:t>.</w:t>
      </w:r>
      <w:r>
        <w:t xml:space="preserve"> </w:t>
      </w:r>
    </w:p>
    <w:p w:rsidR="00230092" w:rsidRPr="000A4F1E" w:rsidRDefault="00230092" w:rsidP="00230092">
      <w:pPr>
        <w:rPr>
          <w:u w:val="single"/>
        </w:rPr>
      </w:pPr>
      <w:r w:rsidRPr="000A4F1E">
        <w:rPr>
          <w:u w:val="single"/>
        </w:rPr>
        <w:t>Risk mitigation for Hepatitis C Virus drugs</w:t>
      </w:r>
    </w:p>
    <w:p w:rsidR="00230092" w:rsidRPr="00D04E2D" w:rsidRDefault="00230092" w:rsidP="00230092">
      <w:pPr>
        <w:rPr>
          <w:b/>
        </w:rPr>
      </w:pPr>
      <w:r w:rsidRPr="00D04E2D">
        <w:t xml:space="preserve">For Performance Year 1, </w:t>
      </w:r>
      <w:r>
        <w:t>EOHHS</w:t>
      </w:r>
      <w:r w:rsidRPr="00D04E2D">
        <w:t xml:space="preserve"> intends to </w:t>
      </w:r>
      <w:r w:rsidRPr="00D04E2D">
        <w:rPr>
          <w:b/>
        </w:rPr>
        <w:t>mitigate ACOs’ financial risk</w:t>
      </w:r>
      <w:r w:rsidRPr="00D04E2D">
        <w:t xml:space="preserve"> associated with high-cost drugs that treat Hepatitis C Virus (HCV).  </w:t>
      </w:r>
      <w:r>
        <w:t>EOHHS</w:t>
      </w:r>
      <w:r w:rsidRPr="00D04E2D">
        <w:t xml:space="preserve"> intends to provide details on the precise mechanism used to mitigate ACOs’ financial risk in </w:t>
      </w:r>
      <w:r w:rsidRPr="00D04E2D">
        <w:rPr>
          <w:b/>
        </w:rPr>
        <w:t>early spring 2017.</w:t>
      </w:r>
      <w:r>
        <w:rPr>
          <w:b/>
        </w:rPr>
        <w:t xml:space="preserve"> </w:t>
      </w:r>
      <w:r>
        <w:t>EOHHS may have additional risk mitigation strategies, including for high-cost pharmacy outside of HCV.</w:t>
      </w:r>
      <w:r w:rsidRPr="00D04E2D">
        <w:rPr>
          <w:b/>
        </w:rPr>
        <w:br w:type="page"/>
      </w:r>
    </w:p>
    <w:p w:rsidR="00230092" w:rsidRPr="00D04E2D" w:rsidRDefault="00230092" w:rsidP="00230092">
      <w:pPr>
        <w:jc w:val="center"/>
        <w:rPr>
          <w:b/>
        </w:rPr>
      </w:pPr>
      <w:proofErr w:type="gramStart"/>
      <w:r w:rsidRPr="00D04E2D">
        <w:rPr>
          <w:b/>
        </w:rPr>
        <w:t>Section 1.</w:t>
      </w:r>
      <w:proofErr w:type="gramEnd"/>
      <w:r w:rsidRPr="00D04E2D">
        <w:rPr>
          <w:b/>
        </w:rPr>
        <w:t xml:space="preserve"> Introduction and overview</w:t>
      </w:r>
    </w:p>
    <w:p w:rsidR="00230092" w:rsidRDefault="00230092" w:rsidP="00230092">
      <w:pPr>
        <w:rPr>
          <w:i/>
        </w:rPr>
      </w:pPr>
    </w:p>
    <w:p w:rsidR="00230092" w:rsidRPr="00D04E2D" w:rsidRDefault="00230092" w:rsidP="00230092">
      <w:pPr>
        <w:rPr>
          <w:i/>
        </w:rPr>
      </w:pPr>
      <w:r w:rsidRPr="00D04E2D">
        <w:rPr>
          <w:i/>
        </w:rPr>
        <w:t>1.</w:t>
      </w:r>
      <w:r>
        <w:rPr>
          <w:i/>
        </w:rPr>
        <w:t>1</w:t>
      </w:r>
      <w:r w:rsidRPr="00D04E2D">
        <w:rPr>
          <w:i/>
        </w:rPr>
        <w:t xml:space="preserve"> Overview of this document</w:t>
      </w:r>
    </w:p>
    <w:p w:rsidR="00230092" w:rsidRDefault="00230092" w:rsidP="00230092">
      <w:r w:rsidRPr="00D04E2D">
        <w:t xml:space="preserve">This document includes </w:t>
      </w:r>
      <w:r w:rsidRPr="000A4F1E">
        <w:rPr>
          <w:b/>
        </w:rPr>
        <w:t>methodology detail</w:t>
      </w:r>
      <w:r w:rsidRPr="00D04E2D">
        <w:t xml:space="preserve"> for how EOHHS anticipates setting capitation rates for Accountable Care Partnership Plans and setting TCOC </w:t>
      </w:r>
      <w:r>
        <w:t>B</w:t>
      </w:r>
      <w:r w:rsidRPr="00D04E2D">
        <w:t xml:space="preserve">enchmarks for Primary Care ACOs and MCO-Administered ACOs. The information provided </w:t>
      </w:r>
      <w:r>
        <w:t>in this document</w:t>
      </w:r>
      <w:r w:rsidRPr="00D04E2D">
        <w:t xml:space="preserve"> is </w:t>
      </w:r>
      <w:r w:rsidRPr="002D679D">
        <w:rPr>
          <w:b/>
        </w:rPr>
        <w:t>subject to change</w:t>
      </w:r>
      <w:r w:rsidRPr="00D04E2D">
        <w:t xml:space="preserve"> and is not binding on EOHHS. All information</w:t>
      </w:r>
      <w:r w:rsidRPr="00BB37FC">
        <w:t xml:space="preserve"> </w:t>
      </w:r>
      <w:r w:rsidRPr="00D04E2D">
        <w:t xml:space="preserve">provided in this document, including example calculations, </w:t>
      </w:r>
      <w:r>
        <w:t>is</w:t>
      </w:r>
      <w:r w:rsidRPr="00D04E2D">
        <w:t xml:space="preserve"> for </w:t>
      </w:r>
      <w:r>
        <w:t xml:space="preserve">information and </w:t>
      </w:r>
      <w:r w:rsidRPr="00D04E2D">
        <w:t xml:space="preserve">illustrative purposes only. Examples incorporate </w:t>
      </w:r>
      <w:r w:rsidRPr="002D679D">
        <w:rPr>
          <w:b/>
        </w:rPr>
        <w:t>illustrative numbers</w:t>
      </w:r>
      <w:r w:rsidRPr="00D04E2D">
        <w:t xml:space="preserve"> (e.g., for admin</w:t>
      </w:r>
      <w:r>
        <w:t>istrative</w:t>
      </w:r>
      <w:r w:rsidRPr="00D04E2D">
        <w:t xml:space="preserve"> rates, capitation payments, etc.) that may not reflect actual values, and example calculations use </w:t>
      </w:r>
      <w:r w:rsidRPr="002D679D">
        <w:rPr>
          <w:b/>
        </w:rPr>
        <w:t>simplifying assumptions</w:t>
      </w:r>
      <w:r w:rsidRPr="00D04E2D">
        <w:t xml:space="preserve"> that may not reflect actual calculations.</w:t>
      </w:r>
    </w:p>
    <w:p w:rsidR="00230092" w:rsidRPr="00973754" w:rsidRDefault="00230092" w:rsidP="00230092">
      <w:pPr>
        <w:pStyle w:val="CommentText"/>
        <w:rPr>
          <w:sz w:val="22"/>
          <w:szCs w:val="22"/>
        </w:rPr>
      </w:pPr>
      <w:r w:rsidRPr="00973754">
        <w:rPr>
          <w:sz w:val="22"/>
          <w:szCs w:val="22"/>
        </w:rPr>
        <w:t xml:space="preserve">Methodologies and information provided in this document </w:t>
      </w:r>
      <w:r>
        <w:rPr>
          <w:sz w:val="22"/>
          <w:szCs w:val="22"/>
        </w:rPr>
        <w:t>are</w:t>
      </w:r>
      <w:r w:rsidRPr="00973754">
        <w:rPr>
          <w:sz w:val="22"/>
          <w:szCs w:val="22"/>
        </w:rPr>
        <w:t xml:space="preserve"> subject to change as required to comply with any applicable laws</w:t>
      </w:r>
      <w:r>
        <w:rPr>
          <w:sz w:val="22"/>
          <w:szCs w:val="22"/>
        </w:rPr>
        <w:t xml:space="preserve"> and</w:t>
      </w:r>
      <w:r w:rsidRPr="00973754">
        <w:rPr>
          <w:sz w:val="22"/>
          <w:szCs w:val="22"/>
        </w:rPr>
        <w:t xml:space="preserve"> regulations and </w:t>
      </w:r>
      <w:r>
        <w:rPr>
          <w:sz w:val="22"/>
          <w:szCs w:val="22"/>
        </w:rPr>
        <w:t xml:space="preserve">to obtain </w:t>
      </w:r>
      <w:r w:rsidRPr="00973754">
        <w:rPr>
          <w:sz w:val="22"/>
          <w:szCs w:val="22"/>
        </w:rPr>
        <w:t>necessary approvals.  All final terms and conditions of ACO participation shall be set forth in contracts to be entered into pursuant to the Request for Responses for Accountable Care Organizations (RFR).</w:t>
      </w:r>
    </w:p>
    <w:p w:rsidR="00230092" w:rsidRPr="00D04E2D" w:rsidRDefault="00230092" w:rsidP="00230092">
      <w:r w:rsidRPr="00D04E2D">
        <w:t>This document is organized into five sections:</w:t>
      </w:r>
    </w:p>
    <w:p w:rsidR="00230092" w:rsidRPr="00D04E2D" w:rsidRDefault="00230092" w:rsidP="00230092">
      <w:pPr>
        <w:pStyle w:val="ListParagraph"/>
        <w:numPr>
          <w:ilvl w:val="0"/>
          <w:numId w:val="7"/>
        </w:numPr>
        <w:spacing w:line="259" w:lineRule="auto"/>
      </w:pPr>
      <w:r w:rsidRPr="000A4F1E">
        <w:rPr>
          <w:b/>
        </w:rPr>
        <w:t xml:space="preserve">Section 1. </w:t>
      </w:r>
      <w:r w:rsidRPr="00D04E2D">
        <w:t>Introduction and overview</w:t>
      </w:r>
    </w:p>
    <w:p w:rsidR="00230092" w:rsidRPr="00D04E2D" w:rsidRDefault="00230092" w:rsidP="00230092">
      <w:pPr>
        <w:pStyle w:val="ListParagraph"/>
        <w:numPr>
          <w:ilvl w:val="0"/>
          <w:numId w:val="7"/>
        </w:numPr>
        <w:spacing w:line="259" w:lineRule="auto"/>
      </w:pPr>
      <w:r w:rsidRPr="000A4F1E">
        <w:rPr>
          <w:b/>
        </w:rPr>
        <w:t>Section 2.</w:t>
      </w:r>
      <w:r w:rsidRPr="00D04E2D">
        <w:t xml:space="preserve"> TCOC measurement for all ACO models</w:t>
      </w:r>
    </w:p>
    <w:p w:rsidR="00230092" w:rsidRPr="00D04E2D" w:rsidRDefault="00230092" w:rsidP="00230092">
      <w:pPr>
        <w:pStyle w:val="ListParagraph"/>
        <w:numPr>
          <w:ilvl w:val="0"/>
          <w:numId w:val="7"/>
        </w:numPr>
        <w:spacing w:line="259" w:lineRule="auto"/>
      </w:pPr>
      <w:r w:rsidRPr="000A4F1E">
        <w:rPr>
          <w:b/>
        </w:rPr>
        <w:t>Section 3.</w:t>
      </w:r>
      <w:r w:rsidRPr="00D04E2D">
        <w:t xml:space="preserve"> Methodology for setting ACO rates and benchmarks</w:t>
      </w:r>
    </w:p>
    <w:p w:rsidR="00230092" w:rsidRPr="00D04E2D" w:rsidRDefault="00230092" w:rsidP="00230092">
      <w:pPr>
        <w:pStyle w:val="ListParagraph"/>
        <w:numPr>
          <w:ilvl w:val="0"/>
          <w:numId w:val="7"/>
        </w:numPr>
        <w:spacing w:line="259" w:lineRule="auto"/>
      </w:pPr>
      <w:r w:rsidRPr="000A4F1E">
        <w:rPr>
          <w:b/>
        </w:rPr>
        <w:t>Section 4.</w:t>
      </w:r>
      <w:r w:rsidRPr="00D04E2D">
        <w:t xml:space="preserve"> Reconciliation</w:t>
      </w:r>
    </w:p>
    <w:p w:rsidR="00230092" w:rsidRPr="00D04E2D" w:rsidRDefault="00230092" w:rsidP="00230092">
      <w:pPr>
        <w:rPr>
          <w:i/>
        </w:rPr>
      </w:pPr>
    </w:p>
    <w:p w:rsidR="00230092" w:rsidRPr="00D04E2D" w:rsidRDefault="00230092" w:rsidP="00230092">
      <w:pPr>
        <w:rPr>
          <w:i/>
        </w:rPr>
      </w:pPr>
      <w:r w:rsidRPr="00D04E2D">
        <w:rPr>
          <w:i/>
        </w:rPr>
        <w:t>1.</w:t>
      </w:r>
      <w:r>
        <w:rPr>
          <w:i/>
        </w:rPr>
        <w:t>2</w:t>
      </w:r>
      <w:r w:rsidRPr="00D04E2D">
        <w:rPr>
          <w:i/>
        </w:rPr>
        <w:t xml:space="preserve"> Overview of </w:t>
      </w:r>
      <w:r>
        <w:rPr>
          <w:i/>
        </w:rPr>
        <w:t>ACO accountability</w:t>
      </w:r>
    </w:p>
    <w:p w:rsidR="00230092" w:rsidRPr="00D04E2D" w:rsidRDefault="00230092" w:rsidP="00230092">
      <w:r w:rsidRPr="00D04E2D">
        <w:t xml:space="preserve">All ACOs, across all three models, will be financially accountable for their populations’ utilization of included services. </w:t>
      </w:r>
    </w:p>
    <w:p w:rsidR="00230092" w:rsidRPr="00D04E2D" w:rsidRDefault="00230092" w:rsidP="00230092">
      <w:r w:rsidRPr="00D04E2D">
        <w:t xml:space="preserve">An </w:t>
      </w:r>
      <w:r w:rsidRPr="00D04E2D">
        <w:rPr>
          <w:b/>
        </w:rPr>
        <w:t>Accountable Care Partnership Plan</w:t>
      </w:r>
      <w:r w:rsidRPr="00D04E2D">
        <w:t xml:space="preserve"> is accountable under a prospective payment and is responsible for negotiating rates and paying claims for services, and is therefore accountable for both </w:t>
      </w:r>
      <w:r w:rsidRPr="00D04E2D">
        <w:rPr>
          <w:b/>
        </w:rPr>
        <w:t>unit cost/provider rates</w:t>
      </w:r>
      <w:r w:rsidRPr="00D04E2D">
        <w:t xml:space="preserve"> </w:t>
      </w:r>
      <w:r w:rsidRPr="00D04E2D">
        <w:rPr>
          <w:b/>
          <w:u w:val="single"/>
        </w:rPr>
        <w:t>as well as</w:t>
      </w:r>
      <w:r w:rsidRPr="00D04E2D">
        <w:rPr>
          <w:b/>
        </w:rPr>
        <w:t xml:space="preserve"> for utilization.</w:t>
      </w:r>
    </w:p>
    <w:p w:rsidR="00230092" w:rsidRPr="00D04E2D" w:rsidRDefault="00230092" w:rsidP="00230092">
      <w:r w:rsidRPr="00D04E2D">
        <w:t xml:space="preserve">A </w:t>
      </w:r>
      <w:r w:rsidRPr="00D04E2D">
        <w:rPr>
          <w:b/>
        </w:rPr>
        <w:t xml:space="preserve">Primary Care ACO </w:t>
      </w:r>
      <w:r w:rsidRPr="00D04E2D">
        <w:t xml:space="preserve">is accountable to a price-normalized Total Cost of Care (TCOC) Benchmark compared to the Primary Care ACO’s price-normalized TCOC Performance. The Primary Care ACO is therefore primarily </w:t>
      </w:r>
      <w:r w:rsidRPr="00D04E2D">
        <w:rPr>
          <w:b/>
        </w:rPr>
        <w:t>accountable for</w:t>
      </w:r>
      <w:r w:rsidRPr="00D04E2D">
        <w:t xml:space="preserve"> </w:t>
      </w:r>
      <w:r w:rsidRPr="00D04E2D">
        <w:rPr>
          <w:b/>
        </w:rPr>
        <w:t>utilization</w:t>
      </w:r>
      <w:r w:rsidRPr="00D04E2D">
        <w:t xml:space="preserve">, </w:t>
      </w:r>
      <w:r w:rsidRPr="00D04E2D">
        <w:rPr>
          <w:b/>
        </w:rPr>
        <w:t>not differences in provider fee schedules.</w:t>
      </w:r>
    </w:p>
    <w:p w:rsidR="00230092" w:rsidRPr="00D04E2D" w:rsidRDefault="00230092" w:rsidP="00230092">
      <w:r w:rsidRPr="00D04E2D">
        <w:t xml:space="preserve">An </w:t>
      </w:r>
      <w:r w:rsidRPr="00D04E2D">
        <w:rPr>
          <w:b/>
        </w:rPr>
        <w:t>MCO-Administered ACO</w:t>
      </w:r>
      <w:r w:rsidRPr="00D04E2D">
        <w:t xml:space="preserve"> is also accountable to a price-normalized TCOC Benchmark. While the actual costs incurred by the MCO-Administered ACO’s Contracting MCO may vary based on the rates that MCO negotiates with individual providers, </w:t>
      </w:r>
      <w:r w:rsidRPr="00D04E2D">
        <w:rPr>
          <w:b/>
        </w:rPr>
        <w:t>these costs will be price-normalized</w:t>
      </w:r>
      <w:r w:rsidRPr="00D04E2D">
        <w:t xml:space="preserve">, so that the MCO-Administered ACO’s Benchmark and Performance are compared on a price-normalized basis. The MCO-Administered ACO is therefore primarily accountable for </w:t>
      </w:r>
      <w:r w:rsidRPr="00D04E2D">
        <w:rPr>
          <w:b/>
        </w:rPr>
        <w:t>utilization</w:t>
      </w:r>
      <w:r w:rsidRPr="00D04E2D">
        <w:t xml:space="preserve">, </w:t>
      </w:r>
      <w:r w:rsidRPr="00D04E2D">
        <w:rPr>
          <w:b/>
        </w:rPr>
        <w:t>not differences in provider fee schedules.</w:t>
      </w:r>
    </w:p>
    <w:p w:rsidR="00230092" w:rsidRPr="00D04E2D" w:rsidRDefault="00230092" w:rsidP="00230092">
      <w:r w:rsidRPr="00D04E2D">
        <w:rPr>
          <w:b/>
        </w:rPr>
        <w:t>“Price normalization”</w:t>
      </w:r>
      <w:r w:rsidRPr="00D04E2D">
        <w:t xml:space="preserve"> refers to a process </w:t>
      </w:r>
      <w:r>
        <w:t>EOHHS</w:t>
      </w:r>
      <w:r w:rsidRPr="00D04E2D">
        <w:t xml:space="preserve"> will use to ensure that costs of care are being compared “apples to apples” between a base period and a Performance Year, and across difference </w:t>
      </w:r>
      <w:r>
        <w:t>EOHHS</w:t>
      </w:r>
      <w:r w:rsidRPr="00D04E2D">
        <w:t xml:space="preserve"> plans. Through price normalization, </w:t>
      </w:r>
      <w:r>
        <w:t>EOHHS</w:t>
      </w:r>
      <w:r w:rsidRPr="00D04E2D">
        <w:t xml:space="preserve"> will use a standard payment amount for </w:t>
      </w:r>
      <w:r w:rsidRPr="00D04E2D">
        <w:rPr>
          <w:b/>
        </w:rPr>
        <w:t>a given type of event</w:t>
      </w:r>
      <w:r w:rsidRPr="00D04E2D">
        <w:t xml:space="preserve"> in a member’s care (e.g., a particular procedure performed by a particular type of provider), regardless of the “amount paid” shown on the claim or encounter, which may incorporate variation in fee schedules paid in different programs. For example:</w:t>
      </w:r>
    </w:p>
    <w:p w:rsidR="00230092" w:rsidRPr="00D04E2D" w:rsidRDefault="00230092" w:rsidP="00230092">
      <w:pPr>
        <w:pStyle w:val="IntenseQuote"/>
      </w:pPr>
      <w:r w:rsidRPr="00D04E2D">
        <w:t>Example 1: Price normalization</w:t>
      </w:r>
    </w:p>
    <w:p w:rsidR="00230092" w:rsidRPr="000A4F1E" w:rsidRDefault="00230092" w:rsidP="00230092">
      <w:pPr>
        <w:pStyle w:val="ListParagraph"/>
        <w:rPr>
          <w:b/>
        </w:rPr>
      </w:pPr>
      <w:r w:rsidRPr="00D04E2D">
        <w:t xml:space="preserve">During a base data year </w:t>
      </w:r>
      <w:r w:rsidRPr="000A4F1E">
        <w:rPr>
          <w:b/>
        </w:rPr>
        <w:t>Member A</w:t>
      </w:r>
      <w:r w:rsidRPr="00D04E2D">
        <w:t xml:space="preserve"> was enrolled in an MCO and</w:t>
      </w:r>
      <w:r w:rsidRPr="00D04E2D">
        <w:rPr>
          <w:b/>
        </w:rPr>
        <w:t xml:space="preserve"> </w:t>
      </w:r>
      <w:r w:rsidRPr="00D04E2D">
        <w:t xml:space="preserve">had a standard primary care office visit with their PCP.  Member A’s MCO </w:t>
      </w:r>
      <w:r w:rsidRPr="000A4F1E">
        <w:rPr>
          <w:b/>
        </w:rPr>
        <w:t>paid that PCP $90</w:t>
      </w:r>
      <w:r w:rsidRPr="00D04E2D">
        <w:t xml:space="preserve"> for that visit. During a Performance Year</w:t>
      </w:r>
      <w:r w:rsidRPr="00D04E2D">
        <w:rPr>
          <w:b/>
        </w:rPr>
        <w:t xml:space="preserve"> Member A</w:t>
      </w:r>
      <w:r w:rsidRPr="00D04E2D">
        <w:t xml:space="preserve"> is enrolled in Primary Care ACO 1 and has another standard primary care office visit with their PCP. Under </w:t>
      </w:r>
      <w:r>
        <w:t>EOHHS</w:t>
      </w:r>
      <w:r w:rsidRPr="00D04E2D">
        <w:t xml:space="preserve">’s fee schedule, </w:t>
      </w:r>
      <w:r>
        <w:t>EOHHS</w:t>
      </w:r>
      <w:r w:rsidRPr="00D04E2D">
        <w:t xml:space="preserve"> </w:t>
      </w:r>
      <w:r w:rsidRPr="000A4F1E">
        <w:rPr>
          <w:b/>
        </w:rPr>
        <w:t>pays the PCP $110.</w:t>
      </w:r>
    </w:p>
    <w:p w:rsidR="00230092" w:rsidRPr="00D04E2D" w:rsidRDefault="00230092" w:rsidP="00230092">
      <w:pPr>
        <w:pStyle w:val="ListParagraph"/>
        <w:numPr>
          <w:ilvl w:val="1"/>
          <w:numId w:val="30"/>
        </w:numPr>
        <w:spacing w:line="259" w:lineRule="auto"/>
      </w:pPr>
      <w:r w:rsidRPr="00D04E2D">
        <w:t xml:space="preserve">Without price normalization, </w:t>
      </w:r>
      <w:r w:rsidRPr="00D04E2D">
        <w:rPr>
          <w:b/>
        </w:rPr>
        <w:t xml:space="preserve">Primary Care ACO 1 </w:t>
      </w:r>
      <w:r w:rsidRPr="00D04E2D">
        <w:t xml:space="preserve">would look as if it had </w:t>
      </w:r>
      <w:r w:rsidRPr="00D04E2D">
        <w:rPr>
          <w:b/>
        </w:rPr>
        <w:t>$20 in losses</w:t>
      </w:r>
      <w:r w:rsidRPr="00D04E2D">
        <w:t xml:space="preserve"> (22% </w:t>
      </w:r>
      <w:r>
        <w:t xml:space="preserve">of </w:t>
      </w:r>
      <w:r w:rsidRPr="00D04E2D">
        <w:t>the cost of care for this visit) even though the actual utilization of care in the two periods is the same</w:t>
      </w:r>
    </w:p>
    <w:p w:rsidR="00230092" w:rsidRPr="000A4F1E" w:rsidRDefault="00230092" w:rsidP="00230092">
      <w:pPr>
        <w:pStyle w:val="ListParagraph"/>
        <w:numPr>
          <w:ilvl w:val="1"/>
          <w:numId w:val="30"/>
        </w:numPr>
        <w:spacing w:line="259" w:lineRule="auto"/>
        <w:rPr>
          <w:b/>
        </w:rPr>
      </w:pPr>
      <w:r w:rsidRPr="00D04E2D">
        <w:t xml:space="preserve">With price normalization, </w:t>
      </w:r>
      <w:r>
        <w:t>EOHHS</w:t>
      </w:r>
      <w:r w:rsidRPr="00D04E2D">
        <w:t xml:space="preserve"> may, for example, count all primary care office visits with Member A’s PCP as $1</w:t>
      </w:r>
      <w:r>
        <w:t>1</w:t>
      </w:r>
      <w:r w:rsidRPr="00D04E2D">
        <w:t xml:space="preserve">0, thereby allowing </w:t>
      </w:r>
      <w:r>
        <w:t>EOHHS</w:t>
      </w:r>
      <w:r w:rsidRPr="00D04E2D">
        <w:t xml:space="preserve"> to compare </w:t>
      </w:r>
      <w:r w:rsidRPr="000A4F1E">
        <w:rPr>
          <w:b/>
        </w:rPr>
        <w:t>actual utilization of services.</w:t>
      </w:r>
    </w:p>
    <w:p w:rsidR="00230092" w:rsidRPr="00D04E2D" w:rsidRDefault="00230092" w:rsidP="00230092">
      <w:r>
        <w:t>EOHHS</w:t>
      </w:r>
      <w:r w:rsidRPr="00D04E2D">
        <w:t xml:space="preserve"> will provide future </w:t>
      </w:r>
      <w:r>
        <w:t>information</w:t>
      </w:r>
      <w:r w:rsidRPr="00D04E2D">
        <w:t xml:space="preserve"> on the details of </w:t>
      </w:r>
      <w:r>
        <w:t>EOHHS</w:t>
      </w:r>
      <w:r w:rsidRPr="00D04E2D">
        <w:t>’s price normalization methodology, e.g. which services will be normalized, how these services will be defined, and how the normalization will be calculated and applied.</w:t>
      </w:r>
    </w:p>
    <w:p w:rsidR="00230092" w:rsidRPr="00D04E2D" w:rsidRDefault="00230092" w:rsidP="00230092"/>
    <w:p w:rsidR="00230092" w:rsidRPr="00D04E2D" w:rsidRDefault="00230092" w:rsidP="00230092">
      <w:pPr>
        <w:rPr>
          <w:i/>
        </w:rPr>
      </w:pPr>
      <w:r w:rsidRPr="00D04E2D">
        <w:rPr>
          <w:i/>
        </w:rPr>
        <w:t>1.</w:t>
      </w:r>
      <w:r>
        <w:rPr>
          <w:i/>
        </w:rPr>
        <w:t>3</w:t>
      </w:r>
      <w:r w:rsidRPr="00D04E2D">
        <w:rPr>
          <w:i/>
        </w:rPr>
        <w:t xml:space="preserve"> Overview of prospective and retrospective accountability</w:t>
      </w:r>
    </w:p>
    <w:p w:rsidR="00230092" w:rsidRPr="00D04E2D" w:rsidRDefault="00230092" w:rsidP="00230092">
      <w:r w:rsidRPr="00D04E2D">
        <w:t xml:space="preserve">All </w:t>
      </w:r>
      <w:r>
        <w:t>EOHHS</w:t>
      </w:r>
      <w:r w:rsidRPr="00D04E2D">
        <w:t xml:space="preserve"> ACOs </w:t>
      </w:r>
      <w:r>
        <w:t xml:space="preserve">will </w:t>
      </w:r>
      <w:r w:rsidRPr="00D04E2D">
        <w:t xml:space="preserve">have financial accountability for the cost (and quality) of care for defined populations of members.  However, the </w:t>
      </w:r>
      <w:r w:rsidRPr="000A4F1E">
        <w:rPr>
          <w:b/>
        </w:rPr>
        <w:t>mechanism for this accountability</w:t>
      </w:r>
      <w:r w:rsidRPr="00D04E2D">
        <w:t xml:space="preserve"> differs between different models.   In general, Accountable Care Partnership Plans are </w:t>
      </w:r>
      <w:r w:rsidRPr="000A4F1E">
        <w:rPr>
          <w:b/>
        </w:rPr>
        <w:t>prospectively accountable</w:t>
      </w:r>
      <w:r w:rsidRPr="00D04E2D">
        <w:t xml:space="preserve">, while Primary Care ACOs and MCO-Administered ACOs are held accountable through </w:t>
      </w:r>
      <w:r w:rsidRPr="000A4F1E">
        <w:rPr>
          <w:b/>
        </w:rPr>
        <w:t>retrospective payment arrangements</w:t>
      </w:r>
      <w:r w:rsidRPr="00D04E2D">
        <w:t xml:space="preserve"> for shared savings and shared losses.</w:t>
      </w:r>
    </w:p>
    <w:p w:rsidR="00230092" w:rsidRPr="000A4F1E" w:rsidRDefault="00230092" w:rsidP="00230092">
      <w:pPr>
        <w:rPr>
          <w:b/>
        </w:rPr>
      </w:pPr>
      <w:proofErr w:type="gramStart"/>
      <w:r w:rsidRPr="000A4F1E">
        <w:rPr>
          <w:b/>
        </w:rPr>
        <w:t>Accountable</w:t>
      </w:r>
      <w:proofErr w:type="gramEnd"/>
      <w:r w:rsidRPr="000A4F1E">
        <w:rPr>
          <w:b/>
        </w:rPr>
        <w:t xml:space="preserve"> Care Partnership Plans</w:t>
      </w:r>
    </w:p>
    <w:p w:rsidR="00230092" w:rsidRPr="00D04E2D" w:rsidRDefault="00230092" w:rsidP="00230092">
      <w:pPr>
        <w:pStyle w:val="ListParagraph"/>
        <w:numPr>
          <w:ilvl w:val="0"/>
          <w:numId w:val="8"/>
        </w:numPr>
        <w:spacing w:line="259" w:lineRule="auto"/>
      </w:pPr>
      <w:r>
        <w:t>EOHHS</w:t>
      </w:r>
      <w:r w:rsidRPr="00D04E2D">
        <w:t xml:space="preserve"> will pay an up-front payment (</w:t>
      </w:r>
      <w:r w:rsidRPr="000A4F1E">
        <w:rPr>
          <w:b/>
        </w:rPr>
        <w:t>capitation payment</w:t>
      </w:r>
      <w:r w:rsidRPr="00D04E2D">
        <w:t xml:space="preserve">) each month.  This payment includes an </w:t>
      </w:r>
      <w:r w:rsidRPr="000A4F1E">
        <w:rPr>
          <w:b/>
        </w:rPr>
        <w:t>administrative component</w:t>
      </w:r>
      <w:r w:rsidRPr="00D04E2D">
        <w:t xml:space="preserve"> and a </w:t>
      </w:r>
      <w:r w:rsidRPr="000A4F1E">
        <w:rPr>
          <w:b/>
        </w:rPr>
        <w:t>medical component</w:t>
      </w:r>
      <w:r w:rsidRPr="00D04E2D">
        <w:t xml:space="preserve">.  The medical component is based on a per-member, per-month (PMPM) rate, which is different for each rate cell (i.e., region and rating category). </w:t>
      </w:r>
    </w:p>
    <w:p w:rsidR="00230092" w:rsidRPr="00D04E2D" w:rsidRDefault="00230092" w:rsidP="00230092">
      <w:pPr>
        <w:pStyle w:val="ListParagraph"/>
        <w:numPr>
          <w:ilvl w:val="0"/>
          <w:numId w:val="8"/>
        </w:numPr>
        <w:spacing w:line="259" w:lineRule="auto"/>
      </w:pPr>
      <w:r w:rsidRPr="00D04E2D">
        <w:t xml:space="preserve">The medical component of each month’s payment is </w:t>
      </w:r>
      <w:r w:rsidRPr="000A4F1E">
        <w:rPr>
          <w:b/>
        </w:rPr>
        <w:t>risk adjusted</w:t>
      </w:r>
      <w:r w:rsidRPr="00D04E2D">
        <w:t xml:space="preserve"> based on each Partnership Plan’s members.  These risk scores are updated quarterly based on </w:t>
      </w:r>
      <w:r>
        <w:t>the most complete encounter and claims data available</w:t>
      </w:r>
      <w:r w:rsidRPr="00D04E2D">
        <w:t xml:space="preserve"> for each Partnership Plan’s enrollees.  The medical component </w:t>
      </w:r>
      <w:r w:rsidRPr="000A4F1E">
        <w:rPr>
          <w:b/>
        </w:rPr>
        <w:t>does not include</w:t>
      </w:r>
      <w:r w:rsidRPr="00D04E2D">
        <w:t xml:space="preserve"> costs for wrap services that are paid on a fee-for-service basis by </w:t>
      </w:r>
      <w:r>
        <w:t>EOHHS</w:t>
      </w:r>
      <w:r w:rsidRPr="00D04E2D">
        <w:t xml:space="preserve"> and excluded from the covered services of the Partnership Plan Contract (e.g., LTSS).</w:t>
      </w:r>
      <w:r>
        <w:t xml:space="preserve"> Section 2.4 further describes how LTSS will be incorporated in future program years.</w:t>
      </w:r>
    </w:p>
    <w:p w:rsidR="00230092" w:rsidRPr="00D04E2D" w:rsidRDefault="00230092" w:rsidP="00230092">
      <w:pPr>
        <w:pStyle w:val="ListParagraph"/>
        <w:numPr>
          <w:ilvl w:val="0"/>
          <w:numId w:val="8"/>
        </w:numPr>
        <w:spacing w:line="259" w:lineRule="auto"/>
      </w:pPr>
      <w:r w:rsidRPr="00D04E2D">
        <w:t xml:space="preserve">Because Partnership Plans are responsible for paying for enrollees’ covered services, Partnership Plans incur “prospective accountability” – they realize medical gains or losses based on the </w:t>
      </w:r>
      <w:r w:rsidRPr="000A4F1E">
        <w:rPr>
          <w:b/>
        </w:rPr>
        <w:t>costs they pay relative to the up-front capitation payments</w:t>
      </w:r>
      <w:r w:rsidRPr="00D04E2D">
        <w:t xml:space="preserve"> they receive each month. For example:</w:t>
      </w:r>
    </w:p>
    <w:p w:rsidR="00230092" w:rsidRPr="00D04E2D" w:rsidRDefault="00230092" w:rsidP="00230092">
      <w:pPr>
        <w:pStyle w:val="IntenseQuote"/>
      </w:pPr>
      <w:r w:rsidRPr="00D04E2D">
        <w:t>Example 2: Medical gain and loss under prospective capitation</w:t>
      </w:r>
    </w:p>
    <w:p w:rsidR="00230092" w:rsidRPr="00D04E2D" w:rsidRDefault="00230092" w:rsidP="00230092">
      <w:pPr>
        <w:pStyle w:val="ListParagraph"/>
      </w:pPr>
      <w:r w:rsidRPr="00D04E2D">
        <w:t xml:space="preserve">A Partnership Plan is paid a capitation rate </w:t>
      </w:r>
      <w:r>
        <w:t>with a medical component of</w:t>
      </w:r>
      <w:r w:rsidRPr="00D04E2D">
        <w:t xml:space="preserve"> </w:t>
      </w:r>
      <w:r w:rsidRPr="000A4F1E">
        <w:rPr>
          <w:b/>
        </w:rPr>
        <w:t>$200 PMPM</w:t>
      </w:r>
      <w:r w:rsidRPr="00D04E2D">
        <w:t xml:space="preserve"> for all ACO-covered services in a given rate cell:</w:t>
      </w:r>
    </w:p>
    <w:p w:rsidR="00230092" w:rsidRPr="00D04E2D" w:rsidRDefault="00230092" w:rsidP="00230092">
      <w:pPr>
        <w:pStyle w:val="ListParagraph"/>
        <w:numPr>
          <w:ilvl w:val="1"/>
          <w:numId w:val="8"/>
        </w:numPr>
        <w:spacing w:line="259" w:lineRule="auto"/>
      </w:pPr>
      <w:r w:rsidRPr="00D04E2D">
        <w:t>Member #1, enrolled for two full months, incurs no services in one month and $100 in cost in a second month. During this two month period, the ACO received a total of $400</w:t>
      </w:r>
      <w:r>
        <w:t xml:space="preserve"> for the cost of covered services</w:t>
      </w:r>
      <w:r w:rsidRPr="00D04E2D">
        <w:t>, but only pays out $100. In this case, the ACO realizes a “gain” of $300 for this member over this time period.</w:t>
      </w:r>
    </w:p>
    <w:p w:rsidR="00230092" w:rsidRPr="00D04E2D" w:rsidRDefault="00230092" w:rsidP="00230092">
      <w:pPr>
        <w:pStyle w:val="ListParagraph"/>
        <w:numPr>
          <w:ilvl w:val="1"/>
          <w:numId w:val="8"/>
        </w:numPr>
        <w:spacing w:line="259" w:lineRule="auto"/>
      </w:pPr>
      <w:r w:rsidRPr="00D04E2D">
        <w:t xml:space="preserve">Member #2, enrolled for the full first month, but only half the </w:t>
      </w:r>
      <w:r>
        <w:t xml:space="preserve">second </w:t>
      </w:r>
      <w:r w:rsidRPr="00D04E2D">
        <w:t>month, incurs a cost of $150 in one month, and $250 in a second month. In this situation, the ACO is paid a total of $300, but pays out a total of $400. In this case, the ACO realizes a “loss” of $100 for this member over this time period.</w:t>
      </w:r>
    </w:p>
    <w:p w:rsidR="00230092" w:rsidRPr="00D04E2D" w:rsidRDefault="00230092" w:rsidP="00230092">
      <w:pPr>
        <w:pStyle w:val="ListParagraph"/>
        <w:numPr>
          <w:ilvl w:val="0"/>
          <w:numId w:val="8"/>
        </w:numPr>
        <w:spacing w:line="259" w:lineRule="auto"/>
      </w:pPr>
      <w:r w:rsidRPr="00D04E2D">
        <w:t xml:space="preserve">Partnership Plans maintain a risk sharing corridor arrangement with </w:t>
      </w:r>
      <w:r>
        <w:t>EOHHS</w:t>
      </w:r>
      <w:r w:rsidRPr="00D04E2D">
        <w:t xml:space="preserve">, under which they </w:t>
      </w:r>
      <w:r w:rsidRPr="000A4F1E">
        <w:rPr>
          <w:b/>
        </w:rPr>
        <w:t>share excess gains</w:t>
      </w:r>
      <w:r w:rsidRPr="00D04E2D">
        <w:t xml:space="preserve"> with </w:t>
      </w:r>
      <w:r>
        <w:t>EOHHS</w:t>
      </w:r>
      <w:r w:rsidRPr="00D04E2D">
        <w:t xml:space="preserve"> or are eligible to receive payments from </w:t>
      </w:r>
      <w:r>
        <w:t>EOHHS</w:t>
      </w:r>
      <w:r w:rsidRPr="00D04E2D">
        <w:t xml:space="preserve"> to </w:t>
      </w:r>
      <w:r w:rsidRPr="000A4F1E">
        <w:rPr>
          <w:b/>
        </w:rPr>
        <w:t>mitigate excess losses</w:t>
      </w:r>
      <w:r w:rsidRPr="00D04E2D">
        <w:t xml:space="preserve">. Under this arrangement, the ACO will retain full risk for the first </w:t>
      </w:r>
      <w:r w:rsidRPr="00D04E2D">
        <w:rPr>
          <w:rFonts w:cstheme="minorHAnsi"/>
        </w:rPr>
        <w:t>±</w:t>
      </w:r>
      <w:r w:rsidRPr="00D04E2D">
        <w:t xml:space="preserve">3% of total </w:t>
      </w:r>
      <w:r>
        <w:t>gain or loss</w:t>
      </w:r>
      <w:r w:rsidRPr="00D04E2D">
        <w:t xml:space="preserve">. </w:t>
      </w:r>
      <w:r>
        <w:t>Gain or loss</w:t>
      </w:r>
      <w:r w:rsidRPr="00D04E2D">
        <w:t xml:space="preserve"> beyond </w:t>
      </w:r>
      <w:r w:rsidRPr="00D04E2D">
        <w:rPr>
          <w:rFonts w:cstheme="minorHAnsi"/>
        </w:rPr>
        <w:t>±</w:t>
      </w:r>
      <w:r w:rsidRPr="00D04E2D">
        <w:t xml:space="preserve">3% </w:t>
      </w:r>
      <w:r>
        <w:t>is</w:t>
      </w:r>
      <w:r w:rsidRPr="00D04E2D">
        <w:t xml:space="preserve"> shared on a 50/50 basis between the ACO and </w:t>
      </w:r>
      <w:r>
        <w:t>EOHHS</w:t>
      </w:r>
      <w:r w:rsidRPr="00D04E2D">
        <w:t>. For example: suppose a Partnership Plan is paid, on average, a capitation rate of $500 PMPM for all rate cells, of which $460 PMPM is specific to projected medical costs. The table below illustrates the risk sharing provisions that would apply under various actual claim cost scenarios:</w:t>
      </w:r>
    </w:p>
    <w:p w:rsidR="00230092" w:rsidRPr="00D04E2D" w:rsidRDefault="00230092" w:rsidP="00230092">
      <w:pPr>
        <w:pStyle w:val="IntenseQuote"/>
      </w:pPr>
      <w:r w:rsidRPr="00D04E2D">
        <w:t>Example 3:</w:t>
      </w:r>
      <w:r w:rsidRPr="00D04E2D" w:rsidDel="00FD50E5">
        <w:t xml:space="preserve"> </w:t>
      </w:r>
      <w:r w:rsidRPr="00D04E2D">
        <w:t>Risk corridor calculations for Partnership Plans</w:t>
      </w:r>
    </w:p>
    <w:tbl>
      <w:tblPr>
        <w:tblW w:w="8642" w:type="dxa"/>
        <w:tblInd w:w="558" w:type="dxa"/>
        <w:tblLook w:val="04A0" w:firstRow="1" w:lastRow="0" w:firstColumn="1" w:lastColumn="0" w:noHBand="0" w:noVBand="1"/>
      </w:tblPr>
      <w:tblGrid>
        <w:gridCol w:w="5040"/>
        <w:gridCol w:w="1260"/>
        <w:gridCol w:w="1170"/>
        <w:gridCol w:w="1172"/>
      </w:tblGrid>
      <w:tr w:rsidR="00230092" w:rsidRPr="00D04E2D" w:rsidTr="00C22495">
        <w:trPr>
          <w:trHeight w:val="360"/>
        </w:trPr>
        <w:tc>
          <w:tcPr>
            <w:tcW w:w="5040" w:type="dxa"/>
            <w:tcBorders>
              <w:top w:val="single" w:sz="8" w:space="0" w:color="auto"/>
              <w:left w:val="single" w:sz="8" w:space="0" w:color="auto"/>
              <w:bottom w:val="single" w:sz="8" w:space="0" w:color="auto"/>
              <w:right w:val="single" w:sz="8" w:space="0" w:color="FFFFFF"/>
            </w:tcBorders>
            <w:shd w:val="clear" w:color="000000" w:fill="002C77"/>
            <w:vAlign w:val="center"/>
            <w:hideMark/>
          </w:tcPr>
          <w:p w:rsidR="00230092" w:rsidRPr="000A4F1E" w:rsidRDefault="00230092" w:rsidP="00C22495">
            <w:pPr>
              <w:spacing w:after="0" w:line="240" w:lineRule="auto"/>
              <w:rPr>
                <w:rFonts w:eastAsia="Times New Roman" w:cs="Calibri"/>
                <w:b/>
                <w:bCs/>
                <w:color w:val="FFFFFF"/>
              </w:rPr>
            </w:pPr>
            <w:r w:rsidRPr="000A4F1E">
              <w:rPr>
                <w:rFonts w:eastAsia="Times New Roman" w:cs="Calibri"/>
                <w:b/>
                <w:bCs/>
                <w:color w:val="FFFFFF"/>
              </w:rPr>
              <w:t>DESCRIPTION </w:t>
            </w:r>
          </w:p>
        </w:tc>
        <w:tc>
          <w:tcPr>
            <w:tcW w:w="1260" w:type="dxa"/>
            <w:tcBorders>
              <w:top w:val="single" w:sz="8" w:space="0" w:color="auto"/>
              <w:left w:val="nil"/>
              <w:bottom w:val="single" w:sz="8" w:space="0" w:color="auto"/>
              <w:right w:val="single" w:sz="8" w:space="0" w:color="FFFFFF"/>
            </w:tcBorders>
            <w:shd w:val="clear" w:color="000000" w:fill="002C77"/>
            <w:vAlign w:val="center"/>
            <w:hideMark/>
          </w:tcPr>
          <w:p w:rsidR="00230092" w:rsidRPr="000A4F1E" w:rsidRDefault="00230092" w:rsidP="00C22495">
            <w:pPr>
              <w:spacing w:after="0" w:line="240" w:lineRule="auto"/>
              <w:jc w:val="center"/>
              <w:rPr>
                <w:rFonts w:eastAsia="Times New Roman" w:cs="Calibri"/>
                <w:b/>
                <w:bCs/>
                <w:color w:val="FFFFFF"/>
              </w:rPr>
            </w:pPr>
            <w:r w:rsidRPr="000A4F1E">
              <w:rPr>
                <w:rFonts w:eastAsia="Times New Roman" w:cs="Calibri"/>
                <w:b/>
                <w:bCs/>
                <w:color w:val="FFFFFF"/>
              </w:rPr>
              <w:t>ACO 1</w:t>
            </w:r>
          </w:p>
        </w:tc>
        <w:tc>
          <w:tcPr>
            <w:tcW w:w="1170" w:type="dxa"/>
            <w:tcBorders>
              <w:top w:val="single" w:sz="8" w:space="0" w:color="auto"/>
              <w:left w:val="nil"/>
              <w:bottom w:val="single" w:sz="8" w:space="0" w:color="auto"/>
              <w:right w:val="single" w:sz="8" w:space="0" w:color="FFFFFF"/>
            </w:tcBorders>
            <w:shd w:val="clear" w:color="000000" w:fill="002C77"/>
            <w:vAlign w:val="center"/>
            <w:hideMark/>
          </w:tcPr>
          <w:p w:rsidR="00230092" w:rsidRPr="000A4F1E" w:rsidRDefault="00230092" w:rsidP="00C22495">
            <w:pPr>
              <w:spacing w:after="0" w:line="240" w:lineRule="auto"/>
              <w:jc w:val="center"/>
              <w:rPr>
                <w:rFonts w:eastAsia="Times New Roman" w:cs="Calibri"/>
                <w:b/>
                <w:bCs/>
                <w:color w:val="FFFFFF"/>
              </w:rPr>
            </w:pPr>
            <w:r w:rsidRPr="000A4F1E">
              <w:rPr>
                <w:rFonts w:eastAsia="Times New Roman" w:cs="Calibri"/>
                <w:b/>
                <w:bCs/>
                <w:color w:val="FFFFFF"/>
              </w:rPr>
              <w:t>ACO 2</w:t>
            </w:r>
          </w:p>
        </w:tc>
        <w:tc>
          <w:tcPr>
            <w:tcW w:w="1172" w:type="dxa"/>
            <w:tcBorders>
              <w:top w:val="single" w:sz="8" w:space="0" w:color="auto"/>
              <w:left w:val="nil"/>
              <w:bottom w:val="single" w:sz="8" w:space="0" w:color="auto"/>
              <w:right w:val="single" w:sz="8" w:space="0" w:color="auto"/>
            </w:tcBorders>
            <w:shd w:val="clear" w:color="000000" w:fill="002C77"/>
            <w:vAlign w:val="center"/>
            <w:hideMark/>
          </w:tcPr>
          <w:p w:rsidR="00230092" w:rsidRPr="000A4F1E" w:rsidRDefault="00230092" w:rsidP="00C22495">
            <w:pPr>
              <w:spacing w:after="0" w:line="240" w:lineRule="auto"/>
              <w:jc w:val="center"/>
              <w:rPr>
                <w:rFonts w:eastAsia="Times New Roman" w:cs="Calibri"/>
                <w:b/>
                <w:bCs/>
                <w:color w:val="FFFFFF"/>
              </w:rPr>
            </w:pPr>
            <w:r w:rsidRPr="000A4F1E">
              <w:rPr>
                <w:rFonts w:eastAsia="Times New Roman" w:cs="Calibri"/>
                <w:b/>
                <w:bCs/>
                <w:color w:val="FFFFFF"/>
              </w:rPr>
              <w:t>ACO 3</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7"/>
              </w:numPr>
              <w:spacing w:after="0" w:line="240" w:lineRule="auto"/>
              <w:rPr>
                <w:rFonts w:eastAsia="Times New Roman" w:cs="Calibri"/>
                <w:color w:val="000000"/>
              </w:rPr>
            </w:pPr>
            <w:r w:rsidRPr="000A4F1E">
              <w:rPr>
                <w:rFonts w:eastAsia="Times New Roman" w:cs="Calibri"/>
                <w:color w:val="000000"/>
              </w:rPr>
              <w:t>Capitation Rate PMPM</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7"/>
              </w:numPr>
              <w:spacing w:after="0" w:line="240" w:lineRule="auto"/>
              <w:ind w:firstLine="200"/>
              <w:rPr>
                <w:rFonts w:eastAsia="Times New Roman" w:cs="Calibri"/>
                <w:i/>
                <w:iCs/>
                <w:color w:val="000000"/>
              </w:rPr>
            </w:pPr>
            <w:r w:rsidRPr="000A4F1E">
              <w:rPr>
                <w:rFonts w:eastAsia="Times New Roman" w:cs="Calibri"/>
                <w:i/>
                <w:iCs/>
                <w:color w:val="000000"/>
              </w:rPr>
              <w:t>Medical Component PMPM</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i/>
                <w:iCs/>
                <w:color w:val="000000"/>
              </w:rPr>
            </w:pPr>
            <w:r w:rsidRPr="000A4F1E">
              <w:rPr>
                <w:rFonts w:eastAsia="Times New Roman" w:cs="Calibri"/>
                <w:i/>
                <w:iCs/>
                <w:color w:val="000000"/>
              </w:rPr>
              <w:t xml:space="preserve">$460.00 </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i/>
                <w:iCs/>
                <w:color w:val="000000"/>
              </w:rPr>
            </w:pPr>
            <w:r w:rsidRPr="000A4F1E">
              <w:rPr>
                <w:rFonts w:eastAsia="Times New Roman" w:cs="Calibri"/>
                <w:i/>
                <w:iCs/>
                <w:color w:val="000000"/>
              </w:rPr>
              <w:t xml:space="preserve">$460.00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i/>
                <w:iCs/>
                <w:color w:val="000000"/>
              </w:rPr>
            </w:pPr>
            <w:r w:rsidRPr="000A4F1E">
              <w:rPr>
                <w:rFonts w:eastAsia="Times New Roman" w:cs="Calibri"/>
                <w:i/>
                <w:iCs/>
                <w:color w:val="000000"/>
              </w:rPr>
              <w:t xml:space="preserve">$460.00 </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7"/>
              </w:numPr>
              <w:spacing w:after="0" w:line="240" w:lineRule="auto"/>
              <w:rPr>
                <w:rFonts w:eastAsia="Times New Roman" w:cs="Calibri"/>
                <w:color w:val="000000"/>
              </w:rPr>
            </w:pPr>
            <w:r w:rsidRPr="000A4F1E">
              <w:rPr>
                <w:rFonts w:eastAsia="Times New Roman" w:cs="Calibri"/>
                <w:color w:val="000000"/>
              </w:rPr>
              <w:t>Actual Claims Cost PMPM</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$455.00 </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$400.00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7"/>
              </w:numPr>
              <w:spacing w:after="0" w:line="240" w:lineRule="auto"/>
              <w:rPr>
                <w:rFonts w:eastAsia="Times New Roman" w:cs="Calibri"/>
                <w:color w:val="000000"/>
              </w:rPr>
            </w:pPr>
            <w:r w:rsidRPr="000A4F1E">
              <w:rPr>
                <w:rFonts w:eastAsia="Times New Roman" w:cs="Calibri"/>
                <w:color w:val="000000"/>
              </w:rPr>
              <w:t xml:space="preserve">Total </w:t>
            </w:r>
            <w:r>
              <w:rPr>
                <w:rFonts w:eastAsia="Times New Roman" w:cs="Calibri"/>
                <w:color w:val="000000"/>
              </w:rPr>
              <w:t>Gain</w:t>
            </w:r>
            <w:r w:rsidRPr="000A4F1E">
              <w:rPr>
                <w:rFonts w:eastAsia="Times New Roman" w:cs="Calibri"/>
                <w:color w:val="000000"/>
              </w:rPr>
              <w:t>/(Loss) (#3 - #2)</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 </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$60.00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FF0000"/>
              </w:rPr>
              <w:t>($40.00)</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5.     </w:t>
            </w:r>
            <w:r>
              <w:rPr>
                <w:rFonts w:eastAsia="Times New Roman" w:cs="Calibri"/>
                <w:color w:val="000000"/>
              </w:rPr>
              <w:t>Gain/(Loss)</w:t>
            </w:r>
            <w:r w:rsidRPr="000A4F1E">
              <w:rPr>
                <w:rFonts w:eastAsia="Times New Roman" w:cs="Calibri"/>
                <w:color w:val="000000"/>
              </w:rPr>
              <w:t xml:space="preserve"> Percentage (#4 / #2)</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1.1%</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13.0%</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Pr>
                <w:rFonts w:eastAsia="Times New Roman" w:cs="Calibri"/>
                <w:color w:val="000000"/>
              </w:rPr>
              <w:t>-</w:t>
            </w:r>
            <w:r w:rsidRPr="000A4F1E">
              <w:rPr>
                <w:rFonts w:eastAsia="Times New Roman" w:cs="Calibri"/>
                <w:color w:val="000000"/>
              </w:rPr>
              <w:t>8.7%</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9"/>
              </w:numPr>
              <w:spacing w:after="0" w:line="240" w:lineRule="auto"/>
              <w:rPr>
                <w:rFonts w:eastAsia="Times New Roman" w:cs="Calibri"/>
                <w:color w:val="000000"/>
              </w:rPr>
            </w:pPr>
            <w:r w:rsidRPr="000A4F1E">
              <w:rPr>
                <w:rFonts w:eastAsia="Times New Roman" w:cs="Calibri"/>
                <w:color w:val="000000"/>
              </w:rPr>
              <w:t>Outside ±3% Window?</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No</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Yes</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Yes</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9"/>
              </w:numPr>
              <w:spacing w:after="0" w:line="240" w:lineRule="auto"/>
              <w:rPr>
                <w:rFonts w:eastAsia="Times New Roman" w:cs="Calibri"/>
                <w:color w:val="000000"/>
              </w:rPr>
            </w:pPr>
            <w:r>
              <w:rPr>
                <w:rFonts w:eastAsia="Times New Roman" w:cs="Calibri"/>
                <w:color w:val="000000"/>
              </w:rPr>
              <w:t xml:space="preserve">Incremental </w:t>
            </w:r>
            <w:r w:rsidRPr="000A4F1E">
              <w:rPr>
                <w:rFonts w:eastAsia="Times New Roman" w:cs="Calibri"/>
                <w:color w:val="000000"/>
              </w:rPr>
              <w:t xml:space="preserve">PMPM in </w:t>
            </w:r>
            <w:r>
              <w:rPr>
                <w:rFonts w:eastAsia="Times New Roman" w:cs="Calibri"/>
                <w:color w:val="000000"/>
              </w:rPr>
              <w:t>e</w:t>
            </w:r>
            <w:r w:rsidRPr="000A4F1E">
              <w:rPr>
                <w:rFonts w:eastAsia="Times New Roman" w:cs="Calibri"/>
                <w:color w:val="000000"/>
              </w:rPr>
              <w:t>xcess of ±3% Window</w:t>
            </w:r>
            <w:r w:rsidRPr="000A4F1E" w:rsidDel="004A4BFD">
              <w:rPr>
                <w:rFonts w:eastAsia="Times New Roman" w:cs="Calibri"/>
                <w:color w:val="000000"/>
              </w:rPr>
              <w:t xml:space="preserve"> </w:t>
            </w:r>
            <w:r w:rsidRPr="000A4F1E">
              <w:rPr>
                <w:rFonts w:eastAsia="Times New Roman" w:cs="Calibri"/>
                <w:color w:val="000000"/>
              </w:rPr>
              <w:t xml:space="preserve">(#4 – [3% x #2]) </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N/A</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$46.20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FF0000"/>
              </w:rPr>
            </w:pPr>
            <w:r w:rsidRPr="000A4F1E">
              <w:rPr>
                <w:rFonts w:eastAsia="Times New Roman" w:cs="Calibri"/>
                <w:color w:val="FF0000"/>
              </w:rPr>
              <w:t>($26.20)</w:t>
            </w:r>
          </w:p>
        </w:tc>
      </w:tr>
      <w:tr w:rsidR="00230092" w:rsidRPr="00D04E2D" w:rsidTr="00C22495">
        <w:trPr>
          <w:trHeight w:val="360"/>
        </w:trPr>
        <w:tc>
          <w:tcPr>
            <w:tcW w:w="5040" w:type="dxa"/>
            <w:tcBorders>
              <w:top w:val="nil"/>
              <w:left w:val="nil"/>
              <w:bottom w:val="nil"/>
              <w:right w:val="nil"/>
            </w:tcBorders>
            <w:shd w:val="clear" w:color="auto" w:fill="auto"/>
            <w:noWrap/>
            <w:vAlign w:val="center"/>
            <w:hideMark/>
          </w:tcPr>
          <w:p w:rsidR="00230092" w:rsidRPr="000A4F1E" w:rsidRDefault="00230092" w:rsidP="00230092">
            <w:pPr>
              <w:pStyle w:val="ListParagraph"/>
              <w:numPr>
                <w:ilvl w:val="0"/>
                <w:numId w:val="29"/>
              </w:numPr>
              <w:spacing w:after="0" w:line="240" w:lineRule="auto"/>
              <w:rPr>
                <w:rFonts w:eastAsia="Times New Roman" w:cs="Calibri"/>
                <w:color w:val="000000"/>
              </w:rPr>
            </w:pPr>
            <w:r w:rsidRPr="000A4F1E">
              <w:rPr>
                <w:rFonts w:eastAsia="Times New Roman" w:cs="Calibri"/>
                <w:color w:val="000000"/>
              </w:rPr>
              <w:t xml:space="preserve">Amount Paid to/(by) </w:t>
            </w:r>
            <w:r>
              <w:rPr>
                <w:rFonts w:eastAsia="Times New Roman" w:cs="Calibri"/>
                <w:color w:val="000000"/>
              </w:rPr>
              <w:t>EOHHS</w:t>
            </w:r>
            <w:r w:rsidRPr="000A4F1E">
              <w:rPr>
                <w:rFonts w:eastAsia="Times New Roman" w:cs="Calibri"/>
                <w:color w:val="000000"/>
              </w:rPr>
              <w:t xml:space="preserve"> (50% of #7)</w:t>
            </w:r>
          </w:p>
        </w:tc>
        <w:tc>
          <w:tcPr>
            <w:tcW w:w="126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N/A</w:t>
            </w:r>
          </w:p>
        </w:tc>
        <w:tc>
          <w:tcPr>
            <w:tcW w:w="1170"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$23.10 </w:t>
            </w:r>
          </w:p>
        </w:tc>
        <w:tc>
          <w:tcPr>
            <w:tcW w:w="1172" w:type="dxa"/>
            <w:tcBorders>
              <w:top w:val="nil"/>
              <w:left w:val="nil"/>
              <w:bottom w:val="nil"/>
              <w:right w:val="nil"/>
            </w:tcBorders>
            <w:shd w:val="clear" w:color="auto" w:fill="auto"/>
            <w:noWrap/>
            <w:vAlign w:val="center"/>
            <w:hideMark/>
          </w:tcPr>
          <w:p w:rsidR="00230092" w:rsidRPr="000A4F1E" w:rsidRDefault="00230092" w:rsidP="00C22495">
            <w:pPr>
              <w:spacing w:after="0" w:line="240" w:lineRule="auto"/>
              <w:jc w:val="right"/>
              <w:rPr>
                <w:rFonts w:eastAsia="Times New Roman" w:cs="Calibri"/>
                <w:color w:val="FF0000"/>
              </w:rPr>
            </w:pPr>
            <w:r w:rsidRPr="000A4F1E">
              <w:rPr>
                <w:rFonts w:eastAsia="Times New Roman" w:cs="Calibri"/>
                <w:color w:val="FF0000"/>
              </w:rPr>
              <w:t>($13.10)</w:t>
            </w:r>
          </w:p>
        </w:tc>
      </w:tr>
    </w:tbl>
    <w:p w:rsidR="00230092" w:rsidRPr="000A4F1E" w:rsidRDefault="00230092" w:rsidP="00230092">
      <w:pPr>
        <w:rPr>
          <w:b/>
        </w:rPr>
      </w:pPr>
      <w:r w:rsidRPr="00D04E2D">
        <w:rPr>
          <w:b/>
        </w:rPr>
        <w:br/>
      </w:r>
      <w:r w:rsidRPr="000A4F1E">
        <w:rPr>
          <w:b/>
        </w:rPr>
        <w:t>Primary Care ACOs and MCO-Administered ACOs:</w:t>
      </w:r>
    </w:p>
    <w:p w:rsidR="00230092" w:rsidRPr="00D04E2D" w:rsidRDefault="00230092" w:rsidP="00230092">
      <w:pPr>
        <w:pStyle w:val="ListParagraph"/>
        <w:numPr>
          <w:ilvl w:val="0"/>
          <w:numId w:val="8"/>
        </w:numPr>
        <w:spacing w:line="259" w:lineRule="auto"/>
      </w:pPr>
      <w:r>
        <w:t>EOHHS</w:t>
      </w:r>
      <w:r w:rsidRPr="00D04E2D">
        <w:t xml:space="preserve"> will establish </w:t>
      </w:r>
      <w:r>
        <w:t>a</w:t>
      </w:r>
      <w:r w:rsidRPr="00D04E2D">
        <w:t xml:space="preserve"> </w:t>
      </w:r>
      <w:r w:rsidRPr="000A4F1E">
        <w:rPr>
          <w:b/>
        </w:rPr>
        <w:t>preliminary TCOC benchmark</w:t>
      </w:r>
      <w:r w:rsidRPr="00D04E2D">
        <w:t xml:space="preserve"> for the Performance Year for each Primary Care ACO and MCO-Administered ACO.  This TCOC benchmark will be a PMPM amount that is different for each rate cell, and </w:t>
      </w:r>
      <w:r>
        <w:t>EOHHS</w:t>
      </w:r>
      <w:r w:rsidRPr="00D04E2D">
        <w:t xml:space="preserve"> will provide an </w:t>
      </w:r>
      <w:r w:rsidRPr="000A4F1E">
        <w:rPr>
          <w:b/>
        </w:rPr>
        <w:t>estimated composite</w:t>
      </w:r>
      <w:r w:rsidRPr="00D04E2D">
        <w:t xml:space="preserve"> TCOC benchmark based on the ACO’s anticipated number of enrollees in each rate cell.</w:t>
      </w:r>
    </w:p>
    <w:p w:rsidR="00230092" w:rsidRPr="00D04E2D" w:rsidRDefault="00230092" w:rsidP="00230092">
      <w:pPr>
        <w:pStyle w:val="ListParagraph"/>
        <w:numPr>
          <w:ilvl w:val="0"/>
          <w:numId w:val="8"/>
        </w:numPr>
        <w:spacing w:line="259" w:lineRule="auto"/>
      </w:pPr>
      <w:r w:rsidRPr="00D04E2D">
        <w:t xml:space="preserve">After the Performance Year, </w:t>
      </w:r>
      <w:r>
        <w:t>EOHHS</w:t>
      </w:r>
      <w:r w:rsidRPr="00D04E2D">
        <w:t xml:space="preserve"> will measure the ACO’s TCOC performance and reconcile </w:t>
      </w:r>
      <w:r>
        <w:t xml:space="preserve">it </w:t>
      </w:r>
      <w:r w:rsidRPr="00D04E2D">
        <w:t>against the TCOC benchmark to determine whether the ACO has achieved savings or losses</w:t>
      </w:r>
      <w:r>
        <w:t>, as described in Section 4.1</w:t>
      </w:r>
      <w:r w:rsidRPr="00D04E2D">
        <w:t xml:space="preserve">.   During this reconciliation, </w:t>
      </w:r>
      <w:r>
        <w:t>EOHHS</w:t>
      </w:r>
      <w:r w:rsidRPr="00D04E2D">
        <w:t xml:space="preserve"> will </w:t>
      </w:r>
      <w:r w:rsidRPr="000A4F1E">
        <w:rPr>
          <w:b/>
        </w:rPr>
        <w:t>update</w:t>
      </w:r>
      <w:r w:rsidRPr="00D04E2D">
        <w:t xml:space="preserve"> the ACO’s preliminary TCOC benchmark to calculate the ACO’s </w:t>
      </w:r>
      <w:r w:rsidRPr="000A4F1E">
        <w:rPr>
          <w:b/>
        </w:rPr>
        <w:t>final TCOC benchmark</w:t>
      </w:r>
      <w:r w:rsidRPr="00D04E2D">
        <w:t xml:space="preserve">, adjusting for actual program experience (e.g., </w:t>
      </w:r>
      <w:r>
        <w:t xml:space="preserve">member-level </w:t>
      </w:r>
      <w:r w:rsidRPr="00D04E2D">
        <w:t xml:space="preserve">stop-loss), the ACO’s count of delivery events (see Section </w:t>
      </w:r>
      <w:r>
        <w:t>2.3)</w:t>
      </w:r>
      <w:r w:rsidRPr="00D04E2D">
        <w:t xml:space="preserve"> and unforeseen program and/or fee schedule changes.</w:t>
      </w:r>
      <w:r w:rsidRPr="00D04E2D" w:rsidDel="00D86BEF">
        <w:t xml:space="preserve"> </w:t>
      </w:r>
    </w:p>
    <w:p w:rsidR="00230092" w:rsidRPr="00D04E2D" w:rsidRDefault="00230092" w:rsidP="00230092">
      <w:pPr>
        <w:pStyle w:val="ListParagraph"/>
        <w:numPr>
          <w:ilvl w:val="0"/>
          <w:numId w:val="8"/>
        </w:numPr>
        <w:spacing w:line="259" w:lineRule="auto"/>
      </w:pPr>
      <w:r>
        <w:t>EOHHS</w:t>
      </w:r>
      <w:r w:rsidRPr="00D04E2D">
        <w:t xml:space="preserve"> will also conduct risk adjustment based on the risk profile of the ACO’s enrollees or attributed members </w:t>
      </w:r>
      <w:r w:rsidRPr="000A4F1E">
        <w:rPr>
          <w:b/>
        </w:rPr>
        <w:t>over the course of the Performance Year</w:t>
      </w:r>
      <w:r w:rsidRPr="00D04E2D">
        <w:t xml:space="preserve">.  </w:t>
      </w:r>
      <w:r>
        <w:t>EOHHS</w:t>
      </w:r>
      <w:r w:rsidRPr="00D04E2D">
        <w:t xml:space="preserve"> will also conduct TCOC reconciliation separately for each rate cell and then combine results based on each ACO’s actual mix of enrollees or attributed members, thereby fully adjusting for the mix of enrollees the ACO had during the Performance Year.</w:t>
      </w:r>
    </w:p>
    <w:p w:rsidR="00230092" w:rsidRPr="00D04E2D" w:rsidRDefault="00230092" w:rsidP="00230092">
      <w:pPr>
        <w:pStyle w:val="ListParagraph"/>
        <w:numPr>
          <w:ilvl w:val="0"/>
          <w:numId w:val="8"/>
        </w:numPr>
        <w:spacing w:line="259" w:lineRule="auto"/>
      </w:pPr>
      <w:r w:rsidRPr="00D04E2D">
        <w:t xml:space="preserve">Primary Care ACOs and MCO-Administered ACOs will </w:t>
      </w:r>
      <w:r w:rsidRPr="000A4F1E">
        <w:rPr>
          <w:b/>
        </w:rPr>
        <w:t>share savings or losses</w:t>
      </w:r>
      <w:r w:rsidRPr="00D04E2D">
        <w:t xml:space="preserve"> based on the terms of each ACO’s </w:t>
      </w:r>
      <w:r w:rsidRPr="000A4F1E">
        <w:rPr>
          <w:b/>
        </w:rPr>
        <w:t>risk track</w:t>
      </w:r>
      <w:r w:rsidRPr="00D04E2D">
        <w:t xml:space="preserve"> arrangement</w:t>
      </w:r>
      <w:r>
        <w:t>.</w:t>
      </w:r>
    </w:p>
    <w:p w:rsidR="00230092" w:rsidRPr="00D04E2D" w:rsidRDefault="00230092" w:rsidP="00230092">
      <w:pPr>
        <w:pStyle w:val="ListParagraph"/>
        <w:numPr>
          <w:ilvl w:val="1"/>
          <w:numId w:val="8"/>
        </w:numPr>
        <w:spacing w:line="259" w:lineRule="auto"/>
      </w:pPr>
      <w:r w:rsidRPr="00D04E2D">
        <w:t xml:space="preserve">Primary Care ACOs will </w:t>
      </w:r>
      <w:r w:rsidRPr="000A4F1E">
        <w:rPr>
          <w:b/>
        </w:rPr>
        <w:t xml:space="preserve">share savings or losses with </w:t>
      </w:r>
      <w:r>
        <w:rPr>
          <w:b/>
        </w:rPr>
        <w:t>EOHHS</w:t>
      </w:r>
    </w:p>
    <w:p w:rsidR="00230092" w:rsidRPr="00D04E2D" w:rsidRDefault="00230092" w:rsidP="00230092">
      <w:pPr>
        <w:pStyle w:val="ListParagraph"/>
        <w:numPr>
          <w:ilvl w:val="1"/>
          <w:numId w:val="8"/>
        </w:numPr>
        <w:spacing w:line="259" w:lineRule="auto"/>
      </w:pPr>
      <w:r w:rsidRPr="00D04E2D">
        <w:t xml:space="preserve">MCO-Administered ACOs will </w:t>
      </w:r>
      <w:r>
        <w:rPr>
          <w:b/>
        </w:rPr>
        <w:t>share</w:t>
      </w:r>
      <w:r w:rsidRPr="000A4F1E">
        <w:rPr>
          <w:b/>
        </w:rPr>
        <w:t xml:space="preserve"> savings or losses with their contracted MCO(s)</w:t>
      </w:r>
      <w:r w:rsidRPr="00D04E2D">
        <w:t xml:space="preserve">, based on TCOC reconciliation calculations using a standard </w:t>
      </w:r>
      <w:r>
        <w:t xml:space="preserve">EOHHS </w:t>
      </w:r>
      <w:r w:rsidRPr="00D04E2D">
        <w:t>methodology</w:t>
      </w:r>
    </w:p>
    <w:p w:rsidR="00230092" w:rsidRPr="00D04E2D" w:rsidRDefault="00230092" w:rsidP="00230092">
      <w:r>
        <w:t>B</w:t>
      </w:r>
      <w:r w:rsidRPr="00D04E2D">
        <w:t xml:space="preserve">ecause the mechanism for accountability differs between Partnership Plans (which are prospectively paid) and the other ACO models (which are reconciled retrospectively), there are certain differences in the </w:t>
      </w:r>
      <w:r w:rsidRPr="000A4F1E">
        <w:rPr>
          <w:b/>
        </w:rPr>
        <w:t>types of risk</w:t>
      </w:r>
      <w:r w:rsidRPr="00D04E2D">
        <w:t xml:space="preserve"> borne by ACOs in different models. Partnership Plans will bear </w:t>
      </w:r>
      <w:r w:rsidRPr="000A4F1E">
        <w:rPr>
          <w:b/>
        </w:rPr>
        <w:t>“insurance risk,”</w:t>
      </w:r>
      <w:r w:rsidRPr="00D04E2D">
        <w:t xml:space="preserve"> like </w:t>
      </w:r>
      <w:r>
        <w:t>EOHHS</w:t>
      </w:r>
      <w:r w:rsidRPr="00D04E2D">
        <w:t xml:space="preserve"> MCOs, while Primary Care ACOs and MCO-Administered ACOs will bear </w:t>
      </w:r>
      <w:r w:rsidRPr="000A4F1E">
        <w:rPr>
          <w:b/>
        </w:rPr>
        <w:t>“performance risk.”</w:t>
      </w:r>
      <w:r w:rsidRPr="00D04E2D">
        <w:t xml:space="preserve">  For example:</w:t>
      </w:r>
    </w:p>
    <w:p w:rsidR="00230092" w:rsidRPr="00D04E2D" w:rsidRDefault="00230092" w:rsidP="00230092">
      <w:pPr>
        <w:pStyle w:val="ListParagraph"/>
        <w:numPr>
          <w:ilvl w:val="0"/>
          <w:numId w:val="8"/>
        </w:numPr>
        <w:spacing w:line="259" w:lineRule="auto"/>
      </w:pPr>
      <w:r w:rsidRPr="00D04E2D">
        <w:t xml:space="preserve">Partnership Plans are at risk for program-wide </w:t>
      </w:r>
      <w:r w:rsidRPr="000A4F1E">
        <w:rPr>
          <w:b/>
        </w:rPr>
        <w:t>higher than expected claims costs</w:t>
      </w:r>
      <w:r w:rsidRPr="00D04E2D">
        <w:t xml:space="preserve">, whereas Primary Care ACOs and MCO-Administered ACOs’ final TCOC benchmarks incorporate </w:t>
      </w:r>
      <w:r w:rsidRPr="000A4F1E">
        <w:rPr>
          <w:b/>
        </w:rPr>
        <w:t>retrospective updates</w:t>
      </w:r>
      <w:r w:rsidRPr="00D04E2D">
        <w:t xml:space="preserve"> to their preliminary TCOC benchmark, as described above, to capture unexpected variations in utilization and/or unit cost due to unforeseen events</w:t>
      </w:r>
    </w:p>
    <w:p w:rsidR="00230092" w:rsidRPr="00D04E2D" w:rsidRDefault="00230092" w:rsidP="00230092">
      <w:pPr>
        <w:pStyle w:val="ListParagraph"/>
        <w:numPr>
          <w:ilvl w:val="0"/>
          <w:numId w:val="8"/>
        </w:numPr>
        <w:spacing w:line="259" w:lineRule="auto"/>
      </w:pPr>
      <w:r w:rsidRPr="00D04E2D">
        <w:t xml:space="preserve">Certain types of </w:t>
      </w:r>
      <w:r w:rsidRPr="000A4F1E">
        <w:rPr>
          <w:b/>
        </w:rPr>
        <w:t>risk mitigation</w:t>
      </w:r>
      <w:r w:rsidRPr="00D04E2D">
        <w:t xml:space="preserve"> (e.g., a risk corridor for the pharmacy category of service) are only applied for Primary Care ACOs and MCO-Administered ACOs. See Section </w:t>
      </w:r>
      <w:r>
        <w:t>3.5</w:t>
      </w:r>
      <w:r w:rsidRPr="00D04E2D">
        <w:t xml:space="preserve"> for more detail</w:t>
      </w:r>
    </w:p>
    <w:p w:rsidR="00230092" w:rsidRDefault="00230092" w:rsidP="00230092">
      <w:r w:rsidRPr="00D04E2D">
        <w:t>Accountable Care Partnership Plans, like MCOs, will also receive</w:t>
      </w:r>
      <w:r>
        <w:t xml:space="preserve"> actuarially developed</w:t>
      </w:r>
      <w:r w:rsidRPr="00D04E2D">
        <w:t xml:space="preserve"> </w:t>
      </w:r>
      <w:r w:rsidRPr="000A4F1E">
        <w:rPr>
          <w:b/>
        </w:rPr>
        <w:t>administrative payments</w:t>
      </w:r>
      <w:r w:rsidRPr="00D04E2D">
        <w:t xml:space="preserve"> as part of the actuarially certified capitation rate. </w:t>
      </w:r>
      <w:r>
        <w:t>EOHHS</w:t>
      </w:r>
      <w:r w:rsidRPr="00D04E2D">
        <w:t xml:space="preserve"> may make </w:t>
      </w:r>
      <w:r w:rsidRPr="000A4F1E">
        <w:rPr>
          <w:b/>
        </w:rPr>
        <w:t>smaller administrative payments</w:t>
      </w:r>
      <w:r w:rsidRPr="00D04E2D">
        <w:t xml:space="preserve"> to </w:t>
      </w:r>
      <w:r w:rsidRPr="000A4F1E">
        <w:rPr>
          <w:b/>
        </w:rPr>
        <w:t>Primary Care ACOs</w:t>
      </w:r>
      <w:r w:rsidRPr="00D04E2D">
        <w:t>.</w:t>
      </w:r>
    </w:p>
    <w:p w:rsidR="00230092" w:rsidRDefault="00230092" w:rsidP="00230092"/>
    <w:p w:rsidR="00230092" w:rsidRDefault="00230092" w:rsidP="00230092">
      <w:pPr>
        <w:rPr>
          <w:i/>
        </w:rPr>
      </w:pPr>
      <w:r>
        <w:rPr>
          <w:i/>
        </w:rPr>
        <w:t>1.4 Blend of market-based and ACO-specific TCOC</w:t>
      </w:r>
    </w:p>
    <w:p w:rsidR="00230092" w:rsidRPr="00D04E2D" w:rsidRDefault="00230092" w:rsidP="00230092">
      <w:r>
        <w:t>EOHHS</w:t>
      </w:r>
      <w:r w:rsidRPr="00D04E2D">
        <w:t xml:space="preserve"> intends to move to a pricing structure over time in which all ACOs are, after accounting for the risk profile of the members they serve, </w:t>
      </w:r>
      <w:r w:rsidRPr="00D04E2D">
        <w:rPr>
          <w:b/>
        </w:rPr>
        <w:t>accountable to perform to the same, market-based TCOC standard</w:t>
      </w:r>
      <w:r w:rsidRPr="00D04E2D">
        <w:t xml:space="preserve">. However, given the variation in TCOC performance among providers that is evident in the Commonwealth today, </w:t>
      </w:r>
      <w:r>
        <w:t>EOHHS</w:t>
      </w:r>
      <w:r w:rsidRPr="00D04E2D">
        <w:t xml:space="preserve"> will take a </w:t>
      </w:r>
      <w:r w:rsidRPr="00D04E2D">
        <w:rPr>
          <w:b/>
        </w:rPr>
        <w:t>gradual, sustainable approach</w:t>
      </w:r>
      <w:r w:rsidRPr="00D04E2D">
        <w:t xml:space="preserve"> in shifting ACOs toward full market-based accountability.</w:t>
      </w:r>
    </w:p>
    <w:p w:rsidR="00230092" w:rsidRPr="00D04E2D" w:rsidRDefault="00230092" w:rsidP="00230092">
      <w:r w:rsidRPr="00D04E2D">
        <w:t xml:space="preserve">Initially, each Accountable Care Partnership Plan’s rate and each Primary Care ACO and MCO-Administered ACO’s TCOC Benchmark will be adjusted based on </w:t>
      </w:r>
      <w:r w:rsidRPr="00D04E2D">
        <w:rPr>
          <w:b/>
        </w:rPr>
        <w:t xml:space="preserve">that ACO’s historical experience.  </w:t>
      </w:r>
      <w:r w:rsidRPr="00D04E2D">
        <w:t xml:space="preserve">  </w:t>
      </w:r>
      <w:r>
        <w:t>EOHHS</w:t>
      </w:r>
      <w:r w:rsidRPr="00D04E2D">
        <w:t xml:space="preserve"> will make this adjustment by:</w:t>
      </w:r>
    </w:p>
    <w:p w:rsidR="00230092" w:rsidRPr="00D04E2D" w:rsidRDefault="00230092" w:rsidP="00230092">
      <w:pPr>
        <w:pStyle w:val="ListParagraph"/>
        <w:numPr>
          <w:ilvl w:val="0"/>
          <w:numId w:val="34"/>
        </w:numPr>
        <w:spacing w:line="259" w:lineRule="auto"/>
      </w:pPr>
      <w:r w:rsidRPr="00D04E2D">
        <w:t xml:space="preserve">Calculating a </w:t>
      </w:r>
      <w:r w:rsidRPr="00D04E2D">
        <w:rPr>
          <w:b/>
        </w:rPr>
        <w:t xml:space="preserve">“market-based” </w:t>
      </w:r>
      <w:r w:rsidRPr="00D04E2D">
        <w:t xml:space="preserve">rate for Accountable Care Partnership Plans and a </w:t>
      </w:r>
      <w:r w:rsidRPr="00D04E2D">
        <w:rPr>
          <w:b/>
        </w:rPr>
        <w:t xml:space="preserve"> “market-based” TCOC</w:t>
      </w:r>
      <w:r w:rsidRPr="00D04E2D">
        <w:t xml:space="preserve"> Benchmark for Primary Care ACOs and MCO-Administered ACOs</w:t>
      </w:r>
    </w:p>
    <w:p w:rsidR="00230092" w:rsidRPr="00D04E2D" w:rsidRDefault="00230092" w:rsidP="00230092">
      <w:pPr>
        <w:pStyle w:val="ListParagraph"/>
        <w:numPr>
          <w:ilvl w:val="0"/>
          <w:numId w:val="34"/>
        </w:numPr>
        <w:spacing w:line="259" w:lineRule="auto"/>
      </w:pPr>
      <w:r w:rsidRPr="00D04E2D">
        <w:t xml:space="preserve">Calculating a </w:t>
      </w:r>
      <w:r w:rsidRPr="00D04E2D">
        <w:rPr>
          <w:b/>
        </w:rPr>
        <w:t xml:space="preserve">“historical” </w:t>
      </w:r>
      <w:r w:rsidRPr="00D04E2D">
        <w:t xml:space="preserve">rate for Accountable Care Partnership Plans and a </w:t>
      </w:r>
      <w:r w:rsidRPr="00D04E2D">
        <w:rPr>
          <w:b/>
        </w:rPr>
        <w:t xml:space="preserve"> “historical” TCOC</w:t>
      </w:r>
      <w:r w:rsidRPr="00D04E2D">
        <w:t xml:space="preserve"> Benchmark for Primary Care ACOs and MCO-Administered ACOs, based on the TCOC for members that were </w:t>
      </w:r>
      <w:r w:rsidRPr="00D04E2D">
        <w:rPr>
          <w:b/>
        </w:rPr>
        <w:t>historically attributed to each ACO’s primary care providers</w:t>
      </w:r>
      <w:r w:rsidRPr="00D04E2D">
        <w:t xml:space="preserve"> in the base data</w:t>
      </w:r>
    </w:p>
    <w:p w:rsidR="00230092" w:rsidRPr="00E704AB" w:rsidRDefault="00230092" w:rsidP="00230092">
      <w:pPr>
        <w:pStyle w:val="ListParagraph"/>
        <w:numPr>
          <w:ilvl w:val="0"/>
          <w:numId w:val="34"/>
        </w:numPr>
        <w:spacing w:line="259" w:lineRule="auto"/>
        <w:rPr>
          <w:b/>
        </w:rPr>
      </w:pPr>
      <w:r w:rsidRPr="00D04E2D">
        <w:t xml:space="preserve">Blending these two values together in a </w:t>
      </w:r>
      <w:r w:rsidRPr="00D04E2D">
        <w:rPr>
          <w:b/>
        </w:rPr>
        <w:t>weighted average</w:t>
      </w:r>
      <w:r>
        <w:rPr>
          <w:b/>
        </w:rPr>
        <w:t xml:space="preserve"> </w:t>
      </w:r>
      <w:r>
        <w:t xml:space="preserve">to produce an </w:t>
      </w:r>
      <w:r w:rsidRPr="00E704AB">
        <w:rPr>
          <w:b/>
        </w:rPr>
        <w:t xml:space="preserve">ACO-specific adjusted </w:t>
      </w:r>
      <w:r>
        <w:rPr>
          <w:b/>
        </w:rPr>
        <w:t>rate or benchmark</w:t>
      </w:r>
    </w:p>
    <w:p w:rsidR="00230092" w:rsidRPr="00D04E2D" w:rsidRDefault="00230092" w:rsidP="00230092">
      <w:r>
        <w:t>EOHHS</w:t>
      </w:r>
      <w:r w:rsidRPr="00D04E2D">
        <w:t xml:space="preserve"> intends to </w:t>
      </w:r>
      <w:r w:rsidRPr="00D04E2D">
        <w:rPr>
          <w:b/>
        </w:rPr>
        <w:t>reduce the weighting of ACOs’ historical experience</w:t>
      </w:r>
      <w:r w:rsidRPr="00D04E2D">
        <w:t xml:space="preserve"> and </w:t>
      </w:r>
      <w:r w:rsidRPr="00D04E2D">
        <w:rPr>
          <w:b/>
        </w:rPr>
        <w:t>increase the weighting of the market-based standard</w:t>
      </w:r>
      <w:r w:rsidRPr="00D04E2D">
        <w:t xml:space="preserve"> over the course of the ACO program, </w:t>
      </w:r>
      <w:r w:rsidRPr="00D04E2D">
        <w:rPr>
          <w:b/>
        </w:rPr>
        <w:t>transitioning ACOs sustainably</w:t>
      </w:r>
      <w:r w:rsidRPr="00D04E2D">
        <w:t xml:space="preserve"> toward market-based accountability.  For example, </w:t>
      </w:r>
      <w:r>
        <w:t>EOHHS</w:t>
      </w:r>
      <w:r w:rsidRPr="00D04E2D">
        <w:t xml:space="preserve"> anticipates that in Performance Year 1 of the ACO program, each ACO’s historical experience will be weighted between 70-90%. This weighting is preliminary and subject to change. </w:t>
      </w:r>
      <w:r>
        <w:t>EOHHS</w:t>
      </w:r>
      <w:r w:rsidRPr="00D04E2D">
        <w:t xml:space="preserve"> anticipates making this transition over the course of </w:t>
      </w:r>
      <w:r w:rsidRPr="000A4F1E">
        <w:rPr>
          <w:b/>
        </w:rPr>
        <w:t>7-10 years</w:t>
      </w:r>
      <w:r w:rsidRPr="00D04E2D">
        <w:t xml:space="preserve">, although </w:t>
      </w:r>
      <w:r>
        <w:t>may</w:t>
      </w:r>
      <w:r w:rsidRPr="00D04E2D">
        <w:t xml:space="preserve"> adjust the pace of this transition</w:t>
      </w:r>
      <w:r w:rsidRPr="00674F95">
        <w:t>.</w:t>
      </w:r>
      <w:r w:rsidRPr="003A4B44">
        <w:t xml:space="preserve"> </w:t>
      </w:r>
      <w:r>
        <w:t>Exhibit</w:t>
      </w:r>
      <w:r w:rsidRPr="003A4B44">
        <w:t xml:space="preserve"> 1</w:t>
      </w:r>
      <w:r w:rsidRPr="00D04E2D">
        <w:t xml:space="preserve"> below illustrates how rates of two illustrative ACOs would blend historical performance with the market-based </w:t>
      </w:r>
      <w:r>
        <w:t>standard</w:t>
      </w:r>
      <w:r w:rsidRPr="00D04E2D">
        <w:t>.</w:t>
      </w:r>
    </w:p>
    <w:p w:rsidR="00230092" w:rsidRPr="00D04E2D" w:rsidRDefault="00230092" w:rsidP="00230092">
      <w:pPr>
        <w:pStyle w:val="IntenseQuote"/>
      </w:pPr>
      <w:r>
        <w:t>Exhibit 1</w:t>
      </w:r>
      <w:r w:rsidRPr="00D04E2D">
        <w:t>: Blending ACOs’ historical performance with a market-based standard</w:t>
      </w:r>
    </w:p>
    <w:p w:rsidR="00230092" w:rsidRPr="00D04E2D" w:rsidRDefault="00230092" w:rsidP="00230092">
      <w:pPr>
        <w:jc w:val="center"/>
      </w:pPr>
      <w:r w:rsidRPr="00D04E2D">
        <w:rPr>
          <w:noProof/>
        </w:rPr>
        <w:drawing>
          <wp:inline distT="0" distB="0" distL="0" distR="0" wp14:anchorId="0F898E20" wp14:editId="2B1E2A9B">
            <wp:extent cx="3851238" cy="2618842"/>
            <wp:effectExtent l="0" t="0" r="1651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0092" w:rsidRPr="00D04E2D" w:rsidRDefault="00230092" w:rsidP="00230092">
      <w:pPr>
        <w:pStyle w:val="ListParagraph"/>
        <w:numPr>
          <w:ilvl w:val="0"/>
          <w:numId w:val="14"/>
        </w:numPr>
        <w:spacing w:line="259" w:lineRule="auto"/>
      </w:pPr>
      <w:r w:rsidRPr="000A4F1E">
        <w:rPr>
          <w:b/>
        </w:rPr>
        <w:t xml:space="preserve">ACO 1: </w:t>
      </w:r>
      <w:r w:rsidRPr="00D04E2D">
        <w:t xml:space="preserve">This ACO has lower historical TCOC compared to the market-based </w:t>
      </w:r>
      <w:r>
        <w:t>standard</w:t>
      </w:r>
      <w:r w:rsidRPr="00D04E2D">
        <w:t xml:space="preserve"> after price- and risk/</w:t>
      </w:r>
      <w:r>
        <w:t>rate cell</w:t>
      </w:r>
      <w:r w:rsidRPr="00D04E2D">
        <w:t xml:space="preserve">-normalizing its experience. This ACO will receive capitation rates/TCOC benchmarks that are lower than the market-based </w:t>
      </w:r>
      <w:r>
        <w:t>standard</w:t>
      </w:r>
      <w:r w:rsidRPr="00D04E2D">
        <w:t xml:space="preserve"> in the initial years of the program, but the rate</w:t>
      </w:r>
      <w:r>
        <w:t xml:space="preserve">s/benchmarks </w:t>
      </w:r>
      <w:r w:rsidRPr="00D04E2D">
        <w:t xml:space="preserve">will converge to the market-based </w:t>
      </w:r>
      <w:r>
        <w:t>standard</w:t>
      </w:r>
      <w:r w:rsidRPr="00D04E2D">
        <w:t xml:space="preserve"> over time. This ACO would thus see higher increases in capitation rates/TCOC benchmarks from year to year compared to the market-based </w:t>
      </w:r>
      <w:r>
        <w:t>standard</w:t>
      </w:r>
      <w:r w:rsidRPr="00D04E2D">
        <w:t xml:space="preserve"> increases.</w:t>
      </w:r>
    </w:p>
    <w:p w:rsidR="00230092" w:rsidRDefault="00230092" w:rsidP="00230092">
      <w:pPr>
        <w:pStyle w:val="ListParagraph"/>
        <w:numPr>
          <w:ilvl w:val="0"/>
          <w:numId w:val="14"/>
        </w:numPr>
        <w:spacing w:line="259" w:lineRule="auto"/>
      </w:pPr>
      <w:r w:rsidRPr="000A4F1E">
        <w:rPr>
          <w:b/>
        </w:rPr>
        <w:t>ACO 2:</w:t>
      </w:r>
      <w:r w:rsidRPr="00D04E2D">
        <w:t xml:space="preserve"> This ACO has historical performance reflecting higher costs compared to the market-based </w:t>
      </w:r>
      <w:r>
        <w:t>standard</w:t>
      </w:r>
      <w:r w:rsidRPr="00D04E2D">
        <w:t>, even after price- and risk/</w:t>
      </w:r>
      <w:r>
        <w:t>rate cell</w:t>
      </w:r>
      <w:r w:rsidRPr="00D04E2D">
        <w:t xml:space="preserve">-normalizing its experience. This ACO will receive capitation rates/TCOC benchmarks that are higher than the market-based </w:t>
      </w:r>
      <w:r>
        <w:t>standard</w:t>
      </w:r>
      <w:r w:rsidRPr="00D04E2D">
        <w:t xml:space="preserve"> in the initial years of the program, but the rate</w:t>
      </w:r>
      <w:r>
        <w:t>s/benchmarks</w:t>
      </w:r>
      <w:r w:rsidRPr="00D04E2D">
        <w:t xml:space="preserve"> will converge to the market-based rate over time. This ACO would thus see lower increases, or even decreases, in capitation rates/TCOC benchmarks from year to year compared to the market-based </w:t>
      </w:r>
      <w:r>
        <w:t>standard</w:t>
      </w:r>
      <w:r w:rsidRPr="00D04E2D">
        <w:t xml:space="preserve"> increases.</w:t>
      </w:r>
    </w:p>
    <w:p w:rsidR="00230092" w:rsidRDefault="00230092" w:rsidP="00230092">
      <w:r>
        <w:t>The following graphic illustrates the overall workflow EOHHS will follow to set capitation rates for Partnership Plans and TCOC benchmarks for Primary Care ACOs and MCO-Administered ACOs. The remainder of this document described this workflow in additional detail.</w:t>
      </w:r>
    </w:p>
    <w:p w:rsidR="00230092" w:rsidRDefault="00230092" w:rsidP="00230092">
      <w:pPr>
        <w:pStyle w:val="IntenseQuote"/>
      </w:pPr>
      <w:r>
        <w:t>Exhibit 2: Illustrated workflow for setting ACO rates and TCOC benchmarks</w:t>
      </w:r>
    </w:p>
    <w:p w:rsidR="00230092" w:rsidRPr="00D04E2D" w:rsidRDefault="00230092" w:rsidP="00230092">
      <w:r>
        <w:rPr>
          <w:noProof/>
        </w:rPr>
        <w:drawing>
          <wp:inline distT="0" distB="0" distL="0" distR="0" wp14:anchorId="3F555300" wp14:editId="475E06E8">
            <wp:extent cx="5943600" cy="435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full.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350385"/>
                    </a:xfrm>
                    <a:prstGeom prst="rect">
                      <a:avLst/>
                    </a:prstGeom>
                  </pic:spPr>
                </pic:pic>
              </a:graphicData>
            </a:graphic>
          </wp:inline>
        </w:drawing>
      </w:r>
    </w:p>
    <w:p w:rsidR="00230092" w:rsidRPr="00D04E2D" w:rsidRDefault="00230092" w:rsidP="00230092">
      <w:pPr>
        <w:rPr>
          <w:b/>
        </w:rPr>
      </w:pPr>
      <w:r w:rsidRPr="003A4B44">
        <w:rPr>
          <w:b/>
        </w:rPr>
        <w:t>Section 2</w:t>
      </w:r>
      <w:r>
        <w:t xml:space="preserve"> of this document details base data </w:t>
      </w:r>
      <w:r w:rsidRPr="003A4B44">
        <w:rPr>
          <w:b/>
        </w:rPr>
        <w:t>(A)</w:t>
      </w:r>
      <w:r>
        <w:t xml:space="preserve">; </w:t>
      </w:r>
      <w:r w:rsidRPr="003A4B44">
        <w:rPr>
          <w:b/>
        </w:rPr>
        <w:t>Sections 3.1-3.3</w:t>
      </w:r>
      <w:r>
        <w:t xml:space="preserve"> detail setting the market-based TCOC standard </w:t>
      </w:r>
      <w:r w:rsidRPr="003A4B44">
        <w:rPr>
          <w:b/>
        </w:rPr>
        <w:t>(B)</w:t>
      </w:r>
      <w:r>
        <w:t xml:space="preserve">; </w:t>
      </w:r>
      <w:r w:rsidRPr="003A4B44">
        <w:rPr>
          <w:b/>
        </w:rPr>
        <w:t>Section 3.4</w:t>
      </w:r>
      <w:r>
        <w:t xml:space="preserve"> details setting ACO-specific adjustments </w:t>
      </w:r>
      <w:r w:rsidRPr="003A4B44">
        <w:rPr>
          <w:b/>
        </w:rPr>
        <w:t>(C)</w:t>
      </w:r>
      <w:r>
        <w:t xml:space="preserve">; </w:t>
      </w:r>
      <w:r w:rsidRPr="003A4B44">
        <w:rPr>
          <w:b/>
        </w:rPr>
        <w:t>Section 3.5</w:t>
      </w:r>
      <w:r>
        <w:t xml:space="preserve"> details setting ACO rates and benchmarks </w:t>
      </w:r>
      <w:r w:rsidRPr="003A4B44">
        <w:rPr>
          <w:b/>
        </w:rPr>
        <w:t>(D)</w:t>
      </w:r>
      <w:r>
        <w:t xml:space="preserve">; and </w:t>
      </w:r>
      <w:r w:rsidRPr="003A4B44">
        <w:rPr>
          <w:b/>
        </w:rPr>
        <w:t>Section 4</w:t>
      </w:r>
      <w:r>
        <w:t xml:space="preserve"> details reconciliation </w:t>
      </w:r>
      <w:r w:rsidRPr="003A4B44">
        <w:rPr>
          <w:b/>
        </w:rPr>
        <w:t>(E).</w:t>
      </w:r>
      <w:r w:rsidRPr="00D04E2D">
        <w:rPr>
          <w:b/>
        </w:rPr>
        <w:br w:type="page"/>
      </w:r>
    </w:p>
    <w:p w:rsidR="00230092" w:rsidRPr="00D04E2D" w:rsidRDefault="00230092" w:rsidP="00230092">
      <w:pPr>
        <w:jc w:val="center"/>
        <w:rPr>
          <w:b/>
        </w:rPr>
      </w:pPr>
      <w:proofErr w:type="gramStart"/>
      <w:r w:rsidRPr="00D04E2D">
        <w:rPr>
          <w:b/>
        </w:rPr>
        <w:t>Section 2.</w:t>
      </w:r>
      <w:proofErr w:type="gramEnd"/>
      <w:r w:rsidRPr="00D04E2D">
        <w:rPr>
          <w:b/>
        </w:rPr>
        <w:t xml:space="preserve">  TCOC measurement for all ACO models</w:t>
      </w:r>
    </w:p>
    <w:p w:rsidR="00230092" w:rsidRDefault="00230092" w:rsidP="00230092"/>
    <w:p w:rsidR="00230092" w:rsidRDefault="00230092" w:rsidP="00230092">
      <w:r>
        <w:t>This section describes the base data, its inclusions and exclusions, and how TCOC is defined for EOHHS’s ACO program.</w:t>
      </w:r>
    </w:p>
    <w:p w:rsidR="00230092" w:rsidRDefault="00230092" w:rsidP="00230092">
      <w:r>
        <w:rPr>
          <w:noProof/>
        </w:rPr>
        <w:drawing>
          <wp:inline distT="0" distB="0" distL="0" distR="0" wp14:anchorId="7D3BDF4C" wp14:editId="7CF271D3">
            <wp:extent cx="5943600" cy="434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A.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340225"/>
                    </a:xfrm>
                    <a:prstGeom prst="rect">
                      <a:avLst/>
                    </a:prstGeom>
                  </pic:spPr>
                </pic:pic>
              </a:graphicData>
            </a:graphic>
          </wp:inline>
        </w:drawing>
      </w:r>
    </w:p>
    <w:p w:rsidR="00230092" w:rsidRPr="002D679D" w:rsidRDefault="00230092" w:rsidP="00230092"/>
    <w:p w:rsidR="00230092" w:rsidRDefault="00230092" w:rsidP="00230092">
      <w:pPr>
        <w:rPr>
          <w:i/>
        </w:rPr>
      </w:pPr>
      <w:r>
        <w:rPr>
          <w:i/>
        </w:rPr>
        <w:br w:type="page"/>
      </w:r>
    </w:p>
    <w:p w:rsidR="00230092" w:rsidRPr="00D04E2D" w:rsidRDefault="00230092" w:rsidP="00230092">
      <w:pPr>
        <w:rPr>
          <w:i/>
        </w:rPr>
      </w:pPr>
      <w:r w:rsidRPr="00D04E2D">
        <w:rPr>
          <w:i/>
        </w:rPr>
        <w:t>2.1 Included vs. excluded members</w:t>
      </w:r>
    </w:p>
    <w:p w:rsidR="00230092" w:rsidRPr="00D04E2D" w:rsidRDefault="00230092" w:rsidP="00230092">
      <w:r>
        <w:t>EOHHS</w:t>
      </w:r>
      <w:r w:rsidRPr="00D04E2D">
        <w:t xml:space="preserve"> will set ACO capitation rates</w:t>
      </w:r>
      <w:r>
        <w:t xml:space="preserve"> and </w:t>
      </w:r>
      <w:r w:rsidRPr="00D04E2D">
        <w:t xml:space="preserve">TCOC benchmarks based on costs for </w:t>
      </w:r>
      <w:r w:rsidRPr="000A4F1E">
        <w:rPr>
          <w:b/>
        </w:rPr>
        <w:t xml:space="preserve">members eligible to enroll in </w:t>
      </w:r>
      <w:r>
        <w:rPr>
          <w:b/>
        </w:rPr>
        <w:t>EOHHS</w:t>
      </w:r>
      <w:r w:rsidRPr="000A4F1E">
        <w:rPr>
          <w:b/>
        </w:rPr>
        <w:t xml:space="preserve"> ACOs</w:t>
      </w:r>
      <w:r>
        <w:rPr>
          <w:b/>
        </w:rPr>
        <w:t>,</w:t>
      </w:r>
      <w:r w:rsidRPr="000A4F1E">
        <w:rPr>
          <w:b/>
        </w:rPr>
        <w:t xml:space="preserve"> MCOs</w:t>
      </w:r>
      <w:r>
        <w:rPr>
          <w:b/>
        </w:rPr>
        <w:t>, or the PCC Plan</w:t>
      </w:r>
      <w:r w:rsidRPr="00D04E2D">
        <w:t xml:space="preserve">, which consists of those categories of individuals eligible to enroll in the current </w:t>
      </w:r>
      <w:r>
        <w:rPr>
          <w:b/>
        </w:rPr>
        <w:t>MCO</w:t>
      </w:r>
      <w:r w:rsidRPr="000A4F1E">
        <w:rPr>
          <w:b/>
        </w:rPr>
        <w:t xml:space="preserve"> Program and the PCC Plan</w:t>
      </w:r>
      <w:r>
        <w:rPr>
          <w:b/>
        </w:rPr>
        <w:t xml:space="preserve">. </w:t>
      </w:r>
      <w:r>
        <w:t>C</w:t>
      </w:r>
      <w:r w:rsidRPr="00D04E2D">
        <w:t>overage type eligibility criteria are described in more detail in 130 CMR 505</w:t>
      </w:r>
      <w:r>
        <w:t>.000</w:t>
      </w:r>
      <w:r w:rsidRPr="00D04E2D">
        <w:rPr>
          <w:rStyle w:val="FootnoteReference"/>
        </w:rPr>
        <w:footnoteReference w:id="1"/>
      </w:r>
      <w:r>
        <w:t>.</w:t>
      </w:r>
      <w:r w:rsidRPr="00D04E2D">
        <w:t xml:space="preserve"> </w:t>
      </w:r>
    </w:p>
    <w:p w:rsidR="00230092" w:rsidRPr="00D04E2D" w:rsidRDefault="00230092" w:rsidP="00230092">
      <w:r w:rsidRPr="00D04E2D">
        <w:t xml:space="preserve">Members who are </w:t>
      </w:r>
      <w:r w:rsidRPr="000A4F1E">
        <w:rPr>
          <w:b/>
        </w:rPr>
        <w:t>not eligible to enroll</w:t>
      </w:r>
      <w:r w:rsidRPr="00D04E2D">
        <w:t xml:space="preserve"> in </w:t>
      </w:r>
      <w:r>
        <w:t>EOHHS</w:t>
      </w:r>
      <w:r w:rsidRPr="00D04E2D">
        <w:t xml:space="preserve"> MCOs </w:t>
      </w:r>
      <w:r>
        <w:t xml:space="preserve">or the PCC Plan </w:t>
      </w:r>
      <w:r w:rsidRPr="00D04E2D">
        <w:t>include</w:t>
      </w:r>
      <w:r>
        <w:t>, for example</w:t>
      </w:r>
      <w:r w:rsidRPr="00D04E2D">
        <w:t>:</w:t>
      </w:r>
    </w:p>
    <w:p w:rsidR="00230092" w:rsidRPr="000A4F1E" w:rsidRDefault="00230092" w:rsidP="00230092">
      <w:pPr>
        <w:pStyle w:val="ListParagraph"/>
        <w:numPr>
          <w:ilvl w:val="0"/>
          <w:numId w:val="11"/>
        </w:numPr>
        <w:spacing w:line="259" w:lineRule="auto"/>
        <w:rPr>
          <w:b/>
        </w:rPr>
      </w:pPr>
      <w:r w:rsidRPr="00D04E2D">
        <w:t>M</w:t>
      </w:r>
      <w:r>
        <w:t>ost m</w:t>
      </w:r>
      <w:r w:rsidRPr="00D04E2D">
        <w:t xml:space="preserve">embers with </w:t>
      </w:r>
      <w:r w:rsidRPr="000A4F1E">
        <w:rPr>
          <w:b/>
        </w:rPr>
        <w:t>dual Medicare/Medicaid eligibility</w:t>
      </w:r>
    </w:p>
    <w:p w:rsidR="00230092" w:rsidRPr="00D04E2D" w:rsidRDefault="00230092" w:rsidP="00230092">
      <w:pPr>
        <w:pStyle w:val="ListParagraph"/>
        <w:numPr>
          <w:ilvl w:val="0"/>
          <w:numId w:val="11"/>
        </w:numPr>
        <w:spacing w:line="259" w:lineRule="auto"/>
      </w:pPr>
      <w:r w:rsidRPr="00D04E2D">
        <w:t>M</w:t>
      </w:r>
      <w:r>
        <w:t>ost m</w:t>
      </w:r>
      <w:r w:rsidRPr="00D04E2D">
        <w:t xml:space="preserve">embers with other </w:t>
      </w:r>
      <w:r w:rsidRPr="000A4F1E">
        <w:rPr>
          <w:b/>
        </w:rPr>
        <w:t>third-party liability</w:t>
      </w:r>
      <w:r w:rsidRPr="00D04E2D">
        <w:t xml:space="preserve">, such as partial commercial coverage, or who receive premium assistance rather than primary coverage from </w:t>
      </w:r>
      <w:r>
        <w:t>EOHHS</w:t>
      </w:r>
    </w:p>
    <w:p w:rsidR="00230092" w:rsidRPr="00D04E2D" w:rsidRDefault="00230092" w:rsidP="00230092">
      <w:pPr>
        <w:pStyle w:val="ListParagraph"/>
        <w:numPr>
          <w:ilvl w:val="0"/>
          <w:numId w:val="11"/>
        </w:numPr>
        <w:spacing w:line="259" w:lineRule="auto"/>
      </w:pPr>
      <w:r w:rsidRPr="00D04E2D">
        <w:t xml:space="preserve">Certain members in </w:t>
      </w:r>
      <w:r w:rsidRPr="000A4F1E">
        <w:rPr>
          <w:b/>
        </w:rPr>
        <w:t>institutional settings of care</w:t>
      </w:r>
    </w:p>
    <w:p w:rsidR="00230092" w:rsidRPr="00D04E2D" w:rsidRDefault="00230092" w:rsidP="00230092">
      <w:pPr>
        <w:pStyle w:val="ListParagraph"/>
        <w:numPr>
          <w:ilvl w:val="0"/>
          <w:numId w:val="11"/>
        </w:numPr>
        <w:spacing w:line="259" w:lineRule="auto"/>
      </w:pPr>
      <w:r w:rsidRPr="00D04E2D">
        <w:t xml:space="preserve">Members </w:t>
      </w:r>
      <w:r w:rsidRPr="000A4F1E">
        <w:rPr>
          <w:b/>
        </w:rPr>
        <w:t>not otherwise eligible</w:t>
      </w:r>
      <w:r w:rsidRPr="00D04E2D">
        <w:t xml:space="preserve"> for the current PCC Plan or MCO program.</w:t>
      </w:r>
    </w:p>
    <w:p w:rsidR="00230092" w:rsidRPr="003A4B44" w:rsidRDefault="00230092" w:rsidP="00230092">
      <w:r>
        <w:t>Additional information regarding managed care eligibility can be found at 130 CMR 508.000.</w:t>
      </w:r>
      <w:r>
        <w:rPr>
          <w:rStyle w:val="FootnoteReference"/>
        </w:rPr>
        <w:footnoteReference w:id="2"/>
      </w:r>
    </w:p>
    <w:p w:rsidR="00230092" w:rsidRPr="00D04E2D" w:rsidRDefault="00230092" w:rsidP="00230092">
      <w:pPr>
        <w:rPr>
          <w:i/>
        </w:rPr>
      </w:pPr>
      <w:r w:rsidRPr="00D04E2D">
        <w:rPr>
          <w:i/>
        </w:rPr>
        <w:t>2.2 Rate Cells</w:t>
      </w:r>
    </w:p>
    <w:p w:rsidR="00230092" w:rsidRPr="00D04E2D" w:rsidRDefault="00230092" w:rsidP="00230092">
      <w:r>
        <w:t>EOHHS</w:t>
      </w:r>
      <w:r w:rsidRPr="00D04E2D">
        <w:t xml:space="preserve"> will set capitation rates</w:t>
      </w:r>
      <w:r>
        <w:t xml:space="preserve"> and </w:t>
      </w:r>
      <w:r w:rsidRPr="00D04E2D">
        <w:t xml:space="preserve">TCOC benchmarks </w:t>
      </w:r>
      <w:r w:rsidRPr="000A4F1E">
        <w:rPr>
          <w:b/>
        </w:rPr>
        <w:t>individually for each rate cell</w:t>
      </w:r>
      <w:r w:rsidRPr="00D04E2D">
        <w:t xml:space="preserve">.  Rate cells are based on </w:t>
      </w:r>
      <w:r>
        <w:t>EOHHS</w:t>
      </w:r>
      <w:r w:rsidRPr="00D04E2D">
        <w:t xml:space="preserve">’s </w:t>
      </w:r>
      <w:r w:rsidRPr="000A4F1E">
        <w:rPr>
          <w:b/>
        </w:rPr>
        <w:t>managed care regions</w:t>
      </w:r>
      <w:r w:rsidRPr="00D04E2D">
        <w:t xml:space="preserve"> and </w:t>
      </w:r>
      <w:r>
        <w:t>EOHHS</w:t>
      </w:r>
      <w:r w:rsidRPr="00D04E2D">
        <w:t xml:space="preserve">’s </w:t>
      </w:r>
      <w:r w:rsidRPr="000A4F1E">
        <w:rPr>
          <w:b/>
        </w:rPr>
        <w:t xml:space="preserve">rating </w:t>
      </w:r>
      <w:r>
        <w:rPr>
          <w:b/>
        </w:rPr>
        <w:t>categories</w:t>
      </w:r>
      <w:r w:rsidRPr="00D04E2D">
        <w:t xml:space="preserve">.  There are five regions </w:t>
      </w:r>
      <w:r>
        <w:t xml:space="preserve">and </w:t>
      </w:r>
      <w:r w:rsidRPr="00D04E2D">
        <w:t xml:space="preserve">six rating </w:t>
      </w:r>
      <w:r>
        <w:t xml:space="preserve">categories </w:t>
      </w:r>
      <w:r w:rsidRPr="00D04E2D">
        <w:t>(and therefore thirty rate cells) for ACO rate-</w:t>
      </w:r>
      <w:r>
        <w:t xml:space="preserve"> and </w:t>
      </w:r>
      <w:r w:rsidRPr="00D04E2D">
        <w:t>benchmark-setting:</w:t>
      </w:r>
    </w:p>
    <w:p w:rsidR="00230092" w:rsidRPr="00D04E2D" w:rsidRDefault="00230092" w:rsidP="00230092">
      <w:r>
        <w:rPr>
          <w:b/>
        </w:rPr>
        <w:t>EOHHS</w:t>
      </w:r>
      <w:r w:rsidRPr="000A4F1E">
        <w:rPr>
          <w:b/>
        </w:rPr>
        <w:t xml:space="preserve">’s </w:t>
      </w:r>
      <w:r>
        <w:rPr>
          <w:b/>
        </w:rPr>
        <w:t>five</w:t>
      </w:r>
      <w:r w:rsidRPr="000A4F1E">
        <w:rPr>
          <w:b/>
        </w:rPr>
        <w:t xml:space="preserve"> managed care regions: </w:t>
      </w:r>
      <w:r>
        <w:t>EOHHS</w:t>
      </w:r>
      <w:r w:rsidRPr="00D04E2D">
        <w:t xml:space="preserve"> enrollees are assigned to one of five geographic regions based on member eligibility profiles: Greater Boston, Central, Northern, Southern, and Western.  Distinct capitation rates</w:t>
      </w:r>
      <w:r>
        <w:t xml:space="preserve"> and </w:t>
      </w:r>
      <w:r w:rsidRPr="00D04E2D">
        <w:t xml:space="preserve">TCOC benchmarks </w:t>
      </w:r>
      <w:r>
        <w:t>will be</w:t>
      </w:r>
      <w:r w:rsidRPr="00D04E2D">
        <w:t xml:space="preserve"> developed for each of the regions. </w:t>
      </w:r>
    </w:p>
    <w:p w:rsidR="00230092" w:rsidRPr="00D04E2D" w:rsidRDefault="00230092" w:rsidP="00230092">
      <w:r>
        <w:rPr>
          <w:b/>
        </w:rPr>
        <w:t>EOHHS</w:t>
      </w:r>
      <w:r w:rsidRPr="000A4F1E">
        <w:rPr>
          <w:b/>
        </w:rPr>
        <w:t xml:space="preserve">’s </w:t>
      </w:r>
      <w:r>
        <w:rPr>
          <w:b/>
        </w:rPr>
        <w:t>six</w:t>
      </w:r>
      <w:r w:rsidRPr="00D04E2D">
        <w:rPr>
          <w:b/>
        </w:rPr>
        <w:t xml:space="preserve"> </w:t>
      </w:r>
      <w:r w:rsidRPr="000A4F1E">
        <w:rPr>
          <w:b/>
        </w:rPr>
        <w:t xml:space="preserve">rating </w:t>
      </w:r>
      <w:r>
        <w:rPr>
          <w:b/>
        </w:rPr>
        <w:t>categories</w:t>
      </w:r>
      <w:r w:rsidRPr="000A4F1E">
        <w:rPr>
          <w:b/>
        </w:rPr>
        <w:t>:</w:t>
      </w:r>
      <w:r w:rsidRPr="00D04E2D">
        <w:t xml:space="preserve"> </w:t>
      </w:r>
      <w:r>
        <w:t>EOHHS</w:t>
      </w:r>
      <w:r w:rsidRPr="00D04E2D">
        <w:t xml:space="preserve"> uses a rating </w:t>
      </w:r>
      <w:r>
        <w:t>category</w:t>
      </w:r>
      <w:r w:rsidRPr="00D04E2D">
        <w:t xml:space="preserve"> approach to ensure that differences between populations of members are adequately accounted for in actuarial calculations. The managed care eligible populations are divided into </w:t>
      </w:r>
      <w:r w:rsidRPr="000A4F1E">
        <w:rPr>
          <w:b/>
        </w:rPr>
        <w:t xml:space="preserve">six rating </w:t>
      </w:r>
      <w:r>
        <w:rPr>
          <w:b/>
        </w:rPr>
        <w:t>categories</w:t>
      </w:r>
      <w:r w:rsidRPr="00D04E2D">
        <w:t xml:space="preserve">, described below, that account for each enrollee’s age and coverage type.  Capitation rate development, TCOC benchmark development, analysis, and reconciliation will combine enrollees of the same rating </w:t>
      </w:r>
      <w:r>
        <w:t>category</w:t>
      </w:r>
      <w:r w:rsidRPr="00D04E2D">
        <w:t xml:space="preserve">.    </w:t>
      </w:r>
    </w:p>
    <w:p w:rsidR="00230092" w:rsidRPr="00D04E2D" w:rsidRDefault="00230092" w:rsidP="00230092">
      <w:pPr>
        <w:pStyle w:val="ListParagraph"/>
        <w:numPr>
          <w:ilvl w:val="0"/>
          <w:numId w:val="12"/>
        </w:numPr>
        <w:spacing w:line="259" w:lineRule="auto"/>
      </w:pPr>
      <w:r w:rsidRPr="00D04E2D">
        <w:rPr>
          <w:i/>
        </w:rPr>
        <w:t>RC I Child:</w:t>
      </w:r>
      <w:r w:rsidRPr="00D04E2D">
        <w:t xml:space="preserve"> enrollees who are non-disabled</w:t>
      </w:r>
      <w:r>
        <w:t xml:space="preserve"> and</w:t>
      </w:r>
      <w:r w:rsidRPr="00D04E2D">
        <w:t xml:space="preserve"> under the age of 21</w:t>
      </w:r>
    </w:p>
    <w:p w:rsidR="00230092" w:rsidRPr="00D04E2D" w:rsidRDefault="00230092" w:rsidP="00230092">
      <w:pPr>
        <w:pStyle w:val="ListParagraph"/>
        <w:numPr>
          <w:ilvl w:val="0"/>
          <w:numId w:val="12"/>
        </w:numPr>
        <w:spacing w:line="259" w:lineRule="auto"/>
      </w:pPr>
      <w:r w:rsidRPr="00D04E2D">
        <w:rPr>
          <w:i/>
        </w:rPr>
        <w:t>RC I Adult:</w:t>
      </w:r>
      <w:r w:rsidRPr="00D04E2D">
        <w:t xml:space="preserve"> enrollees who are non-disabled</w:t>
      </w:r>
      <w:r>
        <w:t xml:space="preserve"> and </w:t>
      </w:r>
      <w:r w:rsidRPr="00D04E2D">
        <w:t>age 21 to 64</w:t>
      </w:r>
    </w:p>
    <w:p w:rsidR="00230092" w:rsidRPr="00D04E2D" w:rsidRDefault="00230092" w:rsidP="00230092">
      <w:pPr>
        <w:pStyle w:val="ListParagraph"/>
        <w:numPr>
          <w:ilvl w:val="0"/>
          <w:numId w:val="12"/>
        </w:numPr>
        <w:spacing w:line="259" w:lineRule="auto"/>
      </w:pPr>
      <w:r w:rsidRPr="00D04E2D">
        <w:rPr>
          <w:i/>
        </w:rPr>
        <w:t>RC II Child:</w:t>
      </w:r>
      <w:r w:rsidRPr="00D04E2D">
        <w:t xml:space="preserve"> enrollees who are disabled</w:t>
      </w:r>
      <w:r>
        <w:t xml:space="preserve"> and </w:t>
      </w:r>
      <w:r w:rsidRPr="00D04E2D">
        <w:t>under the age of 21</w:t>
      </w:r>
    </w:p>
    <w:p w:rsidR="00230092" w:rsidRPr="00D04E2D" w:rsidRDefault="00230092" w:rsidP="00230092">
      <w:pPr>
        <w:pStyle w:val="ListParagraph"/>
        <w:numPr>
          <w:ilvl w:val="0"/>
          <w:numId w:val="12"/>
        </w:numPr>
        <w:spacing w:line="259" w:lineRule="auto"/>
      </w:pPr>
      <w:r w:rsidRPr="00D04E2D">
        <w:rPr>
          <w:i/>
        </w:rPr>
        <w:t>RC II Adult:</w:t>
      </w:r>
      <w:r w:rsidRPr="00D04E2D">
        <w:t xml:space="preserve"> enrollees who are disabled</w:t>
      </w:r>
      <w:r>
        <w:t xml:space="preserve"> and </w:t>
      </w:r>
      <w:r w:rsidRPr="00D04E2D">
        <w:t>age 21 to 64</w:t>
      </w:r>
    </w:p>
    <w:p w:rsidR="00230092" w:rsidRPr="00D04E2D" w:rsidRDefault="00230092" w:rsidP="00230092">
      <w:pPr>
        <w:pStyle w:val="ListParagraph"/>
        <w:numPr>
          <w:ilvl w:val="0"/>
          <w:numId w:val="12"/>
        </w:numPr>
        <w:spacing w:line="259" w:lineRule="auto"/>
      </w:pPr>
      <w:r w:rsidRPr="00D04E2D">
        <w:rPr>
          <w:i/>
        </w:rPr>
        <w:t>RC IX:</w:t>
      </w:r>
      <w:r w:rsidRPr="00D04E2D">
        <w:t xml:space="preserve"> Adult-only enrollees who are age 21 to 64, and in the </w:t>
      </w:r>
      <w:r>
        <w:t>EOHHS</w:t>
      </w:r>
      <w:r w:rsidRPr="00D04E2D">
        <w:t xml:space="preserve"> </w:t>
      </w:r>
      <w:proofErr w:type="spellStart"/>
      <w:r w:rsidRPr="00D04E2D">
        <w:t>CarePlus</w:t>
      </w:r>
      <w:proofErr w:type="spellEnd"/>
      <w:r w:rsidRPr="00D04E2D">
        <w:t xml:space="preserve"> coverage type, as well as not receiving Emergency Aid to the Elderly, Disabled, and Children through the </w:t>
      </w:r>
      <w:r>
        <w:t>EOHHS</w:t>
      </w:r>
      <w:r w:rsidRPr="00D04E2D">
        <w:t xml:space="preserve"> Department of Transitional Assistance.</w:t>
      </w:r>
    </w:p>
    <w:p w:rsidR="00230092" w:rsidRPr="00D04E2D" w:rsidRDefault="00230092" w:rsidP="00230092">
      <w:pPr>
        <w:pStyle w:val="ListParagraph"/>
        <w:numPr>
          <w:ilvl w:val="0"/>
          <w:numId w:val="12"/>
        </w:numPr>
        <w:spacing w:line="259" w:lineRule="auto"/>
      </w:pPr>
      <w:r w:rsidRPr="00D04E2D">
        <w:rPr>
          <w:i/>
        </w:rPr>
        <w:t>RC X:</w:t>
      </w:r>
      <w:r w:rsidRPr="00D04E2D">
        <w:t xml:space="preserve"> Adult-only enrollees who are age 21 to 64, and in the </w:t>
      </w:r>
      <w:r>
        <w:t>EOHHS</w:t>
      </w:r>
      <w:r w:rsidRPr="00D04E2D">
        <w:t xml:space="preserve"> </w:t>
      </w:r>
      <w:proofErr w:type="spellStart"/>
      <w:r w:rsidRPr="00D04E2D">
        <w:t>CarePlus</w:t>
      </w:r>
      <w:proofErr w:type="spellEnd"/>
      <w:r w:rsidRPr="00D04E2D">
        <w:t xml:space="preserve"> coverage type, and are receiving Emergency Aid to the Elderly, Disabled, and Children through the </w:t>
      </w:r>
      <w:r>
        <w:t>EOHHS</w:t>
      </w:r>
      <w:r w:rsidRPr="00D04E2D">
        <w:t xml:space="preserve"> Department of Transitional Assistance.</w:t>
      </w:r>
    </w:p>
    <w:p w:rsidR="00230092" w:rsidRPr="00D04E2D" w:rsidRDefault="00230092" w:rsidP="00230092">
      <w:r w:rsidRPr="00D04E2D">
        <w:t xml:space="preserve">Actuarial analyses have shown that claim costs are </w:t>
      </w:r>
      <w:r w:rsidRPr="000A4F1E">
        <w:rPr>
          <w:b/>
        </w:rPr>
        <w:t>materially different</w:t>
      </w:r>
      <w:r w:rsidRPr="00D04E2D">
        <w:t xml:space="preserve"> between the various rating </w:t>
      </w:r>
      <w:r>
        <w:t>categories</w:t>
      </w:r>
      <w:r w:rsidRPr="00D04E2D">
        <w:t xml:space="preserve"> described in this section.</w:t>
      </w:r>
      <w:r>
        <w:t xml:space="preserve"> </w:t>
      </w:r>
      <w:r w:rsidRPr="00D04E2D">
        <w:t>Setting capitation rates and TCOC benchmarks at the rat</w:t>
      </w:r>
      <w:r>
        <w:t xml:space="preserve">e cell </w:t>
      </w:r>
      <w:r w:rsidRPr="00D04E2D">
        <w:t xml:space="preserve">level (in conjunction with risk adjustment) appropriately </w:t>
      </w:r>
      <w:r>
        <w:t>accounts</w:t>
      </w:r>
      <w:r w:rsidRPr="00D04E2D">
        <w:t xml:space="preserve"> for the acuity level of the population </w:t>
      </w:r>
      <w:r>
        <w:t>enrolled in or attributed to the ACO</w:t>
      </w:r>
      <w:r w:rsidRPr="00D04E2D">
        <w:t>, and automatically adjusts total program costs to reflect the actual demographic mix of the program. Costs for the entire Medicaid populations could be materially different than assumed to the extent that market-wide demographic shifts occur. For example:</w:t>
      </w:r>
    </w:p>
    <w:p w:rsidR="00230092" w:rsidRPr="00D04E2D" w:rsidRDefault="00230092" w:rsidP="00230092">
      <w:pPr>
        <w:pStyle w:val="IntenseQuote"/>
      </w:pPr>
      <w:r w:rsidRPr="00D04E2D">
        <w:t xml:space="preserve">Example </w:t>
      </w:r>
      <w:r>
        <w:t>3</w:t>
      </w:r>
      <w:r w:rsidRPr="00D04E2D">
        <w:t xml:space="preserve">: Effect of changes in </w:t>
      </w:r>
      <w:r>
        <w:t>rate cell</w:t>
      </w:r>
      <w:r w:rsidRPr="00D04E2D">
        <w:t xml:space="preserve"> mix</w:t>
      </w:r>
    </w:p>
    <w:p w:rsidR="00230092" w:rsidRPr="000A4F1E" w:rsidRDefault="00230092" w:rsidP="00230092">
      <w:pPr>
        <w:ind w:left="720"/>
      </w:pPr>
      <w:r w:rsidRPr="00D04E2D">
        <w:t xml:space="preserve">Suppose average costs for RC I and RC II members are </w:t>
      </w:r>
      <w:r w:rsidRPr="000A4F1E">
        <w:rPr>
          <w:b/>
        </w:rPr>
        <w:t>$300</w:t>
      </w:r>
      <w:r w:rsidRPr="00D04E2D">
        <w:t xml:space="preserve"> and </w:t>
      </w:r>
      <w:r w:rsidRPr="000A4F1E">
        <w:rPr>
          <w:b/>
        </w:rPr>
        <w:t>$700</w:t>
      </w:r>
      <w:r w:rsidRPr="00D04E2D">
        <w:t xml:space="preserve"> PMPM, respectively. If capitation rates were developed based on base data with an even distribution of RC </w:t>
      </w:r>
      <w:proofErr w:type="gramStart"/>
      <w:r w:rsidRPr="00D04E2D">
        <w:t>I</w:t>
      </w:r>
      <w:proofErr w:type="gramEnd"/>
      <w:r w:rsidRPr="00D04E2D">
        <w:t xml:space="preserve"> and RC II members, the overall PMPM would be </w:t>
      </w:r>
      <w:r w:rsidRPr="000A4F1E">
        <w:rPr>
          <w:b/>
        </w:rPr>
        <w:t>$500</w:t>
      </w:r>
      <w:r w:rsidRPr="00D04E2D">
        <w:t xml:space="preserve">. However, if the actual RC I and RC II distribution is 40% and 60%, respectively, the expected average costs would be </w:t>
      </w:r>
      <w:r w:rsidRPr="000A4F1E">
        <w:rPr>
          <w:b/>
        </w:rPr>
        <w:t>$540</w:t>
      </w:r>
      <w:r w:rsidRPr="00D04E2D">
        <w:t xml:space="preserve">, or 8% greater than the calculated rate. Calculating separate rates for each individual rating </w:t>
      </w:r>
      <w:r>
        <w:t>category</w:t>
      </w:r>
      <w:r w:rsidRPr="00D04E2D">
        <w:t xml:space="preserve"> allows for the rate to reflect this change in the mix; calculating a single rate for the population would not allow for this type of adjustment and would mean that ACOs are at risk for these changes.</w:t>
      </w:r>
    </w:p>
    <w:p w:rsidR="00230092" w:rsidRPr="000A4F1E" w:rsidRDefault="00230092" w:rsidP="00230092">
      <w:r w:rsidRPr="00D04E2D">
        <w:rPr>
          <w:i/>
        </w:rPr>
        <w:t xml:space="preserve">Child/adult </w:t>
      </w:r>
      <w:r>
        <w:rPr>
          <w:i/>
        </w:rPr>
        <w:t>categories</w:t>
      </w:r>
      <w:r w:rsidRPr="00D04E2D">
        <w:rPr>
          <w:i/>
        </w:rPr>
        <w:t xml:space="preserve">:  </w:t>
      </w:r>
      <w:r>
        <w:t>EOHHS</w:t>
      </w:r>
      <w:r w:rsidRPr="00D04E2D">
        <w:t xml:space="preserve"> is moving to a more granular rate cell level in the ACO program compared to the current MCO program to reflect differences in costs between children (under 21 years of age) and adults (21</w:t>
      </w:r>
      <w:r>
        <w:t>-64</w:t>
      </w:r>
      <w:r w:rsidRPr="00D04E2D">
        <w:t xml:space="preserve"> years </w:t>
      </w:r>
      <w:r>
        <w:t>of age</w:t>
      </w:r>
      <w:r w:rsidRPr="00D04E2D">
        <w:t xml:space="preserve">). To the extent there are significant changes in the demographic mix between children and adults, the capitation rate and TCOC benchmark will </w:t>
      </w:r>
      <w:r w:rsidRPr="000A4F1E">
        <w:rPr>
          <w:b/>
        </w:rPr>
        <w:t>adjust to reflect the difference in mix</w:t>
      </w:r>
      <w:r w:rsidRPr="00D04E2D">
        <w:t>. Note: As described above, RC IX and RC X are adult-only rating categories (21</w:t>
      </w:r>
      <w:r>
        <w:t>-64</w:t>
      </w:r>
      <w:r w:rsidRPr="00D04E2D">
        <w:t xml:space="preserve"> years</w:t>
      </w:r>
      <w:r>
        <w:t xml:space="preserve"> of age</w:t>
      </w:r>
      <w:r w:rsidRPr="00D04E2D">
        <w:t>) and are therefore not bifurcated into child/adult</w:t>
      </w:r>
      <w:r>
        <w:t xml:space="preserve"> rating categories</w:t>
      </w:r>
      <w:r w:rsidRPr="00D04E2D">
        <w:t>.</w:t>
      </w:r>
    </w:p>
    <w:p w:rsidR="00230092" w:rsidRDefault="00230092" w:rsidP="00230092">
      <w:pPr>
        <w:rPr>
          <w:i/>
        </w:rPr>
      </w:pPr>
    </w:p>
    <w:p w:rsidR="00230092" w:rsidRPr="00D04E2D" w:rsidRDefault="00230092" w:rsidP="00230092">
      <w:pPr>
        <w:rPr>
          <w:i/>
        </w:rPr>
      </w:pPr>
      <w:r w:rsidRPr="00D04E2D">
        <w:rPr>
          <w:i/>
        </w:rPr>
        <w:t>2.3 Included vs. excluded services</w:t>
      </w:r>
    </w:p>
    <w:p w:rsidR="00230092" w:rsidRPr="00D04E2D" w:rsidRDefault="00230092" w:rsidP="00230092">
      <w:r w:rsidRPr="00D04E2D">
        <w:t xml:space="preserve">With the exception of specific services that are adjusted for risk mitigation (see Section 3.5 below), all ACOs will be financially accountable for the services that are covered by </w:t>
      </w:r>
      <w:r>
        <w:t>EOHHS</w:t>
      </w:r>
      <w:r w:rsidRPr="00D04E2D">
        <w:t xml:space="preserve"> MCOs and Partnership Plans.  These services include, broadly, any services that are part of </w:t>
      </w:r>
      <w:r>
        <w:t>EOHHS</w:t>
      </w:r>
      <w:r w:rsidRPr="00D04E2D">
        <w:t xml:space="preserve"> coverage for managed care eligible members </w:t>
      </w:r>
      <w:r>
        <w:t xml:space="preserve">for </w:t>
      </w:r>
      <w:r w:rsidRPr="003A4B44">
        <w:rPr>
          <w:b/>
        </w:rPr>
        <w:t>physical health, behavioral health, pharmacy</w:t>
      </w:r>
      <w:r>
        <w:t xml:space="preserve">, or certain other services such as most </w:t>
      </w:r>
      <w:r w:rsidRPr="003A4B44">
        <w:rPr>
          <w:b/>
        </w:rPr>
        <w:t>home health</w:t>
      </w:r>
      <w:r>
        <w:t xml:space="preserve"> and </w:t>
      </w:r>
      <w:r w:rsidRPr="003A4B44">
        <w:rPr>
          <w:b/>
        </w:rPr>
        <w:t>durable medical equipment</w:t>
      </w:r>
      <w:r>
        <w:t>.</w:t>
      </w:r>
      <w:r w:rsidRPr="00D04E2D">
        <w:t xml:space="preserve"> </w:t>
      </w:r>
      <w:r>
        <w:t>Please refer to the TCOC Included Services Appendix or ACO Covered Services Appendix of the appropriate Model Contract attachment to the RFR for a more detailed list.</w:t>
      </w:r>
    </w:p>
    <w:p w:rsidR="00230092" w:rsidRPr="00D04E2D" w:rsidRDefault="00230092" w:rsidP="00230092">
      <w:r>
        <w:t>EOHHS</w:t>
      </w:r>
      <w:r w:rsidRPr="00D04E2D">
        <w:t xml:space="preserve"> will include the </w:t>
      </w:r>
      <w:r w:rsidRPr="000A4F1E">
        <w:rPr>
          <w:b/>
        </w:rPr>
        <w:t>historical costs for these services</w:t>
      </w:r>
      <w:r w:rsidRPr="00D04E2D">
        <w:t xml:space="preserve"> for </w:t>
      </w:r>
      <w:r>
        <w:t>EOHHS</w:t>
      </w:r>
      <w:r w:rsidRPr="00D04E2D">
        <w:t xml:space="preserve"> managed care eligible members (as described in Section 2.1 above).</w:t>
      </w:r>
    </w:p>
    <w:p w:rsidR="00230092" w:rsidRPr="00D04E2D" w:rsidRDefault="00230092" w:rsidP="00230092">
      <w:r w:rsidRPr="00D04E2D">
        <w:t xml:space="preserve">There are certain </w:t>
      </w:r>
      <w:r>
        <w:rPr>
          <w:b/>
        </w:rPr>
        <w:t>EOHHS</w:t>
      </w:r>
      <w:r w:rsidRPr="000A4F1E">
        <w:rPr>
          <w:b/>
        </w:rPr>
        <w:t>-covered services</w:t>
      </w:r>
      <w:r w:rsidRPr="00D04E2D">
        <w:t xml:space="preserve"> for managed care enrollees (e.g., LTSS) that are not paid for by MCOs today but are instead </w:t>
      </w:r>
      <w:r w:rsidRPr="000A4F1E">
        <w:rPr>
          <w:b/>
        </w:rPr>
        <w:t xml:space="preserve">covered directly through </w:t>
      </w:r>
      <w:r>
        <w:rPr>
          <w:b/>
        </w:rPr>
        <w:t>EOHHS</w:t>
      </w:r>
      <w:r w:rsidRPr="00D04E2D">
        <w:t xml:space="preserve">; these will continue to be covered by </w:t>
      </w:r>
      <w:r>
        <w:t>EOHHS</w:t>
      </w:r>
      <w:r w:rsidRPr="00D04E2D">
        <w:t xml:space="preserve"> for the initial years of the ACO program.  ACOs will not be financially accountable for these costs during those initial years (see </w:t>
      </w:r>
      <w:r w:rsidRPr="00F120DA">
        <w:t>Section 2.4</w:t>
      </w:r>
      <w:r w:rsidRPr="00D04E2D">
        <w:t xml:space="preserve"> for more detail on the </w:t>
      </w:r>
      <w:r w:rsidRPr="000A4F1E">
        <w:rPr>
          <w:b/>
        </w:rPr>
        <w:t>future incorporation of LTSS</w:t>
      </w:r>
      <w:r w:rsidRPr="00D04E2D">
        <w:t xml:space="preserve"> into ACO models). </w:t>
      </w:r>
    </w:p>
    <w:p w:rsidR="00230092" w:rsidRPr="00D04E2D" w:rsidRDefault="00230092" w:rsidP="00230092">
      <w:r w:rsidRPr="00D04E2D">
        <w:t xml:space="preserve">The table in Example 5 below illustrates several scenarios that might occur in the base data and whether, for </w:t>
      </w:r>
      <w:proofErr w:type="gramStart"/>
      <w:r w:rsidRPr="00D04E2D">
        <w:t>each,</w:t>
      </w:r>
      <w:proofErr w:type="gramEnd"/>
      <w:r w:rsidRPr="00D04E2D">
        <w:t xml:space="preserve"> those costs would be included in or excluded from the base data for setting ACO rates and benchmarks:</w:t>
      </w:r>
    </w:p>
    <w:p w:rsidR="00230092" w:rsidRPr="00D04E2D" w:rsidRDefault="00230092" w:rsidP="00230092">
      <w:pPr>
        <w:pStyle w:val="IntenseQuote"/>
      </w:pPr>
      <w:r w:rsidRPr="00D04E2D">
        <w:tab/>
        <w:t xml:space="preserve">Example </w:t>
      </w:r>
      <w:r>
        <w:t>4</w:t>
      </w:r>
      <w:r w:rsidRPr="00D04E2D">
        <w:t>: Included vs. excluded services</w:t>
      </w:r>
    </w:p>
    <w:tbl>
      <w:tblPr>
        <w:tblStyle w:val="TableGrid"/>
        <w:tblW w:w="0" w:type="auto"/>
        <w:tblInd w:w="108" w:type="dxa"/>
        <w:tblLook w:val="04A0" w:firstRow="1" w:lastRow="0" w:firstColumn="1" w:lastColumn="0" w:noHBand="0" w:noVBand="1"/>
      </w:tblPr>
      <w:tblGrid>
        <w:gridCol w:w="1890"/>
        <w:gridCol w:w="2430"/>
        <w:gridCol w:w="4827"/>
      </w:tblGrid>
      <w:tr w:rsidR="00230092" w:rsidRPr="00D04E2D" w:rsidTr="00C22495">
        <w:trPr>
          <w:trHeight w:val="280"/>
        </w:trPr>
        <w:tc>
          <w:tcPr>
            <w:tcW w:w="1890" w:type="dxa"/>
          </w:tcPr>
          <w:p w:rsidR="00230092" w:rsidRPr="000A4F1E" w:rsidRDefault="00230092" w:rsidP="00C22495">
            <w:pPr>
              <w:rPr>
                <w:b/>
              </w:rPr>
            </w:pPr>
            <w:r w:rsidRPr="000A4F1E">
              <w:rPr>
                <w:b/>
              </w:rPr>
              <w:t>Member</w:t>
            </w:r>
          </w:p>
        </w:tc>
        <w:tc>
          <w:tcPr>
            <w:tcW w:w="2430" w:type="dxa"/>
          </w:tcPr>
          <w:p w:rsidR="00230092" w:rsidRPr="000A4F1E" w:rsidRDefault="00230092" w:rsidP="00C22495">
            <w:pPr>
              <w:rPr>
                <w:b/>
              </w:rPr>
            </w:pPr>
            <w:r w:rsidRPr="000A4F1E">
              <w:rPr>
                <w:b/>
              </w:rPr>
              <w:t>Service</w:t>
            </w:r>
          </w:p>
        </w:tc>
        <w:tc>
          <w:tcPr>
            <w:tcW w:w="4827" w:type="dxa"/>
          </w:tcPr>
          <w:p w:rsidR="00230092" w:rsidRPr="000A4F1E" w:rsidRDefault="00230092" w:rsidP="00C22495">
            <w:pPr>
              <w:rPr>
                <w:b/>
              </w:rPr>
            </w:pPr>
            <w:r w:rsidRPr="000A4F1E">
              <w:rPr>
                <w:b/>
              </w:rPr>
              <w:t xml:space="preserve">Included in </w:t>
            </w:r>
            <w:r w:rsidRPr="00D04E2D">
              <w:rPr>
                <w:b/>
              </w:rPr>
              <w:t xml:space="preserve">base data for </w:t>
            </w:r>
            <w:r>
              <w:rPr>
                <w:b/>
              </w:rPr>
              <w:t>rates or benchmarks</w:t>
            </w:r>
            <w:r w:rsidRPr="000A4F1E">
              <w:rPr>
                <w:b/>
              </w:rPr>
              <w:t>?</w:t>
            </w:r>
          </w:p>
        </w:tc>
      </w:tr>
      <w:tr w:rsidR="00230092" w:rsidRPr="00D04E2D" w:rsidTr="00C22495">
        <w:trPr>
          <w:trHeight w:val="292"/>
        </w:trPr>
        <w:tc>
          <w:tcPr>
            <w:tcW w:w="1890" w:type="dxa"/>
          </w:tcPr>
          <w:p w:rsidR="00230092" w:rsidRPr="00D04E2D" w:rsidRDefault="00230092" w:rsidP="00C22495">
            <w:r w:rsidRPr="00D04E2D">
              <w:t>MCO enrollee</w:t>
            </w:r>
          </w:p>
        </w:tc>
        <w:tc>
          <w:tcPr>
            <w:tcW w:w="2430" w:type="dxa"/>
          </w:tcPr>
          <w:p w:rsidR="00230092" w:rsidRPr="00D04E2D" w:rsidRDefault="00230092" w:rsidP="00C22495">
            <w:r w:rsidRPr="00D04E2D">
              <w:t>Inpatient care paid for by MCO</w:t>
            </w:r>
          </w:p>
        </w:tc>
        <w:tc>
          <w:tcPr>
            <w:tcW w:w="4827" w:type="dxa"/>
          </w:tcPr>
          <w:p w:rsidR="00230092" w:rsidRPr="00D04E2D" w:rsidRDefault="00230092" w:rsidP="00C22495">
            <w:r w:rsidRPr="00D04E2D">
              <w:t>Yes. This is an MCO Covered/ACO Covered Service provided to an eligible member</w:t>
            </w:r>
          </w:p>
        </w:tc>
      </w:tr>
      <w:tr w:rsidR="00230092" w:rsidRPr="00D04E2D" w:rsidTr="00C22495">
        <w:trPr>
          <w:trHeight w:val="280"/>
        </w:trPr>
        <w:tc>
          <w:tcPr>
            <w:tcW w:w="1890" w:type="dxa"/>
          </w:tcPr>
          <w:p w:rsidR="00230092" w:rsidRPr="00D04E2D" w:rsidRDefault="00230092" w:rsidP="00C22495">
            <w:r w:rsidRPr="00D04E2D">
              <w:t>PCC Plan member</w:t>
            </w:r>
          </w:p>
        </w:tc>
        <w:tc>
          <w:tcPr>
            <w:tcW w:w="2430" w:type="dxa"/>
          </w:tcPr>
          <w:p w:rsidR="00230092" w:rsidRPr="00D04E2D" w:rsidRDefault="00230092" w:rsidP="00C22495">
            <w:r w:rsidRPr="00D04E2D">
              <w:t xml:space="preserve">Outpatient BH paid for by </w:t>
            </w:r>
            <w:r>
              <w:t>behavioral health vendor</w:t>
            </w:r>
          </w:p>
        </w:tc>
        <w:tc>
          <w:tcPr>
            <w:tcW w:w="4827" w:type="dxa"/>
          </w:tcPr>
          <w:p w:rsidR="00230092" w:rsidRPr="00D04E2D" w:rsidRDefault="00230092" w:rsidP="00C22495">
            <w:r w:rsidRPr="00D04E2D">
              <w:t>Yes. This is an MCO Covered/ACO Covered Service provided to an eligible member</w:t>
            </w:r>
          </w:p>
        </w:tc>
      </w:tr>
      <w:tr w:rsidR="00230092" w:rsidRPr="00D04E2D" w:rsidTr="00C22495">
        <w:trPr>
          <w:trHeight w:val="280"/>
        </w:trPr>
        <w:tc>
          <w:tcPr>
            <w:tcW w:w="1890" w:type="dxa"/>
          </w:tcPr>
          <w:p w:rsidR="00230092" w:rsidRPr="00D04E2D" w:rsidRDefault="00230092" w:rsidP="00C22495">
            <w:r w:rsidRPr="00D04E2D">
              <w:t>FFS dually-eligible member</w:t>
            </w:r>
          </w:p>
        </w:tc>
        <w:tc>
          <w:tcPr>
            <w:tcW w:w="2430" w:type="dxa"/>
          </w:tcPr>
          <w:p w:rsidR="00230092" w:rsidRPr="00D04E2D" w:rsidRDefault="00230092" w:rsidP="00C22495">
            <w:r>
              <w:t>Inpatient care paid for by MassHealth</w:t>
            </w:r>
          </w:p>
        </w:tc>
        <w:tc>
          <w:tcPr>
            <w:tcW w:w="4827" w:type="dxa"/>
          </w:tcPr>
          <w:p w:rsidR="00230092" w:rsidRPr="00D04E2D" w:rsidRDefault="00230092" w:rsidP="00C22495">
            <w:r w:rsidRPr="00D04E2D">
              <w:t>No. This is not an ACO-eligible member</w:t>
            </w:r>
          </w:p>
        </w:tc>
      </w:tr>
      <w:tr w:rsidR="00230092" w:rsidRPr="00D04E2D" w:rsidTr="00C22495">
        <w:trPr>
          <w:trHeight w:val="292"/>
        </w:trPr>
        <w:tc>
          <w:tcPr>
            <w:tcW w:w="1890" w:type="dxa"/>
          </w:tcPr>
          <w:p w:rsidR="00230092" w:rsidRPr="00D04E2D" w:rsidRDefault="00230092" w:rsidP="00C22495">
            <w:r w:rsidRPr="00D04E2D">
              <w:t>MCO enrollee</w:t>
            </w:r>
          </w:p>
        </w:tc>
        <w:tc>
          <w:tcPr>
            <w:tcW w:w="2430" w:type="dxa"/>
          </w:tcPr>
          <w:p w:rsidR="00230092" w:rsidRPr="00D04E2D" w:rsidRDefault="00230092" w:rsidP="00C22495">
            <w:r w:rsidRPr="00D04E2D">
              <w:t xml:space="preserve">LTSS care paid FFS by </w:t>
            </w:r>
            <w:r>
              <w:t>EOHHS</w:t>
            </w:r>
            <w:r w:rsidRPr="00D04E2D">
              <w:t xml:space="preserve"> (i.e., a Non-MCO Covered Service), e.g. Personal Care Services</w:t>
            </w:r>
          </w:p>
        </w:tc>
        <w:tc>
          <w:tcPr>
            <w:tcW w:w="4827" w:type="dxa"/>
          </w:tcPr>
          <w:p w:rsidR="00230092" w:rsidRPr="00D04E2D" w:rsidRDefault="00230092" w:rsidP="00C22495">
            <w:r w:rsidRPr="00D04E2D">
              <w:t>Not in years 1-2. LTSS services</w:t>
            </w:r>
            <w:r>
              <w:t>,</w:t>
            </w:r>
            <w:r w:rsidRPr="00D04E2D">
              <w:t xml:space="preserve"> like PCA</w:t>
            </w:r>
            <w:r>
              <w:t>,</w:t>
            </w:r>
            <w:r w:rsidRPr="00D04E2D">
              <w:t xml:space="preserve"> are not MCO Covered or ACO Covered Services in years 1 and 2, and are not part of </w:t>
            </w:r>
            <w:r>
              <w:t>ACO</w:t>
            </w:r>
            <w:r w:rsidRPr="00D04E2D">
              <w:t xml:space="preserve"> accountability. On or about year 3, </w:t>
            </w:r>
            <w:r>
              <w:t>EOHHS</w:t>
            </w:r>
            <w:r w:rsidRPr="00D04E2D">
              <w:t xml:space="preserve"> intends to introduce LTSS </w:t>
            </w:r>
            <w:r>
              <w:t>(</w:t>
            </w:r>
            <w:r w:rsidRPr="00D04E2D">
              <w:t>see Section</w:t>
            </w:r>
            <w:r>
              <w:t xml:space="preserve"> 2.4)</w:t>
            </w:r>
          </w:p>
        </w:tc>
      </w:tr>
    </w:tbl>
    <w:p w:rsidR="00230092" w:rsidRPr="00D04E2D" w:rsidRDefault="00230092" w:rsidP="00230092">
      <w:r>
        <w:rPr>
          <w:i/>
        </w:rPr>
        <w:br/>
      </w:r>
      <w:r w:rsidRPr="00D04E2D">
        <w:rPr>
          <w:i/>
        </w:rPr>
        <w:t>Delivery payments</w:t>
      </w:r>
      <w:r w:rsidRPr="00D04E2D">
        <w:t xml:space="preserve">: Deliveries are MCO Covered/ACO Covered Services; however, </w:t>
      </w:r>
      <w:r>
        <w:t>EOHHS</w:t>
      </w:r>
      <w:r w:rsidRPr="00D04E2D">
        <w:t xml:space="preserve"> will treat these costs differently from other costs in setting ACO rates</w:t>
      </w:r>
      <w:r>
        <w:t xml:space="preserve"> and TCOC </w:t>
      </w:r>
      <w:r w:rsidRPr="00D04E2D">
        <w:t xml:space="preserve">benchmarks. Deliveries will be initially excluded from the claims used to develop capitation rates and preliminary TCOC benchmarks and will instead be used to develop a separate per-delivery payment amount. Partnership Plans will receive a separate, supplemental delivery payment, which is retrospectively calculated by multiplying the actual number of deliveries each Partnership Plan’s enrollees have for a particular period, by the per-delivery payment amount. Primary Care ACOs and MCO-Administered ACOs will similarly have an amount added to their final TCOC benchmarks that is calculated by multiplying the actual number of deliveries each ACO’s enrollees have for the </w:t>
      </w:r>
      <w:r>
        <w:t>P</w:t>
      </w:r>
      <w:r w:rsidRPr="00D04E2D">
        <w:t xml:space="preserve">erformance </w:t>
      </w:r>
      <w:r>
        <w:t>Y</w:t>
      </w:r>
      <w:r w:rsidRPr="00D04E2D">
        <w:t xml:space="preserve">ear, by the per-delivery payment amount. ACOs are therefore </w:t>
      </w:r>
      <w:r w:rsidRPr="002D679D">
        <w:rPr>
          <w:b/>
        </w:rPr>
        <w:t>accountable for</w:t>
      </w:r>
      <w:r w:rsidRPr="00D04E2D">
        <w:t xml:space="preserve"> </w:t>
      </w:r>
      <w:r w:rsidRPr="002D679D">
        <w:rPr>
          <w:b/>
        </w:rPr>
        <w:t>per-delivery costs, but not for the number of deliveries.</w:t>
      </w:r>
    </w:p>
    <w:p w:rsidR="00230092" w:rsidRDefault="00230092" w:rsidP="00230092">
      <w:pPr>
        <w:rPr>
          <w:i/>
        </w:rPr>
      </w:pPr>
    </w:p>
    <w:p w:rsidR="00230092" w:rsidRPr="00D04E2D" w:rsidRDefault="00230092" w:rsidP="00230092">
      <w:pPr>
        <w:rPr>
          <w:i/>
        </w:rPr>
      </w:pPr>
      <w:r w:rsidRPr="00D04E2D">
        <w:rPr>
          <w:i/>
        </w:rPr>
        <w:t>2.4 Incorporation of LTSS on or about Year 3</w:t>
      </w:r>
    </w:p>
    <w:p w:rsidR="00230092" w:rsidRPr="00D04E2D" w:rsidRDefault="00230092" w:rsidP="00230092">
      <w:r w:rsidRPr="00D04E2D">
        <w:t xml:space="preserve">One of </w:t>
      </w:r>
      <w:r>
        <w:t>EOHHS</w:t>
      </w:r>
      <w:r w:rsidRPr="00D04E2D">
        <w:t xml:space="preserve">’s goals for delivery system reform is to </w:t>
      </w:r>
      <w:r w:rsidRPr="000A4F1E">
        <w:rPr>
          <w:b/>
        </w:rPr>
        <w:t>increase coordination among providers</w:t>
      </w:r>
      <w:r w:rsidRPr="00D04E2D">
        <w:t xml:space="preserve">, including </w:t>
      </w:r>
      <w:r w:rsidRPr="000A4F1E">
        <w:rPr>
          <w:b/>
        </w:rPr>
        <w:t>long-term services and supports (LTSS)</w:t>
      </w:r>
      <w:r w:rsidRPr="00D04E2D">
        <w:t xml:space="preserve"> delivery systems.</w:t>
      </w:r>
    </w:p>
    <w:p w:rsidR="00230092" w:rsidRPr="00D04E2D" w:rsidRDefault="00230092" w:rsidP="00230092">
      <w:r w:rsidRPr="00D04E2D">
        <w:t xml:space="preserve">On or around the </w:t>
      </w:r>
      <w:r w:rsidRPr="000A4F1E">
        <w:rPr>
          <w:b/>
        </w:rPr>
        <w:t>third year</w:t>
      </w:r>
      <w:r w:rsidRPr="00D04E2D">
        <w:t xml:space="preserve"> of each applicable contract, Primary Care ACOs and MCO-Administered ACOs will be accountable for the costs of LTSS.  Accountable Care Partnership Plans will be responsible for managing and providing LTSS at such time, and will be required to provide a range of community-based services and supports as alternatives to traditional high-cost services.  LTSS may include, but may not be limited to, services such as the following: </w:t>
      </w:r>
    </w:p>
    <w:p w:rsidR="00230092" w:rsidRPr="00D04E2D" w:rsidRDefault="00230092" w:rsidP="00230092">
      <w:pPr>
        <w:pStyle w:val="ListParagraph"/>
        <w:numPr>
          <w:ilvl w:val="0"/>
          <w:numId w:val="14"/>
        </w:numPr>
        <w:spacing w:line="259" w:lineRule="auto"/>
      </w:pPr>
      <w:r w:rsidRPr="00D04E2D">
        <w:t>Inpatient Chronic Disease and Rehab Hospitals (post-100 days of service)</w:t>
      </w:r>
    </w:p>
    <w:p w:rsidR="00230092" w:rsidRPr="00D04E2D" w:rsidRDefault="00230092" w:rsidP="00230092">
      <w:pPr>
        <w:pStyle w:val="ListParagraph"/>
        <w:numPr>
          <w:ilvl w:val="0"/>
          <w:numId w:val="14"/>
        </w:numPr>
        <w:spacing w:line="259" w:lineRule="auto"/>
      </w:pPr>
      <w:r w:rsidRPr="00D04E2D">
        <w:t>Outpatient Chronic Disease and Rehab Hospitals (post-100 days of service)</w:t>
      </w:r>
    </w:p>
    <w:p w:rsidR="00230092" w:rsidRPr="00D04E2D" w:rsidRDefault="00230092" w:rsidP="00230092">
      <w:pPr>
        <w:pStyle w:val="ListParagraph"/>
        <w:numPr>
          <w:ilvl w:val="0"/>
          <w:numId w:val="14"/>
        </w:numPr>
        <w:spacing w:line="259" w:lineRule="auto"/>
      </w:pPr>
      <w:r w:rsidRPr="00D04E2D">
        <w:t>Nursing Facilities (post-100 days of service)</w:t>
      </w:r>
    </w:p>
    <w:p w:rsidR="00230092" w:rsidRPr="00D04E2D" w:rsidRDefault="00230092" w:rsidP="00230092">
      <w:pPr>
        <w:pStyle w:val="ListParagraph"/>
        <w:numPr>
          <w:ilvl w:val="0"/>
          <w:numId w:val="14"/>
        </w:numPr>
        <w:spacing w:line="259" w:lineRule="auto"/>
      </w:pPr>
      <w:r w:rsidRPr="00D04E2D">
        <w:t>Adult Day Health</w:t>
      </w:r>
    </w:p>
    <w:p w:rsidR="00230092" w:rsidRPr="00D04E2D" w:rsidRDefault="00230092" w:rsidP="00230092">
      <w:pPr>
        <w:pStyle w:val="ListParagraph"/>
        <w:numPr>
          <w:ilvl w:val="0"/>
          <w:numId w:val="14"/>
        </w:numPr>
        <w:spacing w:line="259" w:lineRule="auto"/>
      </w:pPr>
      <w:r w:rsidRPr="00D04E2D">
        <w:t>Adult Foster Care</w:t>
      </w:r>
    </w:p>
    <w:p w:rsidR="00230092" w:rsidRPr="00D04E2D" w:rsidRDefault="00230092" w:rsidP="00230092">
      <w:pPr>
        <w:pStyle w:val="ListParagraph"/>
        <w:numPr>
          <w:ilvl w:val="0"/>
          <w:numId w:val="14"/>
        </w:numPr>
        <w:spacing w:line="259" w:lineRule="auto"/>
      </w:pPr>
      <w:r w:rsidRPr="00D04E2D">
        <w:t>Group Adult Foster Care</w:t>
      </w:r>
    </w:p>
    <w:p w:rsidR="00230092" w:rsidRPr="00D04E2D" w:rsidRDefault="00230092" w:rsidP="00230092">
      <w:pPr>
        <w:pStyle w:val="ListParagraph"/>
        <w:numPr>
          <w:ilvl w:val="0"/>
          <w:numId w:val="14"/>
        </w:numPr>
        <w:spacing w:line="259" w:lineRule="auto"/>
      </w:pPr>
      <w:r w:rsidRPr="00D04E2D">
        <w:t>Day Habilitation</w:t>
      </w:r>
    </w:p>
    <w:p w:rsidR="00230092" w:rsidRPr="00D04E2D" w:rsidRDefault="00230092" w:rsidP="00230092">
      <w:pPr>
        <w:pStyle w:val="ListParagraph"/>
        <w:numPr>
          <w:ilvl w:val="0"/>
          <w:numId w:val="14"/>
        </w:numPr>
        <w:spacing w:line="259" w:lineRule="auto"/>
      </w:pPr>
      <w:r w:rsidRPr="00D04E2D">
        <w:t>Continuous skilled nursing</w:t>
      </w:r>
    </w:p>
    <w:p w:rsidR="00230092" w:rsidRPr="00D04E2D" w:rsidRDefault="00230092" w:rsidP="00230092">
      <w:pPr>
        <w:pStyle w:val="ListParagraph"/>
        <w:numPr>
          <w:ilvl w:val="0"/>
          <w:numId w:val="14"/>
        </w:numPr>
        <w:spacing w:line="259" w:lineRule="auto"/>
      </w:pPr>
      <w:r w:rsidRPr="00D04E2D">
        <w:t>Personal Care Attendant (including a Transitional Living Program)</w:t>
      </w:r>
    </w:p>
    <w:p w:rsidR="00230092" w:rsidRPr="00D04E2D" w:rsidRDefault="00230092" w:rsidP="00230092">
      <w:r w:rsidRPr="00D04E2D">
        <w:t xml:space="preserve">ACOs’ responsibilities around LTSS will be set forth and further specified in an amendment to the ACO contracts.  ACOs may also have </w:t>
      </w:r>
      <w:r w:rsidRPr="002D679D">
        <w:rPr>
          <w:b/>
        </w:rPr>
        <w:t>new requirements related to LTSS</w:t>
      </w:r>
      <w:r w:rsidRPr="00D04E2D">
        <w:t>, such as continuity of care for LTSS, assessment and care planning, and integrated care management.</w:t>
      </w:r>
    </w:p>
    <w:p w:rsidR="00230092" w:rsidRPr="00D04E2D" w:rsidRDefault="00230092" w:rsidP="00230092">
      <w:pPr>
        <w:rPr>
          <w:b/>
        </w:rPr>
      </w:pPr>
      <w:r w:rsidRPr="00D04E2D">
        <w:rPr>
          <w:b/>
        </w:rPr>
        <w:br w:type="page"/>
      </w:r>
    </w:p>
    <w:p w:rsidR="00230092" w:rsidRPr="00D04E2D" w:rsidRDefault="00230092" w:rsidP="00230092">
      <w:pPr>
        <w:jc w:val="center"/>
        <w:rPr>
          <w:b/>
        </w:rPr>
      </w:pPr>
      <w:proofErr w:type="gramStart"/>
      <w:r w:rsidRPr="00D04E2D">
        <w:rPr>
          <w:b/>
        </w:rPr>
        <w:t>Section 3.</w:t>
      </w:r>
      <w:proofErr w:type="gramEnd"/>
      <w:r w:rsidRPr="00D04E2D">
        <w:rPr>
          <w:b/>
        </w:rPr>
        <w:t xml:space="preserve">  Methodology for setting ACO rates and Benchmarks</w:t>
      </w:r>
    </w:p>
    <w:p w:rsidR="00230092" w:rsidRDefault="00230092" w:rsidP="00230092">
      <w:pPr>
        <w:rPr>
          <w:i/>
        </w:rPr>
      </w:pPr>
    </w:p>
    <w:p w:rsidR="00230092" w:rsidRDefault="00230092" w:rsidP="00230092">
      <w:r>
        <w:t>This section describes the development of the market-based standard (sections 3.2 and 3.3) and ACO-specific adjustment (section 3.4), as well as how they are combined to produce capitation rates for Partnership Plans and TCOC benchmarks for Primary Care ACOs and MCO-Administered ACOs (section 3.5).</w:t>
      </w:r>
    </w:p>
    <w:p w:rsidR="00230092" w:rsidRDefault="00230092" w:rsidP="00230092">
      <w:pPr>
        <w:rPr>
          <w:i/>
        </w:rPr>
      </w:pPr>
      <w:r>
        <w:rPr>
          <w:noProof/>
        </w:rPr>
        <w:drawing>
          <wp:inline distT="0" distB="0" distL="0" distR="0" wp14:anchorId="7C059838" wp14:editId="7DADA42F">
            <wp:extent cx="5943600" cy="4260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non-A.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260850"/>
                    </a:xfrm>
                    <a:prstGeom prst="rect">
                      <a:avLst/>
                    </a:prstGeom>
                  </pic:spPr>
                </pic:pic>
              </a:graphicData>
            </a:graphic>
          </wp:inline>
        </w:drawing>
      </w:r>
    </w:p>
    <w:p w:rsidR="00230092" w:rsidRDefault="00230092" w:rsidP="00230092">
      <w:pPr>
        <w:rPr>
          <w:i/>
        </w:rPr>
      </w:pPr>
      <w:r>
        <w:rPr>
          <w:i/>
        </w:rPr>
        <w:br w:type="page"/>
      </w:r>
    </w:p>
    <w:p w:rsidR="00230092" w:rsidRPr="00D04E2D" w:rsidRDefault="00230092" w:rsidP="00230092">
      <w:pPr>
        <w:rPr>
          <w:i/>
        </w:rPr>
      </w:pPr>
      <w:r w:rsidRPr="00D04E2D">
        <w:rPr>
          <w:i/>
        </w:rPr>
        <w:t xml:space="preserve">3.1 </w:t>
      </w:r>
      <w:r>
        <w:rPr>
          <w:i/>
        </w:rPr>
        <w:t>Recap</w:t>
      </w:r>
      <w:r w:rsidRPr="00D04E2D">
        <w:rPr>
          <w:i/>
        </w:rPr>
        <w:t xml:space="preserve"> of approach</w:t>
      </w:r>
    </w:p>
    <w:p w:rsidR="00230092" w:rsidRDefault="00230092" w:rsidP="00230092">
      <w:pPr>
        <w:rPr>
          <w:i/>
        </w:rPr>
      </w:pPr>
      <w:r>
        <w:t>EOHHS</w:t>
      </w:r>
      <w:r w:rsidRPr="00D04E2D">
        <w:t xml:space="preserve"> intends to establish all ACO capitation rates</w:t>
      </w:r>
      <w:r>
        <w:t xml:space="preserve"> and </w:t>
      </w:r>
      <w:r w:rsidRPr="00D04E2D">
        <w:t xml:space="preserve">TCOC benchmarks using the </w:t>
      </w:r>
      <w:r w:rsidRPr="000A4F1E">
        <w:rPr>
          <w:b/>
        </w:rPr>
        <w:t xml:space="preserve">same market-based standard </w:t>
      </w:r>
      <w:r w:rsidRPr="00D04E2D">
        <w:t xml:space="preserve">for the risk-adjusted costs of each </w:t>
      </w:r>
      <w:r>
        <w:t>rate cell</w:t>
      </w:r>
      <w:r w:rsidRPr="00D04E2D">
        <w:t>, allowing for consistent accountability across the program.</w:t>
      </w:r>
      <w:r>
        <w:t xml:space="preserve"> EOHHS</w:t>
      </w:r>
      <w:r w:rsidRPr="00D04E2D">
        <w:t xml:space="preserve"> also acknowledges that </w:t>
      </w:r>
      <w:r w:rsidRPr="000A4F1E">
        <w:rPr>
          <w:b/>
        </w:rPr>
        <w:t>ACOs are starting in different places</w:t>
      </w:r>
      <w:r w:rsidRPr="00D04E2D">
        <w:t xml:space="preserve"> – some ACOs will have historically higher TCOC for their attributed populations, while others will have historically lower TCOC, even on a price- and risk/</w:t>
      </w:r>
      <w:r>
        <w:t>rate cell</w:t>
      </w:r>
      <w:r w:rsidRPr="00D04E2D">
        <w:t xml:space="preserve">-normalized basis.  Therefore, </w:t>
      </w:r>
      <w:r>
        <w:t>EOHHS</w:t>
      </w:r>
      <w:r w:rsidRPr="00D04E2D">
        <w:t xml:space="preserve"> will set each ACO’s capitation rate/TCOC benchmark based on both a market-based standard and an </w:t>
      </w:r>
      <w:r w:rsidRPr="000A4F1E">
        <w:rPr>
          <w:b/>
        </w:rPr>
        <w:t>ACO-specific adjustment</w:t>
      </w:r>
      <w:r w:rsidRPr="00D04E2D">
        <w:t xml:space="preserve"> for the ACO’s historical performance.  </w:t>
      </w:r>
      <w:r>
        <w:t>EOHHS</w:t>
      </w:r>
      <w:r w:rsidRPr="00D04E2D">
        <w:t xml:space="preserve"> will decrease the weighting of the ACO-specific adjustment over time to </w:t>
      </w:r>
      <w:r w:rsidRPr="000A4F1E">
        <w:rPr>
          <w:b/>
        </w:rPr>
        <w:t>sustainably transition ACOs</w:t>
      </w:r>
      <w:r w:rsidRPr="00D04E2D">
        <w:t xml:space="preserve"> to a market-based standard.  </w:t>
      </w:r>
      <w:r>
        <w:t>EOHHS</w:t>
      </w:r>
      <w:r w:rsidRPr="00D04E2D">
        <w:t xml:space="preserve"> anticipates making this transition over the course of </w:t>
      </w:r>
      <w:r w:rsidRPr="000A4F1E">
        <w:rPr>
          <w:b/>
        </w:rPr>
        <w:t>7-10 years</w:t>
      </w:r>
      <w:r w:rsidRPr="00D04E2D">
        <w:t xml:space="preserve">, although </w:t>
      </w:r>
      <w:r>
        <w:t>may</w:t>
      </w:r>
      <w:r w:rsidRPr="00D04E2D">
        <w:t xml:space="preserve"> adjust the pace of this transition</w:t>
      </w:r>
      <w:r>
        <w:t xml:space="preserve">. Exhibit 1 above </w:t>
      </w:r>
      <w:r w:rsidRPr="00D04E2D">
        <w:t>illustrates how rates of two illustrative ACOs would blend historical performance with the market-based TCOC</w:t>
      </w:r>
      <w:r>
        <w:t xml:space="preserve"> standard</w:t>
      </w:r>
      <w:r w:rsidRPr="00D04E2D">
        <w:t>.</w:t>
      </w:r>
    </w:p>
    <w:p w:rsidR="00230092" w:rsidRDefault="00230092" w:rsidP="00230092">
      <w:pPr>
        <w:rPr>
          <w:i/>
        </w:rPr>
      </w:pPr>
    </w:p>
    <w:p w:rsidR="00230092" w:rsidRDefault="00230092" w:rsidP="00230092">
      <w:pPr>
        <w:rPr>
          <w:i/>
        </w:rPr>
      </w:pPr>
      <w:r w:rsidRPr="00D04E2D">
        <w:rPr>
          <w:i/>
        </w:rPr>
        <w:t xml:space="preserve">3.2 Market-based </w:t>
      </w:r>
      <w:r>
        <w:rPr>
          <w:i/>
        </w:rPr>
        <w:t>standard</w:t>
      </w:r>
    </w:p>
    <w:p w:rsidR="00230092" w:rsidRPr="002D679D" w:rsidRDefault="00230092" w:rsidP="00230092">
      <w:pPr>
        <w:jc w:val="center"/>
      </w:pPr>
      <w:r>
        <w:rPr>
          <w:noProof/>
        </w:rPr>
        <w:drawing>
          <wp:inline distT="0" distB="0" distL="0" distR="0" wp14:anchorId="0980AB6B" wp14:editId="283CE397">
            <wp:extent cx="4158532" cy="29927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B.PNG"/>
                    <pic:cNvPicPr/>
                  </pic:nvPicPr>
                  <pic:blipFill>
                    <a:blip r:embed="rId13">
                      <a:extLst>
                        <a:ext uri="{28A0092B-C50C-407E-A947-70E740481C1C}">
                          <a14:useLocalDpi xmlns:a14="http://schemas.microsoft.com/office/drawing/2010/main" val="0"/>
                        </a:ext>
                      </a:extLst>
                    </a:blip>
                    <a:stretch>
                      <a:fillRect/>
                    </a:stretch>
                  </pic:blipFill>
                  <pic:spPr>
                    <a:xfrm>
                      <a:off x="0" y="0"/>
                      <a:ext cx="4158102" cy="2992412"/>
                    </a:xfrm>
                    <a:prstGeom prst="rect">
                      <a:avLst/>
                    </a:prstGeom>
                  </pic:spPr>
                </pic:pic>
              </a:graphicData>
            </a:graphic>
          </wp:inline>
        </w:drawing>
      </w:r>
    </w:p>
    <w:p w:rsidR="00230092" w:rsidRPr="00D04E2D" w:rsidRDefault="00230092" w:rsidP="00230092">
      <w:r w:rsidRPr="00D04E2D">
        <w:t xml:space="preserve">The market-based </w:t>
      </w:r>
      <w:r>
        <w:t>standard</w:t>
      </w:r>
      <w:r w:rsidRPr="00D04E2D">
        <w:t xml:space="preserve"> will vary by </w:t>
      </w:r>
      <w:r>
        <w:t>rate cell</w:t>
      </w:r>
      <w:r w:rsidRPr="00D04E2D">
        <w:t xml:space="preserve">, as previously described. The development of the market-based </w:t>
      </w:r>
      <w:r>
        <w:t>standard</w:t>
      </w:r>
      <w:r w:rsidRPr="00D04E2D">
        <w:t xml:space="preserve"> will utilize eligibility and claims information from </w:t>
      </w:r>
      <w:r>
        <w:t>EOHHS’</w:t>
      </w:r>
      <w:r w:rsidRPr="00D04E2D">
        <w:t xml:space="preserve"> MCO, ACO, and PCC Plan managed care programs and will represent the average expected cost of </w:t>
      </w:r>
      <w:r>
        <w:t>EOHHS</w:t>
      </w:r>
      <w:r w:rsidRPr="00D04E2D">
        <w:t xml:space="preserve"> Medicaid members across </w:t>
      </w:r>
      <w:r>
        <w:t>these</w:t>
      </w:r>
      <w:r w:rsidRPr="00D04E2D">
        <w:t xml:space="preserve"> managed care programs. The market-based </w:t>
      </w:r>
      <w:r>
        <w:t>standard</w:t>
      </w:r>
      <w:r w:rsidRPr="00D04E2D">
        <w:t xml:space="preserve"> will be developed as follows:</w:t>
      </w:r>
    </w:p>
    <w:p w:rsidR="00230092" w:rsidRPr="00D04E2D" w:rsidRDefault="00230092" w:rsidP="00230092">
      <w:pPr>
        <w:pStyle w:val="ListParagraph"/>
      </w:pPr>
      <w:r w:rsidRPr="00D04E2D">
        <w:rPr>
          <w:b/>
        </w:rPr>
        <w:t>Step 1 - Base Data</w:t>
      </w:r>
      <w:r w:rsidRPr="00D04E2D">
        <w:t>: Historical eligibility, encounter</w:t>
      </w:r>
      <w:r>
        <w:t xml:space="preserve"> (e.g., from MCO and the PCC Plan’s behavioral health vendor)</w:t>
      </w:r>
      <w:r w:rsidRPr="00D04E2D">
        <w:t xml:space="preserve">, and claims data </w:t>
      </w:r>
      <w:r>
        <w:t xml:space="preserve">for eligible members </w:t>
      </w:r>
      <w:r w:rsidRPr="00D04E2D">
        <w:t xml:space="preserve">will be combined for the purposes of the market-based </w:t>
      </w:r>
      <w:r>
        <w:t>standard</w:t>
      </w:r>
      <w:r w:rsidRPr="00D04E2D">
        <w:t xml:space="preserve"> development.</w:t>
      </w:r>
    </w:p>
    <w:p w:rsidR="00230092" w:rsidRPr="00D04E2D" w:rsidRDefault="00230092" w:rsidP="00230092">
      <w:pPr>
        <w:pStyle w:val="ListParagraph"/>
        <w:rPr>
          <w:b/>
        </w:rPr>
      </w:pPr>
    </w:p>
    <w:p w:rsidR="00230092" w:rsidRPr="00D04E2D" w:rsidRDefault="00230092" w:rsidP="00230092">
      <w:pPr>
        <w:pStyle w:val="ListParagraph"/>
      </w:pPr>
      <w:r w:rsidRPr="00D04E2D">
        <w:rPr>
          <w:b/>
        </w:rPr>
        <w:t>Step 2 - Base Data Adjustments</w:t>
      </w:r>
      <w:r w:rsidRPr="00D04E2D">
        <w:t>: Historical data will be adjusted to develop a complete and consistent base data set:</w:t>
      </w:r>
    </w:p>
    <w:p w:rsidR="00230092" w:rsidRPr="00D04E2D" w:rsidRDefault="00230092" w:rsidP="00230092">
      <w:pPr>
        <w:pStyle w:val="ListParagraph"/>
        <w:numPr>
          <w:ilvl w:val="1"/>
          <w:numId w:val="15"/>
        </w:numPr>
        <w:spacing w:line="259" w:lineRule="auto"/>
      </w:pPr>
      <w:r w:rsidRPr="00D04E2D">
        <w:rPr>
          <w:i/>
        </w:rPr>
        <w:t xml:space="preserve">Base period program </w:t>
      </w:r>
      <w:r>
        <w:rPr>
          <w:i/>
        </w:rPr>
        <w:t>adjustments</w:t>
      </w:r>
      <w:r w:rsidRPr="00D04E2D">
        <w:rPr>
          <w:i/>
        </w:rPr>
        <w:t>:</w:t>
      </w:r>
      <w:r w:rsidRPr="00D04E2D">
        <w:t xml:space="preserve">  Historical experience will be adjusted for program </w:t>
      </w:r>
      <w:r>
        <w:t>events</w:t>
      </w:r>
      <w:r w:rsidRPr="00D04E2D">
        <w:t xml:space="preserve"> that occurred during the base period. The base data will also be adjusted for program differences that exist between the various managed care programs (MCO</w:t>
      </w:r>
      <w:r>
        <w:t xml:space="preserve"> and</w:t>
      </w:r>
      <w:r w:rsidRPr="00D04E2D">
        <w:t xml:space="preserve"> PCC Plan</w:t>
      </w:r>
      <w:r>
        <w:t>, including the behavioral health vendor</w:t>
      </w:r>
      <w:r w:rsidRPr="00D04E2D">
        <w:t>) to ensure that the base data reflects a consistent program definition in terms of covered populations and covered services.</w:t>
      </w:r>
    </w:p>
    <w:p w:rsidR="00230092" w:rsidRPr="00D04E2D" w:rsidRDefault="00230092" w:rsidP="00230092">
      <w:pPr>
        <w:pStyle w:val="ListParagraph"/>
        <w:numPr>
          <w:ilvl w:val="1"/>
          <w:numId w:val="15"/>
        </w:numPr>
        <w:spacing w:line="259" w:lineRule="auto"/>
      </w:pPr>
      <w:r w:rsidRPr="00D04E2D">
        <w:rPr>
          <w:i/>
        </w:rPr>
        <w:t>Incurred but Not Reported Claims (IBNR):</w:t>
      </w:r>
      <w:r w:rsidRPr="00D04E2D">
        <w:t xml:space="preserve">  Claims will be adjusted for estimated IBNR claims unreported to </w:t>
      </w:r>
      <w:r>
        <w:t>EOHHS</w:t>
      </w:r>
      <w:r w:rsidRPr="00D04E2D">
        <w:t xml:space="preserve"> as of the latest runout date available.  IBNR completion factors are developed using the claim lag method or other appropriate actuarial techniques.</w:t>
      </w:r>
    </w:p>
    <w:p w:rsidR="00230092" w:rsidRPr="00D04E2D" w:rsidRDefault="00230092" w:rsidP="00230092">
      <w:pPr>
        <w:pStyle w:val="ListParagraph"/>
        <w:rPr>
          <w:b/>
        </w:rPr>
      </w:pPr>
    </w:p>
    <w:p w:rsidR="00230092" w:rsidRPr="00D04E2D" w:rsidRDefault="00230092" w:rsidP="00230092">
      <w:pPr>
        <w:pStyle w:val="ListParagraph"/>
      </w:pPr>
      <w:r w:rsidRPr="00D04E2D">
        <w:rPr>
          <w:b/>
        </w:rPr>
        <w:t>Step 3 – Unit Price Normalization</w:t>
      </w:r>
      <w:r w:rsidRPr="00D04E2D">
        <w:t xml:space="preserve">: Unit pricing across the base data set will be adjusted to reflect a common unit price level for </w:t>
      </w:r>
      <w:r>
        <w:t>covered</w:t>
      </w:r>
      <w:r w:rsidRPr="00D04E2D">
        <w:t xml:space="preserve"> services as determined by </w:t>
      </w:r>
      <w:r>
        <w:t>EOHHS</w:t>
      </w:r>
      <w:r w:rsidRPr="00D04E2D">
        <w:t xml:space="preserve">.  This is done to ensure that costs of care can be compared and combined on an “apples to apples” basis between different data sources (such as MCO encounters and PCC Plan claims) and between different time periods. </w:t>
      </w:r>
      <w:r>
        <w:t>EOHHS</w:t>
      </w:r>
      <w:r w:rsidRPr="00D04E2D">
        <w:t xml:space="preserve"> will apply a standard unit price amount for a given </w:t>
      </w:r>
      <w:r>
        <w:t>cost of</w:t>
      </w:r>
      <w:r w:rsidRPr="00D04E2D">
        <w:t xml:space="preserve"> care (e.g., a particular procedure performed by a particular type of provider), which will replace the actual “amount paid” shown on the claim or encounter. Without this adjustment, costs for the same services would potentially vary across members (or across time) due to variation in fee schedules paid in different programs. See additional information on assumed unit pricing levels discussed below in section 3.3, Fee schedule assumptions.</w:t>
      </w:r>
    </w:p>
    <w:p w:rsidR="00230092" w:rsidRPr="00D04E2D" w:rsidRDefault="00230092" w:rsidP="00230092">
      <w:pPr>
        <w:pStyle w:val="ListParagraph"/>
        <w:rPr>
          <w:b/>
        </w:rPr>
      </w:pPr>
    </w:p>
    <w:p w:rsidR="00230092" w:rsidRPr="00D04E2D" w:rsidRDefault="00230092" w:rsidP="00230092">
      <w:pPr>
        <w:pStyle w:val="ListParagraph"/>
      </w:pPr>
      <w:r w:rsidRPr="00D04E2D">
        <w:rPr>
          <w:b/>
        </w:rPr>
        <w:t>Step 4 - Prospective Adjustments:</w:t>
      </w:r>
    </w:p>
    <w:p w:rsidR="00230092" w:rsidRPr="00D04E2D" w:rsidRDefault="00230092" w:rsidP="00230092">
      <w:pPr>
        <w:pStyle w:val="ListParagraph"/>
        <w:numPr>
          <w:ilvl w:val="1"/>
          <w:numId w:val="15"/>
        </w:numPr>
        <w:spacing w:line="259" w:lineRule="auto"/>
      </w:pPr>
      <w:r w:rsidRPr="00D04E2D">
        <w:rPr>
          <w:i/>
        </w:rPr>
        <w:t>Prospective program changes:</w:t>
      </w:r>
      <w:r w:rsidRPr="00D04E2D">
        <w:t xml:space="preserve">  Adjustments will be made for changes in the covered population, covered services, payment methodology, etc., that are expected to occur between the base period and the contract period. </w:t>
      </w:r>
      <w:r>
        <w:t>EOHHS</w:t>
      </w:r>
      <w:r w:rsidRPr="00D04E2D">
        <w:t xml:space="preserve"> will work with </w:t>
      </w:r>
      <w:r>
        <w:t>EOHHS</w:t>
      </w:r>
      <w:r w:rsidRPr="00D04E2D">
        <w:t>’ actuary during the rate-</w:t>
      </w:r>
      <w:r>
        <w:t xml:space="preserve"> and benchmark-</w:t>
      </w:r>
      <w:r w:rsidRPr="00D04E2D">
        <w:t xml:space="preserve">setting process to identify upcoming fee schedule and other program changes that will impact expected </w:t>
      </w:r>
      <w:r>
        <w:t>rate or benchmark</w:t>
      </w:r>
      <w:r w:rsidRPr="00D04E2D">
        <w:t xml:space="preserve"> levels.</w:t>
      </w:r>
    </w:p>
    <w:p w:rsidR="00230092" w:rsidRPr="00D04E2D" w:rsidRDefault="00230092" w:rsidP="00230092">
      <w:pPr>
        <w:pStyle w:val="ListParagraph"/>
        <w:numPr>
          <w:ilvl w:val="1"/>
          <w:numId w:val="15"/>
        </w:numPr>
        <w:spacing w:line="259" w:lineRule="auto"/>
      </w:pPr>
      <w:r w:rsidRPr="00D04E2D">
        <w:rPr>
          <w:i/>
        </w:rPr>
        <w:t>Prospective fee schedule changes:</w:t>
      </w:r>
      <w:r w:rsidRPr="00D04E2D">
        <w:t xml:space="preserve"> </w:t>
      </w:r>
      <w:r>
        <w:t>P</w:t>
      </w:r>
      <w:r w:rsidRPr="00D04E2D">
        <w:t>ricing will be adjusted to reflect expected fee schedule changes between the base period and the contract period. See additional information on assumed unit pricing levels discussed below in section 3.3, Fee schedule assumptions.</w:t>
      </w:r>
    </w:p>
    <w:p w:rsidR="00230092" w:rsidRDefault="00230092" w:rsidP="00230092">
      <w:pPr>
        <w:pStyle w:val="ListParagraph"/>
        <w:numPr>
          <w:ilvl w:val="1"/>
          <w:numId w:val="15"/>
        </w:numPr>
        <w:spacing w:line="259" w:lineRule="auto"/>
      </w:pPr>
      <w:r w:rsidRPr="00E704AB">
        <w:rPr>
          <w:i/>
        </w:rPr>
        <w:t>Trend:</w:t>
      </w:r>
      <w:r w:rsidRPr="00D04E2D">
        <w:t xml:space="preserve">  Trend is intended to capture expected changes in utilization and service mix from the base period to the </w:t>
      </w:r>
      <w:r>
        <w:t xml:space="preserve">contract </w:t>
      </w:r>
      <w:r w:rsidRPr="00D04E2D">
        <w:t xml:space="preserve">period. Note that unit cost trends will already have been captured in the fee schedule adjustment. </w:t>
      </w:r>
      <w:r>
        <w:t xml:space="preserve">As part of the development of trend, statistical methods, such as regression analysis and confidence intervals will be performed on EOHHS managed care data (i.e., MCO encounters and PCC Plan claims, including behavioral health vendor encounters). These statistical methods give a historical view of changes in the mix of services and utilization patterns over time. This retrospective review reflects a variety of influences, </w:t>
      </w:r>
      <w:r w:rsidRPr="00D3027F">
        <w:rPr>
          <w:rFonts w:cstheme="minorHAnsi"/>
        </w:rPr>
        <w:t xml:space="preserve">including potential changes in medical management practices, network construction and population risk. Some of these influences are accounted for in other adjustments described throughout this document, and should be considered within the broader context of other </w:t>
      </w:r>
      <w:r w:rsidRPr="005F2A13">
        <w:rPr>
          <w:rFonts w:cstheme="minorHAnsi"/>
        </w:rPr>
        <w:t>capitation rate</w:t>
      </w:r>
      <w:r>
        <w:rPr>
          <w:rFonts w:cstheme="minorHAnsi"/>
        </w:rPr>
        <w:t xml:space="preserve"> and </w:t>
      </w:r>
      <w:r w:rsidRPr="005F2A13">
        <w:rPr>
          <w:rFonts w:cstheme="minorHAnsi"/>
        </w:rPr>
        <w:t xml:space="preserve">TCOC benchmark setting assumptions. </w:t>
      </w:r>
      <w:r>
        <w:t>However, a retrospective review of historical experience may not provide the full picture of utilization changes expected after the base data period. For this reason, several other sources of qualitative information will be utilized to inform the prospective trend adjustments applied to the base data.</w:t>
      </w:r>
    </w:p>
    <w:p w:rsidR="00230092" w:rsidRPr="00D04E2D" w:rsidRDefault="00230092" w:rsidP="00230092">
      <w:pPr>
        <w:pStyle w:val="ListParagraph"/>
        <w:ind w:left="1440"/>
        <w:rPr>
          <w:b/>
        </w:rPr>
      </w:pPr>
      <w:r w:rsidRPr="007B70C0" w:rsidDel="00CF7A8D">
        <w:rPr>
          <w:i/>
        </w:rPr>
        <w:t xml:space="preserve"> </w:t>
      </w:r>
    </w:p>
    <w:p w:rsidR="00230092" w:rsidRPr="00D04E2D" w:rsidRDefault="00230092" w:rsidP="00230092">
      <w:pPr>
        <w:pStyle w:val="ListParagraph"/>
      </w:pPr>
      <w:r w:rsidRPr="00D04E2D">
        <w:rPr>
          <w:b/>
        </w:rPr>
        <w:t xml:space="preserve">Step 5 – Market-based </w:t>
      </w:r>
      <w:r>
        <w:rPr>
          <w:b/>
        </w:rPr>
        <w:t>standard</w:t>
      </w:r>
      <w:r w:rsidRPr="00D04E2D">
        <w:t xml:space="preserve">: Expected costs </w:t>
      </w:r>
      <w:r>
        <w:t xml:space="preserve">of covered services, </w:t>
      </w:r>
      <w:r w:rsidRPr="00D04E2D">
        <w:t>developed in steps 1 through 4</w:t>
      </w:r>
      <w:r>
        <w:t>,</w:t>
      </w:r>
      <w:r w:rsidRPr="00D04E2D">
        <w:t xml:space="preserve"> will be used to set separate </w:t>
      </w:r>
      <w:r>
        <w:t>rate or</w:t>
      </w:r>
      <w:r w:rsidRPr="00D04E2D">
        <w:t xml:space="preserve"> benchmark PMPMs by rate cell. </w:t>
      </w:r>
    </w:p>
    <w:p w:rsidR="00230092" w:rsidRPr="00D04E2D" w:rsidRDefault="00230092" w:rsidP="00230092">
      <w:r w:rsidRPr="00D04E2D">
        <w:t xml:space="preserve">The resulting market-based </w:t>
      </w:r>
      <w:r>
        <w:t>standard</w:t>
      </w:r>
      <w:r w:rsidRPr="00D04E2D">
        <w:t xml:space="preserve"> represents the expected costs during the </w:t>
      </w:r>
      <w:r>
        <w:t>Contract or Performance Year</w:t>
      </w:r>
      <w:r w:rsidRPr="00D04E2D">
        <w:t xml:space="preserve"> on a price-normalized basis at the average performance level historically achieved across all ACOs, MCO plans, PCC Plan providers, etc., across the market.</w:t>
      </w:r>
    </w:p>
    <w:p w:rsidR="00230092" w:rsidRPr="00D04E2D" w:rsidRDefault="00230092" w:rsidP="00230092">
      <w:pPr>
        <w:pStyle w:val="ListParagraph"/>
      </w:pPr>
    </w:p>
    <w:p w:rsidR="00230092" w:rsidRPr="00D04E2D" w:rsidRDefault="00230092" w:rsidP="00230092">
      <w:pPr>
        <w:rPr>
          <w:i/>
        </w:rPr>
      </w:pPr>
      <w:r w:rsidRPr="00D04E2D">
        <w:rPr>
          <w:i/>
        </w:rPr>
        <w:t>3.3 Fee schedule assumptions</w:t>
      </w:r>
    </w:p>
    <w:p w:rsidR="00230092" w:rsidRPr="00D04E2D" w:rsidRDefault="00230092" w:rsidP="00230092">
      <w:pPr>
        <w:rPr>
          <w:b/>
        </w:rPr>
      </w:pPr>
      <w:r>
        <w:t>EOHHS</w:t>
      </w:r>
      <w:r w:rsidRPr="00D04E2D">
        <w:t xml:space="preserve"> will incorporate the </w:t>
      </w:r>
      <w:r w:rsidRPr="00D04E2D">
        <w:rPr>
          <w:b/>
        </w:rPr>
        <w:t>same fee schedule assumptions</w:t>
      </w:r>
      <w:r w:rsidRPr="00D04E2D">
        <w:t xml:space="preserve"> in its pricing of Accountable Care Partnership Plan rates, TCOC Benchmarks for Primary Care ACOs and MCO-Administered ACOs, and MCO rates going forward. </w:t>
      </w:r>
      <w:r>
        <w:t>EOHHS</w:t>
      </w:r>
      <w:r w:rsidRPr="00D04E2D">
        <w:t xml:space="preserve"> will use the </w:t>
      </w:r>
      <w:r>
        <w:t>EOHHS</w:t>
      </w:r>
      <w:r w:rsidRPr="00D04E2D">
        <w:t xml:space="preserve"> FFS fee schedule in setting capitation rates for Accountable Care Partnership Plans.  </w:t>
      </w:r>
      <w:r>
        <w:t>EOHHS</w:t>
      </w:r>
      <w:r w:rsidRPr="00D04E2D">
        <w:t xml:space="preserve"> will assume that providers get paid (in aggregate/on average) at the </w:t>
      </w:r>
      <w:r>
        <w:rPr>
          <w:b/>
        </w:rPr>
        <w:t>EOHHS</w:t>
      </w:r>
      <w:r w:rsidRPr="00D04E2D">
        <w:rPr>
          <w:b/>
        </w:rPr>
        <w:t xml:space="preserve"> FFS fee schedule </w:t>
      </w:r>
      <w:r w:rsidRPr="00D04E2D">
        <w:t xml:space="preserve">when setting the TCOC Benchmarks for Primary Care ACOs and MCO-Administered ACOs.  </w:t>
      </w:r>
      <w:r>
        <w:t>EOHHS</w:t>
      </w:r>
      <w:r w:rsidRPr="00D04E2D">
        <w:t xml:space="preserve"> intends to make this change in a way that is </w:t>
      </w:r>
      <w:r w:rsidRPr="00D04E2D">
        <w:rPr>
          <w:b/>
        </w:rPr>
        <w:t>budget neutral</w:t>
      </w:r>
      <w:r w:rsidRPr="00D04E2D">
        <w:t xml:space="preserve"> for the state and for </w:t>
      </w:r>
      <w:r w:rsidRPr="00D04E2D">
        <w:rPr>
          <w:b/>
        </w:rPr>
        <w:t>impacted classes of providers</w:t>
      </w:r>
      <w:r w:rsidRPr="00D04E2D">
        <w:t>, as a whole</w:t>
      </w:r>
      <w:r>
        <w:t>, e.g.,</w:t>
      </w:r>
      <w:r w:rsidRPr="00D04E2D">
        <w:t xml:space="preserve"> </w:t>
      </w:r>
      <w:r>
        <w:t>EOHHS</w:t>
      </w:r>
      <w:r w:rsidRPr="00D04E2D">
        <w:t xml:space="preserve"> </w:t>
      </w:r>
      <w:r>
        <w:t>will</w:t>
      </w:r>
      <w:r w:rsidRPr="00D04E2D">
        <w:t xml:space="preserve"> </w:t>
      </w:r>
      <w:r w:rsidRPr="00D04E2D">
        <w:rPr>
          <w:b/>
        </w:rPr>
        <w:t xml:space="preserve">raise the </w:t>
      </w:r>
      <w:r>
        <w:rPr>
          <w:b/>
        </w:rPr>
        <w:t>EOHHS</w:t>
      </w:r>
      <w:r w:rsidRPr="00D04E2D">
        <w:rPr>
          <w:b/>
        </w:rPr>
        <w:t xml:space="preserve"> FFS fee schedule</w:t>
      </w:r>
      <w:r w:rsidRPr="00D04E2D">
        <w:t xml:space="preserve"> for </w:t>
      </w:r>
      <w:r>
        <w:t xml:space="preserve">certain </w:t>
      </w:r>
      <w:r w:rsidRPr="00D04E2D">
        <w:t>services</w:t>
      </w:r>
      <w:r>
        <w:t>.</w:t>
      </w:r>
      <w:r w:rsidRPr="00D04E2D">
        <w:t xml:space="preserve"> </w:t>
      </w:r>
      <w:r>
        <w:t>EOHHS</w:t>
      </w:r>
      <w:r w:rsidRPr="00D04E2D">
        <w:t xml:space="preserve"> </w:t>
      </w:r>
      <w:r>
        <w:t>may</w:t>
      </w:r>
      <w:r w:rsidRPr="00D04E2D">
        <w:t xml:space="preserve"> also </w:t>
      </w:r>
      <w:r>
        <w:t xml:space="preserve">establish </w:t>
      </w:r>
      <w:r>
        <w:rPr>
          <w:b/>
        </w:rPr>
        <w:t>additional policies</w:t>
      </w:r>
      <w:r w:rsidRPr="00D04E2D">
        <w:t xml:space="preserve"> to </w:t>
      </w:r>
      <w:r w:rsidRPr="002D679D">
        <w:rPr>
          <w:b/>
        </w:rPr>
        <w:t xml:space="preserve">assist Accountable Care Partnership Plans and </w:t>
      </w:r>
      <w:r w:rsidRPr="00D04E2D">
        <w:t xml:space="preserve">MCOs in developing networks that include </w:t>
      </w:r>
      <w:r w:rsidRPr="002D679D">
        <w:rPr>
          <w:b/>
        </w:rPr>
        <w:t>geographically remote and specialty hospitals</w:t>
      </w:r>
      <w:r>
        <w:rPr>
          <w:b/>
        </w:rPr>
        <w:t>.</w:t>
      </w:r>
      <w:r>
        <w:t xml:space="preserve"> </w:t>
      </w:r>
    </w:p>
    <w:p w:rsidR="00230092" w:rsidRPr="00D04E2D" w:rsidRDefault="00230092" w:rsidP="00230092">
      <w:r w:rsidRPr="00D04E2D">
        <w:t xml:space="preserve">Historically, EOHHS </w:t>
      </w:r>
      <w:r>
        <w:t xml:space="preserve">has </w:t>
      </w:r>
      <w:r w:rsidRPr="00D04E2D">
        <w:t xml:space="preserve">established </w:t>
      </w:r>
      <w:r>
        <w:t>capitation rates</w:t>
      </w:r>
      <w:r w:rsidRPr="00D04E2D">
        <w:t xml:space="preserve"> that incorporated the following contracting efficiency assumptions (i.e., percentage of fee schedule assumptions)</w:t>
      </w:r>
      <w:r>
        <w:t>:</w:t>
      </w:r>
      <w:r w:rsidRPr="00D04E2D">
        <w:t xml:space="preserve"> </w:t>
      </w:r>
    </w:p>
    <w:p w:rsidR="00230092" w:rsidRPr="00D04E2D" w:rsidRDefault="00230092" w:rsidP="00230092">
      <w:pPr>
        <w:pStyle w:val="ListParagraph"/>
        <w:numPr>
          <w:ilvl w:val="0"/>
          <w:numId w:val="15"/>
        </w:numPr>
        <w:spacing w:line="259" w:lineRule="auto"/>
      </w:pPr>
      <w:r w:rsidRPr="00D04E2D">
        <w:rPr>
          <w:i/>
        </w:rPr>
        <w:t>Inpatient contracting:</w:t>
      </w:r>
      <w:r w:rsidRPr="00D04E2D">
        <w:t xml:space="preserve"> MCO-reported encounters were adjusted to account for inpatient admission costs as calculated using the Adjudicated Payment Amount per Discharge (APAD) methodology. Capitation rates were adjusted to reflect inpatient hospital services at 105% of the APAD costs.</w:t>
      </w:r>
    </w:p>
    <w:p w:rsidR="00230092" w:rsidRPr="00D04E2D" w:rsidRDefault="00230092" w:rsidP="00230092">
      <w:pPr>
        <w:pStyle w:val="ListParagraph"/>
        <w:numPr>
          <w:ilvl w:val="0"/>
          <w:numId w:val="15"/>
        </w:numPr>
        <w:spacing w:line="259" w:lineRule="auto"/>
      </w:pPr>
      <w:r w:rsidRPr="00D04E2D">
        <w:rPr>
          <w:i/>
        </w:rPr>
        <w:t>Outpatient contracting:</w:t>
      </w:r>
      <w:r w:rsidRPr="00D04E2D">
        <w:t xml:space="preserve"> MCO-reported encounters were adjusted to account for outpatient hospital visit costs as calculated using the Payment Amount per Episode (PAPE) methodology. Capitation rates were adjusted to reflect outpatient hospital services at 105% of the PAPE costs.</w:t>
      </w:r>
    </w:p>
    <w:p w:rsidR="00230092" w:rsidRPr="00D04E2D" w:rsidRDefault="00230092" w:rsidP="00230092">
      <w:pPr>
        <w:pStyle w:val="ListParagraph"/>
        <w:numPr>
          <w:ilvl w:val="1"/>
          <w:numId w:val="15"/>
        </w:numPr>
        <w:spacing w:line="259" w:lineRule="auto"/>
      </w:pPr>
      <w:r w:rsidRPr="00D04E2D">
        <w:t xml:space="preserve">Note: Effective December 2016, EOHHS </w:t>
      </w:r>
      <w:r>
        <w:t>will change</w:t>
      </w:r>
      <w:r w:rsidRPr="00D04E2D">
        <w:t xml:space="preserve"> from the PAPE to the Adjudicated Payment per Episode of Care (APEC) methodology. Future capitation rates and TCOC benchmarks will be determined using the APEC methodology.</w:t>
      </w:r>
    </w:p>
    <w:p w:rsidR="00230092" w:rsidRPr="00D04E2D" w:rsidRDefault="00230092" w:rsidP="00230092">
      <w:pPr>
        <w:pStyle w:val="ListParagraph"/>
        <w:numPr>
          <w:ilvl w:val="0"/>
          <w:numId w:val="15"/>
        </w:numPr>
        <w:spacing w:line="259" w:lineRule="auto"/>
      </w:pPr>
      <w:r w:rsidRPr="00D04E2D">
        <w:rPr>
          <w:i/>
        </w:rPr>
        <w:t>Physician contracting:</w:t>
      </w:r>
      <w:r w:rsidRPr="00D04E2D">
        <w:t xml:space="preserve"> MCO-reported encounters were adjusted to account for unit costs for Healthcare Common Procedure Coding System (HCPCS) Level I procedure codes 00000–99999. Capitation rates were adjusted to reflect physician services at 110% of the </w:t>
      </w:r>
      <w:r>
        <w:t>EOHHS</w:t>
      </w:r>
      <w:r w:rsidRPr="00D04E2D">
        <w:t xml:space="preserve"> FFS fee schedule.</w:t>
      </w:r>
    </w:p>
    <w:p w:rsidR="00230092" w:rsidRPr="00D04E2D" w:rsidRDefault="00230092" w:rsidP="00230092">
      <w:pPr>
        <w:pStyle w:val="ListParagraph"/>
        <w:numPr>
          <w:ilvl w:val="0"/>
          <w:numId w:val="15"/>
        </w:numPr>
        <w:spacing w:line="259" w:lineRule="auto"/>
      </w:pPr>
      <w:r w:rsidRPr="00D04E2D">
        <w:rPr>
          <w:i/>
        </w:rPr>
        <w:t>Other services:</w:t>
      </w:r>
      <w:r w:rsidRPr="00D04E2D">
        <w:t xml:space="preserve"> Contracting efficiency adjustments for all other services were not developed in the most recent MCO program capitation rates.</w:t>
      </w:r>
    </w:p>
    <w:p w:rsidR="00230092" w:rsidRDefault="00230092" w:rsidP="00230092">
      <w:pPr>
        <w:rPr>
          <w:b/>
        </w:rPr>
      </w:pPr>
      <w:r>
        <w:t>EOHHS</w:t>
      </w:r>
      <w:r w:rsidRPr="00D04E2D">
        <w:t xml:space="preserve"> will </w:t>
      </w:r>
      <w:r w:rsidRPr="000A4F1E">
        <w:rPr>
          <w:b/>
        </w:rPr>
        <w:t>no longer incorporate</w:t>
      </w:r>
      <w:r w:rsidRPr="00D04E2D">
        <w:t xml:space="preserve"> such contracting efficiency assumptions for its Partnership Plan rates.</w:t>
      </w:r>
      <w:r>
        <w:rPr>
          <w:b/>
        </w:rPr>
        <w:br w:type="page"/>
      </w:r>
    </w:p>
    <w:p w:rsidR="00230092" w:rsidRPr="00D04E2D" w:rsidRDefault="00230092" w:rsidP="00230092">
      <w:pPr>
        <w:rPr>
          <w:i/>
        </w:rPr>
      </w:pPr>
      <w:r w:rsidRPr="00D04E2D">
        <w:rPr>
          <w:i/>
        </w:rPr>
        <w:t>3.4 ACO-specific adjustments for historical TCOC performance</w:t>
      </w:r>
    </w:p>
    <w:p w:rsidR="00230092" w:rsidRDefault="00230092" w:rsidP="00230092">
      <w:pPr>
        <w:jc w:val="center"/>
        <w:rPr>
          <w:highlight w:val="yellow"/>
        </w:rPr>
      </w:pPr>
      <w:r>
        <w:rPr>
          <w:noProof/>
        </w:rPr>
        <w:drawing>
          <wp:inline distT="0" distB="0" distL="0" distR="0" wp14:anchorId="42F3E8C7" wp14:editId="2235FABA">
            <wp:extent cx="4177822" cy="299008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C.PNG"/>
                    <pic:cNvPicPr/>
                  </pic:nvPicPr>
                  <pic:blipFill>
                    <a:blip r:embed="rId14">
                      <a:extLst>
                        <a:ext uri="{28A0092B-C50C-407E-A947-70E740481C1C}">
                          <a14:useLocalDpi xmlns:a14="http://schemas.microsoft.com/office/drawing/2010/main" val="0"/>
                        </a:ext>
                      </a:extLst>
                    </a:blip>
                    <a:stretch>
                      <a:fillRect/>
                    </a:stretch>
                  </pic:blipFill>
                  <pic:spPr>
                    <a:xfrm>
                      <a:off x="0" y="0"/>
                      <a:ext cx="4177822" cy="2990088"/>
                    </a:xfrm>
                    <a:prstGeom prst="rect">
                      <a:avLst/>
                    </a:prstGeom>
                  </pic:spPr>
                </pic:pic>
              </a:graphicData>
            </a:graphic>
          </wp:inline>
        </w:drawing>
      </w:r>
    </w:p>
    <w:p w:rsidR="00230092" w:rsidRPr="00D04E2D" w:rsidRDefault="00230092" w:rsidP="00230092">
      <w:r>
        <w:t>EOHHS</w:t>
      </w:r>
      <w:r w:rsidRPr="00D04E2D">
        <w:t xml:space="preserve"> intends to move to a pricing structure in which all ACOs over time are, after accounting for the risk profile of the members they serve, </w:t>
      </w:r>
      <w:r w:rsidRPr="00D04E2D">
        <w:rPr>
          <w:b/>
        </w:rPr>
        <w:t>accountable to perform to the same, market-based standard</w:t>
      </w:r>
      <w:r w:rsidRPr="00D04E2D">
        <w:t xml:space="preserve">. However, given </w:t>
      </w:r>
      <w:r>
        <w:t>that some ACOs may serve populations with historically higher or lower TCOC than average (even on a risk- and price-normalized basis)</w:t>
      </w:r>
      <w:r w:rsidRPr="00D04E2D">
        <w:t xml:space="preserve">, </w:t>
      </w:r>
      <w:r>
        <w:t>EOHHS</w:t>
      </w:r>
      <w:r w:rsidRPr="00D04E2D">
        <w:t xml:space="preserve"> will take a </w:t>
      </w:r>
      <w:r w:rsidRPr="00D04E2D">
        <w:rPr>
          <w:b/>
        </w:rPr>
        <w:t>gradual, sustainable approach</w:t>
      </w:r>
      <w:r w:rsidRPr="00D04E2D">
        <w:t xml:space="preserve"> in shifting ACOs toward </w:t>
      </w:r>
      <w:r>
        <w:t xml:space="preserve">this </w:t>
      </w:r>
      <w:r w:rsidRPr="00D04E2D">
        <w:t>full market-based accountability.</w:t>
      </w:r>
    </w:p>
    <w:p w:rsidR="00230092" w:rsidRPr="00D04E2D" w:rsidRDefault="00230092" w:rsidP="00230092">
      <w:r w:rsidRPr="00D04E2D">
        <w:t xml:space="preserve">The weight assigned to ACO-specific TCOC performance will </w:t>
      </w:r>
      <w:r w:rsidRPr="000A4F1E">
        <w:rPr>
          <w:b/>
        </w:rPr>
        <w:t>decrease over time</w:t>
      </w:r>
      <w:r w:rsidRPr="00D04E2D">
        <w:t>, eventually leading to capitation rates</w:t>
      </w:r>
      <w:r>
        <w:t xml:space="preserve"> and </w:t>
      </w:r>
      <w:r w:rsidRPr="00D04E2D">
        <w:t>TCOC benchmarks</w:t>
      </w:r>
      <w:r>
        <w:t xml:space="preserve"> that are fully in line with the market-based standard</w:t>
      </w:r>
      <w:r w:rsidRPr="00D04E2D">
        <w:t xml:space="preserve">. </w:t>
      </w:r>
      <w:r>
        <w:t>EOHHS</w:t>
      </w:r>
      <w:r w:rsidRPr="00D04E2D">
        <w:t xml:space="preserve"> anticipates making this transition over the course of 7-10 years, although </w:t>
      </w:r>
      <w:r>
        <w:t>may</w:t>
      </w:r>
      <w:r w:rsidRPr="00D04E2D">
        <w:t xml:space="preserve"> adjust the pace of this transition. </w:t>
      </w:r>
      <w:r>
        <w:t>See Exhibit 1</w:t>
      </w:r>
      <w:r w:rsidRPr="00D04E2D">
        <w:t xml:space="preserve"> above for an illustration of this transition. The development and application of the ACO-specific TCOC performance component of capitation rates/TCOC benchmarks is described below. The development </w:t>
      </w:r>
      <w:r w:rsidRPr="000A4F1E">
        <w:rPr>
          <w:b/>
        </w:rPr>
        <w:t>varies slightly by ACO model</w:t>
      </w:r>
      <w:r w:rsidRPr="00D04E2D">
        <w:t xml:space="preserve"> due to the different risk mitigation adjustments applicable to each model (described in Section 3.5).</w:t>
      </w:r>
    </w:p>
    <w:p w:rsidR="00230092" w:rsidRPr="00D04E2D" w:rsidRDefault="00230092" w:rsidP="00230092">
      <w:r>
        <w:t>EOHHS</w:t>
      </w:r>
      <w:r w:rsidRPr="00D04E2D">
        <w:t xml:space="preserve"> will apply this ACO-specific adjustment through the following steps, each of which is described in additional detail below:</w:t>
      </w:r>
    </w:p>
    <w:p w:rsidR="00230092" w:rsidRPr="00D04E2D" w:rsidRDefault="00230092" w:rsidP="00230092">
      <w:pPr>
        <w:pStyle w:val="ListParagraph"/>
        <w:numPr>
          <w:ilvl w:val="0"/>
          <w:numId w:val="36"/>
        </w:numPr>
        <w:spacing w:line="259" w:lineRule="auto"/>
      </w:pPr>
      <w:r w:rsidRPr="000A4F1E">
        <w:rPr>
          <w:b/>
        </w:rPr>
        <w:t>Step 1:</w:t>
      </w:r>
      <w:r w:rsidRPr="00D04E2D">
        <w:t xml:space="preserve"> Calculating an ACO-specific TCOC</w:t>
      </w:r>
    </w:p>
    <w:p w:rsidR="00230092" w:rsidRPr="00D04E2D" w:rsidRDefault="00230092" w:rsidP="00230092">
      <w:pPr>
        <w:pStyle w:val="ListParagraph"/>
        <w:numPr>
          <w:ilvl w:val="0"/>
          <w:numId w:val="36"/>
        </w:numPr>
        <w:spacing w:line="259" w:lineRule="auto"/>
      </w:pPr>
      <w:r w:rsidRPr="000A4F1E">
        <w:rPr>
          <w:b/>
        </w:rPr>
        <w:t>Step 2:</w:t>
      </w:r>
      <w:r w:rsidRPr="00D04E2D">
        <w:t xml:space="preserve"> Risk-normalizing this ACO-specific TCOC</w:t>
      </w:r>
    </w:p>
    <w:p w:rsidR="00230092" w:rsidRPr="00D04E2D" w:rsidRDefault="00230092" w:rsidP="00230092">
      <w:pPr>
        <w:pStyle w:val="ListParagraph"/>
        <w:numPr>
          <w:ilvl w:val="0"/>
          <w:numId w:val="36"/>
        </w:numPr>
        <w:spacing w:line="259" w:lineRule="auto"/>
      </w:pPr>
      <w:r w:rsidRPr="000A4F1E">
        <w:rPr>
          <w:b/>
        </w:rPr>
        <w:t>Step 3:</w:t>
      </w:r>
      <w:r w:rsidRPr="00D04E2D">
        <w:t xml:space="preserve"> Developing a Network Variance Factor based on the risk-normalized ACO-specific TCOC</w:t>
      </w:r>
    </w:p>
    <w:p w:rsidR="00230092" w:rsidRPr="00D04E2D" w:rsidRDefault="00230092" w:rsidP="00230092">
      <w:pPr>
        <w:pStyle w:val="ListParagraph"/>
        <w:numPr>
          <w:ilvl w:val="0"/>
          <w:numId w:val="36"/>
        </w:numPr>
        <w:spacing w:line="259" w:lineRule="auto"/>
      </w:pPr>
      <w:r w:rsidRPr="000A4F1E">
        <w:rPr>
          <w:b/>
        </w:rPr>
        <w:t>Step 4:</w:t>
      </w:r>
      <w:r w:rsidRPr="00D04E2D">
        <w:t xml:space="preserve"> Applying the Network Variance Factor to the ACO’s market-based TCOC to develop the ACO’s adjusted TCOC</w:t>
      </w:r>
    </w:p>
    <w:p w:rsidR="00230092" w:rsidRPr="00D04E2D" w:rsidRDefault="00230092" w:rsidP="00230092">
      <w:r w:rsidRPr="00D04E2D">
        <w:rPr>
          <w:b/>
        </w:rPr>
        <w:t xml:space="preserve">Step 1: Calculating an </w:t>
      </w:r>
      <w:r w:rsidRPr="000A4F1E">
        <w:rPr>
          <w:b/>
        </w:rPr>
        <w:t>ACO-Specific TCOC</w:t>
      </w:r>
    </w:p>
    <w:p w:rsidR="00230092" w:rsidRPr="00D04E2D" w:rsidRDefault="00230092" w:rsidP="00230092">
      <w:r>
        <w:t>EOHHS</w:t>
      </w:r>
      <w:r w:rsidRPr="00D04E2D">
        <w:t xml:space="preserve"> will use the same base data used to calculate the market-based </w:t>
      </w:r>
      <w:r>
        <w:t>standard</w:t>
      </w:r>
      <w:r w:rsidRPr="00D04E2D">
        <w:t xml:space="preserve"> (see Section 3.2 above) and will attribute a population of members in this base data to each ACO, based on the primary care provider each member in the base data was assigned to and based on the set of primary care providers that are Participating </w:t>
      </w:r>
      <w:r>
        <w:t>PCCs/</w:t>
      </w:r>
      <w:r w:rsidRPr="00D04E2D">
        <w:t xml:space="preserve">PCPs or Network PCPs for each ACO. </w:t>
      </w:r>
      <w:r>
        <w:t>EOHHS</w:t>
      </w:r>
      <w:r w:rsidRPr="00D04E2D">
        <w:t xml:space="preserve"> will then calculate a TCOC value for each ACO, based on the set of attributed members in the base data and </w:t>
      </w:r>
      <w:r>
        <w:t>the</w:t>
      </w:r>
      <w:r w:rsidRPr="00D04E2D">
        <w:t xml:space="preserve"> costs</w:t>
      </w:r>
      <w:r>
        <w:t xml:space="preserve"> of covered services provided to those members</w:t>
      </w:r>
      <w:r w:rsidRPr="00D04E2D">
        <w:t>. This value represents each ACO’s ACO-specific TCOC, based on historical performance.</w:t>
      </w:r>
    </w:p>
    <w:p w:rsidR="00230092" w:rsidRPr="00D04E2D" w:rsidRDefault="00230092" w:rsidP="00230092">
      <w:r w:rsidRPr="00D04E2D">
        <w:t xml:space="preserve">Because ACO-specific TCOC is calculated using the same base data underlying the market-based </w:t>
      </w:r>
      <w:r>
        <w:t>standard</w:t>
      </w:r>
      <w:r w:rsidRPr="00D04E2D">
        <w:t>, which is price-normalized, ACO-specific TCOC values will also be price-normalized. In other words, differences in ACO-specific TCOC will be driven by utilization and mix of services, not differences in historical unit pricing.</w:t>
      </w:r>
    </w:p>
    <w:p w:rsidR="00230092" w:rsidRPr="000A4F1E" w:rsidRDefault="00230092" w:rsidP="00230092">
      <w:pPr>
        <w:rPr>
          <w:b/>
        </w:rPr>
      </w:pPr>
      <w:r w:rsidRPr="00D04E2D">
        <w:rPr>
          <w:b/>
        </w:rPr>
        <w:t>Step 2: Risk-normalizing this ACO-specific TCOC</w:t>
      </w:r>
    </w:p>
    <w:p w:rsidR="00230092" w:rsidRPr="00D04E2D" w:rsidRDefault="00230092" w:rsidP="00230092">
      <w:r w:rsidRPr="00D04E2D">
        <w:t xml:space="preserve">Each ACO-specific TCOC will be risk normalized to back out the differences in risk scores for the populations attributed to each ACO. Risk scores are developed using </w:t>
      </w:r>
      <w:r>
        <w:t>EOHHS</w:t>
      </w:r>
      <w:r w:rsidRPr="00D04E2D">
        <w:t xml:space="preserve">’ risk adjustment model, described further in Section 4.2. Average risk scores will be calculated for each ACO, as well as for the total population underlying the market-based </w:t>
      </w:r>
      <w:r>
        <w:t>standard</w:t>
      </w:r>
      <w:r w:rsidRPr="00D04E2D">
        <w:t xml:space="preserve">. Relative risk scores will be calculated for each ACO by dividing the ACO-specific average risk score by the market-wide average risk score. </w:t>
      </w:r>
    </w:p>
    <w:p w:rsidR="00230092" w:rsidRPr="00D04E2D" w:rsidRDefault="00230092" w:rsidP="00230092">
      <w:r w:rsidRPr="00D04E2D">
        <w:t>For example, if an ACO</w:t>
      </w:r>
      <w:r>
        <w:t xml:space="preserve">’s enrolled or </w:t>
      </w:r>
      <w:r w:rsidRPr="00D04E2D">
        <w:t xml:space="preserve">attributed member </w:t>
      </w:r>
      <w:r>
        <w:t>population</w:t>
      </w:r>
      <w:r w:rsidRPr="00D04E2D">
        <w:t xml:space="preserve"> has an average risk score of 1.26, and the average risk score across the entire market is 1.05, then the relative risk score for this ACO would be 1.26/1.05 = 1.20.</w:t>
      </w:r>
    </w:p>
    <w:p w:rsidR="00230092" w:rsidRPr="00D04E2D" w:rsidRDefault="00230092" w:rsidP="00230092">
      <w:r w:rsidRPr="00D04E2D">
        <w:t>The ACO-specific TCOC will then be divided by the ACO-specific relative risk score to calculate the risk-normalized ACO-specific TCOC. The example below illustrates the mechanics of this normalization process:</w:t>
      </w:r>
    </w:p>
    <w:p w:rsidR="00230092" w:rsidRPr="00D04E2D" w:rsidRDefault="00230092" w:rsidP="00230092">
      <w:pPr>
        <w:pStyle w:val="IntenseQuote"/>
      </w:pPr>
      <w:r w:rsidRPr="00D04E2D">
        <w:t xml:space="preserve">Example </w:t>
      </w:r>
      <w:r>
        <w:t>5</w:t>
      </w:r>
      <w:r w:rsidRPr="00D04E2D">
        <w:t>: Risk normalizing ACO-specific TCOC</w:t>
      </w:r>
    </w:p>
    <w:tbl>
      <w:tblPr>
        <w:tblW w:w="5601" w:type="dxa"/>
        <w:tblInd w:w="1167" w:type="dxa"/>
        <w:tblLook w:val="04A0" w:firstRow="1" w:lastRow="0" w:firstColumn="1" w:lastColumn="0" w:noHBand="0" w:noVBand="1"/>
      </w:tblPr>
      <w:tblGrid>
        <w:gridCol w:w="1104"/>
        <w:gridCol w:w="1084"/>
        <w:gridCol w:w="828"/>
        <w:gridCol w:w="1151"/>
        <w:gridCol w:w="1434"/>
      </w:tblGrid>
      <w:tr w:rsidR="00230092" w:rsidRPr="00D04E2D" w:rsidTr="00C22495">
        <w:trPr>
          <w:trHeight w:val="649"/>
        </w:trPr>
        <w:tc>
          <w:tcPr>
            <w:tcW w:w="1104" w:type="dxa"/>
            <w:tcBorders>
              <w:top w:val="nil"/>
              <w:left w:val="nil"/>
              <w:bottom w:val="single" w:sz="8"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084"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TCOC</w:t>
            </w:r>
          </w:p>
        </w:tc>
        <w:tc>
          <w:tcPr>
            <w:tcW w:w="828"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Risk </w:t>
            </w:r>
            <w:r w:rsidRPr="000A4F1E">
              <w:rPr>
                <w:rFonts w:eastAsia="Times New Roman" w:cs="Calibri"/>
                <w:color w:val="000000"/>
              </w:rPr>
              <w:br/>
              <w:t>Score</w:t>
            </w:r>
          </w:p>
        </w:tc>
        <w:tc>
          <w:tcPr>
            <w:tcW w:w="1151"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Relative </w:t>
            </w:r>
          </w:p>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Risk Score</w:t>
            </w:r>
          </w:p>
        </w:tc>
        <w:tc>
          <w:tcPr>
            <w:tcW w:w="1434"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Risk-</w:t>
            </w:r>
          </w:p>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Normalized </w:t>
            </w:r>
          </w:p>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TCOC</w:t>
            </w:r>
          </w:p>
        </w:tc>
      </w:tr>
      <w:tr w:rsidR="00230092" w:rsidRPr="00D04E2D" w:rsidTr="00C22495">
        <w:trPr>
          <w:trHeight w:val="213"/>
        </w:trPr>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1</w:t>
            </w:r>
          </w:p>
        </w:tc>
        <w:tc>
          <w:tcPr>
            <w:tcW w:w="108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$540.00 </w:t>
            </w:r>
          </w:p>
        </w:tc>
        <w:tc>
          <w:tcPr>
            <w:tcW w:w="828"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1.260 </w:t>
            </w:r>
          </w:p>
        </w:tc>
        <w:tc>
          <w:tcPr>
            <w:tcW w:w="115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1.200 </w:t>
            </w:r>
          </w:p>
        </w:tc>
        <w:tc>
          <w:tcPr>
            <w:tcW w:w="143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$450.00 </w:t>
            </w:r>
          </w:p>
        </w:tc>
      </w:tr>
      <w:tr w:rsidR="00230092" w:rsidRPr="00D04E2D" w:rsidTr="00C22495">
        <w:trPr>
          <w:trHeight w:val="213"/>
        </w:trPr>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2</w:t>
            </w:r>
          </w:p>
        </w:tc>
        <w:tc>
          <w:tcPr>
            <w:tcW w:w="108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$525.00 </w:t>
            </w:r>
          </w:p>
        </w:tc>
        <w:tc>
          <w:tcPr>
            <w:tcW w:w="828"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1.050 </w:t>
            </w:r>
          </w:p>
        </w:tc>
        <w:tc>
          <w:tcPr>
            <w:tcW w:w="115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1.000 </w:t>
            </w:r>
          </w:p>
        </w:tc>
        <w:tc>
          <w:tcPr>
            <w:tcW w:w="143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$525.00 </w:t>
            </w:r>
          </w:p>
        </w:tc>
      </w:tr>
      <w:tr w:rsidR="00230092" w:rsidRPr="00D04E2D" w:rsidTr="00C22495">
        <w:trPr>
          <w:trHeight w:val="213"/>
        </w:trPr>
        <w:tc>
          <w:tcPr>
            <w:tcW w:w="1104"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w:t>
            </w:r>
          </w:p>
        </w:tc>
        <w:tc>
          <w:tcPr>
            <w:tcW w:w="1084"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c>
          <w:tcPr>
            <w:tcW w:w="828"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c>
          <w:tcPr>
            <w:tcW w:w="1151"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c>
          <w:tcPr>
            <w:tcW w:w="1434"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r>
      <w:tr w:rsidR="00230092" w:rsidRPr="00D04E2D" w:rsidTr="00C22495">
        <w:trPr>
          <w:trHeight w:val="213"/>
        </w:trPr>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Market</w:t>
            </w:r>
          </w:p>
        </w:tc>
        <w:tc>
          <w:tcPr>
            <w:tcW w:w="108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828"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1.050 </w:t>
            </w:r>
          </w:p>
        </w:tc>
        <w:tc>
          <w:tcPr>
            <w:tcW w:w="115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1.000 </w:t>
            </w:r>
          </w:p>
        </w:tc>
        <w:tc>
          <w:tcPr>
            <w:tcW w:w="143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r>
    </w:tbl>
    <w:p w:rsidR="00230092" w:rsidRPr="00D04E2D" w:rsidRDefault="00230092" w:rsidP="00230092">
      <w:pPr>
        <w:ind w:firstLine="720"/>
      </w:pPr>
    </w:p>
    <w:p w:rsidR="00230092" w:rsidRPr="00D04E2D" w:rsidRDefault="00230092" w:rsidP="00230092">
      <w:pPr>
        <w:pStyle w:val="ListParagraph"/>
        <w:numPr>
          <w:ilvl w:val="0"/>
          <w:numId w:val="37"/>
        </w:numPr>
        <w:spacing w:line="259" w:lineRule="auto"/>
      </w:pPr>
      <w:r w:rsidRPr="000A4F1E">
        <w:rPr>
          <w:b/>
        </w:rPr>
        <w:t>TCOC:</w:t>
      </w:r>
      <w:r w:rsidRPr="00D04E2D">
        <w:t xml:space="preserve"> ACO-specific TCOC reflects total</w:t>
      </w:r>
      <w:r>
        <w:t xml:space="preserve"> historical</w:t>
      </w:r>
      <w:r w:rsidRPr="00D04E2D">
        <w:t xml:space="preserve"> costs for each ACO’s </w:t>
      </w:r>
      <w:r>
        <w:t>enrolled or attributed member population</w:t>
      </w:r>
      <w:r w:rsidRPr="00D04E2D">
        <w:t xml:space="preserve">. In this example, both ACO 1 and 2 have ACO-specific TCOC amounts above the market-based </w:t>
      </w:r>
      <w:r>
        <w:t>standard</w:t>
      </w:r>
      <w:r w:rsidRPr="00D04E2D">
        <w:t>.</w:t>
      </w:r>
    </w:p>
    <w:p w:rsidR="00230092" w:rsidRPr="00D04E2D" w:rsidRDefault="00230092" w:rsidP="00230092">
      <w:pPr>
        <w:pStyle w:val="ListParagraph"/>
        <w:numPr>
          <w:ilvl w:val="0"/>
          <w:numId w:val="37"/>
        </w:numPr>
        <w:spacing w:line="259" w:lineRule="auto"/>
      </w:pPr>
      <w:r w:rsidRPr="000A4F1E">
        <w:rPr>
          <w:b/>
        </w:rPr>
        <w:t>Risk Score:</w:t>
      </w:r>
      <w:r w:rsidRPr="00D04E2D">
        <w:t xml:space="preserve"> This is the “raw” risk score calculated using </w:t>
      </w:r>
      <w:r>
        <w:t>EOHHS’</w:t>
      </w:r>
      <w:r w:rsidRPr="00D04E2D">
        <w:t xml:space="preserve"> risk adjustment model. Note that the market-wide average score does not equal 1.00 when using raw scores.</w:t>
      </w:r>
    </w:p>
    <w:p w:rsidR="00230092" w:rsidRPr="00D04E2D" w:rsidRDefault="00230092" w:rsidP="00230092">
      <w:pPr>
        <w:pStyle w:val="ListParagraph"/>
        <w:numPr>
          <w:ilvl w:val="0"/>
          <w:numId w:val="37"/>
        </w:numPr>
        <w:spacing w:line="259" w:lineRule="auto"/>
      </w:pPr>
      <w:r w:rsidRPr="000A4F1E">
        <w:rPr>
          <w:b/>
        </w:rPr>
        <w:t>Relative Risk Scores:</w:t>
      </w:r>
      <w:r w:rsidRPr="00D04E2D">
        <w:t xml:space="preserve"> All scores are divided by the market-average score to calculate the relative risk score. Note that now the market average score equals 1.00. ACO 1 has a relative risk score above the market-average, while ACO 2 has a risk score equal to the market average.</w:t>
      </w:r>
    </w:p>
    <w:p w:rsidR="00230092" w:rsidRPr="00D04E2D" w:rsidRDefault="00230092" w:rsidP="00230092">
      <w:pPr>
        <w:pStyle w:val="ListParagraph"/>
        <w:numPr>
          <w:ilvl w:val="0"/>
          <w:numId w:val="37"/>
        </w:numPr>
        <w:spacing w:line="259" w:lineRule="auto"/>
      </w:pPr>
      <w:r w:rsidRPr="000A4F1E">
        <w:rPr>
          <w:b/>
        </w:rPr>
        <w:t>Risk-Normalized TCOC:</w:t>
      </w:r>
      <w:r w:rsidRPr="00D04E2D">
        <w:t xml:space="preserve"> The ACO-specific TCOC amounts are divided by the relative risk scores. Note that ACO 1 had the highest TCOC on an unadjusted basis, but now has the lowest TCOC on a risk-adjusted basis. This means that ACO 1’s TCOC performance is better than ACO 2, as well as the market-based TCOC, after considering that ACO 1’s population had much higher risk scores and acuity levels.</w:t>
      </w:r>
    </w:p>
    <w:p w:rsidR="00230092" w:rsidRPr="000A4F1E" w:rsidRDefault="00230092" w:rsidP="00230092">
      <w:pPr>
        <w:rPr>
          <w:b/>
        </w:rPr>
      </w:pPr>
      <w:r w:rsidRPr="00D04E2D">
        <w:rPr>
          <w:b/>
        </w:rPr>
        <w:t xml:space="preserve">Step 3: </w:t>
      </w:r>
      <w:r w:rsidRPr="000A4F1E">
        <w:rPr>
          <w:b/>
        </w:rPr>
        <w:t xml:space="preserve">Developing a Network Variance Factor </w:t>
      </w:r>
      <w:r w:rsidRPr="00D04E2D">
        <w:rPr>
          <w:b/>
        </w:rPr>
        <w:t xml:space="preserve">(NVF) </w:t>
      </w:r>
      <w:r w:rsidRPr="000A4F1E">
        <w:rPr>
          <w:b/>
        </w:rPr>
        <w:t>based on the risk-normalized ACO-specific TCOC</w:t>
      </w:r>
    </w:p>
    <w:p w:rsidR="00230092" w:rsidRPr="00D04E2D" w:rsidRDefault="00230092" w:rsidP="00230092">
      <w:r w:rsidRPr="00D04E2D">
        <w:t xml:space="preserve">For each ACO, a network variance factor is determined by dividing the risk-normalized ACO-specific TCOC by the market-based </w:t>
      </w:r>
      <w:r>
        <w:t>standard</w:t>
      </w:r>
      <w:r w:rsidRPr="00D04E2D">
        <w:t xml:space="preserve">.  The network variance factor reflects the ratio of expected TCOC by ACO relative to the market-based </w:t>
      </w:r>
      <w:r>
        <w:t>standard</w:t>
      </w:r>
      <w:r w:rsidRPr="00D04E2D">
        <w:t>, but excludes differences driven by unit pricing and risk score levels between ACOs.  The example below calculates the network variance factors for ACO 1 and 2 included in the prior example above:</w:t>
      </w:r>
    </w:p>
    <w:p w:rsidR="00230092" w:rsidRPr="00D04E2D" w:rsidRDefault="00230092" w:rsidP="00230092">
      <w:pPr>
        <w:pStyle w:val="IntenseQuote"/>
      </w:pPr>
      <w:r w:rsidRPr="00D04E2D">
        <w:t xml:space="preserve">Example </w:t>
      </w:r>
      <w:r>
        <w:t>6</w:t>
      </w:r>
      <w:r w:rsidRPr="00D04E2D">
        <w:t>: Calculating Network Variance Factors for two ACOs</w:t>
      </w:r>
    </w:p>
    <w:tbl>
      <w:tblPr>
        <w:tblW w:w="4046" w:type="dxa"/>
        <w:tblInd w:w="1467" w:type="dxa"/>
        <w:tblLook w:val="04A0" w:firstRow="1" w:lastRow="0" w:firstColumn="1" w:lastColumn="0" w:noHBand="0" w:noVBand="1"/>
      </w:tblPr>
      <w:tblGrid>
        <w:gridCol w:w="1213"/>
        <w:gridCol w:w="1573"/>
        <w:gridCol w:w="1260"/>
      </w:tblGrid>
      <w:tr w:rsidR="00230092" w:rsidRPr="00D04E2D" w:rsidTr="00C22495">
        <w:trPr>
          <w:trHeight w:val="771"/>
        </w:trPr>
        <w:tc>
          <w:tcPr>
            <w:tcW w:w="1213" w:type="dxa"/>
            <w:tcBorders>
              <w:top w:val="nil"/>
              <w:left w:val="nil"/>
              <w:bottom w:val="single" w:sz="8"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573"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Risk-Normalized TCOC</w:t>
            </w:r>
          </w:p>
        </w:tc>
        <w:tc>
          <w:tcPr>
            <w:tcW w:w="1260"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Network Variance Factor</w:t>
            </w:r>
          </w:p>
        </w:tc>
      </w:tr>
      <w:tr w:rsidR="00230092" w:rsidRPr="00D04E2D" w:rsidTr="00C22495">
        <w:trPr>
          <w:trHeight w:val="254"/>
        </w:trPr>
        <w:tc>
          <w:tcPr>
            <w:tcW w:w="121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1</w:t>
            </w:r>
          </w:p>
        </w:tc>
        <w:tc>
          <w:tcPr>
            <w:tcW w:w="157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$450.00 </w:t>
            </w:r>
          </w:p>
        </w:tc>
        <w:tc>
          <w:tcPr>
            <w:tcW w:w="126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0.900</w:t>
            </w:r>
          </w:p>
        </w:tc>
      </w:tr>
      <w:tr w:rsidR="00230092" w:rsidRPr="00D04E2D" w:rsidTr="00C22495">
        <w:trPr>
          <w:trHeight w:val="254"/>
        </w:trPr>
        <w:tc>
          <w:tcPr>
            <w:tcW w:w="121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2</w:t>
            </w:r>
          </w:p>
        </w:tc>
        <w:tc>
          <w:tcPr>
            <w:tcW w:w="157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$525.00 </w:t>
            </w:r>
          </w:p>
        </w:tc>
        <w:tc>
          <w:tcPr>
            <w:tcW w:w="126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1.050</w:t>
            </w:r>
          </w:p>
        </w:tc>
      </w:tr>
      <w:tr w:rsidR="00230092" w:rsidRPr="00D04E2D" w:rsidTr="00C22495">
        <w:trPr>
          <w:trHeight w:val="254"/>
        </w:trPr>
        <w:tc>
          <w:tcPr>
            <w:tcW w:w="121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w:t>
            </w:r>
          </w:p>
        </w:tc>
        <w:tc>
          <w:tcPr>
            <w:tcW w:w="157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260"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p>
        </w:tc>
      </w:tr>
      <w:tr w:rsidR="00230092" w:rsidRPr="00D04E2D" w:rsidTr="00C22495">
        <w:trPr>
          <w:trHeight w:val="254"/>
        </w:trPr>
        <w:tc>
          <w:tcPr>
            <w:tcW w:w="121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Market</w:t>
            </w:r>
          </w:p>
        </w:tc>
        <w:tc>
          <w:tcPr>
            <w:tcW w:w="157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26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1.000</w:t>
            </w:r>
          </w:p>
        </w:tc>
      </w:tr>
    </w:tbl>
    <w:p w:rsidR="00230092" w:rsidRPr="00D04E2D" w:rsidRDefault="00230092" w:rsidP="00230092">
      <w:r w:rsidRPr="00D04E2D">
        <w:br/>
      </w:r>
      <w:r w:rsidRPr="00D04E2D">
        <w:rPr>
          <w:b/>
        </w:rPr>
        <w:t xml:space="preserve">Step 4: </w:t>
      </w:r>
      <w:r w:rsidRPr="000A4F1E">
        <w:rPr>
          <w:b/>
        </w:rPr>
        <w:t xml:space="preserve">Applying the </w:t>
      </w:r>
      <w:r w:rsidRPr="00D04E2D">
        <w:rPr>
          <w:b/>
        </w:rPr>
        <w:t>NVF</w:t>
      </w:r>
      <w:r w:rsidRPr="000A4F1E">
        <w:rPr>
          <w:b/>
        </w:rPr>
        <w:t xml:space="preserve"> to the market-based </w:t>
      </w:r>
      <w:r>
        <w:rPr>
          <w:b/>
        </w:rPr>
        <w:t>standard</w:t>
      </w:r>
      <w:r w:rsidRPr="000A4F1E">
        <w:rPr>
          <w:b/>
        </w:rPr>
        <w:t xml:space="preserve"> to develop the ACO’s adjusted TCOC</w:t>
      </w:r>
    </w:p>
    <w:p w:rsidR="00230092" w:rsidRPr="00D04E2D" w:rsidRDefault="00230092" w:rsidP="00230092">
      <w:r w:rsidRPr="00D04E2D">
        <w:t xml:space="preserve">Each year, </w:t>
      </w:r>
      <w:r>
        <w:t>each ACO’s capitation rate or TCOC benchmark will be based on</w:t>
      </w:r>
      <w:r w:rsidRPr="00D04E2D">
        <w:t xml:space="preserve"> a blend of the market-based </w:t>
      </w:r>
      <w:r>
        <w:t>standard</w:t>
      </w:r>
      <w:r w:rsidRPr="00D04E2D">
        <w:t xml:space="preserve"> and the ACO-specific TCOC. This </w:t>
      </w:r>
      <w:r>
        <w:t xml:space="preserve">blend </w:t>
      </w:r>
      <w:r w:rsidRPr="00D04E2D">
        <w:t xml:space="preserve">is achieved by adjusting the market-based </w:t>
      </w:r>
      <w:r>
        <w:t>standard</w:t>
      </w:r>
      <w:r w:rsidRPr="00D04E2D">
        <w:t xml:space="preserve"> by a factor determined as a weighted average of the ACO-specific network variance factor and the market-based network variance factor (which will always equal 1.00). The weight applied to the ACO-specific network variance factor will be determined by </w:t>
      </w:r>
      <w:r>
        <w:t>EOHHS</w:t>
      </w:r>
      <w:r w:rsidRPr="00D04E2D">
        <w:t xml:space="preserve"> each year; higher weights will be used in the initial years of the program, with the weight reduced each year until full weight is given to the market-based </w:t>
      </w:r>
      <w:r>
        <w:t>standard</w:t>
      </w:r>
      <w:r w:rsidRPr="00D04E2D">
        <w:t xml:space="preserve">. </w:t>
      </w:r>
    </w:p>
    <w:p w:rsidR="00230092" w:rsidRPr="00D04E2D" w:rsidRDefault="00230092" w:rsidP="00230092">
      <w:r w:rsidRPr="00D04E2D">
        <w:t>The example below calculates the network variance factors for ACO 1 and 2 included in the prior examples above. This illustration assumes that a 90% weight will be applied to the ACO-specific network variance factor:</w:t>
      </w:r>
    </w:p>
    <w:p w:rsidR="00230092" w:rsidRPr="00D04E2D" w:rsidRDefault="00230092" w:rsidP="00230092">
      <w:pPr>
        <w:pStyle w:val="IntenseQuote"/>
      </w:pPr>
      <w:r w:rsidRPr="00D04E2D">
        <w:t xml:space="preserve">Example </w:t>
      </w:r>
      <w:r>
        <w:t>7</w:t>
      </w:r>
      <w:r w:rsidRPr="00D04E2D">
        <w:t>: Calculating ACOs’ NVF-adjusted TCOC</w:t>
      </w:r>
    </w:p>
    <w:tbl>
      <w:tblPr>
        <w:tblW w:w="7671" w:type="dxa"/>
        <w:tblInd w:w="1706" w:type="dxa"/>
        <w:tblLook w:val="04A0" w:firstRow="1" w:lastRow="0" w:firstColumn="1" w:lastColumn="0" w:noHBand="0" w:noVBand="1"/>
      </w:tblPr>
      <w:tblGrid>
        <w:gridCol w:w="1122"/>
        <w:gridCol w:w="1456"/>
        <w:gridCol w:w="1166"/>
        <w:gridCol w:w="1683"/>
        <w:gridCol w:w="1122"/>
        <w:gridCol w:w="1122"/>
      </w:tblGrid>
      <w:tr w:rsidR="00230092" w:rsidRPr="00D04E2D" w:rsidTr="00C22495">
        <w:trPr>
          <w:trHeight w:val="700"/>
        </w:trPr>
        <w:tc>
          <w:tcPr>
            <w:tcW w:w="1122" w:type="dxa"/>
            <w:tcBorders>
              <w:top w:val="nil"/>
              <w:left w:val="nil"/>
              <w:bottom w:val="single" w:sz="8"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456"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Risk-Normalized TCOC</w:t>
            </w:r>
          </w:p>
        </w:tc>
        <w:tc>
          <w:tcPr>
            <w:tcW w:w="1166"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Network Variance Factor</w:t>
            </w:r>
          </w:p>
        </w:tc>
        <w:tc>
          <w:tcPr>
            <w:tcW w:w="1683"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Blended Factor (90% ACO/ </w:t>
            </w:r>
          </w:p>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10% Market)</w:t>
            </w:r>
          </w:p>
        </w:tc>
        <w:tc>
          <w:tcPr>
            <w:tcW w:w="1122"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Market-Based </w:t>
            </w:r>
            <w:r>
              <w:rPr>
                <w:rFonts w:eastAsia="Times New Roman" w:cs="Calibri"/>
                <w:color w:val="000000"/>
              </w:rPr>
              <w:t>Standard</w:t>
            </w:r>
          </w:p>
        </w:tc>
        <w:tc>
          <w:tcPr>
            <w:tcW w:w="1122"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ACO-Specific Rate</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1</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$450.00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0.900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0.910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$455.00 </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2</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$525.00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1.050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1.045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$522.50 </w:t>
            </w:r>
          </w:p>
        </w:tc>
      </w:tr>
      <w:tr w:rsidR="00230092" w:rsidRPr="00D04E2D" w:rsidTr="00C22495">
        <w:trPr>
          <w:trHeight w:val="230"/>
        </w:trPr>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w:t>
            </w:r>
          </w:p>
        </w:tc>
        <w:tc>
          <w:tcPr>
            <w:tcW w:w="1456"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166"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c>
          <w:tcPr>
            <w:tcW w:w="168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w:t>
            </w:r>
          </w:p>
        </w:tc>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Market</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1.000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                 1.000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r>
    </w:tbl>
    <w:p w:rsidR="00230092" w:rsidRPr="00D04E2D" w:rsidRDefault="00230092" w:rsidP="00230092">
      <w:pPr>
        <w:ind w:left="1440"/>
      </w:pPr>
    </w:p>
    <w:p w:rsidR="00230092" w:rsidRPr="00D04E2D" w:rsidRDefault="00230092" w:rsidP="00230092">
      <w:pPr>
        <w:pStyle w:val="ListParagraph"/>
        <w:numPr>
          <w:ilvl w:val="0"/>
          <w:numId w:val="38"/>
        </w:numPr>
        <w:spacing w:line="259" w:lineRule="auto"/>
      </w:pPr>
      <w:r w:rsidRPr="000A4F1E">
        <w:rPr>
          <w:b/>
        </w:rPr>
        <w:t>Risk-Normalized TCOC:</w:t>
      </w:r>
      <w:r w:rsidRPr="00D04E2D">
        <w:t xml:space="preserve"> ACO-specific TCOC after risk-normalization.</w:t>
      </w:r>
    </w:p>
    <w:p w:rsidR="00230092" w:rsidRPr="00D04E2D" w:rsidRDefault="00230092" w:rsidP="00230092">
      <w:pPr>
        <w:pStyle w:val="ListParagraph"/>
        <w:numPr>
          <w:ilvl w:val="0"/>
          <w:numId w:val="38"/>
        </w:numPr>
        <w:spacing w:line="259" w:lineRule="auto"/>
      </w:pPr>
      <w:r w:rsidRPr="000A4F1E">
        <w:rPr>
          <w:b/>
        </w:rPr>
        <w:t>Network Variance Factor:</w:t>
      </w:r>
      <w:r w:rsidRPr="00D04E2D">
        <w:t xml:space="preserve"> ACO-specific Risk-normalized TCOC divided by the market-based </w:t>
      </w:r>
      <w:r>
        <w:t>standard</w:t>
      </w:r>
      <w:r w:rsidRPr="00D04E2D">
        <w:t>.</w:t>
      </w:r>
    </w:p>
    <w:p w:rsidR="00230092" w:rsidRPr="00D04E2D" w:rsidRDefault="00230092" w:rsidP="00230092">
      <w:pPr>
        <w:pStyle w:val="ListParagraph"/>
        <w:numPr>
          <w:ilvl w:val="0"/>
          <w:numId w:val="38"/>
        </w:numPr>
        <w:spacing w:line="259" w:lineRule="auto"/>
      </w:pPr>
      <w:r w:rsidRPr="000A4F1E">
        <w:rPr>
          <w:b/>
        </w:rPr>
        <w:t>Blended Factor:</w:t>
      </w:r>
      <w:r w:rsidRPr="00D04E2D">
        <w:t xml:space="preserve"> Calculated as a weighted average of the ACO-specific network variance factor with the market</w:t>
      </w:r>
      <w:r>
        <w:t>-based</w:t>
      </w:r>
      <w:r w:rsidRPr="00D04E2D">
        <w:t xml:space="preserve"> factor (equal to 1.00). In this example, 90% weight is applied to the ACO-specific factor and 10% is applied to the market</w:t>
      </w:r>
      <w:r>
        <w:t>-based</w:t>
      </w:r>
      <w:r w:rsidRPr="00D04E2D">
        <w:t xml:space="preserve"> factor.</w:t>
      </w:r>
    </w:p>
    <w:p w:rsidR="00230092" w:rsidRPr="00D04E2D" w:rsidRDefault="00230092" w:rsidP="00230092">
      <w:pPr>
        <w:pStyle w:val="ListParagraph"/>
        <w:numPr>
          <w:ilvl w:val="0"/>
          <w:numId w:val="38"/>
        </w:numPr>
        <w:spacing w:line="259" w:lineRule="auto"/>
      </w:pPr>
      <w:r w:rsidRPr="000A4F1E">
        <w:rPr>
          <w:b/>
        </w:rPr>
        <w:t xml:space="preserve">Market-Based </w:t>
      </w:r>
      <w:r>
        <w:rPr>
          <w:b/>
        </w:rPr>
        <w:t>Standard</w:t>
      </w:r>
      <w:r w:rsidRPr="000A4F1E">
        <w:rPr>
          <w:b/>
        </w:rPr>
        <w:t>:</w:t>
      </w:r>
      <w:r w:rsidRPr="00D04E2D">
        <w:t xml:space="preserve"> This is the market-based </w:t>
      </w:r>
      <w:r>
        <w:t>standard</w:t>
      </w:r>
      <w:r w:rsidRPr="00D04E2D">
        <w:t xml:space="preserve"> to which the blended network efficiency factor gets applied.</w:t>
      </w:r>
    </w:p>
    <w:p w:rsidR="00230092" w:rsidRPr="00D04E2D" w:rsidRDefault="00230092" w:rsidP="00230092">
      <w:pPr>
        <w:pStyle w:val="ListParagraph"/>
        <w:numPr>
          <w:ilvl w:val="0"/>
          <w:numId w:val="38"/>
        </w:numPr>
        <w:spacing w:line="259" w:lineRule="auto"/>
      </w:pPr>
      <w:r w:rsidRPr="000A4F1E">
        <w:rPr>
          <w:b/>
        </w:rPr>
        <w:t xml:space="preserve">ACO-Specific Rate: </w:t>
      </w:r>
      <w:r w:rsidRPr="00D04E2D">
        <w:t xml:space="preserve">This is equal to the market-based </w:t>
      </w:r>
      <w:r>
        <w:t>standard</w:t>
      </w:r>
      <w:r w:rsidRPr="00D04E2D">
        <w:t xml:space="preserve"> times the blended network efficiency factor. These ACO-specific amounts form the basis for the medical component of Partnership Plan capitation rates and for the TCOC benchmark</w:t>
      </w:r>
      <w:r>
        <w:t>s</w:t>
      </w:r>
      <w:r w:rsidRPr="00D04E2D">
        <w:t xml:space="preserve"> for Primary Care </w:t>
      </w:r>
      <w:r>
        <w:t xml:space="preserve">ACOs </w:t>
      </w:r>
      <w:r w:rsidRPr="00D04E2D">
        <w:t>and MCO-Administered ACOs.</w:t>
      </w:r>
    </w:p>
    <w:p w:rsidR="00230092" w:rsidRDefault="00230092" w:rsidP="00230092">
      <w:pPr>
        <w:rPr>
          <w:i/>
        </w:rPr>
      </w:pPr>
    </w:p>
    <w:p w:rsidR="00230092" w:rsidRPr="00D04E2D" w:rsidRDefault="00230092" w:rsidP="00230092">
      <w:pPr>
        <w:rPr>
          <w:i/>
        </w:rPr>
      </w:pPr>
      <w:r w:rsidRPr="00D04E2D">
        <w:rPr>
          <w:i/>
        </w:rPr>
        <w:t>Section 3.5 Additional steps in developing capitation rates and TCOC benchmarks</w:t>
      </w:r>
    </w:p>
    <w:p w:rsidR="00230092" w:rsidRDefault="00230092" w:rsidP="00230092">
      <w:pPr>
        <w:jc w:val="center"/>
        <w:rPr>
          <w:highlight w:val="yellow"/>
        </w:rPr>
      </w:pPr>
      <w:r>
        <w:rPr>
          <w:noProof/>
        </w:rPr>
        <w:drawing>
          <wp:inline distT="0" distB="0" distL="0" distR="0" wp14:anchorId="0BE082A5" wp14:editId="3F00BBF3">
            <wp:extent cx="4169108" cy="2990088"/>
            <wp:effectExtent l="0" t="0" r="317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D.PNG"/>
                    <pic:cNvPicPr/>
                  </pic:nvPicPr>
                  <pic:blipFill>
                    <a:blip r:embed="rId15">
                      <a:extLst>
                        <a:ext uri="{28A0092B-C50C-407E-A947-70E740481C1C}">
                          <a14:useLocalDpi xmlns:a14="http://schemas.microsoft.com/office/drawing/2010/main" val="0"/>
                        </a:ext>
                      </a:extLst>
                    </a:blip>
                    <a:stretch>
                      <a:fillRect/>
                    </a:stretch>
                  </pic:blipFill>
                  <pic:spPr>
                    <a:xfrm>
                      <a:off x="0" y="0"/>
                      <a:ext cx="4169108" cy="2990088"/>
                    </a:xfrm>
                    <a:prstGeom prst="rect">
                      <a:avLst/>
                    </a:prstGeom>
                  </pic:spPr>
                </pic:pic>
              </a:graphicData>
            </a:graphic>
          </wp:inline>
        </w:drawing>
      </w:r>
    </w:p>
    <w:p w:rsidR="00230092" w:rsidRPr="00D04E2D" w:rsidRDefault="00230092" w:rsidP="00230092">
      <w:r w:rsidRPr="00D04E2D">
        <w:rPr>
          <w:i/>
        </w:rPr>
        <w:t>Partnership Plan Capitation Rates</w:t>
      </w:r>
      <w:r w:rsidRPr="00D04E2D">
        <w:t xml:space="preserve">: Partnership Plan capitation rates will consist of the NVF-adjusted TCOC rate for each rate cell, calculated as described in Section 3.4 above, plus </w:t>
      </w:r>
      <w:r w:rsidRPr="000A4F1E">
        <w:rPr>
          <w:b/>
        </w:rPr>
        <w:t>additional amounts</w:t>
      </w:r>
      <w:r w:rsidRPr="00D04E2D">
        <w:t xml:space="preserve"> for specific </w:t>
      </w:r>
      <w:r w:rsidRPr="000A4F1E">
        <w:rPr>
          <w:b/>
        </w:rPr>
        <w:t>benefit add-ons</w:t>
      </w:r>
      <w:r w:rsidRPr="00D04E2D">
        <w:t xml:space="preserve">, </w:t>
      </w:r>
      <w:r w:rsidRPr="000A4F1E">
        <w:rPr>
          <w:b/>
        </w:rPr>
        <w:t>administrative expenses</w:t>
      </w:r>
      <w:r w:rsidRPr="00D04E2D">
        <w:t xml:space="preserve">, and </w:t>
      </w:r>
      <w:r w:rsidRPr="000A4F1E">
        <w:rPr>
          <w:b/>
        </w:rPr>
        <w:t>underwriting gain</w:t>
      </w:r>
      <w:r w:rsidRPr="00D04E2D">
        <w:t xml:space="preserve">. The </w:t>
      </w:r>
      <w:r w:rsidRPr="000A4F1E">
        <w:rPr>
          <w:b/>
        </w:rPr>
        <w:t>delivery payment</w:t>
      </w:r>
      <w:r w:rsidRPr="00D04E2D">
        <w:t xml:space="preserve"> (see Section </w:t>
      </w:r>
      <w:r>
        <w:t>2.3)</w:t>
      </w:r>
      <w:r w:rsidRPr="00D04E2D">
        <w:t xml:space="preserve"> will be paid separately from the capitation rates. The example below illustrates how these additional PMPM items will be added to the ACO-specific rate (calculated above) to determine final capitation rates.</w:t>
      </w:r>
    </w:p>
    <w:p w:rsidR="00230092" w:rsidRPr="00D04E2D" w:rsidRDefault="00230092" w:rsidP="00230092">
      <w:pPr>
        <w:pStyle w:val="IntenseQuote"/>
        <w:keepNext/>
      </w:pPr>
      <w:r w:rsidRPr="00D04E2D">
        <w:t xml:space="preserve">Example </w:t>
      </w:r>
      <w:r>
        <w:t>8</w:t>
      </w:r>
      <w:r w:rsidRPr="00D04E2D">
        <w:t>: Finalizing Partnership Plan capitation rates</w:t>
      </w:r>
    </w:p>
    <w:tbl>
      <w:tblPr>
        <w:tblW w:w="7377" w:type="dxa"/>
        <w:tblInd w:w="1875" w:type="dxa"/>
        <w:tblLook w:val="04A0" w:firstRow="1" w:lastRow="0" w:firstColumn="1" w:lastColumn="0" w:noHBand="0" w:noVBand="1"/>
      </w:tblPr>
      <w:tblGrid>
        <w:gridCol w:w="1063"/>
        <w:gridCol w:w="941"/>
        <w:gridCol w:w="1063"/>
        <w:gridCol w:w="1527"/>
        <w:gridCol w:w="1403"/>
        <w:gridCol w:w="1380"/>
      </w:tblGrid>
      <w:tr w:rsidR="00230092" w:rsidRPr="00D04E2D" w:rsidTr="00C22495">
        <w:trPr>
          <w:trHeight w:val="726"/>
        </w:trPr>
        <w:tc>
          <w:tcPr>
            <w:tcW w:w="1063" w:type="dxa"/>
            <w:tcBorders>
              <w:top w:val="nil"/>
              <w:left w:val="nil"/>
              <w:bottom w:val="single" w:sz="8"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c>
          <w:tcPr>
            <w:tcW w:w="941" w:type="dxa"/>
            <w:tcBorders>
              <w:top w:val="nil"/>
              <w:left w:val="nil"/>
              <w:bottom w:val="single" w:sz="8" w:space="0" w:color="auto"/>
              <w:right w:val="nil"/>
            </w:tcBorders>
            <w:vAlign w:val="bottom"/>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ACO-Specific Rate</w:t>
            </w:r>
          </w:p>
        </w:tc>
        <w:tc>
          <w:tcPr>
            <w:tcW w:w="1063" w:type="dxa"/>
            <w:tcBorders>
              <w:top w:val="nil"/>
              <w:left w:val="nil"/>
              <w:bottom w:val="single" w:sz="8" w:space="0" w:color="auto"/>
              <w:right w:val="nil"/>
            </w:tcBorders>
            <w:shd w:val="clear" w:color="auto" w:fill="auto"/>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PMPM Benefit Add-ons</w:t>
            </w:r>
          </w:p>
        </w:tc>
        <w:tc>
          <w:tcPr>
            <w:tcW w:w="1527" w:type="dxa"/>
            <w:tcBorders>
              <w:top w:val="nil"/>
              <w:left w:val="nil"/>
              <w:bottom w:val="single" w:sz="8" w:space="0" w:color="auto"/>
              <w:right w:val="nil"/>
            </w:tcBorders>
            <w:shd w:val="clear" w:color="auto" w:fill="auto"/>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Administrative Expense</w:t>
            </w:r>
          </w:p>
        </w:tc>
        <w:tc>
          <w:tcPr>
            <w:tcW w:w="1403" w:type="dxa"/>
            <w:tcBorders>
              <w:top w:val="nil"/>
              <w:left w:val="nil"/>
              <w:bottom w:val="single" w:sz="8" w:space="0" w:color="auto"/>
              <w:right w:val="nil"/>
            </w:tcBorders>
            <w:shd w:val="clear" w:color="auto" w:fill="auto"/>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Underwriting Gain</w:t>
            </w:r>
          </w:p>
        </w:tc>
        <w:tc>
          <w:tcPr>
            <w:tcW w:w="1380" w:type="dxa"/>
            <w:tcBorders>
              <w:top w:val="nil"/>
              <w:left w:val="nil"/>
              <w:bottom w:val="single" w:sz="8" w:space="0" w:color="auto"/>
              <w:right w:val="nil"/>
            </w:tcBorders>
            <w:shd w:val="clear" w:color="auto" w:fill="auto"/>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Final Capitation Rate</w:t>
            </w:r>
          </w:p>
        </w:tc>
      </w:tr>
      <w:tr w:rsidR="00230092" w:rsidRPr="00D04E2D" w:rsidTr="00C22495">
        <w:trPr>
          <w:trHeight w:val="239"/>
        </w:trPr>
        <w:tc>
          <w:tcPr>
            <w:tcW w:w="106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ACO 1</w:t>
            </w:r>
          </w:p>
        </w:tc>
        <w:tc>
          <w:tcPr>
            <w:tcW w:w="941" w:type="dxa"/>
            <w:tcBorders>
              <w:top w:val="nil"/>
              <w:left w:val="nil"/>
              <w:bottom w:val="nil"/>
              <w:right w:val="nil"/>
            </w:tcBorders>
            <w:vAlign w:val="bottom"/>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$455.00 </w:t>
            </w:r>
          </w:p>
        </w:tc>
        <w:tc>
          <w:tcPr>
            <w:tcW w:w="106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$5.00</w:t>
            </w:r>
          </w:p>
        </w:tc>
        <w:tc>
          <w:tcPr>
            <w:tcW w:w="1527"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$30.00</w:t>
            </w:r>
          </w:p>
        </w:tc>
        <w:tc>
          <w:tcPr>
            <w:tcW w:w="140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$15.00</w:t>
            </w:r>
          </w:p>
        </w:tc>
        <w:tc>
          <w:tcPr>
            <w:tcW w:w="1380"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$505.00 </w:t>
            </w:r>
          </w:p>
        </w:tc>
      </w:tr>
      <w:tr w:rsidR="00230092" w:rsidRPr="00D04E2D" w:rsidTr="00C22495">
        <w:trPr>
          <w:trHeight w:val="239"/>
        </w:trPr>
        <w:tc>
          <w:tcPr>
            <w:tcW w:w="106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ACO 2</w:t>
            </w:r>
          </w:p>
        </w:tc>
        <w:tc>
          <w:tcPr>
            <w:tcW w:w="941" w:type="dxa"/>
            <w:tcBorders>
              <w:top w:val="nil"/>
              <w:left w:val="nil"/>
              <w:bottom w:val="nil"/>
              <w:right w:val="nil"/>
            </w:tcBorders>
            <w:vAlign w:val="bottom"/>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$522.50 </w:t>
            </w:r>
          </w:p>
        </w:tc>
        <w:tc>
          <w:tcPr>
            <w:tcW w:w="106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$5.00</w:t>
            </w:r>
          </w:p>
        </w:tc>
        <w:tc>
          <w:tcPr>
            <w:tcW w:w="1527"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$30.00 </w:t>
            </w:r>
          </w:p>
        </w:tc>
        <w:tc>
          <w:tcPr>
            <w:tcW w:w="1403"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$18.00 </w:t>
            </w:r>
          </w:p>
        </w:tc>
        <w:tc>
          <w:tcPr>
            <w:tcW w:w="1380" w:type="dxa"/>
            <w:tcBorders>
              <w:top w:val="nil"/>
              <w:left w:val="nil"/>
              <w:bottom w:val="nil"/>
              <w:right w:val="nil"/>
            </w:tcBorders>
            <w:shd w:val="clear" w:color="auto" w:fill="auto"/>
            <w:noWrap/>
            <w:vAlign w:val="bottom"/>
            <w:hideMark/>
          </w:tcPr>
          <w:p w:rsidR="00230092" w:rsidRPr="000A4F1E" w:rsidRDefault="00230092" w:rsidP="00C22495">
            <w:pPr>
              <w:keepNext/>
              <w:spacing w:after="0" w:line="240" w:lineRule="auto"/>
              <w:jc w:val="right"/>
              <w:rPr>
                <w:rFonts w:eastAsia="Times New Roman" w:cs="Calibri"/>
                <w:color w:val="000000"/>
              </w:rPr>
            </w:pPr>
            <w:r w:rsidRPr="000A4F1E">
              <w:rPr>
                <w:rFonts w:eastAsia="Times New Roman" w:cs="Calibri"/>
                <w:color w:val="000000"/>
              </w:rPr>
              <w:t xml:space="preserve">$575.50 </w:t>
            </w:r>
          </w:p>
        </w:tc>
      </w:tr>
      <w:tr w:rsidR="00230092" w:rsidRPr="00D04E2D" w:rsidTr="00C22495">
        <w:trPr>
          <w:trHeight w:val="239"/>
        </w:trPr>
        <w:tc>
          <w:tcPr>
            <w:tcW w:w="1063" w:type="dxa"/>
            <w:tcBorders>
              <w:top w:val="nil"/>
              <w:left w:val="nil"/>
              <w:bottom w:val="single" w:sz="4"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w:t>
            </w:r>
          </w:p>
        </w:tc>
        <w:tc>
          <w:tcPr>
            <w:tcW w:w="941" w:type="dxa"/>
            <w:tcBorders>
              <w:top w:val="nil"/>
              <w:left w:val="nil"/>
              <w:bottom w:val="single" w:sz="4" w:space="0" w:color="auto"/>
              <w:right w:val="nil"/>
            </w:tcBorders>
            <w:vAlign w:val="bottom"/>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c>
          <w:tcPr>
            <w:tcW w:w="1063" w:type="dxa"/>
            <w:tcBorders>
              <w:top w:val="nil"/>
              <w:left w:val="nil"/>
              <w:bottom w:val="single" w:sz="4"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c>
          <w:tcPr>
            <w:tcW w:w="1527" w:type="dxa"/>
            <w:tcBorders>
              <w:top w:val="nil"/>
              <w:left w:val="nil"/>
              <w:bottom w:val="single" w:sz="4"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c>
          <w:tcPr>
            <w:tcW w:w="1403" w:type="dxa"/>
            <w:tcBorders>
              <w:top w:val="nil"/>
              <w:left w:val="nil"/>
              <w:bottom w:val="single" w:sz="4"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c>
          <w:tcPr>
            <w:tcW w:w="1380" w:type="dxa"/>
            <w:tcBorders>
              <w:top w:val="nil"/>
              <w:left w:val="nil"/>
              <w:bottom w:val="single" w:sz="4" w:space="0" w:color="auto"/>
              <w:right w:val="nil"/>
            </w:tcBorders>
            <w:shd w:val="clear" w:color="auto" w:fill="auto"/>
            <w:noWrap/>
            <w:vAlign w:val="bottom"/>
            <w:hideMark/>
          </w:tcPr>
          <w:p w:rsidR="00230092" w:rsidRPr="000A4F1E" w:rsidRDefault="00230092" w:rsidP="00C22495">
            <w:pPr>
              <w:keepNext/>
              <w:spacing w:after="0" w:line="240" w:lineRule="auto"/>
              <w:rPr>
                <w:rFonts w:eastAsia="Times New Roman" w:cs="Calibri"/>
                <w:color w:val="000000"/>
              </w:rPr>
            </w:pPr>
            <w:r w:rsidRPr="000A4F1E">
              <w:rPr>
                <w:rFonts w:eastAsia="Times New Roman" w:cs="Calibri"/>
                <w:color w:val="000000"/>
              </w:rPr>
              <w:t> </w:t>
            </w:r>
          </w:p>
        </w:tc>
      </w:tr>
      <w:tr w:rsidR="00230092" w:rsidRPr="00D04E2D" w:rsidTr="00C22495">
        <w:trPr>
          <w:trHeight w:val="239"/>
        </w:trPr>
        <w:tc>
          <w:tcPr>
            <w:tcW w:w="1063" w:type="dxa"/>
            <w:tcBorders>
              <w:top w:val="nil"/>
              <w:left w:val="nil"/>
              <w:bottom w:val="nil"/>
              <w:right w:val="nil"/>
            </w:tcBorders>
            <w:shd w:val="clear" w:color="auto" w:fill="auto"/>
            <w:noWrap/>
            <w:vAlign w:val="bottom"/>
          </w:tcPr>
          <w:p w:rsidR="00230092" w:rsidRPr="000A4F1E" w:rsidRDefault="00230092" w:rsidP="00C22495">
            <w:pPr>
              <w:keepNext/>
              <w:spacing w:after="0" w:line="240" w:lineRule="auto"/>
              <w:rPr>
                <w:rFonts w:eastAsia="Times New Roman" w:cs="Calibri"/>
                <w:color w:val="000000"/>
              </w:rPr>
            </w:pPr>
          </w:p>
        </w:tc>
        <w:tc>
          <w:tcPr>
            <w:tcW w:w="941" w:type="dxa"/>
            <w:tcBorders>
              <w:top w:val="nil"/>
              <w:left w:val="nil"/>
              <w:bottom w:val="nil"/>
              <w:right w:val="nil"/>
            </w:tcBorders>
            <w:vAlign w:val="bottom"/>
          </w:tcPr>
          <w:p w:rsidR="00230092" w:rsidRPr="000A4F1E" w:rsidRDefault="00230092" w:rsidP="00C22495">
            <w:pPr>
              <w:keepNext/>
              <w:spacing w:after="0" w:line="240" w:lineRule="auto"/>
              <w:jc w:val="right"/>
              <w:rPr>
                <w:rFonts w:eastAsia="Times New Roman" w:cs="Calibri"/>
                <w:color w:val="000000"/>
              </w:rPr>
            </w:pPr>
          </w:p>
        </w:tc>
        <w:tc>
          <w:tcPr>
            <w:tcW w:w="1063" w:type="dxa"/>
            <w:tcBorders>
              <w:top w:val="nil"/>
              <w:left w:val="nil"/>
              <w:bottom w:val="nil"/>
              <w:right w:val="nil"/>
            </w:tcBorders>
            <w:shd w:val="clear" w:color="auto" w:fill="auto"/>
            <w:noWrap/>
            <w:vAlign w:val="bottom"/>
          </w:tcPr>
          <w:p w:rsidR="00230092" w:rsidRPr="000A4F1E" w:rsidRDefault="00230092" w:rsidP="00C22495">
            <w:pPr>
              <w:keepNext/>
              <w:spacing w:after="0" w:line="240" w:lineRule="auto"/>
              <w:jc w:val="right"/>
              <w:rPr>
                <w:rFonts w:eastAsia="Times New Roman" w:cs="Calibri"/>
                <w:color w:val="000000"/>
              </w:rPr>
            </w:pPr>
          </w:p>
        </w:tc>
        <w:tc>
          <w:tcPr>
            <w:tcW w:w="1527" w:type="dxa"/>
            <w:tcBorders>
              <w:top w:val="nil"/>
              <w:left w:val="nil"/>
              <w:bottom w:val="nil"/>
              <w:right w:val="nil"/>
            </w:tcBorders>
            <w:shd w:val="clear" w:color="auto" w:fill="auto"/>
            <w:noWrap/>
            <w:vAlign w:val="bottom"/>
          </w:tcPr>
          <w:p w:rsidR="00230092" w:rsidRPr="000A4F1E" w:rsidRDefault="00230092" w:rsidP="00C22495">
            <w:pPr>
              <w:keepNext/>
              <w:spacing w:after="0" w:line="240" w:lineRule="auto"/>
              <w:jc w:val="right"/>
              <w:rPr>
                <w:rFonts w:eastAsia="Times New Roman" w:cs="Calibri"/>
                <w:color w:val="000000"/>
              </w:rPr>
            </w:pPr>
          </w:p>
        </w:tc>
        <w:tc>
          <w:tcPr>
            <w:tcW w:w="1403" w:type="dxa"/>
            <w:tcBorders>
              <w:top w:val="nil"/>
              <w:left w:val="nil"/>
              <w:bottom w:val="nil"/>
              <w:right w:val="nil"/>
            </w:tcBorders>
            <w:shd w:val="clear" w:color="auto" w:fill="auto"/>
            <w:noWrap/>
            <w:vAlign w:val="bottom"/>
          </w:tcPr>
          <w:p w:rsidR="00230092" w:rsidRPr="000A4F1E" w:rsidRDefault="00230092" w:rsidP="00C22495">
            <w:pPr>
              <w:keepNext/>
              <w:spacing w:after="0" w:line="240" w:lineRule="auto"/>
              <w:rPr>
                <w:rFonts w:eastAsia="Times New Roman" w:cs="Calibri"/>
                <w:color w:val="000000"/>
              </w:rPr>
            </w:pPr>
          </w:p>
        </w:tc>
        <w:tc>
          <w:tcPr>
            <w:tcW w:w="1380" w:type="dxa"/>
            <w:tcBorders>
              <w:top w:val="nil"/>
              <w:left w:val="nil"/>
              <w:bottom w:val="nil"/>
              <w:right w:val="nil"/>
            </w:tcBorders>
            <w:shd w:val="clear" w:color="auto" w:fill="auto"/>
            <w:noWrap/>
            <w:vAlign w:val="bottom"/>
          </w:tcPr>
          <w:p w:rsidR="00230092" w:rsidRPr="000A4F1E" w:rsidRDefault="00230092" w:rsidP="00C22495">
            <w:pPr>
              <w:keepNext/>
              <w:spacing w:after="0" w:line="240" w:lineRule="auto"/>
              <w:jc w:val="right"/>
              <w:rPr>
                <w:rFonts w:eastAsia="Times New Roman" w:cs="Calibri"/>
                <w:color w:val="000000"/>
              </w:rPr>
            </w:pPr>
          </w:p>
        </w:tc>
      </w:tr>
    </w:tbl>
    <w:p w:rsidR="00230092" w:rsidRPr="00D04E2D" w:rsidRDefault="00230092" w:rsidP="00230092">
      <w:r w:rsidRPr="00D04E2D">
        <w:rPr>
          <w:i/>
        </w:rPr>
        <w:t>Primary Care ACOs and MCO-Administered ACOs</w:t>
      </w:r>
      <w:r w:rsidRPr="00D04E2D">
        <w:t xml:space="preserve">: Primary Care and MCO-Administered ACOs will have </w:t>
      </w:r>
      <w:r w:rsidRPr="000A4F1E">
        <w:rPr>
          <w:b/>
        </w:rPr>
        <w:t>additional risk mitigation provisions</w:t>
      </w:r>
      <w:r w:rsidRPr="00D04E2D">
        <w:t xml:space="preserve"> in place compared to Partnership Plans (see Section 3.5), such as </w:t>
      </w:r>
      <w:r w:rsidRPr="000A4F1E">
        <w:rPr>
          <w:b/>
        </w:rPr>
        <w:t>stop loss</w:t>
      </w:r>
      <w:r w:rsidRPr="00D04E2D">
        <w:t xml:space="preserve">. Since these provisions will impact TCOC levels, both the market-based </w:t>
      </w:r>
      <w:r>
        <w:t>standard</w:t>
      </w:r>
      <w:r w:rsidRPr="00D04E2D">
        <w:t xml:space="preserve"> and the network variance factors applicable to these ACOs will be calculated using data that has been adjusted to reflect these provisions. The example below illustrates the calculation of ACO-specific network variance factors and weights after accounting for </w:t>
      </w:r>
      <w:proofErr w:type="gramStart"/>
      <w:r w:rsidRPr="00D04E2D">
        <w:t>these risk</w:t>
      </w:r>
      <w:proofErr w:type="gramEnd"/>
      <w:r w:rsidRPr="00D04E2D">
        <w:t xml:space="preserve"> mitigation provisions:</w:t>
      </w:r>
    </w:p>
    <w:p w:rsidR="00230092" w:rsidRPr="00D04E2D" w:rsidRDefault="00230092" w:rsidP="00230092">
      <w:pPr>
        <w:pStyle w:val="IntenseQuote"/>
      </w:pPr>
      <w:r w:rsidRPr="00D04E2D">
        <w:t xml:space="preserve">Example </w:t>
      </w:r>
      <w:r>
        <w:t>9</w:t>
      </w:r>
      <w:r w:rsidRPr="00D04E2D">
        <w:t>: Incorporating risk mitigation into TCOC benchmarks</w:t>
      </w:r>
    </w:p>
    <w:tbl>
      <w:tblPr>
        <w:tblW w:w="6838" w:type="dxa"/>
        <w:tblInd w:w="1875" w:type="dxa"/>
        <w:tblLook w:val="04A0" w:firstRow="1" w:lastRow="0" w:firstColumn="1" w:lastColumn="0" w:noHBand="0" w:noVBand="1"/>
      </w:tblPr>
      <w:tblGrid>
        <w:gridCol w:w="1063"/>
        <w:gridCol w:w="1063"/>
        <w:gridCol w:w="1121"/>
        <w:gridCol w:w="1107"/>
        <w:gridCol w:w="1380"/>
        <w:gridCol w:w="1104"/>
      </w:tblGrid>
      <w:tr w:rsidR="00230092" w:rsidRPr="00D04E2D" w:rsidTr="00C22495">
        <w:trPr>
          <w:trHeight w:val="726"/>
        </w:trPr>
        <w:tc>
          <w:tcPr>
            <w:tcW w:w="1063" w:type="dxa"/>
            <w:tcBorders>
              <w:top w:val="nil"/>
              <w:left w:val="nil"/>
              <w:bottom w:val="single" w:sz="8"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063"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TCOC</w:t>
            </w:r>
          </w:p>
        </w:tc>
        <w:tc>
          <w:tcPr>
            <w:tcW w:w="1121"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Adjusted TCOC</w:t>
            </w:r>
          </w:p>
        </w:tc>
        <w:tc>
          <w:tcPr>
            <w:tcW w:w="1107"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Relative Risk Score</w:t>
            </w:r>
          </w:p>
        </w:tc>
        <w:tc>
          <w:tcPr>
            <w:tcW w:w="1380"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Risk-Normalized Adjusted TCOC</w:t>
            </w:r>
          </w:p>
        </w:tc>
        <w:tc>
          <w:tcPr>
            <w:tcW w:w="1104"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Network Variance Factor</w:t>
            </w:r>
          </w:p>
        </w:tc>
      </w:tr>
      <w:tr w:rsidR="00230092" w:rsidRPr="00D04E2D" w:rsidTr="00C22495">
        <w:trPr>
          <w:trHeight w:val="239"/>
        </w:trPr>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1</w:t>
            </w:r>
          </w:p>
        </w:tc>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$540.00 </w:t>
            </w:r>
          </w:p>
        </w:tc>
        <w:tc>
          <w:tcPr>
            <w:tcW w:w="112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$534.00 </w:t>
            </w:r>
          </w:p>
        </w:tc>
        <w:tc>
          <w:tcPr>
            <w:tcW w:w="1107"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1.200 </w:t>
            </w:r>
          </w:p>
        </w:tc>
        <w:tc>
          <w:tcPr>
            <w:tcW w:w="138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$445.00 </w:t>
            </w:r>
          </w:p>
        </w:tc>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0.908 </w:t>
            </w:r>
          </w:p>
        </w:tc>
      </w:tr>
      <w:tr w:rsidR="00230092" w:rsidRPr="00D04E2D" w:rsidTr="00C22495">
        <w:trPr>
          <w:trHeight w:val="239"/>
        </w:trPr>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2</w:t>
            </w:r>
          </w:p>
        </w:tc>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$525.00 </w:t>
            </w:r>
          </w:p>
        </w:tc>
        <w:tc>
          <w:tcPr>
            <w:tcW w:w="112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$505.00 </w:t>
            </w:r>
          </w:p>
        </w:tc>
        <w:tc>
          <w:tcPr>
            <w:tcW w:w="1107"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1.000 </w:t>
            </w:r>
          </w:p>
        </w:tc>
        <w:tc>
          <w:tcPr>
            <w:tcW w:w="138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$505.00 </w:t>
            </w:r>
          </w:p>
        </w:tc>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1.031 </w:t>
            </w:r>
          </w:p>
        </w:tc>
      </w:tr>
      <w:tr w:rsidR="00230092" w:rsidRPr="00D04E2D" w:rsidTr="00C22495">
        <w:trPr>
          <w:trHeight w:val="239"/>
        </w:trPr>
        <w:tc>
          <w:tcPr>
            <w:tcW w:w="106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w:t>
            </w:r>
          </w:p>
        </w:tc>
        <w:tc>
          <w:tcPr>
            <w:tcW w:w="106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121"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107"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380"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104"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r>
      <w:tr w:rsidR="00230092" w:rsidRPr="00D04E2D" w:rsidTr="00C22495">
        <w:trPr>
          <w:trHeight w:val="239"/>
        </w:trPr>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Market</w:t>
            </w:r>
          </w:p>
        </w:tc>
        <w:tc>
          <w:tcPr>
            <w:tcW w:w="106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$500.00 </w:t>
            </w:r>
          </w:p>
        </w:tc>
        <w:tc>
          <w:tcPr>
            <w:tcW w:w="1121"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$490.00 </w:t>
            </w:r>
          </w:p>
        </w:tc>
        <w:tc>
          <w:tcPr>
            <w:tcW w:w="1107"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1.000 </w:t>
            </w:r>
          </w:p>
        </w:tc>
        <w:tc>
          <w:tcPr>
            <w:tcW w:w="1380"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eastAsia="Times New Roman" w:cs="Calibri"/>
                <w:color w:val="000000"/>
              </w:rPr>
              <w:t xml:space="preserve">$490.00 </w:t>
            </w:r>
          </w:p>
        </w:tc>
        <w:tc>
          <w:tcPr>
            <w:tcW w:w="1104"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xml:space="preserve">       1.000 </w:t>
            </w:r>
          </w:p>
        </w:tc>
      </w:tr>
    </w:tbl>
    <w:p w:rsidR="00230092" w:rsidRPr="00D04E2D" w:rsidRDefault="00230092" w:rsidP="00230092">
      <w:pPr>
        <w:ind w:left="1440"/>
      </w:pPr>
    </w:p>
    <w:p w:rsidR="00230092" w:rsidRPr="00D04E2D" w:rsidRDefault="00230092" w:rsidP="00230092">
      <w:pPr>
        <w:pStyle w:val="ListParagraph"/>
        <w:numPr>
          <w:ilvl w:val="0"/>
          <w:numId w:val="39"/>
        </w:numPr>
        <w:spacing w:line="259" w:lineRule="auto"/>
      </w:pPr>
      <w:r w:rsidRPr="000A4F1E">
        <w:rPr>
          <w:b/>
        </w:rPr>
        <w:t>TCOC:</w:t>
      </w:r>
      <w:r w:rsidRPr="00D04E2D">
        <w:t xml:space="preserve"> These are the ACO-specific TCOC amounts shown in previous example. These amounts are before adjusting for the Primary Care </w:t>
      </w:r>
      <w:r>
        <w:t xml:space="preserve">ACO </w:t>
      </w:r>
      <w:r w:rsidRPr="00D04E2D">
        <w:t xml:space="preserve">and MCO-Administered </w:t>
      </w:r>
      <w:r>
        <w:t>ACO</w:t>
      </w:r>
      <w:r w:rsidRPr="00D04E2D">
        <w:t xml:space="preserve"> risk mitigation provision.</w:t>
      </w:r>
    </w:p>
    <w:p w:rsidR="00230092" w:rsidRPr="00D04E2D" w:rsidRDefault="00230092" w:rsidP="00230092">
      <w:pPr>
        <w:pStyle w:val="ListParagraph"/>
        <w:numPr>
          <w:ilvl w:val="0"/>
          <w:numId w:val="39"/>
        </w:numPr>
        <w:spacing w:line="259" w:lineRule="auto"/>
      </w:pPr>
      <w:r w:rsidRPr="000A4F1E">
        <w:rPr>
          <w:b/>
        </w:rPr>
        <w:t xml:space="preserve">Adjusted TCOC: </w:t>
      </w:r>
      <w:r w:rsidRPr="00D04E2D">
        <w:t>These are the ACO-specific TCOC amounts after stop</w:t>
      </w:r>
      <w:r>
        <w:t>-</w:t>
      </w:r>
      <w:r w:rsidRPr="00D04E2D">
        <w:t>loss claims have been adjusted, and service carve-outs have been excluded.</w:t>
      </w:r>
    </w:p>
    <w:p w:rsidR="00230092" w:rsidRPr="00D04E2D" w:rsidRDefault="00230092" w:rsidP="00230092">
      <w:pPr>
        <w:pStyle w:val="ListParagraph"/>
        <w:numPr>
          <w:ilvl w:val="0"/>
          <w:numId w:val="39"/>
        </w:numPr>
        <w:spacing w:line="259" w:lineRule="auto"/>
      </w:pPr>
      <w:r w:rsidRPr="000A4F1E">
        <w:rPr>
          <w:b/>
        </w:rPr>
        <w:t>Relative Risk Score:</w:t>
      </w:r>
      <w:r w:rsidRPr="00D04E2D">
        <w:t xml:space="preserve"> These are the ACO-specific relative risk scores described previously. </w:t>
      </w:r>
    </w:p>
    <w:p w:rsidR="00230092" w:rsidRPr="00D04E2D" w:rsidRDefault="00230092" w:rsidP="00230092">
      <w:pPr>
        <w:pStyle w:val="ListParagraph"/>
        <w:numPr>
          <w:ilvl w:val="0"/>
          <w:numId w:val="39"/>
        </w:numPr>
        <w:spacing w:line="259" w:lineRule="auto"/>
      </w:pPr>
      <w:r w:rsidRPr="000A4F1E">
        <w:rPr>
          <w:b/>
        </w:rPr>
        <w:t>Risk-Normalized TCOC:</w:t>
      </w:r>
      <w:r w:rsidRPr="00D04E2D">
        <w:t xml:space="preserve"> Calculated as the adjusted TCOC divided by the relative risk score.</w:t>
      </w:r>
    </w:p>
    <w:p w:rsidR="00230092" w:rsidRPr="00D04E2D" w:rsidRDefault="00230092" w:rsidP="00230092">
      <w:pPr>
        <w:pStyle w:val="ListParagraph"/>
        <w:numPr>
          <w:ilvl w:val="0"/>
          <w:numId w:val="39"/>
        </w:numPr>
        <w:spacing w:line="259" w:lineRule="auto"/>
      </w:pPr>
      <w:r w:rsidRPr="000A4F1E">
        <w:rPr>
          <w:b/>
        </w:rPr>
        <w:t>Network Variance Factor:</w:t>
      </w:r>
      <w:r w:rsidRPr="00D04E2D">
        <w:t xml:space="preserve"> Calculated as the ratio of the ACO-specific risk-normalized TCOC to the market-based adjusted </w:t>
      </w:r>
      <w:r>
        <w:t>standard (i.e., the market-based standard with similar adjustments applied as for the ACO’s TCOC – see example below)</w:t>
      </w:r>
      <w:r w:rsidRPr="00D04E2D">
        <w:t>. Note that these factors differ from those calculated in the prior example due to the differential impact of the risk mitigation provisions on the ACO-specific TCOCs.</w:t>
      </w:r>
    </w:p>
    <w:p w:rsidR="00230092" w:rsidRPr="00D04E2D" w:rsidRDefault="00230092" w:rsidP="00230092">
      <w:pPr>
        <w:ind w:left="720"/>
      </w:pPr>
      <w:r w:rsidRPr="00D04E2D">
        <w:t>Note that</w:t>
      </w:r>
      <w:r>
        <w:t>,</w:t>
      </w:r>
      <w:r w:rsidRPr="00D04E2D">
        <w:t xml:space="preserve"> to develop ACO-specific TCOC benchmarks</w:t>
      </w:r>
      <w:r>
        <w:t>,</w:t>
      </w:r>
      <w:r w:rsidRPr="00D04E2D" w:rsidDel="0053718C">
        <w:t xml:space="preserve"> </w:t>
      </w:r>
      <w:r w:rsidRPr="00D04E2D">
        <w:t>the network variance factor</w:t>
      </w:r>
      <w:r>
        <w:t xml:space="preserve"> </w:t>
      </w:r>
      <w:r w:rsidRPr="00D04E2D">
        <w:t>will be applied to the market-based TCOC after risk mitigation adjustments, as illustrated below:</w:t>
      </w:r>
    </w:p>
    <w:tbl>
      <w:tblPr>
        <w:tblW w:w="7671" w:type="dxa"/>
        <w:tblInd w:w="1706" w:type="dxa"/>
        <w:tblLook w:val="04A0" w:firstRow="1" w:lastRow="0" w:firstColumn="1" w:lastColumn="0" w:noHBand="0" w:noVBand="1"/>
      </w:tblPr>
      <w:tblGrid>
        <w:gridCol w:w="1122"/>
        <w:gridCol w:w="1456"/>
        <w:gridCol w:w="1166"/>
        <w:gridCol w:w="1683"/>
        <w:gridCol w:w="1122"/>
        <w:gridCol w:w="1122"/>
      </w:tblGrid>
      <w:tr w:rsidR="00230092" w:rsidRPr="00D04E2D" w:rsidTr="00C22495">
        <w:trPr>
          <w:cantSplit/>
          <w:trHeight w:val="700"/>
        </w:trPr>
        <w:tc>
          <w:tcPr>
            <w:tcW w:w="1122" w:type="dxa"/>
            <w:tcBorders>
              <w:top w:val="nil"/>
              <w:left w:val="nil"/>
              <w:bottom w:val="single" w:sz="8"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 </w:t>
            </w:r>
          </w:p>
        </w:tc>
        <w:tc>
          <w:tcPr>
            <w:tcW w:w="1456"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Risk-Normalized Adjusted TCOC</w:t>
            </w:r>
          </w:p>
        </w:tc>
        <w:tc>
          <w:tcPr>
            <w:tcW w:w="1166"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Network Variance Factor</w:t>
            </w:r>
          </w:p>
        </w:tc>
        <w:tc>
          <w:tcPr>
            <w:tcW w:w="1683"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Blended Factor (90% ACO/ </w:t>
            </w:r>
            <w:r w:rsidRPr="000A4F1E">
              <w:rPr>
                <w:rFonts w:cs="Calibri"/>
                <w:color w:val="000000"/>
              </w:rPr>
              <w:br/>
              <w:t>10% Market)</w:t>
            </w:r>
          </w:p>
        </w:tc>
        <w:tc>
          <w:tcPr>
            <w:tcW w:w="1122"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Market-Based </w:t>
            </w:r>
            <w:r>
              <w:rPr>
                <w:rFonts w:cs="Calibri"/>
                <w:color w:val="000000"/>
              </w:rPr>
              <w:t>Standard</w:t>
            </w:r>
          </w:p>
        </w:tc>
        <w:tc>
          <w:tcPr>
            <w:tcW w:w="1122" w:type="dxa"/>
            <w:tcBorders>
              <w:top w:val="nil"/>
              <w:left w:val="nil"/>
              <w:bottom w:val="single" w:sz="8" w:space="0" w:color="auto"/>
              <w:right w:val="nil"/>
            </w:tcBorders>
            <w:shd w:val="clear" w:color="auto" w:fill="auto"/>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ACO-Specific Rate</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1</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$445.00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0.908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0.917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$490.00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$449.50 </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ACO 2</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$505.00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1.031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1.028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$490.00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$503.50 </w:t>
            </w:r>
          </w:p>
        </w:tc>
      </w:tr>
      <w:tr w:rsidR="00230092" w:rsidRPr="00D04E2D" w:rsidTr="00C22495">
        <w:trPr>
          <w:trHeight w:val="230"/>
        </w:trPr>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w:t>
            </w:r>
          </w:p>
        </w:tc>
        <w:tc>
          <w:tcPr>
            <w:tcW w:w="1456"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cs="Calibri"/>
                <w:color w:val="000000"/>
              </w:rPr>
              <w:t> </w:t>
            </w:r>
          </w:p>
        </w:tc>
        <w:tc>
          <w:tcPr>
            <w:tcW w:w="1166"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w:t>
            </w:r>
          </w:p>
        </w:tc>
        <w:tc>
          <w:tcPr>
            <w:tcW w:w="1683"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w:t>
            </w:r>
          </w:p>
        </w:tc>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cs="Calibri"/>
                <w:color w:val="000000"/>
              </w:rPr>
              <w:t> </w:t>
            </w:r>
          </w:p>
        </w:tc>
        <w:tc>
          <w:tcPr>
            <w:tcW w:w="1122" w:type="dxa"/>
            <w:tcBorders>
              <w:top w:val="nil"/>
              <w:left w:val="nil"/>
              <w:bottom w:val="single" w:sz="4" w:space="0" w:color="auto"/>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cs="Calibri"/>
                <w:color w:val="000000"/>
              </w:rPr>
              <w:t> </w:t>
            </w:r>
          </w:p>
        </w:tc>
      </w:tr>
      <w:tr w:rsidR="00230092" w:rsidRPr="00D04E2D" w:rsidTr="00C22495">
        <w:trPr>
          <w:trHeight w:val="230"/>
        </w:trPr>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rPr>
                <w:rFonts w:eastAsia="Times New Roman" w:cs="Calibri"/>
                <w:color w:val="000000"/>
              </w:rPr>
            </w:pPr>
            <w:r w:rsidRPr="000A4F1E">
              <w:rPr>
                <w:rFonts w:eastAsia="Times New Roman" w:cs="Calibri"/>
                <w:color w:val="000000"/>
              </w:rPr>
              <w:t>Market</w:t>
            </w:r>
          </w:p>
        </w:tc>
        <w:tc>
          <w:tcPr>
            <w:tcW w:w="145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$490.00 </w:t>
            </w:r>
          </w:p>
        </w:tc>
        <w:tc>
          <w:tcPr>
            <w:tcW w:w="1166"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1.000 </w:t>
            </w:r>
          </w:p>
        </w:tc>
        <w:tc>
          <w:tcPr>
            <w:tcW w:w="1683"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                  1.000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$490.00 </w:t>
            </w:r>
          </w:p>
        </w:tc>
        <w:tc>
          <w:tcPr>
            <w:tcW w:w="1122" w:type="dxa"/>
            <w:tcBorders>
              <w:top w:val="nil"/>
              <w:left w:val="nil"/>
              <w:bottom w:val="nil"/>
              <w:right w:val="nil"/>
            </w:tcBorders>
            <w:shd w:val="clear" w:color="auto" w:fill="auto"/>
            <w:noWrap/>
            <w:vAlign w:val="bottom"/>
            <w:hideMark/>
          </w:tcPr>
          <w:p w:rsidR="00230092" w:rsidRPr="000A4F1E" w:rsidRDefault="00230092" w:rsidP="00C22495">
            <w:pPr>
              <w:spacing w:after="0" w:line="240" w:lineRule="auto"/>
              <w:jc w:val="right"/>
              <w:rPr>
                <w:rFonts w:eastAsia="Times New Roman" w:cs="Calibri"/>
                <w:color w:val="000000"/>
              </w:rPr>
            </w:pPr>
            <w:r w:rsidRPr="000A4F1E">
              <w:rPr>
                <w:rFonts w:cs="Calibri"/>
                <w:color w:val="000000"/>
              </w:rPr>
              <w:t xml:space="preserve">$490.00 </w:t>
            </w:r>
          </w:p>
        </w:tc>
      </w:tr>
    </w:tbl>
    <w:p w:rsidR="00230092" w:rsidRDefault="00230092" w:rsidP="00230092">
      <w:pPr>
        <w:jc w:val="center"/>
        <w:rPr>
          <w:b/>
        </w:rPr>
      </w:pPr>
    </w:p>
    <w:p w:rsidR="00230092" w:rsidRDefault="00230092" w:rsidP="00230092">
      <w:pPr>
        <w:jc w:val="center"/>
        <w:rPr>
          <w:b/>
          <w:u w:val="single"/>
        </w:rPr>
      </w:pPr>
      <w:proofErr w:type="gramStart"/>
      <w:r w:rsidRPr="00D04E2D">
        <w:rPr>
          <w:b/>
        </w:rPr>
        <w:t>Section 4.</w:t>
      </w:r>
      <w:proofErr w:type="gramEnd"/>
      <w:r w:rsidRPr="00D04E2D">
        <w:rPr>
          <w:b/>
        </w:rPr>
        <w:t xml:space="preserve">  Reconciliation and risk adjustment</w:t>
      </w:r>
    </w:p>
    <w:p w:rsidR="00230092" w:rsidRPr="002D679D" w:rsidRDefault="00230092" w:rsidP="00230092">
      <w:r>
        <w:t>This section describes how EOHHS will perform TCOC reconciliation calculations to determine shared savings and losses, and how risk adjustment is factored into this process.</w:t>
      </w:r>
    </w:p>
    <w:p w:rsidR="00230092" w:rsidRPr="002D679D" w:rsidRDefault="00230092" w:rsidP="00230092">
      <w:pPr>
        <w:rPr>
          <w:b/>
          <w:u w:val="single"/>
        </w:rPr>
      </w:pPr>
      <w:r w:rsidRPr="002D679D">
        <w:rPr>
          <w:b/>
          <w:u w:val="single"/>
        </w:rPr>
        <w:t>Note</w:t>
      </w:r>
    </w:p>
    <w:p w:rsidR="00230092" w:rsidRPr="00D04E2D" w:rsidRDefault="00230092" w:rsidP="00230092">
      <w:r w:rsidRPr="000A4F1E">
        <w:rPr>
          <w:b/>
        </w:rPr>
        <w:t>For Partnership Plans</w:t>
      </w:r>
      <w:r w:rsidRPr="00D04E2D">
        <w:t xml:space="preserve">, TCOC and the associated capitation rates will be set prospectively prior to the contract period. These prospective rates will be risk adjusted on a quarterly basis, as described below. Aside from </w:t>
      </w:r>
      <w:r>
        <w:t xml:space="preserve">this </w:t>
      </w:r>
      <w:r w:rsidRPr="00D04E2D">
        <w:t>risk adjustment, capitation rates will not be adjusted retrospectively.</w:t>
      </w:r>
      <w:r>
        <w:t xml:space="preserve"> See section 4.3.</w:t>
      </w:r>
    </w:p>
    <w:p w:rsidR="00230092" w:rsidRDefault="00230092" w:rsidP="00230092">
      <w:r w:rsidRPr="000A4F1E">
        <w:rPr>
          <w:b/>
        </w:rPr>
        <w:t>For Primary Care and MCO-Administered ACOs</w:t>
      </w:r>
      <w:r w:rsidRPr="00D04E2D">
        <w:t xml:space="preserve">, TCOC benchmarks will not be finalized until after the </w:t>
      </w:r>
      <w:r>
        <w:t>performance</w:t>
      </w:r>
      <w:r w:rsidRPr="00D04E2D">
        <w:t xml:space="preserve"> period has ended. </w:t>
      </w:r>
      <w:r>
        <w:t>EOHHS</w:t>
      </w:r>
      <w:r w:rsidRPr="00D04E2D">
        <w:t xml:space="preserve"> </w:t>
      </w:r>
      <w:r>
        <w:t>will</w:t>
      </w:r>
      <w:r w:rsidRPr="00D04E2D">
        <w:t xml:space="preserve"> provide ACOs </w:t>
      </w:r>
      <w:r>
        <w:t>with</w:t>
      </w:r>
      <w:r w:rsidRPr="00D04E2D">
        <w:t xml:space="preserve"> preliminary TCOC benchmarks for informational and management purposes only, </w:t>
      </w:r>
      <w:r>
        <w:t>and will update these during reconciliation to produce</w:t>
      </w:r>
      <w:r w:rsidRPr="00D04E2D">
        <w:t xml:space="preserve"> the final </w:t>
      </w:r>
      <w:r>
        <w:t xml:space="preserve">TCOC </w:t>
      </w:r>
      <w:r w:rsidRPr="00D04E2D">
        <w:t>benchmarks for shared savings/losses calculations.</w:t>
      </w:r>
      <w:r>
        <w:t xml:space="preserve"> See sections 4.1 and 4.2</w:t>
      </w:r>
    </w:p>
    <w:p w:rsidR="00230092" w:rsidRPr="00D04E2D" w:rsidRDefault="00230092" w:rsidP="00230092">
      <w:r>
        <w:rPr>
          <w:noProof/>
        </w:rPr>
        <w:drawing>
          <wp:inline distT="0" distB="0" distL="0" distR="0" wp14:anchorId="1A37221C" wp14:editId="502454ED">
            <wp:extent cx="5943600" cy="42411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work_E.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241165"/>
                    </a:xfrm>
                    <a:prstGeom prst="rect">
                      <a:avLst/>
                    </a:prstGeom>
                  </pic:spPr>
                </pic:pic>
              </a:graphicData>
            </a:graphic>
          </wp:inline>
        </w:drawing>
      </w:r>
    </w:p>
    <w:p w:rsidR="00230092" w:rsidRDefault="00230092" w:rsidP="00230092">
      <w:pPr>
        <w:rPr>
          <w:i/>
        </w:rPr>
      </w:pPr>
      <w:r>
        <w:rPr>
          <w:i/>
        </w:rPr>
        <w:br w:type="page"/>
      </w:r>
    </w:p>
    <w:p w:rsidR="00230092" w:rsidRPr="00D04E2D" w:rsidRDefault="00230092" w:rsidP="00230092">
      <w:pPr>
        <w:rPr>
          <w:i/>
        </w:rPr>
      </w:pPr>
      <w:r w:rsidRPr="00D04E2D">
        <w:rPr>
          <w:i/>
        </w:rPr>
        <w:t>4.1 Retrospective reconciliation for Primary Care and MCO-Administered ACOs</w:t>
      </w:r>
    </w:p>
    <w:p w:rsidR="00230092" w:rsidRPr="00D04E2D" w:rsidRDefault="00230092" w:rsidP="00230092">
      <w:pPr>
        <w:pStyle w:val="Heading3"/>
        <w:rPr>
          <w:rFonts w:asciiTheme="minorHAnsi" w:hAnsiTheme="minorHAnsi" w:cstheme="minorHAnsi"/>
          <w:i w:val="0"/>
          <w:sz w:val="22"/>
          <w:szCs w:val="22"/>
        </w:rPr>
      </w:pPr>
      <w:r>
        <w:rPr>
          <w:rFonts w:asciiTheme="minorHAnsi" w:hAnsiTheme="minorHAnsi" w:cstheme="minorHAnsi"/>
          <w:i w:val="0"/>
          <w:sz w:val="22"/>
          <w:szCs w:val="22"/>
        </w:rPr>
        <w:t>Preliminary</w:t>
      </w:r>
      <w:r w:rsidRPr="00D04E2D">
        <w:rPr>
          <w:rFonts w:asciiTheme="minorHAnsi" w:hAnsiTheme="minorHAnsi" w:cstheme="minorHAnsi"/>
          <w:i w:val="0"/>
          <w:sz w:val="22"/>
          <w:szCs w:val="22"/>
        </w:rPr>
        <w:t xml:space="preserve"> vs. </w:t>
      </w:r>
      <w:r>
        <w:rPr>
          <w:rFonts w:asciiTheme="minorHAnsi" w:hAnsiTheme="minorHAnsi" w:cstheme="minorHAnsi"/>
          <w:i w:val="0"/>
          <w:sz w:val="22"/>
          <w:szCs w:val="22"/>
        </w:rPr>
        <w:t>Final</w:t>
      </w:r>
      <w:r w:rsidRPr="00D04E2D">
        <w:rPr>
          <w:rFonts w:asciiTheme="minorHAnsi" w:hAnsiTheme="minorHAnsi" w:cstheme="minorHAnsi"/>
          <w:i w:val="0"/>
          <w:sz w:val="22"/>
          <w:szCs w:val="22"/>
        </w:rPr>
        <w:t xml:space="preserve"> </w:t>
      </w:r>
      <w:r>
        <w:rPr>
          <w:rFonts w:asciiTheme="minorHAnsi" w:hAnsiTheme="minorHAnsi" w:cstheme="minorHAnsi"/>
          <w:i w:val="0"/>
          <w:sz w:val="22"/>
          <w:szCs w:val="22"/>
        </w:rPr>
        <w:t xml:space="preserve">TCOC </w:t>
      </w:r>
      <w:r w:rsidRPr="00D04E2D">
        <w:rPr>
          <w:rFonts w:asciiTheme="minorHAnsi" w:hAnsiTheme="minorHAnsi" w:cstheme="minorHAnsi"/>
          <w:i w:val="0"/>
          <w:sz w:val="22"/>
          <w:szCs w:val="22"/>
        </w:rPr>
        <w:t>Benchmark Adjustments</w:t>
      </w:r>
    </w:p>
    <w:p w:rsidR="00230092" w:rsidRDefault="00230092" w:rsidP="00230092">
      <w:pPr>
        <w:rPr>
          <w:rFonts w:cstheme="minorHAnsi"/>
        </w:rPr>
      </w:pPr>
      <w:r>
        <w:t xml:space="preserve">The intent of providing preliminary benchmark calculations to ACOs is to provide a meaningful target for ACO planning purposes. However, as outlined above, preliminary TCOC benchmarks will at a minimum change for each ACO to reflect: </w:t>
      </w:r>
      <w:r w:rsidRPr="00D04E2D">
        <w:rPr>
          <w:rFonts w:cstheme="minorHAnsi"/>
        </w:rPr>
        <w:t xml:space="preserve">1) </w:t>
      </w:r>
      <w:r>
        <w:rPr>
          <w:rFonts w:cstheme="minorHAnsi"/>
        </w:rPr>
        <w:t>performance</w:t>
      </w:r>
      <w:r w:rsidRPr="00D04E2D">
        <w:rPr>
          <w:rFonts w:cstheme="minorHAnsi"/>
        </w:rPr>
        <w:t xml:space="preserve"> period risk scores, 2) performance period enrollment mix by benchmark cohort, 3) performance period actual number of deliveries, 4) </w:t>
      </w:r>
      <w:r>
        <w:rPr>
          <w:rFonts w:cstheme="minorHAnsi"/>
        </w:rPr>
        <w:t>other factors</w:t>
      </w:r>
      <w:r w:rsidRPr="00D04E2D">
        <w:rPr>
          <w:rFonts w:cstheme="minorHAnsi"/>
        </w:rPr>
        <w:t>.</w:t>
      </w:r>
    </w:p>
    <w:p w:rsidR="00230092" w:rsidRPr="00D04E2D" w:rsidRDefault="00230092" w:rsidP="00230092">
      <w:pPr>
        <w:rPr>
          <w:i/>
        </w:rPr>
      </w:pPr>
      <w:r>
        <w:t>EOHHS will consider the materiality and impact of updating the TCOC benchmark base period data to a more recent time period to see if retrospective base data corrections are needed. EOHHS may also adjust the preliminary benchmarks retroactively to reflect substantial shifts in policy introduced during the performance period that has an effect on TCOC, or to reflect other unforeseen events that have a material impact on TCOC. Examples of potential events that may warrant adjustments include the introduction of new high cost treatments that have a material and unforeseen impact on TCOC, or expansion of coverage to a previously ineligible population with significantly different average costs compared to other members.</w:t>
      </w:r>
    </w:p>
    <w:p w:rsidR="00230092" w:rsidRPr="000A4F1E" w:rsidRDefault="00230092" w:rsidP="00230092">
      <w:pPr>
        <w:keepNext/>
        <w:spacing w:before="40" w:after="40" w:line="240" w:lineRule="auto"/>
        <w:rPr>
          <w:rFonts w:eastAsia="Times New Roman" w:cs="Arial"/>
          <w:b/>
        </w:rPr>
      </w:pPr>
      <w:r w:rsidRPr="000A4F1E">
        <w:rPr>
          <w:rFonts w:eastAsia="Times New Roman" w:cs="Arial"/>
          <w:b/>
        </w:rPr>
        <w:t>TCOC Benchmark Aggregation</w:t>
      </w:r>
    </w:p>
    <w:p w:rsidR="00230092" w:rsidRDefault="00230092" w:rsidP="00230092">
      <w:pPr>
        <w:rPr>
          <w:rFonts w:eastAsia="Times New Roman" w:cs="Arial"/>
          <w:b/>
        </w:rPr>
      </w:pPr>
      <w:r w:rsidRPr="00D04E2D">
        <w:rPr>
          <w:rFonts w:cstheme="minorHAnsi"/>
        </w:rPr>
        <w:t xml:space="preserve">The TCOC benchmarks developed for each rate cell will be aggregated based on the actual enrollment distribution of ACO members by </w:t>
      </w:r>
      <w:r>
        <w:rPr>
          <w:rFonts w:cstheme="minorHAnsi"/>
        </w:rPr>
        <w:t>rate cell</w:t>
      </w:r>
      <w:r w:rsidRPr="00D04E2D">
        <w:rPr>
          <w:rFonts w:cstheme="minorHAnsi"/>
        </w:rPr>
        <w:t xml:space="preserve">. The table below illustrates this concept for both the </w:t>
      </w:r>
      <w:r>
        <w:rPr>
          <w:rFonts w:cstheme="minorHAnsi"/>
        </w:rPr>
        <w:t>preliminary</w:t>
      </w:r>
      <w:r w:rsidRPr="00D04E2D">
        <w:rPr>
          <w:rFonts w:cstheme="minorHAnsi"/>
        </w:rPr>
        <w:t xml:space="preserve"> and final TCOC benchmarks.</w:t>
      </w:r>
    </w:p>
    <w:p w:rsidR="00230092" w:rsidRPr="000A4F1E" w:rsidRDefault="00230092" w:rsidP="00230092">
      <w:pPr>
        <w:pStyle w:val="IntenseQuote"/>
      </w:pPr>
      <w:r>
        <w:t>Example 10: Illustrative TCOC benchmark aggregation</w:t>
      </w:r>
    </w:p>
    <w:tbl>
      <w:tblPr>
        <w:tblW w:w="9021" w:type="dxa"/>
        <w:tblInd w:w="93" w:type="dxa"/>
        <w:tblLook w:val="04A0" w:firstRow="1" w:lastRow="0" w:firstColumn="1" w:lastColumn="0" w:noHBand="0" w:noVBand="1"/>
      </w:tblPr>
      <w:tblGrid>
        <w:gridCol w:w="1821"/>
        <w:gridCol w:w="1980"/>
        <w:gridCol w:w="1620"/>
        <w:gridCol w:w="1620"/>
        <w:gridCol w:w="1980"/>
      </w:tblGrid>
      <w:tr w:rsidR="00230092" w:rsidRPr="00D04E2D" w:rsidTr="00C22495">
        <w:trPr>
          <w:trHeight w:val="267"/>
          <w:tblHeader/>
        </w:trPr>
        <w:tc>
          <w:tcPr>
            <w:tcW w:w="1821" w:type="dxa"/>
            <w:noWrap/>
            <w:vAlign w:val="bottom"/>
            <w:hideMark/>
          </w:tcPr>
          <w:p w:rsidR="00230092" w:rsidRPr="000A4F1E" w:rsidRDefault="00230092" w:rsidP="00C22495">
            <w:pPr>
              <w:spacing w:after="0" w:line="240" w:lineRule="auto"/>
              <w:rPr>
                <w:rFonts w:eastAsia="Times New Roman" w:cs="Times New Roman"/>
              </w:rPr>
            </w:pPr>
          </w:p>
        </w:tc>
        <w:tc>
          <w:tcPr>
            <w:tcW w:w="1980" w:type="dxa"/>
          </w:tcPr>
          <w:p w:rsidR="00230092" w:rsidRPr="000A4F1E" w:rsidRDefault="00230092" w:rsidP="00C22495">
            <w:pPr>
              <w:spacing w:after="0" w:line="240" w:lineRule="auto"/>
              <w:jc w:val="center"/>
              <w:rPr>
                <w:rFonts w:eastAsia="Times New Roman" w:cs="Calibri"/>
                <w:color w:val="000000"/>
              </w:rPr>
            </w:pPr>
            <w:r w:rsidRPr="000A4F1E">
              <w:rPr>
                <w:rFonts w:eastAsia="Times New Roman" w:cs="Calibri"/>
                <w:color w:val="000000"/>
              </w:rPr>
              <w:t>A</w:t>
            </w:r>
          </w:p>
        </w:tc>
        <w:tc>
          <w:tcPr>
            <w:tcW w:w="1620" w:type="dxa"/>
            <w:noWrap/>
            <w:vAlign w:val="bottom"/>
            <w:hideMark/>
          </w:tcPr>
          <w:p w:rsidR="00230092" w:rsidRPr="000A4F1E" w:rsidRDefault="00230092" w:rsidP="00C22495">
            <w:pPr>
              <w:spacing w:after="0" w:line="240" w:lineRule="auto"/>
              <w:jc w:val="center"/>
              <w:rPr>
                <w:rFonts w:eastAsia="Times New Roman" w:cs="Calibri"/>
                <w:color w:val="000000"/>
              </w:rPr>
            </w:pPr>
            <w:r w:rsidRPr="000A4F1E">
              <w:rPr>
                <w:rFonts w:eastAsia="Times New Roman" w:cs="Calibri"/>
                <w:color w:val="000000"/>
              </w:rPr>
              <w:t>B</w:t>
            </w:r>
          </w:p>
        </w:tc>
        <w:tc>
          <w:tcPr>
            <w:tcW w:w="1620" w:type="dxa"/>
            <w:noWrap/>
            <w:vAlign w:val="bottom"/>
            <w:hideMark/>
          </w:tcPr>
          <w:p w:rsidR="00230092" w:rsidRPr="000A4F1E" w:rsidRDefault="00230092" w:rsidP="00C22495">
            <w:pPr>
              <w:spacing w:after="0" w:line="240" w:lineRule="auto"/>
              <w:jc w:val="center"/>
              <w:rPr>
                <w:rFonts w:eastAsia="Times New Roman" w:cs="Calibri"/>
                <w:color w:val="000000"/>
              </w:rPr>
            </w:pPr>
            <w:r w:rsidRPr="000A4F1E">
              <w:rPr>
                <w:rFonts w:eastAsia="Times New Roman" w:cs="Calibri"/>
                <w:color w:val="000000"/>
              </w:rPr>
              <w:t>C</w:t>
            </w:r>
          </w:p>
        </w:tc>
        <w:tc>
          <w:tcPr>
            <w:tcW w:w="1980" w:type="dxa"/>
            <w:noWrap/>
            <w:vAlign w:val="bottom"/>
            <w:hideMark/>
          </w:tcPr>
          <w:p w:rsidR="00230092" w:rsidRPr="000A4F1E" w:rsidRDefault="00230092" w:rsidP="00C22495">
            <w:pPr>
              <w:spacing w:after="0" w:line="240" w:lineRule="auto"/>
              <w:rPr>
                <w:rFonts w:eastAsia="Times New Roman" w:cs="Times New Roman"/>
              </w:rPr>
            </w:pPr>
          </w:p>
        </w:tc>
      </w:tr>
      <w:tr w:rsidR="00230092" w:rsidRPr="00D04E2D" w:rsidTr="00C22495">
        <w:trPr>
          <w:trHeight w:val="953"/>
          <w:tblHeader/>
        </w:trPr>
        <w:tc>
          <w:tcPr>
            <w:tcW w:w="1821" w:type="dxa"/>
            <w:tcBorders>
              <w:top w:val="single" w:sz="8" w:space="0" w:color="auto"/>
              <w:left w:val="single" w:sz="8" w:space="0" w:color="auto"/>
              <w:bottom w:val="single" w:sz="8" w:space="0" w:color="auto"/>
              <w:right w:val="single" w:sz="8" w:space="0" w:color="FFFFFF"/>
            </w:tcBorders>
            <w:shd w:val="clear" w:color="auto" w:fill="002C77"/>
            <w:vAlign w:val="center"/>
            <w:hideMark/>
          </w:tcPr>
          <w:p w:rsidR="00230092" w:rsidRPr="000A4F1E" w:rsidRDefault="00230092" w:rsidP="00C22495">
            <w:pPr>
              <w:spacing w:after="0" w:line="240" w:lineRule="auto"/>
              <w:jc w:val="center"/>
              <w:rPr>
                <w:rFonts w:eastAsia="Times New Roman" w:cs="Arial"/>
                <w:b/>
                <w:bCs/>
                <w:color w:val="FFFFFF"/>
              </w:rPr>
            </w:pPr>
            <w:r>
              <w:rPr>
                <w:rFonts w:eastAsia="Times New Roman" w:cs="Arial"/>
                <w:b/>
                <w:bCs/>
                <w:color w:val="FFFFFF"/>
              </w:rPr>
              <w:t>Rating category</w:t>
            </w:r>
          </w:p>
        </w:tc>
        <w:tc>
          <w:tcPr>
            <w:tcW w:w="1980" w:type="dxa"/>
            <w:tcBorders>
              <w:top w:val="single" w:sz="8" w:space="0" w:color="auto"/>
              <w:left w:val="nil"/>
              <w:bottom w:val="single" w:sz="8" w:space="0" w:color="auto"/>
              <w:right w:val="nil"/>
            </w:tcBorders>
            <w:shd w:val="clear" w:color="auto" w:fill="002C77"/>
          </w:tcPr>
          <w:p w:rsidR="00230092" w:rsidRPr="000A4F1E" w:rsidRDefault="00230092" w:rsidP="00C22495">
            <w:pPr>
              <w:spacing w:after="0" w:line="240" w:lineRule="auto"/>
              <w:jc w:val="center"/>
              <w:rPr>
                <w:rFonts w:eastAsia="Times New Roman" w:cs="Arial"/>
                <w:b/>
                <w:bCs/>
                <w:color w:val="FFFFFF"/>
              </w:rPr>
            </w:pPr>
            <w:r w:rsidRPr="000A4F1E">
              <w:rPr>
                <w:rFonts w:eastAsia="Times New Roman" w:cs="Arial"/>
                <w:b/>
                <w:bCs/>
                <w:color w:val="FFFFFF"/>
              </w:rPr>
              <w:t>Projected Member Months/Delivery Count</w:t>
            </w:r>
          </w:p>
        </w:tc>
        <w:tc>
          <w:tcPr>
            <w:tcW w:w="1620" w:type="dxa"/>
            <w:tcBorders>
              <w:top w:val="single" w:sz="8" w:space="0" w:color="auto"/>
              <w:left w:val="nil"/>
              <w:bottom w:val="single" w:sz="8" w:space="0" w:color="auto"/>
              <w:right w:val="single" w:sz="8" w:space="0" w:color="FFFFFF"/>
            </w:tcBorders>
            <w:shd w:val="clear" w:color="auto" w:fill="002C77"/>
            <w:vAlign w:val="center"/>
            <w:hideMark/>
          </w:tcPr>
          <w:p w:rsidR="00230092" w:rsidRPr="000A4F1E" w:rsidRDefault="00230092" w:rsidP="00C22495">
            <w:pPr>
              <w:spacing w:after="0" w:line="240" w:lineRule="auto"/>
              <w:jc w:val="center"/>
              <w:rPr>
                <w:rFonts w:eastAsia="Times New Roman" w:cs="Arial"/>
                <w:b/>
                <w:bCs/>
                <w:color w:val="FFFFFF"/>
              </w:rPr>
            </w:pPr>
            <w:r w:rsidRPr="000A4F1E">
              <w:rPr>
                <w:rFonts w:eastAsia="Times New Roman" w:cs="Arial"/>
                <w:b/>
                <w:bCs/>
                <w:color w:val="FFFFFF"/>
              </w:rPr>
              <w:t>Preliminary  TCOC Benchmark PMPM</w:t>
            </w:r>
          </w:p>
        </w:tc>
        <w:tc>
          <w:tcPr>
            <w:tcW w:w="1620" w:type="dxa"/>
            <w:tcBorders>
              <w:top w:val="single" w:sz="8" w:space="0" w:color="auto"/>
              <w:left w:val="nil"/>
              <w:bottom w:val="single" w:sz="8" w:space="0" w:color="auto"/>
              <w:right w:val="single" w:sz="8" w:space="0" w:color="FFFFFF"/>
            </w:tcBorders>
            <w:shd w:val="clear" w:color="auto" w:fill="002C77"/>
            <w:vAlign w:val="center"/>
            <w:hideMark/>
          </w:tcPr>
          <w:p w:rsidR="00230092" w:rsidRPr="000A4F1E" w:rsidRDefault="00230092" w:rsidP="00C22495">
            <w:pPr>
              <w:spacing w:after="0" w:line="240" w:lineRule="auto"/>
              <w:jc w:val="center"/>
              <w:rPr>
                <w:rFonts w:eastAsia="Times New Roman" w:cs="Arial"/>
                <w:b/>
                <w:bCs/>
                <w:color w:val="FFFFFF"/>
              </w:rPr>
            </w:pPr>
            <w:r w:rsidRPr="000A4F1E">
              <w:rPr>
                <w:rFonts w:eastAsia="Times New Roman" w:cs="Arial"/>
                <w:b/>
                <w:bCs/>
                <w:color w:val="FFFFFF"/>
              </w:rPr>
              <w:t>Final TCOC Benchmark PMPM</w:t>
            </w:r>
          </w:p>
        </w:tc>
        <w:tc>
          <w:tcPr>
            <w:tcW w:w="1980" w:type="dxa"/>
            <w:tcBorders>
              <w:top w:val="single" w:sz="8" w:space="0" w:color="auto"/>
              <w:left w:val="nil"/>
              <w:bottom w:val="single" w:sz="8" w:space="0" w:color="auto"/>
              <w:right w:val="single" w:sz="8" w:space="0" w:color="auto"/>
            </w:tcBorders>
            <w:shd w:val="clear" w:color="auto" w:fill="002C77"/>
            <w:vAlign w:val="center"/>
            <w:hideMark/>
          </w:tcPr>
          <w:p w:rsidR="00230092" w:rsidRPr="000A4F1E" w:rsidRDefault="00230092" w:rsidP="00C22495">
            <w:pPr>
              <w:spacing w:after="0" w:line="240" w:lineRule="auto"/>
              <w:jc w:val="center"/>
              <w:rPr>
                <w:rFonts w:eastAsia="Times New Roman" w:cs="Arial"/>
                <w:b/>
                <w:bCs/>
                <w:color w:val="FFFFFF"/>
              </w:rPr>
            </w:pPr>
            <w:r w:rsidRPr="000A4F1E">
              <w:rPr>
                <w:rFonts w:eastAsia="Times New Roman" w:cs="Arial"/>
                <w:b/>
                <w:bCs/>
                <w:color w:val="FFFFFF"/>
              </w:rPr>
              <w:t>Contract Period Member Months/Delivery Count</w:t>
            </w:r>
          </w:p>
        </w:tc>
      </w:tr>
      <w:tr w:rsidR="00230092" w:rsidRPr="00D04E2D" w:rsidTr="00C22495">
        <w:trPr>
          <w:trHeight w:val="256"/>
        </w:trPr>
        <w:tc>
          <w:tcPr>
            <w:tcW w:w="1821" w:type="dxa"/>
            <w:tcBorders>
              <w:top w:val="nil"/>
              <w:left w:val="single" w:sz="8" w:space="0" w:color="auto"/>
              <w:bottom w:val="nil"/>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I – Child</w:t>
            </w:r>
          </w:p>
        </w:tc>
        <w:tc>
          <w:tcPr>
            <w:tcW w:w="1980" w:type="dxa"/>
            <w:tcBorders>
              <w:top w:val="single" w:sz="8" w:space="0" w:color="auto"/>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20,000</w:t>
            </w:r>
          </w:p>
        </w:tc>
        <w:tc>
          <w:tcPr>
            <w:tcW w:w="1620" w:type="dxa"/>
            <w:tcBorders>
              <w:top w:val="single" w:sz="8" w:space="0" w:color="auto"/>
              <w:left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$175.00 </w:t>
            </w:r>
          </w:p>
        </w:tc>
        <w:tc>
          <w:tcPr>
            <w:tcW w:w="1620" w:type="dxa"/>
            <w:tcBorders>
              <w:top w:val="single" w:sz="8" w:space="0" w:color="auto"/>
              <w:left w:val="single" w:sz="8" w:space="0" w:color="auto"/>
              <w:bottom w:val="nil"/>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$183.75 </w:t>
            </w:r>
          </w:p>
        </w:tc>
        <w:tc>
          <w:tcPr>
            <w:tcW w:w="1980" w:type="dxa"/>
            <w:tcBorders>
              <w:top w:val="nil"/>
              <w:left w:val="nil"/>
              <w:bottom w:val="nil"/>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22,500</w:t>
            </w:r>
          </w:p>
        </w:tc>
      </w:tr>
      <w:tr w:rsidR="00230092" w:rsidRPr="00D04E2D" w:rsidTr="00C22495">
        <w:trPr>
          <w:trHeight w:val="267"/>
        </w:trPr>
        <w:tc>
          <w:tcPr>
            <w:tcW w:w="1821"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I – Adult</w:t>
            </w:r>
          </w:p>
        </w:tc>
        <w:tc>
          <w:tcPr>
            <w:tcW w:w="1980" w:type="dxa"/>
            <w:tcBorders>
              <w:top w:val="nil"/>
              <w:left w:val="nil"/>
              <w:bottom w:val="single" w:sz="8" w:space="0" w:color="auto"/>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10,000</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$450.00 </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$450.00 </w:t>
            </w:r>
          </w:p>
        </w:tc>
        <w:tc>
          <w:tcPr>
            <w:tcW w:w="1980" w:type="dxa"/>
            <w:tcBorders>
              <w:top w:val="nil"/>
              <w:left w:val="nil"/>
              <w:bottom w:val="single" w:sz="8" w:space="0" w:color="auto"/>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15,000</w:t>
            </w:r>
          </w:p>
        </w:tc>
      </w:tr>
      <w:tr w:rsidR="00230092" w:rsidRPr="00D04E2D" w:rsidTr="00C22495">
        <w:trPr>
          <w:trHeight w:val="256"/>
        </w:trPr>
        <w:tc>
          <w:tcPr>
            <w:tcW w:w="1821" w:type="dxa"/>
            <w:tcBorders>
              <w:top w:val="nil"/>
              <w:left w:val="single" w:sz="8" w:space="0" w:color="auto"/>
              <w:bottom w:val="nil"/>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II – Child</w:t>
            </w:r>
          </w:p>
        </w:tc>
        <w:tc>
          <w:tcPr>
            <w:tcW w:w="1980" w:type="dxa"/>
            <w:tcBorders>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2,000</w:t>
            </w:r>
          </w:p>
        </w:tc>
        <w:tc>
          <w:tcPr>
            <w:tcW w:w="1620" w:type="dxa"/>
            <w:tcBorders>
              <w:left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$1,000.00 </w:t>
            </w:r>
          </w:p>
        </w:tc>
        <w:tc>
          <w:tcPr>
            <w:tcW w:w="1620" w:type="dxa"/>
            <w:tcBorders>
              <w:top w:val="nil"/>
              <w:left w:val="single" w:sz="8" w:space="0" w:color="auto"/>
              <w:bottom w:val="nil"/>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$1,010.00 </w:t>
            </w:r>
          </w:p>
        </w:tc>
        <w:tc>
          <w:tcPr>
            <w:tcW w:w="1980" w:type="dxa"/>
            <w:tcBorders>
              <w:top w:val="nil"/>
              <w:left w:val="nil"/>
              <w:bottom w:val="nil"/>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1,500</w:t>
            </w:r>
          </w:p>
        </w:tc>
      </w:tr>
      <w:tr w:rsidR="00230092" w:rsidRPr="00D04E2D" w:rsidTr="00C22495">
        <w:trPr>
          <w:trHeight w:val="267"/>
        </w:trPr>
        <w:tc>
          <w:tcPr>
            <w:tcW w:w="1821"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II – Adult</w:t>
            </w:r>
          </w:p>
        </w:tc>
        <w:tc>
          <w:tcPr>
            <w:tcW w:w="1980" w:type="dxa"/>
            <w:tcBorders>
              <w:top w:val="nil"/>
              <w:left w:val="nil"/>
              <w:bottom w:val="single" w:sz="8" w:space="0" w:color="auto"/>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8,500</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$1,400.00 </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$1,428.00 </w:t>
            </w:r>
          </w:p>
        </w:tc>
        <w:tc>
          <w:tcPr>
            <w:tcW w:w="1980" w:type="dxa"/>
            <w:tcBorders>
              <w:top w:val="nil"/>
              <w:left w:val="nil"/>
              <w:bottom w:val="single" w:sz="8" w:space="0" w:color="auto"/>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7,500</w:t>
            </w:r>
          </w:p>
        </w:tc>
      </w:tr>
      <w:tr w:rsidR="00230092" w:rsidRPr="00D04E2D" w:rsidTr="00C22495">
        <w:trPr>
          <w:trHeight w:val="256"/>
        </w:trPr>
        <w:tc>
          <w:tcPr>
            <w:tcW w:w="1821" w:type="dxa"/>
            <w:tcBorders>
              <w:top w:val="nil"/>
              <w:left w:val="single" w:sz="8" w:space="0" w:color="auto"/>
              <w:bottom w:val="nil"/>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IX</w:t>
            </w:r>
          </w:p>
        </w:tc>
        <w:tc>
          <w:tcPr>
            <w:tcW w:w="1980" w:type="dxa"/>
            <w:tcBorders>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1,000</w:t>
            </w:r>
          </w:p>
        </w:tc>
        <w:tc>
          <w:tcPr>
            <w:tcW w:w="1620" w:type="dxa"/>
            <w:tcBorders>
              <w:left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$500.00 </w:t>
            </w:r>
          </w:p>
        </w:tc>
        <w:tc>
          <w:tcPr>
            <w:tcW w:w="1620" w:type="dxa"/>
            <w:tcBorders>
              <w:top w:val="nil"/>
              <w:left w:val="single" w:sz="8" w:space="0" w:color="auto"/>
              <w:bottom w:val="nil"/>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$540.00 </w:t>
            </w:r>
          </w:p>
        </w:tc>
        <w:tc>
          <w:tcPr>
            <w:tcW w:w="1980" w:type="dxa"/>
            <w:tcBorders>
              <w:top w:val="nil"/>
              <w:left w:val="nil"/>
              <w:bottom w:val="nil"/>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1,350</w:t>
            </w:r>
          </w:p>
        </w:tc>
      </w:tr>
      <w:tr w:rsidR="00230092" w:rsidRPr="00D04E2D" w:rsidTr="00C22495">
        <w:trPr>
          <w:trHeight w:val="267"/>
        </w:trPr>
        <w:tc>
          <w:tcPr>
            <w:tcW w:w="1821"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RC X</w:t>
            </w:r>
          </w:p>
        </w:tc>
        <w:tc>
          <w:tcPr>
            <w:tcW w:w="1980" w:type="dxa"/>
            <w:tcBorders>
              <w:top w:val="nil"/>
              <w:left w:val="nil"/>
              <w:bottom w:val="single" w:sz="8" w:space="0" w:color="auto"/>
              <w:right w:val="single" w:sz="8" w:space="0" w:color="auto"/>
            </w:tcBorders>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100</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$1,000.00 </w:t>
            </w:r>
          </w:p>
        </w:tc>
        <w:tc>
          <w:tcPr>
            <w:tcW w:w="1620" w:type="dxa"/>
            <w:tcBorders>
              <w:top w:val="nil"/>
              <w:left w:val="single" w:sz="8" w:space="0" w:color="auto"/>
              <w:bottom w:val="single" w:sz="8" w:space="0" w:color="auto"/>
              <w:right w:val="single" w:sz="8" w:space="0" w:color="auto"/>
            </w:tcBorders>
            <w:noWrap/>
            <w:vAlign w:val="center"/>
            <w:hideMark/>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 xml:space="preserve">$1,079.00 </w:t>
            </w:r>
          </w:p>
        </w:tc>
        <w:tc>
          <w:tcPr>
            <w:tcW w:w="1980" w:type="dxa"/>
            <w:tcBorders>
              <w:top w:val="nil"/>
              <w:left w:val="nil"/>
              <w:bottom w:val="single" w:sz="8" w:space="0" w:color="auto"/>
              <w:right w:val="single" w:sz="8" w:space="0" w:color="auto"/>
            </w:tcBorders>
            <w:noWrap/>
            <w:vAlign w:val="center"/>
            <w:hideMark/>
          </w:tcPr>
          <w:p w:rsidR="00230092" w:rsidRPr="000A4F1E" w:rsidRDefault="00230092" w:rsidP="00C22495">
            <w:pPr>
              <w:spacing w:after="0" w:line="240" w:lineRule="auto"/>
              <w:ind w:firstLineChars="200" w:firstLine="440"/>
              <w:jc w:val="right"/>
              <w:rPr>
                <w:rFonts w:eastAsia="Times New Roman" w:cs="Arial"/>
                <w:color w:val="000000"/>
              </w:rPr>
            </w:pPr>
            <w:r w:rsidRPr="000A4F1E">
              <w:rPr>
                <w:rFonts w:eastAsia="Times New Roman" w:cs="Arial"/>
                <w:color w:val="000000"/>
              </w:rPr>
              <w:t>150</w:t>
            </w:r>
          </w:p>
        </w:tc>
      </w:tr>
      <w:tr w:rsidR="00230092" w:rsidRPr="00D04E2D" w:rsidTr="00C22495">
        <w:trPr>
          <w:trHeight w:val="481"/>
        </w:trPr>
        <w:tc>
          <w:tcPr>
            <w:tcW w:w="1821" w:type="dxa"/>
            <w:tcBorders>
              <w:top w:val="nil"/>
              <w:left w:val="single" w:sz="8" w:space="0" w:color="auto"/>
              <w:bottom w:val="single" w:sz="8" w:space="0" w:color="auto"/>
              <w:right w:val="nil"/>
            </w:tcBorders>
            <w:vAlign w:val="center"/>
          </w:tcPr>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Delivery Payment</w:t>
            </w:r>
          </w:p>
          <w:p w:rsidR="00230092" w:rsidRPr="000A4F1E" w:rsidRDefault="00230092" w:rsidP="00C22495">
            <w:pPr>
              <w:spacing w:after="0" w:line="240" w:lineRule="auto"/>
              <w:rPr>
                <w:rFonts w:eastAsia="Times New Roman" w:cs="Arial"/>
                <w:color w:val="000000"/>
              </w:rPr>
            </w:pPr>
            <w:r w:rsidRPr="000A4F1E">
              <w:rPr>
                <w:rFonts w:eastAsia="Times New Roman" w:cs="Arial"/>
                <w:color w:val="000000"/>
              </w:rPr>
              <w:t>(per event)</w:t>
            </w:r>
          </w:p>
        </w:tc>
        <w:tc>
          <w:tcPr>
            <w:tcW w:w="1980" w:type="dxa"/>
            <w:tcBorders>
              <w:top w:val="nil"/>
              <w:left w:val="single" w:sz="8" w:space="0" w:color="auto"/>
              <w:bottom w:val="single" w:sz="8" w:space="0" w:color="auto"/>
              <w:right w:val="single" w:sz="8" w:space="0" w:color="auto"/>
            </w:tcBorders>
            <w:shd w:val="clear" w:color="auto" w:fill="auto"/>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50</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$6,000.00</w:t>
            </w:r>
          </w:p>
        </w:tc>
        <w:tc>
          <w:tcPr>
            <w:tcW w:w="1620" w:type="dxa"/>
            <w:tcBorders>
              <w:top w:val="nil"/>
              <w:left w:val="single" w:sz="8" w:space="0" w:color="auto"/>
              <w:bottom w:val="single" w:sz="8" w:space="0" w:color="auto"/>
              <w:right w:val="single" w:sz="8" w:space="0" w:color="auto"/>
            </w:tcBorders>
            <w:shd w:val="clear" w:color="auto" w:fill="auto"/>
            <w:noWrap/>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$6,000.00</w:t>
            </w:r>
          </w:p>
        </w:tc>
        <w:tc>
          <w:tcPr>
            <w:tcW w:w="1980" w:type="dxa"/>
            <w:tcBorders>
              <w:top w:val="nil"/>
              <w:left w:val="nil"/>
              <w:bottom w:val="single" w:sz="8" w:space="0" w:color="auto"/>
              <w:right w:val="single" w:sz="8" w:space="0" w:color="auto"/>
            </w:tcBorders>
            <w:noWrap/>
            <w:vAlign w:val="center"/>
          </w:tcPr>
          <w:p w:rsidR="00230092" w:rsidRPr="000A4F1E" w:rsidRDefault="00230092" w:rsidP="00C22495">
            <w:pPr>
              <w:spacing w:after="0" w:line="240" w:lineRule="auto"/>
              <w:ind w:firstLineChars="100" w:firstLine="220"/>
              <w:jc w:val="right"/>
              <w:rPr>
                <w:rFonts w:eastAsia="Times New Roman" w:cs="Arial"/>
                <w:color w:val="000000"/>
              </w:rPr>
            </w:pPr>
            <w:r w:rsidRPr="000A4F1E">
              <w:rPr>
                <w:rFonts w:eastAsia="Times New Roman" w:cs="Arial"/>
                <w:color w:val="000000"/>
              </w:rPr>
              <w:t>75</w:t>
            </w:r>
          </w:p>
        </w:tc>
      </w:tr>
      <w:tr w:rsidR="00230092" w:rsidRPr="00D04E2D" w:rsidTr="00C22495">
        <w:trPr>
          <w:trHeight w:val="481"/>
        </w:trPr>
        <w:tc>
          <w:tcPr>
            <w:tcW w:w="1821" w:type="dxa"/>
            <w:tcBorders>
              <w:top w:val="nil"/>
              <w:left w:val="single" w:sz="8" w:space="0" w:color="auto"/>
              <w:bottom w:val="single" w:sz="8" w:space="0" w:color="auto"/>
              <w:right w:val="nil"/>
            </w:tcBorders>
            <w:vAlign w:val="center"/>
            <w:hideMark/>
          </w:tcPr>
          <w:p w:rsidR="00230092" w:rsidRPr="000A4F1E" w:rsidRDefault="00230092" w:rsidP="00C22495">
            <w:pPr>
              <w:spacing w:after="0" w:line="240" w:lineRule="auto"/>
              <w:rPr>
                <w:rFonts w:eastAsia="Times New Roman" w:cs="Arial"/>
                <w:b/>
                <w:color w:val="000000"/>
              </w:rPr>
            </w:pPr>
            <w:r w:rsidRPr="000A4F1E">
              <w:rPr>
                <w:rFonts w:eastAsia="Times New Roman" w:cs="Arial"/>
                <w:b/>
                <w:color w:val="000000"/>
              </w:rPr>
              <w:t xml:space="preserve">TCOC Benchmark </w:t>
            </w:r>
          </w:p>
        </w:tc>
        <w:tc>
          <w:tcPr>
            <w:tcW w:w="1980" w:type="dxa"/>
            <w:tcBorders>
              <w:top w:val="nil"/>
              <w:left w:val="single" w:sz="8" w:space="0" w:color="auto"/>
              <w:bottom w:val="single" w:sz="8" w:space="0" w:color="auto"/>
              <w:right w:val="single" w:sz="8" w:space="0" w:color="auto"/>
            </w:tcBorders>
            <w:shd w:val="clear" w:color="auto" w:fill="auto"/>
            <w:vAlign w:val="center"/>
          </w:tcPr>
          <w:p w:rsidR="00230092" w:rsidRPr="000A4F1E" w:rsidRDefault="00230092" w:rsidP="00C22495">
            <w:pPr>
              <w:spacing w:after="0" w:line="240" w:lineRule="auto"/>
              <w:jc w:val="right"/>
              <w:rPr>
                <w:rFonts w:eastAsia="Times New Roman" w:cs="Arial"/>
                <w:b/>
                <w:color w:val="000000"/>
              </w:rPr>
            </w:pPr>
            <w:r w:rsidRPr="000A4F1E">
              <w:rPr>
                <w:rFonts w:eastAsia="Times New Roman" w:cs="Arial"/>
                <w:b/>
                <w:color w:val="000000"/>
              </w:rPr>
              <w:t>41,600</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30092" w:rsidRPr="008901B8" w:rsidRDefault="00230092" w:rsidP="00C22495">
            <w:pPr>
              <w:spacing w:after="0" w:line="240" w:lineRule="auto"/>
              <w:jc w:val="right"/>
              <w:rPr>
                <w:rFonts w:eastAsia="Times New Roman" w:cs="Arial"/>
                <w:b/>
                <w:color w:val="000000"/>
              </w:rPr>
            </w:pPr>
            <w:r w:rsidRPr="008901B8">
              <w:rPr>
                <w:rFonts w:eastAsia="Times New Roman" w:cs="Arial"/>
                <w:b/>
                <w:color w:val="000000"/>
              </w:rPr>
              <w:t> $548.08</w:t>
            </w:r>
          </w:p>
        </w:tc>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230092" w:rsidRPr="008901B8" w:rsidRDefault="00230092" w:rsidP="00C22495">
            <w:pPr>
              <w:spacing w:after="0" w:line="240" w:lineRule="auto"/>
              <w:jc w:val="right"/>
              <w:rPr>
                <w:rFonts w:eastAsia="Times New Roman" w:cs="Arial"/>
                <w:b/>
                <w:bCs/>
                <w:color w:val="000000"/>
              </w:rPr>
            </w:pPr>
            <w:r w:rsidRPr="008901B8">
              <w:rPr>
                <w:rFonts w:eastAsia="Times New Roman" w:cs="Arial"/>
                <w:b/>
                <w:bCs/>
                <w:color w:val="000000"/>
              </w:rPr>
              <w:t xml:space="preserve">$509.38 </w:t>
            </w:r>
          </w:p>
        </w:tc>
        <w:tc>
          <w:tcPr>
            <w:tcW w:w="1980" w:type="dxa"/>
            <w:tcBorders>
              <w:top w:val="nil"/>
              <w:left w:val="nil"/>
              <w:bottom w:val="single" w:sz="8" w:space="0" w:color="auto"/>
              <w:right w:val="single" w:sz="8" w:space="0" w:color="auto"/>
            </w:tcBorders>
            <w:noWrap/>
            <w:vAlign w:val="center"/>
            <w:hideMark/>
          </w:tcPr>
          <w:p w:rsidR="00230092" w:rsidRPr="008901B8" w:rsidRDefault="00230092" w:rsidP="00C22495">
            <w:pPr>
              <w:spacing w:after="0" w:line="240" w:lineRule="auto"/>
              <w:ind w:firstLineChars="200" w:firstLine="442"/>
              <w:jc w:val="right"/>
              <w:rPr>
                <w:rFonts w:eastAsia="Times New Roman" w:cs="Arial"/>
                <w:b/>
                <w:color w:val="000000"/>
              </w:rPr>
            </w:pPr>
            <w:r w:rsidRPr="008901B8">
              <w:rPr>
                <w:rFonts w:eastAsia="Times New Roman" w:cs="Arial"/>
                <w:b/>
                <w:color w:val="000000"/>
              </w:rPr>
              <w:t>48,000</w:t>
            </w:r>
          </w:p>
        </w:tc>
      </w:tr>
    </w:tbl>
    <w:p w:rsidR="00230092" w:rsidRPr="00D04E2D" w:rsidRDefault="00230092" w:rsidP="00230092">
      <w:pPr>
        <w:rPr>
          <w:rFonts w:cstheme="minorHAnsi"/>
          <w:i/>
        </w:rPr>
      </w:pPr>
    </w:p>
    <w:p w:rsidR="00230092" w:rsidRPr="00F536DE" w:rsidRDefault="00230092" w:rsidP="00230092">
      <w:pPr>
        <w:pStyle w:val="ListBullet"/>
        <w:numPr>
          <w:ilvl w:val="4"/>
          <w:numId w:val="23"/>
        </w:numPr>
        <w:rPr>
          <w:rFonts w:asciiTheme="minorHAnsi" w:hAnsiTheme="minorHAnsi" w:cstheme="minorHAnsi"/>
          <w:szCs w:val="22"/>
        </w:rPr>
      </w:pPr>
      <w:r w:rsidRPr="00D04E2D">
        <w:rPr>
          <w:rFonts w:asciiTheme="minorHAnsi" w:hAnsiTheme="minorHAnsi" w:cstheme="minorHAnsi"/>
          <w:i/>
          <w:szCs w:val="22"/>
        </w:rPr>
        <w:t>Projected Member Months/Delivery Count</w:t>
      </w:r>
      <w:r w:rsidRPr="00D04E2D">
        <w:rPr>
          <w:rFonts w:asciiTheme="minorHAnsi" w:hAnsiTheme="minorHAnsi" w:cstheme="minorHAnsi"/>
          <w:szCs w:val="22"/>
        </w:rPr>
        <w:t xml:space="preserve"> — </w:t>
      </w:r>
      <w:proofErr w:type="gramStart"/>
      <w:r w:rsidRPr="00D04E2D">
        <w:rPr>
          <w:rFonts w:asciiTheme="minorHAnsi" w:hAnsiTheme="minorHAnsi" w:cstheme="minorHAnsi"/>
          <w:szCs w:val="22"/>
        </w:rPr>
        <w:t>Reflects</w:t>
      </w:r>
      <w:proofErr w:type="gramEnd"/>
      <w:r w:rsidRPr="00D04E2D">
        <w:rPr>
          <w:rFonts w:asciiTheme="minorHAnsi" w:hAnsiTheme="minorHAnsi" w:cstheme="minorHAnsi"/>
          <w:szCs w:val="22"/>
        </w:rPr>
        <w:t xml:space="preserve"> the projected member months distribution for each ACO for the performance period.  The figure shown for the delivery </w:t>
      </w:r>
      <w:r>
        <w:rPr>
          <w:rFonts w:asciiTheme="minorHAnsi" w:hAnsiTheme="minorHAnsi" w:cstheme="minorHAnsi"/>
          <w:szCs w:val="22"/>
        </w:rPr>
        <w:t>count</w:t>
      </w:r>
      <w:r w:rsidRPr="00D04E2D">
        <w:rPr>
          <w:rFonts w:asciiTheme="minorHAnsi" w:hAnsiTheme="minorHAnsi" w:cstheme="minorHAnsi"/>
          <w:szCs w:val="22"/>
        </w:rPr>
        <w:t xml:space="preserve"> represents the projected number of deliveries.  This distribution is used to calculate the preliminary TCOC benchmark PMPM.</w:t>
      </w:r>
    </w:p>
    <w:p w:rsidR="00230092" w:rsidRPr="00F536DE" w:rsidRDefault="00230092" w:rsidP="00230092">
      <w:pPr>
        <w:pStyle w:val="ListBullet"/>
        <w:numPr>
          <w:ilvl w:val="4"/>
          <w:numId w:val="23"/>
        </w:numPr>
        <w:rPr>
          <w:rFonts w:asciiTheme="minorHAnsi" w:hAnsiTheme="minorHAnsi" w:cstheme="minorHAnsi"/>
          <w:szCs w:val="22"/>
        </w:rPr>
      </w:pPr>
      <w:r w:rsidRPr="00D04E2D">
        <w:rPr>
          <w:rFonts w:asciiTheme="minorHAnsi" w:hAnsiTheme="minorHAnsi" w:cstheme="minorHAnsi"/>
          <w:i/>
          <w:szCs w:val="22"/>
        </w:rPr>
        <w:t>Preliminary TCOC Benchmark PMPM</w:t>
      </w:r>
      <w:r w:rsidRPr="00D04E2D">
        <w:rPr>
          <w:rFonts w:asciiTheme="minorHAnsi" w:hAnsiTheme="minorHAnsi" w:cstheme="minorHAnsi"/>
          <w:szCs w:val="22"/>
        </w:rPr>
        <w:t xml:space="preserve"> — </w:t>
      </w:r>
      <w:proofErr w:type="gramStart"/>
      <w:r w:rsidRPr="00D04E2D">
        <w:rPr>
          <w:rFonts w:asciiTheme="minorHAnsi" w:hAnsiTheme="minorHAnsi" w:cstheme="minorHAnsi"/>
          <w:szCs w:val="22"/>
        </w:rPr>
        <w:t>This</w:t>
      </w:r>
      <w:proofErr w:type="gramEnd"/>
      <w:r w:rsidRPr="00D04E2D">
        <w:rPr>
          <w:rFonts w:asciiTheme="minorHAnsi" w:hAnsiTheme="minorHAnsi" w:cstheme="minorHAnsi"/>
          <w:szCs w:val="22"/>
        </w:rPr>
        <w:t xml:space="preserve"> reflects the expected benchmark costs for each ACO and </w:t>
      </w:r>
      <w:r>
        <w:rPr>
          <w:rFonts w:asciiTheme="minorHAnsi" w:hAnsiTheme="minorHAnsi" w:cstheme="minorHAnsi"/>
          <w:szCs w:val="22"/>
        </w:rPr>
        <w:t>rate cell</w:t>
      </w:r>
      <w:r w:rsidRPr="00D04E2D">
        <w:rPr>
          <w:rFonts w:asciiTheme="minorHAnsi" w:hAnsiTheme="minorHAnsi" w:cstheme="minorHAnsi"/>
          <w:szCs w:val="22"/>
        </w:rPr>
        <w:t>, reflecting the various adjustments outlined earlier in this document. These are calculated prior to the performance period and are provided to ACOs for planning purposes only.</w:t>
      </w:r>
    </w:p>
    <w:p w:rsidR="00230092" w:rsidRPr="00F536DE" w:rsidRDefault="00230092" w:rsidP="00230092">
      <w:pPr>
        <w:pStyle w:val="ListBullet"/>
        <w:numPr>
          <w:ilvl w:val="4"/>
          <w:numId w:val="23"/>
        </w:numPr>
        <w:rPr>
          <w:rFonts w:asciiTheme="minorHAnsi" w:hAnsiTheme="minorHAnsi" w:cstheme="minorHAnsi"/>
          <w:szCs w:val="22"/>
        </w:rPr>
      </w:pPr>
      <w:r w:rsidRPr="00D04E2D">
        <w:rPr>
          <w:rFonts w:asciiTheme="minorHAnsi" w:hAnsiTheme="minorHAnsi" w:cstheme="minorHAnsi"/>
          <w:i/>
          <w:szCs w:val="22"/>
        </w:rPr>
        <w:t>Final TCOC Benchmark PMPM</w:t>
      </w:r>
      <w:r w:rsidRPr="00D04E2D">
        <w:rPr>
          <w:rFonts w:asciiTheme="minorHAnsi" w:hAnsiTheme="minorHAnsi" w:cstheme="minorHAnsi"/>
          <w:szCs w:val="22"/>
        </w:rPr>
        <w:t xml:space="preserve"> — </w:t>
      </w:r>
      <w:proofErr w:type="gramStart"/>
      <w:r w:rsidRPr="00D04E2D">
        <w:rPr>
          <w:rFonts w:asciiTheme="minorHAnsi" w:hAnsiTheme="minorHAnsi" w:cstheme="minorHAnsi"/>
          <w:szCs w:val="22"/>
        </w:rPr>
        <w:t>These</w:t>
      </w:r>
      <w:proofErr w:type="gramEnd"/>
      <w:r w:rsidRPr="00D04E2D">
        <w:rPr>
          <w:rFonts w:asciiTheme="minorHAnsi" w:hAnsiTheme="minorHAnsi" w:cstheme="minorHAnsi"/>
          <w:szCs w:val="22"/>
        </w:rPr>
        <w:t xml:space="preserve"> benchmarks </w:t>
      </w:r>
      <w:r>
        <w:rPr>
          <w:rFonts w:asciiTheme="minorHAnsi" w:hAnsiTheme="minorHAnsi" w:cstheme="minorHAnsi"/>
          <w:szCs w:val="22"/>
        </w:rPr>
        <w:t>are risk-adjusted based on the risk profile of the ACO’s enrolled or attributed members during the performance period</w:t>
      </w:r>
      <w:r w:rsidRPr="00D04E2D">
        <w:rPr>
          <w:rFonts w:asciiTheme="minorHAnsi" w:hAnsiTheme="minorHAnsi" w:cstheme="minorHAnsi"/>
          <w:szCs w:val="22"/>
        </w:rPr>
        <w:t xml:space="preserve">. The final TCOC benchmark is calculated as the weighted average of each </w:t>
      </w:r>
      <w:r>
        <w:rPr>
          <w:rFonts w:asciiTheme="minorHAnsi" w:hAnsiTheme="minorHAnsi" w:cstheme="minorHAnsi"/>
          <w:szCs w:val="22"/>
        </w:rPr>
        <w:t>rate cell</w:t>
      </w:r>
      <w:r w:rsidRPr="00D04E2D">
        <w:rPr>
          <w:rFonts w:asciiTheme="minorHAnsi" w:hAnsiTheme="minorHAnsi" w:cstheme="minorHAnsi"/>
          <w:szCs w:val="22"/>
        </w:rPr>
        <w:t xml:space="preserve">, using </w:t>
      </w:r>
      <w:r>
        <w:rPr>
          <w:rFonts w:asciiTheme="minorHAnsi" w:hAnsiTheme="minorHAnsi" w:cstheme="minorHAnsi"/>
          <w:szCs w:val="22"/>
        </w:rPr>
        <w:t>performance</w:t>
      </w:r>
      <w:r w:rsidRPr="00D04E2D">
        <w:rPr>
          <w:rFonts w:asciiTheme="minorHAnsi" w:hAnsiTheme="minorHAnsi" w:cstheme="minorHAnsi"/>
          <w:szCs w:val="22"/>
        </w:rPr>
        <w:t xml:space="preserve"> period member months and delivery counts as the weights. Note the denominator in the calculation of the weighted average PMPM excludes the number of deliveries.  The final TCOC benchmark is the value that the ACO’s actual TCOC will be measured against for shared savings/losses calculations</w:t>
      </w:r>
      <w:r>
        <w:rPr>
          <w:rFonts w:asciiTheme="minorHAnsi" w:hAnsiTheme="minorHAnsi" w:cstheme="minorHAnsi"/>
          <w:szCs w:val="22"/>
        </w:rPr>
        <w:t>.</w:t>
      </w:r>
    </w:p>
    <w:p w:rsidR="00230092" w:rsidRPr="00D04E2D" w:rsidRDefault="00230092" w:rsidP="00230092">
      <w:pPr>
        <w:pStyle w:val="ListBullet"/>
        <w:numPr>
          <w:ilvl w:val="4"/>
          <w:numId w:val="23"/>
        </w:numPr>
        <w:rPr>
          <w:rFonts w:asciiTheme="minorHAnsi" w:hAnsiTheme="minorHAnsi" w:cstheme="minorHAnsi"/>
          <w:szCs w:val="22"/>
        </w:rPr>
      </w:pPr>
      <w:r w:rsidRPr="00D04E2D">
        <w:rPr>
          <w:rFonts w:asciiTheme="minorHAnsi" w:hAnsiTheme="minorHAnsi" w:cstheme="minorHAnsi"/>
          <w:i/>
          <w:szCs w:val="22"/>
        </w:rPr>
        <w:t xml:space="preserve">Contract Period Member Months/Delivery Count </w:t>
      </w:r>
      <w:r w:rsidRPr="00D04E2D">
        <w:rPr>
          <w:rFonts w:asciiTheme="minorHAnsi" w:hAnsiTheme="minorHAnsi" w:cstheme="minorHAnsi"/>
          <w:szCs w:val="22"/>
        </w:rPr>
        <w:t xml:space="preserve">— </w:t>
      </w:r>
      <w:proofErr w:type="gramStart"/>
      <w:r>
        <w:rPr>
          <w:rFonts w:asciiTheme="minorHAnsi" w:hAnsiTheme="minorHAnsi" w:cstheme="minorHAnsi"/>
          <w:szCs w:val="22"/>
        </w:rPr>
        <w:t>This</w:t>
      </w:r>
      <w:proofErr w:type="gramEnd"/>
      <w:r>
        <w:rPr>
          <w:rFonts w:asciiTheme="minorHAnsi" w:hAnsiTheme="minorHAnsi" w:cstheme="minorHAnsi"/>
          <w:szCs w:val="22"/>
        </w:rPr>
        <w:t xml:space="preserve"> reflects</w:t>
      </w:r>
      <w:r w:rsidRPr="00D04E2D">
        <w:rPr>
          <w:rFonts w:asciiTheme="minorHAnsi" w:hAnsiTheme="minorHAnsi" w:cstheme="minorHAnsi"/>
          <w:szCs w:val="22"/>
        </w:rPr>
        <w:t xml:space="preserve"> the actual member months distribution for each ACO during the </w:t>
      </w:r>
      <w:r>
        <w:rPr>
          <w:rFonts w:asciiTheme="minorHAnsi" w:hAnsiTheme="minorHAnsi" w:cstheme="minorHAnsi"/>
          <w:szCs w:val="22"/>
        </w:rPr>
        <w:t>performance period</w:t>
      </w:r>
      <w:r w:rsidRPr="00D04E2D">
        <w:rPr>
          <w:rFonts w:asciiTheme="minorHAnsi" w:hAnsiTheme="minorHAnsi" w:cstheme="minorHAnsi"/>
          <w:szCs w:val="22"/>
        </w:rPr>
        <w:t>.  The figure shown for the delivery payment represents the actual number of deliveries.  This membership distribution is used to calculate the final TCOC benchmark PMPM.</w:t>
      </w:r>
    </w:p>
    <w:p w:rsidR="00230092" w:rsidRPr="00D04E2D" w:rsidRDefault="00230092" w:rsidP="00230092">
      <w:pPr>
        <w:rPr>
          <w:rFonts w:cstheme="minorHAnsi"/>
        </w:rPr>
      </w:pPr>
    </w:p>
    <w:p w:rsidR="00230092" w:rsidRPr="00D04E2D" w:rsidRDefault="00230092" w:rsidP="00230092">
      <w:pPr>
        <w:rPr>
          <w:i/>
        </w:rPr>
      </w:pPr>
      <w:r w:rsidRPr="002D679D">
        <w:rPr>
          <w:rFonts w:cstheme="minorHAnsi"/>
          <w:i/>
        </w:rPr>
        <w:t>4.2</w:t>
      </w:r>
      <w:r w:rsidRPr="00D04E2D">
        <w:rPr>
          <w:rFonts w:cstheme="minorHAnsi"/>
        </w:rPr>
        <w:t xml:space="preserve"> </w:t>
      </w:r>
      <w:r w:rsidRPr="00D04E2D">
        <w:rPr>
          <w:i/>
        </w:rPr>
        <w:t>Risk Tracks and quality modifiers</w:t>
      </w:r>
      <w:r>
        <w:rPr>
          <w:i/>
        </w:rPr>
        <w:t xml:space="preserve"> for Primary Care ACOs and MCO-Administered ACOs</w:t>
      </w:r>
    </w:p>
    <w:p w:rsidR="00230092" w:rsidRPr="00D04E2D" w:rsidRDefault="00230092" w:rsidP="00230092">
      <w:pPr>
        <w:rPr>
          <w:b/>
        </w:rPr>
      </w:pPr>
      <w:r w:rsidRPr="00D04E2D">
        <w:rPr>
          <w:b/>
        </w:rPr>
        <w:t>Minimum Savings Ratio (MSR)</w:t>
      </w:r>
    </w:p>
    <w:p w:rsidR="00230092" w:rsidRPr="00D04E2D" w:rsidRDefault="00230092" w:rsidP="00230092">
      <w:r w:rsidRPr="00D04E2D">
        <w:t xml:space="preserve">The MSR represents the minimum </w:t>
      </w:r>
      <w:r>
        <w:t>savings or losses that must be achieved</w:t>
      </w:r>
      <w:r w:rsidRPr="00D04E2D">
        <w:t xml:space="preserve"> before any savings/loss is shared by the ACO.  It is determined as the savings/loss relative to the final TCOC benchmark.  If savings/loss is below the MSR, then there are no shared savings or loss.  Savings/loss above the MSR will be shared back to the first dollar at risk, i.e. shared savings/loss will include the value of the amount below the MSR.  The purpose of the MSR is to ensure that any savings/loss is not the result of statistical random fluctuation but due to the performance of the ACO and its ability to provide appropriate care in the right setting at the right time </w:t>
      </w:r>
      <w:r>
        <w:t>while</w:t>
      </w:r>
      <w:r w:rsidRPr="00D04E2D">
        <w:t xml:space="preserve"> maintaining quality.  Regardless of the ACO model risk track selected, the MSR will initially be set at 2%.</w:t>
      </w:r>
    </w:p>
    <w:p w:rsidR="00230092" w:rsidRPr="00D04E2D" w:rsidRDefault="00230092" w:rsidP="00230092">
      <w:pPr>
        <w:rPr>
          <w:b/>
        </w:rPr>
      </w:pPr>
      <w:r w:rsidRPr="00D04E2D">
        <w:rPr>
          <w:b/>
        </w:rPr>
        <w:t>Savings/Loss Cap</w:t>
      </w:r>
    </w:p>
    <w:p w:rsidR="00230092" w:rsidRPr="00D04E2D" w:rsidRDefault="00230092" w:rsidP="00230092">
      <w:r w:rsidRPr="00D04E2D">
        <w:t xml:space="preserve">Shared savings/loss </w:t>
      </w:r>
      <w:r>
        <w:t>for Primary Care ACOs and MCO-Administered ACOs</w:t>
      </w:r>
      <w:r w:rsidRPr="00D04E2D">
        <w:t xml:space="preserve"> will be capped</w:t>
      </w:r>
      <w:r>
        <w:t xml:space="preserve"> such that these ACOs are not responsible for any additional savings or losses if performance differs from the benchmark by more than</w:t>
      </w:r>
      <w:r w:rsidRPr="00D04E2D">
        <w:t xml:space="preserve"> 10% of the TCOC benchmark.  </w:t>
      </w:r>
      <w:r>
        <w:t>Instead, Primary Care ACOs and MCO-Administered ACOs with such performance levels will be treated as if they had savings or losses of 10%, the maximum amount under the cap, and will receive or pay shared savings/losses against this 10% amount based on their risk track.</w:t>
      </w:r>
      <w:r w:rsidRPr="00D04E2D">
        <w:t xml:space="preserve">  This threshold is in place to </w:t>
      </w:r>
      <w:r>
        <w:t>limit the maximum savings or losses payment for ACOs, mitigating risk.</w:t>
      </w:r>
    </w:p>
    <w:p w:rsidR="00230092" w:rsidRPr="00D04E2D" w:rsidRDefault="00230092" w:rsidP="00230092">
      <w:pPr>
        <w:rPr>
          <w:b/>
        </w:rPr>
      </w:pPr>
      <w:r w:rsidRPr="00D04E2D">
        <w:rPr>
          <w:b/>
        </w:rPr>
        <w:t>Risk Tracks</w:t>
      </w:r>
    </w:p>
    <w:p w:rsidR="00230092" w:rsidRPr="00D04E2D" w:rsidRDefault="00230092" w:rsidP="00230092">
      <w:r w:rsidRPr="00D04E2D">
        <w:t>Primary Care ACO</w:t>
      </w:r>
      <w:r>
        <w:t>s</w:t>
      </w:r>
      <w:r w:rsidRPr="00D04E2D">
        <w:t xml:space="preserve"> </w:t>
      </w:r>
      <w:r>
        <w:t>and</w:t>
      </w:r>
      <w:r w:rsidRPr="00D04E2D">
        <w:t xml:space="preserve"> MCO-Administered ACO</w:t>
      </w:r>
      <w:r>
        <w:t>s</w:t>
      </w:r>
      <w:r w:rsidRPr="00D04E2D">
        <w:t xml:space="preserve"> must choose one of the risk tracks within each model.  Note the shared savings/loss</w:t>
      </w:r>
      <w:r>
        <w:t>es</w:t>
      </w:r>
      <w:r w:rsidRPr="00D04E2D">
        <w:t xml:space="preserve"> are tiered between 0-3% and 3%-10%.  To limit the exposure of the ACOs, the </w:t>
      </w:r>
      <w:r>
        <w:t xml:space="preserve">ACO’s percentage </w:t>
      </w:r>
      <w:r w:rsidRPr="00D04E2D">
        <w:t>share</w:t>
      </w:r>
      <w:r>
        <w:t xml:space="preserve"> of each dollar of</w:t>
      </w:r>
      <w:r w:rsidRPr="00D04E2D">
        <w:t xml:space="preserve"> savings/loss between 3%-10% of the TCOC benchmark </w:t>
      </w:r>
      <w:r>
        <w:t>is</w:t>
      </w:r>
      <w:r w:rsidRPr="00D04E2D">
        <w:t xml:space="preserve"> half </w:t>
      </w:r>
      <w:r>
        <w:t xml:space="preserve">the ACO’s share </w:t>
      </w:r>
      <w:r w:rsidRPr="00D04E2D">
        <w:t xml:space="preserve">of </w:t>
      </w:r>
      <w:r>
        <w:t xml:space="preserve">each dollar of </w:t>
      </w:r>
      <w:r w:rsidRPr="00D04E2D">
        <w:t>savings/loss between 0-</w:t>
      </w:r>
      <w:proofErr w:type="gramStart"/>
      <w:r w:rsidRPr="00D04E2D">
        <w:t>3%</w:t>
      </w:r>
      <w:proofErr w:type="gramEnd"/>
      <w:r w:rsidRPr="00D04E2D">
        <w:t xml:space="preserve"> within each track.  The shared savings/loss for all tracks will gradually ramp up after the initial year.</w:t>
      </w:r>
    </w:p>
    <w:p w:rsidR="00230092" w:rsidRDefault="00230092" w:rsidP="00230092">
      <w:pPr>
        <w:rPr>
          <w:b/>
        </w:rPr>
      </w:pPr>
      <w:r>
        <w:rPr>
          <w:b/>
        </w:rPr>
        <w:br w:type="page"/>
      </w:r>
    </w:p>
    <w:p w:rsidR="00230092" w:rsidRPr="00D04E2D" w:rsidRDefault="00230092" w:rsidP="00230092">
      <w:pPr>
        <w:rPr>
          <w:b/>
        </w:rPr>
      </w:pPr>
      <w:r w:rsidRPr="00D04E2D">
        <w:rPr>
          <w:b/>
        </w:rPr>
        <w:t>Primary Care ACOs</w:t>
      </w:r>
    </w:p>
    <w:p w:rsidR="00230092" w:rsidRPr="00D04E2D" w:rsidRDefault="00230092" w:rsidP="00230092">
      <w:r w:rsidRPr="00D04E2D">
        <w:t>The Primary Care ACO model has two tracks.  They are:</w:t>
      </w:r>
    </w:p>
    <w:p w:rsidR="00230092" w:rsidRPr="00D04E2D" w:rsidRDefault="00230092" w:rsidP="00230092">
      <w:pPr>
        <w:pStyle w:val="ListParagraph"/>
        <w:numPr>
          <w:ilvl w:val="0"/>
          <w:numId w:val="31"/>
        </w:numPr>
        <w:spacing w:line="259" w:lineRule="auto"/>
      </w:pPr>
      <w:r w:rsidRPr="000A4F1E">
        <w:rPr>
          <w:b/>
        </w:rPr>
        <w:t>Risk Track 1- Shared Accountability</w:t>
      </w:r>
      <w:r w:rsidRPr="00D04E2D">
        <w:t xml:space="preserve"> </w:t>
      </w:r>
    </w:p>
    <w:p w:rsidR="00230092" w:rsidRDefault="00230092" w:rsidP="00230092">
      <w:pPr>
        <w:pStyle w:val="ListParagraph"/>
        <w:numPr>
          <w:ilvl w:val="0"/>
          <w:numId w:val="31"/>
        </w:numPr>
        <w:spacing w:line="259" w:lineRule="auto"/>
      </w:pPr>
      <w:r w:rsidRPr="00785ABC">
        <w:rPr>
          <w:b/>
        </w:rPr>
        <w:t>Risk Track 2 - Full Accountability</w:t>
      </w:r>
    </w:p>
    <w:p w:rsidR="00230092" w:rsidRDefault="00230092" w:rsidP="00230092">
      <w:r>
        <w:t>The following chart compares the level of accountability under each Primary Care ACO risk track option:</w:t>
      </w:r>
    </w:p>
    <w:p w:rsidR="00230092" w:rsidRPr="00D04E2D" w:rsidRDefault="00230092" w:rsidP="00230092">
      <w:pPr>
        <w:pStyle w:val="IntenseQuote"/>
      </w:pPr>
      <w:r>
        <w:t>Exhibit 3: Primary Care ACO Risk Tracks</w:t>
      </w:r>
    </w:p>
    <w:p w:rsidR="00230092" w:rsidRDefault="00230092" w:rsidP="00230092">
      <w:pPr>
        <w:rPr>
          <w:highlight w:val="yellow"/>
        </w:rPr>
      </w:pPr>
      <w:r>
        <w:rPr>
          <w:noProof/>
        </w:rPr>
        <w:drawing>
          <wp:inline distT="0" distB="0" distL="0" distR="0" wp14:anchorId="1CDAF040" wp14:editId="163F8D29">
            <wp:extent cx="5943600" cy="3806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806825"/>
                    </a:xfrm>
                    <a:prstGeom prst="rect">
                      <a:avLst/>
                    </a:prstGeom>
                  </pic:spPr>
                </pic:pic>
              </a:graphicData>
            </a:graphic>
          </wp:inline>
        </w:drawing>
      </w: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Default="00230092" w:rsidP="00230092">
      <w:pPr>
        <w:rPr>
          <w:b/>
        </w:rPr>
      </w:pPr>
    </w:p>
    <w:p w:rsidR="00230092" w:rsidRPr="00D04E2D" w:rsidRDefault="00230092" w:rsidP="00230092">
      <w:pPr>
        <w:rPr>
          <w:b/>
        </w:rPr>
      </w:pPr>
      <w:r w:rsidRPr="00D04E2D">
        <w:rPr>
          <w:b/>
        </w:rPr>
        <w:t>MCO-Administered ACOs</w:t>
      </w:r>
    </w:p>
    <w:p w:rsidR="00230092" w:rsidRPr="00D04E2D" w:rsidRDefault="00230092" w:rsidP="00230092">
      <w:r w:rsidRPr="00D04E2D">
        <w:t>MCO-Administered ACOs ha</w:t>
      </w:r>
      <w:r>
        <w:t>ve</w:t>
      </w:r>
      <w:r w:rsidRPr="00D04E2D">
        <w:t xml:space="preserve"> the option to choose between 3 different risk tracks.  They are:</w:t>
      </w:r>
    </w:p>
    <w:p w:rsidR="00230092" w:rsidRPr="00D04E2D" w:rsidRDefault="00230092" w:rsidP="00230092">
      <w:pPr>
        <w:pStyle w:val="ListParagraph"/>
        <w:numPr>
          <w:ilvl w:val="0"/>
          <w:numId w:val="32"/>
        </w:numPr>
        <w:spacing w:line="259" w:lineRule="auto"/>
      </w:pPr>
      <w:r w:rsidRPr="000A4F1E">
        <w:rPr>
          <w:b/>
        </w:rPr>
        <w:t>Risk Track 1 – Limited Accountability</w:t>
      </w:r>
    </w:p>
    <w:p w:rsidR="00230092" w:rsidRPr="00D04E2D" w:rsidRDefault="00230092" w:rsidP="00230092">
      <w:pPr>
        <w:pStyle w:val="ListParagraph"/>
        <w:numPr>
          <w:ilvl w:val="0"/>
          <w:numId w:val="32"/>
        </w:numPr>
        <w:spacing w:line="259" w:lineRule="auto"/>
      </w:pPr>
      <w:r w:rsidRPr="000A4F1E">
        <w:rPr>
          <w:b/>
        </w:rPr>
        <w:t>Risk Track 2 – Moderate Accountability</w:t>
      </w:r>
    </w:p>
    <w:p w:rsidR="00230092" w:rsidRPr="003A4B44" w:rsidRDefault="00230092" w:rsidP="00230092">
      <w:pPr>
        <w:pStyle w:val="ListParagraph"/>
        <w:numPr>
          <w:ilvl w:val="0"/>
          <w:numId w:val="32"/>
        </w:numPr>
        <w:spacing w:line="259" w:lineRule="auto"/>
      </w:pPr>
      <w:r w:rsidRPr="000A4F1E">
        <w:rPr>
          <w:b/>
        </w:rPr>
        <w:t>Risk Track 3 – Increased Accountability</w:t>
      </w:r>
    </w:p>
    <w:p w:rsidR="00230092" w:rsidRDefault="00230092" w:rsidP="00230092">
      <w:r>
        <w:t>The following chart compares the level of accountability under each Primary Care ACO risk track option:</w:t>
      </w:r>
    </w:p>
    <w:p w:rsidR="00230092" w:rsidRPr="003A4B44" w:rsidRDefault="00230092" w:rsidP="00230092">
      <w:pPr>
        <w:pStyle w:val="IntenseQuote"/>
        <w:rPr>
          <w:rStyle w:val="SubtleReference"/>
          <w:smallCaps w:val="0"/>
          <w:color w:val="4F81BD" w:themeColor="accent1"/>
          <w:u w:val="none"/>
        </w:rPr>
      </w:pPr>
      <w:r w:rsidRPr="003A4B44">
        <w:rPr>
          <w:rStyle w:val="SubtleReference"/>
          <w:smallCaps w:val="0"/>
          <w:color w:val="4F81BD" w:themeColor="accent1"/>
          <w:u w:val="none"/>
        </w:rPr>
        <w:t>Exhibit 4: MCO-Administered ACO Risk Tracks</w:t>
      </w:r>
    </w:p>
    <w:p w:rsidR="00230092" w:rsidRPr="000F1FD3" w:rsidRDefault="00230092" w:rsidP="00230092">
      <w:pPr>
        <w:rPr>
          <w:highlight w:val="yellow"/>
        </w:rPr>
      </w:pPr>
      <w:r>
        <w:rPr>
          <w:noProof/>
        </w:rPr>
        <w:drawing>
          <wp:inline distT="0" distB="0" distL="0" distR="0" wp14:anchorId="1F17236E" wp14:editId="55B6FC04">
            <wp:extent cx="5889522" cy="350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802"/>
                    <a:stretch/>
                  </pic:blipFill>
                  <pic:spPr bwMode="auto">
                    <a:xfrm>
                      <a:off x="0" y="0"/>
                      <a:ext cx="5895924" cy="350901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7EF031D" wp14:editId="57574B52">
            <wp:extent cx="5943600" cy="18472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10188"/>
                    <a:stretch/>
                  </pic:blipFill>
                  <pic:spPr bwMode="auto">
                    <a:xfrm>
                      <a:off x="0" y="0"/>
                      <a:ext cx="5943600" cy="1847215"/>
                    </a:xfrm>
                    <a:prstGeom prst="rect">
                      <a:avLst/>
                    </a:prstGeom>
                    <a:ln>
                      <a:noFill/>
                    </a:ln>
                    <a:extLst>
                      <a:ext uri="{53640926-AAD7-44D8-BBD7-CCE9431645EC}">
                        <a14:shadowObscured xmlns:a14="http://schemas.microsoft.com/office/drawing/2010/main"/>
                      </a:ext>
                    </a:extLst>
                  </pic:spPr>
                </pic:pic>
              </a:graphicData>
            </a:graphic>
          </wp:inline>
        </w:drawing>
      </w:r>
      <w:r w:rsidRPr="00D04E2D">
        <w:t>Primary Care ACO</w:t>
      </w:r>
      <w:r>
        <w:t xml:space="preserve">s will </w:t>
      </w:r>
      <w:r w:rsidRPr="00D04E2D">
        <w:t>share</w:t>
      </w:r>
      <w:r>
        <w:t xml:space="preserve"> savings/losses with EOHHS</w:t>
      </w:r>
      <w:r w:rsidRPr="00D04E2D">
        <w:t xml:space="preserve">.  MCO-Administered ACOs </w:t>
      </w:r>
      <w:r>
        <w:t>will share</w:t>
      </w:r>
      <w:r w:rsidRPr="00D04E2D">
        <w:t xml:space="preserve"> savings/loss </w:t>
      </w:r>
      <w:r>
        <w:t>with Contracting MCOs, based on EOHHS’ standard</w:t>
      </w:r>
      <w:r w:rsidRPr="000A4F1E">
        <w:rPr>
          <w:b/>
        </w:rPr>
        <w:t xml:space="preserve"> TCOC calculation</w:t>
      </w:r>
      <w:r>
        <w:rPr>
          <w:b/>
        </w:rPr>
        <w:t xml:space="preserve"> methodology,</w:t>
      </w:r>
      <w:r>
        <w:t xml:space="preserve"> including reconciliation.</w:t>
      </w:r>
    </w:p>
    <w:p w:rsidR="00230092" w:rsidRDefault="00230092" w:rsidP="00230092">
      <w:pPr>
        <w:rPr>
          <w:bCs/>
          <w:i/>
          <w:iCs/>
          <w:color w:val="4F81BD" w:themeColor="accent1"/>
        </w:rPr>
      </w:pPr>
      <w:r>
        <w:t xml:space="preserve">Shared savings and losses are also subject to each ACO’s </w:t>
      </w:r>
      <w:r w:rsidRPr="003A4B44">
        <w:rPr>
          <w:b/>
        </w:rPr>
        <w:t>quality score</w:t>
      </w:r>
      <w:r>
        <w:t>. See example below.</w:t>
      </w:r>
      <w:r>
        <w:rPr>
          <w:b/>
        </w:rPr>
        <w:br w:type="page"/>
      </w:r>
    </w:p>
    <w:p w:rsidR="00230092" w:rsidRPr="00D04E2D" w:rsidRDefault="00230092" w:rsidP="00230092">
      <w:pPr>
        <w:pStyle w:val="IntenseQuote"/>
        <w:rPr>
          <w:rFonts w:cstheme="minorHAnsi"/>
        </w:rPr>
      </w:pPr>
      <w:r w:rsidRPr="00D04E2D">
        <w:t>Example</w:t>
      </w:r>
      <w:r>
        <w:t xml:space="preserve"> 11: Illustrative full TCOC reconciliation calculations</w:t>
      </w:r>
    </w:p>
    <w:p w:rsidR="00230092" w:rsidRPr="00D04E2D" w:rsidRDefault="00230092" w:rsidP="00230092">
      <w:pPr>
        <w:pStyle w:val="ListParagraph"/>
      </w:pPr>
      <w:r w:rsidRPr="00D04E2D">
        <w:t>The table below shows three illustrative reconciliation calculations for a Primary Care ACO under Risk Track 1</w:t>
      </w:r>
      <w:r>
        <w:t xml:space="preserve"> in Performance Year 1</w:t>
      </w:r>
      <w:r w:rsidRPr="00D04E2D">
        <w:t xml:space="preserve"> to demonstrate the mechanics of the reconciliation process. The shared savings and loss percentages will vary between the Primary Care ACO model and the MCO-Administered ACO model, and by risk track within each model. However, the illustrative concepts outlined in the table would apply to all tracks within each model if the appropriate risk sharing percentages are substituted in the calculations. Note that the reconciliation would be performed retrospectively after the end of the </w:t>
      </w:r>
      <w:r>
        <w:t>performance</w:t>
      </w:r>
      <w:r w:rsidRPr="00D04E2D">
        <w:t xml:space="preserve"> period.</w:t>
      </w:r>
    </w:p>
    <w:p w:rsidR="00230092" w:rsidRPr="00D04E2D" w:rsidRDefault="00230092" w:rsidP="00230092">
      <w:pPr>
        <w:pStyle w:val="ListParagraph"/>
        <w:ind w:left="1080"/>
        <w:rPr>
          <w:rFonts w:cstheme="minorHAnsi"/>
        </w:rPr>
      </w:pPr>
    </w:p>
    <w:p w:rsidR="00230092" w:rsidRPr="000A4F1E" w:rsidRDefault="00230092" w:rsidP="00230092">
      <w:pPr>
        <w:pStyle w:val="TableHeadingText"/>
        <w:rPr>
          <w:rFonts w:asciiTheme="minorHAnsi" w:hAnsiTheme="minorHAnsi"/>
          <w:sz w:val="22"/>
          <w:szCs w:val="22"/>
        </w:rPr>
      </w:pPr>
      <w:bookmarkStart w:id="0" w:name="_Toc463595445"/>
      <w:r w:rsidRPr="000A4F1E">
        <w:rPr>
          <w:rFonts w:asciiTheme="minorHAnsi" w:hAnsiTheme="minorHAnsi"/>
          <w:sz w:val="22"/>
          <w:szCs w:val="22"/>
        </w:rPr>
        <w:t>Illustrative Shared Savings/Loss Reconciliation Calculations</w:t>
      </w:r>
      <w:bookmarkEnd w:id="0"/>
    </w:p>
    <w:tbl>
      <w:tblPr>
        <w:tblW w:w="9735" w:type="dxa"/>
        <w:tblInd w:w="93" w:type="dxa"/>
        <w:tblLayout w:type="fixed"/>
        <w:tblLook w:val="04A0" w:firstRow="1" w:lastRow="0" w:firstColumn="1" w:lastColumn="0" w:noHBand="0" w:noVBand="1"/>
      </w:tblPr>
      <w:tblGrid>
        <w:gridCol w:w="3586"/>
        <w:gridCol w:w="1318"/>
        <w:gridCol w:w="1318"/>
        <w:gridCol w:w="1318"/>
        <w:gridCol w:w="2195"/>
      </w:tblGrid>
      <w:tr w:rsidR="00230092" w:rsidRPr="00D04E2D" w:rsidTr="00C22495">
        <w:trPr>
          <w:trHeight w:val="290"/>
        </w:trPr>
        <w:tc>
          <w:tcPr>
            <w:tcW w:w="3586" w:type="dxa"/>
            <w:noWrap/>
            <w:vAlign w:val="bottom"/>
            <w:hideMark/>
          </w:tcPr>
          <w:p w:rsidR="00230092" w:rsidRPr="00D04E2D" w:rsidRDefault="00230092" w:rsidP="00C22495">
            <w:pPr>
              <w:spacing w:line="240" w:lineRule="auto"/>
            </w:pPr>
            <w:r w:rsidRPr="000A4F1E">
              <w:t>(Dollar Values are PMPMs)</w:t>
            </w:r>
          </w:p>
        </w:tc>
        <w:tc>
          <w:tcPr>
            <w:tcW w:w="1318" w:type="dxa"/>
            <w:noWrap/>
            <w:vAlign w:val="bottom"/>
            <w:hideMark/>
          </w:tcPr>
          <w:p w:rsidR="00230092" w:rsidRPr="000A4F1E" w:rsidRDefault="00230092" w:rsidP="00C22495">
            <w:pPr>
              <w:spacing w:line="240" w:lineRule="auto"/>
              <w:rPr>
                <w:rFonts w:cs="Times New Roman"/>
              </w:rPr>
            </w:pPr>
          </w:p>
        </w:tc>
        <w:tc>
          <w:tcPr>
            <w:tcW w:w="1318" w:type="dxa"/>
            <w:noWrap/>
            <w:vAlign w:val="bottom"/>
            <w:hideMark/>
          </w:tcPr>
          <w:p w:rsidR="00230092" w:rsidRPr="000A4F1E" w:rsidRDefault="00230092" w:rsidP="00C22495">
            <w:pPr>
              <w:spacing w:line="240" w:lineRule="auto"/>
              <w:rPr>
                <w:rFonts w:cs="Times New Roman"/>
              </w:rPr>
            </w:pPr>
          </w:p>
        </w:tc>
        <w:tc>
          <w:tcPr>
            <w:tcW w:w="1318" w:type="dxa"/>
            <w:noWrap/>
            <w:vAlign w:val="bottom"/>
            <w:hideMark/>
          </w:tcPr>
          <w:p w:rsidR="00230092" w:rsidRPr="000A4F1E" w:rsidRDefault="00230092" w:rsidP="00C22495">
            <w:pPr>
              <w:spacing w:line="240" w:lineRule="auto"/>
              <w:rPr>
                <w:rFonts w:cs="Times New Roman"/>
              </w:rPr>
            </w:pPr>
          </w:p>
        </w:tc>
        <w:tc>
          <w:tcPr>
            <w:tcW w:w="2195" w:type="dxa"/>
            <w:noWrap/>
            <w:vAlign w:val="bottom"/>
            <w:hideMark/>
          </w:tcPr>
          <w:p w:rsidR="00230092" w:rsidRPr="000A4F1E" w:rsidRDefault="00230092" w:rsidP="00C22495">
            <w:pPr>
              <w:spacing w:line="240" w:lineRule="auto"/>
              <w:rPr>
                <w:rFonts w:cs="Times New Roman"/>
              </w:rPr>
            </w:pPr>
          </w:p>
        </w:tc>
      </w:tr>
      <w:tr w:rsidR="00230092" w:rsidRPr="00D04E2D" w:rsidTr="00C22495">
        <w:trPr>
          <w:trHeight w:val="290"/>
        </w:trPr>
        <w:tc>
          <w:tcPr>
            <w:tcW w:w="3586" w:type="dxa"/>
            <w:tcBorders>
              <w:top w:val="single" w:sz="8" w:space="0" w:color="auto"/>
              <w:left w:val="single" w:sz="8" w:space="0" w:color="auto"/>
              <w:bottom w:val="single" w:sz="8" w:space="0" w:color="auto"/>
              <w:right w:val="single" w:sz="8" w:space="0" w:color="FFFFFF"/>
            </w:tcBorders>
            <w:shd w:val="clear" w:color="auto" w:fill="002C77"/>
            <w:vAlign w:val="center"/>
            <w:hideMark/>
          </w:tcPr>
          <w:p w:rsidR="00230092" w:rsidRPr="000A4F1E" w:rsidRDefault="00230092" w:rsidP="00C22495">
            <w:pPr>
              <w:spacing w:line="240" w:lineRule="auto"/>
              <w:rPr>
                <w:b/>
                <w:bCs/>
                <w:color w:val="FFFFFF"/>
              </w:rPr>
            </w:pPr>
            <w:r w:rsidRPr="000A4F1E">
              <w:rPr>
                <w:b/>
                <w:bCs/>
                <w:color w:val="FFFFFF"/>
              </w:rPr>
              <w:t>DESCRIPTION </w:t>
            </w:r>
          </w:p>
        </w:tc>
        <w:tc>
          <w:tcPr>
            <w:tcW w:w="1318" w:type="dxa"/>
            <w:tcBorders>
              <w:top w:val="single" w:sz="8" w:space="0" w:color="auto"/>
              <w:left w:val="nil"/>
              <w:bottom w:val="single" w:sz="8" w:space="0" w:color="auto"/>
              <w:right w:val="single" w:sz="8" w:space="0" w:color="FFFFFF"/>
            </w:tcBorders>
            <w:shd w:val="clear" w:color="auto" w:fill="002C77"/>
            <w:vAlign w:val="center"/>
            <w:hideMark/>
          </w:tcPr>
          <w:p w:rsidR="00230092" w:rsidRPr="000A4F1E" w:rsidRDefault="00230092" w:rsidP="00C22495">
            <w:pPr>
              <w:spacing w:line="240" w:lineRule="auto"/>
              <w:jc w:val="center"/>
              <w:rPr>
                <w:b/>
                <w:bCs/>
                <w:color w:val="FFFFFF"/>
              </w:rPr>
            </w:pPr>
            <w:r w:rsidRPr="000A4F1E">
              <w:rPr>
                <w:b/>
                <w:bCs/>
                <w:color w:val="FFFFFF"/>
              </w:rPr>
              <w:t>ACO 1</w:t>
            </w:r>
          </w:p>
        </w:tc>
        <w:tc>
          <w:tcPr>
            <w:tcW w:w="1318" w:type="dxa"/>
            <w:tcBorders>
              <w:top w:val="single" w:sz="8" w:space="0" w:color="auto"/>
              <w:left w:val="nil"/>
              <w:bottom w:val="single" w:sz="8" w:space="0" w:color="auto"/>
              <w:right w:val="single" w:sz="8" w:space="0" w:color="FFFFFF"/>
            </w:tcBorders>
            <w:shd w:val="clear" w:color="auto" w:fill="002C77"/>
            <w:vAlign w:val="center"/>
            <w:hideMark/>
          </w:tcPr>
          <w:p w:rsidR="00230092" w:rsidRPr="000A4F1E" w:rsidRDefault="00230092" w:rsidP="00C22495">
            <w:pPr>
              <w:spacing w:line="240" w:lineRule="auto"/>
              <w:jc w:val="center"/>
              <w:rPr>
                <w:b/>
                <w:bCs/>
                <w:color w:val="FFFFFF"/>
              </w:rPr>
            </w:pPr>
            <w:r w:rsidRPr="000A4F1E">
              <w:rPr>
                <w:b/>
                <w:bCs/>
                <w:color w:val="FFFFFF"/>
              </w:rPr>
              <w:t>ACO 2</w:t>
            </w:r>
          </w:p>
        </w:tc>
        <w:tc>
          <w:tcPr>
            <w:tcW w:w="1318" w:type="dxa"/>
            <w:tcBorders>
              <w:top w:val="single" w:sz="8" w:space="0" w:color="auto"/>
              <w:left w:val="nil"/>
              <w:bottom w:val="single" w:sz="8" w:space="0" w:color="auto"/>
              <w:right w:val="single" w:sz="8" w:space="0" w:color="auto"/>
            </w:tcBorders>
            <w:shd w:val="clear" w:color="auto" w:fill="002C77"/>
            <w:vAlign w:val="center"/>
            <w:hideMark/>
          </w:tcPr>
          <w:p w:rsidR="00230092" w:rsidRPr="000A4F1E" w:rsidRDefault="00230092" w:rsidP="00C22495">
            <w:pPr>
              <w:spacing w:line="240" w:lineRule="auto"/>
              <w:jc w:val="center"/>
              <w:rPr>
                <w:b/>
                <w:bCs/>
                <w:color w:val="FFFFFF"/>
              </w:rPr>
            </w:pPr>
            <w:r w:rsidRPr="000A4F1E">
              <w:rPr>
                <w:b/>
                <w:bCs/>
                <w:color w:val="FFFFFF"/>
              </w:rPr>
              <w:t>ACO 3</w:t>
            </w:r>
          </w:p>
        </w:tc>
        <w:tc>
          <w:tcPr>
            <w:tcW w:w="2195" w:type="dxa"/>
            <w:noWrap/>
            <w:vAlign w:val="bottom"/>
            <w:hideMark/>
          </w:tcPr>
          <w:p w:rsidR="00230092" w:rsidRPr="000A4F1E" w:rsidRDefault="00230092" w:rsidP="00C22495">
            <w:pPr>
              <w:spacing w:line="240" w:lineRule="auto"/>
              <w:rPr>
                <w:rFonts w:cs="Times New Roman"/>
              </w:rPr>
            </w:pPr>
          </w:p>
        </w:tc>
      </w:tr>
      <w:tr w:rsidR="00230092" w:rsidRPr="00D04E2D" w:rsidTr="00C22495">
        <w:trPr>
          <w:trHeight w:val="278"/>
        </w:trPr>
        <w:tc>
          <w:tcPr>
            <w:tcW w:w="3586" w:type="dxa"/>
            <w:noWrap/>
            <w:vAlign w:val="center"/>
            <w:hideMark/>
          </w:tcPr>
          <w:p w:rsidR="00230092" w:rsidRPr="000A4F1E" w:rsidRDefault="00230092" w:rsidP="00C22495">
            <w:pPr>
              <w:spacing w:line="240" w:lineRule="auto"/>
            </w:pPr>
            <w:r w:rsidRPr="000A4F1E">
              <w:t>Market Rate</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 xml:space="preserve">$500.00 </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 xml:space="preserve">$500.00 </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 xml:space="preserve">$500.00 </w:t>
            </w:r>
          </w:p>
        </w:tc>
        <w:tc>
          <w:tcPr>
            <w:tcW w:w="2195" w:type="dxa"/>
            <w:noWrap/>
            <w:vAlign w:val="center"/>
            <w:hideMark/>
          </w:tcPr>
          <w:p w:rsidR="00230092" w:rsidRPr="000A4F1E" w:rsidRDefault="00230092" w:rsidP="00C22495">
            <w:pPr>
              <w:spacing w:line="240" w:lineRule="auto"/>
            </w:pPr>
            <w:r w:rsidRPr="000A4F1E">
              <w:t>A</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ind w:firstLine="200"/>
            </w:pPr>
            <w:r w:rsidRPr="000A4F1E">
              <w:t>Stop-Loss/Carve-out</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0.97</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0.97</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0.97</w:t>
            </w:r>
          </w:p>
        </w:tc>
        <w:tc>
          <w:tcPr>
            <w:tcW w:w="2195" w:type="dxa"/>
            <w:noWrap/>
            <w:vAlign w:val="center"/>
            <w:hideMark/>
          </w:tcPr>
          <w:p w:rsidR="00230092" w:rsidRPr="000A4F1E" w:rsidRDefault="00230092" w:rsidP="00C22495">
            <w:pPr>
              <w:spacing w:line="240" w:lineRule="auto"/>
            </w:pPr>
            <w:r w:rsidRPr="000A4F1E">
              <w:t>B</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ind w:firstLine="200"/>
            </w:pPr>
            <w:r w:rsidRPr="000A4F1E">
              <w:t>ACO Specific Network Variance Factor</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1.01</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1.02</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0.98</w:t>
            </w:r>
          </w:p>
        </w:tc>
        <w:tc>
          <w:tcPr>
            <w:tcW w:w="2195" w:type="dxa"/>
            <w:noWrap/>
            <w:vAlign w:val="center"/>
            <w:hideMark/>
          </w:tcPr>
          <w:p w:rsidR="00230092" w:rsidRPr="000A4F1E" w:rsidRDefault="00230092" w:rsidP="00C22495">
            <w:pPr>
              <w:spacing w:line="240" w:lineRule="auto"/>
            </w:pPr>
            <w:r w:rsidRPr="000A4F1E">
              <w:t>C</w:t>
            </w:r>
          </w:p>
        </w:tc>
      </w:tr>
      <w:tr w:rsidR="00230092" w:rsidRPr="00D04E2D" w:rsidTr="00C22495">
        <w:trPr>
          <w:trHeight w:val="278"/>
        </w:trPr>
        <w:tc>
          <w:tcPr>
            <w:tcW w:w="3586" w:type="dxa"/>
            <w:tcBorders>
              <w:top w:val="nil"/>
              <w:left w:val="nil"/>
              <w:bottom w:val="single" w:sz="4" w:space="0" w:color="auto"/>
              <w:right w:val="nil"/>
            </w:tcBorders>
            <w:noWrap/>
            <w:vAlign w:val="center"/>
            <w:hideMark/>
          </w:tcPr>
          <w:p w:rsidR="00230092" w:rsidRPr="000A4F1E" w:rsidRDefault="00230092" w:rsidP="00C22495">
            <w:pPr>
              <w:spacing w:line="240" w:lineRule="auto"/>
              <w:ind w:firstLine="200"/>
            </w:pPr>
            <w:r w:rsidRPr="000A4F1E">
              <w:t>ACO Specific Risk Adjustment</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0.98</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1.05</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1</w:t>
            </w:r>
          </w:p>
        </w:tc>
        <w:tc>
          <w:tcPr>
            <w:tcW w:w="2195" w:type="dxa"/>
            <w:noWrap/>
            <w:vAlign w:val="center"/>
            <w:hideMark/>
          </w:tcPr>
          <w:p w:rsidR="00230092" w:rsidRPr="000A4F1E" w:rsidRDefault="00230092" w:rsidP="00C22495">
            <w:pPr>
              <w:spacing w:line="240" w:lineRule="auto"/>
            </w:pPr>
            <w:r w:rsidRPr="000A4F1E">
              <w:t>D</w:t>
            </w:r>
          </w:p>
        </w:tc>
      </w:tr>
      <w:tr w:rsidR="00230092" w:rsidRPr="00D04E2D" w:rsidTr="00C22495">
        <w:trPr>
          <w:trHeight w:val="290"/>
        </w:trPr>
        <w:tc>
          <w:tcPr>
            <w:tcW w:w="3586"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rPr>
                <w:b/>
              </w:rPr>
            </w:pPr>
            <w:r w:rsidRPr="000A4F1E">
              <w:rPr>
                <w:b/>
              </w:rPr>
              <w:t>Final TCOC Benchmark Target</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$480.05 </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$519.44 </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$475.30 </w:t>
            </w:r>
          </w:p>
        </w:tc>
        <w:tc>
          <w:tcPr>
            <w:tcW w:w="2195" w:type="dxa"/>
            <w:noWrap/>
            <w:vAlign w:val="center"/>
            <w:hideMark/>
          </w:tcPr>
          <w:p w:rsidR="00230092" w:rsidRPr="000A4F1E" w:rsidRDefault="00230092" w:rsidP="00C22495">
            <w:pPr>
              <w:spacing w:line="240" w:lineRule="auto"/>
            </w:pPr>
            <w:r w:rsidRPr="000A4F1E">
              <w:t>E=</w:t>
            </w:r>
            <w:proofErr w:type="spellStart"/>
            <w:r w:rsidRPr="000A4F1E">
              <w:t>AxBxCxD</w:t>
            </w:r>
            <w:proofErr w:type="spellEnd"/>
          </w:p>
        </w:tc>
      </w:tr>
      <w:tr w:rsidR="00230092" w:rsidRPr="00D04E2D" w:rsidTr="00C22495">
        <w:trPr>
          <w:trHeight w:val="278"/>
        </w:trPr>
        <w:tc>
          <w:tcPr>
            <w:tcW w:w="3586" w:type="dxa"/>
            <w:tcBorders>
              <w:top w:val="single" w:sz="18" w:space="0" w:color="auto"/>
              <w:left w:val="nil"/>
              <w:bottom w:val="nil"/>
              <w:right w:val="nil"/>
            </w:tcBorders>
            <w:noWrap/>
            <w:vAlign w:val="center"/>
            <w:hideMark/>
          </w:tcPr>
          <w:p w:rsidR="00230092" w:rsidRPr="000A4F1E" w:rsidRDefault="00230092" w:rsidP="00C22495">
            <w:pPr>
              <w:spacing w:line="240" w:lineRule="auto"/>
            </w:pPr>
            <w:r w:rsidRPr="000A4F1E">
              <w:t>Actual ACO Composite Performance</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$480.15 </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$503.69 </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$594.18 </w:t>
            </w:r>
          </w:p>
        </w:tc>
        <w:tc>
          <w:tcPr>
            <w:tcW w:w="2195" w:type="dxa"/>
            <w:noWrap/>
            <w:vAlign w:val="center"/>
            <w:hideMark/>
          </w:tcPr>
          <w:p w:rsidR="00230092" w:rsidRPr="000A4F1E" w:rsidRDefault="00230092" w:rsidP="00C22495">
            <w:pPr>
              <w:spacing w:line="240" w:lineRule="auto"/>
            </w:pPr>
            <w:r w:rsidRPr="000A4F1E">
              <w:t>F</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ind w:firstLine="200"/>
            </w:pPr>
            <w:r w:rsidRPr="000A4F1E">
              <w:t>IBNR Completion Adjustment</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1.01</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1.01</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1.01</w:t>
            </w:r>
          </w:p>
        </w:tc>
        <w:tc>
          <w:tcPr>
            <w:tcW w:w="2195" w:type="dxa"/>
            <w:noWrap/>
            <w:vAlign w:val="center"/>
            <w:hideMark/>
          </w:tcPr>
          <w:p w:rsidR="00230092" w:rsidRPr="000A4F1E" w:rsidRDefault="00230092" w:rsidP="00C22495">
            <w:pPr>
              <w:spacing w:line="240" w:lineRule="auto"/>
            </w:pPr>
            <w:r w:rsidRPr="000A4F1E">
              <w:t>G</w:t>
            </w:r>
          </w:p>
        </w:tc>
      </w:tr>
      <w:tr w:rsidR="00230092" w:rsidRPr="00D04E2D" w:rsidTr="00C22495">
        <w:trPr>
          <w:trHeight w:val="278"/>
        </w:trPr>
        <w:tc>
          <w:tcPr>
            <w:tcW w:w="3586" w:type="dxa"/>
            <w:tcBorders>
              <w:top w:val="nil"/>
              <w:left w:val="nil"/>
              <w:bottom w:val="single" w:sz="4" w:space="0" w:color="auto"/>
              <w:right w:val="nil"/>
            </w:tcBorders>
            <w:noWrap/>
            <w:vAlign w:val="center"/>
            <w:hideMark/>
          </w:tcPr>
          <w:p w:rsidR="00230092" w:rsidRPr="000A4F1E" w:rsidRDefault="00230092" w:rsidP="00C22495">
            <w:pPr>
              <w:spacing w:line="240" w:lineRule="auto"/>
              <w:ind w:firstLine="200"/>
            </w:pPr>
            <w:r w:rsidRPr="000A4F1E">
              <w:t>Stop Loss Adjustment</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0.98</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0.97</w:t>
            </w:r>
          </w:p>
        </w:tc>
        <w:tc>
          <w:tcPr>
            <w:tcW w:w="1318" w:type="dxa"/>
            <w:tcBorders>
              <w:top w:val="nil"/>
              <w:left w:val="nil"/>
              <w:bottom w:val="single" w:sz="4" w:space="0" w:color="auto"/>
              <w:right w:val="nil"/>
            </w:tcBorders>
            <w:noWrap/>
            <w:vAlign w:val="center"/>
            <w:hideMark/>
          </w:tcPr>
          <w:p w:rsidR="00230092" w:rsidRPr="000A4F1E" w:rsidRDefault="00230092" w:rsidP="00C22495">
            <w:pPr>
              <w:spacing w:line="240" w:lineRule="auto"/>
              <w:jc w:val="right"/>
            </w:pPr>
            <w:r w:rsidRPr="000A4F1E">
              <w:rPr>
                <w:rFonts w:cs="Calibri"/>
                <w:color w:val="000000"/>
              </w:rPr>
              <w:t>0.99</w:t>
            </w:r>
          </w:p>
        </w:tc>
        <w:tc>
          <w:tcPr>
            <w:tcW w:w="2195" w:type="dxa"/>
            <w:noWrap/>
            <w:vAlign w:val="center"/>
            <w:hideMark/>
          </w:tcPr>
          <w:p w:rsidR="00230092" w:rsidRPr="000A4F1E" w:rsidRDefault="00230092" w:rsidP="00C22495">
            <w:pPr>
              <w:spacing w:line="240" w:lineRule="auto"/>
            </w:pPr>
            <w:r w:rsidRPr="000A4F1E">
              <w:t>H</w:t>
            </w:r>
          </w:p>
        </w:tc>
      </w:tr>
      <w:tr w:rsidR="00230092" w:rsidRPr="00D04E2D" w:rsidTr="00C22495">
        <w:trPr>
          <w:trHeight w:val="290"/>
        </w:trPr>
        <w:tc>
          <w:tcPr>
            <w:tcW w:w="3586"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rPr>
                <w:b/>
              </w:rPr>
            </w:pPr>
            <w:r w:rsidRPr="000A4F1E">
              <w:rPr>
                <w:b/>
              </w:rPr>
              <w:t>Final ACO Composite Performance</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$475.25 </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$493.46 </w:t>
            </w:r>
          </w:p>
        </w:tc>
        <w:tc>
          <w:tcPr>
            <w:tcW w:w="1318" w:type="dxa"/>
            <w:tcBorders>
              <w:top w:val="single" w:sz="4" w:space="0" w:color="auto"/>
              <w:left w:val="nil"/>
              <w:bottom w:val="single" w:sz="18" w:space="0" w:color="auto"/>
              <w:right w:val="nil"/>
            </w:tcBorders>
            <w:noWrap/>
            <w:vAlign w:val="center"/>
            <w:hideMark/>
          </w:tcPr>
          <w:p w:rsidR="00230092" w:rsidRPr="000A4F1E" w:rsidRDefault="00230092" w:rsidP="00C22495">
            <w:pPr>
              <w:spacing w:line="240" w:lineRule="auto"/>
              <w:jc w:val="right"/>
              <w:rPr>
                <w:b/>
              </w:rPr>
            </w:pPr>
            <w:r w:rsidRPr="000A4F1E">
              <w:rPr>
                <w:rFonts w:cs="Calibri"/>
                <w:b/>
                <w:bCs/>
                <w:color w:val="000000"/>
              </w:rPr>
              <w:t xml:space="preserve">$594.13 </w:t>
            </w:r>
          </w:p>
        </w:tc>
        <w:tc>
          <w:tcPr>
            <w:tcW w:w="2195" w:type="dxa"/>
            <w:noWrap/>
            <w:vAlign w:val="center"/>
            <w:hideMark/>
          </w:tcPr>
          <w:p w:rsidR="00230092" w:rsidRPr="000A4F1E" w:rsidRDefault="00230092" w:rsidP="00C22495">
            <w:pPr>
              <w:spacing w:line="240" w:lineRule="auto"/>
            </w:pPr>
            <w:r w:rsidRPr="000A4F1E">
              <w:t>I=</w:t>
            </w:r>
            <w:proofErr w:type="spellStart"/>
            <w:r w:rsidRPr="000A4F1E">
              <w:t>FxGxH</w:t>
            </w:r>
            <w:proofErr w:type="spellEnd"/>
          </w:p>
        </w:tc>
      </w:tr>
      <w:tr w:rsidR="00230092" w:rsidRPr="00D04E2D" w:rsidTr="00C22495">
        <w:trPr>
          <w:trHeight w:val="278"/>
        </w:trPr>
        <w:tc>
          <w:tcPr>
            <w:tcW w:w="3586" w:type="dxa"/>
            <w:tcBorders>
              <w:top w:val="single" w:sz="18" w:space="0" w:color="auto"/>
              <w:left w:val="nil"/>
              <w:bottom w:val="nil"/>
              <w:right w:val="nil"/>
            </w:tcBorders>
            <w:noWrap/>
            <w:vAlign w:val="center"/>
            <w:hideMark/>
          </w:tcPr>
          <w:p w:rsidR="00230092" w:rsidRPr="000A4F1E" w:rsidRDefault="00230092" w:rsidP="00C22495">
            <w:pPr>
              <w:spacing w:line="240" w:lineRule="auto"/>
            </w:pPr>
            <w:r w:rsidRPr="000A4F1E">
              <w:t>Total Savings/(Losses)</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$4.80 </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$25.97 </w:t>
            </w:r>
          </w:p>
        </w:tc>
        <w:tc>
          <w:tcPr>
            <w:tcW w:w="1318" w:type="dxa"/>
            <w:tcBorders>
              <w:top w:val="single" w:sz="18" w:space="0" w:color="auto"/>
              <w:left w:val="nil"/>
              <w:bottom w:val="nil"/>
              <w:right w:val="nil"/>
            </w:tcBorders>
            <w:noWrap/>
            <w:vAlign w:val="center"/>
            <w:hideMark/>
          </w:tcPr>
          <w:p w:rsidR="00230092" w:rsidRPr="000A4F1E" w:rsidRDefault="00230092" w:rsidP="00C22495">
            <w:pPr>
              <w:spacing w:line="240" w:lineRule="auto"/>
              <w:jc w:val="right"/>
            </w:pPr>
            <w:r w:rsidRPr="000A4F1E">
              <w:rPr>
                <w:rFonts w:cs="Calibri"/>
                <w:color w:val="FF0000"/>
              </w:rPr>
              <w:t>($118.83)</w:t>
            </w:r>
          </w:p>
        </w:tc>
        <w:tc>
          <w:tcPr>
            <w:tcW w:w="2195" w:type="dxa"/>
            <w:noWrap/>
            <w:vAlign w:val="center"/>
            <w:hideMark/>
          </w:tcPr>
          <w:p w:rsidR="00230092" w:rsidRPr="000A4F1E" w:rsidRDefault="00230092" w:rsidP="00C22495">
            <w:pPr>
              <w:spacing w:line="240" w:lineRule="auto"/>
            </w:pPr>
            <w:r w:rsidRPr="000A4F1E">
              <w:t>J=E-I</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pPr>
            <w:r w:rsidRPr="000A4F1E">
              <w:t>Performance vs. Target Percentage</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1%</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5%</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-25%</w:t>
            </w:r>
          </w:p>
        </w:tc>
        <w:tc>
          <w:tcPr>
            <w:tcW w:w="2195" w:type="dxa"/>
            <w:noWrap/>
            <w:vAlign w:val="center"/>
            <w:hideMark/>
          </w:tcPr>
          <w:p w:rsidR="00230092" w:rsidRPr="000A4F1E" w:rsidRDefault="00230092" w:rsidP="00C22495">
            <w:pPr>
              <w:spacing w:line="240" w:lineRule="auto"/>
            </w:pPr>
            <w:r w:rsidRPr="000A4F1E">
              <w:t>K=J/E</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pPr>
            <w:r w:rsidRPr="000A4F1E">
              <w:t>Outside ±2% MSR Window?</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No</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Yes</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Yes</w:t>
            </w:r>
          </w:p>
        </w:tc>
        <w:tc>
          <w:tcPr>
            <w:tcW w:w="2195" w:type="dxa"/>
            <w:noWrap/>
            <w:vAlign w:val="center"/>
            <w:hideMark/>
          </w:tcPr>
          <w:p w:rsidR="00230092" w:rsidRPr="000A4F1E" w:rsidRDefault="00230092" w:rsidP="00C22495">
            <w:pPr>
              <w:spacing w:line="240" w:lineRule="auto"/>
            </w:pPr>
            <w:r w:rsidRPr="000A4F1E">
              <w:t>L</w:t>
            </w:r>
          </w:p>
        </w:tc>
      </w:tr>
      <w:tr w:rsidR="00230092" w:rsidRPr="00D04E2D" w:rsidTr="00C22495">
        <w:trPr>
          <w:trHeight w:val="278"/>
        </w:trPr>
        <w:tc>
          <w:tcPr>
            <w:tcW w:w="3586" w:type="dxa"/>
            <w:noWrap/>
            <w:vAlign w:val="center"/>
            <w:hideMark/>
          </w:tcPr>
          <w:p w:rsidR="00230092" w:rsidRPr="000A4F1E" w:rsidRDefault="00230092" w:rsidP="00C22495">
            <w:pPr>
              <w:spacing w:line="240" w:lineRule="auto"/>
            </w:pPr>
            <w:r w:rsidRPr="000A4F1E">
              <w:t>Outside of Savings/Losses Cap?</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N/A</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No</w:t>
            </w:r>
          </w:p>
        </w:tc>
        <w:tc>
          <w:tcPr>
            <w:tcW w:w="1318" w:type="dxa"/>
            <w:noWrap/>
            <w:vAlign w:val="center"/>
            <w:hideMark/>
          </w:tcPr>
          <w:p w:rsidR="00230092" w:rsidRPr="000A4F1E" w:rsidRDefault="00230092" w:rsidP="00C22495">
            <w:pPr>
              <w:spacing w:line="240" w:lineRule="auto"/>
              <w:jc w:val="right"/>
            </w:pPr>
            <w:r w:rsidRPr="000A4F1E">
              <w:rPr>
                <w:rFonts w:cs="Calibri"/>
                <w:color w:val="000000"/>
              </w:rPr>
              <w:t>Yes</w:t>
            </w:r>
          </w:p>
        </w:tc>
        <w:tc>
          <w:tcPr>
            <w:tcW w:w="2195" w:type="dxa"/>
            <w:noWrap/>
            <w:vAlign w:val="center"/>
            <w:hideMark/>
          </w:tcPr>
          <w:p w:rsidR="00230092" w:rsidRPr="000A4F1E" w:rsidRDefault="00230092" w:rsidP="00C22495">
            <w:pPr>
              <w:spacing w:line="240" w:lineRule="auto"/>
            </w:pPr>
            <w:r w:rsidRPr="000A4F1E">
              <w:t>M</w:t>
            </w:r>
          </w:p>
        </w:tc>
      </w:tr>
      <w:tr w:rsidR="00230092" w:rsidRPr="00D04E2D" w:rsidTr="00C22495">
        <w:trPr>
          <w:trHeight w:val="278"/>
        </w:trPr>
        <w:tc>
          <w:tcPr>
            <w:tcW w:w="3586" w:type="dxa"/>
            <w:tcBorders>
              <w:bottom w:val="single" w:sz="8" w:space="0" w:color="auto"/>
            </w:tcBorders>
            <w:noWrap/>
            <w:vAlign w:val="center"/>
            <w:hideMark/>
          </w:tcPr>
          <w:p w:rsidR="00230092" w:rsidRPr="000A4F1E" w:rsidRDefault="00230092" w:rsidP="00C22495">
            <w:pPr>
              <w:spacing w:line="240" w:lineRule="auto"/>
            </w:pPr>
            <w:r w:rsidRPr="000A4F1E">
              <w:t>Capped Savings/(Losses)</w:t>
            </w:r>
          </w:p>
        </w:tc>
        <w:tc>
          <w:tcPr>
            <w:tcW w:w="1318" w:type="dxa"/>
            <w:tcBorders>
              <w:bottom w:val="single" w:sz="8" w:space="0" w:color="auto"/>
            </w:tcBorders>
            <w:noWrap/>
            <w:vAlign w:val="center"/>
            <w:hideMark/>
          </w:tcPr>
          <w:p w:rsidR="00230092" w:rsidRPr="000A4F1E" w:rsidRDefault="00230092" w:rsidP="00C22495">
            <w:pPr>
              <w:spacing w:line="240" w:lineRule="auto"/>
              <w:jc w:val="right"/>
            </w:pPr>
            <w:r w:rsidRPr="000A4F1E">
              <w:rPr>
                <w:rFonts w:cs="Calibri"/>
                <w:color w:val="000000"/>
              </w:rPr>
              <w:t>N/A</w:t>
            </w:r>
          </w:p>
        </w:tc>
        <w:tc>
          <w:tcPr>
            <w:tcW w:w="1318" w:type="dxa"/>
            <w:tcBorders>
              <w:bottom w:val="single" w:sz="8" w:space="0" w:color="auto"/>
            </w:tcBorders>
            <w:noWrap/>
            <w:vAlign w:val="center"/>
            <w:hideMark/>
          </w:tcPr>
          <w:p w:rsidR="00230092" w:rsidRPr="000A4F1E" w:rsidRDefault="00230092" w:rsidP="00C22495">
            <w:pPr>
              <w:spacing w:line="240" w:lineRule="auto"/>
              <w:jc w:val="right"/>
            </w:pPr>
            <w:r w:rsidRPr="000A4F1E">
              <w:rPr>
                <w:rFonts w:cs="Calibri"/>
                <w:color w:val="000000"/>
              </w:rPr>
              <w:t xml:space="preserve">$25.97 </w:t>
            </w:r>
          </w:p>
        </w:tc>
        <w:tc>
          <w:tcPr>
            <w:tcW w:w="1318" w:type="dxa"/>
            <w:tcBorders>
              <w:bottom w:val="single" w:sz="8" w:space="0" w:color="auto"/>
            </w:tcBorders>
            <w:noWrap/>
            <w:vAlign w:val="center"/>
            <w:hideMark/>
          </w:tcPr>
          <w:p w:rsidR="00230092" w:rsidRPr="000A4F1E" w:rsidRDefault="00230092" w:rsidP="00C22495">
            <w:pPr>
              <w:spacing w:line="240" w:lineRule="auto"/>
              <w:jc w:val="right"/>
            </w:pPr>
            <w:r w:rsidRPr="000A4F1E">
              <w:rPr>
                <w:rFonts w:cs="Calibri"/>
                <w:color w:val="FF0000"/>
              </w:rPr>
              <w:t>($47.53)</w:t>
            </w:r>
          </w:p>
        </w:tc>
        <w:tc>
          <w:tcPr>
            <w:tcW w:w="2195" w:type="dxa"/>
            <w:noWrap/>
            <w:vAlign w:val="center"/>
            <w:hideMark/>
          </w:tcPr>
          <w:p w:rsidR="00230092" w:rsidRPr="000A4F1E" w:rsidRDefault="00230092" w:rsidP="00C22495">
            <w:pPr>
              <w:spacing w:line="240" w:lineRule="auto"/>
            </w:pPr>
            <w:r w:rsidRPr="000A4F1E">
              <w:t>N</w:t>
            </w:r>
          </w:p>
        </w:tc>
      </w:tr>
      <w:tr w:rsidR="00230092" w:rsidRPr="00D04E2D" w:rsidTr="00C22495">
        <w:trPr>
          <w:trHeight w:val="278"/>
        </w:trPr>
        <w:tc>
          <w:tcPr>
            <w:tcW w:w="3586" w:type="dxa"/>
            <w:tcBorders>
              <w:top w:val="single" w:sz="8" w:space="0" w:color="auto"/>
              <w:right w:val="nil"/>
            </w:tcBorders>
            <w:noWrap/>
            <w:vAlign w:val="center"/>
            <w:hideMark/>
          </w:tcPr>
          <w:p w:rsidR="00230092" w:rsidRPr="000A4F1E" w:rsidRDefault="00230092" w:rsidP="00C22495">
            <w:pPr>
              <w:spacing w:line="240" w:lineRule="auto"/>
            </w:pPr>
            <w:r w:rsidRPr="000A4F1E">
              <w:t>Savings/Losses between 0 – 3%</w:t>
            </w:r>
          </w:p>
        </w:tc>
        <w:tc>
          <w:tcPr>
            <w:tcW w:w="1318" w:type="dxa"/>
            <w:tcBorders>
              <w:top w:val="single" w:sz="8" w:space="0" w:color="auto"/>
              <w:left w:val="nil"/>
              <w:right w:val="nil"/>
            </w:tcBorders>
            <w:noWrap/>
            <w:vAlign w:val="center"/>
            <w:hideMark/>
          </w:tcPr>
          <w:p w:rsidR="00230092" w:rsidRPr="000A4F1E" w:rsidRDefault="00230092" w:rsidP="00C22495">
            <w:pPr>
              <w:spacing w:line="240" w:lineRule="auto"/>
              <w:jc w:val="right"/>
            </w:pPr>
            <w:r w:rsidRPr="000A4F1E">
              <w:rPr>
                <w:rFonts w:cs="Calibri"/>
                <w:color w:val="000000"/>
              </w:rPr>
              <w:t>N/A</w:t>
            </w:r>
          </w:p>
        </w:tc>
        <w:tc>
          <w:tcPr>
            <w:tcW w:w="1318" w:type="dxa"/>
            <w:tcBorders>
              <w:top w:val="single" w:sz="8" w:space="0" w:color="auto"/>
              <w:left w:val="nil"/>
              <w:right w:val="nil"/>
            </w:tcBorders>
            <w:noWrap/>
            <w:vAlign w:val="center"/>
            <w:hideMark/>
          </w:tcPr>
          <w:p w:rsidR="00230092" w:rsidRPr="000A4F1E" w:rsidRDefault="00230092" w:rsidP="00C22495">
            <w:pPr>
              <w:spacing w:line="240" w:lineRule="auto"/>
              <w:jc w:val="right"/>
            </w:pPr>
            <w:r w:rsidRPr="000A4F1E">
              <w:rPr>
                <w:rFonts w:cs="Calibri"/>
                <w:color w:val="000000"/>
              </w:rPr>
              <w:t xml:space="preserve">$15.58 </w:t>
            </w:r>
          </w:p>
        </w:tc>
        <w:tc>
          <w:tcPr>
            <w:tcW w:w="1318" w:type="dxa"/>
            <w:tcBorders>
              <w:top w:val="single" w:sz="8" w:space="0" w:color="auto"/>
              <w:left w:val="nil"/>
              <w:right w:val="nil"/>
            </w:tcBorders>
            <w:noWrap/>
            <w:vAlign w:val="center"/>
            <w:hideMark/>
          </w:tcPr>
          <w:p w:rsidR="00230092" w:rsidRPr="000A4F1E" w:rsidRDefault="00230092" w:rsidP="00C22495">
            <w:pPr>
              <w:spacing w:line="240" w:lineRule="auto"/>
              <w:jc w:val="right"/>
            </w:pPr>
            <w:r w:rsidRPr="000A4F1E">
              <w:rPr>
                <w:rFonts w:cs="Calibri"/>
                <w:color w:val="FF0000"/>
              </w:rPr>
              <w:t>($14.26)</w:t>
            </w:r>
          </w:p>
        </w:tc>
        <w:tc>
          <w:tcPr>
            <w:tcW w:w="2195" w:type="dxa"/>
            <w:noWrap/>
            <w:vAlign w:val="center"/>
            <w:hideMark/>
          </w:tcPr>
          <w:p w:rsidR="00230092" w:rsidRPr="000A4F1E" w:rsidRDefault="00230092" w:rsidP="00C22495">
            <w:pPr>
              <w:spacing w:line="240" w:lineRule="auto"/>
            </w:pPr>
            <w:r w:rsidRPr="000A4F1E">
              <w:t>O</w:t>
            </w:r>
          </w:p>
        </w:tc>
      </w:tr>
      <w:tr w:rsidR="00230092" w:rsidRPr="00D04E2D" w:rsidTr="00C22495">
        <w:trPr>
          <w:trHeight w:val="290"/>
        </w:trPr>
        <w:tc>
          <w:tcPr>
            <w:tcW w:w="3586" w:type="dxa"/>
            <w:tcBorders>
              <w:top w:val="nil"/>
              <w:right w:val="nil"/>
            </w:tcBorders>
            <w:noWrap/>
            <w:vAlign w:val="center"/>
          </w:tcPr>
          <w:p w:rsidR="00230092" w:rsidRPr="000A4F1E" w:rsidRDefault="00230092" w:rsidP="00C22495">
            <w:pPr>
              <w:spacing w:line="240" w:lineRule="auto"/>
              <w:rPr>
                <w:bCs/>
              </w:rPr>
            </w:pPr>
            <w:r w:rsidRPr="000A4F1E">
              <w:t>Sharing Percentage between 0 – 3%</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color w:val="000000"/>
              </w:rPr>
              <w:t>N/A</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color w:val="000000"/>
              </w:rPr>
              <w:t>50%</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color w:val="000000"/>
              </w:rPr>
              <w:t>40%</w:t>
            </w:r>
          </w:p>
        </w:tc>
        <w:tc>
          <w:tcPr>
            <w:tcW w:w="2195" w:type="dxa"/>
            <w:noWrap/>
            <w:vAlign w:val="center"/>
          </w:tcPr>
          <w:p w:rsidR="00230092" w:rsidRPr="000A4F1E" w:rsidRDefault="00230092" w:rsidP="00C22495">
            <w:pPr>
              <w:spacing w:line="240" w:lineRule="auto"/>
            </w:pPr>
            <w:r w:rsidRPr="000A4F1E">
              <w:t>P</w:t>
            </w:r>
          </w:p>
        </w:tc>
      </w:tr>
      <w:tr w:rsidR="00230092" w:rsidRPr="00D04E2D" w:rsidTr="00C22495">
        <w:trPr>
          <w:trHeight w:val="290"/>
        </w:trPr>
        <w:tc>
          <w:tcPr>
            <w:tcW w:w="3586" w:type="dxa"/>
            <w:tcBorders>
              <w:top w:val="nil"/>
              <w:bottom w:val="single" w:sz="8" w:space="0" w:color="auto"/>
              <w:right w:val="nil"/>
            </w:tcBorders>
            <w:noWrap/>
            <w:vAlign w:val="center"/>
          </w:tcPr>
          <w:p w:rsidR="00230092" w:rsidRPr="000A4F1E" w:rsidRDefault="00230092" w:rsidP="00C22495">
            <w:pPr>
              <w:spacing w:line="240" w:lineRule="auto"/>
              <w:rPr>
                <w:bCs/>
              </w:rPr>
            </w:pPr>
            <w:r w:rsidRPr="000A4F1E">
              <w:rPr>
                <w:bCs/>
              </w:rPr>
              <w:t>Shared Savings/Losses between 0 – 3%</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N/A</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 xml:space="preserve">$7.79 </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FF0000"/>
              </w:rPr>
              <w:t>($5.70)</w:t>
            </w:r>
          </w:p>
        </w:tc>
        <w:tc>
          <w:tcPr>
            <w:tcW w:w="2195" w:type="dxa"/>
            <w:noWrap/>
            <w:vAlign w:val="center"/>
          </w:tcPr>
          <w:p w:rsidR="00230092" w:rsidRPr="000A4F1E" w:rsidRDefault="00230092" w:rsidP="00C22495">
            <w:pPr>
              <w:spacing w:line="240" w:lineRule="auto"/>
            </w:pPr>
            <w:r w:rsidRPr="000A4F1E">
              <w:t>Q=O*P</w:t>
            </w:r>
          </w:p>
        </w:tc>
      </w:tr>
      <w:tr w:rsidR="00230092" w:rsidRPr="00D04E2D" w:rsidTr="00C22495">
        <w:trPr>
          <w:trHeight w:val="290"/>
        </w:trPr>
        <w:tc>
          <w:tcPr>
            <w:tcW w:w="3586" w:type="dxa"/>
            <w:tcBorders>
              <w:top w:val="single" w:sz="8" w:space="0" w:color="auto"/>
              <w:right w:val="nil"/>
            </w:tcBorders>
            <w:noWrap/>
            <w:vAlign w:val="center"/>
          </w:tcPr>
          <w:p w:rsidR="00230092" w:rsidRPr="000A4F1E" w:rsidRDefault="00230092" w:rsidP="00C22495">
            <w:pPr>
              <w:spacing w:line="240" w:lineRule="auto"/>
              <w:rPr>
                <w:bCs/>
              </w:rPr>
            </w:pPr>
            <w:r w:rsidRPr="000A4F1E">
              <w:rPr>
                <w:bCs/>
              </w:rPr>
              <w:t>Savings/Losses between 3 – 10%</w:t>
            </w:r>
          </w:p>
        </w:tc>
        <w:tc>
          <w:tcPr>
            <w:tcW w:w="1318" w:type="dxa"/>
            <w:tcBorders>
              <w:top w:val="single" w:sz="8" w:space="0" w:color="auto"/>
              <w:left w:val="nil"/>
              <w:right w:val="nil"/>
            </w:tcBorders>
            <w:noWrap/>
            <w:vAlign w:val="center"/>
          </w:tcPr>
          <w:p w:rsidR="00230092" w:rsidRPr="000A4F1E" w:rsidRDefault="00230092" w:rsidP="00C22495">
            <w:pPr>
              <w:spacing w:line="240" w:lineRule="auto"/>
              <w:jc w:val="right"/>
              <w:rPr>
                <w:bCs/>
              </w:rPr>
            </w:pPr>
            <w:r w:rsidRPr="000A4F1E">
              <w:rPr>
                <w:rFonts w:cs="Calibri"/>
                <w:bCs/>
                <w:color w:val="000000"/>
              </w:rPr>
              <w:t>N/A</w:t>
            </w:r>
          </w:p>
        </w:tc>
        <w:tc>
          <w:tcPr>
            <w:tcW w:w="1318" w:type="dxa"/>
            <w:tcBorders>
              <w:top w:val="single" w:sz="8" w:space="0" w:color="auto"/>
              <w:left w:val="nil"/>
              <w:right w:val="nil"/>
            </w:tcBorders>
            <w:noWrap/>
            <w:vAlign w:val="center"/>
          </w:tcPr>
          <w:p w:rsidR="00230092" w:rsidRPr="000A4F1E" w:rsidRDefault="00230092" w:rsidP="00C22495">
            <w:pPr>
              <w:spacing w:line="240" w:lineRule="auto"/>
              <w:jc w:val="right"/>
              <w:rPr>
                <w:bCs/>
              </w:rPr>
            </w:pPr>
            <w:r w:rsidRPr="000A4F1E">
              <w:rPr>
                <w:rFonts w:cs="Calibri"/>
                <w:bCs/>
                <w:color w:val="000000"/>
              </w:rPr>
              <w:t xml:space="preserve">$10.39 </w:t>
            </w:r>
          </w:p>
        </w:tc>
        <w:tc>
          <w:tcPr>
            <w:tcW w:w="1318" w:type="dxa"/>
            <w:tcBorders>
              <w:top w:val="single" w:sz="8" w:space="0" w:color="auto"/>
              <w:left w:val="nil"/>
              <w:right w:val="nil"/>
            </w:tcBorders>
            <w:noWrap/>
            <w:vAlign w:val="center"/>
          </w:tcPr>
          <w:p w:rsidR="00230092" w:rsidRPr="000A4F1E" w:rsidRDefault="00230092" w:rsidP="00C22495">
            <w:pPr>
              <w:spacing w:line="240" w:lineRule="auto"/>
              <w:jc w:val="right"/>
              <w:rPr>
                <w:bCs/>
              </w:rPr>
            </w:pPr>
            <w:r w:rsidRPr="000A4F1E">
              <w:rPr>
                <w:rFonts w:cs="Calibri"/>
                <w:bCs/>
                <w:color w:val="FF0000"/>
              </w:rPr>
              <w:t>($33.27)</w:t>
            </w:r>
          </w:p>
        </w:tc>
        <w:tc>
          <w:tcPr>
            <w:tcW w:w="2195" w:type="dxa"/>
            <w:noWrap/>
            <w:vAlign w:val="center"/>
          </w:tcPr>
          <w:p w:rsidR="00230092" w:rsidRPr="000A4F1E" w:rsidRDefault="00230092" w:rsidP="00C22495">
            <w:pPr>
              <w:spacing w:line="240" w:lineRule="auto"/>
            </w:pPr>
            <w:r w:rsidRPr="000A4F1E">
              <w:t>R=N-O</w:t>
            </w:r>
          </w:p>
        </w:tc>
      </w:tr>
      <w:tr w:rsidR="00230092" w:rsidRPr="00D04E2D" w:rsidTr="00C22495">
        <w:trPr>
          <w:trHeight w:val="290"/>
        </w:trPr>
        <w:tc>
          <w:tcPr>
            <w:tcW w:w="3586" w:type="dxa"/>
            <w:tcBorders>
              <w:top w:val="nil"/>
              <w:right w:val="nil"/>
            </w:tcBorders>
            <w:noWrap/>
            <w:vAlign w:val="center"/>
          </w:tcPr>
          <w:p w:rsidR="00230092" w:rsidRPr="000A4F1E" w:rsidRDefault="00230092" w:rsidP="00C22495">
            <w:pPr>
              <w:spacing w:line="240" w:lineRule="auto"/>
              <w:rPr>
                <w:bCs/>
              </w:rPr>
            </w:pPr>
            <w:r w:rsidRPr="000A4F1E">
              <w:rPr>
                <w:bCs/>
              </w:rPr>
              <w:t>Sharing Percentage between 3 – 10%</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bCs/>
                <w:color w:val="000000"/>
              </w:rPr>
              <w:t>N/A</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bCs/>
                <w:color w:val="000000"/>
              </w:rPr>
              <w:t>25%</w:t>
            </w:r>
          </w:p>
        </w:tc>
        <w:tc>
          <w:tcPr>
            <w:tcW w:w="1318" w:type="dxa"/>
            <w:tcBorders>
              <w:top w:val="nil"/>
              <w:left w:val="nil"/>
              <w:right w:val="nil"/>
            </w:tcBorders>
            <w:noWrap/>
            <w:vAlign w:val="center"/>
          </w:tcPr>
          <w:p w:rsidR="00230092" w:rsidRPr="000A4F1E" w:rsidRDefault="00230092" w:rsidP="00C22495">
            <w:pPr>
              <w:spacing w:line="240" w:lineRule="auto"/>
              <w:jc w:val="right"/>
              <w:rPr>
                <w:bCs/>
              </w:rPr>
            </w:pPr>
            <w:r w:rsidRPr="000A4F1E">
              <w:rPr>
                <w:rFonts w:cs="Calibri"/>
                <w:bCs/>
                <w:color w:val="000000"/>
              </w:rPr>
              <w:t>20%</w:t>
            </w:r>
          </w:p>
        </w:tc>
        <w:tc>
          <w:tcPr>
            <w:tcW w:w="2195" w:type="dxa"/>
            <w:noWrap/>
            <w:vAlign w:val="center"/>
          </w:tcPr>
          <w:p w:rsidR="00230092" w:rsidRPr="000A4F1E" w:rsidRDefault="00230092" w:rsidP="00C22495">
            <w:pPr>
              <w:spacing w:line="240" w:lineRule="auto"/>
            </w:pPr>
            <w:r w:rsidRPr="000A4F1E">
              <w:t>S</w:t>
            </w:r>
          </w:p>
        </w:tc>
      </w:tr>
      <w:tr w:rsidR="00230092" w:rsidRPr="00D04E2D" w:rsidTr="00C22495">
        <w:trPr>
          <w:trHeight w:val="290"/>
        </w:trPr>
        <w:tc>
          <w:tcPr>
            <w:tcW w:w="3586" w:type="dxa"/>
            <w:tcBorders>
              <w:top w:val="nil"/>
              <w:bottom w:val="single" w:sz="8" w:space="0" w:color="auto"/>
              <w:right w:val="nil"/>
            </w:tcBorders>
            <w:noWrap/>
            <w:vAlign w:val="center"/>
          </w:tcPr>
          <w:p w:rsidR="00230092" w:rsidRPr="000A4F1E" w:rsidRDefault="00230092" w:rsidP="00C22495">
            <w:pPr>
              <w:spacing w:line="240" w:lineRule="auto"/>
              <w:rPr>
                <w:bCs/>
              </w:rPr>
            </w:pPr>
            <w:r w:rsidRPr="000A4F1E">
              <w:rPr>
                <w:bCs/>
              </w:rPr>
              <w:t>Shared Savings/Losses between 3 – 10%</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N/A</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 xml:space="preserve">$2.60 </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FF0000"/>
              </w:rPr>
              <w:t>($6.65)</w:t>
            </w:r>
          </w:p>
        </w:tc>
        <w:tc>
          <w:tcPr>
            <w:tcW w:w="2195" w:type="dxa"/>
            <w:noWrap/>
            <w:vAlign w:val="center"/>
          </w:tcPr>
          <w:p w:rsidR="00230092" w:rsidRPr="000A4F1E" w:rsidRDefault="00230092" w:rsidP="00C22495">
            <w:pPr>
              <w:spacing w:line="240" w:lineRule="auto"/>
            </w:pPr>
            <w:r w:rsidRPr="000A4F1E">
              <w:t>T=R*S</w:t>
            </w:r>
          </w:p>
        </w:tc>
      </w:tr>
      <w:tr w:rsidR="00230092" w:rsidRPr="00D04E2D" w:rsidTr="00C22495">
        <w:trPr>
          <w:trHeight w:val="290"/>
        </w:trPr>
        <w:tc>
          <w:tcPr>
            <w:tcW w:w="3586" w:type="dxa"/>
            <w:tcBorders>
              <w:top w:val="single" w:sz="8" w:space="0" w:color="auto"/>
              <w:left w:val="nil"/>
              <w:bottom w:val="single" w:sz="8" w:space="0" w:color="auto"/>
              <w:right w:val="nil"/>
            </w:tcBorders>
            <w:noWrap/>
            <w:vAlign w:val="center"/>
            <w:hideMark/>
          </w:tcPr>
          <w:p w:rsidR="00230092" w:rsidRPr="000A4F1E" w:rsidRDefault="00230092" w:rsidP="00C22495">
            <w:pPr>
              <w:spacing w:line="240" w:lineRule="auto"/>
              <w:rPr>
                <w:bCs/>
              </w:rPr>
            </w:pPr>
            <w:r w:rsidRPr="000A4F1E">
              <w:rPr>
                <w:bCs/>
              </w:rPr>
              <w:t>Shared Savings/Losses Before Quality Adjustment</w:t>
            </w:r>
          </w:p>
        </w:tc>
        <w:tc>
          <w:tcPr>
            <w:tcW w:w="1318" w:type="dxa"/>
            <w:tcBorders>
              <w:top w:val="single" w:sz="8" w:space="0" w:color="auto"/>
              <w:left w:val="nil"/>
              <w:bottom w:val="single" w:sz="8" w:space="0" w:color="auto"/>
              <w:right w:val="nil"/>
            </w:tcBorders>
            <w:noWrap/>
            <w:vAlign w:val="center"/>
            <w:hideMark/>
          </w:tcPr>
          <w:p w:rsidR="00230092" w:rsidRPr="000A4F1E" w:rsidRDefault="00230092" w:rsidP="00C22495">
            <w:pPr>
              <w:spacing w:line="240" w:lineRule="auto"/>
              <w:jc w:val="right"/>
              <w:rPr>
                <w:bCs/>
              </w:rPr>
            </w:pPr>
            <w:r w:rsidRPr="000A4F1E">
              <w:rPr>
                <w:rFonts w:cs="Calibri"/>
                <w:bCs/>
                <w:color w:val="000000"/>
              </w:rPr>
              <w:t>N/A</w:t>
            </w:r>
          </w:p>
        </w:tc>
        <w:tc>
          <w:tcPr>
            <w:tcW w:w="1318" w:type="dxa"/>
            <w:tcBorders>
              <w:top w:val="single" w:sz="8" w:space="0" w:color="auto"/>
              <w:left w:val="nil"/>
              <w:bottom w:val="single" w:sz="8" w:space="0" w:color="auto"/>
              <w:right w:val="nil"/>
            </w:tcBorders>
            <w:noWrap/>
            <w:vAlign w:val="center"/>
            <w:hideMark/>
          </w:tcPr>
          <w:p w:rsidR="00230092" w:rsidRPr="000A4F1E" w:rsidRDefault="00230092" w:rsidP="00C22495">
            <w:pPr>
              <w:spacing w:line="240" w:lineRule="auto"/>
              <w:jc w:val="right"/>
              <w:rPr>
                <w:bCs/>
              </w:rPr>
            </w:pPr>
            <w:r w:rsidRPr="000A4F1E">
              <w:rPr>
                <w:rFonts w:cs="Calibri"/>
                <w:bCs/>
                <w:color w:val="000000"/>
              </w:rPr>
              <w:t xml:space="preserve">$10.39 </w:t>
            </w:r>
          </w:p>
        </w:tc>
        <w:tc>
          <w:tcPr>
            <w:tcW w:w="1318" w:type="dxa"/>
            <w:tcBorders>
              <w:top w:val="single" w:sz="8" w:space="0" w:color="auto"/>
              <w:left w:val="nil"/>
              <w:bottom w:val="single" w:sz="8" w:space="0" w:color="auto"/>
              <w:right w:val="nil"/>
            </w:tcBorders>
            <w:noWrap/>
            <w:vAlign w:val="center"/>
            <w:hideMark/>
          </w:tcPr>
          <w:p w:rsidR="00230092" w:rsidRPr="000A4F1E" w:rsidRDefault="00230092" w:rsidP="00C22495">
            <w:pPr>
              <w:spacing w:line="240" w:lineRule="auto"/>
              <w:jc w:val="right"/>
              <w:rPr>
                <w:bCs/>
              </w:rPr>
            </w:pPr>
            <w:r w:rsidRPr="000A4F1E">
              <w:rPr>
                <w:rFonts w:cs="Calibri"/>
                <w:bCs/>
                <w:color w:val="FF0000"/>
              </w:rPr>
              <w:t>($12.36)</w:t>
            </w:r>
          </w:p>
        </w:tc>
        <w:tc>
          <w:tcPr>
            <w:tcW w:w="2195" w:type="dxa"/>
            <w:noWrap/>
            <w:vAlign w:val="center"/>
            <w:hideMark/>
          </w:tcPr>
          <w:p w:rsidR="00230092" w:rsidRPr="000A4F1E" w:rsidRDefault="00230092" w:rsidP="00C22495">
            <w:pPr>
              <w:spacing w:line="240" w:lineRule="auto"/>
            </w:pPr>
            <w:r w:rsidRPr="000A4F1E">
              <w:t>U=Q+T</w:t>
            </w:r>
          </w:p>
        </w:tc>
      </w:tr>
      <w:tr w:rsidR="00230092" w:rsidRPr="00D04E2D" w:rsidTr="00C22495">
        <w:trPr>
          <w:trHeight w:val="290"/>
        </w:trPr>
        <w:tc>
          <w:tcPr>
            <w:tcW w:w="3586" w:type="dxa"/>
            <w:tcBorders>
              <w:top w:val="single" w:sz="8" w:space="0" w:color="auto"/>
              <w:left w:val="nil"/>
              <w:bottom w:val="single" w:sz="8" w:space="0" w:color="auto"/>
              <w:right w:val="nil"/>
            </w:tcBorders>
            <w:noWrap/>
            <w:vAlign w:val="center"/>
          </w:tcPr>
          <w:p w:rsidR="00230092" w:rsidRPr="000A4F1E" w:rsidRDefault="00230092" w:rsidP="00C22495">
            <w:pPr>
              <w:spacing w:line="240" w:lineRule="auto"/>
              <w:rPr>
                <w:bCs/>
              </w:rPr>
            </w:pPr>
            <w:r w:rsidRPr="000A4F1E">
              <w:rPr>
                <w:bCs/>
              </w:rPr>
              <w:t>Quality Score</w:t>
            </w:r>
          </w:p>
        </w:tc>
        <w:tc>
          <w:tcPr>
            <w:tcW w:w="1318" w:type="dxa"/>
            <w:tcBorders>
              <w:top w:val="single" w:sz="8" w:space="0" w:color="auto"/>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0.5</w:t>
            </w:r>
          </w:p>
        </w:tc>
        <w:tc>
          <w:tcPr>
            <w:tcW w:w="1318" w:type="dxa"/>
            <w:tcBorders>
              <w:top w:val="single" w:sz="8" w:space="0" w:color="auto"/>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0.95</w:t>
            </w:r>
          </w:p>
        </w:tc>
        <w:tc>
          <w:tcPr>
            <w:tcW w:w="1318" w:type="dxa"/>
            <w:tcBorders>
              <w:top w:val="single" w:sz="8" w:space="0" w:color="auto"/>
              <w:left w:val="nil"/>
              <w:bottom w:val="single" w:sz="8" w:space="0" w:color="auto"/>
              <w:right w:val="nil"/>
            </w:tcBorders>
            <w:noWrap/>
            <w:vAlign w:val="center"/>
          </w:tcPr>
          <w:p w:rsidR="00230092" w:rsidRPr="000A4F1E" w:rsidRDefault="00230092" w:rsidP="00C22495">
            <w:pPr>
              <w:spacing w:line="240" w:lineRule="auto"/>
              <w:jc w:val="right"/>
              <w:rPr>
                <w:bCs/>
              </w:rPr>
            </w:pPr>
            <w:r w:rsidRPr="000A4F1E">
              <w:rPr>
                <w:rFonts w:cs="Calibri"/>
                <w:bCs/>
                <w:color w:val="000000"/>
              </w:rPr>
              <w:t>0.25</w:t>
            </w:r>
          </w:p>
        </w:tc>
        <w:tc>
          <w:tcPr>
            <w:tcW w:w="2195" w:type="dxa"/>
            <w:noWrap/>
            <w:vAlign w:val="center"/>
          </w:tcPr>
          <w:p w:rsidR="00230092" w:rsidRPr="000A4F1E" w:rsidRDefault="00230092" w:rsidP="00C22495">
            <w:pPr>
              <w:spacing w:line="240" w:lineRule="auto"/>
            </w:pPr>
            <w:r w:rsidRPr="000A4F1E">
              <w:t>V</w:t>
            </w:r>
          </w:p>
        </w:tc>
      </w:tr>
      <w:tr w:rsidR="00230092" w:rsidRPr="00D04E2D" w:rsidTr="00C22495">
        <w:trPr>
          <w:trHeight w:val="290"/>
        </w:trPr>
        <w:tc>
          <w:tcPr>
            <w:tcW w:w="3586" w:type="dxa"/>
            <w:tcBorders>
              <w:top w:val="nil"/>
              <w:left w:val="nil"/>
              <w:bottom w:val="single" w:sz="8" w:space="0" w:color="auto"/>
              <w:right w:val="nil"/>
            </w:tcBorders>
            <w:noWrap/>
            <w:vAlign w:val="center"/>
          </w:tcPr>
          <w:p w:rsidR="00230092" w:rsidRPr="000A4F1E" w:rsidRDefault="00230092" w:rsidP="00C22495">
            <w:pPr>
              <w:spacing w:line="240" w:lineRule="auto"/>
              <w:rPr>
                <w:b/>
                <w:bCs/>
              </w:rPr>
            </w:pPr>
            <w:r w:rsidRPr="000A4F1E">
              <w:rPr>
                <w:b/>
                <w:bCs/>
              </w:rPr>
              <w:t>Final Shared Savings/Losses</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
                <w:bCs/>
              </w:rPr>
            </w:pPr>
            <w:r w:rsidRPr="000A4F1E">
              <w:rPr>
                <w:rFonts w:cs="Calibri"/>
                <w:b/>
                <w:bCs/>
                <w:color w:val="000000"/>
              </w:rPr>
              <w:t>N/A</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
                <w:bCs/>
              </w:rPr>
            </w:pPr>
            <w:r w:rsidRPr="000A4F1E">
              <w:rPr>
                <w:rFonts w:cs="Calibri"/>
                <w:b/>
                <w:bCs/>
                <w:color w:val="000000"/>
              </w:rPr>
              <w:t xml:space="preserve">$9.87 </w:t>
            </w:r>
          </w:p>
        </w:tc>
        <w:tc>
          <w:tcPr>
            <w:tcW w:w="1318" w:type="dxa"/>
            <w:tcBorders>
              <w:top w:val="nil"/>
              <w:left w:val="nil"/>
              <w:bottom w:val="single" w:sz="8" w:space="0" w:color="auto"/>
              <w:right w:val="nil"/>
            </w:tcBorders>
            <w:noWrap/>
            <w:vAlign w:val="center"/>
          </w:tcPr>
          <w:p w:rsidR="00230092" w:rsidRPr="000A4F1E" w:rsidRDefault="00230092" w:rsidP="00C22495">
            <w:pPr>
              <w:spacing w:line="240" w:lineRule="auto"/>
              <w:jc w:val="right"/>
              <w:rPr>
                <w:b/>
                <w:bCs/>
              </w:rPr>
            </w:pPr>
            <w:r w:rsidRPr="000A4F1E">
              <w:rPr>
                <w:rFonts w:cs="Calibri"/>
                <w:b/>
                <w:bCs/>
                <w:color w:val="FF0000"/>
              </w:rPr>
              <w:t>($11.74)</w:t>
            </w:r>
          </w:p>
        </w:tc>
        <w:tc>
          <w:tcPr>
            <w:tcW w:w="2195" w:type="dxa"/>
            <w:noWrap/>
            <w:vAlign w:val="center"/>
          </w:tcPr>
          <w:p w:rsidR="00230092" w:rsidRPr="000A4F1E" w:rsidRDefault="00230092" w:rsidP="00C22495">
            <w:pPr>
              <w:spacing w:line="240" w:lineRule="auto"/>
            </w:pPr>
            <w:r w:rsidRPr="000A4F1E">
              <w:t>Savings=U*V</w:t>
            </w:r>
          </w:p>
          <w:p w:rsidR="00230092" w:rsidRPr="000A4F1E" w:rsidRDefault="00230092" w:rsidP="00C22495">
            <w:pPr>
              <w:spacing w:line="240" w:lineRule="auto"/>
            </w:pPr>
            <w:r w:rsidRPr="000A4F1E">
              <w:t>Losses=U*(.8+.2*(1-V))</w:t>
            </w:r>
          </w:p>
        </w:tc>
      </w:tr>
    </w:tbl>
    <w:p w:rsidR="00230092" w:rsidRPr="000A4F1E" w:rsidRDefault="00230092" w:rsidP="00230092">
      <w:pPr>
        <w:pStyle w:val="ListBullet"/>
        <w:numPr>
          <w:ilvl w:val="0"/>
          <w:numId w:val="0"/>
        </w:numPr>
        <w:tabs>
          <w:tab w:val="left" w:pos="720"/>
        </w:tabs>
        <w:rPr>
          <w:rFonts w:asciiTheme="minorHAnsi" w:hAnsiTheme="minorHAnsi"/>
          <w:szCs w:val="22"/>
        </w:rPr>
      </w:pPr>
    </w:p>
    <w:p w:rsidR="00230092" w:rsidRPr="00D04E2D" w:rsidRDefault="00230092" w:rsidP="00230092">
      <w:pPr>
        <w:pStyle w:val="ListBullet"/>
        <w:numPr>
          <w:ilvl w:val="0"/>
          <w:numId w:val="0"/>
        </w:numPr>
        <w:tabs>
          <w:tab w:val="left" w:pos="720"/>
        </w:tabs>
        <w:ind w:left="360"/>
        <w:rPr>
          <w:rFonts w:asciiTheme="minorHAnsi" w:hAnsiTheme="minorHAnsi" w:cstheme="minorHAnsi"/>
          <w:b/>
          <w:szCs w:val="22"/>
        </w:rPr>
      </w:pPr>
    </w:p>
    <w:p w:rsidR="00230092" w:rsidRPr="00D04E2D" w:rsidRDefault="00230092" w:rsidP="00230092">
      <w:pPr>
        <w:rPr>
          <w:i/>
        </w:rPr>
      </w:pPr>
      <w:r w:rsidRPr="00D04E2D">
        <w:rPr>
          <w:i/>
        </w:rPr>
        <w:t>4.</w:t>
      </w:r>
      <w:r>
        <w:rPr>
          <w:i/>
        </w:rPr>
        <w:t>4</w:t>
      </w:r>
      <w:r w:rsidRPr="00D04E2D">
        <w:rPr>
          <w:i/>
        </w:rPr>
        <w:t xml:space="preserve"> Risk adjustment in prospective and retrospective models</w:t>
      </w:r>
    </w:p>
    <w:p w:rsidR="00230092" w:rsidRPr="00D04E2D" w:rsidRDefault="00230092" w:rsidP="00230092">
      <w:r w:rsidRPr="00D04E2D">
        <w:t>Risk adjustment will apply within each ACO model to adjust ACO-specific capitation rates/TCOC benchmarks to the risk level for each ACO.</w:t>
      </w:r>
    </w:p>
    <w:p w:rsidR="00230092" w:rsidRPr="00D04E2D" w:rsidRDefault="00230092" w:rsidP="00230092">
      <w:r w:rsidRPr="00D04E2D">
        <w:t xml:space="preserve">For all ACO models, risk scores will be calculated using the Massachusetts Social Determinants of Health (SDH) Model, which is the same model that is currently used in the MCO program. This model currently relies on the following predictors: </w:t>
      </w:r>
      <w:proofErr w:type="spellStart"/>
      <w:r w:rsidRPr="00D04E2D">
        <w:t>DxCG</w:t>
      </w:r>
      <w:proofErr w:type="spellEnd"/>
      <w:r w:rsidRPr="00D04E2D">
        <w:t xml:space="preserve"> v4.2 concurrent Medicaid RRS, selected medical conditions, social determinants of health (disability indicators, housing indicators, and medical/behavioral indicators), and neighborhood-based predictors of health.</w:t>
      </w:r>
    </w:p>
    <w:p w:rsidR="00230092" w:rsidRPr="00D04E2D" w:rsidRDefault="00230092" w:rsidP="00230092">
      <w:r w:rsidRPr="00D04E2D">
        <w:t xml:space="preserve">For Partnership Plans, capitation payments will be risk adjusted </w:t>
      </w:r>
      <w:r>
        <w:t>quarterly</w:t>
      </w:r>
      <w:r w:rsidRPr="00D04E2D">
        <w:t xml:space="preserve">. Risk scores will be calculated and updated quarterly and will be based on a prior twelve month claims period. </w:t>
      </w:r>
      <w:r>
        <w:t>S</w:t>
      </w:r>
      <w:r w:rsidRPr="00D04E2D">
        <w:t xml:space="preserve">pecific adjustments </w:t>
      </w:r>
      <w:r>
        <w:t xml:space="preserve">will be </w:t>
      </w:r>
      <w:r w:rsidRPr="00D04E2D">
        <w:t>made for enrollees with limited historical data and eligibility, including newborns. Risk adjustment will only apply to the medical expense component of the capitation rates, excluding delivery payments and explicit benefit add-ons.</w:t>
      </w:r>
    </w:p>
    <w:p w:rsidR="00230092" w:rsidRPr="00D04E2D" w:rsidRDefault="00230092" w:rsidP="00230092">
      <w:r w:rsidRPr="00D04E2D">
        <w:t xml:space="preserve">Primary Care ACO and MCO-Administered ACO TCOC benchmarks will be risk adjusted using the same risk scoring model as described above. However, in contrast to the lagged claims data period used for Partnership Plan risk adjustment, Primary Care ACO and MCO-Administered ACO risk scores will be calculated on a fully concurrent basis using claims from the </w:t>
      </w:r>
      <w:r>
        <w:t>Performance Year</w:t>
      </w:r>
      <w:r w:rsidRPr="00D04E2D">
        <w:t xml:space="preserve">. </w:t>
      </w:r>
    </w:p>
    <w:p w:rsidR="00230092" w:rsidRPr="000A4F1E" w:rsidRDefault="00230092" w:rsidP="00230092">
      <w:pPr>
        <w:rPr>
          <w:rFonts w:cs="Calibri"/>
        </w:rPr>
      </w:pPr>
    </w:p>
    <w:p w:rsidR="00046124" w:rsidRDefault="00046124">
      <w:r>
        <w:br w:type="page"/>
      </w:r>
    </w:p>
    <w:p w:rsidR="00230092" w:rsidRPr="007E10AB" w:rsidRDefault="00046124" w:rsidP="00230092">
      <w:pPr>
        <w:rPr>
          <w:b/>
          <w:u w:val="single"/>
        </w:rPr>
      </w:pPr>
      <w:r w:rsidRPr="007E10AB">
        <w:rPr>
          <w:b/>
          <w:u w:val="single"/>
        </w:rPr>
        <w:t>Managed Care Organizations Bidders’ Conference – January 10, 2017</w:t>
      </w:r>
    </w:p>
    <w:p w:rsidR="00046124" w:rsidRPr="00046124" w:rsidRDefault="00046124" w:rsidP="00046124">
      <w:r w:rsidRPr="00046124">
        <w:rPr>
          <w:i/>
          <w:iCs/>
        </w:rPr>
        <w:t>The enclosed materials were presented on January 10, 2017 at the Bidders Conference for the MassHealth Managed Care Organizations Procurement. The full presentation can be found on the COMMBUYS site for the Managed Care Organizations Procurement.</w:t>
      </w:r>
      <w:r>
        <w:rPr>
          <w:i/>
          <w:iCs/>
        </w:rPr>
        <w:t xml:space="preserve"> The following materials have been converted from PowerPoint slides</w:t>
      </w:r>
    </w:p>
    <w:p w:rsidR="00046124" w:rsidRDefault="00046124" w:rsidP="00230092">
      <w:r w:rsidRPr="001B3503">
        <w:rPr>
          <w:u w:val="single"/>
        </w:rPr>
        <w:t>Agenda / Contents</w:t>
      </w:r>
    </w:p>
    <w:p w:rsidR="00046124" w:rsidRPr="00046124" w:rsidRDefault="00046124" w:rsidP="00046124">
      <w:r w:rsidRPr="00046124">
        <w:t>Highlights for RY18:</w:t>
      </w:r>
    </w:p>
    <w:p w:rsidR="00046124" w:rsidRDefault="00046124" w:rsidP="00046124">
      <w:pPr>
        <w:pStyle w:val="ListParagraph"/>
        <w:numPr>
          <w:ilvl w:val="0"/>
          <w:numId w:val="32"/>
        </w:numPr>
      </w:pPr>
      <w:r w:rsidRPr="00046124">
        <w:t>Administrative component bidding</w:t>
      </w:r>
    </w:p>
    <w:p w:rsidR="00046124" w:rsidRDefault="00046124" w:rsidP="00046124">
      <w:pPr>
        <w:pStyle w:val="ListParagraph"/>
        <w:numPr>
          <w:ilvl w:val="0"/>
          <w:numId w:val="32"/>
        </w:numPr>
      </w:pPr>
      <w:r w:rsidRPr="00046124">
        <w:t>Impact of Administrative Bid on Capitation Rate</w:t>
      </w:r>
    </w:p>
    <w:p w:rsidR="00046124" w:rsidRDefault="00046124" w:rsidP="00046124">
      <w:pPr>
        <w:pStyle w:val="ListParagraph"/>
        <w:numPr>
          <w:ilvl w:val="0"/>
          <w:numId w:val="32"/>
        </w:numPr>
      </w:pPr>
      <w:r w:rsidRPr="00046124">
        <w:t>Level-setting fee schedule assumptions</w:t>
      </w:r>
    </w:p>
    <w:p w:rsidR="00046124" w:rsidRDefault="00046124" w:rsidP="00046124">
      <w:pPr>
        <w:pStyle w:val="ListParagraph"/>
        <w:numPr>
          <w:ilvl w:val="0"/>
          <w:numId w:val="32"/>
        </w:numPr>
      </w:pPr>
      <w:r w:rsidRPr="00046124">
        <w:t>Rating categories and regions</w:t>
      </w:r>
    </w:p>
    <w:p w:rsidR="00046124" w:rsidRDefault="00046124" w:rsidP="00046124">
      <w:pPr>
        <w:pStyle w:val="ListParagraph"/>
        <w:numPr>
          <w:ilvl w:val="0"/>
          <w:numId w:val="32"/>
        </w:numPr>
      </w:pPr>
      <w:r w:rsidRPr="00046124">
        <w:t>Market-based standard</w:t>
      </w:r>
    </w:p>
    <w:p w:rsidR="00046124" w:rsidRDefault="00046124" w:rsidP="00046124">
      <w:pPr>
        <w:pStyle w:val="ListParagraph"/>
        <w:numPr>
          <w:ilvl w:val="0"/>
          <w:numId w:val="32"/>
        </w:numPr>
      </w:pPr>
      <w:r w:rsidRPr="00046124">
        <w:t>Supplemental Maternity payment</w:t>
      </w:r>
    </w:p>
    <w:p w:rsidR="00046124" w:rsidRDefault="00046124" w:rsidP="00046124">
      <w:pPr>
        <w:pStyle w:val="ListParagraph"/>
        <w:numPr>
          <w:ilvl w:val="0"/>
          <w:numId w:val="32"/>
        </w:numPr>
      </w:pPr>
      <w:r w:rsidRPr="00046124">
        <w:t>Risk sharing with MCO-Administered ACOs</w:t>
      </w:r>
    </w:p>
    <w:p w:rsidR="00046124" w:rsidRPr="00046124" w:rsidRDefault="00046124" w:rsidP="00046124">
      <w:pPr>
        <w:pStyle w:val="ListParagraph"/>
        <w:numPr>
          <w:ilvl w:val="0"/>
          <w:numId w:val="32"/>
        </w:numPr>
      </w:pPr>
      <w:r w:rsidRPr="00046124">
        <w:t>Other Highlights</w:t>
      </w:r>
    </w:p>
    <w:p w:rsidR="00046124" w:rsidRPr="00046124" w:rsidRDefault="00046124" w:rsidP="00046124">
      <w:r w:rsidRPr="00046124">
        <w:t>Rate Development Process</w:t>
      </w:r>
    </w:p>
    <w:p w:rsidR="00046124" w:rsidRDefault="00046124" w:rsidP="00046124">
      <w:pPr>
        <w:pStyle w:val="ListParagraph"/>
        <w:numPr>
          <w:ilvl w:val="0"/>
          <w:numId w:val="32"/>
        </w:numPr>
      </w:pPr>
      <w:r w:rsidRPr="00046124">
        <w:t>Summary</w:t>
      </w:r>
    </w:p>
    <w:p w:rsidR="00046124" w:rsidRDefault="00046124" w:rsidP="00046124">
      <w:pPr>
        <w:pStyle w:val="ListParagraph"/>
        <w:numPr>
          <w:ilvl w:val="0"/>
          <w:numId w:val="32"/>
        </w:numPr>
      </w:pPr>
      <w:r w:rsidRPr="00046124">
        <w:t>Base data</w:t>
      </w:r>
    </w:p>
    <w:p w:rsidR="00046124" w:rsidRDefault="00046124" w:rsidP="00046124">
      <w:pPr>
        <w:pStyle w:val="ListParagraph"/>
        <w:numPr>
          <w:ilvl w:val="0"/>
          <w:numId w:val="32"/>
        </w:numPr>
      </w:pPr>
      <w:r w:rsidRPr="00046124">
        <w:t>MCO covered services</w:t>
      </w:r>
    </w:p>
    <w:p w:rsidR="00046124" w:rsidRDefault="00046124" w:rsidP="00046124">
      <w:pPr>
        <w:pStyle w:val="ListParagraph"/>
        <w:numPr>
          <w:ilvl w:val="0"/>
          <w:numId w:val="32"/>
        </w:numPr>
      </w:pPr>
      <w:r w:rsidRPr="00046124">
        <w:t>Calculating the market-based standard</w:t>
      </w:r>
    </w:p>
    <w:p w:rsidR="00046124" w:rsidRPr="00046124" w:rsidRDefault="00046124" w:rsidP="00046124">
      <w:pPr>
        <w:pStyle w:val="ListParagraph"/>
        <w:numPr>
          <w:ilvl w:val="0"/>
          <w:numId w:val="32"/>
        </w:numPr>
      </w:pPr>
      <w:r w:rsidRPr="00046124">
        <w:t>MCO-Class adjustments</w:t>
      </w:r>
    </w:p>
    <w:p w:rsidR="00046124" w:rsidRDefault="00046124" w:rsidP="00046124">
      <w:pPr>
        <w:rPr>
          <w:lang w:val="en-GB"/>
        </w:rPr>
      </w:pPr>
      <w:r w:rsidRPr="001B3503">
        <w:rPr>
          <w:u w:val="single"/>
          <w:lang w:val="en-GB"/>
        </w:rPr>
        <w:t>HIGHLIGHTS FOR RY18</w:t>
      </w:r>
    </w:p>
    <w:p w:rsidR="00230092" w:rsidRDefault="00046124" w:rsidP="00046124">
      <w:pPr>
        <w:rPr>
          <w:lang w:val="en-GB"/>
        </w:rPr>
      </w:pPr>
      <w:r w:rsidRPr="00046124">
        <w:rPr>
          <w:lang w:val="en-GB"/>
        </w:rPr>
        <w:t>Administrative component bidding</w:t>
      </w:r>
    </w:p>
    <w:p w:rsidR="00046124" w:rsidRDefault="00046124" w:rsidP="00046124">
      <w:pPr>
        <w:pStyle w:val="ListParagraph"/>
        <w:numPr>
          <w:ilvl w:val="0"/>
          <w:numId w:val="32"/>
        </w:numPr>
      </w:pPr>
      <w:r w:rsidRPr="00046124">
        <w:t>New in RY18, Bidders have an opportunity to submit a bid for the Administrative Component of the Base Capitation Rate as outlined in Section 7.</w:t>
      </w:r>
    </w:p>
    <w:p w:rsidR="00046124" w:rsidRDefault="00046124" w:rsidP="00046124">
      <w:pPr>
        <w:pStyle w:val="ListParagraph"/>
        <w:numPr>
          <w:ilvl w:val="0"/>
          <w:numId w:val="32"/>
        </w:numPr>
      </w:pPr>
      <w:r w:rsidRPr="00046124">
        <w:t xml:space="preserve">Exhibit 1 of Attachment E (Cost Response Information and Template) shows the average Administrative Component of the Base Capitation Rate under EOHHS’ current MCO and </w:t>
      </w:r>
      <w:proofErr w:type="spellStart"/>
      <w:r w:rsidRPr="00046124">
        <w:t>CarePlus</w:t>
      </w:r>
      <w:proofErr w:type="spellEnd"/>
      <w:r w:rsidRPr="00046124">
        <w:t xml:space="preserve"> Contracts for Contract Year 2017. </w:t>
      </w:r>
    </w:p>
    <w:p w:rsidR="00046124" w:rsidRDefault="00046124" w:rsidP="00046124">
      <w:pPr>
        <w:pStyle w:val="ListParagraph"/>
        <w:numPr>
          <w:ilvl w:val="0"/>
          <w:numId w:val="32"/>
        </w:numPr>
      </w:pPr>
      <w:r w:rsidRPr="00046124">
        <w:t xml:space="preserve">The Bidder shall propose, as a per member per month (PMPM) rate for each rate cell, the lowest Administrative Component of a Base Capitation Rate with which the Bidder could successfully execute the responsibilities set forth in the Contract at Attachment A (Model Contract Managed Care Organization and Program). </w:t>
      </w:r>
    </w:p>
    <w:p w:rsidR="00046124" w:rsidRPr="00046124" w:rsidRDefault="00046124" w:rsidP="00046124">
      <w:pPr>
        <w:pStyle w:val="ListParagraph"/>
        <w:numPr>
          <w:ilvl w:val="0"/>
          <w:numId w:val="32"/>
        </w:numPr>
      </w:pPr>
      <w:r w:rsidRPr="00046124">
        <w:t>The Bidder shall only submit Administrative Components in its Cost Response that are equal to or below the administrative PMPM rates listed for each Rating Category and region in Exhibit 1 of Attachment E.</w:t>
      </w:r>
    </w:p>
    <w:p w:rsidR="00046124" w:rsidRDefault="00046124" w:rsidP="00046124">
      <w:pPr>
        <w:rPr>
          <w:lang w:val="en-GB"/>
        </w:rPr>
      </w:pPr>
      <w:r w:rsidRPr="00046124">
        <w:rPr>
          <w:lang w:val="en-GB"/>
        </w:rPr>
        <w:t>Impact of administrative bid on capitation rate</w:t>
      </w:r>
    </w:p>
    <w:p w:rsidR="00046124" w:rsidRDefault="00046124" w:rsidP="00046124">
      <w:pPr>
        <w:pStyle w:val="ListParagraph"/>
        <w:numPr>
          <w:ilvl w:val="0"/>
          <w:numId w:val="32"/>
        </w:numPr>
      </w:pPr>
      <w:r w:rsidRPr="00046124">
        <w:t>Setting capitation rate in RY 2018 for each Rating Category and Region:</w:t>
      </w:r>
    </w:p>
    <w:p w:rsidR="00046124" w:rsidRDefault="00046124" w:rsidP="00046124">
      <w:pPr>
        <w:pStyle w:val="ListParagraph"/>
        <w:numPr>
          <w:ilvl w:val="1"/>
          <w:numId w:val="32"/>
        </w:numPr>
      </w:pPr>
      <w:r w:rsidRPr="00046124">
        <w:t>If the sum of the Bid and the Medical Component of the Base Capitation Rate announced by EOHHS is Actuarially Sound, that sum shall be the Contractor’s Base Capitation Rate for Contract Year 2018.</w:t>
      </w:r>
    </w:p>
    <w:p w:rsidR="00046124" w:rsidRDefault="00046124" w:rsidP="00046124">
      <w:pPr>
        <w:pStyle w:val="ListParagraph"/>
        <w:numPr>
          <w:ilvl w:val="1"/>
          <w:numId w:val="32"/>
        </w:numPr>
      </w:pPr>
      <w:r w:rsidRPr="00046124">
        <w:t>If the sum of the Bid and the Medical Component of the Base Capitation Rate announced by EOHHS is below EOHHS’ Actuarially Sound rate range for Contract Year 2018, the Contractor’s Base Capitation Rate for Contract Year 2018 shall be the lower bound of EOHHS’ Actuarially Sound rate range.</w:t>
      </w:r>
    </w:p>
    <w:p w:rsidR="00046124" w:rsidRDefault="00046124" w:rsidP="00046124">
      <w:pPr>
        <w:pStyle w:val="ListParagraph"/>
        <w:numPr>
          <w:ilvl w:val="1"/>
          <w:numId w:val="32"/>
        </w:numPr>
      </w:pPr>
      <w:r w:rsidRPr="00046124">
        <w:t>If the sum of the Bid and the Medical Component of the Base Capitation Rate announced by EOHHS exceeds the Base Capitation Rate announced by EOHHS prior to Contract execution, the Contractor’s Base Capitation Rate shall be the Base Capitation Rate announced by EOHHS.</w:t>
      </w:r>
    </w:p>
    <w:p w:rsidR="00046124" w:rsidRPr="00046124" w:rsidRDefault="00046124" w:rsidP="00046124">
      <w:pPr>
        <w:pStyle w:val="ListParagraph"/>
        <w:numPr>
          <w:ilvl w:val="1"/>
          <w:numId w:val="32"/>
        </w:numPr>
      </w:pPr>
      <w:r w:rsidRPr="00046124">
        <w:t xml:space="preserve">If the Contractor’s Regions under this Contract are fewer than the Regions for which the Contract submitted a response to the RFR, the Contractor’s Base Capitation Rate for Contract Year 2018 shall be the Base Capitation Rate announced by EOHHS.     </w:t>
      </w:r>
    </w:p>
    <w:p w:rsidR="00046124" w:rsidRDefault="00046124" w:rsidP="00046124">
      <w:pPr>
        <w:pStyle w:val="ListParagraph"/>
        <w:numPr>
          <w:ilvl w:val="0"/>
          <w:numId w:val="32"/>
        </w:numPr>
      </w:pPr>
      <w:r w:rsidRPr="00046124">
        <w:t>Base Capitation Rates for Subsequent Contract Years</w:t>
      </w:r>
    </w:p>
    <w:p w:rsidR="00046124" w:rsidRDefault="00046124" w:rsidP="00046124">
      <w:pPr>
        <w:pStyle w:val="ListParagraph"/>
        <w:numPr>
          <w:ilvl w:val="1"/>
          <w:numId w:val="32"/>
        </w:numPr>
      </w:pPr>
      <w:r w:rsidRPr="00046124">
        <w:t xml:space="preserve">After the first Contract Year, EOHHS shall annually develop the Base Capitation Rates for each Rating Category in each Region.  </w:t>
      </w:r>
    </w:p>
    <w:p w:rsidR="00046124" w:rsidRDefault="00046124" w:rsidP="00046124">
      <w:pPr>
        <w:pStyle w:val="ListParagraph"/>
        <w:numPr>
          <w:ilvl w:val="1"/>
          <w:numId w:val="32"/>
        </w:numPr>
      </w:pPr>
      <w:r>
        <w:t>E</w:t>
      </w:r>
      <w:r w:rsidRPr="00046124">
        <w:t>OHHS shall meet with the Contractor annually, upon request, to announce and explain the Base Capitation Rates, including the Medical Component and Administrative Component of the Base Capitation Rates.</w:t>
      </w:r>
    </w:p>
    <w:p w:rsidR="00046124" w:rsidRDefault="00046124" w:rsidP="00046124">
      <w:pPr>
        <w:pStyle w:val="ListParagraph"/>
        <w:numPr>
          <w:ilvl w:val="1"/>
          <w:numId w:val="32"/>
        </w:numPr>
      </w:pPr>
      <w:r w:rsidRPr="00046124">
        <w:t>Prior to the beginning of the new Contract Year, the Contractor may propose to increase or decrease the Administrative Component of its Base Capitation Rate from the previous year; provided, however that:</w:t>
      </w:r>
    </w:p>
    <w:p w:rsidR="00046124" w:rsidRDefault="00046124" w:rsidP="00046124">
      <w:pPr>
        <w:pStyle w:val="ListParagraph"/>
        <w:numPr>
          <w:ilvl w:val="2"/>
          <w:numId w:val="32"/>
        </w:numPr>
      </w:pPr>
      <w:r w:rsidRPr="00046124">
        <w:t xml:space="preserve">Such increase or decrease is reasonable, in EOHHS’ determination; and </w:t>
      </w:r>
    </w:p>
    <w:p w:rsidR="00046124" w:rsidRDefault="00046124" w:rsidP="00046124">
      <w:pPr>
        <w:pStyle w:val="ListParagraph"/>
        <w:numPr>
          <w:ilvl w:val="2"/>
          <w:numId w:val="32"/>
        </w:numPr>
      </w:pPr>
      <w:r w:rsidRPr="00046124">
        <w:t xml:space="preserve">The sum of the Contractor’s proposed Administrative Component and EOHHS’ announced Medical Component for the new Contract Year shall not exceed EOHHS’ announced Base Capitation Rate for the new Contract Year and shall be Actuarially Sound. </w:t>
      </w:r>
    </w:p>
    <w:p w:rsidR="00046124" w:rsidRPr="00046124" w:rsidRDefault="00046124" w:rsidP="00046124">
      <w:pPr>
        <w:pStyle w:val="ListParagraph"/>
        <w:numPr>
          <w:ilvl w:val="1"/>
          <w:numId w:val="32"/>
        </w:numPr>
      </w:pPr>
      <w:r w:rsidRPr="00046124">
        <w:t>Alternatively, prior to the beginning of the new Contract Year, the Contractor may propose to decrease EOHHS’ announced Base Capitation Rate.  If such proposal is reasonable in EOHHS’ determination and is Actuarially Sound, EOHHS may accept the Contractor’s proposed Base Capitation Rate, in its discretion</w:t>
      </w:r>
    </w:p>
    <w:p w:rsidR="00230092" w:rsidRDefault="00C4529A" w:rsidP="00230092">
      <w:r w:rsidRPr="00C4529A">
        <w:rPr>
          <w:lang w:val="en-GB"/>
        </w:rPr>
        <w:t>Level-setting fee schedule assumptions</w:t>
      </w:r>
    </w:p>
    <w:p w:rsidR="00C4529A" w:rsidRDefault="00C4529A" w:rsidP="00C4529A">
      <w:pPr>
        <w:pStyle w:val="ListParagraph"/>
        <w:numPr>
          <w:ilvl w:val="0"/>
          <w:numId w:val="32"/>
        </w:numPr>
      </w:pPr>
      <w:r w:rsidRPr="00C4529A">
        <w:t>Historically, EOHHS has built into the MCO prospective capitation rates, the assumption that hospitals will be paid no more than 105% of the MassHealth fee schedule and professional services will be paid no more than 110% of the MassHealth fee schedule.</w:t>
      </w:r>
    </w:p>
    <w:p w:rsidR="00C4529A" w:rsidRDefault="00C4529A" w:rsidP="00C4529A">
      <w:pPr>
        <w:pStyle w:val="ListParagraph"/>
        <w:numPr>
          <w:ilvl w:val="0"/>
          <w:numId w:val="32"/>
        </w:numPr>
      </w:pPr>
      <w:r w:rsidRPr="00C4529A">
        <w:t xml:space="preserve">EOHHS will now use 100% of the EOHHS fee-for-service (FFS) fee schedule equivalent in setting capitation rates for Managed Care Plans. EOHHS will assume that providers get paid (in aggregate/on average) at the EOHHS FFS fee schedule when setting the capitation rates. </w:t>
      </w:r>
    </w:p>
    <w:p w:rsidR="00C4529A" w:rsidRDefault="00C4529A" w:rsidP="00C4529A">
      <w:pPr>
        <w:pStyle w:val="ListParagraph"/>
        <w:numPr>
          <w:ilvl w:val="0"/>
          <w:numId w:val="32"/>
        </w:numPr>
      </w:pPr>
      <w:r w:rsidRPr="00C4529A">
        <w:t>EOHHS intends to in aggregate increase the EOHHS FFS schedules, including but not limited to hospital and professional fee schedules, to arrive at an adjusted level of pricing parity across all MassHealth products and in order to ensure benchmark is achievable</w:t>
      </w:r>
      <w:r>
        <w:t>.</w:t>
      </w:r>
    </w:p>
    <w:p w:rsidR="00C4529A" w:rsidRDefault="00C4529A" w:rsidP="00C4529A">
      <w:pPr>
        <w:pStyle w:val="ListParagraph"/>
        <w:numPr>
          <w:ilvl w:val="0"/>
          <w:numId w:val="32"/>
        </w:numPr>
      </w:pPr>
      <w:r w:rsidRPr="00C4529A">
        <w:t>EOHHS intends to make this change in a way that is budget neutral for the Commonwealth and for impacted classes of providers, as a whole.</w:t>
      </w:r>
    </w:p>
    <w:p w:rsidR="00C4529A" w:rsidRDefault="00C4529A" w:rsidP="00C4529A"/>
    <w:p w:rsidR="00C4529A" w:rsidRPr="00046124" w:rsidRDefault="00C4529A" w:rsidP="00C4529A">
      <w:r w:rsidRPr="00C4529A">
        <w:rPr>
          <w:lang w:val="en-GB"/>
        </w:rPr>
        <w:t>Rating categories and regions</w:t>
      </w:r>
    </w:p>
    <w:p w:rsidR="00C4529A" w:rsidRDefault="00C4529A" w:rsidP="00C4529A">
      <w:pPr>
        <w:pStyle w:val="ListParagraph"/>
        <w:numPr>
          <w:ilvl w:val="0"/>
          <w:numId w:val="32"/>
        </w:numPr>
      </w:pPr>
      <w:r w:rsidRPr="00C4529A">
        <w:t>MassHealth will set capitation rates at the rate cell level which is a unique combination of managed care regions and RCs.</w:t>
      </w:r>
    </w:p>
    <w:p w:rsidR="00C4529A" w:rsidRDefault="00C4529A" w:rsidP="00C4529A">
      <w:pPr>
        <w:pStyle w:val="ListParagraph"/>
        <w:numPr>
          <w:ilvl w:val="0"/>
          <w:numId w:val="32"/>
        </w:numPr>
      </w:pPr>
      <w:r w:rsidRPr="00C4529A">
        <w:t>Starting in RY18 for the MCO Program, RC I and RC II will have separate capitation rates for Child and Adult. RCs IX and X are only for adults only so those RCs will not change.</w:t>
      </w:r>
    </w:p>
    <w:p w:rsidR="00C4529A" w:rsidRDefault="00C4529A" w:rsidP="00C4529A">
      <w:pPr>
        <w:pStyle w:val="ListParagraph"/>
        <w:numPr>
          <w:ilvl w:val="0"/>
          <w:numId w:val="32"/>
        </w:numPr>
      </w:pPr>
      <w:r w:rsidRPr="00C4529A">
        <w:t>The RCs will be defined as:</w:t>
      </w:r>
    </w:p>
    <w:p w:rsidR="00C4529A" w:rsidRDefault="00C4529A" w:rsidP="00C4529A">
      <w:pPr>
        <w:pStyle w:val="ListParagraph"/>
        <w:numPr>
          <w:ilvl w:val="1"/>
          <w:numId w:val="32"/>
        </w:numPr>
      </w:pPr>
      <w:r w:rsidRPr="00C4529A">
        <w:t>RC I Child: ages 0–20 year non-disabled members</w:t>
      </w:r>
    </w:p>
    <w:p w:rsidR="00C4529A" w:rsidRDefault="00C4529A" w:rsidP="00C4529A">
      <w:pPr>
        <w:pStyle w:val="ListParagraph"/>
        <w:numPr>
          <w:ilvl w:val="1"/>
          <w:numId w:val="32"/>
        </w:numPr>
      </w:pPr>
      <w:r w:rsidRPr="00C4529A">
        <w:t>RC I Adult: ages 21–64 years non-disabled members</w:t>
      </w:r>
    </w:p>
    <w:p w:rsidR="00C4529A" w:rsidRDefault="00C4529A" w:rsidP="00C4529A">
      <w:pPr>
        <w:pStyle w:val="ListParagraph"/>
        <w:numPr>
          <w:ilvl w:val="1"/>
          <w:numId w:val="32"/>
        </w:numPr>
      </w:pPr>
      <w:r w:rsidRPr="00C4529A">
        <w:t>RC II Child: ages 0–20 years disabled members</w:t>
      </w:r>
    </w:p>
    <w:p w:rsidR="00C4529A" w:rsidRDefault="00C4529A" w:rsidP="00C4529A">
      <w:pPr>
        <w:pStyle w:val="ListParagraph"/>
        <w:numPr>
          <w:ilvl w:val="1"/>
          <w:numId w:val="32"/>
        </w:numPr>
      </w:pPr>
      <w:r w:rsidRPr="00C4529A">
        <w:t>RC II Adult: ages 21–64 years disabled members</w:t>
      </w:r>
    </w:p>
    <w:p w:rsidR="00C4529A" w:rsidRDefault="00C4529A" w:rsidP="00C4529A">
      <w:pPr>
        <w:pStyle w:val="ListParagraph"/>
        <w:numPr>
          <w:ilvl w:val="1"/>
          <w:numId w:val="32"/>
        </w:numPr>
      </w:pPr>
      <w:r w:rsidRPr="00C4529A">
        <w:t>RC IX: ages 21–64 years members</w:t>
      </w:r>
    </w:p>
    <w:p w:rsidR="00C4529A" w:rsidRPr="00C4529A" w:rsidRDefault="00C4529A" w:rsidP="00C4529A">
      <w:pPr>
        <w:pStyle w:val="ListParagraph"/>
        <w:numPr>
          <w:ilvl w:val="1"/>
          <w:numId w:val="32"/>
        </w:numPr>
      </w:pPr>
      <w:r w:rsidRPr="00C4529A">
        <w:t>RC X: ages 21–64 years members</w:t>
      </w:r>
    </w:p>
    <w:p w:rsidR="00230092" w:rsidRDefault="00C4529A" w:rsidP="00C4529A">
      <w:pPr>
        <w:pStyle w:val="ListParagraph"/>
        <w:numPr>
          <w:ilvl w:val="0"/>
          <w:numId w:val="32"/>
        </w:numPr>
      </w:pPr>
      <w:r w:rsidRPr="00C4529A">
        <w:t>Regions under the contract are as follows: Greater Boston, Central, Northern, Southern, and Western (please refer to Attachment A, Appendix F)</w:t>
      </w:r>
    </w:p>
    <w:p w:rsidR="00C4529A" w:rsidRDefault="00C4529A" w:rsidP="00C4529A">
      <w:r>
        <w:t>Market-based standard</w:t>
      </w:r>
    </w:p>
    <w:p w:rsidR="00C4529A" w:rsidRDefault="00C4529A" w:rsidP="00C4529A">
      <w:pPr>
        <w:pStyle w:val="ListParagraph"/>
        <w:numPr>
          <w:ilvl w:val="0"/>
          <w:numId w:val="32"/>
        </w:numPr>
      </w:pPr>
      <w:r w:rsidRPr="00C4529A">
        <w:t>EOHHS intends to move to a pricing structure over the next 5–10 years in which all contracted entities (including ACOs and MCOs) are accountable to perform to the same market-based standard for medical costs, after accounting for the risk profile of the members they serve</w:t>
      </w:r>
    </w:p>
    <w:p w:rsidR="00C4529A" w:rsidRDefault="00C4529A" w:rsidP="00C4529A">
      <w:pPr>
        <w:pStyle w:val="ListParagraph"/>
        <w:numPr>
          <w:ilvl w:val="0"/>
          <w:numId w:val="32"/>
        </w:numPr>
      </w:pPr>
      <w:r w:rsidRPr="00C4529A">
        <w:t xml:space="preserve">The development of the market-based standard will utilize eligibility and claims information from the MCO and </w:t>
      </w:r>
      <w:proofErr w:type="gramStart"/>
      <w:r w:rsidRPr="00C4529A">
        <w:t>PCC  programs</w:t>
      </w:r>
      <w:proofErr w:type="gramEnd"/>
      <w:r w:rsidRPr="00C4529A">
        <w:t xml:space="preserve"> and will represent the average expected cost of EOHHS Medicaid members across all managed care programs (MCO, ACO, and PCC Plan).</w:t>
      </w:r>
    </w:p>
    <w:p w:rsidR="00C4529A" w:rsidRDefault="00C4529A" w:rsidP="00C4529A">
      <w:pPr>
        <w:pStyle w:val="ListParagraph"/>
        <w:numPr>
          <w:ilvl w:val="0"/>
          <w:numId w:val="32"/>
        </w:numPr>
      </w:pPr>
      <w:r w:rsidRPr="00C4529A">
        <w:t>The market-based standard affects the medical component of capitation rates only; the administrative component will not be affected by this.</w:t>
      </w:r>
    </w:p>
    <w:p w:rsidR="00C4529A" w:rsidRDefault="00C4529A" w:rsidP="00C4529A">
      <w:r>
        <w:t>Supplemental maternity payment</w:t>
      </w:r>
    </w:p>
    <w:p w:rsidR="00C4529A" w:rsidRPr="00C4529A" w:rsidRDefault="00C4529A" w:rsidP="00C4529A">
      <w:pPr>
        <w:pStyle w:val="ListParagraph"/>
        <w:numPr>
          <w:ilvl w:val="0"/>
          <w:numId w:val="32"/>
        </w:numPr>
      </w:pPr>
      <w:r w:rsidRPr="00C4529A">
        <w:t>Starting in RY18, delivery payments will be used to eliminate differences in an enrolled population’s birth rate compared against a projected birth rate.</w:t>
      </w:r>
    </w:p>
    <w:p w:rsidR="00000000" w:rsidRPr="00C4529A" w:rsidRDefault="001917A5" w:rsidP="00C4529A">
      <w:pPr>
        <w:pStyle w:val="ListParagraph"/>
        <w:numPr>
          <w:ilvl w:val="0"/>
          <w:numId w:val="32"/>
        </w:numPr>
      </w:pPr>
      <w:r w:rsidRPr="00C4529A">
        <w:t xml:space="preserve">The Supplemental Maternity Payment shall be for the inpatient MCO </w:t>
      </w:r>
      <w:r w:rsidRPr="00C4529A">
        <w:t xml:space="preserve">Covered Services for newborn deliveries.  </w:t>
      </w:r>
    </w:p>
    <w:p w:rsidR="00000000" w:rsidRPr="00C4529A" w:rsidRDefault="001917A5" w:rsidP="00C4529A">
      <w:pPr>
        <w:pStyle w:val="ListParagraph"/>
        <w:numPr>
          <w:ilvl w:val="0"/>
          <w:numId w:val="32"/>
        </w:numPr>
      </w:pPr>
      <w:r w:rsidRPr="00C4529A">
        <w:t>These MCO Covered Services shall be excluded from the development of the Base Capitation Rates and shall not be reflected in the Contractor’s month</w:t>
      </w:r>
      <w:r w:rsidRPr="00C4529A">
        <w:t xml:space="preserve">ly Capitation payment. </w:t>
      </w:r>
    </w:p>
    <w:p w:rsidR="00000000" w:rsidRPr="00C4529A" w:rsidRDefault="001917A5" w:rsidP="00C4529A">
      <w:pPr>
        <w:pStyle w:val="ListParagraph"/>
        <w:numPr>
          <w:ilvl w:val="0"/>
          <w:numId w:val="32"/>
        </w:numPr>
      </w:pPr>
      <w:r w:rsidRPr="00C4529A">
        <w:t>As further specified by EOHHS, the Supplemental Maternity Payment shall not include costs associated with newborn infant admission post-partum or ante-partum, or cost</w:t>
      </w:r>
      <w:r w:rsidRPr="00C4529A">
        <w:t xml:space="preserve">s of inpatient care associated with any maternity cases that end in termination or miscarriage </w:t>
      </w:r>
    </w:p>
    <w:p w:rsidR="00C4529A" w:rsidRDefault="00C4529A" w:rsidP="00C4529A">
      <w:pPr>
        <w:pStyle w:val="ListParagraph"/>
        <w:numPr>
          <w:ilvl w:val="0"/>
          <w:numId w:val="32"/>
        </w:numPr>
      </w:pPr>
      <w:r w:rsidRPr="00C4529A">
        <w:t>A fixed payment will be made to cover the facility costs of each delivery event.</w:t>
      </w:r>
    </w:p>
    <w:p w:rsidR="00C4529A" w:rsidRDefault="00C4529A" w:rsidP="00C4529A">
      <w:pPr>
        <w:rPr>
          <w:lang w:val="en-GB"/>
        </w:rPr>
      </w:pPr>
      <w:r>
        <w:rPr>
          <w:lang w:val="en-GB"/>
        </w:rPr>
        <w:t>Risk sharing with MCO-Administered ACOs</w:t>
      </w:r>
    </w:p>
    <w:p w:rsidR="00C4529A" w:rsidRDefault="00C4529A" w:rsidP="00C4529A">
      <w:pPr>
        <w:pStyle w:val="ListParagraph"/>
        <w:numPr>
          <w:ilvl w:val="0"/>
          <w:numId w:val="32"/>
        </w:numPr>
      </w:pPr>
      <w:r w:rsidRPr="00C4529A">
        <w:t>In year one, each MCO will be required to contract with all MCO-Administered ACOs in the MCO’s covered regions.</w:t>
      </w:r>
    </w:p>
    <w:p w:rsidR="00C4529A" w:rsidRDefault="00C4529A" w:rsidP="00C4529A">
      <w:pPr>
        <w:pStyle w:val="ListParagraph"/>
        <w:numPr>
          <w:ilvl w:val="0"/>
          <w:numId w:val="32"/>
        </w:numPr>
      </w:pPr>
      <w:r w:rsidRPr="00C4529A">
        <w:t>MCO will share gains/losses with these ACOs resulting from utilization-driven decreases/increases in TCOC attributed to each ACO.</w:t>
      </w:r>
    </w:p>
    <w:p w:rsidR="00C4529A" w:rsidRDefault="00C4529A" w:rsidP="00C4529A">
      <w:pPr>
        <w:pStyle w:val="ListParagraph"/>
        <w:numPr>
          <w:ilvl w:val="0"/>
          <w:numId w:val="32"/>
        </w:numPr>
      </w:pPr>
      <w:r w:rsidRPr="00C4529A">
        <w:t>MCO-Administered ACOs are not intended to be accountable for TCOC deviations due to MCO-specific unit pricing levels. ACO TCOC performance will be measured on a unit-price normalized basis.</w:t>
      </w:r>
    </w:p>
    <w:p w:rsidR="00C4529A" w:rsidRDefault="00C4529A" w:rsidP="00C4529A">
      <w:r>
        <w:t>Other highlights:</w:t>
      </w:r>
    </w:p>
    <w:p w:rsidR="00000000" w:rsidRPr="00C4529A" w:rsidRDefault="001917A5" w:rsidP="00C4529A">
      <w:pPr>
        <w:pStyle w:val="ListParagraph"/>
        <w:numPr>
          <w:ilvl w:val="0"/>
          <w:numId w:val="32"/>
        </w:numPr>
      </w:pPr>
      <w:r w:rsidRPr="00C4529A">
        <w:rPr>
          <w:lang w:val="en-GB"/>
        </w:rPr>
        <w:t>Data Performance Deduction</w:t>
      </w:r>
    </w:p>
    <w:p w:rsidR="00000000" w:rsidRPr="00C4529A" w:rsidRDefault="001917A5" w:rsidP="00C4529A">
      <w:pPr>
        <w:pStyle w:val="ListParagraph"/>
        <w:numPr>
          <w:ilvl w:val="1"/>
          <w:numId w:val="32"/>
        </w:numPr>
      </w:pPr>
      <w:r w:rsidRPr="00C4529A">
        <w:t>Current MCO contract included a performance bonus for Managed Care Plans who achieve specified benchmarks for data submission.</w:t>
      </w:r>
    </w:p>
    <w:p w:rsidR="00000000" w:rsidRPr="00C4529A" w:rsidRDefault="001917A5" w:rsidP="00C4529A">
      <w:pPr>
        <w:pStyle w:val="ListParagraph"/>
        <w:numPr>
          <w:ilvl w:val="1"/>
          <w:numId w:val="32"/>
        </w:numPr>
      </w:pPr>
      <w:r w:rsidRPr="00C4529A">
        <w:t>The RY 18 contract inclu</w:t>
      </w:r>
      <w:r w:rsidRPr="00C4529A">
        <w:t>des a premium deduction that will be applied to contracted Managed Care plans that do not meet specified data submission criteria. (See Section 5.3.K.5 of the model contract, Intermediate Sanctions)</w:t>
      </w:r>
    </w:p>
    <w:p w:rsidR="00000000" w:rsidRPr="00C4529A" w:rsidRDefault="001917A5" w:rsidP="00C4529A">
      <w:pPr>
        <w:pStyle w:val="ListParagraph"/>
        <w:numPr>
          <w:ilvl w:val="0"/>
          <w:numId w:val="32"/>
        </w:numPr>
      </w:pPr>
      <w:r w:rsidRPr="00C4529A">
        <w:rPr>
          <w:lang w:val="en-GB"/>
        </w:rPr>
        <w:t>Minimum Medical Loss Ratio</w:t>
      </w:r>
    </w:p>
    <w:p w:rsidR="00000000" w:rsidRPr="00C4529A" w:rsidRDefault="001917A5" w:rsidP="00C4529A">
      <w:pPr>
        <w:pStyle w:val="ListParagraph"/>
        <w:numPr>
          <w:ilvl w:val="1"/>
          <w:numId w:val="32"/>
        </w:numPr>
      </w:pPr>
      <w:r w:rsidRPr="00C4529A">
        <w:rPr>
          <w:lang w:val="en-GB"/>
        </w:rPr>
        <w:t>All contracted plans will be required to achieve a minimum Medical Loss Ratio of 85%.</w:t>
      </w:r>
    </w:p>
    <w:p w:rsidR="00C4529A" w:rsidRPr="00C4529A" w:rsidRDefault="00C4529A" w:rsidP="00C4529A">
      <w:pPr>
        <w:rPr>
          <w:u w:val="single"/>
        </w:rPr>
      </w:pPr>
      <w:r w:rsidRPr="00C4529A">
        <w:rPr>
          <w:u w:val="single"/>
        </w:rPr>
        <w:t>Rate Development Process</w:t>
      </w:r>
    </w:p>
    <w:p w:rsidR="00C4529A" w:rsidRDefault="00C4529A" w:rsidP="00C4529A">
      <w:pPr>
        <w:jc w:val="center"/>
      </w:pPr>
      <w:r>
        <w:rPr>
          <w:noProof/>
        </w:rPr>
        <w:drawing>
          <wp:inline distT="0" distB="0" distL="0" distR="0" wp14:anchorId="451FB2E6" wp14:editId="1A0E382F">
            <wp:extent cx="4572635" cy="342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C4529A" w:rsidRDefault="00C4529A" w:rsidP="00C4529A">
      <w:r>
        <w:t>Base data:</w:t>
      </w:r>
    </w:p>
    <w:p w:rsidR="00000000" w:rsidRPr="00C4529A" w:rsidRDefault="001917A5" w:rsidP="00C4529A">
      <w:pPr>
        <w:pStyle w:val="ListParagraph"/>
        <w:numPr>
          <w:ilvl w:val="0"/>
          <w:numId w:val="32"/>
        </w:numPr>
      </w:pPr>
      <w:r w:rsidRPr="00C4529A">
        <w:t>Rates for all managed care products will start with same base data for RY18.</w:t>
      </w:r>
    </w:p>
    <w:p w:rsidR="00000000" w:rsidRPr="00C4529A" w:rsidRDefault="001917A5" w:rsidP="00C4529A">
      <w:pPr>
        <w:pStyle w:val="ListParagraph"/>
        <w:numPr>
          <w:ilvl w:val="0"/>
          <w:numId w:val="32"/>
        </w:numPr>
      </w:pPr>
      <w:r w:rsidRPr="00C4529A">
        <w:t xml:space="preserve">The </w:t>
      </w:r>
      <w:r w:rsidRPr="00C4529A">
        <w:t>base data will include all managed care eligible PCC Plan claims and MCO Program encounter data incurred from July 1, 2015 through June 30, 2016 (SFY16) paid through August 2016.</w:t>
      </w:r>
    </w:p>
    <w:p w:rsidR="00000000" w:rsidRPr="00C4529A" w:rsidRDefault="001917A5" w:rsidP="00C4529A">
      <w:pPr>
        <w:pStyle w:val="ListParagraph"/>
        <w:numPr>
          <w:ilvl w:val="0"/>
          <w:numId w:val="32"/>
        </w:numPr>
      </w:pPr>
      <w:r w:rsidRPr="00C4529A">
        <w:t>Data standa</w:t>
      </w:r>
      <w:r w:rsidRPr="00C4529A">
        <w:t>rdization across data sources (PCC Plan and MCO). E.g., categories of service.</w:t>
      </w:r>
    </w:p>
    <w:p w:rsidR="00000000" w:rsidRPr="00C4529A" w:rsidRDefault="001917A5" w:rsidP="00C4529A">
      <w:pPr>
        <w:pStyle w:val="ListParagraph"/>
        <w:numPr>
          <w:ilvl w:val="0"/>
          <w:numId w:val="32"/>
        </w:numPr>
      </w:pPr>
      <w:r w:rsidRPr="00C4529A">
        <w:t>Unit pricing will be normalized to be on a MassHealth FFS equivalent basis for major categories of service.</w:t>
      </w:r>
    </w:p>
    <w:p w:rsidR="00000000" w:rsidRPr="00C4529A" w:rsidRDefault="001917A5" w:rsidP="00C4529A">
      <w:pPr>
        <w:pStyle w:val="ListParagraph"/>
        <w:numPr>
          <w:ilvl w:val="0"/>
          <w:numId w:val="32"/>
        </w:numPr>
      </w:pPr>
      <w:r w:rsidRPr="00C4529A">
        <w:t>Base data will be adjusted, as necessary, for:</w:t>
      </w:r>
    </w:p>
    <w:p w:rsidR="00000000" w:rsidRPr="00C4529A" w:rsidRDefault="001917A5" w:rsidP="00C4529A">
      <w:pPr>
        <w:pStyle w:val="ListParagraph"/>
        <w:numPr>
          <w:ilvl w:val="1"/>
          <w:numId w:val="32"/>
        </w:numPr>
      </w:pPr>
      <w:r w:rsidRPr="00C4529A">
        <w:t>Completion of unpaid claims</w:t>
      </w:r>
    </w:p>
    <w:p w:rsidR="00000000" w:rsidRPr="00C4529A" w:rsidRDefault="001917A5" w:rsidP="00C4529A">
      <w:pPr>
        <w:pStyle w:val="ListParagraph"/>
        <w:numPr>
          <w:ilvl w:val="1"/>
          <w:numId w:val="32"/>
        </w:numPr>
      </w:pPr>
      <w:r w:rsidRPr="00C4529A">
        <w:t>Historical population changes</w:t>
      </w:r>
    </w:p>
    <w:p w:rsidR="00000000" w:rsidRPr="00C4529A" w:rsidRDefault="001917A5" w:rsidP="00C4529A">
      <w:pPr>
        <w:pStyle w:val="ListParagraph"/>
        <w:numPr>
          <w:ilvl w:val="1"/>
          <w:numId w:val="32"/>
        </w:numPr>
      </w:pPr>
      <w:r w:rsidRPr="00C4529A">
        <w:t>Sub-capitated encounters</w:t>
      </w:r>
    </w:p>
    <w:p w:rsidR="00C4529A" w:rsidRDefault="00C4529A" w:rsidP="00C4529A"/>
    <w:p w:rsidR="00C4529A" w:rsidRDefault="00C4529A" w:rsidP="00C4529A">
      <w:r>
        <w:t>Calculating the market-based standard:</w:t>
      </w:r>
    </w:p>
    <w:p w:rsidR="00C4529A" w:rsidRDefault="00C4529A" w:rsidP="00C4529A">
      <w:pPr>
        <w:pStyle w:val="ListParagraph"/>
        <w:numPr>
          <w:ilvl w:val="0"/>
          <w:numId w:val="32"/>
        </w:numPr>
      </w:pPr>
      <w:r w:rsidRPr="00C4529A">
        <w:t>Step 1 — Base Data</w:t>
      </w:r>
    </w:p>
    <w:p w:rsidR="00C4529A" w:rsidRPr="00C4529A" w:rsidRDefault="00C4529A" w:rsidP="00C4529A">
      <w:pPr>
        <w:pStyle w:val="ListParagraph"/>
        <w:numPr>
          <w:ilvl w:val="1"/>
          <w:numId w:val="32"/>
        </w:numPr>
      </w:pPr>
      <w:r w:rsidRPr="00C4529A">
        <w:t>Includes eligibility, encounters, and claims from all managed care programs (MCO, PCCP, and MBHP)</w:t>
      </w:r>
    </w:p>
    <w:p w:rsidR="00C4529A" w:rsidRDefault="00C4529A" w:rsidP="00C4529A">
      <w:pPr>
        <w:pStyle w:val="ListParagraph"/>
        <w:numPr>
          <w:ilvl w:val="0"/>
          <w:numId w:val="32"/>
        </w:numPr>
      </w:pPr>
      <w:r w:rsidRPr="00C4529A">
        <w:t>Step 2 — Base Data Adjustments</w:t>
      </w:r>
    </w:p>
    <w:p w:rsidR="00C4529A" w:rsidRDefault="00C4529A" w:rsidP="00C4529A">
      <w:pPr>
        <w:pStyle w:val="ListParagraph"/>
        <w:numPr>
          <w:ilvl w:val="1"/>
          <w:numId w:val="32"/>
        </w:numPr>
      </w:pPr>
      <w:r w:rsidRPr="00C4529A">
        <w:t>Unpaid claims completion</w:t>
      </w:r>
    </w:p>
    <w:p w:rsidR="00C4529A" w:rsidRPr="00C4529A" w:rsidRDefault="00C4529A" w:rsidP="00C4529A">
      <w:pPr>
        <w:pStyle w:val="ListParagraph"/>
        <w:numPr>
          <w:ilvl w:val="1"/>
          <w:numId w:val="32"/>
        </w:numPr>
      </w:pPr>
      <w:r w:rsidRPr="00C4529A">
        <w:t>Historical eligibility changes</w:t>
      </w:r>
    </w:p>
    <w:p w:rsidR="00C4529A" w:rsidRDefault="00C4529A" w:rsidP="00C4529A">
      <w:pPr>
        <w:pStyle w:val="ListParagraph"/>
        <w:numPr>
          <w:ilvl w:val="0"/>
          <w:numId w:val="32"/>
        </w:numPr>
      </w:pPr>
      <w:r w:rsidRPr="00C4529A">
        <w:t>Step 3 — Unit Price Normalization</w:t>
      </w:r>
    </w:p>
    <w:p w:rsidR="00C4529A" w:rsidRDefault="00C4529A" w:rsidP="00C4529A">
      <w:pPr>
        <w:pStyle w:val="ListParagraph"/>
        <w:numPr>
          <w:ilvl w:val="1"/>
          <w:numId w:val="32"/>
        </w:numPr>
      </w:pPr>
      <w:r w:rsidRPr="00C4529A">
        <w:t>Base data unit pricing levels will be normalized to a consistent price level, based on the fee schedule assumptions outlined</w:t>
      </w:r>
    </w:p>
    <w:p w:rsidR="00C4529A" w:rsidRDefault="00C4529A" w:rsidP="00C4529A">
      <w:pPr>
        <w:pStyle w:val="ListParagraph"/>
        <w:numPr>
          <w:ilvl w:val="0"/>
          <w:numId w:val="32"/>
        </w:numPr>
      </w:pPr>
      <w:r w:rsidRPr="00C4529A">
        <w:t>Step 4 — Prospective Adjustments (including trend)</w:t>
      </w:r>
    </w:p>
    <w:p w:rsidR="00C4529A" w:rsidRDefault="00C4529A" w:rsidP="00C4529A">
      <w:pPr>
        <w:pStyle w:val="ListParagraph"/>
        <w:numPr>
          <w:ilvl w:val="1"/>
          <w:numId w:val="32"/>
        </w:numPr>
      </w:pPr>
      <w:r w:rsidRPr="00C4529A">
        <w:t>Trend</w:t>
      </w:r>
    </w:p>
    <w:p w:rsidR="00C4529A" w:rsidRDefault="00C4529A" w:rsidP="00C4529A">
      <w:pPr>
        <w:pStyle w:val="ListParagraph"/>
        <w:numPr>
          <w:ilvl w:val="1"/>
          <w:numId w:val="32"/>
        </w:numPr>
      </w:pPr>
      <w:r w:rsidRPr="00C4529A">
        <w:t>Prospective program changes</w:t>
      </w:r>
    </w:p>
    <w:p w:rsidR="00C4529A" w:rsidRDefault="00C4529A" w:rsidP="00C4529A">
      <w:pPr>
        <w:pStyle w:val="ListParagraph"/>
        <w:numPr>
          <w:ilvl w:val="0"/>
          <w:numId w:val="32"/>
        </w:numPr>
      </w:pPr>
      <w:r w:rsidRPr="00C4529A">
        <w:t>Step 5 — Market-Based Standard</w:t>
      </w:r>
    </w:p>
    <w:p w:rsidR="00C4529A" w:rsidRDefault="00C4529A" w:rsidP="00C4529A">
      <w:pPr>
        <w:pStyle w:val="ListParagraph"/>
        <w:numPr>
          <w:ilvl w:val="1"/>
          <w:numId w:val="32"/>
        </w:numPr>
      </w:pPr>
      <w:r w:rsidRPr="00C4529A">
        <w:t>Reflects average expected RY18 TCOC and utilization levels for all managed care eligible members across all managed care programs (MCO, ACO, PCCP)</w:t>
      </w:r>
    </w:p>
    <w:p w:rsidR="00C4529A" w:rsidRDefault="00C4529A" w:rsidP="00C4529A">
      <w:r>
        <w:t>MCO-Class adjustments:</w:t>
      </w:r>
    </w:p>
    <w:p w:rsidR="00C4529A" w:rsidRPr="00C4529A" w:rsidRDefault="00C4529A" w:rsidP="00C4529A">
      <w:pPr>
        <w:pStyle w:val="ListParagraph"/>
        <w:numPr>
          <w:ilvl w:val="0"/>
          <w:numId w:val="32"/>
        </w:numPr>
      </w:pPr>
      <w:r w:rsidRPr="00C4529A">
        <w:t>Clinical Efficiencies</w:t>
      </w:r>
    </w:p>
    <w:p w:rsidR="00000000" w:rsidRPr="00C4529A" w:rsidRDefault="001917A5" w:rsidP="00C4529A">
      <w:pPr>
        <w:pStyle w:val="ListParagraph"/>
        <w:numPr>
          <w:ilvl w:val="1"/>
          <w:numId w:val="32"/>
        </w:numPr>
      </w:pPr>
      <w:r w:rsidRPr="00C4529A">
        <w:t>Rates may incorporate</w:t>
      </w:r>
      <w:r w:rsidRPr="00C4529A">
        <w:t xml:space="preserve"> medical management efficiency adjustments to reflect the expectation of efficient service delivery, such as:</w:t>
      </w:r>
    </w:p>
    <w:p w:rsidR="00000000" w:rsidRPr="00C4529A" w:rsidRDefault="001917A5" w:rsidP="00C4529A">
      <w:pPr>
        <w:pStyle w:val="ListParagraph"/>
        <w:numPr>
          <w:ilvl w:val="2"/>
          <w:numId w:val="32"/>
        </w:numPr>
      </w:pPr>
      <w:r w:rsidRPr="00C4529A">
        <w:t>Low acuity non-emergent (LANE) emergency department (ED) efficiency.</w:t>
      </w:r>
    </w:p>
    <w:p w:rsidR="00000000" w:rsidRPr="00C4529A" w:rsidRDefault="001917A5" w:rsidP="00C4529A">
      <w:pPr>
        <w:pStyle w:val="ListParagraph"/>
        <w:numPr>
          <w:ilvl w:val="2"/>
          <w:numId w:val="32"/>
        </w:numPr>
      </w:pPr>
      <w:r w:rsidRPr="00C4529A">
        <w:t>Potentially preventable admissions (PPAs) inpatient efficiency.</w:t>
      </w:r>
    </w:p>
    <w:p w:rsidR="00000000" w:rsidRPr="00C4529A" w:rsidRDefault="001917A5" w:rsidP="00C4529A">
      <w:pPr>
        <w:pStyle w:val="ListParagraph"/>
        <w:numPr>
          <w:ilvl w:val="1"/>
          <w:numId w:val="32"/>
        </w:numPr>
      </w:pPr>
      <w:r w:rsidRPr="00C4529A">
        <w:t>Clinical criteria are applied to the encounter data to identify potentially a</w:t>
      </w:r>
      <w:r w:rsidRPr="00C4529A">
        <w:t>voidable events and costs.</w:t>
      </w:r>
    </w:p>
    <w:p w:rsidR="00000000" w:rsidRPr="00C4529A" w:rsidRDefault="001917A5" w:rsidP="00C4529A">
      <w:pPr>
        <w:pStyle w:val="ListParagraph"/>
        <w:numPr>
          <w:ilvl w:val="1"/>
          <w:numId w:val="32"/>
        </w:numPr>
      </w:pPr>
      <w:r w:rsidRPr="00C4529A">
        <w:t>Mercer quantifies the cost of potentially avoidable events and develops rate adjustments to reflect EOHHS’s value-based purchasing goals.</w:t>
      </w:r>
    </w:p>
    <w:p w:rsidR="00C4529A" w:rsidRPr="00C4529A" w:rsidRDefault="00C4529A" w:rsidP="00C4529A">
      <w:pPr>
        <w:pStyle w:val="ListParagraph"/>
        <w:numPr>
          <w:ilvl w:val="0"/>
          <w:numId w:val="32"/>
        </w:numPr>
      </w:pPr>
      <w:r w:rsidRPr="00C4529A">
        <w:t>Other adjustments</w:t>
      </w:r>
    </w:p>
    <w:p w:rsidR="00000000" w:rsidRPr="00C4529A" w:rsidRDefault="001917A5" w:rsidP="00C4529A">
      <w:pPr>
        <w:pStyle w:val="ListParagraph"/>
        <w:numPr>
          <w:ilvl w:val="1"/>
          <w:numId w:val="32"/>
        </w:numPr>
      </w:pPr>
      <w:r w:rsidRPr="00C4529A">
        <w:t>There may be other MCO-class adjustments made</w:t>
      </w:r>
    </w:p>
    <w:p w:rsidR="00C4529A" w:rsidRPr="00046124" w:rsidRDefault="00C4529A" w:rsidP="00C4529A">
      <w:pPr>
        <w:pStyle w:val="ListParagraph"/>
        <w:numPr>
          <w:ilvl w:val="0"/>
          <w:numId w:val="32"/>
        </w:numPr>
      </w:pPr>
      <w:r w:rsidRPr="00C4529A">
        <w:t>Adjustments will be reviewed in total to ensure all adjustments in aggregate are reasonable, appropriate, and attainable.</w:t>
      </w:r>
    </w:p>
    <w:sectPr w:rsidR="00C4529A" w:rsidRPr="00046124" w:rsidSect="00561AF6">
      <w:pgSz w:w="12240" w:h="15840"/>
      <w:pgMar w:top="1260" w:right="1440" w:bottom="1080" w:left="1440" w:header="36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B776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A5" w:rsidRDefault="001917A5" w:rsidP="00AC1E31">
      <w:pPr>
        <w:spacing w:after="0" w:line="240" w:lineRule="auto"/>
      </w:pPr>
      <w:r>
        <w:separator/>
      </w:r>
    </w:p>
  </w:endnote>
  <w:endnote w:type="continuationSeparator" w:id="0">
    <w:p w:rsidR="001917A5" w:rsidRDefault="001917A5" w:rsidP="00AC1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A5" w:rsidRDefault="001917A5" w:rsidP="00AC1E31">
      <w:pPr>
        <w:spacing w:after="0" w:line="240" w:lineRule="auto"/>
      </w:pPr>
      <w:r>
        <w:separator/>
      </w:r>
    </w:p>
  </w:footnote>
  <w:footnote w:type="continuationSeparator" w:id="0">
    <w:p w:rsidR="001917A5" w:rsidRDefault="001917A5" w:rsidP="00AC1E31">
      <w:pPr>
        <w:spacing w:after="0" w:line="240" w:lineRule="auto"/>
      </w:pPr>
      <w:r>
        <w:continuationSeparator/>
      </w:r>
    </w:p>
  </w:footnote>
  <w:footnote w:id="1">
    <w:p w:rsidR="00230092" w:rsidRDefault="00230092" w:rsidP="00230092">
      <w:pPr>
        <w:autoSpaceDE w:val="0"/>
        <w:autoSpaceDN w:val="0"/>
        <w:spacing w:after="0" w:line="240" w:lineRule="auto"/>
      </w:pPr>
      <w:r>
        <w:rPr>
          <w:rStyle w:val="FootnoteReference"/>
        </w:rPr>
        <w:footnoteRef/>
      </w:r>
      <w:r>
        <w:t xml:space="preserve"> </w:t>
      </w:r>
      <w:r w:rsidRPr="000738F3">
        <w:rPr>
          <w:rFonts w:ascii="Arial" w:eastAsia="Times New Roman" w:hAnsi="Arial" w:cs="Arial"/>
          <w:sz w:val="18"/>
          <w:szCs w:val="20"/>
        </w:rPr>
        <w:t>http://www.mass.gov/eohhs/docs/EOHHS/regulations/member-eligibility/130-cmr-505-000.pdf</w:t>
      </w:r>
      <w:r>
        <w:rPr>
          <w:rFonts w:ascii="Segoe UI" w:hAnsi="Segoe UI" w:cs="Segoe UI"/>
          <w:sz w:val="20"/>
          <w:szCs w:val="20"/>
        </w:rPr>
        <w:t xml:space="preserve"> </w:t>
      </w:r>
    </w:p>
    <w:p w:rsidR="00230092" w:rsidRDefault="00230092" w:rsidP="00230092">
      <w:pPr>
        <w:pStyle w:val="FootnoteText"/>
      </w:pPr>
    </w:p>
  </w:footnote>
  <w:footnote w:id="2">
    <w:p w:rsidR="00230092" w:rsidRDefault="00230092" w:rsidP="00230092">
      <w:pPr>
        <w:pStyle w:val="FootnoteText"/>
      </w:pPr>
      <w:r>
        <w:rPr>
          <w:rStyle w:val="FootnoteReference"/>
        </w:rPr>
        <w:footnoteRef/>
      </w:r>
      <w:r>
        <w:t xml:space="preserve"> </w:t>
      </w:r>
      <w:r w:rsidRPr="00A164ED">
        <w:t>http://www.mass.gov/eohhs/docs/masshealth/regulations/member-eligibility/130-cmr-508-000.pdf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8BE"/>
    <w:multiLevelType w:val="hybridMultilevel"/>
    <w:tmpl w:val="C150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5C95"/>
    <w:multiLevelType w:val="hybridMultilevel"/>
    <w:tmpl w:val="357E9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B47762"/>
    <w:multiLevelType w:val="hybridMultilevel"/>
    <w:tmpl w:val="9482C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B6A2026"/>
    <w:multiLevelType w:val="hybridMultilevel"/>
    <w:tmpl w:val="1CEAC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1A57"/>
    <w:multiLevelType w:val="hybridMultilevel"/>
    <w:tmpl w:val="639A7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17E0D25"/>
    <w:multiLevelType w:val="hybridMultilevel"/>
    <w:tmpl w:val="0CD25458"/>
    <w:lvl w:ilvl="0" w:tplc="2BE2D874">
      <w:start w:val="1"/>
      <w:numFmt w:val="bullet"/>
      <w:lvlText w:val="•"/>
      <w:lvlJc w:val="left"/>
      <w:pPr>
        <w:tabs>
          <w:tab w:val="num" w:pos="720"/>
        </w:tabs>
        <w:ind w:left="720" w:hanging="360"/>
      </w:pPr>
      <w:rPr>
        <w:rFonts w:ascii="Arial" w:hAnsi="Arial" w:hint="default"/>
      </w:rPr>
    </w:lvl>
    <w:lvl w:ilvl="1" w:tplc="95BE3E84">
      <w:start w:val="2393"/>
      <w:numFmt w:val="bullet"/>
      <w:lvlText w:val="–"/>
      <w:lvlJc w:val="left"/>
      <w:pPr>
        <w:tabs>
          <w:tab w:val="num" w:pos="1440"/>
        </w:tabs>
        <w:ind w:left="1440" w:hanging="360"/>
      </w:pPr>
      <w:rPr>
        <w:rFonts w:ascii="Arial" w:hAnsi="Arial" w:hint="default"/>
      </w:rPr>
    </w:lvl>
    <w:lvl w:ilvl="2" w:tplc="C31A361C" w:tentative="1">
      <w:start w:val="1"/>
      <w:numFmt w:val="bullet"/>
      <w:lvlText w:val="•"/>
      <w:lvlJc w:val="left"/>
      <w:pPr>
        <w:tabs>
          <w:tab w:val="num" w:pos="2160"/>
        </w:tabs>
        <w:ind w:left="2160" w:hanging="360"/>
      </w:pPr>
      <w:rPr>
        <w:rFonts w:ascii="Arial" w:hAnsi="Arial" w:hint="default"/>
      </w:rPr>
    </w:lvl>
    <w:lvl w:ilvl="3" w:tplc="4E100C08" w:tentative="1">
      <w:start w:val="1"/>
      <w:numFmt w:val="bullet"/>
      <w:lvlText w:val="•"/>
      <w:lvlJc w:val="left"/>
      <w:pPr>
        <w:tabs>
          <w:tab w:val="num" w:pos="2880"/>
        </w:tabs>
        <w:ind w:left="2880" w:hanging="360"/>
      </w:pPr>
      <w:rPr>
        <w:rFonts w:ascii="Arial" w:hAnsi="Arial" w:hint="default"/>
      </w:rPr>
    </w:lvl>
    <w:lvl w:ilvl="4" w:tplc="D6983EE0" w:tentative="1">
      <w:start w:val="1"/>
      <w:numFmt w:val="bullet"/>
      <w:lvlText w:val="•"/>
      <w:lvlJc w:val="left"/>
      <w:pPr>
        <w:tabs>
          <w:tab w:val="num" w:pos="3600"/>
        </w:tabs>
        <w:ind w:left="3600" w:hanging="360"/>
      </w:pPr>
      <w:rPr>
        <w:rFonts w:ascii="Arial" w:hAnsi="Arial" w:hint="default"/>
      </w:rPr>
    </w:lvl>
    <w:lvl w:ilvl="5" w:tplc="78AA8990" w:tentative="1">
      <w:start w:val="1"/>
      <w:numFmt w:val="bullet"/>
      <w:lvlText w:val="•"/>
      <w:lvlJc w:val="left"/>
      <w:pPr>
        <w:tabs>
          <w:tab w:val="num" w:pos="4320"/>
        </w:tabs>
        <w:ind w:left="4320" w:hanging="360"/>
      </w:pPr>
      <w:rPr>
        <w:rFonts w:ascii="Arial" w:hAnsi="Arial" w:hint="default"/>
      </w:rPr>
    </w:lvl>
    <w:lvl w:ilvl="6" w:tplc="BC1C1CBE" w:tentative="1">
      <w:start w:val="1"/>
      <w:numFmt w:val="bullet"/>
      <w:lvlText w:val="•"/>
      <w:lvlJc w:val="left"/>
      <w:pPr>
        <w:tabs>
          <w:tab w:val="num" w:pos="5040"/>
        </w:tabs>
        <w:ind w:left="5040" w:hanging="360"/>
      </w:pPr>
      <w:rPr>
        <w:rFonts w:ascii="Arial" w:hAnsi="Arial" w:hint="default"/>
      </w:rPr>
    </w:lvl>
    <w:lvl w:ilvl="7" w:tplc="F57AD68A" w:tentative="1">
      <w:start w:val="1"/>
      <w:numFmt w:val="bullet"/>
      <w:lvlText w:val="•"/>
      <w:lvlJc w:val="left"/>
      <w:pPr>
        <w:tabs>
          <w:tab w:val="num" w:pos="5760"/>
        </w:tabs>
        <w:ind w:left="5760" w:hanging="360"/>
      </w:pPr>
      <w:rPr>
        <w:rFonts w:ascii="Arial" w:hAnsi="Arial" w:hint="default"/>
      </w:rPr>
    </w:lvl>
    <w:lvl w:ilvl="8" w:tplc="F838FD9A" w:tentative="1">
      <w:start w:val="1"/>
      <w:numFmt w:val="bullet"/>
      <w:lvlText w:val="•"/>
      <w:lvlJc w:val="left"/>
      <w:pPr>
        <w:tabs>
          <w:tab w:val="num" w:pos="6480"/>
        </w:tabs>
        <w:ind w:left="6480" w:hanging="360"/>
      </w:pPr>
      <w:rPr>
        <w:rFonts w:ascii="Arial" w:hAnsi="Arial" w:hint="default"/>
      </w:rPr>
    </w:lvl>
  </w:abstractNum>
  <w:abstractNum w:abstractNumId="6">
    <w:nsid w:val="21BD12D7"/>
    <w:multiLevelType w:val="hybridMultilevel"/>
    <w:tmpl w:val="E0EAF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22F02"/>
    <w:multiLevelType w:val="hybridMultilevel"/>
    <w:tmpl w:val="454CE0D2"/>
    <w:lvl w:ilvl="0" w:tplc="711260FE">
      <w:start w:val="1"/>
      <w:numFmt w:val="bullet"/>
      <w:lvlText w:val="•"/>
      <w:lvlJc w:val="left"/>
      <w:pPr>
        <w:tabs>
          <w:tab w:val="num" w:pos="720"/>
        </w:tabs>
        <w:ind w:left="720" w:hanging="360"/>
      </w:pPr>
      <w:rPr>
        <w:rFonts w:ascii="Arial" w:hAnsi="Arial" w:hint="default"/>
      </w:rPr>
    </w:lvl>
    <w:lvl w:ilvl="1" w:tplc="75164B3E" w:tentative="1">
      <w:start w:val="1"/>
      <w:numFmt w:val="bullet"/>
      <w:lvlText w:val="•"/>
      <w:lvlJc w:val="left"/>
      <w:pPr>
        <w:tabs>
          <w:tab w:val="num" w:pos="1440"/>
        </w:tabs>
        <w:ind w:left="1440" w:hanging="360"/>
      </w:pPr>
      <w:rPr>
        <w:rFonts w:ascii="Arial" w:hAnsi="Arial" w:hint="default"/>
      </w:rPr>
    </w:lvl>
    <w:lvl w:ilvl="2" w:tplc="1C9AAC18" w:tentative="1">
      <w:start w:val="1"/>
      <w:numFmt w:val="bullet"/>
      <w:lvlText w:val="•"/>
      <w:lvlJc w:val="left"/>
      <w:pPr>
        <w:tabs>
          <w:tab w:val="num" w:pos="2160"/>
        </w:tabs>
        <w:ind w:left="2160" w:hanging="360"/>
      </w:pPr>
      <w:rPr>
        <w:rFonts w:ascii="Arial" w:hAnsi="Arial" w:hint="default"/>
      </w:rPr>
    </w:lvl>
    <w:lvl w:ilvl="3" w:tplc="80A606E6" w:tentative="1">
      <w:start w:val="1"/>
      <w:numFmt w:val="bullet"/>
      <w:lvlText w:val="•"/>
      <w:lvlJc w:val="left"/>
      <w:pPr>
        <w:tabs>
          <w:tab w:val="num" w:pos="2880"/>
        </w:tabs>
        <w:ind w:left="2880" w:hanging="360"/>
      </w:pPr>
      <w:rPr>
        <w:rFonts w:ascii="Arial" w:hAnsi="Arial" w:hint="default"/>
      </w:rPr>
    </w:lvl>
    <w:lvl w:ilvl="4" w:tplc="E34A1730" w:tentative="1">
      <w:start w:val="1"/>
      <w:numFmt w:val="bullet"/>
      <w:lvlText w:val="•"/>
      <w:lvlJc w:val="left"/>
      <w:pPr>
        <w:tabs>
          <w:tab w:val="num" w:pos="3600"/>
        </w:tabs>
        <w:ind w:left="3600" w:hanging="360"/>
      </w:pPr>
      <w:rPr>
        <w:rFonts w:ascii="Arial" w:hAnsi="Arial" w:hint="default"/>
      </w:rPr>
    </w:lvl>
    <w:lvl w:ilvl="5" w:tplc="DAFC88B4" w:tentative="1">
      <w:start w:val="1"/>
      <w:numFmt w:val="bullet"/>
      <w:lvlText w:val="•"/>
      <w:lvlJc w:val="left"/>
      <w:pPr>
        <w:tabs>
          <w:tab w:val="num" w:pos="4320"/>
        </w:tabs>
        <w:ind w:left="4320" w:hanging="360"/>
      </w:pPr>
      <w:rPr>
        <w:rFonts w:ascii="Arial" w:hAnsi="Arial" w:hint="default"/>
      </w:rPr>
    </w:lvl>
    <w:lvl w:ilvl="6" w:tplc="0160F7FE" w:tentative="1">
      <w:start w:val="1"/>
      <w:numFmt w:val="bullet"/>
      <w:lvlText w:val="•"/>
      <w:lvlJc w:val="left"/>
      <w:pPr>
        <w:tabs>
          <w:tab w:val="num" w:pos="5040"/>
        </w:tabs>
        <w:ind w:left="5040" w:hanging="360"/>
      </w:pPr>
      <w:rPr>
        <w:rFonts w:ascii="Arial" w:hAnsi="Arial" w:hint="default"/>
      </w:rPr>
    </w:lvl>
    <w:lvl w:ilvl="7" w:tplc="59D24B9C" w:tentative="1">
      <w:start w:val="1"/>
      <w:numFmt w:val="bullet"/>
      <w:lvlText w:val="•"/>
      <w:lvlJc w:val="left"/>
      <w:pPr>
        <w:tabs>
          <w:tab w:val="num" w:pos="5760"/>
        </w:tabs>
        <w:ind w:left="5760" w:hanging="360"/>
      </w:pPr>
      <w:rPr>
        <w:rFonts w:ascii="Arial" w:hAnsi="Arial" w:hint="default"/>
      </w:rPr>
    </w:lvl>
    <w:lvl w:ilvl="8" w:tplc="126E4764" w:tentative="1">
      <w:start w:val="1"/>
      <w:numFmt w:val="bullet"/>
      <w:lvlText w:val="•"/>
      <w:lvlJc w:val="left"/>
      <w:pPr>
        <w:tabs>
          <w:tab w:val="num" w:pos="6480"/>
        </w:tabs>
        <w:ind w:left="6480" w:hanging="360"/>
      </w:pPr>
      <w:rPr>
        <w:rFonts w:ascii="Arial" w:hAnsi="Arial" w:hint="default"/>
      </w:rPr>
    </w:lvl>
  </w:abstractNum>
  <w:abstractNum w:abstractNumId="8">
    <w:nsid w:val="28200BA7"/>
    <w:multiLevelType w:val="hybridMultilevel"/>
    <w:tmpl w:val="5E74F03E"/>
    <w:lvl w:ilvl="0" w:tplc="1B5E5238">
      <w:start w:val="1"/>
      <w:numFmt w:val="bullet"/>
      <w:lvlText w:val="•"/>
      <w:lvlJc w:val="left"/>
      <w:pPr>
        <w:tabs>
          <w:tab w:val="num" w:pos="720"/>
        </w:tabs>
        <w:ind w:left="720" w:hanging="360"/>
      </w:pPr>
      <w:rPr>
        <w:rFonts w:ascii="Arial" w:hAnsi="Arial" w:hint="default"/>
      </w:rPr>
    </w:lvl>
    <w:lvl w:ilvl="1" w:tplc="B906A636">
      <w:start w:val="2393"/>
      <w:numFmt w:val="bullet"/>
      <w:lvlText w:val="–"/>
      <w:lvlJc w:val="left"/>
      <w:pPr>
        <w:tabs>
          <w:tab w:val="num" w:pos="1440"/>
        </w:tabs>
        <w:ind w:left="1440" w:hanging="360"/>
      </w:pPr>
      <w:rPr>
        <w:rFonts w:ascii="Arial" w:hAnsi="Arial" w:hint="default"/>
      </w:rPr>
    </w:lvl>
    <w:lvl w:ilvl="2" w:tplc="F7ECC168" w:tentative="1">
      <w:start w:val="1"/>
      <w:numFmt w:val="bullet"/>
      <w:lvlText w:val="•"/>
      <w:lvlJc w:val="left"/>
      <w:pPr>
        <w:tabs>
          <w:tab w:val="num" w:pos="2160"/>
        </w:tabs>
        <w:ind w:left="2160" w:hanging="360"/>
      </w:pPr>
      <w:rPr>
        <w:rFonts w:ascii="Arial" w:hAnsi="Arial" w:hint="default"/>
      </w:rPr>
    </w:lvl>
    <w:lvl w:ilvl="3" w:tplc="6C5A367A" w:tentative="1">
      <w:start w:val="1"/>
      <w:numFmt w:val="bullet"/>
      <w:lvlText w:val="•"/>
      <w:lvlJc w:val="left"/>
      <w:pPr>
        <w:tabs>
          <w:tab w:val="num" w:pos="2880"/>
        </w:tabs>
        <w:ind w:left="2880" w:hanging="360"/>
      </w:pPr>
      <w:rPr>
        <w:rFonts w:ascii="Arial" w:hAnsi="Arial" w:hint="default"/>
      </w:rPr>
    </w:lvl>
    <w:lvl w:ilvl="4" w:tplc="3F08950E" w:tentative="1">
      <w:start w:val="1"/>
      <w:numFmt w:val="bullet"/>
      <w:lvlText w:val="•"/>
      <w:lvlJc w:val="left"/>
      <w:pPr>
        <w:tabs>
          <w:tab w:val="num" w:pos="3600"/>
        </w:tabs>
        <w:ind w:left="3600" w:hanging="360"/>
      </w:pPr>
      <w:rPr>
        <w:rFonts w:ascii="Arial" w:hAnsi="Arial" w:hint="default"/>
      </w:rPr>
    </w:lvl>
    <w:lvl w:ilvl="5" w:tplc="C186E2AA" w:tentative="1">
      <w:start w:val="1"/>
      <w:numFmt w:val="bullet"/>
      <w:lvlText w:val="•"/>
      <w:lvlJc w:val="left"/>
      <w:pPr>
        <w:tabs>
          <w:tab w:val="num" w:pos="4320"/>
        </w:tabs>
        <w:ind w:left="4320" w:hanging="360"/>
      </w:pPr>
      <w:rPr>
        <w:rFonts w:ascii="Arial" w:hAnsi="Arial" w:hint="default"/>
      </w:rPr>
    </w:lvl>
    <w:lvl w:ilvl="6" w:tplc="3DCC13B0" w:tentative="1">
      <w:start w:val="1"/>
      <w:numFmt w:val="bullet"/>
      <w:lvlText w:val="•"/>
      <w:lvlJc w:val="left"/>
      <w:pPr>
        <w:tabs>
          <w:tab w:val="num" w:pos="5040"/>
        </w:tabs>
        <w:ind w:left="5040" w:hanging="360"/>
      </w:pPr>
      <w:rPr>
        <w:rFonts w:ascii="Arial" w:hAnsi="Arial" w:hint="default"/>
      </w:rPr>
    </w:lvl>
    <w:lvl w:ilvl="7" w:tplc="BBB6E8B0" w:tentative="1">
      <w:start w:val="1"/>
      <w:numFmt w:val="bullet"/>
      <w:lvlText w:val="•"/>
      <w:lvlJc w:val="left"/>
      <w:pPr>
        <w:tabs>
          <w:tab w:val="num" w:pos="5760"/>
        </w:tabs>
        <w:ind w:left="5760" w:hanging="360"/>
      </w:pPr>
      <w:rPr>
        <w:rFonts w:ascii="Arial" w:hAnsi="Arial" w:hint="default"/>
      </w:rPr>
    </w:lvl>
    <w:lvl w:ilvl="8" w:tplc="62D29FEC" w:tentative="1">
      <w:start w:val="1"/>
      <w:numFmt w:val="bullet"/>
      <w:lvlText w:val="•"/>
      <w:lvlJc w:val="left"/>
      <w:pPr>
        <w:tabs>
          <w:tab w:val="num" w:pos="6480"/>
        </w:tabs>
        <w:ind w:left="6480" w:hanging="360"/>
      </w:pPr>
      <w:rPr>
        <w:rFonts w:ascii="Arial" w:hAnsi="Arial" w:hint="default"/>
      </w:rPr>
    </w:lvl>
  </w:abstractNum>
  <w:abstractNum w:abstractNumId="9">
    <w:nsid w:val="2A400395"/>
    <w:multiLevelType w:val="hybridMultilevel"/>
    <w:tmpl w:val="340AC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A4740"/>
    <w:multiLevelType w:val="hybridMultilevel"/>
    <w:tmpl w:val="31027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D561CE"/>
    <w:multiLevelType w:val="hybridMultilevel"/>
    <w:tmpl w:val="CE8A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133CAC"/>
    <w:multiLevelType w:val="hybridMultilevel"/>
    <w:tmpl w:val="88E890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976098"/>
    <w:multiLevelType w:val="hybridMultilevel"/>
    <w:tmpl w:val="C1D4979E"/>
    <w:lvl w:ilvl="0" w:tplc="54B2C79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482C"/>
    <w:multiLevelType w:val="multilevel"/>
    <w:tmpl w:val="3F74B9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5">
    <w:nsid w:val="386C490D"/>
    <w:multiLevelType w:val="hybridMultilevel"/>
    <w:tmpl w:val="57A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844B4"/>
    <w:multiLevelType w:val="hybridMultilevel"/>
    <w:tmpl w:val="EC4E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34DD9"/>
    <w:multiLevelType w:val="hybridMultilevel"/>
    <w:tmpl w:val="9C4A6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47B70"/>
    <w:multiLevelType w:val="hybridMultilevel"/>
    <w:tmpl w:val="865C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2A0216"/>
    <w:multiLevelType w:val="multilevel"/>
    <w:tmpl w:val="526C50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nsid w:val="45884770"/>
    <w:multiLevelType w:val="hybridMultilevel"/>
    <w:tmpl w:val="BCA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2B3A62"/>
    <w:multiLevelType w:val="hybridMultilevel"/>
    <w:tmpl w:val="05C4753C"/>
    <w:lvl w:ilvl="0" w:tplc="437663F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3A004A"/>
    <w:multiLevelType w:val="hybridMultilevel"/>
    <w:tmpl w:val="9A7C12BE"/>
    <w:lvl w:ilvl="0" w:tplc="54B2C792">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22137F"/>
    <w:multiLevelType w:val="hybridMultilevel"/>
    <w:tmpl w:val="25ACA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FE07FC"/>
    <w:multiLevelType w:val="hybridMultilevel"/>
    <w:tmpl w:val="F25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DF4481"/>
    <w:multiLevelType w:val="hybridMultilevel"/>
    <w:tmpl w:val="9B8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B147C"/>
    <w:multiLevelType w:val="hybridMultilevel"/>
    <w:tmpl w:val="271834A2"/>
    <w:lvl w:ilvl="0" w:tplc="B19E740C">
      <w:start w:val="1"/>
      <w:numFmt w:val="bullet"/>
      <w:lvlText w:val="•"/>
      <w:lvlJc w:val="left"/>
      <w:pPr>
        <w:tabs>
          <w:tab w:val="num" w:pos="720"/>
        </w:tabs>
        <w:ind w:left="720" w:hanging="360"/>
      </w:pPr>
      <w:rPr>
        <w:rFonts w:ascii="Arial" w:hAnsi="Arial" w:hint="default"/>
      </w:rPr>
    </w:lvl>
    <w:lvl w:ilvl="1" w:tplc="5B8686F0" w:tentative="1">
      <w:start w:val="1"/>
      <w:numFmt w:val="bullet"/>
      <w:lvlText w:val="•"/>
      <w:lvlJc w:val="left"/>
      <w:pPr>
        <w:tabs>
          <w:tab w:val="num" w:pos="1440"/>
        </w:tabs>
        <w:ind w:left="1440" w:hanging="360"/>
      </w:pPr>
      <w:rPr>
        <w:rFonts w:ascii="Arial" w:hAnsi="Arial" w:hint="default"/>
      </w:rPr>
    </w:lvl>
    <w:lvl w:ilvl="2" w:tplc="1F52F8EE" w:tentative="1">
      <w:start w:val="1"/>
      <w:numFmt w:val="bullet"/>
      <w:lvlText w:val="•"/>
      <w:lvlJc w:val="left"/>
      <w:pPr>
        <w:tabs>
          <w:tab w:val="num" w:pos="2160"/>
        </w:tabs>
        <w:ind w:left="2160" w:hanging="360"/>
      </w:pPr>
      <w:rPr>
        <w:rFonts w:ascii="Arial" w:hAnsi="Arial" w:hint="default"/>
      </w:rPr>
    </w:lvl>
    <w:lvl w:ilvl="3" w:tplc="66427970" w:tentative="1">
      <w:start w:val="1"/>
      <w:numFmt w:val="bullet"/>
      <w:lvlText w:val="•"/>
      <w:lvlJc w:val="left"/>
      <w:pPr>
        <w:tabs>
          <w:tab w:val="num" w:pos="2880"/>
        </w:tabs>
        <w:ind w:left="2880" w:hanging="360"/>
      </w:pPr>
      <w:rPr>
        <w:rFonts w:ascii="Arial" w:hAnsi="Arial" w:hint="default"/>
      </w:rPr>
    </w:lvl>
    <w:lvl w:ilvl="4" w:tplc="33AA7CB8" w:tentative="1">
      <w:start w:val="1"/>
      <w:numFmt w:val="bullet"/>
      <w:lvlText w:val="•"/>
      <w:lvlJc w:val="left"/>
      <w:pPr>
        <w:tabs>
          <w:tab w:val="num" w:pos="3600"/>
        </w:tabs>
        <w:ind w:left="3600" w:hanging="360"/>
      </w:pPr>
      <w:rPr>
        <w:rFonts w:ascii="Arial" w:hAnsi="Arial" w:hint="default"/>
      </w:rPr>
    </w:lvl>
    <w:lvl w:ilvl="5" w:tplc="2F5C4A6E" w:tentative="1">
      <w:start w:val="1"/>
      <w:numFmt w:val="bullet"/>
      <w:lvlText w:val="•"/>
      <w:lvlJc w:val="left"/>
      <w:pPr>
        <w:tabs>
          <w:tab w:val="num" w:pos="4320"/>
        </w:tabs>
        <w:ind w:left="4320" w:hanging="360"/>
      </w:pPr>
      <w:rPr>
        <w:rFonts w:ascii="Arial" w:hAnsi="Arial" w:hint="default"/>
      </w:rPr>
    </w:lvl>
    <w:lvl w:ilvl="6" w:tplc="E390A920" w:tentative="1">
      <w:start w:val="1"/>
      <w:numFmt w:val="bullet"/>
      <w:lvlText w:val="•"/>
      <w:lvlJc w:val="left"/>
      <w:pPr>
        <w:tabs>
          <w:tab w:val="num" w:pos="5040"/>
        </w:tabs>
        <w:ind w:left="5040" w:hanging="360"/>
      </w:pPr>
      <w:rPr>
        <w:rFonts w:ascii="Arial" w:hAnsi="Arial" w:hint="default"/>
      </w:rPr>
    </w:lvl>
    <w:lvl w:ilvl="7" w:tplc="ADCCE848" w:tentative="1">
      <w:start w:val="1"/>
      <w:numFmt w:val="bullet"/>
      <w:lvlText w:val="•"/>
      <w:lvlJc w:val="left"/>
      <w:pPr>
        <w:tabs>
          <w:tab w:val="num" w:pos="5760"/>
        </w:tabs>
        <w:ind w:left="5760" w:hanging="360"/>
      </w:pPr>
      <w:rPr>
        <w:rFonts w:ascii="Arial" w:hAnsi="Arial" w:hint="default"/>
      </w:rPr>
    </w:lvl>
    <w:lvl w:ilvl="8" w:tplc="C5A843BA" w:tentative="1">
      <w:start w:val="1"/>
      <w:numFmt w:val="bullet"/>
      <w:lvlText w:val="•"/>
      <w:lvlJc w:val="left"/>
      <w:pPr>
        <w:tabs>
          <w:tab w:val="num" w:pos="6480"/>
        </w:tabs>
        <w:ind w:left="6480" w:hanging="360"/>
      </w:pPr>
      <w:rPr>
        <w:rFonts w:ascii="Arial" w:hAnsi="Arial" w:hint="default"/>
      </w:rPr>
    </w:lvl>
  </w:abstractNum>
  <w:abstractNum w:abstractNumId="27">
    <w:nsid w:val="5958460C"/>
    <w:multiLevelType w:val="hybridMultilevel"/>
    <w:tmpl w:val="958462C8"/>
    <w:lvl w:ilvl="0" w:tplc="F74CCE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4F451A"/>
    <w:multiLevelType w:val="hybridMultilevel"/>
    <w:tmpl w:val="7AEE60B2"/>
    <w:lvl w:ilvl="0" w:tplc="54B2C79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26E4F"/>
    <w:multiLevelType w:val="multilevel"/>
    <w:tmpl w:val="1272212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61710800"/>
    <w:multiLevelType w:val="hybridMultilevel"/>
    <w:tmpl w:val="4456F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4EE5951"/>
    <w:multiLevelType w:val="hybridMultilevel"/>
    <w:tmpl w:val="640A6FDA"/>
    <w:lvl w:ilvl="0" w:tplc="54B2C792">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F35F2F"/>
    <w:multiLevelType w:val="hybridMultilevel"/>
    <w:tmpl w:val="97DAFE6C"/>
    <w:lvl w:ilvl="0" w:tplc="39E095F2">
      <w:start w:val="1"/>
      <w:numFmt w:val="bullet"/>
      <w:lvlText w:val="•"/>
      <w:lvlJc w:val="left"/>
      <w:pPr>
        <w:tabs>
          <w:tab w:val="num" w:pos="720"/>
        </w:tabs>
        <w:ind w:left="720" w:hanging="360"/>
      </w:pPr>
      <w:rPr>
        <w:rFonts w:ascii="Arial" w:hAnsi="Arial" w:hint="default"/>
      </w:rPr>
    </w:lvl>
    <w:lvl w:ilvl="1" w:tplc="CB5E6D78">
      <w:start w:val="2362"/>
      <w:numFmt w:val="bullet"/>
      <w:lvlText w:val="•"/>
      <w:lvlJc w:val="left"/>
      <w:pPr>
        <w:tabs>
          <w:tab w:val="num" w:pos="1440"/>
        </w:tabs>
        <w:ind w:left="1440" w:hanging="360"/>
      </w:pPr>
      <w:rPr>
        <w:rFonts w:ascii="Arial" w:hAnsi="Arial" w:hint="default"/>
      </w:rPr>
    </w:lvl>
    <w:lvl w:ilvl="2" w:tplc="31C0E246" w:tentative="1">
      <w:start w:val="1"/>
      <w:numFmt w:val="bullet"/>
      <w:lvlText w:val="•"/>
      <w:lvlJc w:val="left"/>
      <w:pPr>
        <w:tabs>
          <w:tab w:val="num" w:pos="2160"/>
        </w:tabs>
        <w:ind w:left="2160" w:hanging="360"/>
      </w:pPr>
      <w:rPr>
        <w:rFonts w:ascii="Arial" w:hAnsi="Arial" w:hint="default"/>
      </w:rPr>
    </w:lvl>
    <w:lvl w:ilvl="3" w:tplc="3228A850" w:tentative="1">
      <w:start w:val="1"/>
      <w:numFmt w:val="bullet"/>
      <w:lvlText w:val="•"/>
      <w:lvlJc w:val="left"/>
      <w:pPr>
        <w:tabs>
          <w:tab w:val="num" w:pos="2880"/>
        </w:tabs>
        <w:ind w:left="2880" w:hanging="360"/>
      </w:pPr>
      <w:rPr>
        <w:rFonts w:ascii="Arial" w:hAnsi="Arial" w:hint="default"/>
      </w:rPr>
    </w:lvl>
    <w:lvl w:ilvl="4" w:tplc="7584DA36" w:tentative="1">
      <w:start w:val="1"/>
      <w:numFmt w:val="bullet"/>
      <w:lvlText w:val="•"/>
      <w:lvlJc w:val="left"/>
      <w:pPr>
        <w:tabs>
          <w:tab w:val="num" w:pos="3600"/>
        </w:tabs>
        <w:ind w:left="3600" w:hanging="360"/>
      </w:pPr>
      <w:rPr>
        <w:rFonts w:ascii="Arial" w:hAnsi="Arial" w:hint="default"/>
      </w:rPr>
    </w:lvl>
    <w:lvl w:ilvl="5" w:tplc="F11C73C0" w:tentative="1">
      <w:start w:val="1"/>
      <w:numFmt w:val="bullet"/>
      <w:lvlText w:val="•"/>
      <w:lvlJc w:val="left"/>
      <w:pPr>
        <w:tabs>
          <w:tab w:val="num" w:pos="4320"/>
        </w:tabs>
        <w:ind w:left="4320" w:hanging="360"/>
      </w:pPr>
      <w:rPr>
        <w:rFonts w:ascii="Arial" w:hAnsi="Arial" w:hint="default"/>
      </w:rPr>
    </w:lvl>
    <w:lvl w:ilvl="6" w:tplc="FFF61E0E" w:tentative="1">
      <w:start w:val="1"/>
      <w:numFmt w:val="bullet"/>
      <w:lvlText w:val="•"/>
      <w:lvlJc w:val="left"/>
      <w:pPr>
        <w:tabs>
          <w:tab w:val="num" w:pos="5040"/>
        </w:tabs>
        <w:ind w:left="5040" w:hanging="360"/>
      </w:pPr>
      <w:rPr>
        <w:rFonts w:ascii="Arial" w:hAnsi="Arial" w:hint="default"/>
      </w:rPr>
    </w:lvl>
    <w:lvl w:ilvl="7" w:tplc="4BFEABF4" w:tentative="1">
      <w:start w:val="1"/>
      <w:numFmt w:val="bullet"/>
      <w:lvlText w:val="•"/>
      <w:lvlJc w:val="left"/>
      <w:pPr>
        <w:tabs>
          <w:tab w:val="num" w:pos="5760"/>
        </w:tabs>
        <w:ind w:left="5760" w:hanging="360"/>
      </w:pPr>
      <w:rPr>
        <w:rFonts w:ascii="Arial" w:hAnsi="Arial" w:hint="default"/>
      </w:rPr>
    </w:lvl>
    <w:lvl w:ilvl="8" w:tplc="376A5B64" w:tentative="1">
      <w:start w:val="1"/>
      <w:numFmt w:val="bullet"/>
      <w:lvlText w:val="•"/>
      <w:lvlJc w:val="left"/>
      <w:pPr>
        <w:tabs>
          <w:tab w:val="num" w:pos="6480"/>
        </w:tabs>
        <w:ind w:left="6480" w:hanging="360"/>
      </w:pPr>
      <w:rPr>
        <w:rFonts w:ascii="Arial" w:hAnsi="Arial" w:hint="default"/>
      </w:rPr>
    </w:lvl>
  </w:abstractNum>
  <w:abstractNum w:abstractNumId="33">
    <w:nsid w:val="670453ED"/>
    <w:multiLevelType w:val="hybridMultilevel"/>
    <w:tmpl w:val="0AE8B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451B00"/>
    <w:multiLevelType w:val="hybridMultilevel"/>
    <w:tmpl w:val="A0F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C42A0"/>
    <w:multiLevelType w:val="hybridMultilevel"/>
    <w:tmpl w:val="522CD7A4"/>
    <w:lvl w:ilvl="0" w:tplc="508EBAE2">
      <w:start w:val="1"/>
      <w:numFmt w:val="bullet"/>
      <w:lvlText w:val="•"/>
      <w:lvlJc w:val="left"/>
      <w:pPr>
        <w:tabs>
          <w:tab w:val="num" w:pos="720"/>
        </w:tabs>
        <w:ind w:left="720" w:hanging="360"/>
      </w:pPr>
      <w:rPr>
        <w:rFonts w:ascii="Arial" w:hAnsi="Arial" w:hint="default"/>
      </w:rPr>
    </w:lvl>
    <w:lvl w:ilvl="1" w:tplc="1D583F9A" w:tentative="1">
      <w:start w:val="1"/>
      <w:numFmt w:val="bullet"/>
      <w:lvlText w:val="•"/>
      <w:lvlJc w:val="left"/>
      <w:pPr>
        <w:tabs>
          <w:tab w:val="num" w:pos="1440"/>
        </w:tabs>
        <w:ind w:left="1440" w:hanging="360"/>
      </w:pPr>
      <w:rPr>
        <w:rFonts w:ascii="Arial" w:hAnsi="Arial" w:hint="default"/>
      </w:rPr>
    </w:lvl>
    <w:lvl w:ilvl="2" w:tplc="7994ABD4" w:tentative="1">
      <w:start w:val="1"/>
      <w:numFmt w:val="bullet"/>
      <w:lvlText w:val="•"/>
      <w:lvlJc w:val="left"/>
      <w:pPr>
        <w:tabs>
          <w:tab w:val="num" w:pos="2160"/>
        </w:tabs>
        <w:ind w:left="2160" w:hanging="360"/>
      </w:pPr>
      <w:rPr>
        <w:rFonts w:ascii="Arial" w:hAnsi="Arial" w:hint="default"/>
      </w:rPr>
    </w:lvl>
    <w:lvl w:ilvl="3" w:tplc="7BA83E32" w:tentative="1">
      <w:start w:val="1"/>
      <w:numFmt w:val="bullet"/>
      <w:lvlText w:val="•"/>
      <w:lvlJc w:val="left"/>
      <w:pPr>
        <w:tabs>
          <w:tab w:val="num" w:pos="2880"/>
        </w:tabs>
        <w:ind w:left="2880" w:hanging="360"/>
      </w:pPr>
      <w:rPr>
        <w:rFonts w:ascii="Arial" w:hAnsi="Arial" w:hint="default"/>
      </w:rPr>
    </w:lvl>
    <w:lvl w:ilvl="4" w:tplc="6F965420" w:tentative="1">
      <w:start w:val="1"/>
      <w:numFmt w:val="bullet"/>
      <w:lvlText w:val="•"/>
      <w:lvlJc w:val="left"/>
      <w:pPr>
        <w:tabs>
          <w:tab w:val="num" w:pos="3600"/>
        </w:tabs>
        <w:ind w:left="3600" w:hanging="360"/>
      </w:pPr>
      <w:rPr>
        <w:rFonts w:ascii="Arial" w:hAnsi="Arial" w:hint="default"/>
      </w:rPr>
    </w:lvl>
    <w:lvl w:ilvl="5" w:tplc="BFE2FD0C" w:tentative="1">
      <w:start w:val="1"/>
      <w:numFmt w:val="bullet"/>
      <w:lvlText w:val="•"/>
      <w:lvlJc w:val="left"/>
      <w:pPr>
        <w:tabs>
          <w:tab w:val="num" w:pos="4320"/>
        </w:tabs>
        <w:ind w:left="4320" w:hanging="360"/>
      </w:pPr>
      <w:rPr>
        <w:rFonts w:ascii="Arial" w:hAnsi="Arial" w:hint="default"/>
      </w:rPr>
    </w:lvl>
    <w:lvl w:ilvl="6" w:tplc="7E948DB6" w:tentative="1">
      <w:start w:val="1"/>
      <w:numFmt w:val="bullet"/>
      <w:lvlText w:val="•"/>
      <w:lvlJc w:val="left"/>
      <w:pPr>
        <w:tabs>
          <w:tab w:val="num" w:pos="5040"/>
        </w:tabs>
        <w:ind w:left="5040" w:hanging="360"/>
      </w:pPr>
      <w:rPr>
        <w:rFonts w:ascii="Arial" w:hAnsi="Arial" w:hint="default"/>
      </w:rPr>
    </w:lvl>
    <w:lvl w:ilvl="7" w:tplc="2A22A49A" w:tentative="1">
      <w:start w:val="1"/>
      <w:numFmt w:val="bullet"/>
      <w:lvlText w:val="•"/>
      <w:lvlJc w:val="left"/>
      <w:pPr>
        <w:tabs>
          <w:tab w:val="num" w:pos="5760"/>
        </w:tabs>
        <w:ind w:left="5760" w:hanging="360"/>
      </w:pPr>
      <w:rPr>
        <w:rFonts w:ascii="Arial" w:hAnsi="Arial" w:hint="default"/>
      </w:rPr>
    </w:lvl>
    <w:lvl w:ilvl="8" w:tplc="18B643A8" w:tentative="1">
      <w:start w:val="1"/>
      <w:numFmt w:val="bullet"/>
      <w:lvlText w:val="•"/>
      <w:lvlJc w:val="left"/>
      <w:pPr>
        <w:tabs>
          <w:tab w:val="num" w:pos="6480"/>
        </w:tabs>
        <w:ind w:left="6480" w:hanging="360"/>
      </w:pPr>
      <w:rPr>
        <w:rFonts w:ascii="Arial" w:hAnsi="Arial" w:hint="default"/>
      </w:rPr>
    </w:lvl>
  </w:abstractNum>
  <w:abstractNum w:abstractNumId="36">
    <w:nsid w:val="690540E5"/>
    <w:multiLevelType w:val="hybridMultilevel"/>
    <w:tmpl w:val="B582C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E55BA2"/>
    <w:multiLevelType w:val="hybridMultilevel"/>
    <w:tmpl w:val="3A6CD17E"/>
    <w:lvl w:ilvl="0" w:tplc="479A61D2">
      <w:start w:val="1"/>
      <w:numFmt w:val="bullet"/>
      <w:lvlText w:val="•"/>
      <w:lvlJc w:val="left"/>
      <w:pPr>
        <w:tabs>
          <w:tab w:val="num" w:pos="720"/>
        </w:tabs>
        <w:ind w:left="720" w:hanging="360"/>
      </w:pPr>
      <w:rPr>
        <w:rFonts w:ascii="Arial" w:hAnsi="Arial" w:hint="default"/>
      </w:rPr>
    </w:lvl>
    <w:lvl w:ilvl="1" w:tplc="445CF710" w:tentative="1">
      <w:start w:val="1"/>
      <w:numFmt w:val="bullet"/>
      <w:lvlText w:val="•"/>
      <w:lvlJc w:val="left"/>
      <w:pPr>
        <w:tabs>
          <w:tab w:val="num" w:pos="1440"/>
        </w:tabs>
        <w:ind w:left="1440" w:hanging="360"/>
      </w:pPr>
      <w:rPr>
        <w:rFonts w:ascii="Arial" w:hAnsi="Arial" w:hint="default"/>
      </w:rPr>
    </w:lvl>
    <w:lvl w:ilvl="2" w:tplc="B3A450FA" w:tentative="1">
      <w:start w:val="1"/>
      <w:numFmt w:val="bullet"/>
      <w:lvlText w:val="•"/>
      <w:lvlJc w:val="left"/>
      <w:pPr>
        <w:tabs>
          <w:tab w:val="num" w:pos="2160"/>
        </w:tabs>
        <w:ind w:left="2160" w:hanging="360"/>
      </w:pPr>
      <w:rPr>
        <w:rFonts w:ascii="Arial" w:hAnsi="Arial" w:hint="default"/>
      </w:rPr>
    </w:lvl>
    <w:lvl w:ilvl="3" w:tplc="DABAC608" w:tentative="1">
      <w:start w:val="1"/>
      <w:numFmt w:val="bullet"/>
      <w:lvlText w:val="•"/>
      <w:lvlJc w:val="left"/>
      <w:pPr>
        <w:tabs>
          <w:tab w:val="num" w:pos="2880"/>
        </w:tabs>
        <w:ind w:left="2880" w:hanging="360"/>
      </w:pPr>
      <w:rPr>
        <w:rFonts w:ascii="Arial" w:hAnsi="Arial" w:hint="default"/>
      </w:rPr>
    </w:lvl>
    <w:lvl w:ilvl="4" w:tplc="DB329AD0" w:tentative="1">
      <w:start w:val="1"/>
      <w:numFmt w:val="bullet"/>
      <w:lvlText w:val="•"/>
      <w:lvlJc w:val="left"/>
      <w:pPr>
        <w:tabs>
          <w:tab w:val="num" w:pos="3600"/>
        </w:tabs>
        <w:ind w:left="3600" w:hanging="360"/>
      </w:pPr>
      <w:rPr>
        <w:rFonts w:ascii="Arial" w:hAnsi="Arial" w:hint="default"/>
      </w:rPr>
    </w:lvl>
    <w:lvl w:ilvl="5" w:tplc="A46A0632" w:tentative="1">
      <w:start w:val="1"/>
      <w:numFmt w:val="bullet"/>
      <w:lvlText w:val="•"/>
      <w:lvlJc w:val="left"/>
      <w:pPr>
        <w:tabs>
          <w:tab w:val="num" w:pos="4320"/>
        </w:tabs>
        <w:ind w:left="4320" w:hanging="360"/>
      </w:pPr>
      <w:rPr>
        <w:rFonts w:ascii="Arial" w:hAnsi="Arial" w:hint="default"/>
      </w:rPr>
    </w:lvl>
    <w:lvl w:ilvl="6" w:tplc="18BA1C42" w:tentative="1">
      <w:start w:val="1"/>
      <w:numFmt w:val="bullet"/>
      <w:lvlText w:val="•"/>
      <w:lvlJc w:val="left"/>
      <w:pPr>
        <w:tabs>
          <w:tab w:val="num" w:pos="5040"/>
        </w:tabs>
        <w:ind w:left="5040" w:hanging="360"/>
      </w:pPr>
      <w:rPr>
        <w:rFonts w:ascii="Arial" w:hAnsi="Arial" w:hint="default"/>
      </w:rPr>
    </w:lvl>
    <w:lvl w:ilvl="7" w:tplc="7A5EF3BE" w:tentative="1">
      <w:start w:val="1"/>
      <w:numFmt w:val="bullet"/>
      <w:lvlText w:val="•"/>
      <w:lvlJc w:val="left"/>
      <w:pPr>
        <w:tabs>
          <w:tab w:val="num" w:pos="5760"/>
        </w:tabs>
        <w:ind w:left="5760" w:hanging="360"/>
      </w:pPr>
      <w:rPr>
        <w:rFonts w:ascii="Arial" w:hAnsi="Arial" w:hint="default"/>
      </w:rPr>
    </w:lvl>
    <w:lvl w:ilvl="8" w:tplc="5F1E7AE2" w:tentative="1">
      <w:start w:val="1"/>
      <w:numFmt w:val="bullet"/>
      <w:lvlText w:val="•"/>
      <w:lvlJc w:val="left"/>
      <w:pPr>
        <w:tabs>
          <w:tab w:val="num" w:pos="6480"/>
        </w:tabs>
        <w:ind w:left="6480" w:hanging="360"/>
      </w:pPr>
      <w:rPr>
        <w:rFonts w:ascii="Arial" w:hAnsi="Arial" w:hint="default"/>
      </w:rPr>
    </w:lvl>
  </w:abstractNum>
  <w:abstractNum w:abstractNumId="38">
    <w:nsid w:val="6FC81A99"/>
    <w:multiLevelType w:val="hybridMultilevel"/>
    <w:tmpl w:val="2C9CC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2C7C62"/>
    <w:multiLevelType w:val="hybridMultilevel"/>
    <w:tmpl w:val="031CB32C"/>
    <w:lvl w:ilvl="0" w:tplc="292E12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855D21"/>
    <w:multiLevelType w:val="hybridMultilevel"/>
    <w:tmpl w:val="C00407DA"/>
    <w:lvl w:ilvl="0" w:tplc="54B2C79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B1222BC"/>
    <w:multiLevelType w:val="hybridMultilevel"/>
    <w:tmpl w:val="6CB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275622"/>
    <w:multiLevelType w:val="multilevel"/>
    <w:tmpl w:val="4156DE2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43">
    <w:nsid w:val="7BE67C67"/>
    <w:multiLevelType w:val="hybridMultilevel"/>
    <w:tmpl w:val="C5422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39"/>
  </w:num>
  <w:num w:numId="4">
    <w:abstractNumId w:val="7"/>
  </w:num>
  <w:num w:numId="5">
    <w:abstractNumId w:val="26"/>
  </w:num>
  <w:num w:numId="6">
    <w:abstractNumId w:val="36"/>
  </w:num>
  <w:num w:numId="7">
    <w:abstractNumId w:val="9"/>
  </w:num>
  <w:num w:numId="8">
    <w:abstractNumId w:val="16"/>
  </w:num>
  <w:num w:numId="9">
    <w:abstractNumId w:val="24"/>
  </w:num>
  <w:num w:numId="10">
    <w:abstractNumId w:val="11"/>
  </w:num>
  <w:num w:numId="11">
    <w:abstractNumId w:val="23"/>
  </w:num>
  <w:num w:numId="12">
    <w:abstractNumId w:val="38"/>
  </w:num>
  <w:num w:numId="13">
    <w:abstractNumId w:val="17"/>
  </w:num>
  <w:num w:numId="14">
    <w:abstractNumId w:val="43"/>
  </w:num>
  <w:num w:numId="15">
    <w:abstractNumId w:val="34"/>
  </w:num>
  <w:num w:numId="16">
    <w:abstractNumId w:val="0"/>
  </w:num>
  <w:num w:numId="17">
    <w:abstractNumId w:val="42"/>
  </w:num>
  <w:num w:numId="18">
    <w:abstractNumId w:val="14"/>
  </w:num>
  <w:num w:numId="19">
    <w:abstractNumId w:val="3"/>
  </w:num>
  <w:num w:numId="20">
    <w:abstractNumId w:val="25"/>
  </w:num>
  <w:num w:numId="21">
    <w:abstractNumId w:val="1"/>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
  </w:num>
  <w:num w:numId="27">
    <w:abstractNumId w:val="29"/>
  </w:num>
  <w:num w:numId="28">
    <w:abstractNumId w:val="18"/>
  </w:num>
  <w:num w:numId="29">
    <w:abstractNumId w:val="21"/>
  </w:num>
  <w:num w:numId="30">
    <w:abstractNumId w:val="28"/>
  </w:num>
  <w:num w:numId="31">
    <w:abstractNumId w:val="15"/>
  </w:num>
  <w:num w:numId="32">
    <w:abstractNumId w:val="6"/>
  </w:num>
  <w:num w:numId="33">
    <w:abstractNumId w:val="22"/>
  </w:num>
  <w:num w:numId="34">
    <w:abstractNumId w:val="31"/>
  </w:num>
  <w:num w:numId="35">
    <w:abstractNumId w:val="13"/>
  </w:num>
  <w:num w:numId="36">
    <w:abstractNumId w:val="41"/>
  </w:num>
  <w:num w:numId="37">
    <w:abstractNumId w:val="20"/>
  </w:num>
  <w:num w:numId="38">
    <w:abstractNumId w:val="33"/>
  </w:num>
  <w:num w:numId="39">
    <w:abstractNumId w:val="30"/>
  </w:num>
  <w:num w:numId="40">
    <w:abstractNumId w:val="10"/>
  </w:num>
  <w:num w:numId="41">
    <w:abstractNumId w:val="12"/>
  </w:num>
  <w:num w:numId="42">
    <w:abstractNumId w:val="37"/>
  </w:num>
  <w:num w:numId="43">
    <w:abstractNumId w:val="8"/>
  </w:num>
  <w:num w:numId="44">
    <w:abstractNumId w:val="32"/>
  </w:num>
  <w:num w:numId="45">
    <w:abstractNumId w:val="5"/>
  </w:num>
  <w:num w:numId="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Levine">
    <w15:presenceInfo w15:providerId="Windows Live" w15:userId="f7df958e66d0f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F5"/>
    <w:rsid w:val="000062FD"/>
    <w:rsid w:val="000072D2"/>
    <w:rsid w:val="0001775F"/>
    <w:rsid w:val="000440DC"/>
    <w:rsid w:val="00046124"/>
    <w:rsid w:val="00065DC5"/>
    <w:rsid w:val="00075124"/>
    <w:rsid w:val="00090D3F"/>
    <w:rsid w:val="00093C46"/>
    <w:rsid w:val="00096747"/>
    <w:rsid w:val="000C65D9"/>
    <w:rsid w:val="000C660A"/>
    <w:rsid w:val="000F57D1"/>
    <w:rsid w:val="000F6214"/>
    <w:rsid w:val="000F75E1"/>
    <w:rsid w:val="00106B08"/>
    <w:rsid w:val="00116BB1"/>
    <w:rsid w:val="00127744"/>
    <w:rsid w:val="00146EB9"/>
    <w:rsid w:val="00170954"/>
    <w:rsid w:val="001847DA"/>
    <w:rsid w:val="001917A5"/>
    <w:rsid w:val="001923DF"/>
    <w:rsid w:val="001B2D3D"/>
    <w:rsid w:val="001B3503"/>
    <w:rsid w:val="001B747D"/>
    <w:rsid w:val="001D0324"/>
    <w:rsid w:val="001E7CFD"/>
    <w:rsid w:val="001F4C14"/>
    <w:rsid w:val="00230092"/>
    <w:rsid w:val="00231815"/>
    <w:rsid w:val="00240980"/>
    <w:rsid w:val="002513B7"/>
    <w:rsid w:val="00262780"/>
    <w:rsid w:val="00264AA3"/>
    <w:rsid w:val="002768C1"/>
    <w:rsid w:val="00285FD5"/>
    <w:rsid w:val="00290091"/>
    <w:rsid w:val="00293203"/>
    <w:rsid w:val="002A385D"/>
    <w:rsid w:val="002B5085"/>
    <w:rsid w:val="002C1D1D"/>
    <w:rsid w:val="002D7EC1"/>
    <w:rsid w:val="002E196E"/>
    <w:rsid w:val="002E7224"/>
    <w:rsid w:val="003038D5"/>
    <w:rsid w:val="00323F97"/>
    <w:rsid w:val="00366FE3"/>
    <w:rsid w:val="00370D63"/>
    <w:rsid w:val="00381AEE"/>
    <w:rsid w:val="003854C2"/>
    <w:rsid w:val="00386FDC"/>
    <w:rsid w:val="003A037D"/>
    <w:rsid w:val="003A29E5"/>
    <w:rsid w:val="003A6DEA"/>
    <w:rsid w:val="003B0322"/>
    <w:rsid w:val="003D3BFD"/>
    <w:rsid w:val="003D772E"/>
    <w:rsid w:val="003E3214"/>
    <w:rsid w:val="003F49F5"/>
    <w:rsid w:val="003F77F4"/>
    <w:rsid w:val="004018D6"/>
    <w:rsid w:val="00460E8C"/>
    <w:rsid w:val="00480F9D"/>
    <w:rsid w:val="00483372"/>
    <w:rsid w:val="00486F74"/>
    <w:rsid w:val="00493F54"/>
    <w:rsid w:val="004F5AA8"/>
    <w:rsid w:val="00507E20"/>
    <w:rsid w:val="00513C73"/>
    <w:rsid w:val="0054775F"/>
    <w:rsid w:val="00553AC0"/>
    <w:rsid w:val="00557866"/>
    <w:rsid w:val="005610ED"/>
    <w:rsid w:val="00561AF6"/>
    <w:rsid w:val="00580339"/>
    <w:rsid w:val="005834EE"/>
    <w:rsid w:val="005A269F"/>
    <w:rsid w:val="00602C6C"/>
    <w:rsid w:val="00617C4F"/>
    <w:rsid w:val="00624241"/>
    <w:rsid w:val="006367F4"/>
    <w:rsid w:val="00647012"/>
    <w:rsid w:val="006840CE"/>
    <w:rsid w:val="00693732"/>
    <w:rsid w:val="00695FDB"/>
    <w:rsid w:val="006B1E8E"/>
    <w:rsid w:val="006C4501"/>
    <w:rsid w:val="006C6E13"/>
    <w:rsid w:val="006D0B4B"/>
    <w:rsid w:val="006D10DC"/>
    <w:rsid w:val="006D40D4"/>
    <w:rsid w:val="006D427E"/>
    <w:rsid w:val="006D57A8"/>
    <w:rsid w:val="006F124D"/>
    <w:rsid w:val="006F379E"/>
    <w:rsid w:val="006F4028"/>
    <w:rsid w:val="00705E3B"/>
    <w:rsid w:val="007078E0"/>
    <w:rsid w:val="00707974"/>
    <w:rsid w:val="00710C22"/>
    <w:rsid w:val="00714673"/>
    <w:rsid w:val="00721AA3"/>
    <w:rsid w:val="0073517C"/>
    <w:rsid w:val="00740440"/>
    <w:rsid w:val="00740D3D"/>
    <w:rsid w:val="0076620D"/>
    <w:rsid w:val="007771CD"/>
    <w:rsid w:val="00783E40"/>
    <w:rsid w:val="00786102"/>
    <w:rsid w:val="007929AA"/>
    <w:rsid w:val="007A7DFA"/>
    <w:rsid w:val="007B02B1"/>
    <w:rsid w:val="007E10AB"/>
    <w:rsid w:val="007F47EC"/>
    <w:rsid w:val="0080214D"/>
    <w:rsid w:val="00836745"/>
    <w:rsid w:val="0089550B"/>
    <w:rsid w:val="0089685F"/>
    <w:rsid w:val="008A41A7"/>
    <w:rsid w:val="008A7E67"/>
    <w:rsid w:val="008C6A16"/>
    <w:rsid w:val="008C7FDC"/>
    <w:rsid w:val="008F6C19"/>
    <w:rsid w:val="009126D4"/>
    <w:rsid w:val="00915A81"/>
    <w:rsid w:val="00926082"/>
    <w:rsid w:val="00931A99"/>
    <w:rsid w:val="00933CC4"/>
    <w:rsid w:val="00942274"/>
    <w:rsid w:val="009670DF"/>
    <w:rsid w:val="009A5A4D"/>
    <w:rsid w:val="009A77FA"/>
    <w:rsid w:val="009B58F5"/>
    <w:rsid w:val="009E05D2"/>
    <w:rsid w:val="009E4C79"/>
    <w:rsid w:val="009F1AA0"/>
    <w:rsid w:val="00A30DF6"/>
    <w:rsid w:val="00A5267B"/>
    <w:rsid w:val="00A65CEF"/>
    <w:rsid w:val="00A71B7A"/>
    <w:rsid w:val="00A9170D"/>
    <w:rsid w:val="00AA1C60"/>
    <w:rsid w:val="00AA588E"/>
    <w:rsid w:val="00AC1E31"/>
    <w:rsid w:val="00AF40B2"/>
    <w:rsid w:val="00B045C7"/>
    <w:rsid w:val="00B30566"/>
    <w:rsid w:val="00B540FC"/>
    <w:rsid w:val="00B55120"/>
    <w:rsid w:val="00BC0623"/>
    <w:rsid w:val="00BC0710"/>
    <w:rsid w:val="00BD0831"/>
    <w:rsid w:val="00BD1A59"/>
    <w:rsid w:val="00BE751E"/>
    <w:rsid w:val="00C0358E"/>
    <w:rsid w:val="00C05F3B"/>
    <w:rsid w:val="00C313DA"/>
    <w:rsid w:val="00C3140F"/>
    <w:rsid w:val="00C4529A"/>
    <w:rsid w:val="00C627FF"/>
    <w:rsid w:val="00C63399"/>
    <w:rsid w:val="00C63701"/>
    <w:rsid w:val="00C67C8F"/>
    <w:rsid w:val="00C80282"/>
    <w:rsid w:val="00C86A44"/>
    <w:rsid w:val="00CB6C93"/>
    <w:rsid w:val="00CE0785"/>
    <w:rsid w:val="00CF0F86"/>
    <w:rsid w:val="00D0209E"/>
    <w:rsid w:val="00D12F04"/>
    <w:rsid w:val="00D13EBC"/>
    <w:rsid w:val="00D2285E"/>
    <w:rsid w:val="00D55A75"/>
    <w:rsid w:val="00D57C61"/>
    <w:rsid w:val="00D905BD"/>
    <w:rsid w:val="00DA2C60"/>
    <w:rsid w:val="00DB630D"/>
    <w:rsid w:val="00DC44F8"/>
    <w:rsid w:val="00DC5D1C"/>
    <w:rsid w:val="00DD6FA3"/>
    <w:rsid w:val="00DF2417"/>
    <w:rsid w:val="00E04316"/>
    <w:rsid w:val="00E25E19"/>
    <w:rsid w:val="00E33586"/>
    <w:rsid w:val="00E502D9"/>
    <w:rsid w:val="00E5168B"/>
    <w:rsid w:val="00E52108"/>
    <w:rsid w:val="00E5545D"/>
    <w:rsid w:val="00E75084"/>
    <w:rsid w:val="00E77E06"/>
    <w:rsid w:val="00E817DE"/>
    <w:rsid w:val="00E8537B"/>
    <w:rsid w:val="00E8668D"/>
    <w:rsid w:val="00EA2647"/>
    <w:rsid w:val="00EA5545"/>
    <w:rsid w:val="00EB2AD3"/>
    <w:rsid w:val="00EC2DF7"/>
    <w:rsid w:val="00EC6ED8"/>
    <w:rsid w:val="00ED567B"/>
    <w:rsid w:val="00EE1FAF"/>
    <w:rsid w:val="00EE5EAE"/>
    <w:rsid w:val="00EF11D9"/>
    <w:rsid w:val="00EF4CAD"/>
    <w:rsid w:val="00F140B2"/>
    <w:rsid w:val="00F37B9B"/>
    <w:rsid w:val="00F55FA6"/>
    <w:rsid w:val="00F66AD5"/>
    <w:rsid w:val="00F713EB"/>
    <w:rsid w:val="00F75AEB"/>
    <w:rsid w:val="00FA02C1"/>
    <w:rsid w:val="00FA3E5E"/>
    <w:rsid w:val="00FA4991"/>
    <w:rsid w:val="00FB1B7A"/>
    <w:rsid w:val="00FC12BF"/>
    <w:rsid w:val="00FC1C25"/>
    <w:rsid w:val="00FD382A"/>
    <w:rsid w:val="00FE29C0"/>
    <w:rsid w:val="00FE2E60"/>
    <w:rsid w:val="00FE2FAF"/>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30092"/>
    <w:pPr>
      <w:keepNext/>
      <w:spacing w:after="0" w:line="320" w:lineRule="atLeast"/>
      <w:outlineLvl w:val="2"/>
    </w:pPr>
    <w:rPr>
      <w:rFonts w:ascii="Arial" w:eastAsia="Times New Roman" w:hAnsi="Arial" w:cs="Arial"/>
      <w:b/>
      <w: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F49F5"/>
    <w:pPr>
      <w:spacing w:after="160" w:line="240" w:lineRule="auto"/>
    </w:pPr>
    <w:rPr>
      <w:sz w:val="20"/>
      <w:szCs w:val="20"/>
    </w:rPr>
  </w:style>
  <w:style w:type="character" w:customStyle="1" w:styleId="CommentTextChar">
    <w:name w:val="Comment Text Char"/>
    <w:basedOn w:val="DefaultParagraphFont"/>
    <w:link w:val="CommentText"/>
    <w:uiPriority w:val="99"/>
    <w:rsid w:val="003F49F5"/>
    <w:rPr>
      <w:sz w:val="20"/>
      <w:szCs w:val="20"/>
    </w:rPr>
  </w:style>
  <w:style w:type="paragraph" w:styleId="ListParagraph">
    <w:name w:val="List Paragraph"/>
    <w:basedOn w:val="Normal"/>
    <w:uiPriority w:val="34"/>
    <w:qFormat/>
    <w:rsid w:val="003F49F5"/>
    <w:pPr>
      <w:spacing w:after="160" w:line="256" w:lineRule="auto"/>
      <w:ind w:left="720"/>
      <w:contextualSpacing/>
    </w:pPr>
  </w:style>
  <w:style w:type="character" w:styleId="CommentReference">
    <w:name w:val="annotation reference"/>
    <w:basedOn w:val="DefaultParagraphFont"/>
    <w:uiPriority w:val="99"/>
    <w:semiHidden/>
    <w:unhideWhenUsed/>
    <w:rsid w:val="003F49F5"/>
    <w:rPr>
      <w:sz w:val="16"/>
      <w:szCs w:val="16"/>
    </w:rPr>
  </w:style>
  <w:style w:type="paragraph" w:styleId="BalloonText">
    <w:name w:val="Balloon Text"/>
    <w:basedOn w:val="Normal"/>
    <w:link w:val="BalloonTextChar"/>
    <w:uiPriority w:val="99"/>
    <w:semiHidden/>
    <w:unhideWhenUsed/>
    <w:rsid w:val="003F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9F5"/>
    <w:rPr>
      <w:rFonts w:ascii="Tahoma" w:hAnsi="Tahoma" w:cs="Tahoma"/>
      <w:sz w:val="16"/>
      <w:szCs w:val="16"/>
    </w:rPr>
  </w:style>
  <w:style w:type="table" w:styleId="TableGrid">
    <w:name w:val="Table Grid"/>
    <w:basedOn w:val="TableNormal"/>
    <w:uiPriority w:val="39"/>
    <w:rsid w:val="0070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40FC"/>
    <w:pPr>
      <w:spacing w:after="200"/>
    </w:pPr>
    <w:rPr>
      <w:b/>
      <w:bCs/>
    </w:rPr>
  </w:style>
  <w:style w:type="character" w:customStyle="1" w:styleId="CommentSubjectChar">
    <w:name w:val="Comment Subject Char"/>
    <w:basedOn w:val="CommentTextChar"/>
    <w:link w:val="CommentSubject"/>
    <w:uiPriority w:val="99"/>
    <w:semiHidden/>
    <w:rsid w:val="00B540FC"/>
    <w:rPr>
      <w:b/>
      <w:bCs/>
      <w:sz w:val="20"/>
      <w:szCs w:val="20"/>
    </w:rPr>
  </w:style>
  <w:style w:type="paragraph" w:styleId="Header">
    <w:name w:val="header"/>
    <w:basedOn w:val="Normal"/>
    <w:link w:val="HeaderChar"/>
    <w:uiPriority w:val="99"/>
    <w:unhideWhenUsed/>
    <w:rsid w:val="00AC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31"/>
  </w:style>
  <w:style w:type="paragraph" w:styleId="Footer">
    <w:name w:val="footer"/>
    <w:basedOn w:val="Normal"/>
    <w:link w:val="FooterChar"/>
    <w:uiPriority w:val="99"/>
    <w:unhideWhenUsed/>
    <w:rsid w:val="00AC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31"/>
  </w:style>
  <w:style w:type="character" w:customStyle="1" w:styleId="Heading3Char">
    <w:name w:val="Heading 3 Char"/>
    <w:basedOn w:val="DefaultParagraphFont"/>
    <w:link w:val="Heading3"/>
    <w:rsid w:val="00230092"/>
    <w:rPr>
      <w:rFonts w:ascii="Arial" w:eastAsia="Times New Roman" w:hAnsi="Arial" w:cs="Arial"/>
      <w:b/>
      <w:i/>
      <w:sz w:val="28"/>
      <w:szCs w:val="20"/>
    </w:rPr>
  </w:style>
  <w:style w:type="paragraph" w:styleId="ListBullet">
    <w:name w:val="List Bullet"/>
    <w:basedOn w:val="Normal"/>
    <w:rsid w:val="00230092"/>
    <w:pPr>
      <w:numPr>
        <w:ilvl w:val="4"/>
        <w:numId w:val="17"/>
      </w:numPr>
      <w:spacing w:after="0" w:line="260" w:lineRule="atLeast"/>
      <w:contextualSpacing/>
      <w:outlineLvl w:val="4"/>
    </w:pPr>
    <w:rPr>
      <w:rFonts w:ascii="Arial" w:eastAsia="Times New Roman" w:hAnsi="Arial" w:cs="Arial"/>
      <w:szCs w:val="20"/>
    </w:rPr>
  </w:style>
  <w:style w:type="paragraph" w:styleId="ListBullet2">
    <w:name w:val="List Bullet 2"/>
    <w:basedOn w:val="Normal"/>
    <w:rsid w:val="00230092"/>
    <w:pPr>
      <w:numPr>
        <w:ilvl w:val="5"/>
        <w:numId w:val="17"/>
      </w:numPr>
      <w:spacing w:after="0" w:line="260" w:lineRule="atLeast"/>
      <w:contextualSpacing/>
      <w:outlineLvl w:val="5"/>
    </w:pPr>
    <w:rPr>
      <w:rFonts w:ascii="Arial" w:eastAsia="Times New Roman" w:hAnsi="Arial" w:cs="Arial"/>
      <w:szCs w:val="20"/>
    </w:rPr>
  </w:style>
  <w:style w:type="paragraph" w:styleId="ListBullet3">
    <w:name w:val="List Bullet 3"/>
    <w:basedOn w:val="Normal"/>
    <w:rsid w:val="00230092"/>
    <w:pPr>
      <w:numPr>
        <w:ilvl w:val="6"/>
        <w:numId w:val="17"/>
      </w:numPr>
      <w:spacing w:after="0" w:line="260" w:lineRule="atLeast"/>
      <w:contextualSpacing/>
      <w:outlineLvl w:val="6"/>
    </w:pPr>
    <w:rPr>
      <w:rFonts w:ascii="Arial" w:eastAsia="Times New Roman" w:hAnsi="Arial" w:cs="Arial"/>
      <w:szCs w:val="20"/>
    </w:rPr>
  </w:style>
  <w:style w:type="paragraph" w:styleId="ListBullet4">
    <w:name w:val="List Bullet 4"/>
    <w:basedOn w:val="Normal"/>
    <w:rsid w:val="00230092"/>
    <w:pPr>
      <w:numPr>
        <w:ilvl w:val="7"/>
        <w:numId w:val="17"/>
      </w:numPr>
      <w:spacing w:after="0" w:line="260" w:lineRule="atLeast"/>
      <w:contextualSpacing/>
      <w:outlineLvl w:val="7"/>
    </w:pPr>
    <w:rPr>
      <w:rFonts w:ascii="Arial" w:eastAsia="Times New Roman" w:hAnsi="Arial" w:cs="Arial"/>
      <w:szCs w:val="20"/>
    </w:rPr>
  </w:style>
  <w:style w:type="paragraph" w:customStyle="1" w:styleId="TableHeadingText">
    <w:name w:val="Table Heading Text"/>
    <w:basedOn w:val="Normal"/>
    <w:link w:val="TableHeadingTextChar"/>
    <w:rsid w:val="00230092"/>
    <w:pPr>
      <w:keepNext/>
      <w:spacing w:before="40" w:after="40" w:line="240" w:lineRule="auto"/>
    </w:pPr>
    <w:rPr>
      <w:rFonts w:ascii="Arial" w:eastAsia="Times New Roman" w:hAnsi="Arial" w:cs="Arial"/>
      <w:b/>
      <w:sz w:val="18"/>
      <w:szCs w:val="16"/>
    </w:rPr>
  </w:style>
  <w:style w:type="character" w:customStyle="1" w:styleId="TableHeadingTextChar">
    <w:name w:val="Table Heading Text Char"/>
    <w:basedOn w:val="DefaultParagraphFont"/>
    <w:link w:val="TableHeadingText"/>
    <w:rsid w:val="00230092"/>
    <w:rPr>
      <w:rFonts w:ascii="Arial" w:eastAsia="Times New Roman" w:hAnsi="Arial" w:cs="Arial"/>
      <w:b/>
      <w:sz w:val="18"/>
      <w:szCs w:val="16"/>
    </w:rPr>
  </w:style>
  <w:style w:type="paragraph" w:styleId="Revision">
    <w:name w:val="Revision"/>
    <w:hidden/>
    <w:uiPriority w:val="99"/>
    <w:semiHidden/>
    <w:rsid w:val="00230092"/>
    <w:pPr>
      <w:spacing w:after="0" w:line="240" w:lineRule="auto"/>
    </w:pPr>
  </w:style>
  <w:style w:type="paragraph" w:styleId="FootnoteText">
    <w:name w:val="footnote text"/>
    <w:basedOn w:val="Normal"/>
    <w:link w:val="FootnoteTextChar"/>
    <w:semiHidden/>
    <w:rsid w:val="00230092"/>
    <w:pPr>
      <w:spacing w:after="120" w:line="260" w:lineRule="atLeast"/>
    </w:pPr>
    <w:rPr>
      <w:rFonts w:ascii="Arial" w:eastAsia="Times New Roman" w:hAnsi="Arial" w:cs="Arial"/>
      <w:sz w:val="18"/>
      <w:szCs w:val="20"/>
    </w:rPr>
  </w:style>
  <w:style w:type="character" w:customStyle="1" w:styleId="FootnoteTextChar">
    <w:name w:val="Footnote Text Char"/>
    <w:basedOn w:val="DefaultParagraphFont"/>
    <w:link w:val="FootnoteText"/>
    <w:semiHidden/>
    <w:rsid w:val="00230092"/>
    <w:rPr>
      <w:rFonts w:ascii="Arial" w:eastAsia="Times New Roman" w:hAnsi="Arial" w:cs="Arial"/>
      <w:sz w:val="18"/>
      <w:szCs w:val="20"/>
    </w:rPr>
  </w:style>
  <w:style w:type="character" w:styleId="FootnoteReference">
    <w:name w:val="footnote reference"/>
    <w:basedOn w:val="DefaultParagraphFont"/>
    <w:semiHidden/>
    <w:rsid w:val="00230092"/>
    <w:rPr>
      <w:vertAlign w:val="superscript"/>
    </w:rPr>
  </w:style>
  <w:style w:type="paragraph" w:styleId="IntenseQuote">
    <w:name w:val="Intense Quote"/>
    <w:basedOn w:val="Normal"/>
    <w:next w:val="Normal"/>
    <w:link w:val="IntenseQuoteChar"/>
    <w:uiPriority w:val="30"/>
    <w:qFormat/>
    <w:rsid w:val="00230092"/>
    <w:pPr>
      <w:pBdr>
        <w:bottom w:val="single" w:sz="4" w:space="4" w:color="4F81BD" w:themeColor="accent1"/>
      </w:pBdr>
      <w:spacing w:before="200" w:after="280" w:line="259"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0092"/>
    <w:rPr>
      <w:b/>
      <w:bCs/>
      <w:i/>
      <w:iCs/>
      <w:color w:val="4F81BD" w:themeColor="accent1"/>
    </w:rPr>
  </w:style>
  <w:style w:type="paragraph" w:styleId="Quote">
    <w:name w:val="Quote"/>
    <w:basedOn w:val="Normal"/>
    <w:next w:val="Normal"/>
    <w:link w:val="QuoteChar"/>
    <w:uiPriority w:val="29"/>
    <w:qFormat/>
    <w:rsid w:val="00230092"/>
    <w:pPr>
      <w:spacing w:after="160" w:line="259" w:lineRule="auto"/>
    </w:pPr>
    <w:rPr>
      <w:i/>
      <w:iCs/>
      <w:color w:val="000000" w:themeColor="text1"/>
    </w:rPr>
  </w:style>
  <w:style w:type="character" w:customStyle="1" w:styleId="QuoteChar">
    <w:name w:val="Quote Char"/>
    <w:basedOn w:val="DefaultParagraphFont"/>
    <w:link w:val="Quote"/>
    <w:uiPriority w:val="29"/>
    <w:rsid w:val="00230092"/>
    <w:rPr>
      <w:i/>
      <w:iCs/>
      <w:color w:val="000000" w:themeColor="text1"/>
    </w:rPr>
  </w:style>
  <w:style w:type="character" w:styleId="SubtleReference">
    <w:name w:val="Subtle Reference"/>
    <w:basedOn w:val="DefaultParagraphFont"/>
    <w:uiPriority w:val="31"/>
    <w:qFormat/>
    <w:rsid w:val="00230092"/>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30092"/>
    <w:pPr>
      <w:keepNext/>
      <w:spacing w:after="0" w:line="320" w:lineRule="atLeast"/>
      <w:outlineLvl w:val="2"/>
    </w:pPr>
    <w:rPr>
      <w:rFonts w:ascii="Arial" w:eastAsia="Times New Roman" w:hAnsi="Arial" w:cs="Arial"/>
      <w:b/>
      <w:i/>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F49F5"/>
    <w:pPr>
      <w:spacing w:after="160" w:line="240" w:lineRule="auto"/>
    </w:pPr>
    <w:rPr>
      <w:sz w:val="20"/>
      <w:szCs w:val="20"/>
    </w:rPr>
  </w:style>
  <w:style w:type="character" w:customStyle="1" w:styleId="CommentTextChar">
    <w:name w:val="Comment Text Char"/>
    <w:basedOn w:val="DefaultParagraphFont"/>
    <w:link w:val="CommentText"/>
    <w:uiPriority w:val="99"/>
    <w:rsid w:val="003F49F5"/>
    <w:rPr>
      <w:sz w:val="20"/>
      <w:szCs w:val="20"/>
    </w:rPr>
  </w:style>
  <w:style w:type="paragraph" w:styleId="ListParagraph">
    <w:name w:val="List Paragraph"/>
    <w:basedOn w:val="Normal"/>
    <w:uiPriority w:val="34"/>
    <w:qFormat/>
    <w:rsid w:val="003F49F5"/>
    <w:pPr>
      <w:spacing w:after="160" w:line="256" w:lineRule="auto"/>
      <w:ind w:left="720"/>
      <w:contextualSpacing/>
    </w:pPr>
  </w:style>
  <w:style w:type="character" w:styleId="CommentReference">
    <w:name w:val="annotation reference"/>
    <w:basedOn w:val="DefaultParagraphFont"/>
    <w:uiPriority w:val="99"/>
    <w:semiHidden/>
    <w:unhideWhenUsed/>
    <w:rsid w:val="003F49F5"/>
    <w:rPr>
      <w:sz w:val="16"/>
      <w:szCs w:val="16"/>
    </w:rPr>
  </w:style>
  <w:style w:type="paragraph" w:styleId="BalloonText">
    <w:name w:val="Balloon Text"/>
    <w:basedOn w:val="Normal"/>
    <w:link w:val="BalloonTextChar"/>
    <w:uiPriority w:val="99"/>
    <w:semiHidden/>
    <w:unhideWhenUsed/>
    <w:rsid w:val="003F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9F5"/>
    <w:rPr>
      <w:rFonts w:ascii="Tahoma" w:hAnsi="Tahoma" w:cs="Tahoma"/>
      <w:sz w:val="16"/>
      <w:szCs w:val="16"/>
    </w:rPr>
  </w:style>
  <w:style w:type="table" w:styleId="TableGrid">
    <w:name w:val="Table Grid"/>
    <w:basedOn w:val="TableNormal"/>
    <w:uiPriority w:val="39"/>
    <w:rsid w:val="0070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40FC"/>
    <w:pPr>
      <w:spacing w:after="200"/>
    </w:pPr>
    <w:rPr>
      <w:b/>
      <w:bCs/>
    </w:rPr>
  </w:style>
  <w:style w:type="character" w:customStyle="1" w:styleId="CommentSubjectChar">
    <w:name w:val="Comment Subject Char"/>
    <w:basedOn w:val="CommentTextChar"/>
    <w:link w:val="CommentSubject"/>
    <w:uiPriority w:val="99"/>
    <w:semiHidden/>
    <w:rsid w:val="00B540FC"/>
    <w:rPr>
      <w:b/>
      <w:bCs/>
      <w:sz w:val="20"/>
      <w:szCs w:val="20"/>
    </w:rPr>
  </w:style>
  <w:style w:type="paragraph" w:styleId="Header">
    <w:name w:val="header"/>
    <w:basedOn w:val="Normal"/>
    <w:link w:val="HeaderChar"/>
    <w:uiPriority w:val="99"/>
    <w:unhideWhenUsed/>
    <w:rsid w:val="00AC1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31"/>
  </w:style>
  <w:style w:type="paragraph" w:styleId="Footer">
    <w:name w:val="footer"/>
    <w:basedOn w:val="Normal"/>
    <w:link w:val="FooterChar"/>
    <w:uiPriority w:val="99"/>
    <w:unhideWhenUsed/>
    <w:rsid w:val="00AC1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31"/>
  </w:style>
  <w:style w:type="character" w:customStyle="1" w:styleId="Heading3Char">
    <w:name w:val="Heading 3 Char"/>
    <w:basedOn w:val="DefaultParagraphFont"/>
    <w:link w:val="Heading3"/>
    <w:rsid w:val="00230092"/>
    <w:rPr>
      <w:rFonts w:ascii="Arial" w:eastAsia="Times New Roman" w:hAnsi="Arial" w:cs="Arial"/>
      <w:b/>
      <w:i/>
      <w:sz w:val="28"/>
      <w:szCs w:val="20"/>
    </w:rPr>
  </w:style>
  <w:style w:type="paragraph" w:styleId="ListBullet">
    <w:name w:val="List Bullet"/>
    <w:basedOn w:val="Normal"/>
    <w:rsid w:val="00230092"/>
    <w:pPr>
      <w:numPr>
        <w:ilvl w:val="4"/>
        <w:numId w:val="17"/>
      </w:numPr>
      <w:spacing w:after="0" w:line="260" w:lineRule="atLeast"/>
      <w:contextualSpacing/>
      <w:outlineLvl w:val="4"/>
    </w:pPr>
    <w:rPr>
      <w:rFonts w:ascii="Arial" w:eastAsia="Times New Roman" w:hAnsi="Arial" w:cs="Arial"/>
      <w:szCs w:val="20"/>
    </w:rPr>
  </w:style>
  <w:style w:type="paragraph" w:styleId="ListBullet2">
    <w:name w:val="List Bullet 2"/>
    <w:basedOn w:val="Normal"/>
    <w:rsid w:val="00230092"/>
    <w:pPr>
      <w:numPr>
        <w:ilvl w:val="5"/>
        <w:numId w:val="17"/>
      </w:numPr>
      <w:spacing w:after="0" w:line="260" w:lineRule="atLeast"/>
      <w:contextualSpacing/>
      <w:outlineLvl w:val="5"/>
    </w:pPr>
    <w:rPr>
      <w:rFonts w:ascii="Arial" w:eastAsia="Times New Roman" w:hAnsi="Arial" w:cs="Arial"/>
      <w:szCs w:val="20"/>
    </w:rPr>
  </w:style>
  <w:style w:type="paragraph" w:styleId="ListBullet3">
    <w:name w:val="List Bullet 3"/>
    <w:basedOn w:val="Normal"/>
    <w:rsid w:val="00230092"/>
    <w:pPr>
      <w:numPr>
        <w:ilvl w:val="6"/>
        <w:numId w:val="17"/>
      </w:numPr>
      <w:spacing w:after="0" w:line="260" w:lineRule="atLeast"/>
      <w:contextualSpacing/>
      <w:outlineLvl w:val="6"/>
    </w:pPr>
    <w:rPr>
      <w:rFonts w:ascii="Arial" w:eastAsia="Times New Roman" w:hAnsi="Arial" w:cs="Arial"/>
      <w:szCs w:val="20"/>
    </w:rPr>
  </w:style>
  <w:style w:type="paragraph" w:styleId="ListBullet4">
    <w:name w:val="List Bullet 4"/>
    <w:basedOn w:val="Normal"/>
    <w:rsid w:val="00230092"/>
    <w:pPr>
      <w:numPr>
        <w:ilvl w:val="7"/>
        <w:numId w:val="17"/>
      </w:numPr>
      <w:spacing w:after="0" w:line="260" w:lineRule="atLeast"/>
      <w:contextualSpacing/>
      <w:outlineLvl w:val="7"/>
    </w:pPr>
    <w:rPr>
      <w:rFonts w:ascii="Arial" w:eastAsia="Times New Roman" w:hAnsi="Arial" w:cs="Arial"/>
      <w:szCs w:val="20"/>
    </w:rPr>
  </w:style>
  <w:style w:type="paragraph" w:customStyle="1" w:styleId="TableHeadingText">
    <w:name w:val="Table Heading Text"/>
    <w:basedOn w:val="Normal"/>
    <w:link w:val="TableHeadingTextChar"/>
    <w:rsid w:val="00230092"/>
    <w:pPr>
      <w:keepNext/>
      <w:spacing w:before="40" w:after="40" w:line="240" w:lineRule="auto"/>
    </w:pPr>
    <w:rPr>
      <w:rFonts w:ascii="Arial" w:eastAsia="Times New Roman" w:hAnsi="Arial" w:cs="Arial"/>
      <w:b/>
      <w:sz w:val="18"/>
      <w:szCs w:val="16"/>
    </w:rPr>
  </w:style>
  <w:style w:type="character" w:customStyle="1" w:styleId="TableHeadingTextChar">
    <w:name w:val="Table Heading Text Char"/>
    <w:basedOn w:val="DefaultParagraphFont"/>
    <w:link w:val="TableHeadingText"/>
    <w:rsid w:val="00230092"/>
    <w:rPr>
      <w:rFonts w:ascii="Arial" w:eastAsia="Times New Roman" w:hAnsi="Arial" w:cs="Arial"/>
      <w:b/>
      <w:sz w:val="18"/>
      <w:szCs w:val="16"/>
    </w:rPr>
  </w:style>
  <w:style w:type="paragraph" w:styleId="Revision">
    <w:name w:val="Revision"/>
    <w:hidden/>
    <w:uiPriority w:val="99"/>
    <w:semiHidden/>
    <w:rsid w:val="00230092"/>
    <w:pPr>
      <w:spacing w:after="0" w:line="240" w:lineRule="auto"/>
    </w:pPr>
  </w:style>
  <w:style w:type="paragraph" w:styleId="FootnoteText">
    <w:name w:val="footnote text"/>
    <w:basedOn w:val="Normal"/>
    <w:link w:val="FootnoteTextChar"/>
    <w:semiHidden/>
    <w:rsid w:val="00230092"/>
    <w:pPr>
      <w:spacing w:after="120" w:line="260" w:lineRule="atLeast"/>
    </w:pPr>
    <w:rPr>
      <w:rFonts w:ascii="Arial" w:eastAsia="Times New Roman" w:hAnsi="Arial" w:cs="Arial"/>
      <w:sz w:val="18"/>
      <w:szCs w:val="20"/>
    </w:rPr>
  </w:style>
  <w:style w:type="character" w:customStyle="1" w:styleId="FootnoteTextChar">
    <w:name w:val="Footnote Text Char"/>
    <w:basedOn w:val="DefaultParagraphFont"/>
    <w:link w:val="FootnoteText"/>
    <w:semiHidden/>
    <w:rsid w:val="00230092"/>
    <w:rPr>
      <w:rFonts w:ascii="Arial" w:eastAsia="Times New Roman" w:hAnsi="Arial" w:cs="Arial"/>
      <w:sz w:val="18"/>
      <w:szCs w:val="20"/>
    </w:rPr>
  </w:style>
  <w:style w:type="character" w:styleId="FootnoteReference">
    <w:name w:val="footnote reference"/>
    <w:basedOn w:val="DefaultParagraphFont"/>
    <w:semiHidden/>
    <w:rsid w:val="00230092"/>
    <w:rPr>
      <w:vertAlign w:val="superscript"/>
    </w:rPr>
  </w:style>
  <w:style w:type="paragraph" w:styleId="IntenseQuote">
    <w:name w:val="Intense Quote"/>
    <w:basedOn w:val="Normal"/>
    <w:next w:val="Normal"/>
    <w:link w:val="IntenseQuoteChar"/>
    <w:uiPriority w:val="30"/>
    <w:qFormat/>
    <w:rsid w:val="00230092"/>
    <w:pPr>
      <w:pBdr>
        <w:bottom w:val="single" w:sz="4" w:space="4" w:color="4F81BD" w:themeColor="accent1"/>
      </w:pBdr>
      <w:spacing w:before="200" w:after="280" w:line="259"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0092"/>
    <w:rPr>
      <w:b/>
      <w:bCs/>
      <w:i/>
      <w:iCs/>
      <w:color w:val="4F81BD" w:themeColor="accent1"/>
    </w:rPr>
  </w:style>
  <w:style w:type="paragraph" w:styleId="Quote">
    <w:name w:val="Quote"/>
    <w:basedOn w:val="Normal"/>
    <w:next w:val="Normal"/>
    <w:link w:val="QuoteChar"/>
    <w:uiPriority w:val="29"/>
    <w:qFormat/>
    <w:rsid w:val="00230092"/>
    <w:pPr>
      <w:spacing w:after="160" w:line="259" w:lineRule="auto"/>
    </w:pPr>
    <w:rPr>
      <w:i/>
      <w:iCs/>
      <w:color w:val="000000" w:themeColor="text1"/>
    </w:rPr>
  </w:style>
  <w:style w:type="character" w:customStyle="1" w:styleId="QuoteChar">
    <w:name w:val="Quote Char"/>
    <w:basedOn w:val="DefaultParagraphFont"/>
    <w:link w:val="Quote"/>
    <w:uiPriority w:val="29"/>
    <w:rsid w:val="00230092"/>
    <w:rPr>
      <w:i/>
      <w:iCs/>
      <w:color w:val="000000" w:themeColor="text1"/>
    </w:rPr>
  </w:style>
  <w:style w:type="character" w:styleId="SubtleReference">
    <w:name w:val="Subtle Reference"/>
    <w:basedOn w:val="DefaultParagraphFont"/>
    <w:uiPriority w:val="31"/>
    <w:qFormat/>
    <w:rsid w:val="00230092"/>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702">
      <w:bodyDiv w:val="1"/>
      <w:marLeft w:val="0"/>
      <w:marRight w:val="0"/>
      <w:marTop w:val="0"/>
      <w:marBottom w:val="0"/>
      <w:divBdr>
        <w:top w:val="none" w:sz="0" w:space="0" w:color="auto"/>
        <w:left w:val="none" w:sz="0" w:space="0" w:color="auto"/>
        <w:bottom w:val="none" w:sz="0" w:space="0" w:color="auto"/>
        <w:right w:val="none" w:sz="0" w:space="0" w:color="auto"/>
      </w:divBdr>
    </w:div>
    <w:div w:id="179008888">
      <w:bodyDiv w:val="1"/>
      <w:marLeft w:val="0"/>
      <w:marRight w:val="0"/>
      <w:marTop w:val="0"/>
      <w:marBottom w:val="0"/>
      <w:divBdr>
        <w:top w:val="none" w:sz="0" w:space="0" w:color="auto"/>
        <w:left w:val="none" w:sz="0" w:space="0" w:color="auto"/>
        <w:bottom w:val="none" w:sz="0" w:space="0" w:color="auto"/>
        <w:right w:val="none" w:sz="0" w:space="0" w:color="auto"/>
      </w:divBdr>
    </w:div>
    <w:div w:id="202638315">
      <w:bodyDiv w:val="1"/>
      <w:marLeft w:val="0"/>
      <w:marRight w:val="0"/>
      <w:marTop w:val="0"/>
      <w:marBottom w:val="0"/>
      <w:divBdr>
        <w:top w:val="none" w:sz="0" w:space="0" w:color="auto"/>
        <w:left w:val="none" w:sz="0" w:space="0" w:color="auto"/>
        <w:bottom w:val="none" w:sz="0" w:space="0" w:color="auto"/>
        <w:right w:val="none" w:sz="0" w:space="0" w:color="auto"/>
      </w:divBdr>
    </w:div>
    <w:div w:id="280186162">
      <w:bodyDiv w:val="1"/>
      <w:marLeft w:val="0"/>
      <w:marRight w:val="0"/>
      <w:marTop w:val="0"/>
      <w:marBottom w:val="0"/>
      <w:divBdr>
        <w:top w:val="none" w:sz="0" w:space="0" w:color="auto"/>
        <w:left w:val="none" w:sz="0" w:space="0" w:color="auto"/>
        <w:bottom w:val="none" w:sz="0" w:space="0" w:color="auto"/>
        <w:right w:val="none" w:sz="0" w:space="0" w:color="auto"/>
      </w:divBdr>
      <w:divsChild>
        <w:div w:id="1673410249">
          <w:marLeft w:val="446"/>
          <w:marRight w:val="0"/>
          <w:marTop w:val="0"/>
          <w:marBottom w:val="0"/>
          <w:divBdr>
            <w:top w:val="none" w:sz="0" w:space="0" w:color="auto"/>
            <w:left w:val="none" w:sz="0" w:space="0" w:color="auto"/>
            <w:bottom w:val="none" w:sz="0" w:space="0" w:color="auto"/>
            <w:right w:val="none" w:sz="0" w:space="0" w:color="auto"/>
          </w:divBdr>
        </w:div>
        <w:div w:id="516624654">
          <w:marLeft w:val="446"/>
          <w:marRight w:val="0"/>
          <w:marTop w:val="0"/>
          <w:marBottom w:val="0"/>
          <w:divBdr>
            <w:top w:val="none" w:sz="0" w:space="0" w:color="auto"/>
            <w:left w:val="none" w:sz="0" w:space="0" w:color="auto"/>
            <w:bottom w:val="none" w:sz="0" w:space="0" w:color="auto"/>
            <w:right w:val="none" w:sz="0" w:space="0" w:color="auto"/>
          </w:divBdr>
        </w:div>
        <w:div w:id="1277255714">
          <w:marLeft w:val="446"/>
          <w:marRight w:val="0"/>
          <w:marTop w:val="0"/>
          <w:marBottom w:val="0"/>
          <w:divBdr>
            <w:top w:val="none" w:sz="0" w:space="0" w:color="auto"/>
            <w:left w:val="none" w:sz="0" w:space="0" w:color="auto"/>
            <w:bottom w:val="none" w:sz="0" w:space="0" w:color="auto"/>
            <w:right w:val="none" w:sz="0" w:space="0" w:color="auto"/>
          </w:divBdr>
        </w:div>
        <w:div w:id="1826700970">
          <w:marLeft w:val="446"/>
          <w:marRight w:val="0"/>
          <w:marTop w:val="0"/>
          <w:marBottom w:val="0"/>
          <w:divBdr>
            <w:top w:val="none" w:sz="0" w:space="0" w:color="auto"/>
            <w:left w:val="none" w:sz="0" w:space="0" w:color="auto"/>
            <w:bottom w:val="none" w:sz="0" w:space="0" w:color="auto"/>
            <w:right w:val="none" w:sz="0" w:space="0" w:color="auto"/>
          </w:divBdr>
        </w:div>
      </w:divsChild>
    </w:div>
    <w:div w:id="461920865">
      <w:bodyDiv w:val="1"/>
      <w:marLeft w:val="0"/>
      <w:marRight w:val="0"/>
      <w:marTop w:val="0"/>
      <w:marBottom w:val="0"/>
      <w:divBdr>
        <w:top w:val="none" w:sz="0" w:space="0" w:color="auto"/>
        <w:left w:val="none" w:sz="0" w:space="0" w:color="auto"/>
        <w:bottom w:val="none" w:sz="0" w:space="0" w:color="auto"/>
        <w:right w:val="none" w:sz="0" w:space="0" w:color="auto"/>
      </w:divBdr>
      <w:divsChild>
        <w:div w:id="259340154">
          <w:marLeft w:val="446"/>
          <w:marRight w:val="0"/>
          <w:marTop w:val="0"/>
          <w:marBottom w:val="0"/>
          <w:divBdr>
            <w:top w:val="none" w:sz="0" w:space="0" w:color="auto"/>
            <w:left w:val="none" w:sz="0" w:space="0" w:color="auto"/>
            <w:bottom w:val="none" w:sz="0" w:space="0" w:color="auto"/>
            <w:right w:val="none" w:sz="0" w:space="0" w:color="auto"/>
          </w:divBdr>
        </w:div>
        <w:div w:id="2014911420">
          <w:marLeft w:val="446"/>
          <w:marRight w:val="0"/>
          <w:marTop w:val="0"/>
          <w:marBottom w:val="0"/>
          <w:divBdr>
            <w:top w:val="none" w:sz="0" w:space="0" w:color="auto"/>
            <w:left w:val="none" w:sz="0" w:space="0" w:color="auto"/>
            <w:bottom w:val="none" w:sz="0" w:space="0" w:color="auto"/>
            <w:right w:val="none" w:sz="0" w:space="0" w:color="auto"/>
          </w:divBdr>
        </w:div>
        <w:div w:id="1626035096">
          <w:marLeft w:val="446"/>
          <w:marRight w:val="0"/>
          <w:marTop w:val="0"/>
          <w:marBottom w:val="0"/>
          <w:divBdr>
            <w:top w:val="none" w:sz="0" w:space="0" w:color="auto"/>
            <w:left w:val="none" w:sz="0" w:space="0" w:color="auto"/>
            <w:bottom w:val="none" w:sz="0" w:space="0" w:color="auto"/>
            <w:right w:val="none" w:sz="0" w:space="0" w:color="auto"/>
          </w:divBdr>
        </w:div>
      </w:divsChild>
    </w:div>
    <w:div w:id="515390816">
      <w:bodyDiv w:val="1"/>
      <w:marLeft w:val="0"/>
      <w:marRight w:val="0"/>
      <w:marTop w:val="0"/>
      <w:marBottom w:val="0"/>
      <w:divBdr>
        <w:top w:val="none" w:sz="0" w:space="0" w:color="auto"/>
        <w:left w:val="none" w:sz="0" w:space="0" w:color="auto"/>
        <w:bottom w:val="none" w:sz="0" w:space="0" w:color="auto"/>
        <w:right w:val="none" w:sz="0" w:space="0" w:color="auto"/>
      </w:divBdr>
      <w:divsChild>
        <w:div w:id="1208907656">
          <w:marLeft w:val="446"/>
          <w:marRight w:val="0"/>
          <w:marTop w:val="0"/>
          <w:marBottom w:val="0"/>
          <w:divBdr>
            <w:top w:val="none" w:sz="0" w:space="0" w:color="auto"/>
            <w:left w:val="none" w:sz="0" w:space="0" w:color="auto"/>
            <w:bottom w:val="none" w:sz="0" w:space="0" w:color="auto"/>
            <w:right w:val="none" w:sz="0" w:space="0" w:color="auto"/>
          </w:divBdr>
        </w:div>
        <w:div w:id="1681850420">
          <w:marLeft w:val="446"/>
          <w:marRight w:val="0"/>
          <w:marTop w:val="0"/>
          <w:marBottom w:val="0"/>
          <w:divBdr>
            <w:top w:val="none" w:sz="0" w:space="0" w:color="auto"/>
            <w:left w:val="none" w:sz="0" w:space="0" w:color="auto"/>
            <w:bottom w:val="none" w:sz="0" w:space="0" w:color="auto"/>
            <w:right w:val="none" w:sz="0" w:space="0" w:color="auto"/>
          </w:divBdr>
        </w:div>
        <w:div w:id="1511795955">
          <w:marLeft w:val="446"/>
          <w:marRight w:val="0"/>
          <w:marTop w:val="0"/>
          <w:marBottom w:val="0"/>
          <w:divBdr>
            <w:top w:val="none" w:sz="0" w:space="0" w:color="auto"/>
            <w:left w:val="none" w:sz="0" w:space="0" w:color="auto"/>
            <w:bottom w:val="none" w:sz="0" w:space="0" w:color="auto"/>
            <w:right w:val="none" w:sz="0" w:space="0" w:color="auto"/>
          </w:divBdr>
        </w:div>
        <w:div w:id="514198456">
          <w:marLeft w:val="446"/>
          <w:marRight w:val="0"/>
          <w:marTop w:val="0"/>
          <w:marBottom w:val="0"/>
          <w:divBdr>
            <w:top w:val="none" w:sz="0" w:space="0" w:color="auto"/>
            <w:left w:val="none" w:sz="0" w:space="0" w:color="auto"/>
            <w:bottom w:val="none" w:sz="0" w:space="0" w:color="auto"/>
            <w:right w:val="none" w:sz="0" w:space="0" w:color="auto"/>
          </w:divBdr>
        </w:div>
      </w:divsChild>
    </w:div>
    <w:div w:id="525018805">
      <w:bodyDiv w:val="1"/>
      <w:marLeft w:val="0"/>
      <w:marRight w:val="0"/>
      <w:marTop w:val="0"/>
      <w:marBottom w:val="0"/>
      <w:divBdr>
        <w:top w:val="none" w:sz="0" w:space="0" w:color="auto"/>
        <w:left w:val="none" w:sz="0" w:space="0" w:color="auto"/>
        <w:bottom w:val="none" w:sz="0" w:space="0" w:color="auto"/>
        <w:right w:val="none" w:sz="0" w:space="0" w:color="auto"/>
      </w:divBdr>
    </w:div>
    <w:div w:id="606699299">
      <w:bodyDiv w:val="1"/>
      <w:marLeft w:val="0"/>
      <w:marRight w:val="0"/>
      <w:marTop w:val="0"/>
      <w:marBottom w:val="0"/>
      <w:divBdr>
        <w:top w:val="none" w:sz="0" w:space="0" w:color="auto"/>
        <w:left w:val="none" w:sz="0" w:space="0" w:color="auto"/>
        <w:bottom w:val="none" w:sz="0" w:space="0" w:color="auto"/>
        <w:right w:val="none" w:sz="0" w:space="0" w:color="auto"/>
      </w:divBdr>
      <w:divsChild>
        <w:div w:id="1394232174">
          <w:marLeft w:val="446"/>
          <w:marRight w:val="0"/>
          <w:marTop w:val="0"/>
          <w:marBottom w:val="0"/>
          <w:divBdr>
            <w:top w:val="none" w:sz="0" w:space="0" w:color="auto"/>
            <w:left w:val="none" w:sz="0" w:space="0" w:color="auto"/>
            <w:bottom w:val="none" w:sz="0" w:space="0" w:color="auto"/>
            <w:right w:val="none" w:sz="0" w:space="0" w:color="auto"/>
          </w:divBdr>
        </w:div>
        <w:div w:id="1750611573">
          <w:marLeft w:val="749"/>
          <w:marRight w:val="0"/>
          <w:marTop w:val="0"/>
          <w:marBottom w:val="0"/>
          <w:divBdr>
            <w:top w:val="none" w:sz="0" w:space="0" w:color="auto"/>
            <w:left w:val="none" w:sz="0" w:space="0" w:color="auto"/>
            <w:bottom w:val="none" w:sz="0" w:space="0" w:color="auto"/>
            <w:right w:val="none" w:sz="0" w:space="0" w:color="auto"/>
          </w:divBdr>
        </w:div>
        <w:div w:id="603610182">
          <w:marLeft w:val="749"/>
          <w:marRight w:val="0"/>
          <w:marTop w:val="0"/>
          <w:marBottom w:val="0"/>
          <w:divBdr>
            <w:top w:val="none" w:sz="0" w:space="0" w:color="auto"/>
            <w:left w:val="none" w:sz="0" w:space="0" w:color="auto"/>
            <w:bottom w:val="none" w:sz="0" w:space="0" w:color="auto"/>
            <w:right w:val="none" w:sz="0" w:space="0" w:color="auto"/>
          </w:divBdr>
        </w:div>
        <w:div w:id="1661931634">
          <w:marLeft w:val="446"/>
          <w:marRight w:val="0"/>
          <w:marTop w:val="0"/>
          <w:marBottom w:val="0"/>
          <w:divBdr>
            <w:top w:val="none" w:sz="0" w:space="0" w:color="auto"/>
            <w:left w:val="none" w:sz="0" w:space="0" w:color="auto"/>
            <w:bottom w:val="none" w:sz="0" w:space="0" w:color="auto"/>
            <w:right w:val="none" w:sz="0" w:space="0" w:color="auto"/>
          </w:divBdr>
        </w:div>
        <w:div w:id="1523205596">
          <w:marLeft w:val="749"/>
          <w:marRight w:val="0"/>
          <w:marTop w:val="0"/>
          <w:marBottom w:val="0"/>
          <w:divBdr>
            <w:top w:val="none" w:sz="0" w:space="0" w:color="auto"/>
            <w:left w:val="none" w:sz="0" w:space="0" w:color="auto"/>
            <w:bottom w:val="none" w:sz="0" w:space="0" w:color="auto"/>
            <w:right w:val="none" w:sz="0" w:space="0" w:color="auto"/>
          </w:divBdr>
        </w:div>
      </w:divsChild>
    </w:div>
    <w:div w:id="647243367">
      <w:bodyDiv w:val="1"/>
      <w:marLeft w:val="0"/>
      <w:marRight w:val="0"/>
      <w:marTop w:val="0"/>
      <w:marBottom w:val="0"/>
      <w:divBdr>
        <w:top w:val="none" w:sz="0" w:space="0" w:color="auto"/>
        <w:left w:val="none" w:sz="0" w:space="0" w:color="auto"/>
        <w:bottom w:val="none" w:sz="0" w:space="0" w:color="auto"/>
        <w:right w:val="none" w:sz="0" w:space="0" w:color="auto"/>
      </w:divBdr>
    </w:div>
    <w:div w:id="688340216">
      <w:bodyDiv w:val="1"/>
      <w:marLeft w:val="0"/>
      <w:marRight w:val="0"/>
      <w:marTop w:val="0"/>
      <w:marBottom w:val="0"/>
      <w:divBdr>
        <w:top w:val="none" w:sz="0" w:space="0" w:color="auto"/>
        <w:left w:val="none" w:sz="0" w:space="0" w:color="auto"/>
        <w:bottom w:val="none" w:sz="0" w:space="0" w:color="auto"/>
        <w:right w:val="none" w:sz="0" w:space="0" w:color="auto"/>
      </w:divBdr>
      <w:divsChild>
        <w:div w:id="1372270793">
          <w:marLeft w:val="547"/>
          <w:marRight w:val="0"/>
          <w:marTop w:val="0"/>
          <w:marBottom w:val="0"/>
          <w:divBdr>
            <w:top w:val="none" w:sz="0" w:space="0" w:color="auto"/>
            <w:left w:val="none" w:sz="0" w:space="0" w:color="auto"/>
            <w:bottom w:val="none" w:sz="0" w:space="0" w:color="auto"/>
            <w:right w:val="none" w:sz="0" w:space="0" w:color="auto"/>
          </w:divBdr>
        </w:div>
        <w:div w:id="103119635">
          <w:marLeft w:val="1166"/>
          <w:marRight w:val="0"/>
          <w:marTop w:val="0"/>
          <w:marBottom w:val="0"/>
          <w:divBdr>
            <w:top w:val="none" w:sz="0" w:space="0" w:color="auto"/>
            <w:left w:val="none" w:sz="0" w:space="0" w:color="auto"/>
            <w:bottom w:val="none" w:sz="0" w:space="0" w:color="auto"/>
            <w:right w:val="none" w:sz="0" w:space="0" w:color="auto"/>
          </w:divBdr>
        </w:div>
        <w:div w:id="928349873">
          <w:marLeft w:val="1166"/>
          <w:marRight w:val="0"/>
          <w:marTop w:val="0"/>
          <w:marBottom w:val="0"/>
          <w:divBdr>
            <w:top w:val="none" w:sz="0" w:space="0" w:color="auto"/>
            <w:left w:val="none" w:sz="0" w:space="0" w:color="auto"/>
            <w:bottom w:val="none" w:sz="0" w:space="0" w:color="auto"/>
            <w:right w:val="none" w:sz="0" w:space="0" w:color="auto"/>
          </w:divBdr>
        </w:div>
        <w:div w:id="1875193685">
          <w:marLeft w:val="547"/>
          <w:marRight w:val="0"/>
          <w:marTop w:val="0"/>
          <w:marBottom w:val="0"/>
          <w:divBdr>
            <w:top w:val="none" w:sz="0" w:space="0" w:color="auto"/>
            <w:left w:val="none" w:sz="0" w:space="0" w:color="auto"/>
            <w:bottom w:val="none" w:sz="0" w:space="0" w:color="auto"/>
            <w:right w:val="none" w:sz="0" w:space="0" w:color="auto"/>
          </w:divBdr>
        </w:div>
        <w:div w:id="1905871947">
          <w:marLeft w:val="547"/>
          <w:marRight w:val="0"/>
          <w:marTop w:val="0"/>
          <w:marBottom w:val="0"/>
          <w:divBdr>
            <w:top w:val="none" w:sz="0" w:space="0" w:color="auto"/>
            <w:left w:val="none" w:sz="0" w:space="0" w:color="auto"/>
            <w:bottom w:val="none" w:sz="0" w:space="0" w:color="auto"/>
            <w:right w:val="none" w:sz="0" w:space="0" w:color="auto"/>
          </w:divBdr>
        </w:div>
        <w:div w:id="1295991370">
          <w:marLeft w:val="547"/>
          <w:marRight w:val="0"/>
          <w:marTop w:val="0"/>
          <w:marBottom w:val="0"/>
          <w:divBdr>
            <w:top w:val="none" w:sz="0" w:space="0" w:color="auto"/>
            <w:left w:val="none" w:sz="0" w:space="0" w:color="auto"/>
            <w:bottom w:val="none" w:sz="0" w:space="0" w:color="auto"/>
            <w:right w:val="none" w:sz="0" w:space="0" w:color="auto"/>
          </w:divBdr>
        </w:div>
      </w:divsChild>
    </w:div>
    <w:div w:id="721296936">
      <w:bodyDiv w:val="1"/>
      <w:marLeft w:val="0"/>
      <w:marRight w:val="0"/>
      <w:marTop w:val="0"/>
      <w:marBottom w:val="0"/>
      <w:divBdr>
        <w:top w:val="none" w:sz="0" w:space="0" w:color="auto"/>
        <w:left w:val="none" w:sz="0" w:space="0" w:color="auto"/>
        <w:bottom w:val="none" w:sz="0" w:space="0" w:color="auto"/>
        <w:right w:val="none" w:sz="0" w:space="0" w:color="auto"/>
      </w:divBdr>
      <w:divsChild>
        <w:div w:id="2115589192">
          <w:marLeft w:val="446"/>
          <w:marRight w:val="0"/>
          <w:marTop w:val="0"/>
          <w:marBottom w:val="0"/>
          <w:divBdr>
            <w:top w:val="none" w:sz="0" w:space="0" w:color="auto"/>
            <w:left w:val="none" w:sz="0" w:space="0" w:color="auto"/>
            <w:bottom w:val="none" w:sz="0" w:space="0" w:color="auto"/>
            <w:right w:val="none" w:sz="0" w:space="0" w:color="auto"/>
          </w:divBdr>
        </w:div>
        <w:div w:id="1548175627">
          <w:marLeft w:val="446"/>
          <w:marRight w:val="0"/>
          <w:marTop w:val="0"/>
          <w:marBottom w:val="0"/>
          <w:divBdr>
            <w:top w:val="none" w:sz="0" w:space="0" w:color="auto"/>
            <w:left w:val="none" w:sz="0" w:space="0" w:color="auto"/>
            <w:bottom w:val="none" w:sz="0" w:space="0" w:color="auto"/>
            <w:right w:val="none" w:sz="0" w:space="0" w:color="auto"/>
          </w:divBdr>
        </w:div>
        <w:div w:id="1073505498">
          <w:marLeft w:val="446"/>
          <w:marRight w:val="0"/>
          <w:marTop w:val="0"/>
          <w:marBottom w:val="0"/>
          <w:divBdr>
            <w:top w:val="none" w:sz="0" w:space="0" w:color="auto"/>
            <w:left w:val="none" w:sz="0" w:space="0" w:color="auto"/>
            <w:bottom w:val="none" w:sz="0" w:space="0" w:color="auto"/>
            <w:right w:val="none" w:sz="0" w:space="0" w:color="auto"/>
          </w:divBdr>
        </w:div>
        <w:div w:id="1870141536">
          <w:marLeft w:val="446"/>
          <w:marRight w:val="0"/>
          <w:marTop w:val="0"/>
          <w:marBottom w:val="0"/>
          <w:divBdr>
            <w:top w:val="none" w:sz="0" w:space="0" w:color="auto"/>
            <w:left w:val="none" w:sz="0" w:space="0" w:color="auto"/>
            <w:bottom w:val="none" w:sz="0" w:space="0" w:color="auto"/>
            <w:right w:val="none" w:sz="0" w:space="0" w:color="auto"/>
          </w:divBdr>
        </w:div>
      </w:divsChild>
    </w:div>
    <w:div w:id="1041126493">
      <w:bodyDiv w:val="1"/>
      <w:marLeft w:val="0"/>
      <w:marRight w:val="0"/>
      <w:marTop w:val="0"/>
      <w:marBottom w:val="0"/>
      <w:divBdr>
        <w:top w:val="none" w:sz="0" w:space="0" w:color="auto"/>
        <w:left w:val="none" w:sz="0" w:space="0" w:color="auto"/>
        <w:bottom w:val="none" w:sz="0" w:space="0" w:color="auto"/>
        <w:right w:val="none" w:sz="0" w:space="0" w:color="auto"/>
      </w:divBdr>
    </w:div>
    <w:div w:id="1056467869">
      <w:bodyDiv w:val="1"/>
      <w:marLeft w:val="0"/>
      <w:marRight w:val="0"/>
      <w:marTop w:val="0"/>
      <w:marBottom w:val="0"/>
      <w:divBdr>
        <w:top w:val="none" w:sz="0" w:space="0" w:color="auto"/>
        <w:left w:val="none" w:sz="0" w:space="0" w:color="auto"/>
        <w:bottom w:val="none" w:sz="0" w:space="0" w:color="auto"/>
        <w:right w:val="none" w:sz="0" w:space="0" w:color="auto"/>
      </w:divBdr>
    </w:div>
    <w:div w:id="1112170162">
      <w:bodyDiv w:val="1"/>
      <w:marLeft w:val="0"/>
      <w:marRight w:val="0"/>
      <w:marTop w:val="0"/>
      <w:marBottom w:val="0"/>
      <w:divBdr>
        <w:top w:val="none" w:sz="0" w:space="0" w:color="auto"/>
        <w:left w:val="none" w:sz="0" w:space="0" w:color="auto"/>
        <w:bottom w:val="none" w:sz="0" w:space="0" w:color="auto"/>
        <w:right w:val="none" w:sz="0" w:space="0" w:color="auto"/>
      </w:divBdr>
      <w:divsChild>
        <w:div w:id="1091588108">
          <w:marLeft w:val="446"/>
          <w:marRight w:val="0"/>
          <w:marTop w:val="0"/>
          <w:marBottom w:val="0"/>
          <w:divBdr>
            <w:top w:val="none" w:sz="0" w:space="0" w:color="auto"/>
            <w:left w:val="none" w:sz="0" w:space="0" w:color="auto"/>
            <w:bottom w:val="none" w:sz="0" w:space="0" w:color="auto"/>
            <w:right w:val="none" w:sz="0" w:space="0" w:color="auto"/>
          </w:divBdr>
        </w:div>
        <w:div w:id="1096748765">
          <w:marLeft w:val="446"/>
          <w:marRight w:val="0"/>
          <w:marTop w:val="0"/>
          <w:marBottom w:val="0"/>
          <w:divBdr>
            <w:top w:val="none" w:sz="0" w:space="0" w:color="auto"/>
            <w:left w:val="none" w:sz="0" w:space="0" w:color="auto"/>
            <w:bottom w:val="none" w:sz="0" w:space="0" w:color="auto"/>
            <w:right w:val="none" w:sz="0" w:space="0" w:color="auto"/>
          </w:divBdr>
        </w:div>
      </w:divsChild>
    </w:div>
    <w:div w:id="1134787510">
      <w:bodyDiv w:val="1"/>
      <w:marLeft w:val="0"/>
      <w:marRight w:val="0"/>
      <w:marTop w:val="0"/>
      <w:marBottom w:val="0"/>
      <w:divBdr>
        <w:top w:val="none" w:sz="0" w:space="0" w:color="auto"/>
        <w:left w:val="none" w:sz="0" w:space="0" w:color="auto"/>
        <w:bottom w:val="none" w:sz="0" w:space="0" w:color="auto"/>
        <w:right w:val="none" w:sz="0" w:space="0" w:color="auto"/>
      </w:divBdr>
      <w:divsChild>
        <w:div w:id="1910772405">
          <w:marLeft w:val="446"/>
          <w:marRight w:val="0"/>
          <w:marTop w:val="0"/>
          <w:marBottom w:val="0"/>
          <w:divBdr>
            <w:top w:val="none" w:sz="0" w:space="0" w:color="auto"/>
            <w:left w:val="none" w:sz="0" w:space="0" w:color="auto"/>
            <w:bottom w:val="none" w:sz="0" w:space="0" w:color="auto"/>
            <w:right w:val="none" w:sz="0" w:space="0" w:color="auto"/>
          </w:divBdr>
        </w:div>
        <w:div w:id="1743680475">
          <w:marLeft w:val="446"/>
          <w:marRight w:val="0"/>
          <w:marTop w:val="0"/>
          <w:marBottom w:val="0"/>
          <w:divBdr>
            <w:top w:val="none" w:sz="0" w:space="0" w:color="auto"/>
            <w:left w:val="none" w:sz="0" w:space="0" w:color="auto"/>
            <w:bottom w:val="none" w:sz="0" w:space="0" w:color="auto"/>
            <w:right w:val="none" w:sz="0" w:space="0" w:color="auto"/>
          </w:divBdr>
        </w:div>
        <w:div w:id="1466312548">
          <w:marLeft w:val="446"/>
          <w:marRight w:val="0"/>
          <w:marTop w:val="0"/>
          <w:marBottom w:val="0"/>
          <w:divBdr>
            <w:top w:val="none" w:sz="0" w:space="0" w:color="auto"/>
            <w:left w:val="none" w:sz="0" w:space="0" w:color="auto"/>
            <w:bottom w:val="none" w:sz="0" w:space="0" w:color="auto"/>
            <w:right w:val="none" w:sz="0" w:space="0" w:color="auto"/>
          </w:divBdr>
        </w:div>
      </w:divsChild>
    </w:div>
    <w:div w:id="1172837546">
      <w:bodyDiv w:val="1"/>
      <w:marLeft w:val="0"/>
      <w:marRight w:val="0"/>
      <w:marTop w:val="0"/>
      <w:marBottom w:val="0"/>
      <w:divBdr>
        <w:top w:val="none" w:sz="0" w:space="0" w:color="auto"/>
        <w:left w:val="none" w:sz="0" w:space="0" w:color="auto"/>
        <w:bottom w:val="none" w:sz="0" w:space="0" w:color="auto"/>
        <w:right w:val="none" w:sz="0" w:space="0" w:color="auto"/>
      </w:divBdr>
    </w:div>
    <w:div w:id="1200783281">
      <w:bodyDiv w:val="1"/>
      <w:marLeft w:val="0"/>
      <w:marRight w:val="0"/>
      <w:marTop w:val="0"/>
      <w:marBottom w:val="0"/>
      <w:divBdr>
        <w:top w:val="none" w:sz="0" w:space="0" w:color="auto"/>
        <w:left w:val="none" w:sz="0" w:space="0" w:color="auto"/>
        <w:bottom w:val="none" w:sz="0" w:space="0" w:color="auto"/>
        <w:right w:val="none" w:sz="0" w:space="0" w:color="auto"/>
      </w:divBdr>
      <w:divsChild>
        <w:div w:id="1732577088">
          <w:marLeft w:val="446"/>
          <w:marRight w:val="0"/>
          <w:marTop w:val="0"/>
          <w:marBottom w:val="0"/>
          <w:divBdr>
            <w:top w:val="none" w:sz="0" w:space="0" w:color="auto"/>
            <w:left w:val="none" w:sz="0" w:space="0" w:color="auto"/>
            <w:bottom w:val="none" w:sz="0" w:space="0" w:color="auto"/>
            <w:right w:val="none" w:sz="0" w:space="0" w:color="auto"/>
          </w:divBdr>
        </w:div>
        <w:div w:id="1150097845">
          <w:marLeft w:val="446"/>
          <w:marRight w:val="0"/>
          <w:marTop w:val="0"/>
          <w:marBottom w:val="0"/>
          <w:divBdr>
            <w:top w:val="none" w:sz="0" w:space="0" w:color="auto"/>
            <w:left w:val="none" w:sz="0" w:space="0" w:color="auto"/>
            <w:bottom w:val="none" w:sz="0" w:space="0" w:color="auto"/>
            <w:right w:val="none" w:sz="0" w:space="0" w:color="auto"/>
          </w:divBdr>
        </w:div>
        <w:div w:id="225335824">
          <w:marLeft w:val="446"/>
          <w:marRight w:val="0"/>
          <w:marTop w:val="0"/>
          <w:marBottom w:val="0"/>
          <w:divBdr>
            <w:top w:val="none" w:sz="0" w:space="0" w:color="auto"/>
            <w:left w:val="none" w:sz="0" w:space="0" w:color="auto"/>
            <w:bottom w:val="none" w:sz="0" w:space="0" w:color="auto"/>
            <w:right w:val="none" w:sz="0" w:space="0" w:color="auto"/>
          </w:divBdr>
        </w:div>
        <w:div w:id="1928155547">
          <w:marLeft w:val="1166"/>
          <w:marRight w:val="0"/>
          <w:marTop w:val="0"/>
          <w:marBottom w:val="0"/>
          <w:divBdr>
            <w:top w:val="none" w:sz="0" w:space="0" w:color="auto"/>
            <w:left w:val="none" w:sz="0" w:space="0" w:color="auto"/>
            <w:bottom w:val="none" w:sz="0" w:space="0" w:color="auto"/>
            <w:right w:val="none" w:sz="0" w:space="0" w:color="auto"/>
          </w:divBdr>
        </w:div>
        <w:div w:id="1855223409">
          <w:marLeft w:val="1166"/>
          <w:marRight w:val="0"/>
          <w:marTop w:val="0"/>
          <w:marBottom w:val="0"/>
          <w:divBdr>
            <w:top w:val="none" w:sz="0" w:space="0" w:color="auto"/>
            <w:left w:val="none" w:sz="0" w:space="0" w:color="auto"/>
            <w:bottom w:val="none" w:sz="0" w:space="0" w:color="auto"/>
            <w:right w:val="none" w:sz="0" w:space="0" w:color="auto"/>
          </w:divBdr>
        </w:div>
        <w:div w:id="473763904">
          <w:marLeft w:val="1166"/>
          <w:marRight w:val="0"/>
          <w:marTop w:val="0"/>
          <w:marBottom w:val="0"/>
          <w:divBdr>
            <w:top w:val="none" w:sz="0" w:space="0" w:color="auto"/>
            <w:left w:val="none" w:sz="0" w:space="0" w:color="auto"/>
            <w:bottom w:val="none" w:sz="0" w:space="0" w:color="auto"/>
            <w:right w:val="none" w:sz="0" w:space="0" w:color="auto"/>
          </w:divBdr>
        </w:div>
        <w:div w:id="62417602">
          <w:marLeft w:val="1166"/>
          <w:marRight w:val="0"/>
          <w:marTop w:val="0"/>
          <w:marBottom w:val="0"/>
          <w:divBdr>
            <w:top w:val="none" w:sz="0" w:space="0" w:color="auto"/>
            <w:left w:val="none" w:sz="0" w:space="0" w:color="auto"/>
            <w:bottom w:val="none" w:sz="0" w:space="0" w:color="auto"/>
            <w:right w:val="none" w:sz="0" w:space="0" w:color="auto"/>
          </w:divBdr>
        </w:div>
        <w:div w:id="369495857">
          <w:marLeft w:val="1166"/>
          <w:marRight w:val="0"/>
          <w:marTop w:val="0"/>
          <w:marBottom w:val="0"/>
          <w:divBdr>
            <w:top w:val="none" w:sz="0" w:space="0" w:color="auto"/>
            <w:left w:val="none" w:sz="0" w:space="0" w:color="auto"/>
            <w:bottom w:val="none" w:sz="0" w:space="0" w:color="auto"/>
            <w:right w:val="none" w:sz="0" w:space="0" w:color="auto"/>
          </w:divBdr>
        </w:div>
        <w:div w:id="1288006598">
          <w:marLeft w:val="1166"/>
          <w:marRight w:val="0"/>
          <w:marTop w:val="0"/>
          <w:marBottom w:val="0"/>
          <w:divBdr>
            <w:top w:val="none" w:sz="0" w:space="0" w:color="auto"/>
            <w:left w:val="none" w:sz="0" w:space="0" w:color="auto"/>
            <w:bottom w:val="none" w:sz="0" w:space="0" w:color="auto"/>
            <w:right w:val="none" w:sz="0" w:space="0" w:color="auto"/>
          </w:divBdr>
        </w:div>
        <w:div w:id="1125269817">
          <w:marLeft w:val="446"/>
          <w:marRight w:val="0"/>
          <w:marTop w:val="0"/>
          <w:marBottom w:val="0"/>
          <w:divBdr>
            <w:top w:val="none" w:sz="0" w:space="0" w:color="auto"/>
            <w:left w:val="none" w:sz="0" w:space="0" w:color="auto"/>
            <w:bottom w:val="none" w:sz="0" w:space="0" w:color="auto"/>
            <w:right w:val="none" w:sz="0" w:space="0" w:color="auto"/>
          </w:divBdr>
        </w:div>
      </w:divsChild>
    </w:div>
    <w:div w:id="1212890164">
      <w:bodyDiv w:val="1"/>
      <w:marLeft w:val="0"/>
      <w:marRight w:val="0"/>
      <w:marTop w:val="0"/>
      <w:marBottom w:val="0"/>
      <w:divBdr>
        <w:top w:val="none" w:sz="0" w:space="0" w:color="auto"/>
        <w:left w:val="none" w:sz="0" w:space="0" w:color="auto"/>
        <w:bottom w:val="none" w:sz="0" w:space="0" w:color="auto"/>
        <w:right w:val="none" w:sz="0" w:space="0" w:color="auto"/>
      </w:divBdr>
      <w:divsChild>
        <w:div w:id="1091901270">
          <w:marLeft w:val="446"/>
          <w:marRight w:val="0"/>
          <w:marTop w:val="0"/>
          <w:marBottom w:val="0"/>
          <w:divBdr>
            <w:top w:val="none" w:sz="0" w:space="0" w:color="auto"/>
            <w:left w:val="none" w:sz="0" w:space="0" w:color="auto"/>
            <w:bottom w:val="none" w:sz="0" w:space="0" w:color="auto"/>
            <w:right w:val="none" w:sz="0" w:space="0" w:color="auto"/>
          </w:divBdr>
        </w:div>
      </w:divsChild>
    </w:div>
    <w:div w:id="1228882813">
      <w:bodyDiv w:val="1"/>
      <w:marLeft w:val="0"/>
      <w:marRight w:val="0"/>
      <w:marTop w:val="0"/>
      <w:marBottom w:val="0"/>
      <w:divBdr>
        <w:top w:val="none" w:sz="0" w:space="0" w:color="auto"/>
        <w:left w:val="none" w:sz="0" w:space="0" w:color="auto"/>
        <w:bottom w:val="none" w:sz="0" w:space="0" w:color="auto"/>
        <w:right w:val="none" w:sz="0" w:space="0" w:color="auto"/>
      </w:divBdr>
      <w:divsChild>
        <w:div w:id="1926647037">
          <w:marLeft w:val="446"/>
          <w:marRight w:val="0"/>
          <w:marTop w:val="0"/>
          <w:marBottom w:val="0"/>
          <w:divBdr>
            <w:top w:val="none" w:sz="0" w:space="0" w:color="auto"/>
            <w:left w:val="none" w:sz="0" w:space="0" w:color="auto"/>
            <w:bottom w:val="none" w:sz="0" w:space="0" w:color="auto"/>
            <w:right w:val="none" w:sz="0" w:space="0" w:color="auto"/>
          </w:divBdr>
        </w:div>
        <w:div w:id="1741638600">
          <w:marLeft w:val="446"/>
          <w:marRight w:val="0"/>
          <w:marTop w:val="0"/>
          <w:marBottom w:val="0"/>
          <w:divBdr>
            <w:top w:val="none" w:sz="0" w:space="0" w:color="auto"/>
            <w:left w:val="none" w:sz="0" w:space="0" w:color="auto"/>
            <w:bottom w:val="none" w:sz="0" w:space="0" w:color="auto"/>
            <w:right w:val="none" w:sz="0" w:space="0" w:color="auto"/>
          </w:divBdr>
        </w:div>
        <w:div w:id="194658745">
          <w:marLeft w:val="446"/>
          <w:marRight w:val="0"/>
          <w:marTop w:val="0"/>
          <w:marBottom w:val="0"/>
          <w:divBdr>
            <w:top w:val="none" w:sz="0" w:space="0" w:color="auto"/>
            <w:left w:val="none" w:sz="0" w:space="0" w:color="auto"/>
            <w:bottom w:val="none" w:sz="0" w:space="0" w:color="auto"/>
            <w:right w:val="none" w:sz="0" w:space="0" w:color="auto"/>
          </w:divBdr>
        </w:div>
        <w:div w:id="732434325">
          <w:marLeft w:val="446"/>
          <w:marRight w:val="0"/>
          <w:marTop w:val="0"/>
          <w:marBottom w:val="0"/>
          <w:divBdr>
            <w:top w:val="none" w:sz="0" w:space="0" w:color="auto"/>
            <w:left w:val="none" w:sz="0" w:space="0" w:color="auto"/>
            <w:bottom w:val="none" w:sz="0" w:space="0" w:color="auto"/>
            <w:right w:val="none" w:sz="0" w:space="0" w:color="auto"/>
          </w:divBdr>
        </w:div>
        <w:div w:id="1261063458">
          <w:marLeft w:val="446"/>
          <w:marRight w:val="0"/>
          <w:marTop w:val="0"/>
          <w:marBottom w:val="0"/>
          <w:divBdr>
            <w:top w:val="none" w:sz="0" w:space="0" w:color="auto"/>
            <w:left w:val="none" w:sz="0" w:space="0" w:color="auto"/>
            <w:bottom w:val="none" w:sz="0" w:space="0" w:color="auto"/>
            <w:right w:val="none" w:sz="0" w:space="0" w:color="auto"/>
          </w:divBdr>
        </w:div>
        <w:div w:id="1969777591">
          <w:marLeft w:val="446"/>
          <w:marRight w:val="0"/>
          <w:marTop w:val="0"/>
          <w:marBottom w:val="0"/>
          <w:divBdr>
            <w:top w:val="none" w:sz="0" w:space="0" w:color="auto"/>
            <w:left w:val="none" w:sz="0" w:space="0" w:color="auto"/>
            <w:bottom w:val="none" w:sz="0" w:space="0" w:color="auto"/>
            <w:right w:val="none" w:sz="0" w:space="0" w:color="auto"/>
          </w:divBdr>
        </w:div>
        <w:div w:id="1260412351">
          <w:marLeft w:val="446"/>
          <w:marRight w:val="0"/>
          <w:marTop w:val="0"/>
          <w:marBottom w:val="0"/>
          <w:divBdr>
            <w:top w:val="none" w:sz="0" w:space="0" w:color="auto"/>
            <w:left w:val="none" w:sz="0" w:space="0" w:color="auto"/>
            <w:bottom w:val="none" w:sz="0" w:space="0" w:color="auto"/>
            <w:right w:val="none" w:sz="0" w:space="0" w:color="auto"/>
          </w:divBdr>
        </w:div>
        <w:div w:id="897134264">
          <w:marLeft w:val="1166"/>
          <w:marRight w:val="0"/>
          <w:marTop w:val="0"/>
          <w:marBottom w:val="0"/>
          <w:divBdr>
            <w:top w:val="none" w:sz="0" w:space="0" w:color="auto"/>
            <w:left w:val="none" w:sz="0" w:space="0" w:color="auto"/>
            <w:bottom w:val="none" w:sz="0" w:space="0" w:color="auto"/>
            <w:right w:val="none" w:sz="0" w:space="0" w:color="auto"/>
          </w:divBdr>
        </w:div>
        <w:div w:id="845441777">
          <w:marLeft w:val="1166"/>
          <w:marRight w:val="0"/>
          <w:marTop w:val="0"/>
          <w:marBottom w:val="0"/>
          <w:divBdr>
            <w:top w:val="none" w:sz="0" w:space="0" w:color="auto"/>
            <w:left w:val="none" w:sz="0" w:space="0" w:color="auto"/>
            <w:bottom w:val="none" w:sz="0" w:space="0" w:color="auto"/>
            <w:right w:val="none" w:sz="0" w:space="0" w:color="auto"/>
          </w:divBdr>
        </w:div>
        <w:div w:id="899287239">
          <w:marLeft w:val="446"/>
          <w:marRight w:val="0"/>
          <w:marTop w:val="0"/>
          <w:marBottom w:val="0"/>
          <w:divBdr>
            <w:top w:val="none" w:sz="0" w:space="0" w:color="auto"/>
            <w:left w:val="none" w:sz="0" w:space="0" w:color="auto"/>
            <w:bottom w:val="none" w:sz="0" w:space="0" w:color="auto"/>
            <w:right w:val="none" w:sz="0" w:space="0" w:color="auto"/>
          </w:divBdr>
        </w:div>
      </w:divsChild>
    </w:div>
    <w:div w:id="1495994814">
      <w:bodyDiv w:val="1"/>
      <w:marLeft w:val="0"/>
      <w:marRight w:val="0"/>
      <w:marTop w:val="0"/>
      <w:marBottom w:val="0"/>
      <w:divBdr>
        <w:top w:val="none" w:sz="0" w:space="0" w:color="auto"/>
        <w:left w:val="none" w:sz="0" w:space="0" w:color="auto"/>
        <w:bottom w:val="none" w:sz="0" w:space="0" w:color="auto"/>
        <w:right w:val="none" w:sz="0" w:space="0" w:color="auto"/>
      </w:divBdr>
      <w:divsChild>
        <w:div w:id="892039546">
          <w:marLeft w:val="446"/>
          <w:marRight w:val="0"/>
          <w:marTop w:val="0"/>
          <w:marBottom w:val="0"/>
          <w:divBdr>
            <w:top w:val="none" w:sz="0" w:space="0" w:color="auto"/>
            <w:left w:val="none" w:sz="0" w:space="0" w:color="auto"/>
            <w:bottom w:val="none" w:sz="0" w:space="0" w:color="auto"/>
            <w:right w:val="none" w:sz="0" w:space="0" w:color="auto"/>
          </w:divBdr>
        </w:div>
        <w:div w:id="355161726">
          <w:marLeft w:val="446"/>
          <w:marRight w:val="0"/>
          <w:marTop w:val="0"/>
          <w:marBottom w:val="0"/>
          <w:divBdr>
            <w:top w:val="none" w:sz="0" w:space="0" w:color="auto"/>
            <w:left w:val="none" w:sz="0" w:space="0" w:color="auto"/>
            <w:bottom w:val="none" w:sz="0" w:space="0" w:color="auto"/>
            <w:right w:val="none" w:sz="0" w:space="0" w:color="auto"/>
          </w:divBdr>
        </w:div>
        <w:div w:id="1877044273">
          <w:marLeft w:val="446"/>
          <w:marRight w:val="0"/>
          <w:marTop w:val="0"/>
          <w:marBottom w:val="0"/>
          <w:divBdr>
            <w:top w:val="none" w:sz="0" w:space="0" w:color="auto"/>
            <w:left w:val="none" w:sz="0" w:space="0" w:color="auto"/>
            <w:bottom w:val="none" w:sz="0" w:space="0" w:color="auto"/>
            <w:right w:val="none" w:sz="0" w:space="0" w:color="auto"/>
          </w:divBdr>
        </w:div>
        <w:div w:id="575745879">
          <w:marLeft w:val="446"/>
          <w:marRight w:val="0"/>
          <w:marTop w:val="0"/>
          <w:marBottom w:val="0"/>
          <w:divBdr>
            <w:top w:val="none" w:sz="0" w:space="0" w:color="auto"/>
            <w:left w:val="none" w:sz="0" w:space="0" w:color="auto"/>
            <w:bottom w:val="none" w:sz="0" w:space="0" w:color="auto"/>
            <w:right w:val="none" w:sz="0" w:space="0" w:color="auto"/>
          </w:divBdr>
        </w:div>
        <w:div w:id="700012149">
          <w:marLeft w:val="446"/>
          <w:marRight w:val="0"/>
          <w:marTop w:val="0"/>
          <w:marBottom w:val="0"/>
          <w:divBdr>
            <w:top w:val="none" w:sz="0" w:space="0" w:color="auto"/>
            <w:left w:val="none" w:sz="0" w:space="0" w:color="auto"/>
            <w:bottom w:val="none" w:sz="0" w:space="0" w:color="auto"/>
            <w:right w:val="none" w:sz="0" w:space="0" w:color="auto"/>
          </w:divBdr>
        </w:div>
        <w:div w:id="887687028">
          <w:marLeft w:val="1166"/>
          <w:marRight w:val="0"/>
          <w:marTop w:val="0"/>
          <w:marBottom w:val="0"/>
          <w:divBdr>
            <w:top w:val="none" w:sz="0" w:space="0" w:color="auto"/>
            <w:left w:val="none" w:sz="0" w:space="0" w:color="auto"/>
            <w:bottom w:val="none" w:sz="0" w:space="0" w:color="auto"/>
            <w:right w:val="none" w:sz="0" w:space="0" w:color="auto"/>
          </w:divBdr>
        </w:div>
        <w:div w:id="1758399860">
          <w:marLeft w:val="1166"/>
          <w:marRight w:val="0"/>
          <w:marTop w:val="0"/>
          <w:marBottom w:val="0"/>
          <w:divBdr>
            <w:top w:val="none" w:sz="0" w:space="0" w:color="auto"/>
            <w:left w:val="none" w:sz="0" w:space="0" w:color="auto"/>
            <w:bottom w:val="none" w:sz="0" w:space="0" w:color="auto"/>
            <w:right w:val="none" w:sz="0" w:space="0" w:color="auto"/>
          </w:divBdr>
        </w:div>
        <w:div w:id="577980940">
          <w:marLeft w:val="1166"/>
          <w:marRight w:val="0"/>
          <w:marTop w:val="0"/>
          <w:marBottom w:val="0"/>
          <w:divBdr>
            <w:top w:val="none" w:sz="0" w:space="0" w:color="auto"/>
            <w:left w:val="none" w:sz="0" w:space="0" w:color="auto"/>
            <w:bottom w:val="none" w:sz="0" w:space="0" w:color="auto"/>
            <w:right w:val="none" w:sz="0" w:space="0" w:color="auto"/>
          </w:divBdr>
        </w:div>
      </w:divsChild>
    </w:div>
    <w:div w:id="1710453387">
      <w:bodyDiv w:val="1"/>
      <w:marLeft w:val="0"/>
      <w:marRight w:val="0"/>
      <w:marTop w:val="0"/>
      <w:marBottom w:val="0"/>
      <w:divBdr>
        <w:top w:val="none" w:sz="0" w:space="0" w:color="auto"/>
        <w:left w:val="none" w:sz="0" w:space="0" w:color="auto"/>
        <w:bottom w:val="none" w:sz="0" w:space="0" w:color="auto"/>
        <w:right w:val="none" w:sz="0" w:space="0" w:color="auto"/>
      </w:divBdr>
      <w:divsChild>
        <w:div w:id="1065642068">
          <w:marLeft w:val="720"/>
          <w:marRight w:val="0"/>
          <w:marTop w:val="0"/>
          <w:marBottom w:val="0"/>
          <w:divBdr>
            <w:top w:val="none" w:sz="0" w:space="0" w:color="auto"/>
            <w:left w:val="none" w:sz="0" w:space="0" w:color="auto"/>
            <w:bottom w:val="none" w:sz="0" w:space="0" w:color="auto"/>
            <w:right w:val="none" w:sz="0" w:space="0" w:color="auto"/>
          </w:divBdr>
        </w:div>
        <w:div w:id="421881495">
          <w:marLeft w:val="720"/>
          <w:marRight w:val="0"/>
          <w:marTop w:val="0"/>
          <w:marBottom w:val="0"/>
          <w:divBdr>
            <w:top w:val="none" w:sz="0" w:space="0" w:color="auto"/>
            <w:left w:val="none" w:sz="0" w:space="0" w:color="auto"/>
            <w:bottom w:val="none" w:sz="0" w:space="0" w:color="auto"/>
            <w:right w:val="none" w:sz="0" w:space="0" w:color="auto"/>
          </w:divBdr>
        </w:div>
      </w:divsChild>
    </w:div>
    <w:div w:id="1714231823">
      <w:bodyDiv w:val="1"/>
      <w:marLeft w:val="0"/>
      <w:marRight w:val="0"/>
      <w:marTop w:val="0"/>
      <w:marBottom w:val="0"/>
      <w:divBdr>
        <w:top w:val="none" w:sz="0" w:space="0" w:color="auto"/>
        <w:left w:val="none" w:sz="0" w:space="0" w:color="auto"/>
        <w:bottom w:val="none" w:sz="0" w:space="0" w:color="auto"/>
        <w:right w:val="none" w:sz="0" w:space="0" w:color="auto"/>
      </w:divBdr>
    </w:div>
    <w:div w:id="1922251834">
      <w:bodyDiv w:val="1"/>
      <w:marLeft w:val="0"/>
      <w:marRight w:val="0"/>
      <w:marTop w:val="0"/>
      <w:marBottom w:val="0"/>
      <w:divBdr>
        <w:top w:val="none" w:sz="0" w:space="0" w:color="auto"/>
        <w:left w:val="none" w:sz="0" w:space="0" w:color="auto"/>
        <w:bottom w:val="none" w:sz="0" w:space="0" w:color="auto"/>
        <w:right w:val="none" w:sz="0" w:space="0" w:color="auto"/>
      </w:divBdr>
    </w:div>
    <w:div w:id="1923102870">
      <w:bodyDiv w:val="1"/>
      <w:marLeft w:val="0"/>
      <w:marRight w:val="0"/>
      <w:marTop w:val="0"/>
      <w:marBottom w:val="0"/>
      <w:divBdr>
        <w:top w:val="none" w:sz="0" w:space="0" w:color="auto"/>
        <w:left w:val="none" w:sz="0" w:space="0" w:color="auto"/>
        <w:bottom w:val="none" w:sz="0" w:space="0" w:color="auto"/>
        <w:right w:val="none" w:sz="0" w:space="0" w:color="auto"/>
      </w:divBdr>
      <w:divsChild>
        <w:div w:id="1721514689">
          <w:marLeft w:val="446"/>
          <w:marRight w:val="0"/>
          <w:marTop w:val="0"/>
          <w:marBottom w:val="0"/>
          <w:divBdr>
            <w:top w:val="none" w:sz="0" w:space="0" w:color="auto"/>
            <w:left w:val="none" w:sz="0" w:space="0" w:color="auto"/>
            <w:bottom w:val="none" w:sz="0" w:space="0" w:color="auto"/>
            <w:right w:val="none" w:sz="0" w:space="0" w:color="auto"/>
          </w:divBdr>
        </w:div>
        <w:div w:id="1913421294">
          <w:marLeft w:val="446"/>
          <w:marRight w:val="0"/>
          <w:marTop w:val="0"/>
          <w:marBottom w:val="0"/>
          <w:divBdr>
            <w:top w:val="none" w:sz="0" w:space="0" w:color="auto"/>
            <w:left w:val="none" w:sz="0" w:space="0" w:color="auto"/>
            <w:bottom w:val="none" w:sz="0" w:space="0" w:color="auto"/>
            <w:right w:val="none" w:sz="0" w:space="0" w:color="auto"/>
          </w:divBdr>
        </w:div>
        <w:div w:id="412698672">
          <w:marLeft w:val="446"/>
          <w:marRight w:val="0"/>
          <w:marTop w:val="0"/>
          <w:marBottom w:val="0"/>
          <w:divBdr>
            <w:top w:val="none" w:sz="0" w:space="0" w:color="auto"/>
            <w:left w:val="none" w:sz="0" w:space="0" w:color="auto"/>
            <w:bottom w:val="none" w:sz="0" w:space="0" w:color="auto"/>
            <w:right w:val="none" w:sz="0" w:space="0" w:color="auto"/>
          </w:divBdr>
        </w:div>
      </w:divsChild>
    </w:div>
    <w:div w:id="2057771723">
      <w:bodyDiv w:val="1"/>
      <w:marLeft w:val="0"/>
      <w:marRight w:val="0"/>
      <w:marTop w:val="0"/>
      <w:marBottom w:val="0"/>
      <w:divBdr>
        <w:top w:val="none" w:sz="0" w:space="0" w:color="auto"/>
        <w:left w:val="none" w:sz="0" w:space="0" w:color="auto"/>
        <w:bottom w:val="none" w:sz="0" w:space="0" w:color="auto"/>
        <w:right w:val="none" w:sz="0" w:space="0" w:color="auto"/>
      </w:divBdr>
      <w:divsChild>
        <w:div w:id="1140803019">
          <w:marLeft w:val="446"/>
          <w:marRight w:val="0"/>
          <w:marTop w:val="0"/>
          <w:marBottom w:val="0"/>
          <w:divBdr>
            <w:top w:val="none" w:sz="0" w:space="0" w:color="auto"/>
            <w:left w:val="none" w:sz="0" w:space="0" w:color="auto"/>
            <w:bottom w:val="none" w:sz="0" w:space="0" w:color="auto"/>
            <w:right w:val="none" w:sz="0" w:space="0" w:color="auto"/>
          </w:divBdr>
        </w:div>
        <w:div w:id="1020552053">
          <w:marLeft w:val="446"/>
          <w:marRight w:val="0"/>
          <w:marTop w:val="0"/>
          <w:marBottom w:val="0"/>
          <w:divBdr>
            <w:top w:val="none" w:sz="0" w:space="0" w:color="auto"/>
            <w:left w:val="none" w:sz="0" w:space="0" w:color="auto"/>
            <w:bottom w:val="none" w:sz="0" w:space="0" w:color="auto"/>
            <w:right w:val="none" w:sz="0" w:space="0" w:color="auto"/>
          </w:divBdr>
        </w:div>
        <w:div w:id="1193034662">
          <w:marLeft w:val="446"/>
          <w:marRight w:val="0"/>
          <w:marTop w:val="0"/>
          <w:marBottom w:val="0"/>
          <w:divBdr>
            <w:top w:val="none" w:sz="0" w:space="0" w:color="auto"/>
            <w:left w:val="none" w:sz="0" w:space="0" w:color="auto"/>
            <w:bottom w:val="none" w:sz="0" w:space="0" w:color="auto"/>
            <w:right w:val="none" w:sz="0" w:space="0" w:color="auto"/>
          </w:divBdr>
        </w:div>
        <w:div w:id="1055935215">
          <w:marLeft w:val="446"/>
          <w:marRight w:val="0"/>
          <w:marTop w:val="0"/>
          <w:marBottom w:val="0"/>
          <w:divBdr>
            <w:top w:val="none" w:sz="0" w:space="0" w:color="auto"/>
            <w:left w:val="none" w:sz="0" w:space="0" w:color="auto"/>
            <w:bottom w:val="none" w:sz="0" w:space="0" w:color="auto"/>
            <w:right w:val="none" w:sz="0" w:space="0" w:color="auto"/>
          </w:divBdr>
        </w:div>
        <w:div w:id="169437977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styles" Target="styles.xml"/>
  <Relationship Id="rId20" Type="http://schemas.openxmlformats.org/officeDocument/2006/relationships/image" Target="media/image12.png"/>
  <Relationship Id="rId21" Type="http://schemas.openxmlformats.org/officeDocument/2006/relationships/fontTable" Target="fontTable.xml"/>
  <Relationship Id="rId22" Type="http://schemas.openxmlformats.org/officeDocument/2006/relationships/theme" Target="theme/theme1.xml"/>
  <Relationship Id="rId23" Type="http://schemas.microsoft.com/office/2011/relationships/commentsExtended" Target="commentsExtended.xml"/>
  <Relationship Id="rId24" Type="http://schemas.microsoft.com/office/2011/relationships/people" Target="people.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chart" Target="charts/chart1.xml"/>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Sheet1!$F$3</c:f>
              <c:strCache>
                <c:ptCount val="1"/>
                <c:pt idx="0">
                  <c:v>ACO 1 Rate</c:v>
                </c:pt>
              </c:strCache>
            </c:strRef>
          </c:tx>
          <c:spPr>
            <a:solidFill>
              <a:schemeClr val="accent3">
                <a:lumMod val="60000"/>
                <a:lumOff val="40000"/>
              </a:schemeClr>
            </a:solidFill>
          </c:spPr>
          <c:invertIfNegative val="0"/>
          <c:cat>
            <c:strRef>
              <c:f>Sheet1!$E$4:$E$13</c:f>
              <c:strCache>
                <c:ptCount val="10"/>
                <c:pt idx="0">
                  <c:v>Historical
Performance</c:v>
                </c:pt>
                <c:pt idx="2">
                  <c:v>Yr 1</c:v>
                </c:pt>
                <c:pt idx="3">
                  <c:v>Yr 2</c:v>
                </c:pt>
                <c:pt idx="4">
                  <c:v>Yr 3</c:v>
                </c:pt>
                <c:pt idx="5">
                  <c:v>Yr 4</c:v>
                </c:pt>
                <c:pt idx="6">
                  <c:v>Yr 5</c:v>
                </c:pt>
                <c:pt idx="7">
                  <c:v>Yr 6</c:v>
                </c:pt>
                <c:pt idx="8">
                  <c:v>…</c:v>
                </c:pt>
                <c:pt idx="9">
                  <c:v>Yr 10+</c:v>
                </c:pt>
              </c:strCache>
            </c:strRef>
          </c:cat>
          <c:val>
            <c:numRef>
              <c:f>Sheet1!$F$4:$F$13</c:f>
              <c:numCache>
                <c:formatCode>General</c:formatCode>
                <c:ptCount val="10"/>
                <c:pt idx="0" formatCode="_(* #,##0.00_);_(* \(#,##0.00\);_(* &quot;-&quot;??_);_(@_)">
                  <c:v>0.8</c:v>
                </c:pt>
                <c:pt idx="2" formatCode="_(* #,##0.00_);_(* \(#,##0.00\);_(* &quot;-&quot;??_);_(@_)">
                  <c:v>0.8282204999999998</c:v>
                </c:pt>
                <c:pt idx="3" formatCode="_(* #,##0.00_);_(* \(#,##0.00\);_(* &quot;-&quot;??_);_(@_)">
                  <c:v>0.85266310499999975</c:v>
                </c:pt>
                <c:pt idx="4" formatCode="_(* #,##0.00_);_(* \(#,##0.00\);_(* &quot;-&quot;??_);_(@_)">
                  <c:v>0.87732943053749957</c:v>
                </c:pt>
                <c:pt idx="5" formatCode="_(* #,##0.00_);_(* \(#,##0.00\);_(* &quot;-&quot;??_);_(@_)">
                  <c:v>0.90222110275274947</c:v>
                </c:pt>
                <c:pt idx="6" formatCode="_(* #,##0.00_);_(* \(#,##0.00\);_(* &quot;-&quot;??_);_(@_)">
                  <c:v>0.92733975845438832</c:v>
                </c:pt>
                <c:pt idx="7" formatCode="_(* #,##0.00_);_(* \(#,##0.00\);_(* &quot;-&quot;??_);_(@_)">
                  <c:v>0.95268704518547476</c:v>
                </c:pt>
                <c:pt idx="9" formatCode="_(* #,##0.00_);_(* \(#,##0.00\);_(* &quot;-&quot;??_);_(@_)">
                  <c:v>1.0459105791450642</c:v>
                </c:pt>
              </c:numCache>
            </c:numRef>
          </c:val>
        </c:ser>
        <c:ser>
          <c:idx val="2"/>
          <c:order val="1"/>
          <c:tx>
            <c:strRef>
              <c:f>Sheet1!$G$3</c:f>
              <c:strCache>
                <c:ptCount val="1"/>
                <c:pt idx="0">
                  <c:v>ACO 2 Rate</c:v>
                </c:pt>
              </c:strCache>
            </c:strRef>
          </c:tx>
          <c:spPr>
            <a:pattFill prst="wdUpDiag">
              <a:fgClr>
                <a:schemeClr val="tx2">
                  <a:lumMod val="40000"/>
                  <a:lumOff val="60000"/>
                </a:schemeClr>
              </a:fgClr>
              <a:bgClr>
                <a:schemeClr val="bg1"/>
              </a:bgClr>
            </a:pattFill>
          </c:spPr>
          <c:invertIfNegative val="0"/>
          <c:val>
            <c:numRef>
              <c:f>Sheet1!$G$4:$G$13</c:f>
              <c:numCache>
                <c:formatCode>General</c:formatCode>
                <c:ptCount val="10"/>
                <c:pt idx="0" formatCode="_(* #,##0.00_);_(* \(#,##0.00\);_(* &quot;-&quot;??_);_(@_)">
                  <c:v>1.3</c:v>
                </c:pt>
                <c:pt idx="2" formatCode="_(* #,##0.00_);_(* \(#,##0.00\);_(* &quot;-&quot;??_);_(@_)">
                  <c:v>1.2827317499999997</c:v>
                </c:pt>
                <c:pt idx="3" formatCode="_(* #,##0.00_);_(* \(#,##0.00\);_(* &quot;-&quot;??_);_(@_)">
                  <c:v>1.2586931549999996</c:v>
                </c:pt>
                <c:pt idx="4" formatCode="_(* #,##0.00_);_(* \(#,##0.00\);_(* &quot;-&quot;??_);_(@_)">
                  <c:v>1.2343821057562494</c:v>
                </c:pt>
                <c:pt idx="5" formatCode="_(* #,##0.00_);_(* \(#,##0.00\);_(* &quot;-&quot;??_);_(@_)">
                  <c:v>1.209796478691187</c:v>
                </c:pt>
                <c:pt idx="6" formatCode="_(* #,##0.00_);_(* \(#,##0.00\);_(* &quot;-&quot;??_);_(@_)">
                  <c:v>1.1849341358028294</c:v>
                </c:pt>
                <c:pt idx="7" formatCode="_(* #,##0.00_);_(* \(#,##0.00\);_(* &quot;-&quot;??_);_(@_)">
                  <c:v>1.1597929245736216</c:v>
                </c:pt>
                <c:pt idx="9" formatCode="_(* #,##0.00_);_(* \(#,##0.00\);_(* &quot;-&quot;??_);_(@_)">
                  <c:v>1.0459105791450642</c:v>
                </c:pt>
              </c:numCache>
            </c:numRef>
          </c:val>
        </c:ser>
        <c:dLbls>
          <c:showLegendKey val="0"/>
          <c:showVal val="0"/>
          <c:showCatName val="0"/>
          <c:showSerName val="0"/>
          <c:showPercent val="0"/>
          <c:showBubbleSize val="0"/>
        </c:dLbls>
        <c:gapWidth val="150"/>
        <c:axId val="160540160"/>
        <c:axId val="179153152"/>
      </c:barChart>
      <c:lineChart>
        <c:grouping val="standard"/>
        <c:varyColors val="0"/>
        <c:ser>
          <c:idx val="1"/>
          <c:order val="2"/>
          <c:tx>
            <c:strRef>
              <c:f>Sheet1!$H$3</c:f>
              <c:strCache>
                <c:ptCount val="1"/>
                <c:pt idx="0">
                  <c:v>Market-based TCOC</c:v>
                </c:pt>
              </c:strCache>
            </c:strRef>
          </c:tx>
          <c:spPr>
            <a:ln w="31750">
              <a:solidFill>
                <a:schemeClr val="tx1"/>
              </a:solidFill>
            </a:ln>
          </c:spPr>
          <c:marker>
            <c:symbol val="none"/>
          </c:marker>
          <c:dPt>
            <c:idx val="8"/>
            <c:bubble3D val="0"/>
            <c:spPr>
              <a:ln w="31750">
                <a:solidFill>
                  <a:schemeClr val="tx1"/>
                </a:solidFill>
                <a:tailEnd type="none"/>
              </a:ln>
            </c:spPr>
          </c:dPt>
          <c:dPt>
            <c:idx val="9"/>
            <c:bubble3D val="0"/>
            <c:spPr>
              <a:ln w="31750">
                <a:solidFill>
                  <a:schemeClr val="tx1"/>
                </a:solidFill>
                <a:tailEnd type="arrow"/>
              </a:ln>
            </c:spPr>
          </c:dPt>
          <c:cat>
            <c:strRef>
              <c:f>Sheet1!$E$4:$E$13</c:f>
              <c:strCache>
                <c:ptCount val="10"/>
                <c:pt idx="0">
                  <c:v>Historical
Performance</c:v>
                </c:pt>
                <c:pt idx="2">
                  <c:v>Yr 1</c:v>
                </c:pt>
                <c:pt idx="3">
                  <c:v>Yr 2</c:v>
                </c:pt>
                <c:pt idx="4">
                  <c:v>Yr 3</c:v>
                </c:pt>
                <c:pt idx="5">
                  <c:v>Yr 4</c:v>
                </c:pt>
                <c:pt idx="6">
                  <c:v>Yr 5</c:v>
                </c:pt>
                <c:pt idx="7">
                  <c:v>Yr 6</c:v>
                </c:pt>
                <c:pt idx="8">
                  <c:v>…</c:v>
                </c:pt>
                <c:pt idx="9">
                  <c:v>Yr 10+</c:v>
                </c:pt>
              </c:strCache>
            </c:strRef>
          </c:cat>
          <c:val>
            <c:numRef>
              <c:f>Sheet1!$H$4:$H$13</c:f>
              <c:numCache>
                <c:formatCode>_(* #,##0.00_);_(* \(#,##0.00\);_(* "-"??_);_(@_)</c:formatCode>
                <c:ptCount val="10"/>
                <c:pt idx="0">
                  <c:v>1</c:v>
                </c:pt>
                <c:pt idx="1">
                  <c:v>1.0049999999999999</c:v>
                </c:pt>
                <c:pt idx="2">
                  <c:v>1.0100249999999997</c:v>
                </c:pt>
                <c:pt idx="3">
                  <c:v>1.0150751249999996</c:v>
                </c:pt>
                <c:pt idx="4">
                  <c:v>1.0201505006249996</c:v>
                </c:pt>
                <c:pt idx="5">
                  <c:v>1.0252512531281244</c:v>
                </c:pt>
                <c:pt idx="6">
                  <c:v>1.0303775093937648</c:v>
                </c:pt>
                <c:pt idx="7">
                  <c:v>1.0355293969407335</c:v>
                </c:pt>
                <c:pt idx="8">
                  <c:v>1.0407070439254371</c:v>
                </c:pt>
                <c:pt idx="9">
                  <c:v>1.0459105791450642</c:v>
                </c:pt>
              </c:numCache>
            </c:numRef>
          </c:val>
          <c:smooth val="0"/>
        </c:ser>
        <c:dLbls>
          <c:showLegendKey val="0"/>
          <c:showVal val="0"/>
          <c:showCatName val="0"/>
          <c:showSerName val="0"/>
          <c:showPercent val="0"/>
          <c:showBubbleSize val="0"/>
        </c:dLbls>
        <c:marker val="1"/>
        <c:smooth val="0"/>
        <c:axId val="160540160"/>
        <c:axId val="179153152"/>
      </c:lineChart>
      <c:catAx>
        <c:axId val="160540160"/>
        <c:scaling>
          <c:orientation val="minMax"/>
        </c:scaling>
        <c:delete val="0"/>
        <c:axPos val="b"/>
        <c:majorTickMark val="out"/>
        <c:minorTickMark val="none"/>
        <c:tickLblPos val="nextTo"/>
        <c:txPr>
          <a:bodyPr rot="0"/>
          <a:lstStyle/>
          <a:p>
            <a:pPr>
              <a:defRPr/>
            </a:pPr>
            <a:endParaRPr lang="en-US"/>
          </a:p>
        </c:txPr>
        <c:crossAx val="179153152"/>
        <c:crosses val="autoZero"/>
        <c:auto val="1"/>
        <c:lblAlgn val="ctr"/>
        <c:lblOffset val="100"/>
        <c:tickLblSkip val="1"/>
        <c:noMultiLvlLbl val="0"/>
      </c:catAx>
      <c:valAx>
        <c:axId val="179153152"/>
        <c:scaling>
          <c:orientation val="minMax"/>
          <c:max val="1.3"/>
          <c:min val="0.4"/>
        </c:scaling>
        <c:delete val="1"/>
        <c:axPos val="l"/>
        <c:majorGridlines/>
        <c:numFmt formatCode="_(* #,##0.00_);_(* \(#,##0.00\);_(* &quot;-&quot;??_);_(@_)" sourceLinked="1"/>
        <c:majorTickMark val="out"/>
        <c:minorTickMark val="none"/>
        <c:tickLblPos val="nextTo"/>
        <c:crossAx val="160540160"/>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Pages>
  <Words>12053</Words>
  <Characters>68704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2017-02-08T16:22:00Z</dcterms:created>
  <dc:creator>AutoBVT</dc:creator>
  <lastModifiedBy>AutoBVT</lastModifiedBy>
  <lastPrinted>2017-02-06T17:57:00Z</lastPrinted>
  <dcterms:modified xsi:type="dcterms:W3CDTF">2017-02-08T16:24:00Z</dcterms:modified>
  <revision>5</revision>
</coreProperties>
</file>