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9A4" w:rsidRDefault="0007435B" w:rsidP="0007435B">
      <w:pPr>
        <w:pStyle w:val="FootnoteText"/>
        <w:spacing w:line="264" w:lineRule="auto"/>
        <w:jc w:val="center"/>
        <w:rPr>
          <w:rFonts w:ascii="Garamond" w:hAnsi="Garamond"/>
          <w:b/>
          <w:sz w:val="24"/>
          <w:szCs w:val="24"/>
        </w:rPr>
      </w:pPr>
      <w:r w:rsidRPr="0007435B">
        <w:rPr>
          <w:rFonts w:ascii="Garamond" w:hAnsi="Garamond"/>
          <w:b/>
          <w:sz w:val="24"/>
          <w:szCs w:val="24"/>
        </w:rPr>
        <w:t>Summary of the Review Process, Overall Scoring, &amp; Results</w:t>
      </w:r>
    </w:p>
    <w:p w:rsidR="0007435B" w:rsidRDefault="0007435B" w:rsidP="00F724FA">
      <w:pPr>
        <w:pStyle w:val="FootnoteText"/>
        <w:spacing w:line="264" w:lineRule="auto"/>
        <w:rPr>
          <w:rFonts w:ascii="Garamond" w:hAnsi="Garamond"/>
          <w:b/>
          <w:sz w:val="24"/>
          <w:szCs w:val="24"/>
        </w:rPr>
      </w:pPr>
    </w:p>
    <w:p w:rsidR="00474746" w:rsidRPr="00826C87" w:rsidRDefault="00474746" w:rsidP="00302D4A">
      <w:pPr>
        <w:pStyle w:val="FootnoteText"/>
        <w:spacing w:line="264" w:lineRule="auto"/>
        <w:rPr>
          <w:rFonts w:ascii="Garamond" w:hAnsi="Garamond"/>
          <w:b/>
          <w:sz w:val="24"/>
          <w:szCs w:val="24"/>
        </w:rPr>
      </w:pPr>
      <w:r w:rsidRPr="00826C87">
        <w:rPr>
          <w:rFonts w:ascii="Garamond" w:hAnsi="Garamond"/>
          <w:b/>
          <w:sz w:val="24"/>
          <w:szCs w:val="24"/>
        </w:rPr>
        <w:t>School Redesign Grant (SRG) Overview:</w:t>
      </w:r>
    </w:p>
    <w:p w:rsidR="00474746" w:rsidRPr="00826C87" w:rsidRDefault="00474746" w:rsidP="00302D4A">
      <w:pPr>
        <w:pStyle w:val="FootnoteText"/>
        <w:spacing w:line="264" w:lineRule="auto"/>
        <w:rPr>
          <w:rFonts w:ascii="Garamond" w:hAnsi="Garamond"/>
          <w:sz w:val="24"/>
          <w:szCs w:val="24"/>
        </w:rPr>
      </w:pPr>
      <w:r w:rsidRPr="00826C87">
        <w:rPr>
          <w:rFonts w:ascii="Garamond" w:hAnsi="Garamond"/>
          <w:sz w:val="24"/>
          <w:szCs w:val="24"/>
        </w:rPr>
        <w:t xml:space="preserve">The School Redesign Grant (SRG) program represents Massachusetts’ implementation of the federal </w:t>
      </w:r>
      <w:r w:rsidRPr="00826C87">
        <w:rPr>
          <w:rFonts w:ascii="Garamond" w:hAnsi="Garamond"/>
          <w:i/>
          <w:sz w:val="24"/>
          <w:szCs w:val="24"/>
        </w:rPr>
        <w:t xml:space="preserve">School Improvement Grant (SIG) </w:t>
      </w:r>
      <w:r w:rsidRPr="00826C87">
        <w:rPr>
          <w:rFonts w:ascii="Garamond" w:hAnsi="Garamond"/>
          <w:sz w:val="24"/>
          <w:szCs w:val="24"/>
        </w:rPr>
        <w:t>program</w:t>
      </w:r>
      <w:r w:rsidRPr="00826C87">
        <w:rPr>
          <w:rFonts w:ascii="Garamond" w:hAnsi="Garamond"/>
          <w:i/>
          <w:sz w:val="24"/>
          <w:szCs w:val="24"/>
        </w:rPr>
        <w:t xml:space="preserve">, </w:t>
      </w:r>
      <w:r w:rsidRPr="00826C87">
        <w:rPr>
          <w:rFonts w:ascii="Garamond" w:hAnsi="Garamond"/>
          <w:sz w:val="24"/>
          <w:szCs w:val="24"/>
        </w:rPr>
        <w:t>which is authorized under section 1003(g) of Title I of the Elementary and Secondary Education Act of 1965 (ESEA).</w:t>
      </w:r>
    </w:p>
    <w:p w:rsidR="00474746" w:rsidRPr="00826C87" w:rsidRDefault="00474746" w:rsidP="00302D4A">
      <w:pPr>
        <w:spacing w:line="264" w:lineRule="auto"/>
        <w:rPr>
          <w:rFonts w:ascii="Garamond" w:hAnsi="Garamond"/>
        </w:rPr>
      </w:pPr>
    </w:p>
    <w:p w:rsidR="00474746" w:rsidRDefault="00474746" w:rsidP="00302D4A">
      <w:pPr>
        <w:spacing w:line="264" w:lineRule="auto"/>
        <w:rPr>
          <w:rFonts w:ascii="Garamond" w:hAnsi="Garamond"/>
        </w:rPr>
      </w:pPr>
      <w:r w:rsidRPr="00826C87">
        <w:rPr>
          <w:rFonts w:ascii="Garamond" w:hAnsi="Garamond"/>
        </w:rPr>
        <w:t xml:space="preserve">The federal SIG program provides grants to state education agencies to make competitive subgrants (e.g., SRG funding) to districts and schools identified as needing the most support and showing the strongest commitment to raise student achievement. In accordance with federal guidelines, the Massachusetts Department of Elementary and Secondary Education (ESE) has administered a competitive process for eligible districts and schools on an annual basis, since 2010.  </w:t>
      </w:r>
      <w:r w:rsidRPr="00826C87">
        <w:rPr>
          <w:rFonts w:ascii="Garamond" w:hAnsi="Garamond"/>
          <w:i/>
        </w:rPr>
        <w:t>The purpose of the grant is to provide funds to underperforming schools to (a) accelerate turnaround efforts in these schools and (b) build district capacity to support and sustain turnaround efforts.</w:t>
      </w:r>
      <w:r w:rsidRPr="00826C87">
        <w:rPr>
          <w:rFonts w:ascii="Garamond" w:hAnsi="Garamond"/>
        </w:rPr>
        <w:t xml:space="preserve"> ESE has intentionally aligned the use of federal SIG funds to support the state’s efforts to “turnaround” identified Level 4 schools, as part of the </w:t>
      </w:r>
      <w:r w:rsidRPr="00826C87">
        <w:rPr>
          <w:rFonts w:ascii="Garamond" w:hAnsi="Garamond"/>
          <w:i/>
        </w:rPr>
        <w:t>2010 Act to Close the Achievement Gap</w:t>
      </w:r>
      <w:r w:rsidRPr="00826C87">
        <w:rPr>
          <w:rFonts w:ascii="Garamond" w:hAnsi="Garamond"/>
        </w:rPr>
        <w:t>.</w:t>
      </w:r>
    </w:p>
    <w:p w:rsidR="0031539D" w:rsidRDefault="0031539D" w:rsidP="00302D4A">
      <w:pPr>
        <w:spacing w:line="264" w:lineRule="auto"/>
        <w:rPr>
          <w:rFonts w:ascii="Garamond" w:hAnsi="Garamond"/>
        </w:rPr>
      </w:pPr>
    </w:p>
    <w:p w:rsidR="0031539D" w:rsidRPr="00826C87" w:rsidRDefault="0031539D" w:rsidP="00302D4A">
      <w:pPr>
        <w:spacing w:line="264" w:lineRule="auto"/>
        <w:rPr>
          <w:rFonts w:ascii="Garamond" w:hAnsi="Garamond"/>
        </w:rPr>
      </w:pPr>
      <w:r>
        <w:rPr>
          <w:rFonts w:ascii="Garamond" w:hAnsi="Garamond"/>
        </w:rPr>
        <w:t>In order to offer all eligible schools the opportunity to apply for SRG funds (which expire with the end of the SIG program in FY21), this round of SRG applications was split into to two parts. Two schools (Lawrence High School and Dean Technical High School) submitted applications in Fall 2016, and five schools submitted applications in Spring 2017 (</w:t>
      </w:r>
      <w:proofErr w:type="spellStart"/>
      <w:r>
        <w:rPr>
          <w:rFonts w:ascii="Garamond" w:hAnsi="Garamond"/>
        </w:rPr>
        <w:t>Brigton</w:t>
      </w:r>
      <w:proofErr w:type="spellEnd"/>
      <w:r>
        <w:rPr>
          <w:rFonts w:ascii="Garamond" w:hAnsi="Garamond"/>
        </w:rPr>
        <w:t xml:space="preserve"> High, Excel High, Fonseca Elementary, Southbridge High, and Southbridge Middle). </w:t>
      </w:r>
    </w:p>
    <w:p w:rsidR="00474746" w:rsidRPr="00826C87" w:rsidRDefault="00474746" w:rsidP="00302D4A">
      <w:pPr>
        <w:pStyle w:val="FootnoteText"/>
        <w:spacing w:line="264" w:lineRule="auto"/>
        <w:rPr>
          <w:rFonts w:ascii="Garamond" w:hAnsi="Garamond"/>
          <w:b/>
          <w:sz w:val="24"/>
          <w:szCs w:val="24"/>
        </w:rPr>
      </w:pPr>
    </w:p>
    <w:p w:rsidR="00EB64D3" w:rsidRPr="00826C87" w:rsidRDefault="00EB64D3" w:rsidP="00F724FA">
      <w:pPr>
        <w:pStyle w:val="FootnoteText"/>
        <w:spacing w:line="264" w:lineRule="auto"/>
        <w:rPr>
          <w:rFonts w:ascii="Garamond" w:hAnsi="Garamond"/>
          <w:b/>
          <w:sz w:val="24"/>
          <w:szCs w:val="24"/>
        </w:rPr>
      </w:pPr>
      <w:r w:rsidRPr="00826C87">
        <w:rPr>
          <w:rFonts w:ascii="Garamond" w:hAnsi="Garamond"/>
          <w:b/>
          <w:sz w:val="24"/>
          <w:szCs w:val="24"/>
        </w:rPr>
        <w:t>Facilitation</w:t>
      </w:r>
    </w:p>
    <w:p w:rsidR="00EB64D3" w:rsidRPr="00826C87" w:rsidRDefault="0033392C" w:rsidP="00F724FA">
      <w:pPr>
        <w:pStyle w:val="FootnoteText"/>
        <w:spacing w:before="80" w:line="264" w:lineRule="auto"/>
        <w:rPr>
          <w:rFonts w:ascii="Garamond" w:hAnsi="Garamond"/>
          <w:sz w:val="24"/>
          <w:szCs w:val="24"/>
        </w:rPr>
      </w:pPr>
      <w:r w:rsidRPr="00826C87">
        <w:rPr>
          <w:rFonts w:ascii="Garamond" w:hAnsi="Garamond"/>
          <w:sz w:val="24"/>
          <w:szCs w:val="24"/>
        </w:rPr>
        <w:t>The Massachusetts Department of Elementary and Secondary Education (ESE) contracted t</w:t>
      </w:r>
      <w:r w:rsidR="00EB64D3" w:rsidRPr="00826C87">
        <w:rPr>
          <w:rFonts w:ascii="Garamond" w:hAnsi="Garamond"/>
          <w:sz w:val="24"/>
          <w:szCs w:val="24"/>
        </w:rPr>
        <w:t xml:space="preserve">he Institute for Strategic Leadership and Learning (INSTLL, LLC) </w:t>
      </w:r>
      <w:r w:rsidR="00E17B9C">
        <w:rPr>
          <w:rFonts w:ascii="Garamond" w:hAnsi="Garamond"/>
          <w:sz w:val="24"/>
          <w:szCs w:val="24"/>
        </w:rPr>
        <w:t xml:space="preserve">as a partner </w:t>
      </w:r>
      <w:r w:rsidR="00EB64D3" w:rsidRPr="00826C87">
        <w:rPr>
          <w:rFonts w:ascii="Garamond" w:hAnsi="Garamond"/>
          <w:sz w:val="24"/>
          <w:szCs w:val="24"/>
        </w:rPr>
        <w:t xml:space="preserve">to </w:t>
      </w:r>
      <w:r w:rsidR="00E17B9C">
        <w:rPr>
          <w:rFonts w:ascii="Garamond" w:hAnsi="Garamond"/>
          <w:sz w:val="24"/>
          <w:szCs w:val="24"/>
        </w:rPr>
        <w:t>co-</w:t>
      </w:r>
      <w:r w:rsidR="00EB64D3" w:rsidRPr="00826C87">
        <w:rPr>
          <w:rFonts w:ascii="Garamond" w:hAnsi="Garamond"/>
          <w:sz w:val="24"/>
          <w:szCs w:val="24"/>
        </w:rPr>
        <w:t xml:space="preserve">design and </w:t>
      </w:r>
      <w:r w:rsidR="00EB64D3" w:rsidRPr="00826C87">
        <w:rPr>
          <w:rFonts w:ascii="Garamond" w:hAnsi="Garamond"/>
          <w:color w:val="auto"/>
          <w:sz w:val="24"/>
          <w:szCs w:val="24"/>
        </w:rPr>
        <w:t>administer the School Redesign Grant (SRG) review process. INSTLL staff worked closely with Erica Champagne</w:t>
      </w:r>
      <w:r w:rsidR="00035DC9">
        <w:rPr>
          <w:rFonts w:ascii="Garamond" w:hAnsi="Garamond"/>
          <w:color w:val="auto"/>
          <w:sz w:val="24"/>
          <w:szCs w:val="24"/>
        </w:rPr>
        <w:t xml:space="preserve"> and Amanda Trainor</w:t>
      </w:r>
      <w:r w:rsidR="00EB64D3" w:rsidRPr="00826C87">
        <w:rPr>
          <w:rFonts w:ascii="Garamond" w:hAnsi="Garamond"/>
          <w:color w:val="auto"/>
          <w:sz w:val="24"/>
          <w:szCs w:val="24"/>
        </w:rPr>
        <w:t xml:space="preserve"> to m</w:t>
      </w:r>
      <w:r w:rsidR="00EB64D3" w:rsidRPr="00826C87">
        <w:rPr>
          <w:rFonts w:ascii="Garamond" w:hAnsi="Garamond"/>
          <w:sz w:val="24"/>
          <w:szCs w:val="24"/>
        </w:rPr>
        <w:t xml:space="preserve">anage the review process. </w:t>
      </w:r>
    </w:p>
    <w:p w:rsidR="00EB64D3" w:rsidRPr="00826C87" w:rsidRDefault="00EB64D3" w:rsidP="00F724FA">
      <w:pPr>
        <w:pStyle w:val="FootnoteText"/>
        <w:spacing w:line="264" w:lineRule="auto"/>
        <w:rPr>
          <w:rFonts w:ascii="Garamond" w:hAnsi="Garamond"/>
          <w:sz w:val="24"/>
          <w:szCs w:val="24"/>
        </w:rPr>
      </w:pPr>
    </w:p>
    <w:p w:rsidR="00EB64D3" w:rsidRPr="00826C87" w:rsidRDefault="00EB64D3" w:rsidP="00F724FA">
      <w:pPr>
        <w:pStyle w:val="FootnoteText"/>
        <w:spacing w:line="264" w:lineRule="auto"/>
        <w:rPr>
          <w:rFonts w:ascii="Garamond" w:hAnsi="Garamond"/>
          <w:b/>
          <w:sz w:val="24"/>
          <w:szCs w:val="24"/>
        </w:rPr>
      </w:pPr>
      <w:r w:rsidRPr="00826C87">
        <w:rPr>
          <w:rFonts w:ascii="Garamond" w:hAnsi="Garamond"/>
          <w:b/>
          <w:sz w:val="24"/>
          <w:szCs w:val="24"/>
        </w:rPr>
        <w:t>Training and Review Team Members</w:t>
      </w:r>
    </w:p>
    <w:p w:rsidR="00EB64D3" w:rsidRPr="00826C87" w:rsidRDefault="00EB64D3" w:rsidP="00F724FA">
      <w:pPr>
        <w:pStyle w:val="FootnoteText"/>
        <w:spacing w:before="80" w:line="264" w:lineRule="auto"/>
        <w:rPr>
          <w:rFonts w:ascii="Garamond" w:hAnsi="Garamond"/>
          <w:sz w:val="24"/>
          <w:szCs w:val="24"/>
        </w:rPr>
      </w:pPr>
      <w:r w:rsidRPr="00826C87">
        <w:rPr>
          <w:rFonts w:ascii="Garamond" w:hAnsi="Garamond"/>
          <w:sz w:val="24"/>
          <w:szCs w:val="24"/>
        </w:rPr>
        <w:t xml:space="preserve">The </w:t>
      </w:r>
      <w:r w:rsidR="00E17B9C">
        <w:rPr>
          <w:rFonts w:ascii="Garamond" w:hAnsi="Garamond"/>
          <w:sz w:val="24"/>
          <w:szCs w:val="24"/>
        </w:rPr>
        <w:t xml:space="preserve">SRG </w:t>
      </w:r>
      <w:r w:rsidRPr="00826C87">
        <w:rPr>
          <w:rFonts w:ascii="Garamond" w:hAnsi="Garamond"/>
          <w:sz w:val="24"/>
          <w:szCs w:val="24"/>
        </w:rPr>
        <w:t>review team included</w:t>
      </w:r>
      <w:r w:rsidRPr="00826C87">
        <w:rPr>
          <w:rFonts w:ascii="Garamond" w:hAnsi="Garamond"/>
          <w:color w:val="auto"/>
          <w:sz w:val="24"/>
          <w:szCs w:val="24"/>
        </w:rPr>
        <w:t xml:space="preserve"> </w:t>
      </w:r>
      <w:r w:rsidR="0031539D">
        <w:rPr>
          <w:rFonts w:ascii="Garamond" w:hAnsi="Garamond"/>
          <w:color w:val="auto"/>
          <w:sz w:val="24"/>
          <w:szCs w:val="24"/>
        </w:rPr>
        <w:t>ESE staff and</w:t>
      </w:r>
      <w:r w:rsidRPr="00826C87">
        <w:rPr>
          <w:rFonts w:ascii="Garamond" w:hAnsi="Garamond"/>
          <w:color w:val="auto"/>
          <w:sz w:val="24"/>
          <w:szCs w:val="24"/>
        </w:rPr>
        <w:t xml:space="preserve"> external</w:t>
      </w:r>
      <w:r w:rsidRPr="00826C87">
        <w:rPr>
          <w:rFonts w:ascii="Garamond" w:hAnsi="Garamond"/>
          <w:sz w:val="24"/>
          <w:szCs w:val="24"/>
        </w:rPr>
        <w:t xml:space="preserve"> review team members with expertise in strategies </w:t>
      </w:r>
      <w:r w:rsidR="00E46A55" w:rsidRPr="00826C87">
        <w:rPr>
          <w:rFonts w:ascii="Garamond" w:hAnsi="Garamond"/>
          <w:sz w:val="24"/>
          <w:szCs w:val="24"/>
        </w:rPr>
        <w:t>for</w:t>
      </w:r>
      <w:r w:rsidRPr="00826C87">
        <w:rPr>
          <w:rFonts w:ascii="Garamond" w:hAnsi="Garamond"/>
          <w:sz w:val="24"/>
          <w:szCs w:val="24"/>
        </w:rPr>
        <w:t xml:space="preserve"> district and school improvement, </w:t>
      </w:r>
      <w:r w:rsidR="00E46A55" w:rsidRPr="00826C87">
        <w:rPr>
          <w:rFonts w:ascii="Garamond" w:hAnsi="Garamond"/>
          <w:sz w:val="24"/>
          <w:szCs w:val="24"/>
        </w:rPr>
        <w:t xml:space="preserve">the </w:t>
      </w:r>
      <w:r w:rsidR="009C4E6E">
        <w:rPr>
          <w:rFonts w:ascii="Garamond" w:hAnsi="Garamond"/>
          <w:sz w:val="24"/>
          <w:szCs w:val="24"/>
        </w:rPr>
        <w:t xml:space="preserve">needs of English </w:t>
      </w:r>
      <w:r w:rsidRPr="00826C87">
        <w:rPr>
          <w:rFonts w:ascii="Garamond" w:hAnsi="Garamond"/>
          <w:sz w:val="24"/>
          <w:szCs w:val="24"/>
        </w:rPr>
        <w:t xml:space="preserve">language learners, and the needs of special education students. Review team members participated in </w:t>
      </w:r>
      <w:r w:rsidR="0031539D">
        <w:rPr>
          <w:rFonts w:ascii="Garamond" w:hAnsi="Garamond"/>
          <w:sz w:val="24"/>
          <w:szCs w:val="24"/>
        </w:rPr>
        <w:t>rigorous training.</w:t>
      </w:r>
      <w:r w:rsidRPr="00826C87">
        <w:rPr>
          <w:rFonts w:ascii="Garamond" w:hAnsi="Garamond"/>
          <w:sz w:val="24"/>
          <w:szCs w:val="24"/>
        </w:rPr>
        <w:t xml:space="preserve"> During the training, reviewers participated in a </w:t>
      </w:r>
      <w:r w:rsidR="00934DB5" w:rsidRPr="00826C87">
        <w:rPr>
          <w:rFonts w:ascii="Garamond" w:hAnsi="Garamond"/>
          <w:sz w:val="24"/>
          <w:szCs w:val="24"/>
        </w:rPr>
        <w:t>practice scoring process to re-orient reviewers to the rubric, the team review process, and to</w:t>
      </w:r>
      <w:r w:rsidRPr="00826C87">
        <w:rPr>
          <w:rFonts w:ascii="Garamond" w:hAnsi="Garamond"/>
          <w:sz w:val="24"/>
          <w:szCs w:val="24"/>
        </w:rPr>
        <w:t xml:space="preserve"> ensure inter-team reliability during the team review process. All materials and guidance provided by ESE and referenced in this document can be found online at</w:t>
      </w:r>
      <w:r w:rsidR="00492366" w:rsidRPr="00826C87">
        <w:rPr>
          <w:rFonts w:ascii="Garamond" w:hAnsi="Garamond"/>
          <w:sz w:val="24"/>
          <w:szCs w:val="24"/>
        </w:rPr>
        <w:t xml:space="preserve">: </w:t>
      </w:r>
      <w:hyperlink r:id="rId12" w:history="1">
        <w:r w:rsidR="00F4600A" w:rsidRPr="003040DF">
          <w:rPr>
            <w:rStyle w:val="Hyperlink"/>
            <w:rFonts w:ascii="Garamond" w:hAnsi="Garamond"/>
            <w:sz w:val="24"/>
            <w:szCs w:val="24"/>
          </w:rPr>
          <w:t>http://www.mass.gov/edu/government/departments-and-boards/ese/programs/accountability/support-for-level-3-4-and-5-districts-and-schools/school-and-district-turnaround/school-redesign-grants/</w:t>
        </w:r>
        <w:r w:rsidR="00F4600A" w:rsidRPr="003040DF">
          <w:rPr>
            <w:rStyle w:val="Hyperlink"/>
            <w:rFonts w:ascii="Garamond" w:hAnsi="Garamond"/>
            <w:sz w:val="24"/>
            <w:szCs w:val="24"/>
          </w:rPr>
          <w:t>s</w:t>
        </w:r>
        <w:r w:rsidR="00F4600A" w:rsidRPr="003040DF">
          <w:rPr>
            <w:rStyle w:val="Hyperlink"/>
            <w:rFonts w:ascii="Garamond" w:hAnsi="Garamond"/>
            <w:sz w:val="24"/>
            <w:szCs w:val="24"/>
          </w:rPr>
          <w:t>chool-redesign-grants-information.html</w:t>
        </w:r>
      </w:hyperlink>
      <w:r w:rsidR="00F4600A">
        <w:rPr>
          <w:rFonts w:ascii="Garamond" w:hAnsi="Garamond"/>
          <w:sz w:val="24"/>
          <w:szCs w:val="24"/>
        </w:rPr>
        <w:t xml:space="preserve"> </w:t>
      </w:r>
    </w:p>
    <w:p w:rsidR="00EB64D3" w:rsidRPr="00826C87" w:rsidRDefault="00EB64D3" w:rsidP="00F724FA">
      <w:pPr>
        <w:pStyle w:val="FootnoteText"/>
        <w:spacing w:line="264" w:lineRule="auto"/>
        <w:rPr>
          <w:rFonts w:ascii="Garamond" w:hAnsi="Garamond"/>
          <w:sz w:val="24"/>
          <w:szCs w:val="24"/>
        </w:rPr>
      </w:pPr>
    </w:p>
    <w:p w:rsidR="00EB64D3" w:rsidRPr="00826C87" w:rsidRDefault="00EB64D3" w:rsidP="00F724FA">
      <w:pPr>
        <w:pStyle w:val="FootnoteText"/>
        <w:spacing w:line="264" w:lineRule="auto"/>
        <w:rPr>
          <w:rFonts w:ascii="Garamond" w:hAnsi="Garamond"/>
          <w:b/>
          <w:sz w:val="24"/>
          <w:szCs w:val="24"/>
        </w:rPr>
      </w:pPr>
      <w:r w:rsidRPr="00826C87">
        <w:rPr>
          <w:rFonts w:ascii="Garamond" w:hAnsi="Garamond"/>
          <w:b/>
          <w:sz w:val="24"/>
          <w:szCs w:val="24"/>
        </w:rPr>
        <w:t>Review Process</w:t>
      </w:r>
    </w:p>
    <w:p w:rsidR="00EB64D3" w:rsidRPr="00826C87" w:rsidRDefault="00E46A55" w:rsidP="00F724FA">
      <w:pPr>
        <w:pStyle w:val="FootnoteText"/>
        <w:spacing w:before="80" w:line="264" w:lineRule="auto"/>
        <w:rPr>
          <w:rFonts w:ascii="Garamond" w:hAnsi="Garamond"/>
          <w:sz w:val="24"/>
          <w:szCs w:val="24"/>
        </w:rPr>
      </w:pPr>
      <w:r w:rsidRPr="00826C87">
        <w:rPr>
          <w:rFonts w:ascii="Garamond" w:hAnsi="Garamond"/>
          <w:sz w:val="24"/>
          <w:szCs w:val="24"/>
        </w:rPr>
        <w:t xml:space="preserve">The review of </w:t>
      </w:r>
      <w:r w:rsidR="00EB64D3" w:rsidRPr="00826C87">
        <w:rPr>
          <w:rFonts w:ascii="Garamond" w:hAnsi="Garamond"/>
          <w:sz w:val="24"/>
          <w:szCs w:val="24"/>
        </w:rPr>
        <w:t xml:space="preserve">district and school proposals </w:t>
      </w:r>
      <w:r w:rsidR="00934DB5" w:rsidRPr="00826C87">
        <w:rPr>
          <w:rFonts w:ascii="Garamond" w:hAnsi="Garamond"/>
          <w:sz w:val="24"/>
          <w:szCs w:val="24"/>
        </w:rPr>
        <w:t>involved two s</w:t>
      </w:r>
      <w:r w:rsidRPr="00826C87">
        <w:rPr>
          <w:rFonts w:ascii="Garamond" w:hAnsi="Garamond"/>
          <w:sz w:val="24"/>
          <w:szCs w:val="24"/>
        </w:rPr>
        <w:t>tep</w:t>
      </w:r>
      <w:r w:rsidR="00934DB5" w:rsidRPr="00826C87">
        <w:rPr>
          <w:rFonts w:ascii="Garamond" w:hAnsi="Garamond"/>
          <w:sz w:val="24"/>
          <w:szCs w:val="24"/>
        </w:rPr>
        <w:t>s</w:t>
      </w:r>
      <w:r w:rsidR="00EB64D3" w:rsidRPr="00826C87">
        <w:rPr>
          <w:rFonts w:ascii="Garamond" w:hAnsi="Garamond"/>
          <w:sz w:val="24"/>
          <w:szCs w:val="24"/>
        </w:rPr>
        <w:t xml:space="preserve">: </w:t>
      </w:r>
    </w:p>
    <w:p w:rsidR="00EB64D3" w:rsidRDefault="00EB64D3" w:rsidP="00F724FA">
      <w:pPr>
        <w:pStyle w:val="FootnoteText"/>
        <w:numPr>
          <w:ilvl w:val="0"/>
          <w:numId w:val="1"/>
        </w:numPr>
        <w:spacing w:before="80" w:line="264" w:lineRule="auto"/>
        <w:rPr>
          <w:rFonts w:ascii="Garamond" w:hAnsi="Garamond"/>
          <w:sz w:val="24"/>
          <w:szCs w:val="24"/>
        </w:rPr>
      </w:pPr>
      <w:r w:rsidRPr="00826C87">
        <w:rPr>
          <w:rFonts w:ascii="Garamond" w:hAnsi="Garamond"/>
          <w:sz w:val="24"/>
          <w:szCs w:val="24"/>
        </w:rPr>
        <w:lastRenderedPageBreak/>
        <w:t xml:space="preserve">A formal review of </w:t>
      </w:r>
      <w:r w:rsidR="00035DC9">
        <w:rPr>
          <w:rFonts w:ascii="Garamond" w:hAnsi="Garamond"/>
          <w:sz w:val="24"/>
          <w:szCs w:val="24"/>
        </w:rPr>
        <w:t xml:space="preserve">the school Turnaround Plan </w:t>
      </w:r>
      <w:r w:rsidRPr="00826C87">
        <w:rPr>
          <w:rFonts w:ascii="Garamond" w:hAnsi="Garamond"/>
          <w:sz w:val="24"/>
          <w:szCs w:val="24"/>
        </w:rPr>
        <w:t xml:space="preserve">by a </w:t>
      </w:r>
      <w:r w:rsidR="00E872D9" w:rsidRPr="00826C87">
        <w:rPr>
          <w:rFonts w:ascii="Garamond" w:hAnsi="Garamond"/>
          <w:sz w:val="24"/>
          <w:szCs w:val="24"/>
        </w:rPr>
        <w:t xml:space="preserve">facilitated, </w:t>
      </w:r>
      <w:r w:rsidRPr="00826C87">
        <w:rPr>
          <w:rFonts w:ascii="Garamond" w:hAnsi="Garamond"/>
          <w:sz w:val="24"/>
          <w:szCs w:val="24"/>
        </w:rPr>
        <w:t>three-person team, using a standard process and scoring rubric.</w:t>
      </w:r>
    </w:p>
    <w:p w:rsidR="00035DC9" w:rsidRPr="00826C87" w:rsidRDefault="00035DC9" w:rsidP="00F724FA">
      <w:pPr>
        <w:pStyle w:val="FootnoteText"/>
        <w:numPr>
          <w:ilvl w:val="0"/>
          <w:numId w:val="1"/>
        </w:numPr>
        <w:spacing w:before="80" w:line="264" w:lineRule="auto"/>
        <w:rPr>
          <w:rFonts w:ascii="Garamond" w:hAnsi="Garamond"/>
          <w:sz w:val="24"/>
          <w:szCs w:val="24"/>
        </w:rPr>
      </w:pPr>
      <w:r>
        <w:rPr>
          <w:rFonts w:ascii="Garamond" w:hAnsi="Garamond"/>
          <w:sz w:val="24"/>
          <w:szCs w:val="24"/>
        </w:rPr>
        <w:t>An ESE review of the proposed SRG budget.</w:t>
      </w:r>
    </w:p>
    <w:p w:rsidR="00EB64D3" w:rsidRPr="00826C87" w:rsidRDefault="00EB64D3" w:rsidP="00F724FA">
      <w:pPr>
        <w:pStyle w:val="FootnoteText"/>
        <w:numPr>
          <w:ilvl w:val="0"/>
          <w:numId w:val="1"/>
        </w:numPr>
        <w:spacing w:before="80" w:line="264" w:lineRule="auto"/>
        <w:rPr>
          <w:rFonts w:ascii="Garamond" w:hAnsi="Garamond"/>
          <w:sz w:val="24"/>
          <w:szCs w:val="24"/>
        </w:rPr>
      </w:pPr>
      <w:r w:rsidRPr="00826C87">
        <w:rPr>
          <w:rFonts w:ascii="Garamond" w:hAnsi="Garamond"/>
          <w:sz w:val="24"/>
          <w:szCs w:val="24"/>
        </w:rPr>
        <w:t xml:space="preserve">A district and school interview session, </w:t>
      </w:r>
      <w:r w:rsidR="00EF5D60">
        <w:rPr>
          <w:rFonts w:ascii="Garamond" w:hAnsi="Garamond"/>
          <w:sz w:val="24"/>
          <w:szCs w:val="24"/>
        </w:rPr>
        <w:t xml:space="preserve">by a facilitated </w:t>
      </w:r>
      <w:r w:rsidR="00E46A55" w:rsidRPr="00826C87">
        <w:rPr>
          <w:rFonts w:ascii="Garamond" w:hAnsi="Garamond"/>
          <w:sz w:val="24"/>
          <w:szCs w:val="24"/>
        </w:rPr>
        <w:t xml:space="preserve">three-person team, </w:t>
      </w:r>
      <w:r w:rsidRPr="00826C87">
        <w:rPr>
          <w:rFonts w:ascii="Garamond" w:hAnsi="Garamond"/>
          <w:sz w:val="24"/>
          <w:szCs w:val="24"/>
        </w:rPr>
        <w:t>using a standard protocol and an interview rubric.</w:t>
      </w:r>
      <w:r w:rsidR="00933B32">
        <w:rPr>
          <w:rFonts w:ascii="Garamond" w:hAnsi="Garamond"/>
          <w:sz w:val="24"/>
          <w:szCs w:val="24"/>
        </w:rPr>
        <w:t xml:space="preserve"> </w:t>
      </w:r>
    </w:p>
    <w:p w:rsidR="00EB64D3" w:rsidRPr="00826C87" w:rsidRDefault="00EB64D3" w:rsidP="00F724FA">
      <w:pPr>
        <w:pStyle w:val="FootnoteText"/>
        <w:spacing w:line="264" w:lineRule="auto"/>
        <w:rPr>
          <w:rFonts w:ascii="Garamond" w:hAnsi="Garamond"/>
          <w:b/>
          <w:sz w:val="24"/>
          <w:szCs w:val="24"/>
        </w:rPr>
      </w:pPr>
      <w:r w:rsidRPr="00826C87">
        <w:rPr>
          <w:rFonts w:ascii="Garamond" w:hAnsi="Garamond"/>
          <w:b/>
          <w:sz w:val="24"/>
          <w:szCs w:val="24"/>
        </w:rPr>
        <w:t>Team Review of Individual Proposals</w:t>
      </w:r>
    </w:p>
    <w:p w:rsidR="00EB64D3" w:rsidRPr="00826C87" w:rsidRDefault="00EB64D3" w:rsidP="00F724FA">
      <w:pPr>
        <w:pStyle w:val="FootnoteText"/>
        <w:spacing w:before="80" w:line="264" w:lineRule="auto"/>
        <w:rPr>
          <w:rFonts w:ascii="Garamond" w:hAnsi="Garamond"/>
          <w:sz w:val="24"/>
          <w:szCs w:val="24"/>
        </w:rPr>
      </w:pPr>
      <w:r w:rsidRPr="00826C87">
        <w:rPr>
          <w:rFonts w:ascii="Garamond" w:hAnsi="Garamond"/>
          <w:sz w:val="24"/>
          <w:szCs w:val="24"/>
        </w:rPr>
        <w:t xml:space="preserve">A team scoring process was used to review </w:t>
      </w:r>
      <w:r w:rsidRPr="00D25C76">
        <w:rPr>
          <w:rFonts w:ascii="Garamond" w:hAnsi="Garamond"/>
          <w:color w:val="auto"/>
          <w:sz w:val="24"/>
          <w:szCs w:val="24"/>
        </w:rPr>
        <w:t>each</w:t>
      </w:r>
      <w:r w:rsidR="00F4600A">
        <w:rPr>
          <w:rFonts w:ascii="Garamond" w:hAnsi="Garamond"/>
          <w:color w:val="auto"/>
          <w:sz w:val="24"/>
          <w:szCs w:val="24"/>
        </w:rPr>
        <w:t xml:space="preserve"> of the </w:t>
      </w:r>
      <w:r w:rsidR="001A0799" w:rsidRPr="00D25C76">
        <w:rPr>
          <w:rFonts w:ascii="Garamond" w:hAnsi="Garamond"/>
          <w:color w:val="auto"/>
          <w:sz w:val="24"/>
          <w:szCs w:val="24"/>
        </w:rPr>
        <w:t>submitted</w:t>
      </w:r>
      <w:r w:rsidR="00933B32">
        <w:rPr>
          <w:rFonts w:ascii="Garamond" w:hAnsi="Garamond"/>
          <w:sz w:val="24"/>
          <w:szCs w:val="24"/>
        </w:rPr>
        <w:t xml:space="preserve"> SRG proposals</w:t>
      </w:r>
      <w:r w:rsidR="0031539D">
        <w:rPr>
          <w:rFonts w:ascii="Garamond" w:hAnsi="Garamond"/>
          <w:sz w:val="24"/>
          <w:szCs w:val="24"/>
        </w:rPr>
        <w:t xml:space="preserve">. </w:t>
      </w:r>
      <w:r w:rsidRPr="00826C87">
        <w:rPr>
          <w:rFonts w:ascii="Garamond" w:hAnsi="Garamond"/>
          <w:sz w:val="24"/>
          <w:szCs w:val="24"/>
        </w:rPr>
        <w:t xml:space="preserve">Each three-person review team reviewed </w:t>
      </w:r>
      <w:r w:rsidR="00933B32">
        <w:rPr>
          <w:rFonts w:ascii="Garamond" w:hAnsi="Garamond"/>
          <w:sz w:val="24"/>
          <w:szCs w:val="24"/>
        </w:rPr>
        <w:t xml:space="preserve">one </w:t>
      </w:r>
      <w:r w:rsidR="00EF5D60">
        <w:rPr>
          <w:rFonts w:ascii="Garamond" w:hAnsi="Garamond"/>
          <w:sz w:val="24"/>
          <w:szCs w:val="24"/>
        </w:rPr>
        <w:t>SRG proposal</w:t>
      </w:r>
      <w:r w:rsidRPr="00826C87">
        <w:rPr>
          <w:rFonts w:ascii="Garamond" w:hAnsi="Garamond"/>
          <w:sz w:val="24"/>
          <w:szCs w:val="24"/>
        </w:rPr>
        <w:t xml:space="preserve"> per day. </w:t>
      </w:r>
      <w:r w:rsidR="007E70F0" w:rsidRPr="00826C87">
        <w:rPr>
          <w:rFonts w:ascii="Garamond" w:hAnsi="Garamond"/>
          <w:sz w:val="24"/>
          <w:szCs w:val="24"/>
        </w:rPr>
        <w:t>E</w:t>
      </w:r>
      <w:r w:rsidRPr="00826C87">
        <w:rPr>
          <w:rFonts w:ascii="Garamond" w:hAnsi="Garamond"/>
          <w:sz w:val="24"/>
          <w:szCs w:val="24"/>
        </w:rPr>
        <w:t xml:space="preserve">ach team review </w:t>
      </w:r>
      <w:r w:rsidR="007E70F0" w:rsidRPr="00826C87">
        <w:rPr>
          <w:rFonts w:ascii="Garamond" w:hAnsi="Garamond"/>
          <w:sz w:val="24"/>
          <w:szCs w:val="24"/>
        </w:rPr>
        <w:t>produced</w:t>
      </w:r>
      <w:r w:rsidRPr="00826C87">
        <w:rPr>
          <w:rFonts w:ascii="Garamond" w:hAnsi="Garamond"/>
          <w:sz w:val="24"/>
          <w:szCs w:val="24"/>
        </w:rPr>
        <w:t>: (1) a team score for the reviewed proposal based on the scoring rubric; (2) a summary statement including strengths and weaknesses; (3) a set of interview questions to be</w:t>
      </w:r>
      <w:r w:rsidR="00C0032E" w:rsidRPr="00826C87">
        <w:rPr>
          <w:rFonts w:ascii="Garamond" w:hAnsi="Garamond"/>
          <w:sz w:val="24"/>
          <w:szCs w:val="24"/>
        </w:rPr>
        <w:t xml:space="preserve"> used in the interview session; and (4) completion of the Federal Requirements Checklist to record whether or not the district had addressed each of the federal requirements for the selected model.</w:t>
      </w:r>
    </w:p>
    <w:p w:rsidR="00EB64D3" w:rsidRPr="00826C87" w:rsidRDefault="00EB64D3" w:rsidP="00F724FA">
      <w:pPr>
        <w:pStyle w:val="FootnoteText"/>
        <w:spacing w:line="264" w:lineRule="auto"/>
        <w:rPr>
          <w:rFonts w:ascii="Garamond" w:hAnsi="Garamond"/>
          <w:sz w:val="24"/>
          <w:szCs w:val="24"/>
        </w:rPr>
      </w:pPr>
    </w:p>
    <w:p w:rsidR="00CF6669" w:rsidRDefault="00EB64D3" w:rsidP="00F724FA">
      <w:pPr>
        <w:pStyle w:val="FootnoteText"/>
        <w:spacing w:line="264" w:lineRule="auto"/>
        <w:rPr>
          <w:rFonts w:ascii="Garamond" w:hAnsi="Garamond"/>
          <w:sz w:val="24"/>
          <w:szCs w:val="24"/>
        </w:rPr>
      </w:pPr>
      <w:r w:rsidRPr="00826C87">
        <w:rPr>
          <w:rFonts w:ascii="Garamond" w:hAnsi="Garamond"/>
          <w:sz w:val="24"/>
          <w:szCs w:val="24"/>
        </w:rPr>
        <w:t xml:space="preserve">Each review team was comprised of two ESE staff members and an external reviewer, with attention given to having a mix of individuals with specific content and grade-level expertise relevant to the </w:t>
      </w:r>
      <w:r w:rsidR="00EF5D60">
        <w:rPr>
          <w:rFonts w:ascii="Garamond" w:hAnsi="Garamond"/>
          <w:sz w:val="24"/>
          <w:szCs w:val="24"/>
        </w:rPr>
        <w:t>Turnaround Plan</w:t>
      </w:r>
      <w:r w:rsidRPr="00826C87">
        <w:rPr>
          <w:rFonts w:ascii="Garamond" w:hAnsi="Garamond"/>
          <w:sz w:val="24"/>
          <w:szCs w:val="24"/>
        </w:rPr>
        <w:t xml:space="preserve"> under review. Review team members </w:t>
      </w:r>
      <w:r w:rsidR="00097228" w:rsidRPr="00826C87">
        <w:rPr>
          <w:rFonts w:ascii="Garamond" w:hAnsi="Garamond"/>
          <w:sz w:val="24"/>
          <w:szCs w:val="24"/>
        </w:rPr>
        <w:t>were strategically assigned to teams in a way that matched expertise and</w:t>
      </w:r>
      <w:r w:rsidRPr="00826C87">
        <w:rPr>
          <w:rFonts w:ascii="Garamond" w:hAnsi="Garamond"/>
          <w:sz w:val="24"/>
          <w:szCs w:val="24"/>
        </w:rPr>
        <w:t xml:space="preserve"> to ensure a mix of perspectives and to minimize bias. A dedicated facilitator was assigned to each review team and was responsible for facilitating the team scoring process, recording team scores and comments, and identifying issues that required additional clarification. </w:t>
      </w:r>
    </w:p>
    <w:p w:rsidR="00933B32" w:rsidRPr="00826C87" w:rsidRDefault="00933B32" w:rsidP="00F724FA">
      <w:pPr>
        <w:pStyle w:val="FootnoteText"/>
        <w:spacing w:line="264" w:lineRule="auto"/>
        <w:rPr>
          <w:rFonts w:ascii="Garamond" w:hAnsi="Garamond"/>
          <w:b/>
          <w:sz w:val="24"/>
          <w:szCs w:val="24"/>
        </w:rPr>
      </w:pPr>
    </w:p>
    <w:p w:rsidR="00EB64D3" w:rsidRPr="00826C87" w:rsidRDefault="00EB64D3" w:rsidP="00F724FA">
      <w:pPr>
        <w:pStyle w:val="FootnoteText"/>
        <w:spacing w:line="264" w:lineRule="auto"/>
        <w:rPr>
          <w:rFonts w:ascii="Garamond" w:hAnsi="Garamond"/>
          <w:b/>
          <w:sz w:val="24"/>
          <w:szCs w:val="24"/>
        </w:rPr>
      </w:pPr>
      <w:r w:rsidRPr="00826C87">
        <w:rPr>
          <w:rFonts w:ascii="Garamond" w:hAnsi="Garamond"/>
          <w:b/>
          <w:sz w:val="24"/>
          <w:szCs w:val="24"/>
        </w:rPr>
        <w:t>Calibration</w:t>
      </w:r>
    </w:p>
    <w:p w:rsidR="004C1F2C" w:rsidRPr="00826C87" w:rsidRDefault="00934DB5" w:rsidP="00F724FA">
      <w:pPr>
        <w:pStyle w:val="FootnoteText"/>
        <w:spacing w:before="80" w:line="264" w:lineRule="auto"/>
        <w:rPr>
          <w:rFonts w:ascii="Garamond" w:hAnsi="Garamond"/>
          <w:sz w:val="24"/>
          <w:szCs w:val="24"/>
        </w:rPr>
      </w:pPr>
      <w:r w:rsidRPr="00826C87">
        <w:rPr>
          <w:rFonts w:ascii="Garamond" w:hAnsi="Garamond"/>
          <w:sz w:val="24"/>
          <w:szCs w:val="24"/>
        </w:rPr>
        <w:t>Similar to the process used in previous years, INSTLL</w:t>
      </w:r>
      <w:r w:rsidR="00EB64D3" w:rsidRPr="00826C87">
        <w:rPr>
          <w:rFonts w:ascii="Garamond" w:hAnsi="Garamond"/>
          <w:sz w:val="24"/>
          <w:szCs w:val="24"/>
        </w:rPr>
        <w:t xml:space="preserve"> review</w:t>
      </w:r>
      <w:r w:rsidRPr="00826C87">
        <w:rPr>
          <w:rFonts w:ascii="Garamond" w:hAnsi="Garamond"/>
          <w:sz w:val="24"/>
          <w:szCs w:val="24"/>
        </w:rPr>
        <w:t>ed</w:t>
      </w:r>
      <w:r w:rsidR="00EB64D3" w:rsidRPr="00826C87">
        <w:rPr>
          <w:rFonts w:ascii="Garamond" w:hAnsi="Garamond"/>
          <w:sz w:val="24"/>
          <w:szCs w:val="24"/>
        </w:rPr>
        <w:t xml:space="preserve"> </w:t>
      </w:r>
      <w:r w:rsidR="0033392C" w:rsidRPr="00826C87">
        <w:rPr>
          <w:rFonts w:ascii="Garamond" w:hAnsi="Garamond"/>
          <w:sz w:val="24"/>
          <w:szCs w:val="24"/>
        </w:rPr>
        <w:t xml:space="preserve">the </w:t>
      </w:r>
      <w:r w:rsidR="00EB64D3" w:rsidRPr="00826C87">
        <w:rPr>
          <w:rFonts w:ascii="Garamond" w:hAnsi="Garamond"/>
          <w:sz w:val="24"/>
          <w:szCs w:val="24"/>
        </w:rPr>
        <w:t xml:space="preserve">scores generated </w:t>
      </w:r>
      <w:r w:rsidR="00FF18D5" w:rsidRPr="00826C87">
        <w:rPr>
          <w:rFonts w:ascii="Garamond" w:hAnsi="Garamond"/>
          <w:sz w:val="24"/>
          <w:szCs w:val="24"/>
        </w:rPr>
        <w:t>during the team scoring process to identify certain</w:t>
      </w:r>
      <w:r w:rsidR="00EB64D3" w:rsidRPr="00826C87">
        <w:rPr>
          <w:rFonts w:ascii="Garamond" w:hAnsi="Garamond"/>
          <w:sz w:val="24"/>
          <w:szCs w:val="24"/>
        </w:rPr>
        <w:t xml:space="preserve"> items </w:t>
      </w:r>
      <w:r w:rsidR="00FF18D5" w:rsidRPr="00826C87">
        <w:rPr>
          <w:rFonts w:ascii="Garamond" w:hAnsi="Garamond"/>
          <w:sz w:val="24"/>
          <w:szCs w:val="24"/>
        </w:rPr>
        <w:t>that might require</w:t>
      </w:r>
      <w:r w:rsidR="00EB64D3" w:rsidRPr="00826C87">
        <w:rPr>
          <w:rFonts w:ascii="Garamond" w:hAnsi="Garamond"/>
          <w:sz w:val="24"/>
          <w:szCs w:val="24"/>
        </w:rPr>
        <w:t xml:space="preserve"> additional calibration and adjustment, as needed to ensure the reliability of scores across submitted redesign plans and to ensure that team scores were comparable.</w:t>
      </w:r>
      <w:r w:rsidR="00FF18D5" w:rsidRPr="00826C87">
        <w:rPr>
          <w:rFonts w:ascii="Garamond" w:hAnsi="Garamond"/>
          <w:sz w:val="24"/>
          <w:szCs w:val="24"/>
        </w:rPr>
        <w:t xml:space="preserve"> Items identified for potential calibration were </w:t>
      </w:r>
      <w:r w:rsidR="00D41412" w:rsidRPr="00826C87">
        <w:rPr>
          <w:rFonts w:ascii="Garamond" w:hAnsi="Garamond"/>
          <w:sz w:val="24"/>
          <w:szCs w:val="24"/>
        </w:rPr>
        <w:t>flagged for</w:t>
      </w:r>
      <w:r w:rsidR="004C1F2C" w:rsidRPr="00826C87">
        <w:rPr>
          <w:rFonts w:ascii="Garamond" w:hAnsi="Garamond"/>
          <w:sz w:val="24"/>
          <w:szCs w:val="24"/>
        </w:rPr>
        <w:t xml:space="preserve"> review.</w:t>
      </w:r>
      <w:r w:rsidR="00FF18D5" w:rsidRPr="00826C87">
        <w:rPr>
          <w:rFonts w:ascii="Garamond" w:hAnsi="Garamond"/>
          <w:sz w:val="24"/>
          <w:szCs w:val="24"/>
        </w:rPr>
        <w:t xml:space="preserve"> </w:t>
      </w:r>
      <w:r w:rsidR="009C3640" w:rsidRPr="00826C87">
        <w:rPr>
          <w:rFonts w:ascii="Garamond" w:hAnsi="Garamond"/>
          <w:sz w:val="24"/>
          <w:szCs w:val="24"/>
        </w:rPr>
        <w:t>The calibration process is an evidence-based process intended to ensure that when rubric items (and reviewer scores for items) are based on similar or identical evidence across multiple proposals, the items are correctly scored and comparable, or if scores are different, that the evidence supports the different scores.</w:t>
      </w:r>
      <w:r w:rsidR="000020F3">
        <w:rPr>
          <w:rFonts w:ascii="Garamond" w:hAnsi="Garamond"/>
          <w:sz w:val="24"/>
          <w:szCs w:val="24"/>
        </w:rPr>
        <w:t xml:space="preserve"> One rubric item was raised in the calibration process. In the review of Excel High School and Brighton High School, both of which are located in Boston Public Schools, rubric item 3 received different scores. After carefully reviewing the written evidence in both school’s submission materials, it was determined that the quality of the response to that rubric item was equal in both cases, and the score was calibrated up for Excel High School in accordance with the rubric.  </w:t>
      </w:r>
    </w:p>
    <w:p w:rsidR="00F724FA" w:rsidRPr="00826C87" w:rsidRDefault="00F724FA" w:rsidP="00F724FA">
      <w:pPr>
        <w:spacing w:line="264" w:lineRule="auto"/>
        <w:rPr>
          <w:rFonts w:ascii="Garamond" w:eastAsia="ヒラギノ角ゴ Pro W3" w:hAnsi="Garamond"/>
          <w:b/>
          <w:color w:val="000000"/>
        </w:rPr>
      </w:pPr>
    </w:p>
    <w:p w:rsidR="00826C87" w:rsidRDefault="00826C87">
      <w:pPr>
        <w:rPr>
          <w:rFonts w:ascii="Garamond" w:eastAsia="ヒラギノ角ゴ Pro W3" w:hAnsi="Garamond"/>
          <w:b/>
          <w:color w:val="000000"/>
        </w:rPr>
      </w:pPr>
      <w:r>
        <w:rPr>
          <w:rFonts w:ascii="Garamond" w:hAnsi="Garamond"/>
          <w:b/>
        </w:rPr>
        <w:br w:type="page"/>
      </w:r>
      <w:bookmarkStart w:id="0" w:name="_GoBack"/>
      <w:bookmarkEnd w:id="0"/>
    </w:p>
    <w:p w:rsidR="00A219A4" w:rsidRDefault="00A219A4" w:rsidP="00F724FA">
      <w:pPr>
        <w:pStyle w:val="FootnoteText"/>
        <w:spacing w:line="264" w:lineRule="auto"/>
        <w:rPr>
          <w:rFonts w:ascii="Garamond" w:hAnsi="Garamond"/>
          <w:b/>
          <w:sz w:val="24"/>
          <w:szCs w:val="24"/>
        </w:rPr>
      </w:pPr>
    </w:p>
    <w:p w:rsidR="00EB64D3" w:rsidRPr="00826C87" w:rsidRDefault="00EB64D3" w:rsidP="00F724FA">
      <w:pPr>
        <w:pStyle w:val="FootnoteText"/>
        <w:spacing w:line="264" w:lineRule="auto"/>
        <w:rPr>
          <w:rFonts w:ascii="Garamond" w:hAnsi="Garamond"/>
          <w:b/>
          <w:sz w:val="24"/>
          <w:szCs w:val="24"/>
        </w:rPr>
      </w:pPr>
      <w:r w:rsidRPr="00826C87">
        <w:rPr>
          <w:rFonts w:ascii="Garamond" w:hAnsi="Garamond"/>
          <w:b/>
          <w:sz w:val="24"/>
          <w:szCs w:val="24"/>
        </w:rPr>
        <w:t>Interviews</w:t>
      </w:r>
    </w:p>
    <w:p w:rsidR="00355204" w:rsidRPr="00826C87" w:rsidRDefault="00F4600A" w:rsidP="00F724FA">
      <w:pPr>
        <w:pStyle w:val="FootnoteText"/>
        <w:spacing w:before="80" w:line="264" w:lineRule="auto"/>
        <w:rPr>
          <w:rFonts w:ascii="Garamond" w:hAnsi="Garamond"/>
          <w:color w:val="auto"/>
          <w:sz w:val="24"/>
          <w:szCs w:val="24"/>
        </w:rPr>
      </w:pPr>
      <w:r>
        <w:rPr>
          <w:rFonts w:ascii="Garamond" w:hAnsi="Garamond"/>
          <w:sz w:val="24"/>
          <w:szCs w:val="24"/>
        </w:rPr>
        <w:t>Districts</w:t>
      </w:r>
      <w:r w:rsidR="00EB64D3" w:rsidRPr="00826C87">
        <w:rPr>
          <w:rFonts w:ascii="Garamond" w:hAnsi="Garamond"/>
          <w:sz w:val="24"/>
          <w:szCs w:val="24"/>
        </w:rPr>
        <w:t xml:space="preserve"> and schools that submitted proposals </w:t>
      </w:r>
      <w:r w:rsidR="00933B32">
        <w:rPr>
          <w:rFonts w:ascii="Garamond" w:hAnsi="Garamond"/>
          <w:sz w:val="24"/>
          <w:szCs w:val="24"/>
        </w:rPr>
        <w:t>were</w:t>
      </w:r>
      <w:r w:rsidR="00EB64D3" w:rsidRPr="00826C87">
        <w:rPr>
          <w:rFonts w:ascii="Garamond" w:hAnsi="Garamond"/>
          <w:sz w:val="24"/>
          <w:szCs w:val="24"/>
        </w:rPr>
        <w:t xml:space="preserve"> invited</w:t>
      </w:r>
      <w:r w:rsidR="002F747A" w:rsidRPr="00826C87">
        <w:rPr>
          <w:rFonts w:ascii="Garamond" w:hAnsi="Garamond"/>
          <w:sz w:val="24"/>
          <w:szCs w:val="24"/>
        </w:rPr>
        <w:t xml:space="preserve"> to participate in</w:t>
      </w:r>
      <w:r w:rsidR="00EB64D3" w:rsidRPr="00826C87">
        <w:rPr>
          <w:rFonts w:ascii="Garamond" w:hAnsi="Garamond"/>
          <w:sz w:val="24"/>
          <w:szCs w:val="24"/>
        </w:rPr>
        <w:t xml:space="preserve"> </w:t>
      </w:r>
      <w:r w:rsidR="001B29D6">
        <w:rPr>
          <w:rFonts w:ascii="Garamond" w:hAnsi="Garamond"/>
          <w:sz w:val="24"/>
          <w:szCs w:val="24"/>
        </w:rPr>
        <w:t xml:space="preserve">an </w:t>
      </w:r>
      <w:r w:rsidR="00FF39A2">
        <w:rPr>
          <w:rFonts w:ascii="Garamond" w:hAnsi="Garamond"/>
          <w:color w:val="auto"/>
          <w:sz w:val="24"/>
          <w:szCs w:val="24"/>
        </w:rPr>
        <w:t xml:space="preserve">interview. </w:t>
      </w:r>
      <w:r w:rsidR="00933B32">
        <w:rPr>
          <w:rFonts w:ascii="Garamond" w:hAnsi="Garamond"/>
          <w:color w:val="auto"/>
          <w:sz w:val="24"/>
          <w:szCs w:val="24"/>
        </w:rPr>
        <w:t xml:space="preserve">Interviews consisted of a 20 to 30 minute joint presentation by district and school leaders followed by an hour and a half of questions by the ESE interview team. </w:t>
      </w:r>
    </w:p>
    <w:p w:rsidR="00EB64D3" w:rsidRPr="00826C87" w:rsidRDefault="00EB64D3" w:rsidP="00F724FA">
      <w:pPr>
        <w:pStyle w:val="FootnoteText"/>
        <w:spacing w:line="264" w:lineRule="auto"/>
        <w:rPr>
          <w:rFonts w:ascii="Garamond" w:hAnsi="Garamond"/>
          <w:sz w:val="24"/>
          <w:szCs w:val="24"/>
        </w:rPr>
      </w:pPr>
    </w:p>
    <w:p w:rsidR="00CB234D" w:rsidRDefault="00EB64D3" w:rsidP="004203AF">
      <w:pPr>
        <w:pStyle w:val="FootnoteText"/>
        <w:spacing w:line="264" w:lineRule="auto"/>
        <w:rPr>
          <w:rFonts w:ascii="Garamond" w:hAnsi="Garamond"/>
          <w:sz w:val="24"/>
          <w:szCs w:val="24"/>
        </w:rPr>
      </w:pPr>
      <w:r w:rsidRPr="00826C87">
        <w:rPr>
          <w:rFonts w:ascii="Garamond" w:hAnsi="Garamond"/>
          <w:sz w:val="24"/>
          <w:szCs w:val="24"/>
        </w:rPr>
        <w:t xml:space="preserve">The interview protocol included a set of standard questions to guide the discussion in each interview and a customized set of </w:t>
      </w:r>
      <w:r w:rsidR="00933B32">
        <w:rPr>
          <w:rFonts w:ascii="Garamond" w:hAnsi="Garamond"/>
          <w:sz w:val="24"/>
          <w:szCs w:val="24"/>
        </w:rPr>
        <w:t>proposal</w:t>
      </w:r>
      <w:r w:rsidRPr="00826C87">
        <w:rPr>
          <w:rFonts w:ascii="Garamond" w:hAnsi="Garamond"/>
          <w:sz w:val="24"/>
          <w:szCs w:val="24"/>
        </w:rPr>
        <w:t>-specific questions addressing programmatic and technical issues of a school</w:t>
      </w:r>
      <w:r w:rsidR="00933B32">
        <w:rPr>
          <w:rFonts w:ascii="Garamond" w:hAnsi="Garamond"/>
          <w:sz w:val="24"/>
          <w:szCs w:val="24"/>
        </w:rPr>
        <w:t xml:space="preserve">’s proposed intervention model. Specifically, </w:t>
      </w:r>
      <w:r w:rsidR="00EF5D60">
        <w:rPr>
          <w:rFonts w:ascii="Garamond" w:hAnsi="Garamond"/>
          <w:sz w:val="24"/>
          <w:szCs w:val="24"/>
        </w:rPr>
        <w:t xml:space="preserve">customized </w:t>
      </w:r>
      <w:r w:rsidR="00933B32">
        <w:rPr>
          <w:rFonts w:ascii="Garamond" w:hAnsi="Garamond"/>
          <w:sz w:val="24"/>
          <w:szCs w:val="24"/>
        </w:rPr>
        <w:t xml:space="preserve">interview questions were developed to </w:t>
      </w:r>
      <w:r w:rsidR="00CB234D">
        <w:rPr>
          <w:rFonts w:ascii="Garamond" w:hAnsi="Garamond"/>
          <w:sz w:val="24"/>
          <w:szCs w:val="24"/>
        </w:rPr>
        <w:t xml:space="preserve">address each rubric item that was scored a 2 or lower during the Team Review portion of the review process. The Interview Team used the information gathered during the interview to </w:t>
      </w:r>
      <w:r w:rsidR="00CB234D" w:rsidRPr="00CB234D">
        <w:rPr>
          <w:rFonts w:ascii="Garamond" w:hAnsi="Garamond"/>
          <w:b/>
          <w:sz w:val="24"/>
          <w:szCs w:val="24"/>
        </w:rPr>
        <w:t>rescore</w:t>
      </w:r>
      <w:r w:rsidR="00CB234D">
        <w:rPr>
          <w:rFonts w:ascii="Garamond" w:hAnsi="Garamond"/>
          <w:sz w:val="24"/>
          <w:szCs w:val="24"/>
        </w:rPr>
        <w:t xml:space="preserve"> each rubric item scoring 2 or lower, thus providing an opportunity for each school to answer questions about their Turnaround Pla</w:t>
      </w:r>
      <w:r w:rsidR="00EF5D60">
        <w:rPr>
          <w:rFonts w:ascii="Garamond" w:hAnsi="Garamond"/>
          <w:sz w:val="24"/>
          <w:szCs w:val="24"/>
        </w:rPr>
        <w:t>n and to ensure that the final s</w:t>
      </w:r>
      <w:r w:rsidR="00CB234D">
        <w:rPr>
          <w:rFonts w:ascii="Garamond" w:hAnsi="Garamond"/>
          <w:sz w:val="24"/>
          <w:szCs w:val="24"/>
        </w:rPr>
        <w:t xml:space="preserve">core for each proposal included relevant and current information that may not have been fully communicated in the written proposal. </w:t>
      </w:r>
    </w:p>
    <w:p w:rsidR="00CB234D" w:rsidRDefault="00CB234D" w:rsidP="004203AF">
      <w:pPr>
        <w:pStyle w:val="FootnoteText"/>
        <w:spacing w:line="264" w:lineRule="auto"/>
        <w:rPr>
          <w:rFonts w:ascii="Garamond" w:hAnsi="Garamond"/>
          <w:sz w:val="24"/>
          <w:szCs w:val="24"/>
        </w:rPr>
      </w:pPr>
    </w:p>
    <w:p w:rsidR="00EB64D3" w:rsidRDefault="00EB64D3" w:rsidP="004203AF">
      <w:pPr>
        <w:pStyle w:val="FootnoteText"/>
        <w:spacing w:line="264" w:lineRule="auto"/>
        <w:rPr>
          <w:rFonts w:ascii="Garamond" w:hAnsi="Garamond"/>
          <w:sz w:val="24"/>
          <w:szCs w:val="24"/>
        </w:rPr>
      </w:pPr>
      <w:r w:rsidRPr="00826C87">
        <w:rPr>
          <w:rFonts w:ascii="Garamond" w:hAnsi="Garamond"/>
          <w:sz w:val="24"/>
          <w:szCs w:val="24"/>
        </w:rPr>
        <w:t xml:space="preserve">Each ESE interview team was comprised of four individuals: (1) </w:t>
      </w:r>
      <w:r w:rsidR="00FF39A2">
        <w:rPr>
          <w:rFonts w:ascii="Garamond" w:hAnsi="Garamond"/>
          <w:sz w:val="24"/>
          <w:szCs w:val="24"/>
        </w:rPr>
        <w:t>a lead interviewer</w:t>
      </w:r>
      <w:r w:rsidR="002A6E0E" w:rsidRPr="00826C87">
        <w:rPr>
          <w:rFonts w:ascii="Garamond" w:hAnsi="Garamond"/>
          <w:color w:val="FF0000"/>
          <w:sz w:val="24"/>
          <w:szCs w:val="24"/>
        </w:rPr>
        <w:t xml:space="preserve"> </w:t>
      </w:r>
      <w:r w:rsidR="00CB234D">
        <w:rPr>
          <w:rFonts w:ascii="Garamond" w:hAnsi="Garamond"/>
          <w:sz w:val="24"/>
          <w:szCs w:val="24"/>
        </w:rPr>
        <w:t xml:space="preserve">(2) an external reviewer who participated in the Team Review portion of the review process; </w:t>
      </w:r>
      <w:r w:rsidRPr="00826C87">
        <w:rPr>
          <w:rFonts w:ascii="Garamond" w:hAnsi="Garamond"/>
          <w:sz w:val="24"/>
          <w:szCs w:val="24"/>
        </w:rPr>
        <w:t xml:space="preserve">(3) </w:t>
      </w:r>
      <w:r w:rsidR="00B704C9">
        <w:rPr>
          <w:rFonts w:ascii="Garamond" w:hAnsi="Garamond"/>
          <w:sz w:val="24"/>
          <w:szCs w:val="24"/>
        </w:rPr>
        <w:t>the f</w:t>
      </w:r>
      <w:r w:rsidR="00CB234D">
        <w:rPr>
          <w:rFonts w:ascii="Garamond" w:hAnsi="Garamond"/>
          <w:sz w:val="24"/>
          <w:szCs w:val="24"/>
        </w:rPr>
        <w:t>acilitator of the Team Review process</w:t>
      </w:r>
      <w:r w:rsidR="00A72540" w:rsidRPr="00826C87">
        <w:rPr>
          <w:rFonts w:ascii="Garamond" w:hAnsi="Garamond"/>
          <w:sz w:val="24"/>
          <w:szCs w:val="24"/>
        </w:rPr>
        <w:t>;</w:t>
      </w:r>
      <w:r w:rsidRPr="00826C87">
        <w:rPr>
          <w:rFonts w:ascii="Garamond" w:hAnsi="Garamond"/>
          <w:sz w:val="24"/>
          <w:szCs w:val="24"/>
        </w:rPr>
        <w:t xml:space="preserve"> and (4) a note taker. </w:t>
      </w:r>
      <w:r w:rsidR="00CB234D">
        <w:rPr>
          <w:rFonts w:ascii="Garamond" w:hAnsi="Garamond"/>
          <w:sz w:val="24"/>
          <w:szCs w:val="24"/>
        </w:rPr>
        <w:t xml:space="preserve">The SRG Rubric includes 4 items specific to the Interview, which were used by the interview team to score the interview, in addition </w:t>
      </w:r>
      <w:r w:rsidR="00B704C9">
        <w:rPr>
          <w:rFonts w:ascii="Garamond" w:hAnsi="Garamond"/>
          <w:sz w:val="24"/>
          <w:szCs w:val="24"/>
        </w:rPr>
        <w:t xml:space="preserve">to </w:t>
      </w:r>
      <w:r w:rsidR="00CB234D">
        <w:rPr>
          <w:rFonts w:ascii="Garamond" w:hAnsi="Garamond"/>
          <w:sz w:val="24"/>
          <w:szCs w:val="24"/>
        </w:rPr>
        <w:t xml:space="preserve">determining whether the responses provided during the interview warranted </w:t>
      </w:r>
      <w:r w:rsidR="00B704C9">
        <w:rPr>
          <w:rFonts w:ascii="Garamond" w:hAnsi="Garamond"/>
          <w:sz w:val="24"/>
          <w:szCs w:val="24"/>
        </w:rPr>
        <w:t>rescoring</w:t>
      </w:r>
      <w:r w:rsidR="00CB234D">
        <w:rPr>
          <w:rFonts w:ascii="Garamond" w:hAnsi="Garamond"/>
          <w:sz w:val="24"/>
          <w:szCs w:val="24"/>
        </w:rPr>
        <w:t xml:space="preserve"> rubric items that were previously scored 2 or lower.</w:t>
      </w:r>
    </w:p>
    <w:p w:rsidR="00CB234D" w:rsidRDefault="00CB234D" w:rsidP="004203AF">
      <w:pPr>
        <w:pStyle w:val="FootnoteText"/>
        <w:spacing w:line="264" w:lineRule="auto"/>
        <w:rPr>
          <w:rFonts w:ascii="Garamond" w:hAnsi="Garamond"/>
          <w:sz w:val="24"/>
          <w:szCs w:val="24"/>
        </w:rPr>
      </w:pPr>
    </w:p>
    <w:p w:rsidR="00CB234D" w:rsidRPr="00826C87" w:rsidRDefault="00CB234D" w:rsidP="004203AF">
      <w:pPr>
        <w:pStyle w:val="FootnoteText"/>
        <w:spacing w:line="264" w:lineRule="auto"/>
        <w:rPr>
          <w:rFonts w:ascii="Garamond" w:hAnsi="Garamond"/>
          <w:sz w:val="24"/>
          <w:szCs w:val="24"/>
        </w:rPr>
      </w:pPr>
      <w:r>
        <w:rPr>
          <w:rFonts w:ascii="Garamond" w:hAnsi="Garamond"/>
          <w:sz w:val="24"/>
          <w:szCs w:val="24"/>
        </w:rPr>
        <w:t>A final SRG Turnaround Proposal score was determined at the conclusion of the Interview.</w:t>
      </w:r>
    </w:p>
    <w:p w:rsidR="00EB64D3" w:rsidRPr="00826C87" w:rsidRDefault="00EB64D3" w:rsidP="00EB64D3">
      <w:pPr>
        <w:pStyle w:val="FootnoteText"/>
        <w:rPr>
          <w:rFonts w:ascii="Garamond" w:hAnsi="Garamond"/>
          <w:sz w:val="24"/>
          <w:szCs w:val="24"/>
        </w:rPr>
      </w:pPr>
    </w:p>
    <w:p w:rsidR="00EB64D3" w:rsidRPr="00826C87" w:rsidRDefault="00EB64D3" w:rsidP="00430178">
      <w:pPr>
        <w:pStyle w:val="Body"/>
        <w:spacing w:line="264" w:lineRule="auto"/>
        <w:rPr>
          <w:rFonts w:ascii="Garamond" w:hAnsi="Garamond"/>
          <w:b/>
          <w:szCs w:val="24"/>
        </w:rPr>
      </w:pPr>
      <w:r w:rsidRPr="00826C87">
        <w:rPr>
          <w:rFonts w:ascii="Garamond" w:hAnsi="Garamond"/>
          <w:b/>
          <w:szCs w:val="24"/>
        </w:rPr>
        <w:t>Recommendations for Awards</w:t>
      </w:r>
    </w:p>
    <w:p w:rsidR="00C43494" w:rsidRPr="00826C87" w:rsidRDefault="00EB64D3" w:rsidP="00C43494">
      <w:pPr>
        <w:pStyle w:val="Body"/>
        <w:spacing w:before="80" w:line="264" w:lineRule="auto"/>
        <w:rPr>
          <w:rFonts w:ascii="Garamond" w:hAnsi="Garamond"/>
          <w:b/>
          <w:szCs w:val="24"/>
        </w:rPr>
        <w:sectPr w:rsidR="00C43494" w:rsidRPr="00826C87" w:rsidSect="00826C87">
          <w:headerReference w:type="default" r:id="rId13"/>
          <w:footerReference w:type="even" r:id="rId14"/>
          <w:footerReference w:type="default" r:id="rId15"/>
          <w:pgSz w:w="12240" w:h="15840"/>
          <w:pgMar w:top="1440" w:right="1296" w:bottom="1440" w:left="1296" w:header="720" w:footer="720" w:gutter="0"/>
          <w:cols w:space="720"/>
        </w:sectPr>
      </w:pPr>
      <w:r w:rsidRPr="00826C87">
        <w:rPr>
          <w:rFonts w:ascii="Garamond" w:hAnsi="Garamond"/>
          <w:szCs w:val="24"/>
        </w:rPr>
        <w:t xml:space="preserve">At the conclusion of the full review session, inclusive of the team review process and interview sessions, recommendations for awarding the SRG grants were provided to </w:t>
      </w:r>
      <w:r w:rsidR="00CD25E5" w:rsidRPr="00826C87">
        <w:rPr>
          <w:rFonts w:ascii="Garamond" w:hAnsi="Garamond"/>
          <w:szCs w:val="24"/>
        </w:rPr>
        <w:t>Commissioner Mitchell Chester</w:t>
      </w:r>
      <w:r w:rsidRPr="00826C87">
        <w:rPr>
          <w:rFonts w:ascii="Garamond" w:hAnsi="Garamond"/>
          <w:szCs w:val="24"/>
        </w:rPr>
        <w:t xml:space="preserve">, who made the final determinations as to which schools would be awarded grants and the amount of each award. </w:t>
      </w:r>
    </w:p>
    <w:p w:rsidR="00EB64D3" w:rsidRPr="00826C87" w:rsidRDefault="00EB64D3" w:rsidP="00EB64D3">
      <w:pPr>
        <w:pStyle w:val="Body"/>
        <w:rPr>
          <w:rFonts w:ascii="Garamond" w:hAnsi="Garamond"/>
          <w:b/>
          <w:szCs w:val="24"/>
        </w:rPr>
      </w:pPr>
    </w:p>
    <w:tbl>
      <w:tblPr>
        <w:tblW w:w="123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530"/>
        <w:gridCol w:w="1620"/>
        <w:gridCol w:w="1530"/>
        <w:gridCol w:w="1080"/>
        <w:gridCol w:w="1440"/>
        <w:gridCol w:w="1170"/>
        <w:gridCol w:w="900"/>
        <w:gridCol w:w="900"/>
        <w:gridCol w:w="900"/>
      </w:tblGrid>
      <w:tr w:rsidR="00E711C4" w:rsidRPr="00826C87" w:rsidTr="000020F3">
        <w:trPr>
          <w:gridAfter w:val="2"/>
          <w:wAfter w:w="1800" w:type="dxa"/>
        </w:trPr>
        <w:tc>
          <w:tcPr>
            <w:tcW w:w="4410" w:type="dxa"/>
            <w:gridSpan w:val="3"/>
            <w:tcBorders>
              <w:top w:val="nil"/>
              <w:left w:val="nil"/>
              <w:bottom w:val="single" w:sz="4" w:space="0" w:color="auto"/>
              <w:right w:val="nil"/>
            </w:tcBorders>
            <w:shd w:val="clear" w:color="auto" w:fill="auto"/>
            <w:vAlign w:val="center"/>
          </w:tcPr>
          <w:p w:rsidR="00E711C4" w:rsidRPr="00826C87" w:rsidRDefault="00E711C4" w:rsidP="000020F3">
            <w:pPr>
              <w:pStyle w:val="Heading2"/>
              <w:jc w:val="center"/>
              <w:rPr>
                <w:rFonts w:ascii="Garamond" w:hAnsi="Garamond"/>
                <w:szCs w:val="24"/>
              </w:rPr>
            </w:pPr>
          </w:p>
        </w:tc>
        <w:tc>
          <w:tcPr>
            <w:tcW w:w="4050" w:type="dxa"/>
            <w:gridSpan w:val="3"/>
            <w:tcBorders>
              <w:left w:val="nil"/>
              <w:bottom w:val="single" w:sz="4" w:space="0" w:color="auto"/>
              <w:right w:val="nil"/>
            </w:tcBorders>
            <w:shd w:val="clear" w:color="auto" w:fill="auto"/>
            <w:vAlign w:val="center"/>
          </w:tcPr>
          <w:p w:rsidR="00E711C4" w:rsidRPr="00826C87" w:rsidRDefault="00E711C4" w:rsidP="000020F3">
            <w:pPr>
              <w:pStyle w:val="Body"/>
              <w:keepNext/>
              <w:jc w:val="center"/>
              <w:rPr>
                <w:rFonts w:ascii="Garamond" w:hAnsi="Garamond"/>
                <w:b/>
                <w:szCs w:val="24"/>
              </w:rPr>
            </w:pPr>
            <w:r w:rsidRPr="00826C87">
              <w:rPr>
                <w:rFonts w:ascii="Garamond" w:hAnsi="Garamond"/>
                <w:b/>
                <w:szCs w:val="24"/>
              </w:rPr>
              <w:t>Score by Rubric Dimension</w:t>
            </w:r>
          </w:p>
        </w:tc>
        <w:tc>
          <w:tcPr>
            <w:tcW w:w="1170" w:type="dxa"/>
            <w:tcBorders>
              <w:top w:val="nil"/>
              <w:left w:val="nil"/>
              <w:bottom w:val="single" w:sz="4" w:space="0" w:color="auto"/>
              <w:right w:val="nil"/>
            </w:tcBorders>
            <w:vAlign w:val="center"/>
          </w:tcPr>
          <w:p w:rsidR="00E711C4" w:rsidRPr="00826C87" w:rsidRDefault="00E711C4" w:rsidP="000020F3">
            <w:pPr>
              <w:pStyle w:val="Body"/>
              <w:keepNext/>
              <w:jc w:val="center"/>
              <w:rPr>
                <w:rFonts w:ascii="Garamond" w:hAnsi="Garamond"/>
                <w:b/>
                <w:szCs w:val="24"/>
              </w:rPr>
            </w:pPr>
          </w:p>
        </w:tc>
        <w:tc>
          <w:tcPr>
            <w:tcW w:w="900" w:type="dxa"/>
            <w:tcBorders>
              <w:top w:val="nil"/>
              <w:left w:val="nil"/>
              <w:bottom w:val="single" w:sz="4" w:space="0" w:color="auto"/>
              <w:right w:val="nil"/>
            </w:tcBorders>
            <w:vAlign w:val="center"/>
          </w:tcPr>
          <w:p w:rsidR="00E711C4" w:rsidRPr="00826C87" w:rsidRDefault="00E711C4" w:rsidP="000020F3">
            <w:pPr>
              <w:pStyle w:val="Body"/>
              <w:keepNext/>
              <w:jc w:val="center"/>
              <w:rPr>
                <w:rFonts w:ascii="Garamond" w:hAnsi="Garamond"/>
                <w:b/>
                <w:szCs w:val="24"/>
              </w:rPr>
            </w:pPr>
          </w:p>
        </w:tc>
      </w:tr>
      <w:tr w:rsidR="00E711C4" w:rsidRPr="00826C87" w:rsidTr="000020F3">
        <w:tc>
          <w:tcPr>
            <w:tcW w:w="1260" w:type="dxa"/>
            <w:tcBorders>
              <w:left w:val="nil"/>
            </w:tcBorders>
            <w:shd w:val="clear" w:color="auto" w:fill="C6D9F1" w:themeFill="text2" w:themeFillTint="33"/>
            <w:vAlign w:val="center"/>
          </w:tcPr>
          <w:p w:rsidR="00E711C4" w:rsidRPr="00A219A4" w:rsidRDefault="00E711C4" w:rsidP="000020F3">
            <w:pPr>
              <w:pStyle w:val="Heading2"/>
              <w:jc w:val="center"/>
              <w:rPr>
                <w:rFonts w:ascii="Garamond" w:hAnsi="Garamond"/>
                <w:sz w:val="22"/>
                <w:szCs w:val="22"/>
              </w:rPr>
            </w:pPr>
            <w:r w:rsidRPr="00A219A4">
              <w:rPr>
                <w:rFonts w:ascii="Garamond" w:hAnsi="Garamond"/>
                <w:sz w:val="22"/>
                <w:szCs w:val="22"/>
              </w:rPr>
              <w:t>District</w:t>
            </w:r>
          </w:p>
        </w:tc>
        <w:tc>
          <w:tcPr>
            <w:tcW w:w="1530" w:type="dxa"/>
            <w:shd w:val="clear" w:color="auto" w:fill="C6D9F1" w:themeFill="text2" w:themeFillTint="33"/>
            <w:vAlign w:val="center"/>
          </w:tcPr>
          <w:p w:rsidR="00E711C4" w:rsidRPr="00A219A4" w:rsidRDefault="00E711C4" w:rsidP="000020F3">
            <w:pPr>
              <w:pStyle w:val="Heading2"/>
              <w:jc w:val="center"/>
              <w:rPr>
                <w:rFonts w:ascii="Garamond" w:hAnsi="Garamond"/>
                <w:sz w:val="22"/>
                <w:szCs w:val="22"/>
              </w:rPr>
            </w:pPr>
            <w:r w:rsidRPr="00A219A4">
              <w:rPr>
                <w:rFonts w:ascii="Garamond" w:hAnsi="Garamond"/>
                <w:sz w:val="22"/>
                <w:szCs w:val="22"/>
              </w:rPr>
              <w:t>School</w:t>
            </w:r>
          </w:p>
        </w:tc>
        <w:tc>
          <w:tcPr>
            <w:tcW w:w="1620" w:type="dxa"/>
            <w:shd w:val="clear" w:color="auto" w:fill="C6D9F1" w:themeFill="text2" w:themeFillTint="33"/>
            <w:vAlign w:val="center"/>
          </w:tcPr>
          <w:p w:rsidR="00E711C4" w:rsidRPr="00A219A4" w:rsidRDefault="00E711C4" w:rsidP="000020F3">
            <w:pPr>
              <w:pStyle w:val="Heading2"/>
              <w:jc w:val="center"/>
              <w:rPr>
                <w:rFonts w:ascii="Garamond" w:hAnsi="Garamond"/>
                <w:sz w:val="22"/>
                <w:szCs w:val="22"/>
              </w:rPr>
            </w:pPr>
            <w:r w:rsidRPr="00A219A4">
              <w:rPr>
                <w:rFonts w:ascii="Garamond" w:hAnsi="Garamond"/>
                <w:sz w:val="22"/>
                <w:szCs w:val="22"/>
              </w:rPr>
              <w:t>Model</w:t>
            </w:r>
          </w:p>
        </w:tc>
        <w:tc>
          <w:tcPr>
            <w:tcW w:w="1530" w:type="dxa"/>
            <w:shd w:val="clear" w:color="auto" w:fill="C6D9F1" w:themeFill="text2" w:themeFillTint="33"/>
            <w:vAlign w:val="center"/>
          </w:tcPr>
          <w:p w:rsidR="00E711C4" w:rsidRPr="00A219A4" w:rsidRDefault="00E711C4" w:rsidP="000020F3">
            <w:pPr>
              <w:pStyle w:val="Heading2"/>
              <w:jc w:val="center"/>
              <w:rPr>
                <w:rFonts w:ascii="Garamond" w:hAnsi="Garamond"/>
                <w:sz w:val="22"/>
                <w:szCs w:val="22"/>
              </w:rPr>
            </w:pPr>
            <w:r w:rsidRPr="00A219A4">
              <w:rPr>
                <w:rFonts w:ascii="Garamond" w:hAnsi="Garamond"/>
                <w:sz w:val="22"/>
                <w:szCs w:val="22"/>
              </w:rPr>
              <w:t>Capacity and Commitment</w:t>
            </w:r>
          </w:p>
        </w:tc>
        <w:tc>
          <w:tcPr>
            <w:tcW w:w="1080" w:type="dxa"/>
            <w:shd w:val="clear" w:color="auto" w:fill="C6D9F1" w:themeFill="text2" w:themeFillTint="33"/>
            <w:vAlign w:val="center"/>
          </w:tcPr>
          <w:p w:rsidR="00E711C4" w:rsidRPr="00A219A4" w:rsidRDefault="00E711C4" w:rsidP="000020F3">
            <w:pPr>
              <w:pStyle w:val="Heading2"/>
              <w:jc w:val="center"/>
              <w:rPr>
                <w:rFonts w:ascii="Garamond" w:hAnsi="Garamond"/>
                <w:sz w:val="22"/>
                <w:szCs w:val="22"/>
              </w:rPr>
            </w:pPr>
            <w:r w:rsidRPr="00A219A4">
              <w:rPr>
                <w:rFonts w:ascii="Garamond" w:hAnsi="Garamond"/>
                <w:sz w:val="22"/>
                <w:szCs w:val="22"/>
              </w:rPr>
              <w:t>Data Analysis</w:t>
            </w:r>
          </w:p>
        </w:tc>
        <w:tc>
          <w:tcPr>
            <w:tcW w:w="1440" w:type="dxa"/>
            <w:shd w:val="clear" w:color="auto" w:fill="C6D9F1" w:themeFill="text2" w:themeFillTint="33"/>
            <w:vAlign w:val="center"/>
          </w:tcPr>
          <w:p w:rsidR="00E711C4" w:rsidRPr="00A219A4" w:rsidRDefault="00E711C4" w:rsidP="000020F3">
            <w:pPr>
              <w:pStyle w:val="Body"/>
              <w:keepNext/>
              <w:jc w:val="center"/>
              <w:rPr>
                <w:rFonts w:ascii="Garamond" w:hAnsi="Garamond"/>
                <w:b/>
                <w:sz w:val="22"/>
                <w:szCs w:val="22"/>
              </w:rPr>
            </w:pPr>
            <w:r w:rsidRPr="00A219A4">
              <w:rPr>
                <w:rFonts w:ascii="Garamond" w:hAnsi="Garamond"/>
                <w:b/>
                <w:sz w:val="22"/>
                <w:szCs w:val="22"/>
              </w:rPr>
              <w:t>Strategic and Actionable Approach</w:t>
            </w:r>
          </w:p>
        </w:tc>
        <w:tc>
          <w:tcPr>
            <w:tcW w:w="1170" w:type="dxa"/>
            <w:shd w:val="clear" w:color="auto" w:fill="C6D9F1" w:themeFill="text2" w:themeFillTint="33"/>
            <w:vAlign w:val="center"/>
          </w:tcPr>
          <w:p w:rsidR="00E711C4" w:rsidRPr="00A219A4" w:rsidRDefault="00E711C4" w:rsidP="000020F3">
            <w:pPr>
              <w:pStyle w:val="Heading2"/>
              <w:jc w:val="center"/>
              <w:rPr>
                <w:rFonts w:ascii="Garamond" w:hAnsi="Garamond"/>
                <w:sz w:val="22"/>
                <w:szCs w:val="22"/>
              </w:rPr>
            </w:pPr>
            <w:r>
              <w:rPr>
                <w:rFonts w:ascii="Garamond" w:hAnsi="Garamond"/>
                <w:sz w:val="22"/>
                <w:szCs w:val="22"/>
              </w:rPr>
              <w:t>Interview Score</w:t>
            </w:r>
          </w:p>
        </w:tc>
        <w:tc>
          <w:tcPr>
            <w:tcW w:w="900" w:type="dxa"/>
            <w:shd w:val="clear" w:color="auto" w:fill="C6D9F1" w:themeFill="text2" w:themeFillTint="33"/>
            <w:vAlign w:val="center"/>
          </w:tcPr>
          <w:p w:rsidR="00E711C4" w:rsidRPr="00A219A4" w:rsidRDefault="00E711C4" w:rsidP="000020F3">
            <w:pPr>
              <w:pStyle w:val="Heading2"/>
              <w:jc w:val="center"/>
              <w:rPr>
                <w:rFonts w:ascii="Garamond" w:hAnsi="Garamond"/>
                <w:sz w:val="22"/>
                <w:szCs w:val="22"/>
              </w:rPr>
            </w:pPr>
            <w:r>
              <w:rPr>
                <w:rFonts w:ascii="Garamond" w:hAnsi="Garamond"/>
                <w:sz w:val="22"/>
                <w:szCs w:val="22"/>
              </w:rPr>
              <w:t>Budget</w:t>
            </w:r>
          </w:p>
        </w:tc>
        <w:tc>
          <w:tcPr>
            <w:tcW w:w="900" w:type="dxa"/>
            <w:shd w:val="clear" w:color="auto" w:fill="C6D9F1" w:themeFill="text2" w:themeFillTint="33"/>
            <w:vAlign w:val="center"/>
          </w:tcPr>
          <w:p w:rsidR="00E711C4" w:rsidRPr="00A219A4" w:rsidRDefault="00E711C4" w:rsidP="000020F3">
            <w:pPr>
              <w:pStyle w:val="Heading2"/>
              <w:jc w:val="center"/>
              <w:rPr>
                <w:rFonts w:ascii="Garamond" w:hAnsi="Garamond"/>
                <w:sz w:val="22"/>
                <w:szCs w:val="22"/>
              </w:rPr>
            </w:pPr>
            <w:r w:rsidRPr="00A219A4">
              <w:rPr>
                <w:rFonts w:ascii="Garamond" w:hAnsi="Garamond"/>
                <w:sz w:val="22"/>
                <w:szCs w:val="22"/>
              </w:rPr>
              <w:t>Final Total</w:t>
            </w:r>
          </w:p>
        </w:tc>
        <w:tc>
          <w:tcPr>
            <w:tcW w:w="900" w:type="dxa"/>
            <w:tcBorders>
              <w:right w:val="nil"/>
            </w:tcBorders>
            <w:shd w:val="clear" w:color="auto" w:fill="C6D9F1" w:themeFill="text2" w:themeFillTint="33"/>
            <w:vAlign w:val="center"/>
          </w:tcPr>
          <w:p w:rsidR="00E711C4" w:rsidRPr="00A219A4" w:rsidRDefault="00E711C4" w:rsidP="000020F3">
            <w:pPr>
              <w:jc w:val="center"/>
              <w:rPr>
                <w:rFonts w:ascii="Garamond" w:hAnsi="Garamond"/>
                <w:b/>
                <w:sz w:val="22"/>
                <w:szCs w:val="22"/>
              </w:rPr>
            </w:pPr>
            <w:r w:rsidRPr="00A219A4">
              <w:rPr>
                <w:rFonts w:ascii="Garamond" w:hAnsi="Garamond"/>
                <w:b/>
                <w:sz w:val="22"/>
                <w:szCs w:val="22"/>
              </w:rPr>
              <w:t>Award</w:t>
            </w:r>
          </w:p>
        </w:tc>
      </w:tr>
      <w:tr w:rsidR="000020F3" w:rsidRPr="00826C87" w:rsidTr="00391445">
        <w:trPr>
          <w:trHeight w:val="540"/>
        </w:trPr>
        <w:tc>
          <w:tcPr>
            <w:tcW w:w="1260" w:type="dxa"/>
            <w:tcBorders>
              <w:left w:val="nil"/>
            </w:tcBorders>
            <w:shd w:val="clear" w:color="auto" w:fill="auto"/>
            <w:vAlign w:val="center"/>
          </w:tcPr>
          <w:p w:rsidR="000020F3" w:rsidRPr="00E52BF0" w:rsidRDefault="000020F3" w:rsidP="000020F3">
            <w:pPr>
              <w:jc w:val="center"/>
              <w:rPr>
                <w:rFonts w:ascii="Garamond" w:hAnsi="Garamond"/>
                <w:sz w:val="22"/>
                <w:szCs w:val="22"/>
              </w:rPr>
            </w:pPr>
            <w:r>
              <w:rPr>
                <w:rFonts w:ascii="Garamond" w:hAnsi="Garamond"/>
                <w:sz w:val="22"/>
                <w:szCs w:val="22"/>
              </w:rPr>
              <w:t>Boston</w:t>
            </w:r>
          </w:p>
        </w:tc>
        <w:tc>
          <w:tcPr>
            <w:tcW w:w="1530" w:type="dxa"/>
            <w:shd w:val="clear" w:color="auto" w:fill="auto"/>
            <w:vAlign w:val="center"/>
          </w:tcPr>
          <w:p w:rsidR="000020F3" w:rsidRPr="00E52BF0" w:rsidRDefault="000020F3" w:rsidP="000020F3">
            <w:pPr>
              <w:jc w:val="center"/>
              <w:rPr>
                <w:rFonts w:ascii="Garamond" w:hAnsi="Garamond"/>
                <w:sz w:val="22"/>
                <w:szCs w:val="22"/>
              </w:rPr>
            </w:pPr>
            <w:r>
              <w:rPr>
                <w:rFonts w:ascii="Garamond" w:hAnsi="Garamond"/>
                <w:sz w:val="22"/>
                <w:szCs w:val="22"/>
              </w:rPr>
              <w:t>Brighton High</w:t>
            </w:r>
          </w:p>
        </w:tc>
        <w:tc>
          <w:tcPr>
            <w:tcW w:w="1620" w:type="dxa"/>
            <w:shd w:val="clear" w:color="auto" w:fill="auto"/>
            <w:vAlign w:val="center"/>
          </w:tcPr>
          <w:p w:rsidR="000020F3" w:rsidRPr="00E52BF0" w:rsidRDefault="000020F3" w:rsidP="000020F3">
            <w:pPr>
              <w:jc w:val="center"/>
              <w:rPr>
                <w:rFonts w:ascii="Garamond" w:hAnsi="Garamond"/>
                <w:sz w:val="22"/>
                <w:szCs w:val="22"/>
              </w:rPr>
            </w:pPr>
            <w:r>
              <w:rPr>
                <w:rFonts w:ascii="Garamond" w:hAnsi="Garamond"/>
                <w:sz w:val="22"/>
                <w:szCs w:val="22"/>
              </w:rPr>
              <w:t>Transformation</w:t>
            </w:r>
          </w:p>
        </w:tc>
        <w:tc>
          <w:tcPr>
            <w:tcW w:w="153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29</w:t>
            </w:r>
          </w:p>
        </w:tc>
        <w:tc>
          <w:tcPr>
            <w:tcW w:w="108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9</w:t>
            </w:r>
          </w:p>
        </w:tc>
        <w:tc>
          <w:tcPr>
            <w:tcW w:w="144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24</w:t>
            </w:r>
          </w:p>
        </w:tc>
        <w:tc>
          <w:tcPr>
            <w:tcW w:w="117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15</w:t>
            </w:r>
          </w:p>
        </w:tc>
        <w:tc>
          <w:tcPr>
            <w:tcW w:w="90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8</w:t>
            </w:r>
          </w:p>
        </w:tc>
        <w:tc>
          <w:tcPr>
            <w:tcW w:w="900" w:type="dxa"/>
            <w:shd w:val="clear" w:color="auto" w:fill="D9D9D9" w:themeFill="background1" w:themeFillShade="D9"/>
            <w:vAlign w:val="center"/>
          </w:tcPr>
          <w:p w:rsidR="000020F3" w:rsidRPr="00391445" w:rsidRDefault="000020F3" w:rsidP="00391445">
            <w:pPr>
              <w:jc w:val="center"/>
              <w:rPr>
                <w:rFonts w:asciiTheme="majorHAnsi" w:hAnsiTheme="majorHAnsi"/>
                <w:b/>
                <w:sz w:val="20"/>
                <w:szCs w:val="20"/>
              </w:rPr>
            </w:pPr>
            <w:r w:rsidRPr="00391445">
              <w:rPr>
                <w:rFonts w:asciiTheme="majorHAnsi" w:hAnsiTheme="majorHAnsi"/>
                <w:b/>
                <w:sz w:val="20"/>
                <w:szCs w:val="20"/>
              </w:rPr>
              <w:t>85</w:t>
            </w:r>
          </w:p>
        </w:tc>
        <w:tc>
          <w:tcPr>
            <w:tcW w:w="900" w:type="dxa"/>
            <w:tcBorders>
              <w:right w:val="nil"/>
            </w:tcBorders>
            <w:shd w:val="clear" w:color="auto" w:fill="D9D9D9" w:themeFill="background1" w:themeFillShade="D9"/>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Yes</w:t>
            </w:r>
          </w:p>
        </w:tc>
      </w:tr>
      <w:tr w:rsidR="000020F3" w:rsidRPr="00826C87" w:rsidTr="00391445">
        <w:trPr>
          <w:trHeight w:val="540"/>
        </w:trPr>
        <w:tc>
          <w:tcPr>
            <w:tcW w:w="1260" w:type="dxa"/>
            <w:tcBorders>
              <w:left w:val="nil"/>
            </w:tcBorders>
            <w:shd w:val="clear" w:color="auto" w:fill="auto"/>
            <w:vAlign w:val="center"/>
          </w:tcPr>
          <w:p w:rsidR="000020F3" w:rsidRPr="00E52BF0" w:rsidRDefault="000020F3" w:rsidP="000020F3">
            <w:pPr>
              <w:jc w:val="center"/>
              <w:rPr>
                <w:rFonts w:ascii="Garamond" w:hAnsi="Garamond"/>
                <w:sz w:val="22"/>
                <w:szCs w:val="22"/>
              </w:rPr>
            </w:pPr>
            <w:r>
              <w:rPr>
                <w:rFonts w:ascii="Garamond" w:hAnsi="Garamond"/>
                <w:sz w:val="22"/>
                <w:szCs w:val="22"/>
              </w:rPr>
              <w:t>Boston</w:t>
            </w:r>
          </w:p>
        </w:tc>
        <w:tc>
          <w:tcPr>
            <w:tcW w:w="1530" w:type="dxa"/>
            <w:shd w:val="clear" w:color="auto" w:fill="auto"/>
            <w:vAlign w:val="center"/>
          </w:tcPr>
          <w:p w:rsidR="000020F3" w:rsidRPr="00E52BF0" w:rsidRDefault="000020F3" w:rsidP="000020F3">
            <w:pPr>
              <w:jc w:val="center"/>
              <w:rPr>
                <w:rFonts w:ascii="Garamond" w:hAnsi="Garamond"/>
                <w:sz w:val="22"/>
                <w:szCs w:val="22"/>
              </w:rPr>
            </w:pPr>
            <w:r>
              <w:rPr>
                <w:rFonts w:ascii="Garamond" w:hAnsi="Garamond"/>
                <w:sz w:val="22"/>
                <w:szCs w:val="22"/>
              </w:rPr>
              <w:t>Excel High</w:t>
            </w:r>
          </w:p>
        </w:tc>
        <w:tc>
          <w:tcPr>
            <w:tcW w:w="1620" w:type="dxa"/>
            <w:shd w:val="clear" w:color="auto" w:fill="auto"/>
          </w:tcPr>
          <w:p w:rsidR="000020F3" w:rsidRDefault="000020F3">
            <w:r w:rsidRPr="00E673D8">
              <w:rPr>
                <w:rFonts w:ascii="Garamond" w:hAnsi="Garamond"/>
                <w:sz w:val="22"/>
                <w:szCs w:val="22"/>
              </w:rPr>
              <w:t>Transformation</w:t>
            </w:r>
          </w:p>
        </w:tc>
        <w:tc>
          <w:tcPr>
            <w:tcW w:w="153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31</w:t>
            </w:r>
          </w:p>
        </w:tc>
        <w:tc>
          <w:tcPr>
            <w:tcW w:w="108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9</w:t>
            </w:r>
          </w:p>
        </w:tc>
        <w:tc>
          <w:tcPr>
            <w:tcW w:w="144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24</w:t>
            </w:r>
          </w:p>
        </w:tc>
        <w:tc>
          <w:tcPr>
            <w:tcW w:w="117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14</w:t>
            </w:r>
          </w:p>
        </w:tc>
        <w:tc>
          <w:tcPr>
            <w:tcW w:w="90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8</w:t>
            </w:r>
          </w:p>
        </w:tc>
        <w:tc>
          <w:tcPr>
            <w:tcW w:w="900" w:type="dxa"/>
            <w:shd w:val="clear" w:color="auto" w:fill="D9D9D9" w:themeFill="background1" w:themeFillShade="D9"/>
            <w:vAlign w:val="center"/>
          </w:tcPr>
          <w:p w:rsidR="000020F3" w:rsidRPr="00391445" w:rsidRDefault="000020F3" w:rsidP="00391445">
            <w:pPr>
              <w:jc w:val="center"/>
              <w:rPr>
                <w:rFonts w:asciiTheme="majorHAnsi" w:hAnsiTheme="majorHAnsi"/>
                <w:b/>
                <w:bCs/>
                <w:sz w:val="20"/>
                <w:szCs w:val="20"/>
              </w:rPr>
            </w:pPr>
            <w:r w:rsidRPr="00391445">
              <w:rPr>
                <w:rFonts w:asciiTheme="majorHAnsi" w:hAnsiTheme="majorHAnsi"/>
                <w:b/>
                <w:bCs/>
                <w:sz w:val="20"/>
                <w:szCs w:val="20"/>
              </w:rPr>
              <w:t>86</w:t>
            </w:r>
          </w:p>
        </w:tc>
        <w:tc>
          <w:tcPr>
            <w:tcW w:w="900" w:type="dxa"/>
            <w:tcBorders>
              <w:right w:val="nil"/>
            </w:tcBorders>
            <w:shd w:val="clear" w:color="auto" w:fill="D9D9D9" w:themeFill="background1" w:themeFillShade="D9"/>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Yes</w:t>
            </w:r>
          </w:p>
        </w:tc>
      </w:tr>
      <w:tr w:rsidR="000020F3" w:rsidRPr="00826C87" w:rsidTr="00391445">
        <w:trPr>
          <w:trHeight w:val="540"/>
        </w:trPr>
        <w:tc>
          <w:tcPr>
            <w:tcW w:w="1260" w:type="dxa"/>
            <w:tcBorders>
              <w:left w:val="nil"/>
            </w:tcBorders>
            <w:shd w:val="clear" w:color="auto" w:fill="auto"/>
            <w:vAlign w:val="center"/>
          </w:tcPr>
          <w:p w:rsidR="000020F3" w:rsidRPr="00E52BF0" w:rsidRDefault="000020F3" w:rsidP="000020F3">
            <w:pPr>
              <w:jc w:val="center"/>
              <w:rPr>
                <w:rFonts w:ascii="Garamond" w:hAnsi="Garamond"/>
                <w:sz w:val="22"/>
                <w:szCs w:val="22"/>
              </w:rPr>
            </w:pPr>
            <w:r>
              <w:rPr>
                <w:rFonts w:ascii="Garamond" w:hAnsi="Garamond"/>
                <w:sz w:val="22"/>
                <w:szCs w:val="22"/>
              </w:rPr>
              <w:t>Fall River</w:t>
            </w:r>
          </w:p>
        </w:tc>
        <w:tc>
          <w:tcPr>
            <w:tcW w:w="1530" w:type="dxa"/>
            <w:shd w:val="clear" w:color="auto" w:fill="auto"/>
            <w:vAlign w:val="center"/>
          </w:tcPr>
          <w:p w:rsidR="000020F3" w:rsidRPr="00E52BF0" w:rsidRDefault="000020F3" w:rsidP="000020F3">
            <w:pPr>
              <w:jc w:val="center"/>
              <w:rPr>
                <w:rFonts w:ascii="Garamond" w:hAnsi="Garamond"/>
                <w:sz w:val="22"/>
                <w:szCs w:val="22"/>
              </w:rPr>
            </w:pPr>
            <w:r>
              <w:rPr>
                <w:rFonts w:ascii="Garamond" w:hAnsi="Garamond"/>
                <w:sz w:val="22"/>
                <w:szCs w:val="22"/>
              </w:rPr>
              <w:t>Fonseca Elementary</w:t>
            </w:r>
          </w:p>
        </w:tc>
        <w:tc>
          <w:tcPr>
            <w:tcW w:w="1620" w:type="dxa"/>
            <w:shd w:val="clear" w:color="auto" w:fill="auto"/>
          </w:tcPr>
          <w:p w:rsidR="000020F3" w:rsidRDefault="000020F3">
            <w:r w:rsidRPr="00E673D8">
              <w:rPr>
                <w:rFonts w:ascii="Garamond" w:hAnsi="Garamond"/>
                <w:sz w:val="22"/>
                <w:szCs w:val="22"/>
              </w:rPr>
              <w:t>Transformation</w:t>
            </w:r>
          </w:p>
        </w:tc>
        <w:tc>
          <w:tcPr>
            <w:tcW w:w="153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32</w:t>
            </w:r>
          </w:p>
        </w:tc>
        <w:tc>
          <w:tcPr>
            <w:tcW w:w="108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11</w:t>
            </w:r>
          </w:p>
        </w:tc>
        <w:tc>
          <w:tcPr>
            <w:tcW w:w="144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25</w:t>
            </w:r>
          </w:p>
        </w:tc>
        <w:tc>
          <w:tcPr>
            <w:tcW w:w="117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13</w:t>
            </w:r>
          </w:p>
        </w:tc>
        <w:tc>
          <w:tcPr>
            <w:tcW w:w="90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6</w:t>
            </w:r>
          </w:p>
        </w:tc>
        <w:tc>
          <w:tcPr>
            <w:tcW w:w="900" w:type="dxa"/>
            <w:shd w:val="clear" w:color="auto" w:fill="D9D9D9" w:themeFill="background1" w:themeFillShade="D9"/>
            <w:vAlign w:val="center"/>
          </w:tcPr>
          <w:p w:rsidR="000020F3" w:rsidRPr="00391445" w:rsidRDefault="000020F3" w:rsidP="00391445">
            <w:pPr>
              <w:jc w:val="center"/>
              <w:rPr>
                <w:rFonts w:asciiTheme="majorHAnsi" w:hAnsiTheme="majorHAnsi"/>
                <w:b/>
                <w:bCs/>
                <w:sz w:val="20"/>
                <w:szCs w:val="20"/>
              </w:rPr>
            </w:pPr>
            <w:r w:rsidRPr="00391445">
              <w:rPr>
                <w:rFonts w:asciiTheme="majorHAnsi" w:hAnsiTheme="majorHAnsi"/>
                <w:b/>
                <w:bCs/>
                <w:sz w:val="20"/>
                <w:szCs w:val="20"/>
              </w:rPr>
              <w:t>87</w:t>
            </w:r>
          </w:p>
        </w:tc>
        <w:tc>
          <w:tcPr>
            <w:tcW w:w="900" w:type="dxa"/>
            <w:tcBorders>
              <w:right w:val="nil"/>
            </w:tcBorders>
            <w:shd w:val="clear" w:color="auto" w:fill="D9D9D9" w:themeFill="background1" w:themeFillShade="D9"/>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Yes</w:t>
            </w:r>
          </w:p>
        </w:tc>
      </w:tr>
      <w:tr w:rsidR="000020F3" w:rsidRPr="00826C87" w:rsidTr="00391445">
        <w:trPr>
          <w:trHeight w:val="540"/>
        </w:trPr>
        <w:tc>
          <w:tcPr>
            <w:tcW w:w="1260" w:type="dxa"/>
            <w:tcBorders>
              <w:left w:val="nil"/>
            </w:tcBorders>
            <w:shd w:val="clear" w:color="auto" w:fill="auto"/>
            <w:vAlign w:val="center"/>
          </w:tcPr>
          <w:p w:rsidR="000020F3" w:rsidRDefault="000020F3" w:rsidP="000020F3">
            <w:pPr>
              <w:jc w:val="center"/>
              <w:rPr>
                <w:rFonts w:ascii="Garamond" w:hAnsi="Garamond"/>
                <w:sz w:val="22"/>
                <w:szCs w:val="22"/>
              </w:rPr>
            </w:pPr>
            <w:r>
              <w:rPr>
                <w:rFonts w:ascii="Garamond" w:hAnsi="Garamond"/>
                <w:sz w:val="22"/>
                <w:szCs w:val="22"/>
              </w:rPr>
              <w:t>Holyoke</w:t>
            </w:r>
          </w:p>
        </w:tc>
        <w:tc>
          <w:tcPr>
            <w:tcW w:w="1530" w:type="dxa"/>
            <w:shd w:val="clear" w:color="auto" w:fill="auto"/>
            <w:vAlign w:val="center"/>
          </w:tcPr>
          <w:p w:rsidR="000020F3" w:rsidRDefault="000020F3" w:rsidP="000020F3">
            <w:pPr>
              <w:jc w:val="center"/>
              <w:rPr>
                <w:rFonts w:ascii="Garamond" w:hAnsi="Garamond"/>
                <w:sz w:val="22"/>
                <w:szCs w:val="22"/>
              </w:rPr>
            </w:pPr>
            <w:r>
              <w:rPr>
                <w:rFonts w:ascii="Garamond" w:hAnsi="Garamond"/>
                <w:sz w:val="22"/>
                <w:szCs w:val="22"/>
              </w:rPr>
              <w:t>Dean Technical</w:t>
            </w:r>
          </w:p>
        </w:tc>
        <w:tc>
          <w:tcPr>
            <w:tcW w:w="1620" w:type="dxa"/>
            <w:shd w:val="clear" w:color="auto" w:fill="auto"/>
            <w:vAlign w:val="center"/>
          </w:tcPr>
          <w:p w:rsidR="000020F3" w:rsidRPr="00E52BF0" w:rsidRDefault="005D3FEE" w:rsidP="000020F3">
            <w:pPr>
              <w:jc w:val="center"/>
              <w:rPr>
                <w:rFonts w:ascii="Garamond" w:hAnsi="Garamond"/>
                <w:sz w:val="22"/>
                <w:szCs w:val="22"/>
              </w:rPr>
            </w:pPr>
            <w:r>
              <w:rPr>
                <w:rFonts w:ascii="Garamond" w:hAnsi="Garamond"/>
                <w:sz w:val="22"/>
                <w:szCs w:val="22"/>
              </w:rPr>
              <w:t>Transformation</w:t>
            </w:r>
          </w:p>
        </w:tc>
        <w:tc>
          <w:tcPr>
            <w:tcW w:w="153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29</w:t>
            </w:r>
          </w:p>
        </w:tc>
        <w:tc>
          <w:tcPr>
            <w:tcW w:w="108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9</w:t>
            </w:r>
          </w:p>
        </w:tc>
        <w:tc>
          <w:tcPr>
            <w:tcW w:w="144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24</w:t>
            </w:r>
          </w:p>
        </w:tc>
        <w:tc>
          <w:tcPr>
            <w:tcW w:w="117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14</w:t>
            </w:r>
          </w:p>
        </w:tc>
        <w:tc>
          <w:tcPr>
            <w:tcW w:w="900" w:type="dxa"/>
            <w:shd w:val="clear" w:color="auto" w:fill="auto"/>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6</w:t>
            </w:r>
          </w:p>
        </w:tc>
        <w:tc>
          <w:tcPr>
            <w:tcW w:w="900" w:type="dxa"/>
            <w:shd w:val="clear" w:color="auto" w:fill="D9D9D9" w:themeFill="background1" w:themeFillShade="D9"/>
            <w:vAlign w:val="center"/>
          </w:tcPr>
          <w:p w:rsidR="000020F3" w:rsidRPr="00391445" w:rsidRDefault="000020F3" w:rsidP="00391445">
            <w:pPr>
              <w:jc w:val="center"/>
              <w:rPr>
                <w:rFonts w:asciiTheme="majorHAnsi" w:hAnsiTheme="majorHAnsi"/>
                <w:b/>
                <w:bCs/>
                <w:sz w:val="20"/>
                <w:szCs w:val="20"/>
              </w:rPr>
            </w:pPr>
            <w:r w:rsidRPr="00391445">
              <w:rPr>
                <w:rFonts w:asciiTheme="majorHAnsi" w:hAnsiTheme="majorHAnsi"/>
                <w:b/>
                <w:bCs/>
                <w:sz w:val="20"/>
                <w:szCs w:val="20"/>
              </w:rPr>
              <w:t>82</w:t>
            </w:r>
          </w:p>
        </w:tc>
        <w:tc>
          <w:tcPr>
            <w:tcW w:w="900" w:type="dxa"/>
            <w:tcBorders>
              <w:right w:val="nil"/>
            </w:tcBorders>
            <w:shd w:val="clear" w:color="auto" w:fill="D9D9D9" w:themeFill="background1" w:themeFillShade="D9"/>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Yes</w:t>
            </w:r>
          </w:p>
        </w:tc>
      </w:tr>
      <w:tr w:rsidR="000020F3" w:rsidRPr="00826C87" w:rsidTr="00391445">
        <w:trPr>
          <w:trHeight w:val="540"/>
        </w:trPr>
        <w:tc>
          <w:tcPr>
            <w:tcW w:w="1260" w:type="dxa"/>
            <w:tcBorders>
              <w:left w:val="nil"/>
            </w:tcBorders>
            <w:shd w:val="clear" w:color="auto" w:fill="auto"/>
            <w:vAlign w:val="center"/>
          </w:tcPr>
          <w:p w:rsidR="000020F3" w:rsidRPr="00E52BF0" w:rsidRDefault="000020F3" w:rsidP="000020F3">
            <w:pPr>
              <w:jc w:val="center"/>
              <w:rPr>
                <w:rFonts w:ascii="Garamond" w:hAnsi="Garamond"/>
                <w:sz w:val="22"/>
                <w:szCs w:val="22"/>
              </w:rPr>
            </w:pPr>
            <w:r>
              <w:rPr>
                <w:rFonts w:ascii="Garamond" w:hAnsi="Garamond"/>
                <w:sz w:val="22"/>
                <w:szCs w:val="22"/>
              </w:rPr>
              <w:t>Lawrence</w:t>
            </w:r>
          </w:p>
        </w:tc>
        <w:tc>
          <w:tcPr>
            <w:tcW w:w="1530" w:type="dxa"/>
            <w:shd w:val="clear" w:color="auto" w:fill="auto"/>
            <w:vAlign w:val="center"/>
          </w:tcPr>
          <w:p w:rsidR="000020F3" w:rsidRPr="00E52BF0" w:rsidRDefault="000020F3" w:rsidP="000020F3">
            <w:pPr>
              <w:jc w:val="center"/>
              <w:rPr>
                <w:rFonts w:ascii="Garamond" w:hAnsi="Garamond"/>
                <w:sz w:val="22"/>
                <w:szCs w:val="22"/>
              </w:rPr>
            </w:pPr>
            <w:r>
              <w:rPr>
                <w:rFonts w:ascii="Garamond" w:hAnsi="Garamond"/>
                <w:sz w:val="22"/>
                <w:szCs w:val="22"/>
              </w:rPr>
              <w:t>Lawrence High</w:t>
            </w:r>
          </w:p>
        </w:tc>
        <w:tc>
          <w:tcPr>
            <w:tcW w:w="1620" w:type="dxa"/>
            <w:shd w:val="clear" w:color="auto" w:fill="auto"/>
            <w:vAlign w:val="center"/>
          </w:tcPr>
          <w:p w:rsidR="000020F3" w:rsidRPr="00E52BF0" w:rsidRDefault="005D3FEE" w:rsidP="000020F3">
            <w:pPr>
              <w:jc w:val="center"/>
              <w:rPr>
                <w:rFonts w:ascii="Garamond" w:hAnsi="Garamond"/>
                <w:sz w:val="22"/>
                <w:szCs w:val="22"/>
              </w:rPr>
            </w:pPr>
            <w:r>
              <w:rPr>
                <w:rFonts w:ascii="Garamond" w:hAnsi="Garamond"/>
                <w:sz w:val="22"/>
                <w:szCs w:val="22"/>
              </w:rPr>
              <w:t>Transformation</w:t>
            </w:r>
          </w:p>
        </w:tc>
        <w:tc>
          <w:tcPr>
            <w:tcW w:w="1530" w:type="dxa"/>
            <w:shd w:val="clear" w:color="auto" w:fill="auto"/>
            <w:vAlign w:val="center"/>
          </w:tcPr>
          <w:p w:rsidR="000020F3" w:rsidRPr="00391445" w:rsidRDefault="005D3FEE" w:rsidP="00391445">
            <w:pPr>
              <w:jc w:val="center"/>
              <w:rPr>
                <w:rFonts w:asciiTheme="majorHAnsi" w:hAnsiTheme="majorHAnsi"/>
                <w:sz w:val="20"/>
                <w:szCs w:val="20"/>
              </w:rPr>
            </w:pPr>
            <w:r w:rsidRPr="00391445">
              <w:rPr>
                <w:rFonts w:asciiTheme="majorHAnsi" w:hAnsiTheme="majorHAnsi"/>
                <w:sz w:val="20"/>
                <w:szCs w:val="20"/>
              </w:rPr>
              <w:t>29</w:t>
            </w:r>
          </w:p>
        </w:tc>
        <w:tc>
          <w:tcPr>
            <w:tcW w:w="1080" w:type="dxa"/>
            <w:shd w:val="clear" w:color="auto" w:fill="auto"/>
            <w:vAlign w:val="center"/>
          </w:tcPr>
          <w:p w:rsidR="000020F3" w:rsidRPr="00391445" w:rsidRDefault="005D3FEE" w:rsidP="00391445">
            <w:pPr>
              <w:jc w:val="center"/>
              <w:rPr>
                <w:rFonts w:asciiTheme="majorHAnsi" w:hAnsiTheme="majorHAnsi"/>
                <w:sz w:val="20"/>
                <w:szCs w:val="20"/>
              </w:rPr>
            </w:pPr>
            <w:r w:rsidRPr="00391445">
              <w:rPr>
                <w:rFonts w:asciiTheme="majorHAnsi" w:hAnsiTheme="majorHAnsi"/>
                <w:sz w:val="20"/>
                <w:szCs w:val="20"/>
              </w:rPr>
              <w:t>9</w:t>
            </w:r>
          </w:p>
        </w:tc>
        <w:tc>
          <w:tcPr>
            <w:tcW w:w="1440" w:type="dxa"/>
            <w:shd w:val="clear" w:color="auto" w:fill="auto"/>
            <w:vAlign w:val="center"/>
          </w:tcPr>
          <w:p w:rsidR="000020F3" w:rsidRPr="00391445" w:rsidRDefault="005D3FEE" w:rsidP="00391445">
            <w:pPr>
              <w:jc w:val="center"/>
              <w:rPr>
                <w:rFonts w:asciiTheme="majorHAnsi" w:hAnsiTheme="majorHAnsi"/>
                <w:sz w:val="20"/>
                <w:szCs w:val="20"/>
              </w:rPr>
            </w:pPr>
            <w:r w:rsidRPr="00391445">
              <w:rPr>
                <w:rFonts w:asciiTheme="majorHAnsi" w:hAnsiTheme="majorHAnsi"/>
                <w:sz w:val="20"/>
                <w:szCs w:val="20"/>
              </w:rPr>
              <w:t>22</w:t>
            </w:r>
          </w:p>
        </w:tc>
        <w:tc>
          <w:tcPr>
            <w:tcW w:w="1170" w:type="dxa"/>
            <w:shd w:val="clear" w:color="auto" w:fill="auto"/>
            <w:vAlign w:val="center"/>
          </w:tcPr>
          <w:p w:rsidR="000020F3" w:rsidRPr="00391445" w:rsidRDefault="005D3FEE" w:rsidP="00391445">
            <w:pPr>
              <w:jc w:val="center"/>
              <w:rPr>
                <w:rFonts w:asciiTheme="majorHAnsi" w:hAnsiTheme="majorHAnsi"/>
                <w:sz w:val="20"/>
                <w:szCs w:val="20"/>
              </w:rPr>
            </w:pPr>
            <w:r w:rsidRPr="00391445">
              <w:rPr>
                <w:rFonts w:asciiTheme="majorHAnsi" w:hAnsiTheme="majorHAnsi"/>
                <w:sz w:val="20"/>
                <w:szCs w:val="20"/>
              </w:rPr>
              <w:t>13</w:t>
            </w:r>
          </w:p>
        </w:tc>
        <w:tc>
          <w:tcPr>
            <w:tcW w:w="900" w:type="dxa"/>
            <w:shd w:val="clear" w:color="auto" w:fill="auto"/>
            <w:vAlign w:val="center"/>
          </w:tcPr>
          <w:p w:rsidR="000020F3" w:rsidRPr="00391445" w:rsidRDefault="005D3FEE" w:rsidP="00391445">
            <w:pPr>
              <w:jc w:val="center"/>
              <w:rPr>
                <w:rFonts w:asciiTheme="majorHAnsi" w:hAnsiTheme="majorHAnsi"/>
                <w:sz w:val="20"/>
                <w:szCs w:val="20"/>
              </w:rPr>
            </w:pPr>
            <w:r w:rsidRPr="00391445">
              <w:rPr>
                <w:rFonts w:asciiTheme="majorHAnsi" w:hAnsiTheme="majorHAnsi"/>
                <w:sz w:val="20"/>
                <w:szCs w:val="20"/>
              </w:rPr>
              <w:t>8</w:t>
            </w:r>
          </w:p>
        </w:tc>
        <w:tc>
          <w:tcPr>
            <w:tcW w:w="900" w:type="dxa"/>
            <w:shd w:val="clear" w:color="auto" w:fill="D9D9D9" w:themeFill="background1" w:themeFillShade="D9"/>
            <w:vAlign w:val="center"/>
          </w:tcPr>
          <w:p w:rsidR="000020F3" w:rsidRPr="00391445" w:rsidRDefault="005D3FEE" w:rsidP="00391445">
            <w:pPr>
              <w:jc w:val="center"/>
              <w:rPr>
                <w:rFonts w:asciiTheme="majorHAnsi" w:hAnsiTheme="majorHAnsi"/>
                <w:b/>
                <w:sz w:val="20"/>
                <w:szCs w:val="20"/>
              </w:rPr>
            </w:pPr>
            <w:r w:rsidRPr="00391445">
              <w:rPr>
                <w:rFonts w:asciiTheme="majorHAnsi" w:hAnsiTheme="majorHAnsi"/>
                <w:b/>
                <w:sz w:val="20"/>
                <w:szCs w:val="20"/>
              </w:rPr>
              <w:t>81</w:t>
            </w:r>
          </w:p>
        </w:tc>
        <w:tc>
          <w:tcPr>
            <w:tcW w:w="900" w:type="dxa"/>
            <w:tcBorders>
              <w:right w:val="nil"/>
            </w:tcBorders>
            <w:shd w:val="clear" w:color="auto" w:fill="D9D9D9" w:themeFill="background1" w:themeFillShade="D9"/>
            <w:vAlign w:val="center"/>
          </w:tcPr>
          <w:p w:rsidR="000020F3" w:rsidRPr="00391445" w:rsidRDefault="000020F3" w:rsidP="00391445">
            <w:pPr>
              <w:jc w:val="center"/>
              <w:rPr>
                <w:rFonts w:asciiTheme="majorHAnsi" w:hAnsiTheme="majorHAnsi"/>
                <w:sz w:val="20"/>
                <w:szCs w:val="20"/>
              </w:rPr>
            </w:pPr>
            <w:r w:rsidRPr="00391445">
              <w:rPr>
                <w:rFonts w:asciiTheme="majorHAnsi" w:hAnsiTheme="majorHAnsi"/>
                <w:sz w:val="20"/>
                <w:szCs w:val="20"/>
              </w:rPr>
              <w:t>Yes</w:t>
            </w:r>
          </w:p>
        </w:tc>
      </w:tr>
      <w:tr w:rsidR="005D3FEE" w:rsidRPr="00826C87" w:rsidTr="00391445">
        <w:trPr>
          <w:trHeight w:val="540"/>
        </w:trPr>
        <w:tc>
          <w:tcPr>
            <w:tcW w:w="1260" w:type="dxa"/>
            <w:tcBorders>
              <w:left w:val="nil"/>
            </w:tcBorders>
            <w:shd w:val="clear" w:color="auto" w:fill="auto"/>
            <w:vAlign w:val="center"/>
          </w:tcPr>
          <w:p w:rsidR="005D3FEE" w:rsidRPr="00E52BF0" w:rsidRDefault="005D3FEE" w:rsidP="000020F3">
            <w:pPr>
              <w:jc w:val="center"/>
              <w:rPr>
                <w:rFonts w:ascii="Garamond" w:hAnsi="Garamond"/>
                <w:sz w:val="22"/>
                <w:szCs w:val="22"/>
              </w:rPr>
            </w:pPr>
            <w:r>
              <w:rPr>
                <w:rFonts w:ascii="Garamond" w:hAnsi="Garamond"/>
                <w:sz w:val="22"/>
                <w:szCs w:val="22"/>
              </w:rPr>
              <w:t>Southbridge</w:t>
            </w:r>
          </w:p>
        </w:tc>
        <w:tc>
          <w:tcPr>
            <w:tcW w:w="1530" w:type="dxa"/>
            <w:shd w:val="clear" w:color="auto" w:fill="auto"/>
            <w:vAlign w:val="center"/>
          </w:tcPr>
          <w:p w:rsidR="005D3FEE" w:rsidRPr="00E52BF0" w:rsidRDefault="005D3FEE" w:rsidP="000020F3">
            <w:pPr>
              <w:jc w:val="center"/>
              <w:rPr>
                <w:rFonts w:ascii="Garamond" w:hAnsi="Garamond"/>
                <w:sz w:val="22"/>
                <w:szCs w:val="22"/>
              </w:rPr>
            </w:pPr>
            <w:r>
              <w:rPr>
                <w:rFonts w:ascii="Garamond" w:hAnsi="Garamond"/>
                <w:sz w:val="22"/>
                <w:szCs w:val="22"/>
              </w:rPr>
              <w:t>Southbridge High</w:t>
            </w:r>
          </w:p>
        </w:tc>
        <w:tc>
          <w:tcPr>
            <w:tcW w:w="1620" w:type="dxa"/>
            <w:shd w:val="clear" w:color="auto" w:fill="auto"/>
          </w:tcPr>
          <w:p w:rsidR="005D3FEE" w:rsidRDefault="005D3FEE">
            <w:r w:rsidRPr="0059079A">
              <w:rPr>
                <w:rFonts w:ascii="Garamond" w:hAnsi="Garamond"/>
                <w:sz w:val="22"/>
                <w:szCs w:val="22"/>
              </w:rPr>
              <w:t>Transformation</w:t>
            </w:r>
          </w:p>
        </w:tc>
        <w:tc>
          <w:tcPr>
            <w:tcW w:w="1530" w:type="dxa"/>
            <w:shd w:val="clear" w:color="auto" w:fill="auto"/>
            <w:vAlign w:val="center"/>
          </w:tcPr>
          <w:p w:rsidR="005D3FEE" w:rsidRPr="00391445" w:rsidRDefault="005D3FEE" w:rsidP="00391445">
            <w:pPr>
              <w:jc w:val="center"/>
              <w:rPr>
                <w:rFonts w:asciiTheme="majorHAnsi" w:hAnsiTheme="majorHAnsi"/>
                <w:sz w:val="20"/>
                <w:szCs w:val="20"/>
              </w:rPr>
            </w:pPr>
            <w:r w:rsidRPr="00391445">
              <w:rPr>
                <w:rFonts w:asciiTheme="majorHAnsi" w:hAnsiTheme="majorHAnsi"/>
                <w:sz w:val="20"/>
                <w:szCs w:val="20"/>
              </w:rPr>
              <w:t>45</w:t>
            </w:r>
          </w:p>
        </w:tc>
        <w:tc>
          <w:tcPr>
            <w:tcW w:w="1080" w:type="dxa"/>
            <w:shd w:val="clear" w:color="auto" w:fill="auto"/>
            <w:vAlign w:val="center"/>
          </w:tcPr>
          <w:p w:rsidR="005D3FEE" w:rsidRPr="00391445" w:rsidRDefault="005D3FEE" w:rsidP="00391445">
            <w:pPr>
              <w:jc w:val="center"/>
              <w:rPr>
                <w:rFonts w:asciiTheme="majorHAnsi" w:hAnsiTheme="majorHAnsi"/>
                <w:sz w:val="20"/>
                <w:szCs w:val="20"/>
              </w:rPr>
            </w:pPr>
            <w:r w:rsidRPr="00391445">
              <w:rPr>
                <w:rFonts w:asciiTheme="majorHAnsi" w:hAnsiTheme="majorHAnsi"/>
                <w:sz w:val="20"/>
                <w:szCs w:val="20"/>
              </w:rPr>
              <w:t>8</w:t>
            </w:r>
          </w:p>
        </w:tc>
        <w:tc>
          <w:tcPr>
            <w:tcW w:w="1440" w:type="dxa"/>
            <w:shd w:val="clear" w:color="auto" w:fill="auto"/>
            <w:vAlign w:val="center"/>
          </w:tcPr>
          <w:p w:rsidR="005D3FEE" w:rsidRPr="00391445" w:rsidRDefault="005D3FEE" w:rsidP="00391445">
            <w:pPr>
              <w:jc w:val="center"/>
              <w:rPr>
                <w:rFonts w:asciiTheme="majorHAnsi" w:hAnsiTheme="majorHAnsi"/>
                <w:sz w:val="20"/>
                <w:szCs w:val="20"/>
              </w:rPr>
            </w:pPr>
            <w:r w:rsidRPr="00391445">
              <w:rPr>
                <w:rFonts w:asciiTheme="majorHAnsi" w:hAnsiTheme="majorHAnsi"/>
                <w:sz w:val="20"/>
                <w:szCs w:val="20"/>
              </w:rPr>
              <w:t>20</w:t>
            </w:r>
          </w:p>
        </w:tc>
        <w:tc>
          <w:tcPr>
            <w:tcW w:w="1170" w:type="dxa"/>
            <w:shd w:val="clear" w:color="auto" w:fill="auto"/>
            <w:vAlign w:val="center"/>
          </w:tcPr>
          <w:p w:rsidR="005D3FEE" w:rsidRPr="00391445" w:rsidRDefault="005D3FEE" w:rsidP="00391445">
            <w:pPr>
              <w:jc w:val="center"/>
              <w:rPr>
                <w:rFonts w:asciiTheme="majorHAnsi" w:hAnsiTheme="majorHAnsi"/>
                <w:sz w:val="20"/>
                <w:szCs w:val="20"/>
              </w:rPr>
            </w:pPr>
            <w:r w:rsidRPr="00391445">
              <w:rPr>
                <w:rFonts w:asciiTheme="majorHAnsi" w:hAnsiTheme="majorHAnsi"/>
                <w:sz w:val="20"/>
                <w:szCs w:val="20"/>
              </w:rPr>
              <w:t>13</w:t>
            </w:r>
          </w:p>
        </w:tc>
        <w:tc>
          <w:tcPr>
            <w:tcW w:w="900" w:type="dxa"/>
            <w:shd w:val="clear" w:color="auto" w:fill="auto"/>
            <w:vAlign w:val="center"/>
          </w:tcPr>
          <w:p w:rsidR="005D3FEE" w:rsidRPr="00391445" w:rsidRDefault="005D3FEE" w:rsidP="00391445">
            <w:pPr>
              <w:jc w:val="center"/>
              <w:rPr>
                <w:rFonts w:asciiTheme="majorHAnsi" w:hAnsiTheme="majorHAnsi"/>
                <w:sz w:val="20"/>
                <w:szCs w:val="20"/>
              </w:rPr>
            </w:pPr>
            <w:r w:rsidRPr="00391445">
              <w:rPr>
                <w:rFonts w:asciiTheme="majorHAnsi" w:hAnsiTheme="majorHAnsi"/>
                <w:sz w:val="20"/>
                <w:szCs w:val="20"/>
              </w:rPr>
              <w:t>6</w:t>
            </w:r>
          </w:p>
        </w:tc>
        <w:tc>
          <w:tcPr>
            <w:tcW w:w="900" w:type="dxa"/>
            <w:shd w:val="clear" w:color="auto" w:fill="D9D9D9" w:themeFill="background1" w:themeFillShade="D9"/>
            <w:vAlign w:val="center"/>
          </w:tcPr>
          <w:p w:rsidR="005D3FEE" w:rsidRPr="00391445" w:rsidRDefault="005D3FEE" w:rsidP="00391445">
            <w:pPr>
              <w:jc w:val="center"/>
              <w:rPr>
                <w:rFonts w:asciiTheme="majorHAnsi" w:hAnsiTheme="majorHAnsi"/>
                <w:b/>
                <w:sz w:val="20"/>
                <w:szCs w:val="20"/>
              </w:rPr>
            </w:pPr>
            <w:r w:rsidRPr="00391445">
              <w:rPr>
                <w:rFonts w:asciiTheme="majorHAnsi" w:hAnsiTheme="majorHAnsi"/>
                <w:b/>
                <w:sz w:val="20"/>
                <w:szCs w:val="20"/>
              </w:rPr>
              <w:t>75</w:t>
            </w:r>
          </w:p>
        </w:tc>
        <w:tc>
          <w:tcPr>
            <w:tcW w:w="900" w:type="dxa"/>
            <w:tcBorders>
              <w:right w:val="nil"/>
            </w:tcBorders>
            <w:shd w:val="clear" w:color="auto" w:fill="D9D9D9" w:themeFill="background1" w:themeFillShade="D9"/>
            <w:vAlign w:val="center"/>
          </w:tcPr>
          <w:p w:rsidR="005D3FEE" w:rsidRPr="00391445" w:rsidRDefault="005D3FEE" w:rsidP="00391445">
            <w:pPr>
              <w:jc w:val="center"/>
              <w:rPr>
                <w:rFonts w:asciiTheme="majorHAnsi" w:hAnsiTheme="majorHAnsi"/>
                <w:sz w:val="20"/>
                <w:szCs w:val="20"/>
              </w:rPr>
            </w:pPr>
            <w:r w:rsidRPr="00391445">
              <w:rPr>
                <w:rFonts w:asciiTheme="majorHAnsi" w:hAnsiTheme="majorHAnsi"/>
                <w:sz w:val="20"/>
                <w:szCs w:val="20"/>
              </w:rPr>
              <w:t>Yes</w:t>
            </w:r>
          </w:p>
        </w:tc>
      </w:tr>
      <w:tr w:rsidR="005D3FEE" w:rsidRPr="00826C87" w:rsidTr="00391445">
        <w:trPr>
          <w:trHeight w:val="540"/>
        </w:trPr>
        <w:tc>
          <w:tcPr>
            <w:tcW w:w="1260" w:type="dxa"/>
            <w:tcBorders>
              <w:left w:val="nil"/>
            </w:tcBorders>
            <w:shd w:val="clear" w:color="auto" w:fill="auto"/>
            <w:vAlign w:val="center"/>
          </w:tcPr>
          <w:p w:rsidR="005D3FEE" w:rsidRDefault="005D3FEE" w:rsidP="000020F3">
            <w:pPr>
              <w:jc w:val="center"/>
              <w:rPr>
                <w:rFonts w:ascii="Garamond" w:hAnsi="Garamond"/>
                <w:sz w:val="22"/>
                <w:szCs w:val="22"/>
              </w:rPr>
            </w:pPr>
            <w:r>
              <w:rPr>
                <w:rFonts w:ascii="Garamond" w:hAnsi="Garamond"/>
                <w:sz w:val="22"/>
                <w:szCs w:val="22"/>
              </w:rPr>
              <w:t>Southbridge</w:t>
            </w:r>
          </w:p>
        </w:tc>
        <w:tc>
          <w:tcPr>
            <w:tcW w:w="1530" w:type="dxa"/>
            <w:shd w:val="clear" w:color="auto" w:fill="auto"/>
            <w:vAlign w:val="center"/>
          </w:tcPr>
          <w:p w:rsidR="005D3FEE" w:rsidRPr="00E52BF0" w:rsidRDefault="005D3FEE" w:rsidP="000020F3">
            <w:pPr>
              <w:jc w:val="center"/>
              <w:rPr>
                <w:rFonts w:ascii="Garamond" w:hAnsi="Garamond"/>
                <w:sz w:val="22"/>
                <w:szCs w:val="22"/>
              </w:rPr>
            </w:pPr>
            <w:r>
              <w:rPr>
                <w:rFonts w:ascii="Garamond" w:hAnsi="Garamond"/>
                <w:sz w:val="22"/>
                <w:szCs w:val="22"/>
              </w:rPr>
              <w:t>Southbridge Middle</w:t>
            </w:r>
          </w:p>
        </w:tc>
        <w:tc>
          <w:tcPr>
            <w:tcW w:w="1620" w:type="dxa"/>
            <w:shd w:val="clear" w:color="auto" w:fill="auto"/>
          </w:tcPr>
          <w:p w:rsidR="005D3FEE" w:rsidRDefault="005D3FEE">
            <w:r w:rsidRPr="0059079A">
              <w:rPr>
                <w:rFonts w:ascii="Garamond" w:hAnsi="Garamond"/>
                <w:sz w:val="22"/>
                <w:szCs w:val="22"/>
              </w:rPr>
              <w:t>Transformation</w:t>
            </w:r>
          </w:p>
        </w:tc>
        <w:tc>
          <w:tcPr>
            <w:tcW w:w="1530" w:type="dxa"/>
            <w:shd w:val="clear" w:color="auto" w:fill="auto"/>
            <w:vAlign w:val="center"/>
          </w:tcPr>
          <w:p w:rsidR="005D3FEE" w:rsidRPr="00391445" w:rsidRDefault="005D3FEE" w:rsidP="00391445">
            <w:pPr>
              <w:jc w:val="center"/>
              <w:rPr>
                <w:rFonts w:asciiTheme="majorHAnsi" w:hAnsiTheme="majorHAnsi"/>
                <w:sz w:val="20"/>
                <w:szCs w:val="20"/>
              </w:rPr>
            </w:pPr>
            <w:r w:rsidRPr="00391445">
              <w:rPr>
                <w:rFonts w:asciiTheme="majorHAnsi" w:hAnsiTheme="majorHAnsi"/>
                <w:sz w:val="20"/>
                <w:szCs w:val="20"/>
              </w:rPr>
              <w:t>33</w:t>
            </w:r>
          </w:p>
        </w:tc>
        <w:tc>
          <w:tcPr>
            <w:tcW w:w="1080" w:type="dxa"/>
            <w:shd w:val="clear" w:color="auto" w:fill="auto"/>
            <w:vAlign w:val="center"/>
          </w:tcPr>
          <w:p w:rsidR="005D3FEE" w:rsidRPr="00391445" w:rsidRDefault="005D3FEE" w:rsidP="00391445">
            <w:pPr>
              <w:jc w:val="center"/>
              <w:rPr>
                <w:rFonts w:asciiTheme="majorHAnsi" w:hAnsiTheme="majorHAnsi"/>
                <w:sz w:val="20"/>
                <w:szCs w:val="20"/>
              </w:rPr>
            </w:pPr>
            <w:r w:rsidRPr="00391445">
              <w:rPr>
                <w:rFonts w:asciiTheme="majorHAnsi" w:hAnsiTheme="majorHAnsi"/>
                <w:sz w:val="20"/>
                <w:szCs w:val="20"/>
              </w:rPr>
              <w:t>8</w:t>
            </w:r>
          </w:p>
        </w:tc>
        <w:tc>
          <w:tcPr>
            <w:tcW w:w="1440" w:type="dxa"/>
            <w:shd w:val="clear" w:color="auto" w:fill="auto"/>
            <w:vAlign w:val="center"/>
          </w:tcPr>
          <w:p w:rsidR="005D3FEE" w:rsidRPr="00391445" w:rsidRDefault="005D3FEE" w:rsidP="00391445">
            <w:pPr>
              <w:jc w:val="center"/>
              <w:rPr>
                <w:rFonts w:asciiTheme="majorHAnsi" w:hAnsiTheme="majorHAnsi"/>
                <w:sz w:val="20"/>
                <w:szCs w:val="20"/>
              </w:rPr>
            </w:pPr>
            <w:r w:rsidRPr="00391445">
              <w:rPr>
                <w:rFonts w:asciiTheme="majorHAnsi" w:hAnsiTheme="majorHAnsi"/>
                <w:sz w:val="20"/>
                <w:szCs w:val="20"/>
              </w:rPr>
              <w:t>20</w:t>
            </w:r>
          </w:p>
        </w:tc>
        <w:tc>
          <w:tcPr>
            <w:tcW w:w="1170" w:type="dxa"/>
            <w:shd w:val="clear" w:color="auto" w:fill="auto"/>
            <w:vAlign w:val="center"/>
          </w:tcPr>
          <w:p w:rsidR="005D3FEE" w:rsidRPr="00391445" w:rsidRDefault="005D3FEE" w:rsidP="00391445">
            <w:pPr>
              <w:jc w:val="center"/>
              <w:rPr>
                <w:rFonts w:asciiTheme="majorHAnsi" w:hAnsiTheme="majorHAnsi"/>
                <w:sz w:val="20"/>
                <w:szCs w:val="20"/>
              </w:rPr>
            </w:pPr>
            <w:r w:rsidRPr="00391445">
              <w:rPr>
                <w:rFonts w:asciiTheme="majorHAnsi" w:hAnsiTheme="majorHAnsi"/>
                <w:sz w:val="20"/>
                <w:szCs w:val="20"/>
              </w:rPr>
              <w:t>15</w:t>
            </w:r>
          </w:p>
        </w:tc>
        <w:tc>
          <w:tcPr>
            <w:tcW w:w="900" w:type="dxa"/>
            <w:shd w:val="clear" w:color="auto" w:fill="auto"/>
            <w:vAlign w:val="center"/>
          </w:tcPr>
          <w:p w:rsidR="005D3FEE" w:rsidRPr="00391445" w:rsidRDefault="005D3FEE" w:rsidP="00391445">
            <w:pPr>
              <w:jc w:val="center"/>
              <w:rPr>
                <w:rFonts w:asciiTheme="majorHAnsi" w:hAnsiTheme="majorHAnsi"/>
                <w:sz w:val="20"/>
                <w:szCs w:val="20"/>
              </w:rPr>
            </w:pPr>
            <w:r w:rsidRPr="00391445">
              <w:rPr>
                <w:rFonts w:asciiTheme="majorHAnsi" w:hAnsiTheme="majorHAnsi"/>
                <w:sz w:val="20"/>
                <w:szCs w:val="20"/>
              </w:rPr>
              <w:t>6</w:t>
            </w:r>
          </w:p>
        </w:tc>
        <w:tc>
          <w:tcPr>
            <w:tcW w:w="900" w:type="dxa"/>
            <w:shd w:val="clear" w:color="auto" w:fill="D9D9D9" w:themeFill="background1" w:themeFillShade="D9"/>
            <w:vAlign w:val="center"/>
          </w:tcPr>
          <w:p w:rsidR="005D3FEE" w:rsidRPr="00391445" w:rsidRDefault="005D3FEE" w:rsidP="00391445">
            <w:pPr>
              <w:jc w:val="center"/>
              <w:rPr>
                <w:rFonts w:asciiTheme="majorHAnsi" w:hAnsiTheme="majorHAnsi"/>
                <w:b/>
                <w:sz w:val="20"/>
                <w:szCs w:val="20"/>
              </w:rPr>
            </w:pPr>
            <w:r w:rsidRPr="00391445">
              <w:rPr>
                <w:rFonts w:asciiTheme="majorHAnsi" w:hAnsiTheme="majorHAnsi"/>
                <w:b/>
                <w:sz w:val="20"/>
                <w:szCs w:val="20"/>
              </w:rPr>
              <w:t>76</w:t>
            </w:r>
          </w:p>
        </w:tc>
        <w:tc>
          <w:tcPr>
            <w:tcW w:w="900" w:type="dxa"/>
            <w:tcBorders>
              <w:right w:val="nil"/>
            </w:tcBorders>
            <w:shd w:val="clear" w:color="auto" w:fill="D9D9D9" w:themeFill="background1" w:themeFillShade="D9"/>
            <w:vAlign w:val="center"/>
          </w:tcPr>
          <w:p w:rsidR="005D3FEE" w:rsidRPr="00391445" w:rsidRDefault="005D3FEE" w:rsidP="00391445">
            <w:pPr>
              <w:jc w:val="center"/>
              <w:rPr>
                <w:rFonts w:asciiTheme="majorHAnsi" w:hAnsiTheme="majorHAnsi"/>
                <w:sz w:val="20"/>
                <w:szCs w:val="20"/>
              </w:rPr>
            </w:pPr>
            <w:r w:rsidRPr="00391445">
              <w:rPr>
                <w:rFonts w:asciiTheme="majorHAnsi" w:hAnsiTheme="majorHAnsi"/>
                <w:sz w:val="20"/>
                <w:szCs w:val="20"/>
              </w:rPr>
              <w:t>Yes</w:t>
            </w:r>
          </w:p>
        </w:tc>
      </w:tr>
    </w:tbl>
    <w:p w:rsidR="00EB64D3" w:rsidRPr="00826C87" w:rsidRDefault="00EB64D3" w:rsidP="001E29D7">
      <w:pPr>
        <w:pStyle w:val="Body"/>
        <w:rPr>
          <w:rFonts w:ascii="Garamond" w:hAnsi="Garamond"/>
          <w:szCs w:val="24"/>
        </w:rPr>
      </w:pPr>
    </w:p>
    <w:p w:rsidR="00EB64D3" w:rsidRPr="00826C87" w:rsidRDefault="00EB64D3" w:rsidP="001E29D7">
      <w:pPr>
        <w:pStyle w:val="FootnoteText"/>
        <w:rPr>
          <w:rFonts w:ascii="Garamond" w:hAnsi="Garamond"/>
          <w:sz w:val="24"/>
          <w:szCs w:val="24"/>
        </w:rPr>
      </w:pPr>
      <w:r w:rsidRPr="00826C87">
        <w:rPr>
          <w:rFonts w:ascii="Garamond" w:hAnsi="Garamond"/>
          <w:sz w:val="24"/>
          <w:szCs w:val="24"/>
        </w:rPr>
        <w:t xml:space="preserve">The </w:t>
      </w:r>
      <w:r w:rsidRPr="00826C87">
        <w:rPr>
          <w:rFonts w:ascii="Garamond" w:hAnsi="Garamond"/>
          <w:b/>
          <w:sz w:val="24"/>
          <w:szCs w:val="24"/>
        </w:rPr>
        <w:t>Team Review Score</w:t>
      </w:r>
      <w:r w:rsidRPr="00826C87">
        <w:rPr>
          <w:rFonts w:ascii="Garamond" w:hAnsi="Garamond"/>
          <w:sz w:val="24"/>
          <w:szCs w:val="24"/>
        </w:rPr>
        <w:t xml:space="preserve"> column lists the scores generated during the </w:t>
      </w:r>
      <w:r w:rsidR="0079148D">
        <w:rPr>
          <w:rFonts w:ascii="Garamond" w:hAnsi="Garamond"/>
          <w:sz w:val="24"/>
          <w:szCs w:val="24"/>
        </w:rPr>
        <w:t xml:space="preserve">entire </w:t>
      </w:r>
      <w:r w:rsidRPr="00826C87">
        <w:rPr>
          <w:rFonts w:ascii="Garamond" w:hAnsi="Garamond"/>
          <w:sz w:val="24"/>
          <w:szCs w:val="24"/>
        </w:rPr>
        <w:t>Review Process</w:t>
      </w:r>
      <w:r w:rsidR="0079148D">
        <w:rPr>
          <w:rFonts w:ascii="Garamond" w:hAnsi="Garamond"/>
          <w:sz w:val="24"/>
          <w:szCs w:val="24"/>
        </w:rPr>
        <w:t>, inclusive of the</w:t>
      </w:r>
      <w:r w:rsidRPr="00826C87">
        <w:rPr>
          <w:rFonts w:ascii="Garamond" w:hAnsi="Garamond"/>
          <w:sz w:val="24"/>
          <w:szCs w:val="24"/>
        </w:rPr>
        <w:t xml:space="preserve"> </w:t>
      </w:r>
      <w:r w:rsidR="0079148D">
        <w:rPr>
          <w:rFonts w:ascii="Garamond" w:hAnsi="Garamond"/>
          <w:sz w:val="24"/>
          <w:szCs w:val="24"/>
        </w:rPr>
        <w:t xml:space="preserve">Team Review and the Interview </w:t>
      </w:r>
      <w:r w:rsidRPr="00826C87">
        <w:rPr>
          <w:rFonts w:ascii="Garamond" w:hAnsi="Garamond"/>
          <w:sz w:val="24"/>
          <w:szCs w:val="24"/>
        </w:rPr>
        <w:t xml:space="preserve">for each district/school </w:t>
      </w:r>
      <w:r w:rsidR="0079148D">
        <w:rPr>
          <w:rFonts w:ascii="Garamond" w:hAnsi="Garamond"/>
          <w:sz w:val="24"/>
          <w:szCs w:val="24"/>
        </w:rPr>
        <w:t>Turnaround Plan</w:t>
      </w:r>
      <w:r w:rsidRPr="00826C87">
        <w:rPr>
          <w:rFonts w:ascii="Garamond" w:hAnsi="Garamond"/>
          <w:sz w:val="24"/>
          <w:szCs w:val="24"/>
        </w:rPr>
        <w:t xml:space="preserve"> and is the sum of the scores the plan received in three dimensions: capacity and commitment, data analysis, and strategic and actionable approach. The </w:t>
      </w:r>
      <w:r w:rsidRPr="00826C87">
        <w:rPr>
          <w:rFonts w:ascii="Garamond" w:hAnsi="Garamond"/>
          <w:b/>
          <w:sz w:val="24"/>
          <w:szCs w:val="24"/>
        </w:rPr>
        <w:t xml:space="preserve">Final Total </w:t>
      </w:r>
      <w:r w:rsidRPr="00826C87">
        <w:rPr>
          <w:rFonts w:ascii="Garamond" w:hAnsi="Garamond"/>
          <w:sz w:val="24"/>
          <w:szCs w:val="24"/>
        </w:rPr>
        <w:t xml:space="preserve">column is the combined </w:t>
      </w:r>
      <w:r w:rsidRPr="001E29D7">
        <w:rPr>
          <w:rFonts w:ascii="Garamond" w:hAnsi="Garamond"/>
          <w:b/>
          <w:sz w:val="24"/>
          <w:szCs w:val="24"/>
        </w:rPr>
        <w:t>Team Review Score</w:t>
      </w:r>
      <w:r w:rsidRPr="00826C87">
        <w:rPr>
          <w:rFonts w:ascii="Garamond" w:hAnsi="Garamond"/>
          <w:sz w:val="24"/>
          <w:szCs w:val="24"/>
        </w:rPr>
        <w:t xml:space="preserve"> and </w:t>
      </w:r>
      <w:r w:rsidRPr="001E29D7">
        <w:rPr>
          <w:rFonts w:ascii="Garamond" w:hAnsi="Garamond"/>
          <w:b/>
          <w:sz w:val="24"/>
          <w:szCs w:val="24"/>
        </w:rPr>
        <w:t xml:space="preserve">Interview Score </w:t>
      </w:r>
      <w:r w:rsidRPr="00826C87">
        <w:rPr>
          <w:rFonts w:ascii="Garamond" w:hAnsi="Garamond"/>
          <w:sz w:val="24"/>
          <w:szCs w:val="24"/>
        </w:rPr>
        <w:t>and is the score used to determine awardees.</w:t>
      </w:r>
    </w:p>
    <w:p w:rsidR="00CD25E5" w:rsidRPr="00826C87" w:rsidRDefault="00CD25E5" w:rsidP="001E29D7">
      <w:pPr>
        <w:pStyle w:val="FootnoteText"/>
        <w:rPr>
          <w:rFonts w:ascii="Garamond" w:hAnsi="Garamond"/>
          <w:sz w:val="24"/>
          <w:szCs w:val="24"/>
        </w:rPr>
      </w:pPr>
    </w:p>
    <w:p w:rsidR="00CD25E5" w:rsidRPr="001E29D7" w:rsidRDefault="00CD25E5" w:rsidP="001E29D7">
      <w:pPr>
        <w:pStyle w:val="FootnoteText"/>
        <w:rPr>
          <w:rFonts w:ascii="Garamond" w:hAnsi="Garamond"/>
          <w:b/>
          <w:sz w:val="24"/>
          <w:szCs w:val="24"/>
        </w:rPr>
      </w:pPr>
      <w:r w:rsidRPr="00826C87">
        <w:rPr>
          <w:rFonts w:ascii="Garamond" w:hAnsi="Garamond"/>
          <w:b/>
          <w:sz w:val="24"/>
          <w:szCs w:val="24"/>
        </w:rPr>
        <w:t xml:space="preserve">Award Decision Criteria and Justification: </w:t>
      </w:r>
    </w:p>
    <w:p w:rsidR="0079148D" w:rsidRPr="0079148D" w:rsidRDefault="0079148D" w:rsidP="0079148D">
      <w:pPr>
        <w:pStyle w:val="FootnoteText"/>
        <w:numPr>
          <w:ilvl w:val="0"/>
          <w:numId w:val="3"/>
        </w:numPr>
        <w:rPr>
          <w:rFonts w:ascii="Garamond" w:hAnsi="Garamond"/>
          <w:sz w:val="24"/>
          <w:szCs w:val="24"/>
        </w:rPr>
      </w:pPr>
      <w:r>
        <w:rPr>
          <w:rFonts w:ascii="Garamond" w:hAnsi="Garamond"/>
          <w:b/>
          <w:sz w:val="24"/>
          <w:szCs w:val="24"/>
        </w:rPr>
        <w:t xml:space="preserve">A final total score of 75 or </w:t>
      </w:r>
      <w:r w:rsidRPr="0079148D">
        <w:rPr>
          <w:rFonts w:ascii="Garamond" w:hAnsi="Garamond"/>
          <w:b/>
          <w:sz w:val="24"/>
          <w:szCs w:val="24"/>
        </w:rPr>
        <w:t>higher</w:t>
      </w:r>
      <w:r w:rsidRPr="0079148D">
        <w:rPr>
          <w:rFonts w:ascii="Garamond" w:hAnsi="Garamond"/>
          <w:sz w:val="24"/>
          <w:szCs w:val="24"/>
        </w:rPr>
        <w:t xml:space="preserve"> is required to be considered for recommendation for award. </w:t>
      </w:r>
    </w:p>
    <w:p w:rsidR="0079148D" w:rsidRPr="0079148D" w:rsidRDefault="0079148D" w:rsidP="0079148D">
      <w:pPr>
        <w:pStyle w:val="FootnoteText"/>
        <w:ind w:left="720"/>
        <w:rPr>
          <w:rFonts w:ascii="Garamond" w:hAnsi="Garamond"/>
          <w:sz w:val="24"/>
          <w:szCs w:val="24"/>
        </w:rPr>
      </w:pPr>
    </w:p>
    <w:p w:rsidR="00E872D9" w:rsidRPr="0079148D" w:rsidRDefault="00CD25E5" w:rsidP="0079148D">
      <w:pPr>
        <w:pStyle w:val="FootnoteText"/>
        <w:numPr>
          <w:ilvl w:val="0"/>
          <w:numId w:val="3"/>
        </w:numPr>
        <w:rPr>
          <w:rFonts w:ascii="Garamond" w:hAnsi="Garamond"/>
          <w:sz w:val="24"/>
          <w:szCs w:val="24"/>
        </w:rPr>
      </w:pPr>
      <w:r w:rsidRPr="0079148D">
        <w:rPr>
          <w:rFonts w:ascii="Garamond" w:hAnsi="Garamond"/>
          <w:b/>
          <w:sz w:val="24"/>
          <w:szCs w:val="24"/>
        </w:rPr>
        <w:t>Award</w:t>
      </w:r>
      <w:r w:rsidR="00C43494" w:rsidRPr="0079148D">
        <w:rPr>
          <w:rFonts w:ascii="Garamond" w:hAnsi="Garamond"/>
          <w:b/>
          <w:sz w:val="24"/>
          <w:szCs w:val="24"/>
        </w:rPr>
        <w:t>s</w:t>
      </w:r>
      <w:r w:rsidRPr="0079148D">
        <w:rPr>
          <w:rFonts w:ascii="Garamond" w:hAnsi="Garamond"/>
          <w:b/>
          <w:sz w:val="24"/>
          <w:szCs w:val="24"/>
        </w:rPr>
        <w:t xml:space="preserve"> </w:t>
      </w:r>
      <w:r w:rsidR="00C43494" w:rsidRPr="0079148D">
        <w:rPr>
          <w:rFonts w:ascii="Garamond" w:hAnsi="Garamond"/>
          <w:b/>
          <w:sz w:val="24"/>
          <w:szCs w:val="24"/>
        </w:rPr>
        <w:t>are</w:t>
      </w:r>
      <w:r w:rsidRPr="0079148D">
        <w:rPr>
          <w:rFonts w:ascii="Garamond" w:hAnsi="Garamond"/>
          <w:b/>
          <w:sz w:val="24"/>
          <w:szCs w:val="24"/>
        </w:rPr>
        <w:t xml:space="preserve"> made </w:t>
      </w:r>
      <w:r w:rsidR="00C43494" w:rsidRPr="0079148D">
        <w:rPr>
          <w:rFonts w:ascii="Garamond" w:hAnsi="Garamond"/>
          <w:b/>
          <w:sz w:val="24"/>
          <w:szCs w:val="24"/>
        </w:rPr>
        <w:t>contingent</w:t>
      </w:r>
      <w:r w:rsidRPr="0079148D">
        <w:rPr>
          <w:rFonts w:ascii="Garamond" w:hAnsi="Garamond"/>
          <w:b/>
          <w:sz w:val="24"/>
          <w:szCs w:val="24"/>
        </w:rPr>
        <w:t xml:space="preserve"> on each school demonstrating evidence that they fully </w:t>
      </w:r>
      <w:r w:rsidR="00353D79" w:rsidRPr="0079148D">
        <w:rPr>
          <w:rFonts w:ascii="Garamond" w:hAnsi="Garamond"/>
          <w:b/>
          <w:sz w:val="24"/>
          <w:szCs w:val="24"/>
        </w:rPr>
        <w:t>me</w:t>
      </w:r>
      <w:r w:rsidR="00F724FA" w:rsidRPr="0079148D">
        <w:rPr>
          <w:rFonts w:ascii="Garamond" w:hAnsi="Garamond"/>
          <w:b/>
          <w:sz w:val="24"/>
          <w:szCs w:val="24"/>
        </w:rPr>
        <w:t>e</w:t>
      </w:r>
      <w:r w:rsidR="00353D79" w:rsidRPr="0079148D">
        <w:rPr>
          <w:rFonts w:ascii="Garamond" w:hAnsi="Garamond"/>
          <w:b/>
          <w:sz w:val="24"/>
          <w:szCs w:val="24"/>
        </w:rPr>
        <w:t>t</w:t>
      </w:r>
      <w:r w:rsidRPr="0079148D">
        <w:rPr>
          <w:rFonts w:ascii="Garamond" w:hAnsi="Garamond"/>
          <w:b/>
          <w:sz w:val="24"/>
          <w:szCs w:val="24"/>
        </w:rPr>
        <w:t xml:space="preserve"> the federal requirements for the selected intervention model</w:t>
      </w:r>
      <w:r w:rsidR="00E63908" w:rsidRPr="0079148D">
        <w:rPr>
          <w:rFonts w:ascii="Garamond" w:hAnsi="Garamond"/>
          <w:b/>
          <w:sz w:val="24"/>
          <w:szCs w:val="24"/>
        </w:rPr>
        <w:t xml:space="preserve"> and availability of SRG funds</w:t>
      </w:r>
      <w:r w:rsidRPr="0079148D">
        <w:rPr>
          <w:rFonts w:ascii="Garamond" w:hAnsi="Garamond"/>
          <w:sz w:val="24"/>
          <w:szCs w:val="24"/>
        </w:rPr>
        <w:t>.</w:t>
      </w:r>
      <w:r w:rsidR="00C43494" w:rsidRPr="0079148D">
        <w:rPr>
          <w:rFonts w:ascii="Garamond" w:hAnsi="Garamond"/>
          <w:sz w:val="24"/>
          <w:szCs w:val="24"/>
        </w:rPr>
        <w:t xml:space="preserve"> </w:t>
      </w:r>
    </w:p>
    <w:sectPr w:rsidR="00E872D9" w:rsidRPr="0079148D" w:rsidSect="00C43494">
      <w:pgSz w:w="15840" w:h="12240" w:orient="landscape"/>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0F3" w:rsidRDefault="000020F3" w:rsidP="00EB64D3">
      <w:r>
        <w:separator/>
      </w:r>
    </w:p>
  </w:endnote>
  <w:endnote w:type="continuationSeparator" w:id="0">
    <w:p w:rsidR="000020F3" w:rsidRDefault="000020F3" w:rsidP="00EB64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E00002FF" w:usb1="7AC7FFFF" w:usb2="00000012" w:usb3="00000000" w:csb0="0002000D"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F3" w:rsidRDefault="000020F3" w:rsidP="001E29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20F3" w:rsidRDefault="000020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F3" w:rsidRPr="001E29D7" w:rsidRDefault="000020F3" w:rsidP="001E29D7">
    <w:pPr>
      <w:pStyle w:val="Footer"/>
      <w:framePr w:wrap="around" w:vAnchor="text" w:hAnchor="margin" w:xAlign="center" w:y="1"/>
      <w:rPr>
        <w:rStyle w:val="PageNumber"/>
        <w:rFonts w:ascii="Garamond" w:hAnsi="Garamond"/>
        <w:sz w:val="20"/>
        <w:szCs w:val="20"/>
      </w:rPr>
    </w:pPr>
    <w:r w:rsidRPr="001E29D7">
      <w:rPr>
        <w:rStyle w:val="PageNumber"/>
        <w:rFonts w:ascii="Garamond" w:hAnsi="Garamond"/>
        <w:sz w:val="20"/>
        <w:szCs w:val="20"/>
      </w:rPr>
      <w:fldChar w:fldCharType="begin"/>
    </w:r>
    <w:r w:rsidRPr="001E29D7">
      <w:rPr>
        <w:rStyle w:val="PageNumber"/>
        <w:rFonts w:ascii="Garamond" w:hAnsi="Garamond"/>
        <w:sz w:val="20"/>
        <w:szCs w:val="20"/>
      </w:rPr>
      <w:instrText xml:space="preserve">PAGE  </w:instrText>
    </w:r>
    <w:r w:rsidRPr="001E29D7">
      <w:rPr>
        <w:rStyle w:val="PageNumber"/>
        <w:rFonts w:ascii="Garamond" w:hAnsi="Garamond"/>
        <w:sz w:val="20"/>
        <w:szCs w:val="20"/>
      </w:rPr>
      <w:fldChar w:fldCharType="separate"/>
    </w:r>
    <w:r w:rsidR="00391445">
      <w:rPr>
        <w:rStyle w:val="PageNumber"/>
        <w:rFonts w:ascii="Garamond" w:hAnsi="Garamond"/>
        <w:noProof/>
        <w:sz w:val="20"/>
        <w:szCs w:val="20"/>
      </w:rPr>
      <w:t>4</w:t>
    </w:r>
    <w:r w:rsidRPr="001E29D7">
      <w:rPr>
        <w:rStyle w:val="PageNumber"/>
        <w:rFonts w:ascii="Garamond" w:hAnsi="Garamond"/>
        <w:sz w:val="20"/>
        <w:szCs w:val="20"/>
      </w:rPr>
      <w:fldChar w:fldCharType="end"/>
    </w:r>
  </w:p>
  <w:p w:rsidR="000020F3" w:rsidRDefault="000020F3">
    <w:pPr>
      <w:pStyle w:val="HeaderFooter"/>
      <w:jc w:val="center"/>
      <w:rPr>
        <w:rFonts w:ascii="Times New Roman" w:eastAsia="Times New Roman" w:hAnsi="Times New Roman"/>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0F3" w:rsidRDefault="000020F3" w:rsidP="00EB64D3">
      <w:r>
        <w:separator/>
      </w:r>
    </w:p>
  </w:footnote>
  <w:footnote w:type="continuationSeparator" w:id="0">
    <w:p w:rsidR="000020F3" w:rsidRDefault="000020F3" w:rsidP="00EB6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F3" w:rsidRPr="00826C87" w:rsidRDefault="000020F3" w:rsidP="00E872D9">
    <w:pPr>
      <w:pStyle w:val="Body"/>
      <w:jc w:val="center"/>
      <w:rPr>
        <w:rFonts w:ascii="Garamond" w:hAnsi="Garamond"/>
        <w:b/>
      </w:rPr>
    </w:pPr>
    <w:r w:rsidRPr="00826C87">
      <w:rPr>
        <w:rFonts w:ascii="Garamond" w:hAnsi="Garamond"/>
        <w:b/>
      </w:rPr>
      <w:t>Massachusetts Department of Elementary and Secondary Education</w:t>
    </w:r>
  </w:p>
  <w:p w:rsidR="000020F3" w:rsidRPr="00826C87" w:rsidRDefault="000020F3" w:rsidP="00E872D9">
    <w:pPr>
      <w:pStyle w:val="Body"/>
      <w:jc w:val="center"/>
      <w:rPr>
        <w:rFonts w:ascii="Garamond" w:hAnsi="Garamond"/>
        <w:b/>
      </w:rPr>
    </w:pPr>
    <w:r>
      <w:rPr>
        <w:rFonts w:ascii="Garamond" w:hAnsi="Garamond"/>
        <w:b/>
      </w:rPr>
      <w:t xml:space="preserve">School Redesign Grant: </w:t>
    </w:r>
    <w:r w:rsidRPr="00826C87">
      <w:rPr>
        <w:rFonts w:ascii="Garamond" w:hAnsi="Garamond"/>
        <w:b/>
      </w:rPr>
      <w:t>Competit</w:t>
    </w:r>
    <w:r>
      <w:rPr>
        <w:rFonts w:ascii="Garamond" w:hAnsi="Garamond"/>
        <w:b/>
      </w:rPr>
      <w:t>ion Scoring Summary, Fall 2016 - Spring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435A"/>
    <w:multiLevelType w:val="hybridMultilevel"/>
    <w:tmpl w:val="F7EA6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741B60"/>
    <w:multiLevelType w:val="hybridMultilevel"/>
    <w:tmpl w:val="F1562DC0"/>
    <w:lvl w:ilvl="0" w:tplc="5734E766">
      <w:start w:val="1"/>
      <w:numFmt w:val="bullet"/>
      <w:lvlText w:val="-"/>
      <w:lvlJc w:val="left"/>
      <w:pPr>
        <w:ind w:left="720" w:hanging="360"/>
      </w:pPr>
      <w:rPr>
        <w:rFonts w:ascii="Times New Roman" w:eastAsia="ヒラギノ角ゴ Pro W3"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DE3C52"/>
    <w:multiLevelType w:val="hybridMultilevel"/>
    <w:tmpl w:val="4E86FB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532315"/>
    <w:multiLevelType w:val="hybridMultilevel"/>
    <w:tmpl w:val="0F102A2E"/>
    <w:lvl w:ilvl="0" w:tplc="7CC4FEFC">
      <w:start w:val="78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778A6544">
      <w:start w:val="1"/>
      <w:numFmt w:val="bullet"/>
      <w:pStyle w:val="ListParagraph"/>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CB2760"/>
    <w:multiLevelType w:val="hybridMultilevel"/>
    <w:tmpl w:val="A76EB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DD70DD"/>
    <w:multiLevelType w:val="hybridMultilevel"/>
    <w:tmpl w:val="83BEA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
  <w:rsids>
    <w:rsidRoot w:val="00EB64D3"/>
    <w:rsid w:val="000020F3"/>
    <w:rsid w:val="00035DC9"/>
    <w:rsid w:val="00047245"/>
    <w:rsid w:val="0007435B"/>
    <w:rsid w:val="0009010D"/>
    <w:rsid w:val="00097228"/>
    <w:rsid w:val="000B36D3"/>
    <w:rsid w:val="000F3D7B"/>
    <w:rsid w:val="00164E28"/>
    <w:rsid w:val="00195E14"/>
    <w:rsid w:val="0019648A"/>
    <w:rsid w:val="001A0799"/>
    <w:rsid w:val="001A2808"/>
    <w:rsid w:val="001B29D6"/>
    <w:rsid w:val="001D3DA9"/>
    <w:rsid w:val="001D6794"/>
    <w:rsid w:val="001E29D7"/>
    <w:rsid w:val="001F0167"/>
    <w:rsid w:val="00252DCB"/>
    <w:rsid w:val="00290119"/>
    <w:rsid w:val="00297A20"/>
    <w:rsid w:val="002A6E0E"/>
    <w:rsid w:val="002D1DAA"/>
    <w:rsid w:val="002D324A"/>
    <w:rsid w:val="002F747A"/>
    <w:rsid w:val="00302D4A"/>
    <w:rsid w:val="0031539D"/>
    <w:rsid w:val="0032681E"/>
    <w:rsid w:val="0033392C"/>
    <w:rsid w:val="00353D79"/>
    <w:rsid w:val="00355204"/>
    <w:rsid w:val="00355881"/>
    <w:rsid w:val="003731A2"/>
    <w:rsid w:val="00391445"/>
    <w:rsid w:val="00394A30"/>
    <w:rsid w:val="003A60FE"/>
    <w:rsid w:val="003A6A75"/>
    <w:rsid w:val="003C0BC2"/>
    <w:rsid w:val="003C2D6F"/>
    <w:rsid w:val="003E4144"/>
    <w:rsid w:val="003F52C3"/>
    <w:rsid w:val="004203AF"/>
    <w:rsid w:val="00430178"/>
    <w:rsid w:val="004456C0"/>
    <w:rsid w:val="004602D2"/>
    <w:rsid w:val="004633C2"/>
    <w:rsid w:val="00474746"/>
    <w:rsid w:val="00490B0A"/>
    <w:rsid w:val="00492366"/>
    <w:rsid w:val="004B68F3"/>
    <w:rsid w:val="004C1F2C"/>
    <w:rsid w:val="004E4542"/>
    <w:rsid w:val="004F3914"/>
    <w:rsid w:val="005847B9"/>
    <w:rsid w:val="005C03EE"/>
    <w:rsid w:val="005D0DA8"/>
    <w:rsid w:val="005D3FEE"/>
    <w:rsid w:val="0061224B"/>
    <w:rsid w:val="00656AD7"/>
    <w:rsid w:val="00662835"/>
    <w:rsid w:val="0068397C"/>
    <w:rsid w:val="006A36D5"/>
    <w:rsid w:val="007844BF"/>
    <w:rsid w:val="0079148D"/>
    <w:rsid w:val="007B4893"/>
    <w:rsid w:val="007E70F0"/>
    <w:rsid w:val="00813640"/>
    <w:rsid w:val="00826C87"/>
    <w:rsid w:val="008374E0"/>
    <w:rsid w:val="00846527"/>
    <w:rsid w:val="008519F8"/>
    <w:rsid w:val="008804D1"/>
    <w:rsid w:val="00897D27"/>
    <w:rsid w:val="008A6737"/>
    <w:rsid w:val="00933B32"/>
    <w:rsid w:val="00934DB5"/>
    <w:rsid w:val="009C3640"/>
    <w:rsid w:val="009C4E6E"/>
    <w:rsid w:val="00A219A4"/>
    <w:rsid w:val="00A3737A"/>
    <w:rsid w:val="00A42B37"/>
    <w:rsid w:val="00A72540"/>
    <w:rsid w:val="00AA1DAD"/>
    <w:rsid w:val="00AE0400"/>
    <w:rsid w:val="00AF3184"/>
    <w:rsid w:val="00B04E8E"/>
    <w:rsid w:val="00B43F9E"/>
    <w:rsid w:val="00B67231"/>
    <w:rsid w:val="00B67DF8"/>
    <w:rsid w:val="00B704C9"/>
    <w:rsid w:val="00BE7CBF"/>
    <w:rsid w:val="00C0032E"/>
    <w:rsid w:val="00C43494"/>
    <w:rsid w:val="00C96AD4"/>
    <w:rsid w:val="00CA7675"/>
    <w:rsid w:val="00CB234D"/>
    <w:rsid w:val="00CB5C17"/>
    <w:rsid w:val="00CD25E5"/>
    <w:rsid w:val="00CE39B4"/>
    <w:rsid w:val="00CF6669"/>
    <w:rsid w:val="00D25C76"/>
    <w:rsid w:val="00D403B7"/>
    <w:rsid w:val="00D41412"/>
    <w:rsid w:val="00D74D5A"/>
    <w:rsid w:val="00D86536"/>
    <w:rsid w:val="00D93F32"/>
    <w:rsid w:val="00DE3FD5"/>
    <w:rsid w:val="00DF350F"/>
    <w:rsid w:val="00E17B9C"/>
    <w:rsid w:val="00E30805"/>
    <w:rsid w:val="00E46A55"/>
    <w:rsid w:val="00E52BF0"/>
    <w:rsid w:val="00E60F2F"/>
    <w:rsid w:val="00E63908"/>
    <w:rsid w:val="00E711C4"/>
    <w:rsid w:val="00E75B71"/>
    <w:rsid w:val="00E872D9"/>
    <w:rsid w:val="00E91B30"/>
    <w:rsid w:val="00EB64D3"/>
    <w:rsid w:val="00EF5D60"/>
    <w:rsid w:val="00F0117E"/>
    <w:rsid w:val="00F4600A"/>
    <w:rsid w:val="00F474F3"/>
    <w:rsid w:val="00F550B1"/>
    <w:rsid w:val="00F724FA"/>
    <w:rsid w:val="00FA04D9"/>
    <w:rsid w:val="00FA71D8"/>
    <w:rsid w:val="00FF18D5"/>
    <w:rsid w:val="00FF3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D3"/>
    <w:rPr>
      <w:rFonts w:eastAsia="Times New Roman"/>
      <w:sz w:val="24"/>
      <w:szCs w:val="24"/>
      <w:lang w:eastAsia="en-US"/>
    </w:rPr>
  </w:style>
  <w:style w:type="paragraph" w:styleId="Heading2">
    <w:name w:val="heading 2"/>
    <w:next w:val="Body"/>
    <w:link w:val="Heading2Char"/>
    <w:autoRedefine/>
    <w:qFormat/>
    <w:rsid w:val="00EB64D3"/>
    <w:pPr>
      <w:keepNext/>
      <w:outlineLvl w:val="1"/>
    </w:pPr>
    <w:rPr>
      <w:rFonts w:ascii="Helvetica" w:eastAsia="ヒラギノ角ゴ Pro W3" w:hAnsi="Helvetica"/>
      <w:b/>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2914"/>
    <w:rPr>
      <w:rFonts w:ascii="Lucida Grande" w:hAnsi="Lucida Grande"/>
      <w:sz w:val="18"/>
      <w:szCs w:val="18"/>
    </w:rPr>
  </w:style>
  <w:style w:type="character" w:customStyle="1" w:styleId="Heading2Char">
    <w:name w:val="Heading 2 Char"/>
    <w:basedOn w:val="DefaultParagraphFont"/>
    <w:link w:val="Heading2"/>
    <w:rsid w:val="00EB64D3"/>
    <w:rPr>
      <w:rFonts w:ascii="Helvetica" w:eastAsia="ヒラギノ角ゴ Pro W3" w:hAnsi="Helvetica"/>
      <w:b/>
      <w:color w:val="000000"/>
      <w:sz w:val="24"/>
      <w:lang w:eastAsia="en-US"/>
    </w:rPr>
  </w:style>
  <w:style w:type="paragraph" w:customStyle="1" w:styleId="HeaderFooter">
    <w:name w:val="Header &amp; Footer"/>
    <w:rsid w:val="00EB64D3"/>
    <w:pPr>
      <w:tabs>
        <w:tab w:val="right" w:pos="9360"/>
      </w:tabs>
    </w:pPr>
    <w:rPr>
      <w:rFonts w:ascii="Helvetica" w:eastAsia="ヒラギノ角ゴ Pro W3" w:hAnsi="Helvetica"/>
      <w:color w:val="000000"/>
      <w:lang w:eastAsia="en-US"/>
    </w:rPr>
  </w:style>
  <w:style w:type="paragraph" w:customStyle="1" w:styleId="Body">
    <w:name w:val="Body"/>
    <w:rsid w:val="00EB64D3"/>
    <w:rPr>
      <w:rFonts w:ascii="Helvetica" w:eastAsia="ヒラギノ角ゴ Pro W3" w:hAnsi="Helvetica"/>
      <w:color w:val="000000"/>
      <w:sz w:val="24"/>
      <w:lang w:eastAsia="en-US"/>
    </w:rPr>
  </w:style>
  <w:style w:type="paragraph" w:styleId="FootnoteText">
    <w:name w:val="footnote text"/>
    <w:link w:val="FootnoteTextChar"/>
    <w:rsid w:val="00EB64D3"/>
    <w:rPr>
      <w:rFonts w:ascii="Helvetica" w:eastAsia="ヒラギノ角ゴ Pro W3" w:hAnsi="Helvetica"/>
      <w:color w:val="000000"/>
      <w:lang w:eastAsia="en-US"/>
    </w:rPr>
  </w:style>
  <w:style w:type="character" w:customStyle="1" w:styleId="FootnoteTextChar">
    <w:name w:val="Footnote Text Char"/>
    <w:basedOn w:val="DefaultParagraphFont"/>
    <w:link w:val="FootnoteText"/>
    <w:rsid w:val="00EB64D3"/>
    <w:rPr>
      <w:rFonts w:ascii="Helvetica" w:eastAsia="ヒラギノ角ゴ Pro W3" w:hAnsi="Helvetica"/>
      <w:color w:val="000000"/>
      <w:lang w:eastAsia="en-US"/>
    </w:rPr>
  </w:style>
  <w:style w:type="character" w:styleId="PageNumber">
    <w:name w:val="page number"/>
    <w:basedOn w:val="DefaultParagraphFont"/>
    <w:rsid w:val="00EB64D3"/>
  </w:style>
  <w:style w:type="paragraph" w:styleId="Header">
    <w:name w:val="header"/>
    <w:basedOn w:val="Normal"/>
    <w:link w:val="HeaderChar"/>
    <w:uiPriority w:val="99"/>
    <w:unhideWhenUsed/>
    <w:rsid w:val="00EB64D3"/>
    <w:pPr>
      <w:tabs>
        <w:tab w:val="center" w:pos="4320"/>
        <w:tab w:val="right" w:pos="8640"/>
      </w:tabs>
    </w:pPr>
  </w:style>
  <w:style w:type="character" w:customStyle="1" w:styleId="HeaderChar">
    <w:name w:val="Header Char"/>
    <w:basedOn w:val="DefaultParagraphFont"/>
    <w:link w:val="Header"/>
    <w:uiPriority w:val="99"/>
    <w:rsid w:val="00EB64D3"/>
    <w:rPr>
      <w:rFonts w:eastAsia="Times New Roman"/>
      <w:sz w:val="24"/>
      <w:szCs w:val="24"/>
      <w:lang w:eastAsia="en-US"/>
    </w:rPr>
  </w:style>
  <w:style w:type="paragraph" w:styleId="Footer">
    <w:name w:val="footer"/>
    <w:basedOn w:val="Normal"/>
    <w:link w:val="FooterChar"/>
    <w:uiPriority w:val="99"/>
    <w:unhideWhenUsed/>
    <w:rsid w:val="00EB64D3"/>
    <w:pPr>
      <w:tabs>
        <w:tab w:val="center" w:pos="4320"/>
        <w:tab w:val="right" w:pos="8640"/>
      </w:tabs>
    </w:pPr>
  </w:style>
  <w:style w:type="character" w:customStyle="1" w:styleId="FooterChar">
    <w:name w:val="Footer Char"/>
    <w:basedOn w:val="DefaultParagraphFont"/>
    <w:link w:val="Footer"/>
    <w:uiPriority w:val="99"/>
    <w:rsid w:val="00EB64D3"/>
    <w:rPr>
      <w:rFonts w:eastAsia="Times New Roman"/>
      <w:sz w:val="24"/>
      <w:szCs w:val="24"/>
      <w:lang w:eastAsia="en-US"/>
    </w:rPr>
  </w:style>
  <w:style w:type="paragraph" w:styleId="ListParagraph">
    <w:name w:val="List Paragraph"/>
    <w:autoRedefine/>
    <w:uiPriority w:val="34"/>
    <w:qFormat/>
    <w:rsid w:val="00E91B30"/>
    <w:pPr>
      <w:numPr>
        <w:ilvl w:val="2"/>
        <w:numId w:val="5"/>
      </w:numPr>
      <w:ind w:left="630"/>
      <w:contextualSpacing/>
    </w:pPr>
    <w:rPr>
      <w:rFonts w:eastAsia="ヒラギノ角ゴ Pro W3"/>
      <w:b/>
      <w:color w:val="000000"/>
      <w:sz w:val="22"/>
      <w:lang w:eastAsia="en-US"/>
    </w:rPr>
  </w:style>
  <w:style w:type="character" w:styleId="Hyperlink">
    <w:name w:val="Hyperlink"/>
    <w:basedOn w:val="DefaultParagraphFont"/>
    <w:uiPriority w:val="99"/>
    <w:unhideWhenUsed/>
    <w:rsid w:val="00F0117E"/>
    <w:rPr>
      <w:color w:val="0000FF"/>
      <w:u w:val="single"/>
    </w:rPr>
  </w:style>
  <w:style w:type="character" w:styleId="CommentReference">
    <w:name w:val="annotation reference"/>
    <w:basedOn w:val="DefaultParagraphFont"/>
    <w:uiPriority w:val="99"/>
    <w:semiHidden/>
    <w:unhideWhenUsed/>
    <w:rsid w:val="003F52C3"/>
    <w:rPr>
      <w:sz w:val="16"/>
      <w:szCs w:val="16"/>
    </w:rPr>
  </w:style>
  <w:style w:type="paragraph" w:styleId="CommentText">
    <w:name w:val="annotation text"/>
    <w:basedOn w:val="Normal"/>
    <w:link w:val="CommentTextChar"/>
    <w:uiPriority w:val="99"/>
    <w:semiHidden/>
    <w:unhideWhenUsed/>
    <w:rsid w:val="003F52C3"/>
    <w:rPr>
      <w:sz w:val="20"/>
      <w:szCs w:val="20"/>
    </w:rPr>
  </w:style>
  <w:style w:type="character" w:customStyle="1" w:styleId="CommentTextChar">
    <w:name w:val="Comment Text Char"/>
    <w:basedOn w:val="DefaultParagraphFont"/>
    <w:link w:val="CommentText"/>
    <w:uiPriority w:val="99"/>
    <w:semiHidden/>
    <w:rsid w:val="003F52C3"/>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F52C3"/>
    <w:rPr>
      <w:b/>
      <w:bCs/>
    </w:rPr>
  </w:style>
  <w:style w:type="character" w:customStyle="1" w:styleId="CommentSubjectChar">
    <w:name w:val="Comment Subject Char"/>
    <w:basedOn w:val="CommentTextChar"/>
    <w:link w:val="CommentSubject"/>
    <w:uiPriority w:val="99"/>
    <w:semiHidden/>
    <w:rsid w:val="003F52C3"/>
    <w:rPr>
      <w:rFonts w:eastAsia="Times New Roman"/>
      <w:b/>
      <w:bCs/>
      <w:lang w:eastAsia="en-US"/>
    </w:rPr>
  </w:style>
  <w:style w:type="character" w:styleId="FollowedHyperlink">
    <w:name w:val="FollowedHyperlink"/>
    <w:basedOn w:val="DefaultParagraphFont"/>
    <w:uiPriority w:val="99"/>
    <w:semiHidden/>
    <w:unhideWhenUsed/>
    <w:rsid w:val="00F460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0060613">
      <w:bodyDiv w:val="1"/>
      <w:marLeft w:val="0"/>
      <w:marRight w:val="0"/>
      <w:marTop w:val="0"/>
      <w:marBottom w:val="0"/>
      <w:divBdr>
        <w:top w:val="none" w:sz="0" w:space="0" w:color="auto"/>
        <w:left w:val="none" w:sz="0" w:space="0" w:color="auto"/>
        <w:bottom w:val="none" w:sz="0" w:space="0" w:color="auto"/>
        <w:right w:val="none" w:sz="0" w:space="0" w:color="auto"/>
      </w:divBdr>
    </w:div>
    <w:div w:id="15989018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yperlink" TargetMode="External" Target="http://www.mass.gov/edu/government/departments-and-boards/ese/programs/accountability/support-for-level-3-4-and-5-districts-and-schools/school-and-district-turnaround/school-redesign-grants/school-redesign-grants-information.ht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DESE-231-35325</_dlc_DocId>
    <_dlc_DocIdUrl xmlns="733efe1c-5bbe-4968-87dc-d400e65c879f">
      <Url>https://sharepoint.doemass.org/ese/webteam/cps/_layouts/DocIdRedir.aspx?ID=DESE-231-35325</Url>
      <Description>DESE-231-35325</Description>
    </_dlc_DocIdUrl>
  </documentManagement>
</p:propertie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AD061-8ED2-44E3-AC71-02616FFE6896}"/>
</file>

<file path=customXml/itemProps2.xml><?xml version="1.0" encoding="utf-8"?>
<ds:datastoreItem xmlns:ds="http://schemas.openxmlformats.org/officeDocument/2006/customXml" ds:itemID="{FCF208E7-6D62-4086-BA5B-2BDF02F30A6F}"/>
</file>

<file path=customXml/itemProps3.xml><?xml version="1.0" encoding="utf-8"?>
<ds:datastoreItem xmlns:ds="http://schemas.openxmlformats.org/officeDocument/2006/customXml" ds:itemID="{60AE8B31-8AD8-4C19-93E3-FC3089B05B6F}"/>
</file>

<file path=customXml/itemProps4.xml><?xml version="1.0" encoding="utf-8"?>
<ds:datastoreItem xmlns:ds="http://schemas.openxmlformats.org/officeDocument/2006/customXml" ds:itemID="{A26B7709-36E9-4A49-AC81-311F2BAD4BB6}"/>
</file>

<file path=customXml/itemProps5.xml><?xml version="1.0" encoding="utf-8"?>
<ds:datastoreItem xmlns:ds="http://schemas.openxmlformats.org/officeDocument/2006/customXml" ds:itemID="{4EF8459E-9216-41C4-969C-D16D695D07E4}"/>
</file>

<file path=docProps/app.xml><?xml version="1.0" encoding="utf-8"?>
<Properties xmlns="http://schemas.openxmlformats.org/officeDocument/2006/extended-properties" xmlns:vt="http://schemas.openxmlformats.org/officeDocument/2006/docPropsVTypes">
  <Template>Normal</Template>
  <TotalTime>28</TotalTime>
  <Pages>4</Pages>
  <Words>1358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School Redesign Grant Cohort VII Summary of Process and Results</vt:lpstr>
    </vt:vector>
  </TitlesOfParts>
  <Company>Microsoft</Company>
  <LinksUpToDate>false</LinksUpToDate>
  <CharactersWithSpaces>9201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2017-08-07T14:23:00Z</dcterms:created>
  <dc:creator>ESE</dc:creator>
  <lastModifiedBy>txa</lastModifiedBy>
  <dcterms:modified xsi:type="dcterms:W3CDTF">2017-08-07T14:50:00Z</dcterms:modified>
  <revision>6</revision>
  <dc:title>School Redesign Grant Cohort VII Summary of Process and Results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28 2015</vt:lpwstr>
  </property>
  <property fmtid="{D5CDD505-2E9C-101B-9397-08002B2CF9AE}" pid="3" name="_dlc_DocIdItemGuid">
    <vt:lpwstr>ff7d41f3-63e0-4ee7-8702-d0ff13b1ef83</vt:lpwstr>
  </property>
  <property fmtid="{D5CDD505-2E9C-101B-9397-08002B2CF9AE}" pid="4" name="ContentTypeId">
    <vt:lpwstr>0x010100524261BFE874874F899C38CF9C771BFF</vt:lpwstr>
  </property>
</Properties>
</file>