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D816" w14:textId="77777777" w:rsidR="00223A17" w:rsidRDefault="00A01E6F" w:rsidP="00223A17">
      <w:pPr>
        <w:pStyle w:val="Heading1"/>
        <w:spacing w:beforeLines="80" w:before="192" w:afterLines="80" w:after="192"/>
        <w:jc w:val="center"/>
        <w:rPr>
          <w:rFonts w:ascii="Segoe UI" w:hAnsi="Segoe UI" w:cs="Segoe UI"/>
        </w:rPr>
      </w:pPr>
      <w:r w:rsidRPr="009234DE">
        <w:rPr>
          <w:rFonts w:ascii="Segoe UI" w:hAnsi="Segoe UI" w:cs="Segoe UI"/>
        </w:rPr>
        <w:t>State Unintentional Drug Overdose Reporting System (SUDORS)</w:t>
      </w:r>
    </w:p>
    <w:p w14:paraId="37E10A41" w14:textId="71C75CB7" w:rsidR="00A01E6F" w:rsidRPr="009234DE" w:rsidRDefault="00A01E6F" w:rsidP="00223A17">
      <w:pPr>
        <w:pStyle w:val="Heading1"/>
        <w:spacing w:beforeLines="80" w:before="192" w:afterLines="80" w:after="192"/>
        <w:jc w:val="center"/>
        <w:rPr>
          <w:rFonts w:ascii="Segoe UI" w:hAnsi="Segoe UI" w:cs="Segoe UI"/>
        </w:rPr>
      </w:pPr>
      <w:r w:rsidRPr="009234DE">
        <w:rPr>
          <w:rFonts w:ascii="Segoe UI" w:hAnsi="Segoe UI" w:cs="Segoe UI"/>
        </w:rPr>
        <w:t>Summary of Unintentional and Undetermined Intent Drug Overdose Deaths in Massachusetts – 2023</w:t>
      </w:r>
    </w:p>
    <w:p w14:paraId="26B412F4" w14:textId="4A98C439" w:rsidR="00672700" w:rsidRDefault="009234DE" w:rsidP="00223A17">
      <w:pPr>
        <w:spacing w:beforeLines="80" w:before="192" w:afterLines="80" w:after="192"/>
        <w:rPr>
          <w:sz w:val="24"/>
          <w:szCs w:val="24"/>
        </w:rPr>
      </w:pPr>
      <w:r>
        <w:rPr>
          <w:sz w:val="24"/>
          <w:szCs w:val="24"/>
        </w:rPr>
        <w:t>In 2023, there were</w:t>
      </w:r>
      <w:r w:rsidR="00A01E6F" w:rsidRPr="009234DE">
        <w:rPr>
          <w:sz w:val="24"/>
          <w:szCs w:val="24"/>
        </w:rPr>
        <w:t xml:space="preserve"> 2,416</w:t>
      </w:r>
      <w:r w:rsidR="00A01E6F" w:rsidRPr="009234DE">
        <w:rPr>
          <w:sz w:val="24"/>
          <w:szCs w:val="24"/>
          <w:vertAlign w:val="superscript"/>
        </w:rPr>
        <w:t xml:space="preserve"> </w:t>
      </w:r>
      <w:r>
        <w:rPr>
          <w:sz w:val="24"/>
          <w:szCs w:val="24"/>
          <w:vertAlign w:val="superscript"/>
        </w:rPr>
        <w:t xml:space="preserve"> </w:t>
      </w:r>
      <w:r>
        <w:rPr>
          <w:sz w:val="24"/>
          <w:szCs w:val="24"/>
        </w:rPr>
        <w:t>deaths of unintentional or undetermined intent</w:t>
      </w:r>
      <w:r w:rsidRPr="009234DE">
        <w:rPr>
          <w:sz w:val="24"/>
          <w:szCs w:val="24"/>
        </w:rPr>
        <w:t xml:space="preserve"> </w:t>
      </w:r>
      <w:r w:rsidR="00A01E6F" w:rsidRPr="009234DE">
        <w:rPr>
          <w:sz w:val="24"/>
          <w:szCs w:val="24"/>
        </w:rPr>
        <w:t>(34.2 deaths per 100,000 population)</w:t>
      </w:r>
      <w:r w:rsidR="00223A17">
        <w:rPr>
          <w:sz w:val="24"/>
          <w:szCs w:val="24"/>
        </w:rPr>
        <w:t>.</w:t>
      </w:r>
      <w:r w:rsidR="00672700" w:rsidRPr="009234DE">
        <w:rPr>
          <w:rStyle w:val="FootnoteReference"/>
          <w:sz w:val="24"/>
          <w:szCs w:val="24"/>
        </w:rPr>
        <w:footnoteReference w:id="1"/>
      </w:r>
    </w:p>
    <w:p w14:paraId="6547E75E" w14:textId="27E065DA"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About SUDORS</w:t>
      </w:r>
    </w:p>
    <w:p w14:paraId="5B37FC0B" w14:textId="77777777" w:rsidR="00672700" w:rsidRPr="009234DE" w:rsidRDefault="00672700" w:rsidP="00223A17">
      <w:pPr>
        <w:spacing w:beforeLines="80" w:before="192" w:afterLines="80" w:after="192"/>
        <w:rPr>
          <w:sz w:val="24"/>
          <w:szCs w:val="24"/>
        </w:rPr>
      </w:pPr>
      <w:r w:rsidRPr="009234DE">
        <w:rPr>
          <w:sz w:val="24"/>
          <w:szCs w:val="24"/>
        </w:rPr>
        <w:t xml:space="preserve">The State Unintentional Drug Overdose Reporting System (SUDORS) is a component of the Overdose Data to Action in States (OD2A-S) project, a national initiative funded by the Centers for Disease Control and Prevention (CDC). </w:t>
      </w:r>
    </w:p>
    <w:p w14:paraId="0DCD101C" w14:textId="77777777" w:rsidR="00672700" w:rsidRPr="009234DE" w:rsidRDefault="00672700" w:rsidP="00223A17">
      <w:pPr>
        <w:spacing w:beforeLines="80" w:before="192" w:afterLines="80" w:after="192"/>
        <w:rPr>
          <w:sz w:val="24"/>
          <w:szCs w:val="24"/>
        </w:rPr>
      </w:pPr>
      <w:r w:rsidRPr="009234DE">
        <w:rPr>
          <w:sz w:val="24"/>
          <w:szCs w:val="24"/>
        </w:rPr>
        <w:t>SUDORS collects data on unintentional and undetermined intent drug overdose deaths occurring in Massachusetts. The system combines information from death certificates, medical examiner records, and toxicology reports.</w:t>
      </w:r>
    </w:p>
    <w:p w14:paraId="0EEFBB0C" w14:textId="734BC1E9" w:rsidR="00672700" w:rsidRPr="009234DE" w:rsidRDefault="00672700" w:rsidP="00223A17">
      <w:pPr>
        <w:spacing w:beforeLines="80" w:before="192" w:afterLines="80" w:after="192"/>
        <w:rPr>
          <w:sz w:val="24"/>
          <w:szCs w:val="24"/>
        </w:rPr>
      </w:pPr>
      <w:r w:rsidRPr="009234DE">
        <w:rPr>
          <w:sz w:val="24"/>
          <w:szCs w:val="24"/>
        </w:rPr>
        <w:t xml:space="preserve">Note: There may be discrepancies between </w:t>
      </w:r>
      <w:r>
        <w:rPr>
          <w:sz w:val="24"/>
          <w:szCs w:val="24"/>
        </w:rPr>
        <w:t xml:space="preserve">information reported in this document </w:t>
      </w:r>
      <w:r w:rsidRPr="009234DE">
        <w:rPr>
          <w:sz w:val="24"/>
          <w:szCs w:val="24"/>
        </w:rPr>
        <w:t>and other Massachusetts Department of Public Health reports due to differences in data sourcing, definitions, substance type groupings, and other factors.</w:t>
      </w:r>
    </w:p>
    <w:p w14:paraId="3CAFC91D" w14:textId="2B1BB239"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Demographic Information</w:t>
      </w:r>
    </w:p>
    <w:p w14:paraId="3C79C41F" w14:textId="735F7B88" w:rsidR="00672700" w:rsidRPr="00D271FA" w:rsidRDefault="00672700" w:rsidP="00223A17">
      <w:pPr>
        <w:pStyle w:val="Heading2"/>
        <w:spacing w:beforeLines="80" w:before="192" w:afterLines="80" w:after="192"/>
        <w:rPr>
          <w:rFonts w:ascii="Segoe UI" w:hAnsi="Segoe UI" w:cs="Segoe UI"/>
          <w:color w:val="auto"/>
          <w:sz w:val="24"/>
          <w:szCs w:val="24"/>
          <w:u w:val="single"/>
        </w:rPr>
      </w:pPr>
      <w:r w:rsidRPr="00D271FA">
        <w:rPr>
          <w:rFonts w:ascii="Segoe UI" w:hAnsi="Segoe UI" w:cs="Segoe UI"/>
          <w:color w:val="auto"/>
          <w:sz w:val="24"/>
          <w:szCs w:val="24"/>
          <w:u w:val="single"/>
        </w:rPr>
        <w:t>Sex</w:t>
      </w:r>
    </w:p>
    <w:p w14:paraId="3FE1CB7D" w14:textId="58B407CD" w:rsidR="00672700" w:rsidRPr="009234DE" w:rsidRDefault="00672700" w:rsidP="00223A17">
      <w:pPr>
        <w:spacing w:beforeLines="80" w:before="192" w:afterLines="80" w:after="192"/>
        <w:rPr>
          <w:sz w:val="24"/>
          <w:szCs w:val="24"/>
        </w:rPr>
      </w:pPr>
      <w:r w:rsidRPr="009234DE">
        <w:rPr>
          <w:sz w:val="24"/>
          <w:szCs w:val="24"/>
        </w:rPr>
        <w:t>Males accounted for 72</w:t>
      </w:r>
      <w:r w:rsidR="005B2771">
        <w:rPr>
          <w:sz w:val="24"/>
          <w:szCs w:val="24"/>
        </w:rPr>
        <w:t>.0</w:t>
      </w:r>
      <w:r w:rsidRPr="009234DE">
        <w:rPr>
          <w:sz w:val="24"/>
          <w:szCs w:val="24"/>
        </w:rPr>
        <w:t xml:space="preserve">% of deaths and females accounted for 28.0%. Their death rates per 100,000 population were 50.4 and 18.7, respectively. </w:t>
      </w:r>
    </w:p>
    <w:p w14:paraId="4F2B4D10" w14:textId="603B4ACC" w:rsidR="00672700" w:rsidRPr="00D271FA" w:rsidRDefault="00672700" w:rsidP="00223A17">
      <w:pPr>
        <w:pStyle w:val="Heading2"/>
        <w:spacing w:beforeLines="80" w:before="192" w:afterLines="80" w:after="192"/>
        <w:rPr>
          <w:rFonts w:ascii="Segoe UI" w:hAnsi="Segoe UI" w:cs="Segoe UI"/>
          <w:color w:val="auto"/>
          <w:sz w:val="24"/>
          <w:szCs w:val="24"/>
          <w:u w:val="single"/>
        </w:rPr>
      </w:pPr>
      <w:r w:rsidRPr="00D271FA">
        <w:rPr>
          <w:rFonts w:ascii="Segoe UI" w:hAnsi="Segoe UI" w:cs="Segoe UI"/>
          <w:color w:val="auto"/>
          <w:sz w:val="24"/>
          <w:szCs w:val="24"/>
          <w:u w:val="single"/>
        </w:rPr>
        <w:lastRenderedPageBreak/>
        <w:t>Age</w:t>
      </w:r>
    </w:p>
    <w:p w14:paraId="1E27C235" w14:textId="00926424" w:rsidR="00672700" w:rsidRDefault="00672700" w:rsidP="00FB0BBA">
      <w:pPr>
        <w:spacing w:beforeLines="80" w:before="192" w:afterLines="80" w:after="192"/>
        <w:rPr>
          <w:sz w:val="24"/>
          <w:szCs w:val="24"/>
        </w:rPr>
      </w:pPr>
      <w:r w:rsidRPr="009234DE">
        <w:rPr>
          <w:sz w:val="24"/>
          <w:szCs w:val="24"/>
        </w:rPr>
        <w:t>Age had a normal, or bell-shaped distribution. Half the decedents were 36 to 56 years old. The median age was 45.</w:t>
      </w:r>
      <w:r w:rsidRPr="009234DE">
        <w:rPr>
          <w:rStyle w:val="FootnoteReference"/>
          <w:sz w:val="24"/>
          <w:szCs w:val="24"/>
        </w:rPr>
        <w:footnoteReference w:id="2"/>
      </w:r>
      <w:r w:rsidRPr="009234DE">
        <w:rPr>
          <w:sz w:val="24"/>
          <w:szCs w:val="24"/>
        </w:rPr>
        <w:t xml:space="preserve"> </w:t>
      </w:r>
      <w:r w:rsidR="003E7569">
        <w:rPr>
          <w:sz w:val="24"/>
          <w:szCs w:val="24"/>
        </w:rPr>
        <w:t>A star in the table below denotes suppressed information.</w:t>
      </w:r>
      <w:r w:rsidR="00D71A32">
        <w:rPr>
          <w:sz w:val="24"/>
          <w:szCs w:val="24"/>
        </w:rPr>
        <w:t xml:space="preserve"> </w:t>
      </w:r>
    </w:p>
    <w:tbl>
      <w:tblPr>
        <w:tblStyle w:val="TableGrid"/>
        <w:tblW w:w="0" w:type="auto"/>
        <w:jc w:val="center"/>
        <w:tblLook w:val="0680" w:firstRow="0" w:lastRow="0" w:firstColumn="1" w:lastColumn="0" w:noHBand="1" w:noVBand="1"/>
      </w:tblPr>
      <w:tblGrid>
        <w:gridCol w:w="1951"/>
        <w:gridCol w:w="1739"/>
        <w:gridCol w:w="1980"/>
      </w:tblGrid>
      <w:tr w:rsidR="00672700" w14:paraId="208251DB" w14:textId="77777777" w:rsidTr="008E3CB5">
        <w:trPr>
          <w:trHeight w:val="432"/>
          <w:jc w:val="center"/>
        </w:trPr>
        <w:tc>
          <w:tcPr>
            <w:tcW w:w="1951" w:type="dxa"/>
            <w:vAlign w:val="center"/>
          </w:tcPr>
          <w:p w14:paraId="22E68934" w14:textId="6F1F2889" w:rsidR="00672700" w:rsidRPr="008E3CB5" w:rsidRDefault="00672700" w:rsidP="008E3CB5">
            <w:pPr>
              <w:jc w:val="center"/>
              <w:rPr>
                <w:b/>
                <w:bCs/>
                <w:sz w:val="24"/>
                <w:szCs w:val="24"/>
              </w:rPr>
            </w:pPr>
            <w:r w:rsidRPr="008E3CB5">
              <w:rPr>
                <w:b/>
                <w:bCs/>
                <w:sz w:val="24"/>
                <w:szCs w:val="24"/>
              </w:rPr>
              <w:t>Age Range</w:t>
            </w:r>
          </w:p>
        </w:tc>
        <w:tc>
          <w:tcPr>
            <w:tcW w:w="1739" w:type="dxa"/>
            <w:vAlign w:val="center"/>
          </w:tcPr>
          <w:p w14:paraId="012A45FE" w14:textId="41D43348" w:rsidR="00672700" w:rsidRPr="008E3CB5" w:rsidRDefault="00672700" w:rsidP="008E3CB5">
            <w:pPr>
              <w:jc w:val="center"/>
              <w:rPr>
                <w:b/>
                <w:bCs/>
                <w:sz w:val="24"/>
                <w:szCs w:val="24"/>
              </w:rPr>
            </w:pPr>
            <w:r w:rsidRPr="008E3CB5">
              <w:rPr>
                <w:b/>
                <w:bCs/>
                <w:sz w:val="24"/>
                <w:szCs w:val="24"/>
              </w:rPr>
              <w:t>Percentage</w:t>
            </w:r>
          </w:p>
        </w:tc>
        <w:tc>
          <w:tcPr>
            <w:tcW w:w="1980" w:type="dxa"/>
            <w:vAlign w:val="center"/>
          </w:tcPr>
          <w:p w14:paraId="4DCBDA4B" w14:textId="71DD015C" w:rsidR="00672700" w:rsidRPr="008E3CB5" w:rsidRDefault="00672700" w:rsidP="008E3CB5">
            <w:pPr>
              <w:jc w:val="center"/>
              <w:rPr>
                <w:b/>
                <w:bCs/>
                <w:sz w:val="24"/>
                <w:szCs w:val="24"/>
              </w:rPr>
            </w:pPr>
            <w:r w:rsidRPr="008E3CB5">
              <w:rPr>
                <w:b/>
                <w:bCs/>
                <w:sz w:val="24"/>
                <w:szCs w:val="24"/>
              </w:rPr>
              <w:t>Rate per 100K</w:t>
            </w:r>
          </w:p>
        </w:tc>
      </w:tr>
      <w:tr w:rsidR="00672700" w14:paraId="53F830DB" w14:textId="77777777" w:rsidTr="008E3CB5">
        <w:trPr>
          <w:trHeight w:val="432"/>
          <w:jc w:val="center"/>
        </w:trPr>
        <w:tc>
          <w:tcPr>
            <w:tcW w:w="1951" w:type="dxa"/>
            <w:shd w:val="clear" w:color="auto" w:fill="D9D9D9" w:themeFill="background1" w:themeFillShade="D9"/>
            <w:vAlign w:val="center"/>
          </w:tcPr>
          <w:p w14:paraId="428AFEFF" w14:textId="203F3659" w:rsidR="00672700" w:rsidRPr="008E3CB5" w:rsidRDefault="00672700" w:rsidP="008E3CB5">
            <w:pPr>
              <w:jc w:val="center"/>
              <w:rPr>
                <w:sz w:val="24"/>
                <w:szCs w:val="24"/>
              </w:rPr>
            </w:pPr>
            <w:r w:rsidRPr="008E3CB5">
              <w:rPr>
                <w:sz w:val="24"/>
                <w:szCs w:val="24"/>
              </w:rPr>
              <w:t>0 – 14</w:t>
            </w:r>
          </w:p>
        </w:tc>
        <w:tc>
          <w:tcPr>
            <w:tcW w:w="1739" w:type="dxa"/>
            <w:shd w:val="clear" w:color="auto" w:fill="D9D9D9" w:themeFill="background1" w:themeFillShade="D9"/>
            <w:vAlign w:val="center"/>
          </w:tcPr>
          <w:p w14:paraId="69655E91" w14:textId="7BB69376" w:rsidR="00672700" w:rsidRPr="008E3CB5" w:rsidRDefault="00672700" w:rsidP="008E3CB5">
            <w:pPr>
              <w:jc w:val="center"/>
              <w:rPr>
                <w:sz w:val="24"/>
                <w:szCs w:val="24"/>
              </w:rPr>
            </w:pPr>
            <w:r w:rsidRPr="008E3CB5">
              <w:rPr>
                <w:sz w:val="24"/>
                <w:szCs w:val="24"/>
              </w:rPr>
              <w:t>0.1%</w:t>
            </w:r>
          </w:p>
        </w:tc>
        <w:tc>
          <w:tcPr>
            <w:tcW w:w="1980" w:type="dxa"/>
            <w:shd w:val="clear" w:color="auto" w:fill="D9D9D9" w:themeFill="background1" w:themeFillShade="D9"/>
            <w:vAlign w:val="center"/>
          </w:tcPr>
          <w:p w14:paraId="70E9CA06" w14:textId="2EC65E40" w:rsidR="00672700" w:rsidRPr="008E3CB5" w:rsidRDefault="00672700" w:rsidP="008E3CB5">
            <w:pPr>
              <w:jc w:val="center"/>
              <w:rPr>
                <w:sz w:val="24"/>
                <w:szCs w:val="24"/>
              </w:rPr>
            </w:pPr>
            <w:r w:rsidRPr="008E3CB5">
              <w:rPr>
                <w:sz w:val="24"/>
                <w:szCs w:val="24"/>
              </w:rPr>
              <w:t>*</w:t>
            </w:r>
          </w:p>
        </w:tc>
      </w:tr>
      <w:tr w:rsidR="00672700" w14:paraId="626AFB0B" w14:textId="77777777" w:rsidTr="008E3CB5">
        <w:trPr>
          <w:trHeight w:val="432"/>
          <w:jc w:val="center"/>
        </w:trPr>
        <w:tc>
          <w:tcPr>
            <w:tcW w:w="1951" w:type="dxa"/>
            <w:vAlign w:val="center"/>
          </w:tcPr>
          <w:p w14:paraId="737711F4" w14:textId="09B4AC51" w:rsidR="00672700" w:rsidRPr="008E3CB5" w:rsidRDefault="00672700" w:rsidP="008E3CB5">
            <w:pPr>
              <w:jc w:val="center"/>
              <w:rPr>
                <w:sz w:val="24"/>
                <w:szCs w:val="24"/>
              </w:rPr>
            </w:pPr>
            <w:r w:rsidRPr="008E3CB5">
              <w:rPr>
                <w:sz w:val="24"/>
                <w:szCs w:val="24"/>
              </w:rPr>
              <w:t>15 – 24</w:t>
            </w:r>
          </w:p>
        </w:tc>
        <w:tc>
          <w:tcPr>
            <w:tcW w:w="1739" w:type="dxa"/>
            <w:vAlign w:val="center"/>
          </w:tcPr>
          <w:p w14:paraId="39F8BA06" w14:textId="62C3CDFB" w:rsidR="00672700" w:rsidRPr="008E3CB5" w:rsidRDefault="00672700" w:rsidP="008E3CB5">
            <w:pPr>
              <w:jc w:val="center"/>
              <w:rPr>
                <w:sz w:val="24"/>
                <w:szCs w:val="24"/>
              </w:rPr>
            </w:pPr>
            <w:r w:rsidRPr="008E3CB5">
              <w:rPr>
                <w:sz w:val="24"/>
                <w:szCs w:val="24"/>
              </w:rPr>
              <w:t>3.0%</w:t>
            </w:r>
          </w:p>
        </w:tc>
        <w:tc>
          <w:tcPr>
            <w:tcW w:w="1980" w:type="dxa"/>
            <w:vAlign w:val="center"/>
          </w:tcPr>
          <w:p w14:paraId="16053FBD" w14:textId="64C067D4" w:rsidR="00672700" w:rsidRPr="008E3CB5" w:rsidRDefault="00672700" w:rsidP="008E3CB5">
            <w:pPr>
              <w:jc w:val="center"/>
              <w:rPr>
                <w:sz w:val="24"/>
                <w:szCs w:val="24"/>
              </w:rPr>
            </w:pPr>
            <w:r w:rsidRPr="008E3CB5">
              <w:rPr>
                <w:sz w:val="24"/>
                <w:szCs w:val="24"/>
              </w:rPr>
              <w:t>7.7</w:t>
            </w:r>
          </w:p>
        </w:tc>
      </w:tr>
      <w:tr w:rsidR="00672700" w14:paraId="2B72CA77" w14:textId="77777777" w:rsidTr="008E3CB5">
        <w:trPr>
          <w:trHeight w:val="432"/>
          <w:jc w:val="center"/>
        </w:trPr>
        <w:tc>
          <w:tcPr>
            <w:tcW w:w="1951" w:type="dxa"/>
            <w:shd w:val="clear" w:color="auto" w:fill="D9D9D9" w:themeFill="background1" w:themeFillShade="D9"/>
            <w:vAlign w:val="center"/>
          </w:tcPr>
          <w:p w14:paraId="3D2DB67A" w14:textId="602A50B9" w:rsidR="00672700" w:rsidRPr="008E3CB5" w:rsidRDefault="00672700" w:rsidP="008E3CB5">
            <w:pPr>
              <w:jc w:val="center"/>
              <w:rPr>
                <w:sz w:val="24"/>
                <w:szCs w:val="24"/>
              </w:rPr>
            </w:pPr>
            <w:r w:rsidRPr="008E3CB5">
              <w:rPr>
                <w:sz w:val="24"/>
                <w:szCs w:val="24"/>
              </w:rPr>
              <w:t>25 – 34</w:t>
            </w:r>
          </w:p>
        </w:tc>
        <w:tc>
          <w:tcPr>
            <w:tcW w:w="1739" w:type="dxa"/>
            <w:shd w:val="clear" w:color="auto" w:fill="D9D9D9" w:themeFill="background1" w:themeFillShade="D9"/>
            <w:vAlign w:val="center"/>
          </w:tcPr>
          <w:p w14:paraId="1DBE4C3A" w14:textId="0EF7210B" w:rsidR="00672700" w:rsidRPr="008E3CB5" w:rsidRDefault="00672700" w:rsidP="008E3CB5">
            <w:pPr>
              <w:jc w:val="center"/>
              <w:rPr>
                <w:sz w:val="24"/>
                <w:szCs w:val="24"/>
              </w:rPr>
            </w:pPr>
            <w:r w:rsidRPr="008E3CB5">
              <w:rPr>
                <w:sz w:val="24"/>
                <w:szCs w:val="24"/>
              </w:rPr>
              <w:t>17.4%</w:t>
            </w:r>
          </w:p>
        </w:tc>
        <w:tc>
          <w:tcPr>
            <w:tcW w:w="1980" w:type="dxa"/>
            <w:shd w:val="clear" w:color="auto" w:fill="D9D9D9" w:themeFill="background1" w:themeFillShade="D9"/>
            <w:vAlign w:val="center"/>
          </w:tcPr>
          <w:p w14:paraId="287F01BF" w14:textId="6930D37E" w:rsidR="00672700" w:rsidRPr="008E3CB5" w:rsidRDefault="00672700" w:rsidP="008E3CB5">
            <w:pPr>
              <w:jc w:val="center"/>
              <w:rPr>
                <w:sz w:val="24"/>
                <w:szCs w:val="24"/>
              </w:rPr>
            </w:pPr>
            <w:r w:rsidRPr="008E3CB5">
              <w:rPr>
                <w:sz w:val="24"/>
                <w:szCs w:val="24"/>
              </w:rPr>
              <w:t>42.7</w:t>
            </w:r>
          </w:p>
        </w:tc>
      </w:tr>
      <w:tr w:rsidR="00672700" w14:paraId="10E2751F" w14:textId="77777777" w:rsidTr="008E3CB5">
        <w:trPr>
          <w:trHeight w:val="432"/>
          <w:jc w:val="center"/>
        </w:trPr>
        <w:tc>
          <w:tcPr>
            <w:tcW w:w="1951" w:type="dxa"/>
            <w:vAlign w:val="center"/>
          </w:tcPr>
          <w:p w14:paraId="6DCDF50B" w14:textId="038C7E23" w:rsidR="00672700" w:rsidRPr="008E3CB5" w:rsidRDefault="00672700" w:rsidP="008E3CB5">
            <w:pPr>
              <w:jc w:val="center"/>
              <w:rPr>
                <w:sz w:val="24"/>
                <w:szCs w:val="24"/>
              </w:rPr>
            </w:pPr>
            <w:r w:rsidRPr="008E3CB5">
              <w:rPr>
                <w:sz w:val="24"/>
                <w:szCs w:val="24"/>
              </w:rPr>
              <w:t>35 - 44</w:t>
            </w:r>
          </w:p>
        </w:tc>
        <w:tc>
          <w:tcPr>
            <w:tcW w:w="1739" w:type="dxa"/>
            <w:vAlign w:val="center"/>
          </w:tcPr>
          <w:p w14:paraId="113EA195" w14:textId="73207295" w:rsidR="00672700" w:rsidRPr="008E3CB5" w:rsidRDefault="00672700" w:rsidP="008E3CB5">
            <w:pPr>
              <w:jc w:val="center"/>
              <w:rPr>
                <w:sz w:val="24"/>
                <w:szCs w:val="24"/>
              </w:rPr>
            </w:pPr>
            <w:r w:rsidRPr="008E3CB5">
              <w:rPr>
                <w:sz w:val="24"/>
                <w:szCs w:val="24"/>
              </w:rPr>
              <w:t>27.9%</w:t>
            </w:r>
          </w:p>
        </w:tc>
        <w:tc>
          <w:tcPr>
            <w:tcW w:w="1980" w:type="dxa"/>
            <w:vAlign w:val="center"/>
          </w:tcPr>
          <w:p w14:paraId="2AC98AE6" w14:textId="234690C3" w:rsidR="00672700" w:rsidRPr="008E3CB5" w:rsidRDefault="00672700" w:rsidP="008E3CB5">
            <w:pPr>
              <w:jc w:val="center"/>
              <w:rPr>
                <w:sz w:val="24"/>
                <w:szCs w:val="24"/>
              </w:rPr>
            </w:pPr>
            <w:r w:rsidRPr="008E3CB5">
              <w:rPr>
                <w:sz w:val="24"/>
                <w:szCs w:val="24"/>
              </w:rPr>
              <w:t>72.2</w:t>
            </w:r>
          </w:p>
        </w:tc>
      </w:tr>
      <w:tr w:rsidR="00672700" w14:paraId="353580A5" w14:textId="77777777" w:rsidTr="008E3CB5">
        <w:trPr>
          <w:trHeight w:val="432"/>
          <w:jc w:val="center"/>
        </w:trPr>
        <w:tc>
          <w:tcPr>
            <w:tcW w:w="1951" w:type="dxa"/>
            <w:shd w:val="clear" w:color="auto" w:fill="D9D9D9" w:themeFill="background1" w:themeFillShade="D9"/>
            <w:vAlign w:val="center"/>
          </w:tcPr>
          <w:p w14:paraId="5AB3D863" w14:textId="0859ACB7" w:rsidR="00672700" w:rsidRPr="008E3CB5" w:rsidRDefault="00672700" w:rsidP="008E3CB5">
            <w:pPr>
              <w:jc w:val="center"/>
              <w:rPr>
                <w:sz w:val="24"/>
                <w:szCs w:val="24"/>
              </w:rPr>
            </w:pPr>
            <w:r w:rsidRPr="008E3CB5">
              <w:rPr>
                <w:sz w:val="24"/>
                <w:szCs w:val="24"/>
              </w:rPr>
              <w:t>45 – 54</w:t>
            </w:r>
          </w:p>
        </w:tc>
        <w:tc>
          <w:tcPr>
            <w:tcW w:w="1739" w:type="dxa"/>
            <w:shd w:val="clear" w:color="auto" w:fill="D9D9D9" w:themeFill="background1" w:themeFillShade="D9"/>
            <w:vAlign w:val="center"/>
          </w:tcPr>
          <w:p w14:paraId="40813BA9" w14:textId="0D8368E9" w:rsidR="00672700" w:rsidRPr="008E3CB5" w:rsidRDefault="00672700" w:rsidP="008E3CB5">
            <w:pPr>
              <w:jc w:val="center"/>
              <w:rPr>
                <w:sz w:val="24"/>
                <w:szCs w:val="24"/>
              </w:rPr>
            </w:pPr>
            <w:r w:rsidRPr="008E3CB5">
              <w:rPr>
                <w:sz w:val="24"/>
                <w:szCs w:val="24"/>
              </w:rPr>
              <w:t>22.5%</w:t>
            </w:r>
          </w:p>
        </w:tc>
        <w:tc>
          <w:tcPr>
            <w:tcW w:w="1980" w:type="dxa"/>
            <w:shd w:val="clear" w:color="auto" w:fill="D9D9D9" w:themeFill="background1" w:themeFillShade="D9"/>
            <w:vAlign w:val="center"/>
          </w:tcPr>
          <w:p w14:paraId="38DA993D" w14:textId="57DC87E9" w:rsidR="00672700" w:rsidRPr="008E3CB5" w:rsidRDefault="00672700" w:rsidP="008E3CB5">
            <w:pPr>
              <w:jc w:val="center"/>
              <w:rPr>
                <w:sz w:val="24"/>
                <w:szCs w:val="24"/>
              </w:rPr>
            </w:pPr>
            <w:r w:rsidRPr="008E3CB5">
              <w:rPr>
                <w:sz w:val="24"/>
                <w:szCs w:val="24"/>
              </w:rPr>
              <w:t>63.9</w:t>
            </w:r>
          </w:p>
        </w:tc>
      </w:tr>
      <w:tr w:rsidR="00672700" w14:paraId="79C09012" w14:textId="77777777" w:rsidTr="008E3CB5">
        <w:trPr>
          <w:trHeight w:val="432"/>
          <w:jc w:val="center"/>
        </w:trPr>
        <w:tc>
          <w:tcPr>
            <w:tcW w:w="1951" w:type="dxa"/>
            <w:vAlign w:val="center"/>
          </w:tcPr>
          <w:p w14:paraId="10B8B088" w14:textId="4B0923D4" w:rsidR="00672700" w:rsidRPr="008E3CB5" w:rsidRDefault="00672700" w:rsidP="008E3CB5">
            <w:pPr>
              <w:jc w:val="center"/>
              <w:rPr>
                <w:sz w:val="24"/>
                <w:szCs w:val="24"/>
              </w:rPr>
            </w:pPr>
            <w:r w:rsidRPr="008E3CB5">
              <w:rPr>
                <w:sz w:val="24"/>
                <w:szCs w:val="24"/>
              </w:rPr>
              <w:t>55 – 64</w:t>
            </w:r>
          </w:p>
        </w:tc>
        <w:tc>
          <w:tcPr>
            <w:tcW w:w="1739" w:type="dxa"/>
            <w:vAlign w:val="center"/>
          </w:tcPr>
          <w:p w14:paraId="18590D47" w14:textId="1590069A" w:rsidR="00672700" w:rsidRPr="008E3CB5" w:rsidRDefault="00672700" w:rsidP="008E3CB5">
            <w:pPr>
              <w:jc w:val="center"/>
              <w:rPr>
                <w:sz w:val="24"/>
                <w:szCs w:val="24"/>
              </w:rPr>
            </w:pPr>
            <w:r w:rsidRPr="008E3CB5">
              <w:rPr>
                <w:sz w:val="24"/>
                <w:szCs w:val="24"/>
              </w:rPr>
              <w:t>22.1%</w:t>
            </w:r>
          </w:p>
        </w:tc>
        <w:tc>
          <w:tcPr>
            <w:tcW w:w="1980" w:type="dxa"/>
            <w:vAlign w:val="center"/>
          </w:tcPr>
          <w:p w14:paraId="2B5F154A" w14:textId="6F60235C" w:rsidR="00672700" w:rsidRPr="008E3CB5" w:rsidRDefault="00672700" w:rsidP="008E3CB5">
            <w:pPr>
              <w:jc w:val="center"/>
              <w:rPr>
                <w:sz w:val="24"/>
                <w:szCs w:val="24"/>
              </w:rPr>
            </w:pPr>
            <w:r w:rsidRPr="008E3CB5">
              <w:rPr>
                <w:sz w:val="24"/>
                <w:szCs w:val="24"/>
              </w:rPr>
              <w:t>56.4</w:t>
            </w:r>
          </w:p>
        </w:tc>
      </w:tr>
      <w:tr w:rsidR="00672700" w14:paraId="695B8051" w14:textId="77777777" w:rsidTr="008E3CB5">
        <w:trPr>
          <w:trHeight w:val="432"/>
          <w:jc w:val="center"/>
        </w:trPr>
        <w:tc>
          <w:tcPr>
            <w:tcW w:w="1951" w:type="dxa"/>
            <w:shd w:val="clear" w:color="auto" w:fill="D9D9D9" w:themeFill="background1" w:themeFillShade="D9"/>
            <w:vAlign w:val="center"/>
          </w:tcPr>
          <w:p w14:paraId="60EF725A" w14:textId="145A2CB0" w:rsidR="00672700" w:rsidRPr="008E3CB5" w:rsidRDefault="00672700" w:rsidP="008E3CB5">
            <w:pPr>
              <w:jc w:val="center"/>
              <w:rPr>
                <w:sz w:val="24"/>
                <w:szCs w:val="24"/>
              </w:rPr>
            </w:pPr>
            <w:r w:rsidRPr="008E3CB5">
              <w:rPr>
                <w:sz w:val="24"/>
                <w:szCs w:val="24"/>
              </w:rPr>
              <w:t>65+</w:t>
            </w:r>
          </w:p>
        </w:tc>
        <w:tc>
          <w:tcPr>
            <w:tcW w:w="1739" w:type="dxa"/>
            <w:shd w:val="clear" w:color="auto" w:fill="D9D9D9" w:themeFill="background1" w:themeFillShade="D9"/>
            <w:vAlign w:val="center"/>
          </w:tcPr>
          <w:p w14:paraId="5D02C986" w14:textId="7E877CA9" w:rsidR="00672700" w:rsidRPr="008E3CB5" w:rsidRDefault="00672700" w:rsidP="008E3CB5">
            <w:pPr>
              <w:jc w:val="center"/>
              <w:rPr>
                <w:sz w:val="24"/>
                <w:szCs w:val="24"/>
              </w:rPr>
            </w:pPr>
            <w:r w:rsidRPr="008E3CB5">
              <w:rPr>
                <w:sz w:val="24"/>
                <w:szCs w:val="24"/>
              </w:rPr>
              <w:t>7.0%</w:t>
            </w:r>
          </w:p>
        </w:tc>
        <w:tc>
          <w:tcPr>
            <w:tcW w:w="1980" w:type="dxa"/>
            <w:shd w:val="clear" w:color="auto" w:fill="D9D9D9" w:themeFill="background1" w:themeFillShade="D9"/>
            <w:vAlign w:val="center"/>
          </w:tcPr>
          <w:p w14:paraId="4EFA09EC" w14:textId="7FC2BD95" w:rsidR="00672700" w:rsidRPr="008E3CB5" w:rsidRDefault="00672700" w:rsidP="008E3CB5">
            <w:pPr>
              <w:jc w:val="center"/>
              <w:rPr>
                <w:sz w:val="24"/>
                <w:szCs w:val="24"/>
              </w:rPr>
            </w:pPr>
            <w:r w:rsidRPr="008E3CB5">
              <w:rPr>
                <w:sz w:val="24"/>
                <w:szCs w:val="24"/>
              </w:rPr>
              <w:t>13.0</w:t>
            </w:r>
          </w:p>
        </w:tc>
      </w:tr>
    </w:tbl>
    <w:p w14:paraId="3D9264C0" w14:textId="77777777" w:rsidR="00672700" w:rsidRDefault="00672700" w:rsidP="008E3CB5">
      <w:pPr>
        <w:rPr>
          <w:u w:val="single"/>
        </w:rPr>
      </w:pPr>
    </w:p>
    <w:p w14:paraId="69248572" w14:textId="69069BC3" w:rsidR="00672700" w:rsidRPr="00D271FA" w:rsidRDefault="00672700" w:rsidP="00223A17">
      <w:pPr>
        <w:pStyle w:val="Heading2"/>
        <w:spacing w:beforeLines="80" w:before="192" w:afterLines="80" w:after="192"/>
        <w:rPr>
          <w:rFonts w:ascii="Segoe UI" w:hAnsi="Segoe UI" w:cs="Segoe UI"/>
          <w:color w:val="auto"/>
          <w:sz w:val="24"/>
          <w:szCs w:val="24"/>
          <w:u w:val="single"/>
        </w:rPr>
      </w:pPr>
      <w:r w:rsidRPr="00D271FA">
        <w:rPr>
          <w:rFonts w:ascii="Segoe UI" w:hAnsi="Segoe UI" w:cs="Segoe UI"/>
          <w:color w:val="auto"/>
          <w:sz w:val="24"/>
          <w:szCs w:val="24"/>
          <w:u w:val="single"/>
        </w:rPr>
        <w:t>Race/Ethnicity</w:t>
      </w:r>
      <w:r>
        <w:rPr>
          <w:rStyle w:val="FootnoteReference"/>
          <w:rFonts w:ascii="Segoe UI" w:hAnsi="Segoe UI" w:cs="Segoe UI"/>
          <w:color w:val="auto"/>
          <w:sz w:val="24"/>
          <w:szCs w:val="24"/>
          <w:u w:val="single"/>
        </w:rPr>
        <w:footnoteReference w:id="3"/>
      </w:r>
    </w:p>
    <w:p w14:paraId="6849F23B" w14:textId="76BE065F" w:rsidR="00672700" w:rsidRDefault="00672700" w:rsidP="00223A17">
      <w:pPr>
        <w:spacing w:beforeLines="80" w:before="192" w:afterLines="80" w:after="192"/>
        <w:rPr>
          <w:sz w:val="24"/>
          <w:szCs w:val="24"/>
        </w:rPr>
      </w:pPr>
      <w:r w:rsidRPr="009234DE">
        <w:rPr>
          <w:sz w:val="24"/>
          <w:szCs w:val="24"/>
        </w:rPr>
        <w:t xml:space="preserve">The percentage of deaths and </w:t>
      </w:r>
      <w:r>
        <w:rPr>
          <w:sz w:val="24"/>
          <w:szCs w:val="24"/>
        </w:rPr>
        <w:t xml:space="preserve">death </w:t>
      </w:r>
      <w:r w:rsidRPr="009234DE">
        <w:rPr>
          <w:sz w:val="24"/>
          <w:szCs w:val="24"/>
        </w:rPr>
        <w:t>rate</w:t>
      </w:r>
      <w:r>
        <w:rPr>
          <w:sz w:val="24"/>
          <w:szCs w:val="24"/>
        </w:rPr>
        <w:t>s</w:t>
      </w:r>
      <w:r w:rsidRPr="009234DE">
        <w:rPr>
          <w:sz w:val="24"/>
          <w:szCs w:val="24"/>
        </w:rPr>
        <w:t xml:space="preserve"> per 100,000 population </w:t>
      </w:r>
      <w:r w:rsidR="00D71A32">
        <w:rPr>
          <w:sz w:val="24"/>
          <w:szCs w:val="24"/>
        </w:rPr>
        <w:t xml:space="preserve">for race and ethnicity </w:t>
      </w:r>
      <w:r>
        <w:rPr>
          <w:sz w:val="24"/>
          <w:szCs w:val="24"/>
        </w:rPr>
        <w:t xml:space="preserve">are provided in the table </w:t>
      </w:r>
      <w:r w:rsidRPr="009234DE">
        <w:rPr>
          <w:sz w:val="24"/>
          <w:szCs w:val="24"/>
        </w:rPr>
        <w:t>below:</w:t>
      </w:r>
    </w:p>
    <w:tbl>
      <w:tblPr>
        <w:tblStyle w:val="List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1710"/>
        <w:gridCol w:w="1260"/>
      </w:tblGrid>
      <w:tr w:rsidR="00672700" w:rsidRPr="009234DE" w14:paraId="2114E53A" w14:textId="77777777" w:rsidTr="008E3CB5">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4667B761" w14:textId="64819E28" w:rsidR="00672700" w:rsidRPr="008E3CB5" w:rsidRDefault="00672700" w:rsidP="008E3CB5">
            <w:pPr>
              <w:jc w:val="center"/>
              <w:rPr>
                <w:sz w:val="24"/>
                <w:szCs w:val="24"/>
              </w:rPr>
            </w:pPr>
            <w:r w:rsidRPr="008E3CB5">
              <w:rPr>
                <w:sz w:val="24"/>
                <w:szCs w:val="24"/>
              </w:rPr>
              <w:t>Race / Ethnicity</w:t>
            </w:r>
          </w:p>
        </w:tc>
        <w:tc>
          <w:tcPr>
            <w:tcW w:w="1710" w:type="dxa"/>
            <w:vAlign w:val="center"/>
          </w:tcPr>
          <w:p w14:paraId="13F2EB58" w14:textId="0617492A" w:rsidR="00672700" w:rsidRPr="008E3CB5" w:rsidRDefault="00672700" w:rsidP="008E3CB5">
            <w:pPr>
              <w:jc w:val="center"/>
              <w:cnfStyle w:val="100000000000" w:firstRow="1" w:lastRow="0" w:firstColumn="0" w:lastColumn="0" w:oddVBand="0" w:evenVBand="0" w:oddHBand="0" w:evenHBand="0" w:firstRowFirstColumn="0" w:firstRowLastColumn="0" w:lastRowFirstColumn="0" w:lastRowLastColumn="0"/>
              <w:rPr>
                <w:sz w:val="24"/>
                <w:szCs w:val="24"/>
              </w:rPr>
            </w:pPr>
            <w:r w:rsidRPr="008E3CB5">
              <w:rPr>
                <w:sz w:val="24"/>
                <w:szCs w:val="24"/>
              </w:rPr>
              <w:t>Percentage</w:t>
            </w:r>
          </w:p>
        </w:tc>
        <w:tc>
          <w:tcPr>
            <w:tcW w:w="1260" w:type="dxa"/>
            <w:vAlign w:val="center"/>
          </w:tcPr>
          <w:p w14:paraId="693B400B" w14:textId="2164BAFC" w:rsidR="00672700" w:rsidRPr="008E3CB5" w:rsidRDefault="00672700" w:rsidP="008E3CB5">
            <w:pPr>
              <w:jc w:val="center"/>
              <w:cnfStyle w:val="100000000000" w:firstRow="1" w:lastRow="0" w:firstColumn="0" w:lastColumn="0" w:oddVBand="0" w:evenVBand="0" w:oddHBand="0" w:evenHBand="0" w:firstRowFirstColumn="0" w:firstRowLastColumn="0" w:lastRowFirstColumn="0" w:lastRowLastColumn="0"/>
              <w:rPr>
                <w:sz w:val="24"/>
                <w:szCs w:val="24"/>
              </w:rPr>
            </w:pPr>
            <w:r w:rsidRPr="008E3CB5">
              <w:rPr>
                <w:sz w:val="24"/>
                <w:szCs w:val="24"/>
              </w:rPr>
              <w:t>Rate per 100K</w:t>
            </w:r>
          </w:p>
        </w:tc>
      </w:tr>
      <w:tr w:rsidR="00672700" w:rsidRPr="009234DE" w14:paraId="5CB7D389" w14:textId="77777777" w:rsidTr="008E3CB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220" w:type="dxa"/>
            <w:shd w:val="clear" w:color="auto" w:fill="D9D9D9" w:themeFill="background1" w:themeFillShade="D9"/>
            <w:vAlign w:val="center"/>
          </w:tcPr>
          <w:p w14:paraId="39AAA5E2" w14:textId="537CFD71" w:rsidR="00672700" w:rsidRPr="008E3CB5" w:rsidRDefault="00672700" w:rsidP="008E3CB5">
            <w:pPr>
              <w:rPr>
                <w:b w:val="0"/>
                <w:bCs w:val="0"/>
                <w:sz w:val="24"/>
                <w:szCs w:val="24"/>
              </w:rPr>
            </w:pPr>
            <w:r w:rsidRPr="008E3CB5">
              <w:rPr>
                <w:b w:val="0"/>
                <w:bCs w:val="0"/>
                <w:sz w:val="24"/>
                <w:szCs w:val="24"/>
              </w:rPr>
              <w:t>White, non-Hispanic</w:t>
            </w:r>
          </w:p>
        </w:tc>
        <w:tc>
          <w:tcPr>
            <w:tcW w:w="1710" w:type="dxa"/>
            <w:shd w:val="clear" w:color="auto" w:fill="D9D9D9" w:themeFill="background1" w:themeFillShade="D9"/>
            <w:vAlign w:val="center"/>
          </w:tcPr>
          <w:p w14:paraId="62AA9156" w14:textId="216EC07B"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65.6%</w:t>
            </w:r>
          </w:p>
        </w:tc>
        <w:tc>
          <w:tcPr>
            <w:tcW w:w="1260" w:type="dxa"/>
            <w:shd w:val="clear" w:color="auto" w:fill="D9D9D9" w:themeFill="background1" w:themeFillShade="D9"/>
            <w:vAlign w:val="center"/>
          </w:tcPr>
          <w:p w14:paraId="44967FF6" w14:textId="3DA66610"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28.5</w:t>
            </w:r>
          </w:p>
        </w:tc>
      </w:tr>
      <w:tr w:rsidR="00672700" w:rsidRPr="009234DE" w14:paraId="566DE720" w14:textId="77777777" w:rsidTr="008E3CB5">
        <w:trPr>
          <w:trHeight w:val="403"/>
          <w:jc w:val="center"/>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133B2070" w14:textId="6F2EA1DA" w:rsidR="00672700" w:rsidRPr="008E3CB5" w:rsidRDefault="00672700" w:rsidP="008E3CB5">
            <w:pPr>
              <w:rPr>
                <w:b w:val="0"/>
                <w:bCs w:val="0"/>
                <w:sz w:val="24"/>
                <w:szCs w:val="24"/>
              </w:rPr>
            </w:pPr>
            <w:r w:rsidRPr="008E3CB5">
              <w:rPr>
                <w:b w:val="0"/>
                <w:bCs w:val="0"/>
                <w:sz w:val="24"/>
                <w:szCs w:val="24"/>
              </w:rPr>
              <w:t>Hispanic</w:t>
            </w:r>
          </w:p>
        </w:tc>
        <w:tc>
          <w:tcPr>
            <w:tcW w:w="1710" w:type="dxa"/>
            <w:vAlign w:val="center"/>
          </w:tcPr>
          <w:p w14:paraId="5E583137" w14:textId="1CC98ACB"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16.8%</w:t>
            </w:r>
          </w:p>
        </w:tc>
        <w:tc>
          <w:tcPr>
            <w:tcW w:w="1260" w:type="dxa"/>
            <w:vAlign w:val="center"/>
          </w:tcPr>
          <w:p w14:paraId="78650496" w14:textId="0AAA4F55"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42.2</w:t>
            </w:r>
          </w:p>
        </w:tc>
      </w:tr>
      <w:tr w:rsidR="00672700" w:rsidRPr="009234DE" w14:paraId="33817428" w14:textId="77777777" w:rsidTr="008E3CB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220" w:type="dxa"/>
            <w:shd w:val="clear" w:color="auto" w:fill="D9D9D9" w:themeFill="background1" w:themeFillShade="D9"/>
            <w:vAlign w:val="center"/>
          </w:tcPr>
          <w:p w14:paraId="5148A18C" w14:textId="29BAF098" w:rsidR="00672700" w:rsidRPr="008E3CB5" w:rsidRDefault="00672700" w:rsidP="008E3CB5">
            <w:pPr>
              <w:rPr>
                <w:b w:val="0"/>
                <w:bCs w:val="0"/>
                <w:sz w:val="24"/>
                <w:szCs w:val="24"/>
              </w:rPr>
            </w:pPr>
            <w:r w:rsidRPr="008E3CB5">
              <w:rPr>
                <w:b w:val="0"/>
                <w:bCs w:val="0"/>
                <w:sz w:val="24"/>
                <w:szCs w:val="24"/>
              </w:rPr>
              <w:t>Black, non-Hispanic</w:t>
            </w:r>
          </w:p>
        </w:tc>
        <w:tc>
          <w:tcPr>
            <w:tcW w:w="1710" w:type="dxa"/>
            <w:shd w:val="clear" w:color="auto" w:fill="D9D9D9" w:themeFill="background1" w:themeFillShade="D9"/>
            <w:vAlign w:val="center"/>
          </w:tcPr>
          <w:p w14:paraId="6A6A596A" w14:textId="597C010C"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14.9%</w:t>
            </w:r>
          </w:p>
        </w:tc>
        <w:tc>
          <w:tcPr>
            <w:tcW w:w="1260" w:type="dxa"/>
            <w:shd w:val="clear" w:color="auto" w:fill="D9D9D9" w:themeFill="background1" w:themeFillShade="D9"/>
            <w:vAlign w:val="center"/>
          </w:tcPr>
          <w:p w14:paraId="0CF52462" w14:textId="151C7ADE"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52.6</w:t>
            </w:r>
          </w:p>
        </w:tc>
      </w:tr>
      <w:tr w:rsidR="00672700" w:rsidRPr="009234DE" w14:paraId="0DEEC2A3" w14:textId="77777777" w:rsidTr="008E3CB5">
        <w:trPr>
          <w:trHeight w:val="403"/>
          <w:jc w:val="center"/>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0851F0FC" w14:textId="2E5BD3DF" w:rsidR="00672700" w:rsidRPr="008E3CB5" w:rsidRDefault="00672700" w:rsidP="008E3CB5">
            <w:pPr>
              <w:rPr>
                <w:b w:val="0"/>
                <w:bCs w:val="0"/>
                <w:sz w:val="24"/>
                <w:szCs w:val="24"/>
              </w:rPr>
            </w:pPr>
            <w:r w:rsidRPr="008E3CB5">
              <w:rPr>
                <w:b w:val="0"/>
                <w:bCs w:val="0"/>
                <w:sz w:val="24"/>
                <w:szCs w:val="24"/>
              </w:rPr>
              <w:t>Asian/Pacific Islander, non-Hispanic</w:t>
            </w:r>
          </w:p>
        </w:tc>
        <w:tc>
          <w:tcPr>
            <w:tcW w:w="1710" w:type="dxa"/>
            <w:vAlign w:val="center"/>
          </w:tcPr>
          <w:p w14:paraId="4A96ADD7" w14:textId="2AB446BC"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1.4%</w:t>
            </w:r>
          </w:p>
        </w:tc>
        <w:tc>
          <w:tcPr>
            <w:tcW w:w="1260" w:type="dxa"/>
            <w:vAlign w:val="center"/>
          </w:tcPr>
          <w:p w14:paraId="1197F716" w14:textId="2004F6A4"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5.7</w:t>
            </w:r>
          </w:p>
        </w:tc>
      </w:tr>
      <w:tr w:rsidR="00672700" w:rsidRPr="009234DE" w14:paraId="2ABC85F7" w14:textId="77777777" w:rsidTr="008E3CB5">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5220" w:type="dxa"/>
            <w:shd w:val="clear" w:color="auto" w:fill="D9D9D9" w:themeFill="background1" w:themeFillShade="D9"/>
            <w:vAlign w:val="center"/>
          </w:tcPr>
          <w:p w14:paraId="1BADB12C" w14:textId="7679FC29" w:rsidR="00672700" w:rsidRPr="008E3CB5" w:rsidRDefault="00672700" w:rsidP="008E3CB5">
            <w:pPr>
              <w:rPr>
                <w:b w:val="0"/>
                <w:bCs w:val="0"/>
                <w:sz w:val="24"/>
                <w:szCs w:val="24"/>
              </w:rPr>
            </w:pPr>
            <w:r w:rsidRPr="008E3CB5">
              <w:rPr>
                <w:b w:val="0"/>
                <w:bCs w:val="0"/>
                <w:sz w:val="24"/>
                <w:szCs w:val="24"/>
              </w:rPr>
              <w:t>American Indian/Alaska Native, non-Hispanic</w:t>
            </w:r>
          </w:p>
        </w:tc>
        <w:tc>
          <w:tcPr>
            <w:tcW w:w="1710" w:type="dxa"/>
            <w:shd w:val="clear" w:color="auto" w:fill="D9D9D9" w:themeFill="background1" w:themeFillShade="D9"/>
            <w:vAlign w:val="center"/>
          </w:tcPr>
          <w:p w14:paraId="7172A32C" w14:textId="25FB80C9"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0.6%</w:t>
            </w:r>
          </w:p>
        </w:tc>
        <w:tc>
          <w:tcPr>
            <w:tcW w:w="1260" w:type="dxa"/>
            <w:shd w:val="clear" w:color="auto" w:fill="D9D9D9" w:themeFill="background1" w:themeFillShade="D9"/>
            <w:vAlign w:val="center"/>
          </w:tcPr>
          <w:p w14:paraId="55EAC60B" w14:textId="5C71A334" w:rsidR="00672700" w:rsidRPr="008E3CB5" w:rsidRDefault="00672700" w:rsidP="008E3CB5">
            <w:pPr>
              <w:jc w:val="center"/>
              <w:cnfStyle w:val="000000100000" w:firstRow="0" w:lastRow="0" w:firstColumn="0" w:lastColumn="0" w:oddVBand="0" w:evenVBand="0" w:oddHBand="1" w:evenHBand="0" w:firstRowFirstColumn="0" w:firstRowLastColumn="0" w:lastRowFirstColumn="0" w:lastRowLastColumn="0"/>
              <w:rPr>
                <w:sz w:val="24"/>
                <w:szCs w:val="24"/>
              </w:rPr>
            </w:pPr>
            <w:r w:rsidRPr="008E3CB5">
              <w:rPr>
                <w:sz w:val="24"/>
                <w:szCs w:val="24"/>
              </w:rPr>
              <w:t>34.7</w:t>
            </w:r>
          </w:p>
        </w:tc>
      </w:tr>
      <w:tr w:rsidR="00672700" w:rsidRPr="009234DE" w14:paraId="66C154FC" w14:textId="77777777" w:rsidTr="008E3CB5">
        <w:trPr>
          <w:trHeight w:val="403"/>
          <w:jc w:val="center"/>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5668EBDD" w14:textId="63097D7B" w:rsidR="00672700" w:rsidRPr="008E3CB5" w:rsidRDefault="00672700" w:rsidP="008E3CB5">
            <w:pPr>
              <w:rPr>
                <w:b w:val="0"/>
                <w:bCs w:val="0"/>
                <w:sz w:val="24"/>
                <w:szCs w:val="24"/>
              </w:rPr>
            </w:pPr>
            <w:r w:rsidRPr="008E3CB5">
              <w:rPr>
                <w:b w:val="0"/>
                <w:bCs w:val="0"/>
                <w:sz w:val="24"/>
                <w:szCs w:val="24"/>
              </w:rPr>
              <w:t>Unknown/Other Race, non-Hispanic</w:t>
            </w:r>
          </w:p>
        </w:tc>
        <w:tc>
          <w:tcPr>
            <w:tcW w:w="1710" w:type="dxa"/>
            <w:vAlign w:val="center"/>
          </w:tcPr>
          <w:p w14:paraId="122D5B40" w14:textId="0D9C372A"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0.7</w:t>
            </w:r>
            <w:r w:rsidR="005B2771">
              <w:rPr>
                <w:sz w:val="24"/>
                <w:szCs w:val="24"/>
              </w:rPr>
              <w:t>%</w:t>
            </w:r>
          </w:p>
        </w:tc>
        <w:tc>
          <w:tcPr>
            <w:tcW w:w="1260" w:type="dxa"/>
            <w:vAlign w:val="center"/>
          </w:tcPr>
          <w:p w14:paraId="7112512E" w14:textId="46254CED" w:rsidR="00672700" w:rsidRPr="008E3CB5" w:rsidRDefault="00672700" w:rsidP="008E3CB5">
            <w:pPr>
              <w:jc w:val="center"/>
              <w:cnfStyle w:val="000000000000" w:firstRow="0" w:lastRow="0" w:firstColumn="0" w:lastColumn="0" w:oddVBand="0" w:evenVBand="0" w:oddHBand="0" w:evenHBand="0" w:firstRowFirstColumn="0" w:firstRowLastColumn="0" w:lastRowFirstColumn="0" w:lastRowLastColumn="0"/>
              <w:rPr>
                <w:sz w:val="24"/>
                <w:szCs w:val="24"/>
              </w:rPr>
            </w:pPr>
            <w:r w:rsidRPr="008E3CB5">
              <w:rPr>
                <w:sz w:val="24"/>
                <w:szCs w:val="24"/>
              </w:rPr>
              <w:t>N/A</w:t>
            </w:r>
          </w:p>
        </w:tc>
      </w:tr>
    </w:tbl>
    <w:p w14:paraId="77DEB2F2" w14:textId="77777777" w:rsidR="00672700" w:rsidRPr="00D271FA" w:rsidRDefault="00672700" w:rsidP="00223A17">
      <w:pPr>
        <w:spacing w:beforeLines="80" w:before="192" w:afterLines="80" w:after="192"/>
        <w:rPr>
          <w:sz w:val="4"/>
          <w:szCs w:val="4"/>
        </w:rPr>
      </w:pPr>
    </w:p>
    <w:p w14:paraId="7CF1E596" w14:textId="36FAABD5"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Where Overdose Deaths Occurred</w:t>
      </w:r>
    </w:p>
    <w:p w14:paraId="66555307" w14:textId="6AC23B04" w:rsidR="003E7569" w:rsidRDefault="00672700" w:rsidP="00223A17">
      <w:pPr>
        <w:spacing w:beforeLines="80" w:before="192" w:afterLines="80" w:after="192"/>
        <w:rPr>
          <w:sz w:val="24"/>
          <w:szCs w:val="24"/>
        </w:rPr>
      </w:pPr>
      <w:r w:rsidRPr="009234DE">
        <w:rPr>
          <w:sz w:val="24"/>
          <w:szCs w:val="24"/>
        </w:rPr>
        <w:t xml:space="preserve">The infographic </w:t>
      </w:r>
      <w:r>
        <w:rPr>
          <w:sz w:val="24"/>
          <w:szCs w:val="24"/>
        </w:rPr>
        <w:t xml:space="preserve">this document accompanies </w:t>
      </w:r>
      <w:r w:rsidRPr="009234DE">
        <w:rPr>
          <w:sz w:val="24"/>
          <w:szCs w:val="24"/>
        </w:rPr>
        <w:t xml:space="preserve">provides a </w:t>
      </w:r>
      <w:r w:rsidR="00D71A32">
        <w:rPr>
          <w:sz w:val="24"/>
          <w:szCs w:val="24"/>
        </w:rPr>
        <w:t xml:space="preserve">color-coded, </w:t>
      </w:r>
      <w:r w:rsidRPr="009234DE">
        <w:rPr>
          <w:sz w:val="24"/>
          <w:szCs w:val="24"/>
        </w:rPr>
        <w:t>county-level map</w:t>
      </w:r>
      <w:r w:rsidR="00D71A32">
        <w:rPr>
          <w:sz w:val="24"/>
          <w:szCs w:val="24"/>
        </w:rPr>
        <w:t xml:space="preserve"> of Massachusetts. The map </w:t>
      </w:r>
      <w:r w:rsidRPr="009234DE">
        <w:rPr>
          <w:sz w:val="24"/>
          <w:szCs w:val="24"/>
        </w:rPr>
        <w:t>displays death rates</w:t>
      </w:r>
      <w:r w:rsidR="00D71A32">
        <w:rPr>
          <w:sz w:val="24"/>
          <w:szCs w:val="24"/>
        </w:rPr>
        <w:t xml:space="preserve"> based on injury location (i.e., the county where the overdose began)</w:t>
      </w:r>
      <w:r w:rsidR="006A72BF">
        <w:rPr>
          <w:sz w:val="24"/>
          <w:szCs w:val="24"/>
        </w:rPr>
        <w:t>, with darker colors signifying higher death rates</w:t>
      </w:r>
      <w:r w:rsidR="00D71A32">
        <w:rPr>
          <w:sz w:val="24"/>
          <w:szCs w:val="24"/>
        </w:rPr>
        <w:t>.</w:t>
      </w:r>
      <w:r w:rsidR="00D71A32" w:rsidRPr="00D71A32">
        <w:rPr>
          <w:rStyle w:val="FootnoteReference"/>
          <w:sz w:val="24"/>
          <w:szCs w:val="24"/>
        </w:rPr>
        <w:t xml:space="preserve"> </w:t>
      </w:r>
      <w:r w:rsidR="00D71A32" w:rsidRPr="009234DE">
        <w:rPr>
          <w:rStyle w:val="FootnoteReference"/>
          <w:sz w:val="24"/>
          <w:szCs w:val="24"/>
        </w:rPr>
        <w:footnoteReference w:id="4"/>
      </w:r>
      <w:r w:rsidR="00D71A32">
        <w:rPr>
          <w:sz w:val="24"/>
          <w:szCs w:val="24"/>
        </w:rPr>
        <w:t xml:space="preserve"> </w:t>
      </w:r>
      <w:r w:rsidR="006A72BF">
        <w:rPr>
          <w:sz w:val="24"/>
          <w:szCs w:val="24"/>
        </w:rPr>
        <w:t xml:space="preserve">The table below provides rates for twelve Massachusetts counties. </w:t>
      </w:r>
      <w:r w:rsidRPr="009234DE">
        <w:rPr>
          <w:sz w:val="24"/>
          <w:szCs w:val="24"/>
        </w:rPr>
        <w:t>Hampden and Suffolk counties had the highest rates (</w:t>
      </w:r>
      <w:r w:rsidR="005B2771">
        <w:rPr>
          <w:sz w:val="24"/>
          <w:szCs w:val="24"/>
        </w:rPr>
        <w:t>59.1</w:t>
      </w:r>
      <w:r w:rsidRPr="009234DE">
        <w:rPr>
          <w:sz w:val="24"/>
          <w:szCs w:val="24"/>
        </w:rPr>
        <w:t xml:space="preserve"> and </w:t>
      </w:r>
      <w:r w:rsidR="005B2771">
        <w:rPr>
          <w:sz w:val="24"/>
          <w:szCs w:val="24"/>
        </w:rPr>
        <w:t>56.8</w:t>
      </w:r>
      <w:r w:rsidRPr="009234DE">
        <w:rPr>
          <w:sz w:val="24"/>
          <w:szCs w:val="24"/>
        </w:rPr>
        <w:t>, respectively</w:t>
      </w:r>
      <w:r>
        <w:rPr>
          <w:sz w:val="24"/>
          <w:szCs w:val="24"/>
        </w:rPr>
        <w:t>)</w:t>
      </w:r>
      <w:r w:rsidR="006A72BF">
        <w:rPr>
          <w:sz w:val="24"/>
          <w:szCs w:val="24"/>
        </w:rPr>
        <w:t>, and rates</w:t>
      </w:r>
      <w:r w:rsidRPr="009234DE">
        <w:rPr>
          <w:sz w:val="24"/>
          <w:szCs w:val="24"/>
        </w:rPr>
        <w:t xml:space="preserve"> were lowest in Middlesex and Hampshire counties (20.7 and 20.3, respectively). </w:t>
      </w:r>
      <w:r w:rsidR="00D71A32">
        <w:rPr>
          <w:sz w:val="24"/>
          <w:szCs w:val="24"/>
        </w:rPr>
        <w:t xml:space="preserve">Rates for Nantucket and Dukes counties have been suppressed. </w:t>
      </w:r>
    </w:p>
    <w:p w14:paraId="20B9B241" w14:textId="7741FCA8" w:rsidR="008E3CB5" w:rsidRPr="008E3CB5" w:rsidRDefault="008E3CB5" w:rsidP="008E3CB5">
      <w:pPr>
        <w:spacing w:beforeLines="80" w:before="192" w:afterLines="80" w:after="192"/>
        <w:rPr>
          <w:sz w:val="24"/>
          <w:szCs w:val="24"/>
        </w:rPr>
      </w:pPr>
      <w:r w:rsidRPr="008E3CB5">
        <w:rPr>
          <w:noProof/>
          <w:sz w:val="24"/>
          <w:szCs w:val="24"/>
        </w:rPr>
        <mc:AlternateContent>
          <mc:Choice Requires="wps">
            <w:drawing>
              <wp:anchor distT="36576" distB="36576" distL="36576" distR="36576" simplePos="0" relativeHeight="251659264" behindDoc="0" locked="0" layoutInCell="1" allowOverlap="1" wp14:anchorId="0F8C9EED" wp14:editId="3EEF23EC">
                <wp:simplePos x="0" y="0"/>
                <wp:positionH relativeFrom="column">
                  <wp:posOffset>5628640</wp:posOffset>
                </wp:positionH>
                <wp:positionV relativeFrom="paragraph">
                  <wp:posOffset>5238750</wp:posOffset>
                </wp:positionV>
                <wp:extent cx="1706880" cy="4514850"/>
                <wp:effectExtent l="0" t="0" r="0" b="0"/>
                <wp:wrapNone/>
                <wp:docPr id="510267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706880" cy="45148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C368" id="Rectangle 4" o:spid="_x0000_s1026" style="position:absolute;margin-left:443.2pt;margin-top:412.5pt;width:134.4pt;height:35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" filled="f" stroked="f" strokeweight="2pt">
                <v:shadow color="black [0]"/>
                <o:lock v:ext="edit" shapetype="t"/>
                <v:textbox inset="0,0,0,0"/>
              </v:rect>
            </w:pict>
          </mc:Fallback>
        </mc:AlternateContent>
      </w:r>
    </w:p>
    <w:tbl>
      <w:tblPr>
        <w:tblW w:w="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4"/>
        <w:gridCol w:w="1711"/>
      </w:tblGrid>
      <w:tr w:rsidR="008E3CB5" w:rsidRPr="008E3CB5" w14:paraId="4F579F6F" w14:textId="77777777" w:rsidTr="0079245C">
        <w:trPr>
          <w:trHeight w:val="292"/>
          <w:jc w:val="center"/>
        </w:trPr>
        <w:tc>
          <w:tcPr>
            <w:tcW w:w="1344" w:type="dxa"/>
            <w:tcMar>
              <w:top w:w="58" w:type="dxa"/>
              <w:left w:w="58" w:type="dxa"/>
              <w:bottom w:w="58" w:type="dxa"/>
              <w:right w:w="58" w:type="dxa"/>
            </w:tcMar>
            <w:hideMark/>
          </w:tcPr>
          <w:p w14:paraId="0EF83E62" w14:textId="77777777" w:rsidR="008E3CB5" w:rsidRPr="007B2A0A" w:rsidRDefault="008E3CB5" w:rsidP="008E3CB5">
            <w:pPr>
              <w:pStyle w:val="NoSpacing"/>
              <w:jc w:val="center"/>
              <w:rPr>
                <w:b/>
                <w:bCs/>
                <w:sz w:val="24"/>
                <w:szCs w:val="24"/>
              </w:rPr>
            </w:pPr>
            <w:r w:rsidRPr="007B2A0A">
              <w:rPr>
                <w:b/>
                <w:bCs/>
                <w:sz w:val="24"/>
                <w:szCs w:val="24"/>
              </w:rPr>
              <w:t>County</w:t>
            </w:r>
          </w:p>
        </w:tc>
        <w:tc>
          <w:tcPr>
            <w:tcW w:w="1711" w:type="dxa"/>
            <w:tcMar>
              <w:top w:w="58" w:type="dxa"/>
              <w:left w:w="58" w:type="dxa"/>
              <w:bottom w:w="58" w:type="dxa"/>
              <w:right w:w="58" w:type="dxa"/>
            </w:tcMar>
            <w:hideMark/>
          </w:tcPr>
          <w:p w14:paraId="647DF61D" w14:textId="77777777" w:rsidR="008E3CB5" w:rsidRPr="007B2A0A" w:rsidRDefault="008E3CB5" w:rsidP="008E3CB5">
            <w:pPr>
              <w:pStyle w:val="NoSpacing"/>
              <w:jc w:val="center"/>
              <w:rPr>
                <w:b/>
                <w:bCs/>
                <w:sz w:val="24"/>
                <w:szCs w:val="24"/>
              </w:rPr>
            </w:pPr>
            <w:r w:rsidRPr="007B2A0A">
              <w:rPr>
                <w:b/>
                <w:bCs/>
                <w:sz w:val="24"/>
                <w:szCs w:val="24"/>
              </w:rPr>
              <w:t>Rate per 100K</w:t>
            </w:r>
          </w:p>
        </w:tc>
      </w:tr>
      <w:tr w:rsidR="008E3CB5" w:rsidRPr="008E3CB5" w14:paraId="61B90661"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6F8C4A8D" w14:textId="130A3105" w:rsidR="008E3CB5" w:rsidRPr="007B2A0A" w:rsidRDefault="008E3CB5" w:rsidP="008E3CB5">
            <w:pPr>
              <w:pStyle w:val="NoSpacing"/>
              <w:rPr>
                <w:sz w:val="24"/>
                <w:szCs w:val="24"/>
              </w:rPr>
            </w:pPr>
            <w:r w:rsidRPr="007B2A0A">
              <w:rPr>
                <w:sz w:val="24"/>
                <w:szCs w:val="24"/>
              </w:rPr>
              <w:t>Hampden</w:t>
            </w:r>
          </w:p>
        </w:tc>
        <w:tc>
          <w:tcPr>
            <w:tcW w:w="1711" w:type="dxa"/>
            <w:shd w:val="clear" w:color="auto" w:fill="D9D9D9" w:themeFill="background1" w:themeFillShade="D9"/>
            <w:tcMar>
              <w:top w:w="58" w:type="dxa"/>
              <w:left w:w="58" w:type="dxa"/>
              <w:bottom w:w="58" w:type="dxa"/>
              <w:right w:w="58" w:type="dxa"/>
            </w:tcMar>
            <w:vAlign w:val="center"/>
          </w:tcPr>
          <w:p w14:paraId="7414EC45" w14:textId="09074697" w:rsidR="008E3CB5" w:rsidRPr="007B2A0A" w:rsidRDefault="008E3CB5" w:rsidP="008E3CB5">
            <w:pPr>
              <w:pStyle w:val="NoSpacing"/>
              <w:jc w:val="center"/>
              <w:rPr>
                <w:sz w:val="24"/>
                <w:szCs w:val="24"/>
              </w:rPr>
            </w:pPr>
            <w:r w:rsidRPr="007B2A0A">
              <w:rPr>
                <w:sz w:val="24"/>
                <w:szCs w:val="24"/>
              </w:rPr>
              <w:t>59.1</w:t>
            </w:r>
          </w:p>
        </w:tc>
      </w:tr>
      <w:tr w:rsidR="008E3CB5" w:rsidRPr="008E3CB5" w14:paraId="2AB80AF7" w14:textId="77777777" w:rsidTr="0079245C">
        <w:trPr>
          <w:trHeight w:val="144"/>
          <w:jc w:val="center"/>
        </w:trPr>
        <w:tc>
          <w:tcPr>
            <w:tcW w:w="1344" w:type="dxa"/>
            <w:tcMar>
              <w:top w:w="58" w:type="dxa"/>
              <w:left w:w="58" w:type="dxa"/>
              <w:bottom w:w="58" w:type="dxa"/>
              <w:right w:w="58" w:type="dxa"/>
            </w:tcMar>
            <w:vAlign w:val="center"/>
          </w:tcPr>
          <w:p w14:paraId="1236A60F" w14:textId="772BC40D" w:rsidR="008E3CB5" w:rsidRPr="007B2A0A" w:rsidRDefault="008E3CB5" w:rsidP="008E3CB5">
            <w:pPr>
              <w:pStyle w:val="NoSpacing"/>
              <w:rPr>
                <w:sz w:val="24"/>
                <w:szCs w:val="24"/>
              </w:rPr>
            </w:pPr>
            <w:r w:rsidRPr="007B2A0A">
              <w:rPr>
                <w:sz w:val="24"/>
                <w:szCs w:val="24"/>
              </w:rPr>
              <w:t>Suffolk</w:t>
            </w:r>
          </w:p>
        </w:tc>
        <w:tc>
          <w:tcPr>
            <w:tcW w:w="1711" w:type="dxa"/>
            <w:tcMar>
              <w:top w:w="58" w:type="dxa"/>
              <w:left w:w="58" w:type="dxa"/>
              <w:bottom w:w="58" w:type="dxa"/>
              <w:right w:w="58" w:type="dxa"/>
            </w:tcMar>
            <w:vAlign w:val="center"/>
          </w:tcPr>
          <w:p w14:paraId="558D59BA" w14:textId="650D2593" w:rsidR="008E3CB5" w:rsidRPr="007B2A0A" w:rsidRDefault="008E3CB5" w:rsidP="008E3CB5">
            <w:pPr>
              <w:pStyle w:val="NoSpacing"/>
              <w:jc w:val="center"/>
              <w:rPr>
                <w:sz w:val="24"/>
                <w:szCs w:val="24"/>
              </w:rPr>
            </w:pPr>
            <w:r w:rsidRPr="007B2A0A">
              <w:rPr>
                <w:sz w:val="24"/>
                <w:szCs w:val="24"/>
              </w:rPr>
              <w:t>56.8</w:t>
            </w:r>
          </w:p>
        </w:tc>
      </w:tr>
      <w:tr w:rsidR="008E3CB5" w:rsidRPr="008E3CB5" w14:paraId="2BDC2266"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718969C3" w14:textId="4467662C" w:rsidR="008E3CB5" w:rsidRPr="007B2A0A" w:rsidRDefault="008E3CB5" w:rsidP="008E3CB5">
            <w:pPr>
              <w:pStyle w:val="NoSpacing"/>
              <w:rPr>
                <w:sz w:val="24"/>
                <w:szCs w:val="24"/>
              </w:rPr>
            </w:pPr>
            <w:r w:rsidRPr="007B2A0A">
              <w:rPr>
                <w:sz w:val="24"/>
                <w:szCs w:val="24"/>
              </w:rPr>
              <w:t>Bristol</w:t>
            </w:r>
          </w:p>
        </w:tc>
        <w:tc>
          <w:tcPr>
            <w:tcW w:w="1711" w:type="dxa"/>
            <w:shd w:val="clear" w:color="auto" w:fill="D9D9D9" w:themeFill="background1" w:themeFillShade="D9"/>
            <w:tcMar>
              <w:top w:w="58" w:type="dxa"/>
              <w:left w:w="58" w:type="dxa"/>
              <w:bottom w:w="58" w:type="dxa"/>
              <w:right w:w="58" w:type="dxa"/>
            </w:tcMar>
            <w:vAlign w:val="center"/>
          </w:tcPr>
          <w:p w14:paraId="3FAB5B58" w14:textId="4DC783CB" w:rsidR="008E3CB5" w:rsidRPr="007B2A0A" w:rsidRDefault="008E3CB5" w:rsidP="008E3CB5">
            <w:pPr>
              <w:pStyle w:val="NoSpacing"/>
              <w:jc w:val="center"/>
              <w:rPr>
                <w:sz w:val="24"/>
                <w:szCs w:val="24"/>
              </w:rPr>
            </w:pPr>
            <w:r w:rsidRPr="007B2A0A">
              <w:rPr>
                <w:sz w:val="24"/>
                <w:szCs w:val="24"/>
              </w:rPr>
              <w:t>46.7</w:t>
            </w:r>
          </w:p>
        </w:tc>
      </w:tr>
      <w:tr w:rsidR="008E3CB5" w:rsidRPr="008E3CB5" w14:paraId="71A08998" w14:textId="77777777" w:rsidTr="0079245C">
        <w:trPr>
          <w:trHeight w:val="144"/>
          <w:jc w:val="center"/>
        </w:trPr>
        <w:tc>
          <w:tcPr>
            <w:tcW w:w="1344" w:type="dxa"/>
            <w:tcMar>
              <w:top w:w="58" w:type="dxa"/>
              <w:left w:w="58" w:type="dxa"/>
              <w:bottom w:w="58" w:type="dxa"/>
              <w:right w:w="58" w:type="dxa"/>
            </w:tcMar>
            <w:vAlign w:val="center"/>
          </w:tcPr>
          <w:p w14:paraId="37207E51" w14:textId="7A17EC77" w:rsidR="008E3CB5" w:rsidRPr="007B2A0A" w:rsidRDefault="008E3CB5" w:rsidP="008E3CB5">
            <w:pPr>
              <w:pStyle w:val="NoSpacing"/>
              <w:rPr>
                <w:sz w:val="24"/>
                <w:szCs w:val="24"/>
              </w:rPr>
            </w:pPr>
            <w:r w:rsidRPr="007B2A0A">
              <w:rPr>
                <w:sz w:val="24"/>
                <w:szCs w:val="24"/>
              </w:rPr>
              <w:t>Berkshire</w:t>
            </w:r>
          </w:p>
        </w:tc>
        <w:tc>
          <w:tcPr>
            <w:tcW w:w="1711" w:type="dxa"/>
            <w:tcMar>
              <w:top w:w="58" w:type="dxa"/>
              <w:left w:w="58" w:type="dxa"/>
              <w:bottom w:w="58" w:type="dxa"/>
              <w:right w:w="58" w:type="dxa"/>
            </w:tcMar>
            <w:vAlign w:val="center"/>
          </w:tcPr>
          <w:p w14:paraId="749ACC67" w14:textId="02D79CC0" w:rsidR="008E3CB5" w:rsidRPr="007B2A0A" w:rsidRDefault="008E3CB5" w:rsidP="008E3CB5">
            <w:pPr>
              <w:pStyle w:val="NoSpacing"/>
              <w:jc w:val="center"/>
              <w:rPr>
                <w:sz w:val="24"/>
                <w:szCs w:val="24"/>
              </w:rPr>
            </w:pPr>
            <w:r w:rsidRPr="007B2A0A">
              <w:rPr>
                <w:sz w:val="24"/>
                <w:szCs w:val="24"/>
              </w:rPr>
              <w:t>45.0</w:t>
            </w:r>
          </w:p>
        </w:tc>
      </w:tr>
      <w:tr w:rsidR="008E3CB5" w:rsidRPr="008E3CB5" w14:paraId="2A67981A"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36CB87ED" w14:textId="24A52D9F" w:rsidR="008E3CB5" w:rsidRPr="007B2A0A" w:rsidRDefault="008E3CB5" w:rsidP="008E3CB5">
            <w:pPr>
              <w:pStyle w:val="NoSpacing"/>
              <w:rPr>
                <w:sz w:val="24"/>
                <w:szCs w:val="24"/>
              </w:rPr>
            </w:pPr>
            <w:r w:rsidRPr="007B2A0A">
              <w:rPr>
                <w:sz w:val="24"/>
                <w:szCs w:val="24"/>
              </w:rPr>
              <w:t>Franklin</w:t>
            </w:r>
          </w:p>
        </w:tc>
        <w:tc>
          <w:tcPr>
            <w:tcW w:w="1711" w:type="dxa"/>
            <w:shd w:val="clear" w:color="auto" w:fill="D9D9D9" w:themeFill="background1" w:themeFillShade="D9"/>
            <w:tcMar>
              <w:top w:w="58" w:type="dxa"/>
              <w:left w:w="58" w:type="dxa"/>
              <w:bottom w:w="58" w:type="dxa"/>
              <w:right w:w="58" w:type="dxa"/>
            </w:tcMar>
            <w:vAlign w:val="center"/>
          </w:tcPr>
          <w:p w14:paraId="392A64BE" w14:textId="6FD3E542" w:rsidR="008E3CB5" w:rsidRPr="007B2A0A" w:rsidRDefault="008E3CB5" w:rsidP="008E3CB5">
            <w:pPr>
              <w:pStyle w:val="NoSpacing"/>
              <w:jc w:val="center"/>
              <w:rPr>
                <w:sz w:val="24"/>
                <w:szCs w:val="24"/>
              </w:rPr>
            </w:pPr>
            <w:r w:rsidRPr="007B2A0A">
              <w:rPr>
                <w:sz w:val="24"/>
                <w:szCs w:val="24"/>
              </w:rPr>
              <w:t>40.9</w:t>
            </w:r>
          </w:p>
        </w:tc>
      </w:tr>
      <w:tr w:rsidR="008E3CB5" w:rsidRPr="008E3CB5" w14:paraId="7EFD6DF8" w14:textId="77777777" w:rsidTr="0079245C">
        <w:trPr>
          <w:trHeight w:val="144"/>
          <w:jc w:val="center"/>
        </w:trPr>
        <w:tc>
          <w:tcPr>
            <w:tcW w:w="1344" w:type="dxa"/>
            <w:tcMar>
              <w:top w:w="58" w:type="dxa"/>
              <w:left w:w="58" w:type="dxa"/>
              <w:bottom w:w="58" w:type="dxa"/>
              <w:right w:w="58" w:type="dxa"/>
            </w:tcMar>
            <w:vAlign w:val="center"/>
          </w:tcPr>
          <w:p w14:paraId="6342F76F" w14:textId="2F0F042C" w:rsidR="008E3CB5" w:rsidRPr="007B2A0A" w:rsidRDefault="008E3CB5" w:rsidP="008E3CB5">
            <w:pPr>
              <w:pStyle w:val="NoSpacing"/>
              <w:rPr>
                <w:sz w:val="24"/>
                <w:szCs w:val="24"/>
              </w:rPr>
            </w:pPr>
            <w:r w:rsidRPr="007B2A0A">
              <w:rPr>
                <w:sz w:val="24"/>
                <w:szCs w:val="24"/>
              </w:rPr>
              <w:t>Worcester</w:t>
            </w:r>
          </w:p>
        </w:tc>
        <w:tc>
          <w:tcPr>
            <w:tcW w:w="1711" w:type="dxa"/>
            <w:tcMar>
              <w:top w:w="58" w:type="dxa"/>
              <w:left w:w="58" w:type="dxa"/>
              <w:bottom w:w="58" w:type="dxa"/>
              <w:right w:w="58" w:type="dxa"/>
            </w:tcMar>
            <w:vAlign w:val="center"/>
          </w:tcPr>
          <w:p w14:paraId="1B1B3CEF" w14:textId="6E1FD4BD" w:rsidR="008E3CB5" w:rsidRPr="007B2A0A" w:rsidRDefault="008E3CB5" w:rsidP="008E3CB5">
            <w:pPr>
              <w:pStyle w:val="NoSpacing"/>
              <w:jc w:val="center"/>
              <w:rPr>
                <w:sz w:val="24"/>
                <w:szCs w:val="24"/>
              </w:rPr>
            </w:pPr>
            <w:r w:rsidRPr="007B2A0A">
              <w:rPr>
                <w:sz w:val="24"/>
                <w:szCs w:val="24"/>
              </w:rPr>
              <w:t>37.1</w:t>
            </w:r>
          </w:p>
        </w:tc>
      </w:tr>
      <w:tr w:rsidR="008E3CB5" w:rsidRPr="008E3CB5" w14:paraId="1D64C525"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5B70B86E" w14:textId="554580B9" w:rsidR="008E3CB5" w:rsidRPr="007B2A0A" w:rsidRDefault="005B2771" w:rsidP="008E3CB5">
            <w:pPr>
              <w:pStyle w:val="NoSpacing"/>
              <w:rPr>
                <w:sz w:val="24"/>
                <w:szCs w:val="24"/>
              </w:rPr>
            </w:pPr>
            <w:r>
              <w:rPr>
                <w:sz w:val="24"/>
                <w:szCs w:val="24"/>
              </w:rPr>
              <w:t>Barnstable</w:t>
            </w:r>
          </w:p>
        </w:tc>
        <w:tc>
          <w:tcPr>
            <w:tcW w:w="1711" w:type="dxa"/>
            <w:shd w:val="clear" w:color="auto" w:fill="D9D9D9" w:themeFill="background1" w:themeFillShade="D9"/>
            <w:tcMar>
              <w:top w:w="58" w:type="dxa"/>
              <w:left w:w="58" w:type="dxa"/>
              <w:bottom w:w="58" w:type="dxa"/>
              <w:right w:w="58" w:type="dxa"/>
            </w:tcMar>
            <w:vAlign w:val="center"/>
          </w:tcPr>
          <w:p w14:paraId="0E603F30" w14:textId="3A43779F" w:rsidR="008E3CB5" w:rsidRPr="007B2A0A" w:rsidRDefault="008E3CB5" w:rsidP="008E3CB5">
            <w:pPr>
              <w:pStyle w:val="NoSpacing"/>
              <w:jc w:val="center"/>
              <w:rPr>
                <w:sz w:val="24"/>
                <w:szCs w:val="24"/>
              </w:rPr>
            </w:pPr>
            <w:r w:rsidRPr="007B2A0A">
              <w:rPr>
                <w:sz w:val="24"/>
                <w:szCs w:val="24"/>
              </w:rPr>
              <w:t>29.6</w:t>
            </w:r>
          </w:p>
        </w:tc>
      </w:tr>
      <w:tr w:rsidR="008E3CB5" w:rsidRPr="008E3CB5" w14:paraId="692A5BAA" w14:textId="77777777" w:rsidTr="0079245C">
        <w:trPr>
          <w:trHeight w:val="144"/>
          <w:jc w:val="center"/>
        </w:trPr>
        <w:tc>
          <w:tcPr>
            <w:tcW w:w="1344" w:type="dxa"/>
            <w:tcMar>
              <w:top w:w="58" w:type="dxa"/>
              <w:left w:w="58" w:type="dxa"/>
              <w:bottom w:w="58" w:type="dxa"/>
              <w:right w:w="58" w:type="dxa"/>
            </w:tcMar>
            <w:vAlign w:val="center"/>
          </w:tcPr>
          <w:p w14:paraId="3DEBD277" w14:textId="4E17C36C" w:rsidR="008E3CB5" w:rsidRPr="007B2A0A" w:rsidRDefault="005B2771" w:rsidP="008E3CB5">
            <w:pPr>
              <w:pStyle w:val="NoSpacing"/>
              <w:rPr>
                <w:sz w:val="24"/>
                <w:szCs w:val="24"/>
              </w:rPr>
            </w:pPr>
            <w:r>
              <w:rPr>
                <w:sz w:val="24"/>
                <w:szCs w:val="24"/>
              </w:rPr>
              <w:t>Essex</w:t>
            </w:r>
          </w:p>
        </w:tc>
        <w:tc>
          <w:tcPr>
            <w:tcW w:w="1711" w:type="dxa"/>
            <w:tcMar>
              <w:top w:w="58" w:type="dxa"/>
              <w:left w:w="58" w:type="dxa"/>
              <w:bottom w:w="58" w:type="dxa"/>
              <w:right w:w="58" w:type="dxa"/>
            </w:tcMar>
            <w:vAlign w:val="center"/>
          </w:tcPr>
          <w:p w14:paraId="1AF5F7A6" w14:textId="3F03D89C" w:rsidR="008E3CB5" w:rsidRPr="007B2A0A" w:rsidRDefault="008E3CB5" w:rsidP="008E3CB5">
            <w:pPr>
              <w:pStyle w:val="NoSpacing"/>
              <w:jc w:val="center"/>
              <w:rPr>
                <w:sz w:val="24"/>
                <w:szCs w:val="24"/>
              </w:rPr>
            </w:pPr>
            <w:r w:rsidRPr="007B2A0A">
              <w:rPr>
                <w:sz w:val="24"/>
                <w:szCs w:val="24"/>
              </w:rPr>
              <w:t>29.6</w:t>
            </w:r>
          </w:p>
        </w:tc>
      </w:tr>
      <w:tr w:rsidR="008E3CB5" w:rsidRPr="008E3CB5" w14:paraId="77AAE861"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190B8A16" w14:textId="1199B716" w:rsidR="008E3CB5" w:rsidRPr="007B2A0A" w:rsidRDefault="008E3CB5" w:rsidP="008E3CB5">
            <w:pPr>
              <w:pStyle w:val="NoSpacing"/>
              <w:rPr>
                <w:sz w:val="24"/>
                <w:szCs w:val="24"/>
              </w:rPr>
            </w:pPr>
            <w:r w:rsidRPr="007B2A0A">
              <w:rPr>
                <w:sz w:val="24"/>
                <w:szCs w:val="24"/>
              </w:rPr>
              <w:t>Plymouth</w:t>
            </w:r>
          </w:p>
        </w:tc>
        <w:tc>
          <w:tcPr>
            <w:tcW w:w="1711" w:type="dxa"/>
            <w:shd w:val="clear" w:color="auto" w:fill="D9D9D9" w:themeFill="background1" w:themeFillShade="D9"/>
            <w:tcMar>
              <w:top w:w="58" w:type="dxa"/>
              <w:left w:w="58" w:type="dxa"/>
              <w:bottom w:w="58" w:type="dxa"/>
              <w:right w:w="58" w:type="dxa"/>
            </w:tcMar>
            <w:vAlign w:val="center"/>
          </w:tcPr>
          <w:p w14:paraId="6ABD3519" w14:textId="5111755F" w:rsidR="008E3CB5" w:rsidRPr="007B2A0A" w:rsidRDefault="008E3CB5" w:rsidP="008E3CB5">
            <w:pPr>
              <w:pStyle w:val="NoSpacing"/>
              <w:jc w:val="center"/>
              <w:rPr>
                <w:sz w:val="24"/>
                <w:szCs w:val="24"/>
              </w:rPr>
            </w:pPr>
            <w:r w:rsidRPr="007B2A0A">
              <w:rPr>
                <w:sz w:val="24"/>
                <w:szCs w:val="24"/>
              </w:rPr>
              <w:t>27.7</w:t>
            </w:r>
          </w:p>
        </w:tc>
      </w:tr>
      <w:tr w:rsidR="008E3CB5" w:rsidRPr="008E3CB5" w14:paraId="50D3344A" w14:textId="77777777" w:rsidTr="0079245C">
        <w:trPr>
          <w:trHeight w:val="144"/>
          <w:jc w:val="center"/>
        </w:trPr>
        <w:tc>
          <w:tcPr>
            <w:tcW w:w="1344" w:type="dxa"/>
            <w:tcMar>
              <w:top w:w="58" w:type="dxa"/>
              <w:left w:w="58" w:type="dxa"/>
              <w:bottom w:w="58" w:type="dxa"/>
              <w:right w:w="58" w:type="dxa"/>
            </w:tcMar>
            <w:vAlign w:val="center"/>
          </w:tcPr>
          <w:p w14:paraId="72A1CB72" w14:textId="25D0A810" w:rsidR="008E3CB5" w:rsidRPr="007B2A0A" w:rsidRDefault="008E3CB5" w:rsidP="008E3CB5">
            <w:pPr>
              <w:pStyle w:val="NoSpacing"/>
              <w:rPr>
                <w:sz w:val="24"/>
                <w:szCs w:val="24"/>
              </w:rPr>
            </w:pPr>
            <w:r w:rsidRPr="007B2A0A">
              <w:rPr>
                <w:sz w:val="24"/>
                <w:szCs w:val="24"/>
              </w:rPr>
              <w:t>Norfolk</w:t>
            </w:r>
          </w:p>
        </w:tc>
        <w:tc>
          <w:tcPr>
            <w:tcW w:w="1711" w:type="dxa"/>
            <w:tcMar>
              <w:top w:w="58" w:type="dxa"/>
              <w:left w:w="58" w:type="dxa"/>
              <w:bottom w:w="58" w:type="dxa"/>
              <w:right w:w="58" w:type="dxa"/>
            </w:tcMar>
            <w:vAlign w:val="center"/>
          </w:tcPr>
          <w:p w14:paraId="4406B825" w14:textId="50CC2C87" w:rsidR="008E3CB5" w:rsidRPr="007B2A0A" w:rsidRDefault="008E3CB5" w:rsidP="008E3CB5">
            <w:pPr>
              <w:pStyle w:val="NoSpacing"/>
              <w:jc w:val="center"/>
              <w:rPr>
                <w:sz w:val="24"/>
                <w:szCs w:val="24"/>
              </w:rPr>
            </w:pPr>
            <w:r w:rsidRPr="007B2A0A">
              <w:rPr>
                <w:sz w:val="24"/>
                <w:szCs w:val="24"/>
              </w:rPr>
              <w:t>22.4</w:t>
            </w:r>
          </w:p>
        </w:tc>
      </w:tr>
      <w:tr w:rsidR="008E3CB5" w:rsidRPr="008E3CB5" w14:paraId="48C015AD"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tcPr>
          <w:p w14:paraId="5189D459" w14:textId="43D51228" w:rsidR="008E3CB5" w:rsidRPr="007B2A0A" w:rsidRDefault="008E3CB5" w:rsidP="008E3CB5">
            <w:pPr>
              <w:pStyle w:val="NoSpacing"/>
              <w:rPr>
                <w:sz w:val="24"/>
                <w:szCs w:val="24"/>
              </w:rPr>
            </w:pPr>
            <w:r w:rsidRPr="007B2A0A">
              <w:rPr>
                <w:sz w:val="24"/>
                <w:szCs w:val="24"/>
              </w:rPr>
              <w:t>Middlesex</w:t>
            </w:r>
          </w:p>
        </w:tc>
        <w:tc>
          <w:tcPr>
            <w:tcW w:w="1711" w:type="dxa"/>
            <w:shd w:val="clear" w:color="auto" w:fill="D9D9D9" w:themeFill="background1" w:themeFillShade="D9"/>
            <w:tcMar>
              <w:top w:w="58" w:type="dxa"/>
              <w:left w:w="58" w:type="dxa"/>
              <w:bottom w:w="58" w:type="dxa"/>
              <w:right w:w="58" w:type="dxa"/>
            </w:tcMar>
            <w:vAlign w:val="center"/>
          </w:tcPr>
          <w:p w14:paraId="2FA42F87" w14:textId="60265D93" w:rsidR="008E3CB5" w:rsidRPr="007B2A0A" w:rsidRDefault="008E3CB5" w:rsidP="008E3CB5">
            <w:pPr>
              <w:pStyle w:val="NoSpacing"/>
              <w:jc w:val="center"/>
              <w:rPr>
                <w:sz w:val="24"/>
                <w:szCs w:val="24"/>
              </w:rPr>
            </w:pPr>
            <w:r w:rsidRPr="007B2A0A">
              <w:rPr>
                <w:sz w:val="24"/>
                <w:szCs w:val="24"/>
              </w:rPr>
              <w:t>20.4</w:t>
            </w:r>
          </w:p>
        </w:tc>
      </w:tr>
      <w:tr w:rsidR="008E3CB5" w:rsidRPr="008E3CB5" w14:paraId="36EC71BE" w14:textId="77777777" w:rsidTr="0079245C">
        <w:trPr>
          <w:trHeight w:val="144"/>
          <w:jc w:val="center"/>
        </w:trPr>
        <w:tc>
          <w:tcPr>
            <w:tcW w:w="1344" w:type="dxa"/>
            <w:tcMar>
              <w:top w:w="58" w:type="dxa"/>
              <w:left w:w="58" w:type="dxa"/>
              <w:bottom w:w="58" w:type="dxa"/>
              <w:right w:w="58" w:type="dxa"/>
            </w:tcMar>
            <w:vAlign w:val="center"/>
            <w:hideMark/>
          </w:tcPr>
          <w:p w14:paraId="0C0C5A34" w14:textId="77777777" w:rsidR="008E3CB5" w:rsidRPr="007B2A0A" w:rsidRDefault="008E3CB5" w:rsidP="008E3CB5">
            <w:pPr>
              <w:pStyle w:val="NoSpacing"/>
              <w:rPr>
                <w:sz w:val="24"/>
                <w:szCs w:val="24"/>
              </w:rPr>
            </w:pPr>
            <w:r w:rsidRPr="007B2A0A">
              <w:rPr>
                <w:sz w:val="24"/>
                <w:szCs w:val="24"/>
              </w:rPr>
              <w:t>Hampshire</w:t>
            </w:r>
          </w:p>
        </w:tc>
        <w:tc>
          <w:tcPr>
            <w:tcW w:w="1711" w:type="dxa"/>
            <w:tcMar>
              <w:top w:w="58" w:type="dxa"/>
              <w:left w:w="58" w:type="dxa"/>
              <w:bottom w:w="58" w:type="dxa"/>
              <w:right w:w="58" w:type="dxa"/>
            </w:tcMar>
            <w:vAlign w:val="center"/>
            <w:hideMark/>
          </w:tcPr>
          <w:p w14:paraId="50ED33E3" w14:textId="77777777" w:rsidR="008E3CB5" w:rsidRPr="007B2A0A" w:rsidRDefault="008E3CB5" w:rsidP="008E3CB5">
            <w:pPr>
              <w:pStyle w:val="NoSpacing"/>
              <w:jc w:val="center"/>
              <w:rPr>
                <w:sz w:val="24"/>
                <w:szCs w:val="24"/>
              </w:rPr>
            </w:pPr>
            <w:r w:rsidRPr="007B2A0A">
              <w:rPr>
                <w:sz w:val="24"/>
                <w:szCs w:val="24"/>
              </w:rPr>
              <w:t>19.9</w:t>
            </w:r>
          </w:p>
        </w:tc>
      </w:tr>
      <w:tr w:rsidR="008E3CB5" w:rsidRPr="008E3CB5" w14:paraId="62B627C8" w14:textId="77777777" w:rsidTr="0079245C">
        <w:trPr>
          <w:trHeight w:val="144"/>
          <w:jc w:val="center"/>
        </w:trPr>
        <w:tc>
          <w:tcPr>
            <w:tcW w:w="1344" w:type="dxa"/>
            <w:shd w:val="clear" w:color="auto" w:fill="D9D9D9" w:themeFill="background1" w:themeFillShade="D9"/>
            <w:tcMar>
              <w:top w:w="58" w:type="dxa"/>
              <w:left w:w="58" w:type="dxa"/>
              <w:bottom w:w="58" w:type="dxa"/>
              <w:right w:w="58" w:type="dxa"/>
            </w:tcMar>
            <w:vAlign w:val="center"/>
            <w:hideMark/>
          </w:tcPr>
          <w:p w14:paraId="27D45D8B" w14:textId="77777777" w:rsidR="008E3CB5" w:rsidRPr="007B2A0A" w:rsidRDefault="008E3CB5" w:rsidP="008E3CB5">
            <w:pPr>
              <w:pStyle w:val="NoSpacing"/>
              <w:rPr>
                <w:sz w:val="24"/>
                <w:szCs w:val="24"/>
              </w:rPr>
            </w:pPr>
            <w:r w:rsidRPr="007B2A0A">
              <w:rPr>
                <w:sz w:val="24"/>
                <w:szCs w:val="24"/>
              </w:rPr>
              <w:t>Nantucket</w:t>
            </w:r>
          </w:p>
        </w:tc>
        <w:tc>
          <w:tcPr>
            <w:tcW w:w="1711" w:type="dxa"/>
            <w:shd w:val="clear" w:color="auto" w:fill="D9D9D9" w:themeFill="background1" w:themeFillShade="D9"/>
            <w:tcMar>
              <w:top w:w="58" w:type="dxa"/>
              <w:left w:w="58" w:type="dxa"/>
              <w:bottom w:w="58" w:type="dxa"/>
              <w:right w:w="58" w:type="dxa"/>
            </w:tcMar>
            <w:vAlign w:val="center"/>
            <w:hideMark/>
          </w:tcPr>
          <w:p w14:paraId="191556F8" w14:textId="021A2325" w:rsidR="008E3CB5" w:rsidRPr="007B2A0A" w:rsidRDefault="00A00487" w:rsidP="008E3CB5">
            <w:pPr>
              <w:pStyle w:val="NoSpacing"/>
              <w:jc w:val="center"/>
              <w:rPr>
                <w:sz w:val="24"/>
                <w:szCs w:val="24"/>
              </w:rPr>
            </w:pPr>
            <w:r>
              <w:rPr>
                <w:sz w:val="24"/>
                <w:szCs w:val="24"/>
              </w:rPr>
              <w:t>*</w:t>
            </w:r>
          </w:p>
        </w:tc>
      </w:tr>
      <w:tr w:rsidR="008E3CB5" w:rsidRPr="008E3CB5" w14:paraId="3432E681" w14:textId="77777777" w:rsidTr="0079245C">
        <w:trPr>
          <w:trHeight w:val="144"/>
          <w:jc w:val="center"/>
        </w:trPr>
        <w:tc>
          <w:tcPr>
            <w:tcW w:w="1344" w:type="dxa"/>
            <w:tcMar>
              <w:top w:w="58" w:type="dxa"/>
              <w:left w:w="58" w:type="dxa"/>
              <w:bottom w:w="58" w:type="dxa"/>
              <w:right w:w="58" w:type="dxa"/>
            </w:tcMar>
            <w:vAlign w:val="center"/>
            <w:hideMark/>
          </w:tcPr>
          <w:p w14:paraId="01210CA3" w14:textId="77777777" w:rsidR="008E3CB5" w:rsidRPr="007B2A0A" w:rsidRDefault="008E3CB5" w:rsidP="008E3CB5">
            <w:pPr>
              <w:pStyle w:val="NoSpacing"/>
              <w:rPr>
                <w:sz w:val="24"/>
                <w:szCs w:val="24"/>
              </w:rPr>
            </w:pPr>
            <w:r w:rsidRPr="007B2A0A">
              <w:rPr>
                <w:sz w:val="24"/>
                <w:szCs w:val="24"/>
              </w:rPr>
              <w:t>Dukes</w:t>
            </w:r>
          </w:p>
        </w:tc>
        <w:tc>
          <w:tcPr>
            <w:tcW w:w="1711" w:type="dxa"/>
            <w:tcMar>
              <w:top w:w="58" w:type="dxa"/>
              <w:left w:w="58" w:type="dxa"/>
              <w:bottom w:w="58" w:type="dxa"/>
              <w:right w:w="58" w:type="dxa"/>
            </w:tcMar>
            <w:vAlign w:val="center"/>
            <w:hideMark/>
          </w:tcPr>
          <w:p w14:paraId="6BEE68AF" w14:textId="33FF79F4" w:rsidR="008E3CB5" w:rsidRPr="007B2A0A" w:rsidRDefault="00A00487" w:rsidP="008E3CB5">
            <w:pPr>
              <w:pStyle w:val="NoSpacing"/>
              <w:jc w:val="center"/>
              <w:rPr>
                <w:sz w:val="24"/>
                <w:szCs w:val="24"/>
              </w:rPr>
            </w:pPr>
            <w:r>
              <w:rPr>
                <w:sz w:val="24"/>
                <w:szCs w:val="24"/>
              </w:rPr>
              <w:t>*</w:t>
            </w:r>
          </w:p>
        </w:tc>
      </w:tr>
    </w:tbl>
    <w:p w14:paraId="296A9A88" w14:textId="77777777" w:rsidR="003E7569" w:rsidRPr="009234DE" w:rsidRDefault="003E7569" w:rsidP="00223A17">
      <w:pPr>
        <w:spacing w:beforeLines="80" w:before="192" w:afterLines="80" w:after="192"/>
        <w:rPr>
          <w:sz w:val="24"/>
          <w:szCs w:val="24"/>
        </w:rPr>
      </w:pPr>
    </w:p>
    <w:p w14:paraId="405305DF" w14:textId="3E30C6A7" w:rsidR="00672700" w:rsidRDefault="00672700" w:rsidP="007B2A0A">
      <w:pPr>
        <w:spacing w:beforeLines="80" w:before="192" w:afterLines="80" w:after="192"/>
        <w:rPr>
          <w:sz w:val="24"/>
          <w:szCs w:val="24"/>
        </w:rPr>
      </w:pPr>
      <w:r w:rsidRPr="009234DE">
        <w:rPr>
          <w:sz w:val="24"/>
          <w:szCs w:val="24"/>
        </w:rPr>
        <w:lastRenderedPageBreak/>
        <w:t xml:space="preserve">The tables </w:t>
      </w:r>
      <w:r w:rsidR="006A72BF">
        <w:rPr>
          <w:sz w:val="24"/>
          <w:szCs w:val="24"/>
        </w:rPr>
        <w:t>below</w:t>
      </w:r>
      <w:r w:rsidRPr="009234DE">
        <w:rPr>
          <w:sz w:val="24"/>
          <w:szCs w:val="24"/>
        </w:rPr>
        <w:t xml:space="preserve"> </w:t>
      </w:r>
      <w:r>
        <w:rPr>
          <w:sz w:val="24"/>
          <w:szCs w:val="24"/>
        </w:rPr>
        <w:t>list the top five cities based on counts and rates.</w:t>
      </w:r>
    </w:p>
    <w:p w14:paraId="7462A051" w14:textId="77777777" w:rsidR="00672700" w:rsidRDefault="00672700" w:rsidP="00223A17">
      <w:pPr>
        <w:spacing w:beforeLines="80" w:before="192" w:afterLines="80" w:after="192"/>
        <w:rPr>
          <w:sz w:val="24"/>
          <w:szCs w:val="24"/>
        </w:rPr>
      </w:pPr>
    </w:p>
    <w:p w14:paraId="77700881" w14:textId="67DFBE83" w:rsidR="00672700" w:rsidRPr="00D271FA" w:rsidRDefault="00672700" w:rsidP="00223A17">
      <w:pPr>
        <w:pStyle w:val="Heading2"/>
        <w:spacing w:beforeLines="80" w:before="192" w:afterLines="80" w:after="192"/>
        <w:jc w:val="center"/>
        <w:rPr>
          <w:rFonts w:ascii="Segoe UI" w:hAnsi="Segoe UI" w:cs="Segoe UI"/>
          <w:color w:val="auto"/>
          <w:sz w:val="24"/>
          <w:szCs w:val="24"/>
          <w:u w:val="single"/>
        </w:rPr>
      </w:pPr>
      <w:r w:rsidRPr="00D271FA">
        <w:rPr>
          <w:rFonts w:ascii="Segoe UI" w:hAnsi="Segoe UI" w:cs="Segoe UI"/>
          <w:color w:val="auto"/>
          <w:sz w:val="24"/>
          <w:szCs w:val="24"/>
          <w:u w:val="single"/>
        </w:rPr>
        <w:t>Top 5 Cities by Count</w:t>
      </w:r>
    </w:p>
    <w:tbl>
      <w:tblPr>
        <w:tblStyle w:val="TableGrid"/>
        <w:tblW w:w="0" w:type="auto"/>
        <w:jc w:val="center"/>
        <w:tblLook w:val="04A0" w:firstRow="1" w:lastRow="0" w:firstColumn="1" w:lastColumn="0" w:noHBand="0" w:noVBand="1"/>
      </w:tblPr>
      <w:tblGrid>
        <w:gridCol w:w="3600"/>
        <w:gridCol w:w="2340"/>
        <w:gridCol w:w="2430"/>
      </w:tblGrid>
      <w:tr w:rsidR="00672700" w:rsidRPr="009234DE" w14:paraId="2E219827" w14:textId="77777777" w:rsidTr="007B2A0A">
        <w:trPr>
          <w:trHeight w:val="432"/>
          <w:jc w:val="center"/>
        </w:trPr>
        <w:tc>
          <w:tcPr>
            <w:tcW w:w="3600" w:type="dxa"/>
            <w:vAlign w:val="center"/>
          </w:tcPr>
          <w:p w14:paraId="0C1560D5" w14:textId="100D477F" w:rsidR="00672700" w:rsidRPr="007B2A0A" w:rsidRDefault="00672700" w:rsidP="007B2A0A">
            <w:pPr>
              <w:jc w:val="center"/>
              <w:rPr>
                <w:b/>
                <w:bCs/>
                <w:sz w:val="24"/>
                <w:szCs w:val="24"/>
              </w:rPr>
            </w:pPr>
            <w:r w:rsidRPr="007B2A0A">
              <w:rPr>
                <w:b/>
                <w:bCs/>
                <w:sz w:val="24"/>
                <w:szCs w:val="24"/>
              </w:rPr>
              <w:t>City and County</w:t>
            </w:r>
          </w:p>
        </w:tc>
        <w:tc>
          <w:tcPr>
            <w:tcW w:w="2340" w:type="dxa"/>
            <w:vAlign w:val="center"/>
          </w:tcPr>
          <w:p w14:paraId="2B307EA2" w14:textId="460E1C51" w:rsidR="00672700" w:rsidRPr="007B2A0A" w:rsidRDefault="00672700" w:rsidP="007B2A0A">
            <w:pPr>
              <w:jc w:val="center"/>
              <w:rPr>
                <w:b/>
                <w:bCs/>
                <w:sz w:val="24"/>
                <w:szCs w:val="24"/>
              </w:rPr>
            </w:pPr>
            <w:r w:rsidRPr="007B2A0A">
              <w:rPr>
                <w:b/>
                <w:bCs/>
                <w:sz w:val="24"/>
                <w:szCs w:val="24"/>
              </w:rPr>
              <w:t>Count</w:t>
            </w:r>
          </w:p>
        </w:tc>
        <w:tc>
          <w:tcPr>
            <w:tcW w:w="2430" w:type="dxa"/>
            <w:vAlign w:val="center"/>
          </w:tcPr>
          <w:p w14:paraId="7E76C99D" w14:textId="418EB1C4" w:rsidR="00672700" w:rsidRPr="007B2A0A" w:rsidRDefault="00672700" w:rsidP="007B2A0A">
            <w:pPr>
              <w:jc w:val="center"/>
              <w:rPr>
                <w:b/>
                <w:bCs/>
                <w:sz w:val="24"/>
                <w:szCs w:val="24"/>
              </w:rPr>
            </w:pPr>
            <w:r w:rsidRPr="007B2A0A">
              <w:rPr>
                <w:b/>
                <w:bCs/>
                <w:sz w:val="24"/>
                <w:szCs w:val="24"/>
              </w:rPr>
              <w:t>Rate per 100,000</w:t>
            </w:r>
          </w:p>
        </w:tc>
      </w:tr>
      <w:tr w:rsidR="00672700" w:rsidRPr="009234DE" w14:paraId="4BC2BB93" w14:textId="77777777" w:rsidTr="007B2A0A">
        <w:trPr>
          <w:trHeight w:val="432"/>
          <w:jc w:val="center"/>
        </w:trPr>
        <w:tc>
          <w:tcPr>
            <w:tcW w:w="3600" w:type="dxa"/>
            <w:shd w:val="clear" w:color="auto" w:fill="D9D9D9" w:themeFill="background1" w:themeFillShade="D9"/>
            <w:vAlign w:val="center"/>
          </w:tcPr>
          <w:p w14:paraId="59D6DD6B" w14:textId="4B8151B3" w:rsidR="00672700" w:rsidRPr="007B2A0A" w:rsidRDefault="00672700" w:rsidP="007B2A0A">
            <w:pPr>
              <w:rPr>
                <w:sz w:val="24"/>
                <w:szCs w:val="24"/>
              </w:rPr>
            </w:pPr>
            <w:r w:rsidRPr="007B2A0A">
              <w:rPr>
                <w:sz w:val="24"/>
                <w:szCs w:val="24"/>
              </w:rPr>
              <w:t>Boston (Suffolk County)</w:t>
            </w:r>
          </w:p>
        </w:tc>
        <w:tc>
          <w:tcPr>
            <w:tcW w:w="2340" w:type="dxa"/>
            <w:shd w:val="clear" w:color="auto" w:fill="D9D9D9" w:themeFill="background1" w:themeFillShade="D9"/>
            <w:vAlign w:val="center"/>
          </w:tcPr>
          <w:p w14:paraId="22F93621" w14:textId="5212407C" w:rsidR="00672700" w:rsidRPr="007B2A0A" w:rsidRDefault="00672700" w:rsidP="007B2A0A">
            <w:pPr>
              <w:jc w:val="center"/>
              <w:rPr>
                <w:sz w:val="24"/>
                <w:szCs w:val="24"/>
              </w:rPr>
            </w:pPr>
            <w:r w:rsidRPr="007B2A0A">
              <w:rPr>
                <w:sz w:val="24"/>
                <w:szCs w:val="24"/>
              </w:rPr>
              <w:t>391</w:t>
            </w:r>
          </w:p>
        </w:tc>
        <w:tc>
          <w:tcPr>
            <w:tcW w:w="2430" w:type="dxa"/>
            <w:shd w:val="clear" w:color="auto" w:fill="D9D9D9" w:themeFill="background1" w:themeFillShade="D9"/>
            <w:vAlign w:val="center"/>
          </w:tcPr>
          <w:p w14:paraId="4D9E44D0" w14:textId="5F9FA4B0" w:rsidR="00672700" w:rsidRPr="007B2A0A" w:rsidRDefault="005B2771" w:rsidP="007B2A0A">
            <w:pPr>
              <w:jc w:val="center"/>
              <w:rPr>
                <w:sz w:val="24"/>
                <w:szCs w:val="24"/>
              </w:rPr>
            </w:pPr>
            <w:r>
              <w:rPr>
                <w:sz w:val="24"/>
                <w:szCs w:val="24"/>
              </w:rPr>
              <w:t>59.8</w:t>
            </w:r>
          </w:p>
        </w:tc>
      </w:tr>
      <w:tr w:rsidR="00672700" w:rsidRPr="009234DE" w14:paraId="1B7E827E" w14:textId="77777777" w:rsidTr="007B2A0A">
        <w:trPr>
          <w:trHeight w:val="432"/>
          <w:jc w:val="center"/>
        </w:trPr>
        <w:tc>
          <w:tcPr>
            <w:tcW w:w="3600" w:type="dxa"/>
            <w:vAlign w:val="center"/>
          </w:tcPr>
          <w:p w14:paraId="08A2D258" w14:textId="32A01BB7" w:rsidR="00672700" w:rsidRPr="007B2A0A" w:rsidRDefault="00672700" w:rsidP="007B2A0A">
            <w:pPr>
              <w:rPr>
                <w:sz w:val="24"/>
                <w:szCs w:val="24"/>
              </w:rPr>
            </w:pPr>
            <w:r w:rsidRPr="007B2A0A">
              <w:rPr>
                <w:sz w:val="24"/>
                <w:szCs w:val="24"/>
              </w:rPr>
              <w:t>Worcester (Worcester County)</w:t>
            </w:r>
          </w:p>
        </w:tc>
        <w:tc>
          <w:tcPr>
            <w:tcW w:w="2340" w:type="dxa"/>
            <w:vAlign w:val="center"/>
          </w:tcPr>
          <w:p w14:paraId="696C2892" w14:textId="77B21F40" w:rsidR="00672700" w:rsidRPr="007B2A0A" w:rsidRDefault="00672700" w:rsidP="007B2A0A">
            <w:pPr>
              <w:jc w:val="center"/>
              <w:rPr>
                <w:sz w:val="24"/>
                <w:szCs w:val="24"/>
              </w:rPr>
            </w:pPr>
            <w:r w:rsidRPr="007B2A0A">
              <w:rPr>
                <w:sz w:val="24"/>
                <w:szCs w:val="24"/>
              </w:rPr>
              <w:t>168</w:t>
            </w:r>
          </w:p>
        </w:tc>
        <w:tc>
          <w:tcPr>
            <w:tcW w:w="2430" w:type="dxa"/>
            <w:vAlign w:val="center"/>
          </w:tcPr>
          <w:p w14:paraId="755D687D" w14:textId="689BA486" w:rsidR="00672700" w:rsidRPr="007B2A0A" w:rsidRDefault="005B2771" w:rsidP="007B2A0A">
            <w:pPr>
              <w:jc w:val="center"/>
              <w:rPr>
                <w:sz w:val="24"/>
                <w:szCs w:val="24"/>
              </w:rPr>
            </w:pPr>
            <w:r>
              <w:rPr>
                <w:sz w:val="24"/>
                <w:szCs w:val="24"/>
              </w:rPr>
              <w:t>80.9</w:t>
            </w:r>
          </w:p>
        </w:tc>
      </w:tr>
      <w:tr w:rsidR="00672700" w:rsidRPr="009234DE" w14:paraId="10454E58" w14:textId="77777777" w:rsidTr="007B2A0A">
        <w:trPr>
          <w:trHeight w:val="432"/>
          <w:jc w:val="center"/>
        </w:trPr>
        <w:tc>
          <w:tcPr>
            <w:tcW w:w="3600" w:type="dxa"/>
            <w:shd w:val="clear" w:color="auto" w:fill="D9D9D9" w:themeFill="background1" w:themeFillShade="D9"/>
            <w:vAlign w:val="center"/>
          </w:tcPr>
          <w:p w14:paraId="5F60D1A5" w14:textId="33056DB9" w:rsidR="00672700" w:rsidRPr="007B2A0A" w:rsidRDefault="00672700" w:rsidP="007B2A0A">
            <w:pPr>
              <w:rPr>
                <w:sz w:val="24"/>
                <w:szCs w:val="24"/>
              </w:rPr>
            </w:pPr>
            <w:r w:rsidRPr="007B2A0A">
              <w:rPr>
                <w:sz w:val="24"/>
                <w:szCs w:val="24"/>
              </w:rPr>
              <w:t>Springfield (Hampden County)</w:t>
            </w:r>
          </w:p>
        </w:tc>
        <w:tc>
          <w:tcPr>
            <w:tcW w:w="2340" w:type="dxa"/>
            <w:shd w:val="clear" w:color="auto" w:fill="D9D9D9" w:themeFill="background1" w:themeFillShade="D9"/>
            <w:vAlign w:val="center"/>
          </w:tcPr>
          <w:p w14:paraId="205797C9" w14:textId="3796372D" w:rsidR="00672700" w:rsidRPr="007B2A0A" w:rsidRDefault="00672700" w:rsidP="007B2A0A">
            <w:pPr>
              <w:jc w:val="center"/>
              <w:rPr>
                <w:sz w:val="24"/>
                <w:szCs w:val="24"/>
              </w:rPr>
            </w:pPr>
            <w:r w:rsidRPr="007B2A0A">
              <w:rPr>
                <w:sz w:val="24"/>
                <w:szCs w:val="24"/>
              </w:rPr>
              <w:t>128</w:t>
            </w:r>
          </w:p>
        </w:tc>
        <w:tc>
          <w:tcPr>
            <w:tcW w:w="2430" w:type="dxa"/>
            <w:shd w:val="clear" w:color="auto" w:fill="D9D9D9" w:themeFill="background1" w:themeFillShade="D9"/>
            <w:vAlign w:val="center"/>
          </w:tcPr>
          <w:p w14:paraId="5B66C2A0" w14:textId="2378EE57" w:rsidR="00672700" w:rsidRPr="007B2A0A" w:rsidRDefault="00672700" w:rsidP="007B2A0A">
            <w:pPr>
              <w:jc w:val="center"/>
              <w:rPr>
                <w:sz w:val="24"/>
                <w:szCs w:val="24"/>
              </w:rPr>
            </w:pPr>
            <w:r w:rsidRPr="007B2A0A">
              <w:rPr>
                <w:sz w:val="24"/>
                <w:szCs w:val="24"/>
              </w:rPr>
              <w:t>83</w:t>
            </w:r>
            <w:r w:rsidR="005B2771">
              <w:rPr>
                <w:sz w:val="24"/>
                <w:szCs w:val="24"/>
              </w:rPr>
              <w:t>.3</w:t>
            </w:r>
          </w:p>
        </w:tc>
      </w:tr>
      <w:tr w:rsidR="00672700" w:rsidRPr="009234DE" w14:paraId="4ECB8B45" w14:textId="77777777" w:rsidTr="007B2A0A">
        <w:trPr>
          <w:trHeight w:val="432"/>
          <w:jc w:val="center"/>
        </w:trPr>
        <w:tc>
          <w:tcPr>
            <w:tcW w:w="3600" w:type="dxa"/>
            <w:vAlign w:val="center"/>
          </w:tcPr>
          <w:p w14:paraId="4DDB2DC1" w14:textId="67EE1FCB" w:rsidR="00672700" w:rsidRPr="007B2A0A" w:rsidRDefault="00672700" w:rsidP="007B2A0A">
            <w:pPr>
              <w:rPr>
                <w:sz w:val="24"/>
                <w:szCs w:val="24"/>
              </w:rPr>
            </w:pPr>
            <w:r w:rsidRPr="007B2A0A">
              <w:rPr>
                <w:sz w:val="24"/>
                <w:szCs w:val="24"/>
              </w:rPr>
              <w:t>New Bedford (Bristol County)</w:t>
            </w:r>
          </w:p>
        </w:tc>
        <w:tc>
          <w:tcPr>
            <w:tcW w:w="2340" w:type="dxa"/>
            <w:vAlign w:val="center"/>
          </w:tcPr>
          <w:p w14:paraId="6C773042" w14:textId="06DCCE95" w:rsidR="00672700" w:rsidRPr="007B2A0A" w:rsidRDefault="00672700" w:rsidP="007B2A0A">
            <w:pPr>
              <w:jc w:val="center"/>
              <w:rPr>
                <w:sz w:val="24"/>
                <w:szCs w:val="24"/>
              </w:rPr>
            </w:pPr>
            <w:r w:rsidRPr="007B2A0A">
              <w:rPr>
                <w:sz w:val="24"/>
                <w:szCs w:val="24"/>
              </w:rPr>
              <w:t>83</w:t>
            </w:r>
          </w:p>
        </w:tc>
        <w:tc>
          <w:tcPr>
            <w:tcW w:w="2430" w:type="dxa"/>
            <w:vAlign w:val="center"/>
          </w:tcPr>
          <w:p w14:paraId="33834A70" w14:textId="508E55A3" w:rsidR="00672700" w:rsidRPr="007B2A0A" w:rsidRDefault="00672700" w:rsidP="007B2A0A">
            <w:pPr>
              <w:jc w:val="center"/>
              <w:rPr>
                <w:sz w:val="24"/>
                <w:szCs w:val="24"/>
              </w:rPr>
            </w:pPr>
            <w:r w:rsidRPr="007B2A0A">
              <w:rPr>
                <w:sz w:val="24"/>
                <w:szCs w:val="24"/>
              </w:rPr>
              <w:t>82.</w:t>
            </w:r>
            <w:r w:rsidR="005B2771">
              <w:rPr>
                <w:sz w:val="24"/>
                <w:szCs w:val="24"/>
              </w:rPr>
              <w:t>4</w:t>
            </w:r>
          </w:p>
        </w:tc>
      </w:tr>
      <w:tr w:rsidR="00672700" w:rsidRPr="009234DE" w14:paraId="27BC68FF" w14:textId="77777777" w:rsidTr="007B2A0A">
        <w:trPr>
          <w:trHeight w:val="432"/>
          <w:jc w:val="center"/>
        </w:trPr>
        <w:tc>
          <w:tcPr>
            <w:tcW w:w="3600" w:type="dxa"/>
            <w:shd w:val="clear" w:color="auto" w:fill="D9D9D9" w:themeFill="background1" w:themeFillShade="D9"/>
            <w:vAlign w:val="center"/>
          </w:tcPr>
          <w:p w14:paraId="71AAB513" w14:textId="76285AD6" w:rsidR="00672700" w:rsidRPr="007B2A0A" w:rsidRDefault="00672700" w:rsidP="007B2A0A">
            <w:pPr>
              <w:rPr>
                <w:sz w:val="24"/>
                <w:szCs w:val="24"/>
              </w:rPr>
            </w:pPr>
            <w:r w:rsidRPr="007B2A0A">
              <w:rPr>
                <w:sz w:val="24"/>
                <w:szCs w:val="24"/>
              </w:rPr>
              <w:t>Fall River (Bristol County)</w:t>
            </w:r>
          </w:p>
        </w:tc>
        <w:tc>
          <w:tcPr>
            <w:tcW w:w="2340" w:type="dxa"/>
            <w:shd w:val="clear" w:color="auto" w:fill="D9D9D9" w:themeFill="background1" w:themeFillShade="D9"/>
            <w:vAlign w:val="center"/>
          </w:tcPr>
          <w:p w14:paraId="3CF18008" w14:textId="438F12A7" w:rsidR="00672700" w:rsidRPr="007B2A0A" w:rsidRDefault="00672700" w:rsidP="007B2A0A">
            <w:pPr>
              <w:jc w:val="center"/>
              <w:rPr>
                <w:sz w:val="24"/>
                <w:szCs w:val="24"/>
              </w:rPr>
            </w:pPr>
            <w:r w:rsidRPr="007B2A0A">
              <w:rPr>
                <w:sz w:val="24"/>
                <w:szCs w:val="24"/>
              </w:rPr>
              <w:t>74</w:t>
            </w:r>
          </w:p>
        </w:tc>
        <w:tc>
          <w:tcPr>
            <w:tcW w:w="2430" w:type="dxa"/>
            <w:shd w:val="clear" w:color="auto" w:fill="D9D9D9" w:themeFill="background1" w:themeFillShade="D9"/>
            <w:vAlign w:val="center"/>
          </w:tcPr>
          <w:p w14:paraId="17C97C90" w14:textId="41743DF0" w:rsidR="00672700" w:rsidRPr="007B2A0A" w:rsidRDefault="00672700" w:rsidP="007B2A0A">
            <w:pPr>
              <w:jc w:val="center"/>
              <w:rPr>
                <w:sz w:val="24"/>
                <w:szCs w:val="24"/>
              </w:rPr>
            </w:pPr>
            <w:r w:rsidRPr="007B2A0A">
              <w:rPr>
                <w:sz w:val="24"/>
                <w:szCs w:val="24"/>
              </w:rPr>
              <w:t>78.</w:t>
            </w:r>
            <w:r w:rsidR="005B2771">
              <w:rPr>
                <w:sz w:val="24"/>
                <w:szCs w:val="24"/>
              </w:rPr>
              <w:t>9</w:t>
            </w:r>
          </w:p>
        </w:tc>
      </w:tr>
    </w:tbl>
    <w:p w14:paraId="5063594D" w14:textId="77777777" w:rsidR="00672700" w:rsidRPr="009234DE" w:rsidRDefault="00672700" w:rsidP="00223A17">
      <w:pPr>
        <w:spacing w:beforeLines="80" w:before="192" w:afterLines="80" w:after="192"/>
        <w:rPr>
          <w:sz w:val="24"/>
          <w:szCs w:val="24"/>
        </w:rPr>
      </w:pPr>
    </w:p>
    <w:p w14:paraId="32948D6E" w14:textId="61863D70" w:rsidR="00672700" w:rsidRPr="00D271FA" w:rsidRDefault="00672700" w:rsidP="007B2A0A">
      <w:pPr>
        <w:pStyle w:val="Heading2"/>
        <w:spacing w:beforeLines="80" w:before="192" w:afterLines="80" w:after="192"/>
        <w:jc w:val="center"/>
        <w:rPr>
          <w:rFonts w:ascii="Segoe UI" w:hAnsi="Segoe UI" w:cs="Segoe UI"/>
          <w:color w:val="auto"/>
          <w:sz w:val="24"/>
          <w:szCs w:val="24"/>
          <w:u w:val="single"/>
        </w:rPr>
      </w:pPr>
      <w:r w:rsidRPr="00D271FA">
        <w:rPr>
          <w:rFonts w:ascii="Segoe UI" w:hAnsi="Segoe UI" w:cs="Segoe UI"/>
          <w:color w:val="auto"/>
          <w:sz w:val="24"/>
          <w:szCs w:val="24"/>
          <w:u w:val="single"/>
        </w:rPr>
        <w:t>Top 5 Cities by Rate</w:t>
      </w:r>
    </w:p>
    <w:tbl>
      <w:tblPr>
        <w:tblStyle w:val="TableGrid"/>
        <w:tblW w:w="0" w:type="auto"/>
        <w:jc w:val="center"/>
        <w:tblLook w:val="04A0" w:firstRow="1" w:lastRow="0" w:firstColumn="1" w:lastColumn="0" w:noHBand="0" w:noVBand="1"/>
      </w:tblPr>
      <w:tblGrid>
        <w:gridCol w:w="3780"/>
        <w:gridCol w:w="2340"/>
        <w:gridCol w:w="2430"/>
      </w:tblGrid>
      <w:tr w:rsidR="00672700" w:rsidRPr="009234DE" w14:paraId="0DA7E22A" w14:textId="77777777" w:rsidTr="007B2A0A">
        <w:trPr>
          <w:trHeight w:val="432"/>
          <w:jc w:val="center"/>
        </w:trPr>
        <w:tc>
          <w:tcPr>
            <w:tcW w:w="3780" w:type="dxa"/>
            <w:vAlign w:val="center"/>
          </w:tcPr>
          <w:p w14:paraId="4A2D38E2" w14:textId="77777777" w:rsidR="00672700" w:rsidRPr="0079245C" w:rsidRDefault="00672700" w:rsidP="007B2A0A">
            <w:pPr>
              <w:jc w:val="center"/>
              <w:rPr>
                <w:b/>
                <w:bCs/>
                <w:sz w:val="24"/>
                <w:szCs w:val="24"/>
              </w:rPr>
            </w:pPr>
            <w:r w:rsidRPr="0079245C">
              <w:rPr>
                <w:b/>
                <w:bCs/>
                <w:sz w:val="24"/>
                <w:szCs w:val="24"/>
              </w:rPr>
              <w:t>City and County</w:t>
            </w:r>
          </w:p>
        </w:tc>
        <w:tc>
          <w:tcPr>
            <w:tcW w:w="2340" w:type="dxa"/>
            <w:vAlign w:val="center"/>
          </w:tcPr>
          <w:p w14:paraId="43EC12A3" w14:textId="77777777" w:rsidR="00672700" w:rsidRPr="0079245C" w:rsidRDefault="00672700" w:rsidP="007B2A0A">
            <w:pPr>
              <w:jc w:val="center"/>
              <w:rPr>
                <w:b/>
                <w:bCs/>
                <w:sz w:val="24"/>
                <w:szCs w:val="24"/>
              </w:rPr>
            </w:pPr>
            <w:r w:rsidRPr="0079245C">
              <w:rPr>
                <w:b/>
                <w:bCs/>
                <w:sz w:val="24"/>
                <w:szCs w:val="24"/>
              </w:rPr>
              <w:t>Count</w:t>
            </w:r>
          </w:p>
        </w:tc>
        <w:tc>
          <w:tcPr>
            <w:tcW w:w="2430" w:type="dxa"/>
            <w:vAlign w:val="center"/>
          </w:tcPr>
          <w:p w14:paraId="5293DD91" w14:textId="77777777" w:rsidR="00672700" w:rsidRPr="0079245C" w:rsidRDefault="00672700" w:rsidP="007B2A0A">
            <w:pPr>
              <w:jc w:val="center"/>
              <w:rPr>
                <w:b/>
                <w:bCs/>
                <w:sz w:val="24"/>
                <w:szCs w:val="24"/>
              </w:rPr>
            </w:pPr>
            <w:r w:rsidRPr="0079245C">
              <w:rPr>
                <w:b/>
                <w:bCs/>
                <w:sz w:val="24"/>
                <w:szCs w:val="24"/>
              </w:rPr>
              <w:t>Rate per 100,000</w:t>
            </w:r>
          </w:p>
        </w:tc>
      </w:tr>
      <w:tr w:rsidR="00672700" w:rsidRPr="009234DE" w14:paraId="3DF74C36" w14:textId="77777777" w:rsidTr="007B2A0A">
        <w:trPr>
          <w:trHeight w:val="432"/>
          <w:jc w:val="center"/>
        </w:trPr>
        <w:tc>
          <w:tcPr>
            <w:tcW w:w="3780" w:type="dxa"/>
            <w:shd w:val="clear" w:color="auto" w:fill="D9D9D9" w:themeFill="background1" w:themeFillShade="D9"/>
            <w:vAlign w:val="center"/>
          </w:tcPr>
          <w:p w14:paraId="7C9C1A9A" w14:textId="1C2EC67B" w:rsidR="00672700" w:rsidRPr="0079245C" w:rsidRDefault="00672700" w:rsidP="007B2A0A">
            <w:pPr>
              <w:rPr>
                <w:sz w:val="24"/>
                <w:szCs w:val="24"/>
              </w:rPr>
            </w:pPr>
            <w:r w:rsidRPr="0079245C">
              <w:rPr>
                <w:sz w:val="24"/>
                <w:szCs w:val="24"/>
              </w:rPr>
              <w:t>Holyoke (Hampden County)</w:t>
            </w:r>
          </w:p>
        </w:tc>
        <w:tc>
          <w:tcPr>
            <w:tcW w:w="2340" w:type="dxa"/>
            <w:shd w:val="clear" w:color="auto" w:fill="D9D9D9" w:themeFill="background1" w:themeFillShade="D9"/>
            <w:vAlign w:val="center"/>
          </w:tcPr>
          <w:p w14:paraId="0BB592BD" w14:textId="706FBC42" w:rsidR="00672700" w:rsidRPr="0079245C" w:rsidRDefault="00672700" w:rsidP="007B2A0A">
            <w:pPr>
              <w:jc w:val="center"/>
              <w:rPr>
                <w:sz w:val="24"/>
                <w:szCs w:val="24"/>
              </w:rPr>
            </w:pPr>
            <w:r w:rsidRPr="0079245C">
              <w:rPr>
                <w:sz w:val="24"/>
                <w:szCs w:val="24"/>
              </w:rPr>
              <w:t>48</w:t>
            </w:r>
          </w:p>
        </w:tc>
        <w:tc>
          <w:tcPr>
            <w:tcW w:w="2430" w:type="dxa"/>
            <w:shd w:val="clear" w:color="auto" w:fill="D9D9D9" w:themeFill="background1" w:themeFillShade="D9"/>
            <w:vAlign w:val="center"/>
          </w:tcPr>
          <w:p w14:paraId="4FCB1BD3" w14:textId="3EAC5D89" w:rsidR="00672700" w:rsidRPr="0079245C" w:rsidRDefault="00672700" w:rsidP="007B2A0A">
            <w:pPr>
              <w:jc w:val="center"/>
              <w:rPr>
                <w:sz w:val="24"/>
                <w:szCs w:val="24"/>
              </w:rPr>
            </w:pPr>
            <w:r w:rsidRPr="0079245C">
              <w:rPr>
                <w:sz w:val="24"/>
                <w:szCs w:val="24"/>
              </w:rPr>
              <w:t>127.4</w:t>
            </w:r>
          </w:p>
        </w:tc>
      </w:tr>
      <w:tr w:rsidR="00672700" w:rsidRPr="009234DE" w14:paraId="554E5EE3" w14:textId="77777777" w:rsidTr="007B2A0A">
        <w:trPr>
          <w:trHeight w:val="432"/>
          <w:jc w:val="center"/>
        </w:trPr>
        <w:tc>
          <w:tcPr>
            <w:tcW w:w="3780" w:type="dxa"/>
            <w:vAlign w:val="center"/>
          </w:tcPr>
          <w:p w14:paraId="5333964C" w14:textId="1604BD4F" w:rsidR="00672700" w:rsidRPr="0079245C" w:rsidRDefault="00672700" w:rsidP="007B2A0A">
            <w:pPr>
              <w:rPr>
                <w:sz w:val="24"/>
                <w:szCs w:val="24"/>
              </w:rPr>
            </w:pPr>
            <w:r w:rsidRPr="0079245C">
              <w:rPr>
                <w:sz w:val="24"/>
                <w:szCs w:val="24"/>
              </w:rPr>
              <w:t>Greenfield (Franklin County)</w:t>
            </w:r>
          </w:p>
        </w:tc>
        <w:tc>
          <w:tcPr>
            <w:tcW w:w="2340" w:type="dxa"/>
            <w:vAlign w:val="center"/>
          </w:tcPr>
          <w:p w14:paraId="7D19C3E9" w14:textId="41BFCA54" w:rsidR="00672700" w:rsidRPr="0079245C" w:rsidRDefault="00672700" w:rsidP="007B2A0A">
            <w:pPr>
              <w:jc w:val="center"/>
              <w:rPr>
                <w:sz w:val="24"/>
                <w:szCs w:val="24"/>
              </w:rPr>
            </w:pPr>
            <w:r w:rsidRPr="0079245C">
              <w:rPr>
                <w:sz w:val="24"/>
                <w:szCs w:val="24"/>
              </w:rPr>
              <w:t>16</w:t>
            </w:r>
          </w:p>
        </w:tc>
        <w:tc>
          <w:tcPr>
            <w:tcW w:w="2430" w:type="dxa"/>
            <w:vAlign w:val="center"/>
          </w:tcPr>
          <w:p w14:paraId="607DCDD5" w14:textId="5A7C4912" w:rsidR="00672700" w:rsidRPr="0079245C" w:rsidRDefault="00672700" w:rsidP="007B2A0A">
            <w:pPr>
              <w:jc w:val="center"/>
              <w:rPr>
                <w:sz w:val="24"/>
                <w:szCs w:val="24"/>
              </w:rPr>
            </w:pPr>
            <w:r w:rsidRPr="0079245C">
              <w:rPr>
                <w:sz w:val="24"/>
                <w:szCs w:val="24"/>
              </w:rPr>
              <w:t>90.7</w:t>
            </w:r>
          </w:p>
        </w:tc>
      </w:tr>
      <w:tr w:rsidR="00672700" w:rsidRPr="009234DE" w14:paraId="2D2C6F4D" w14:textId="77777777" w:rsidTr="007B2A0A">
        <w:trPr>
          <w:trHeight w:val="432"/>
          <w:jc w:val="center"/>
        </w:trPr>
        <w:tc>
          <w:tcPr>
            <w:tcW w:w="3780" w:type="dxa"/>
            <w:shd w:val="clear" w:color="auto" w:fill="D9D9D9" w:themeFill="background1" w:themeFillShade="D9"/>
            <w:vAlign w:val="center"/>
          </w:tcPr>
          <w:p w14:paraId="3A9B03A1" w14:textId="70B3DDA5" w:rsidR="00672700" w:rsidRPr="0079245C" w:rsidRDefault="00672700" w:rsidP="007B2A0A">
            <w:pPr>
              <w:rPr>
                <w:sz w:val="24"/>
                <w:szCs w:val="24"/>
              </w:rPr>
            </w:pPr>
            <w:r w:rsidRPr="0079245C">
              <w:rPr>
                <w:sz w:val="24"/>
                <w:szCs w:val="24"/>
              </w:rPr>
              <w:t>West Springfield (Hampden County)</w:t>
            </w:r>
          </w:p>
        </w:tc>
        <w:tc>
          <w:tcPr>
            <w:tcW w:w="2340" w:type="dxa"/>
            <w:shd w:val="clear" w:color="auto" w:fill="D9D9D9" w:themeFill="background1" w:themeFillShade="D9"/>
            <w:vAlign w:val="center"/>
          </w:tcPr>
          <w:p w14:paraId="67E7172B" w14:textId="06DA9BAF" w:rsidR="00672700" w:rsidRPr="0079245C" w:rsidRDefault="00672700" w:rsidP="007B2A0A">
            <w:pPr>
              <w:jc w:val="center"/>
              <w:rPr>
                <w:sz w:val="24"/>
                <w:szCs w:val="24"/>
              </w:rPr>
            </w:pPr>
            <w:r w:rsidRPr="0079245C">
              <w:rPr>
                <w:sz w:val="24"/>
                <w:szCs w:val="24"/>
              </w:rPr>
              <w:t>26</w:t>
            </w:r>
          </w:p>
        </w:tc>
        <w:tc>
          <w:tcPr>
            <w:tcW w:w="2430" w:type="dxa"/>
            <w:shd w:val="clear" w:color="auto" w:fill="D9D9D9" w:themeFill="background1" w:themeFillShade="D9"/>
            <w:vAlign w:val="center"/>
          </w:tcPr>
          <w:p w14:paraId="2770CB1A" w14:textId="57D6A9CF" w:rsidR="00672700" w:rsidRPr="0079245C" w:rsidRDefault="00672700" w:rsidP="007B2A0A">
            <w:pPr>
              <w:jc w:val="center"/>
              <w:rPr>
                <w:sz w:val="24"/>
                <w:szCs w:val="24"/>
              </w:rPr>
            </w:pPr>
            <w:r w:rsidRPr="0079245C">
              <w:rPr>
                <w:sz w:val="24"/>
                <w:szCs w:val="24"/>
              </w:rPr>
              <w:t>89.9</w:t>
            </w:r>
          </w:p>
        </w:tc>
      </w:tr>
      <w:tr w:rsidR="00672700" w:rsidRPr="009234DE" w14:paraId="006E8580" w14:textId="77777777" w:rsidTr="007B2A0A">
        <w:trPr>
          <w:trHeight w:val="432"/>
          <w:jc w:val="center"/>
        </w:trPr>
        <w:tc>
          <w:tcPr>
            <w:tcW w:w="3780" w:type="dxa"/>
            <w:vAlign w:val="center"/>
          </w:tcPr>
          <w:p w14:paraId="1CB6A20F" w14:textId="499BB811" w:rsidR="00672700" w:rsidRPr="0079245C" w:rsidRDefault="00672700" w:rsidP="007B2A0A">
            <w:pPr>
              <w:rPr>
                <w:sz w:val="24"/>
                <w:szCs w:val="24"/>
              </w:rPr>
            </w:pPr>
            <w:r w:rsidRPr="0079245C">
              <w:rPr>
                <w:sz w:val="24"/>
                <w:szCs w:val="24"/>
              </w:rPr>
              <w:t>Springfield (Hampden County)</w:t>
            </w:r>
          </w:p>
        </w:tc>
        <w:tc>
          <w:tcPr>
            <w:tcW w:w="2340" w:type="dxa"/>
            <w:vAlign w:val="center"/>
          </w:tcPr>
          <w:p w14:paraId="2573DF0F" w14:textId="071F894A" w:rsidR="00672700" w:rsidRPr="0079245C" w:rsidRDefault="00672700" w:rsidP="007B2A0A">
            <w:pPr>
              <w:jc w:val="center"/>
              <w:rPr>
                <w:sz w:val="24"/>
                <w:szCs w:val="24"/>
              </w:rPr>
            </w:pPr>
            <w:r w:rsidRPr="0079245C">
              <w:rPr>
                <w:sz w:val="24"/>
                <w:szCs w:val="24"/>
              </w:rPr>
              <w:t>128</w:t>
            </w:r>
          </w:p>
        </w:tc>
        <w:tc>
          <w:tcPr>
            <w:tcW w:w="2430" w:type="dxa"/>
            <w:vAlign w:val="center"/>
          </w:tcPr>
          <w:p w14:paraId="69411278" w14:textId="6A6BC3F4" w:rsidR="00672700" w:rsidRPr="0079245C" w:rsidRDefault="00672700" w:rsidP="007B2A0A">
            <w:pPr>
              <w:jc w:val="center"/>
              <w:rPr>
                <w:sz w:val="24"/>
                <w:szCs w:val="24"/>
              </w:rPr>
            </w:pPr>
            <w:r w:rsidRPr="0079245C">
              <w:rPr>
                <w:sz w:val="24"/>
                <w:szCs w:val="24"/>
              </w:rPr>
              <w:t>83.0</w:t>
            </w:r>
          </w:p>
        </w:tc>
      </w:tr>
      <w:tr w:rsidR="00672700" w:rsidRPr="009234DE" w14:paraId="191A7CE2" w14:textId="77777777" w:rsidTr="007B2A0A">
        <w:trPr>
          <w:trHeight w:val="432"/>
          <w:jc w:val="center"/>
        </w:trPr>
        <w:tc>
          <w:tcPr>
            <w:tcW w:w="3780" w:type="dxa"/>
            <w:shd w:val="clear" w:color="auto" w:fill="D9D9D9" w:themeFill="background1" w:themeFillShade="D9"/>
            <w:vAlign w:val="center"/>
          </w:tcPr>
          <w:p w14:paraId="2B04354D" w14:textId="79663557" w:rsidR="00672700" w:rsidRPr="0079245C" w:rsidRDefault="00672700" w:rsidP="007B2A0A">
            <w:pPr>
              <w:rPr>
                <w:sz w:val="24"/>
                <w:szCs w:val="24"/>
              </w:rPr>
            </w:pPr>
            <w:r w:rsidRPr="0079245C">
              <w:rPr>
                <w:sz w:val="24"/>
                <w:szCs w:val="24"/>
              </w:rPr>
              <w:t>New Bedford (Bristol County)</w:t>
            </w:r>
          </w:p>
        </w:tc>
        <w:tc>
          <w:tcPr>
            <w:tcW w:w="2340" w:type="dxa"/>
            <w:shd w:val="clear" w:color="auto" w:fill="D9D9D9" w:themeFill="background1" w:themeFillShade="D9"/>
            <w:vAlign w:val="center"/>
          </w:tcPr>
          <w:p w14:paraId="5B7D8E7C" w14:textId="6EAF22D7" w:rsidR="00672700" w:rsidRPr="0079245C" w:rsidRDefault="00672700" w:rsidP="007B2A0A">
            <w:pPr>
              <w:jc w:val="center"/>
              <w:rPr>
                <w:sz w:val="24"/>
                <w:szCs w:val="24"/>
              </w:rPr>
            </w:pPr>
            <w:r w:rsidRPr="0079245C">
              <w:rPr>
                <w:sz w:val="24"/>
                <w:szCs w:val="24"/>
              </w:rPr>
              <w:t>83</w:t>
            </w:r>
          </w:p>
        </w:tc>
        <w:tc>
          <w:tcPr>
            <w:tcW w:w="2430" w:type="dxa"/>
            <w:shd w:val="clear" w:color="auto" w:fill="D9D9D9" w:themeFill="background1" w:themeFillShade="D9"/>
            <w:vAlign w:val="center"/>
          </w:tcPr>
          <w:p w14:paraId="7AD00346" w14:textId="074E4F7B" w:rsidR="00672700" w:rsidRPr="0079245C" w:rsidRDefault="00672700" w:rsidP="007B2A0A">
            <w:pPr>
              <w:jc w:val="center"/>
              <w:rPr>
                <w:sz w:val="24"/>
                <w:szCs w:val="24"/>
              </w:rPr>
            </w:pPr>
            <w:r w:rsidRPr="0079245C">
              <w:rPr>
                <w:sz w:val="24"/>
                <w:szCs w:val="24"/>
              </w:rPr>
              <w:t>82.2</w:t>
            </w:r>
          </w:p>
        </w:tc>
      </w:tr>
    </w:tbl>
    <w:p w14:paraId="027D2220" w14:textId="77777777" w:rsidR="00672700" w:rsidRPr="00A00487" w:rsidRDefault="00672700" w:rsidP="00223A17">
      <w:pPr>
        <w:spacing w:beforeLines="80" w:before="192" w:afterLines="80" w:after="192"/>
        <w:rPr>
          <w:sz w:val="2"/>
          <w:szCs w:val="2"/>
        </w:rPr>
      </w:pPr>
    </w:p>
    <w:p w14:paraId="2835A5AC" w14:textId="41F11D93" w:rsidR="00672700" w:rsidRDefault="00672700" w:rsidP="00223A17">
      <w:pPr>
        <w:spacing w:beforeLines="80" w:before="192" w:afterLines="80" w:after="192"/>
        <w:rPr>
          <w:sz w:val="24"/>
          <w:szCs w:val="24"/>
        </w:rPr>
      </w:pPr>
      <w:r>
        <w:rPr>
          <w:sz w:val="24"/>
          <w:szCs w:val="24"/>
        </w:rPr>
        <w:t>SUDORS collects information on injury location. The top five locations are listed on the next page.</w:t>
      </w:r>
    </w:p>
    <w:p w14:paraId="2BE4B69F" w14:textId="03932A0E" w:rsidR="00672700" w:rsidRPr="00D271FA" w:rsidRDefault="00672700" w:rsidP="00074587">
      <w:pPr>
        <w:pStyle w:val="Heading2"/>
        <w:spacing w:beforeLines="80" w:before="192" w:afterLines="80" w:after="192" w:line="240" w:lineRule="auto"/>
        <w:rPr>
          <w:rFonts w:ascii="Segoe UI" w:hAnsi="Segoe UI" w:cs="Segoe UI"/>
          <w:color w:val="auto"/>
          <w:sz w:val="24"/>
          <w:szCs w:val="24"/>
          <w:u w:val="single"/>
        </w:rPr>
      </w:pPr>
      <w:r w:rsidRPr="00D271FA">
        <w:rPr>
          <w:rFonts w:ascii="Segoe UI" w:hAnsi="Segoe UI" w:cs="Segoe UI"/>
          <w:color w:val="auto"/>
          <w:sz w:val="24"/>
          <w:szCs w:val="24"/>
          <w:u w:val="single"/>
        </w:rPr>
        <w:t>Top 5 Locations</w:t>
      </w:r>
    </w:p>
    <w:p w14:paraId="5A5C35E4" w14:textId="6B1BEEEF" w:rsidR="00672700" w:rsidRPr="006A72BF" w:rsidRDefault="00672700" w:rsidP="00074587">
      <w:pPr>
        <w:pStyle w:val="ListParagraph"/>
        <w:numPr>
          <w:ilvl w:val="0"/>
          <w:numId w:val="1"/>
        </w:numPr>
        <w:spacing w:beforeLines="80" w:before="192" w:afterLines="80" w:after="192" w:line="240" w:lineRule="auto"/>
        <w:contextualSpacing w:val="0"/>
        <w:rPr>
          <w:sz w:val="24"/>
          <w:szCs w:val="24"/>
        </w:rPr>
      </w:pPr>
      <w:r w:rsidRPr="006A72BF">
        <w:rPr>
          <w:sz w:val="24"/>
          <w:szCs w:val="24"/>
        </w:rPr>
        <w:t>79.4% overdosed in a house or apartment</w:t>
      </w:r>
      <w:r w:rsidR="006A72BF" w:rsidRPr="006A72BF">
        <w:rPr>
          <w:sz w:val="24"/>
          <w:szCs w:val="24"/>
        </w:rPr>
        <w:t xml:space="preserve">; of these, </w:t>
      </w:r>
      <w:r w:rsidRPr="006A72BF">
        <w:rPr>
          <w:sz w:val="24"/>
          <w:szCs w:val="24"/>
        </w:rPr>
        <w:t>70.8% overdosed in their own residence</w:t>
      </w:r>
    </w:p>
    <w:p w14:paraId="5FFFBED6" w14:textId="1A970224" w:rsidR="00672700" w:rsidRPr="009234DE" w:rsidRDefault="00672700" w:rsidP="00074587">
      <w:pPr>
        <w:pStyle w:val="ListParagraph"/>
        <w:numPr>
          <w:ilvl w:val="0"/>
          <w:numId w:val="1"/>
        </w:numPr>
        <w:spacing w:beforeLines="80" w:before="192" w:afterLines="80" w:after="192" w:line="240" w:lineRule="auto"/>
        <w:contextualSpacing w:val="0"/>
        <w:rPr>
          <w:sz w:val="24"/>
          <w:szCs w:val="24"/>
          <w:vertAlign w:val="superscript"/>
        </w:rPr>
      </w:pPr>
      <w:r w:rsidRPr="009234DE">
        <w:rPr>
          <w:sz w:val="24"/>
          <w:szCs w:val="24"/>
        </w:rPr>
        <w:t>3.3% overdosed in a supervised residential facility</w:t>
      </w:r>
      <w:r w:rsidRPr="009234DE">
        <w:rPr>
          <w:rStyle w:val="FootnoteReference"/>
          <w:sz w:val="24"/>
          <w:szCs w:val="24"/>
        </w:rPr>
        <w:footnoteReference w:id="5"/>
      </w:r>
    </w:p>
    <w:p w14:paraId="51F1A1AE" w14:textId="1017CB7C" w:rsidR="00672700" w:rsidRPr="009234DE" w:rsidRDefault="00672700" w:rsidP="00074587">
      <w:pPr>
        <w:pStyle w:val="ListParagraph"/>
        <w:numPr>
          <w:ilvl w:val="0"/>
          <w:numId w:val="1"/>
        </w:numPr>
        <w:spacing w:beforeLines="80" w:before="192" w:afterLines="80" w:after="192" w:line="240" w:lineRule="auto"/>
        <w:contextualSpacing w:val="0"/>
        <w:rPr>
          <w:sz w:val="24"/>
          <w:szCs w:val="24"/>
        </w:rPr>
      </w:pPr>
      <w:r w:rsidRPr="00E36A17">
        <w:rPr>
          <w:sz w:val="24"/>
          <w:szCs w:val="24"/>
        </w:rPr>
        <w:lastRenderedPageBreak/>
        <w:t> </w:t>
      </w:r>
      <w:r w:rsidRPr="009234DE">
        <w:rPr>
          <w:sz w:val="24"/>
          <w:szCs w:val="24"/>
        </w:rPr>
        <w:t>3.2% overdosed on a street, sidewalk, or in an alley</w:t>
      </w:r>
    </w:p>
    <w:p w14:paraId="26F15487" w14:textId="77777777" w:rsidR="00672700" w:rsidRPr="009234DE" w:rsidRDefault="00672700" w:rsidP="00074587">
      <w:pPr>
        <w:pStyle w:val="ListParagraph"/>
        <w:numPr>
          <w:ilvl w:val="0"/>
          <w:numId w:val="1"/>
        </w:numPr>
        <w:spacing w:beforeLines="80" w:before="192" w:afterLines="80" w:after="192" w:line="240" w:lineRule="auto"/>
        <w:contextualSpacing w:val="0"/>
        <w:rPr>
          <w:sz w:val="24"/>
          <w:szCs w:val="24"/>
        </w:rPr>
      </w:pPr>
      <w:r w:rsidRPr="00E36A17">
        <w:rPr>
          <w:sz w:val="24"/>
          <w:szCs w:val="24"/>
        </w:rPr>
        <w:t> </w:t>
      </w:r>
      <w:r w:rsidRPr="009234DE">
        <w:rPr>
          <w:sz w:val="24"/>
          <w:szCs w:val="24"/>
        </w:rPr>
        <w:t>3.1% overdosed in a hotel or motel</w:t>
      </w:r>
    </w:p>
    <w:p w14:paraId="1D6F95DC" w14:textId="40DA2FD5" w:rsidR="00672700" w:rsidRDefault="00672700" w:rsidP="00074587">
      <w:pPr>
        <w:pStyle w:val="ListParagraph"/>
        <w:numPr>
          <w:ilvl w:val="0"/>
          <w:numId w:val="1"/>
        </w:numPr>
        <w:spacing w:beforeLines="80" w:before="192" w:afterLines="80" w:after="192" w:line="240" w:lineRule="auto"/>
        <w:contextualSpacing w:val="0"/>
        <w:rPr>
          <w:sz w:val="24"/>
          <w:szCs w:val="24"/>
        </w:rPr>
      </w:pPr>
      <w:r w:rsidRPr="00E36A17">
        <w:rPr>
          <w:sz w:val="24"/>
          <w:szCs w:val="24"/>
        </w:rPr>
        <w:t> </w:t>
      </w:r>
      <w:r w:rsidRPr="009234DE">
        <w:rPr>
          <w:sz w:val="24"/>
          <w:szCs w:val="24"/>
        </w:rPr>
        <w:t xml:space="preserve">2.7% overdosed in </w:t>
      </w:r>
      <w:r>
        <w:rPr>
          <w:sz w:val="24"/>
          <w:szCs w:val="24"/>
        </w:rPr>
        <w:t xml:space="preserve">a </w:t>
      </w:r>
      <w:r w:rsidRPr="009234DE">
        <w:rPr>
          <w:sz w:val="24"/>
          <w:szCs w:val="24"/>
        </w:rPr>
        <w:t>motor vehicle or camper (excluding school buses and public transportation)</w:t>
      </w:r>
    </w:p>
    <w:p w14:paraId="0E0F5097" w14:textId="6ECFB3F1" w:rsidR="00672700" w:rsidRPr="009234DE" w:rsidRDefault="00672700" w:rsidP="00074587">
      <w:pPr>
        <w:pStyle w:val="Heading1"/>
        <w:spacing w:beforeLines="80" w:before="192" w:afterLines="80" w:after="192" w:line="240" w:lineRule="auto"/>
        <w:rPr>
          <w:rFonts w:ascii="Segoe UI" w:hAnsi="Segoe UI" w:cs="Segoe UI"/>
        </w:rPr>
      </w:pPr>
      <w:r w:rsidRPr="009234DE">
        <w:rPr>
          <w:rFonts w:ascii="Segoe UI" w:hAnsi="Segoe UI" w:cs="Segoe UI"/>
        </w:rPr>
        <w:t>Summary of Facts</w:t>
      </w:r>
    </w:p>
    <w:p w14:paraId="3DBEEE8A" w14:textId="77777777" w:rsidR="00672700" w:rsidRPr="00E36A17" w:rsidRDefault="00672700" w:rsidP="00074587">
      <w:pPr>
        <w:pStyle w:val="ListParagraph"/>
        <w:numPr>
          <w:ilvl w:val="0"/>
          <w:numId w:val="2"/>
        </w:numPr>
        <w:spacing w:beforeLines="80" w:before="192" w:afterLines="80" w:after="192" w:line="240" w:lineRule="auto"/>
        <w:contextualSpacing w:val="0"/>
        <w:rPr>
          <w:sz w:val="24"/>
          <w:szCs w:val="24"/>
        </w:rPr>
      </w:pPr>
      <w:r w:rsidRPr="00E36A17">
        <w:rPr>
          <w:sz w:val="24"/>
          <w:szCs w:val="24"/>
        </w:rPr>
        <w:t>3 in 4 decedents were male</w:t>
      </w:r>
    </w:p>
    <w:p w14:paraId="0A1F274B" w14:textId="19AD7A5C" w:rsidR="00672700" w:rsidRPr="009234DE" w:rsidRDefault="00672700" w:rsidP="00074587">
      <w:pPr>
        <w:pStyle w:val="ListParagraph"/>
        <w:numPr>
          <w:ilvl w:val="0"/>
          <w:numId w:val="2"/>
        </w:numPr>
        <w:spacing w:beforeLines="80" w:before="192" w:afterLines="80" w:after="192" w:line="240" w:lineRule="auto"/>
        <w:contextualSpacing w:val="0"/>
        <w:rPr>
          <w:sz w:val="24"/>
          <w:szCs w:val="24"/>
        </w:rPr>
      </w:pPr>
      <w:r w:rsidRPr="009234DE">
        <w:rPr>
          <w:sz w:val="24"/>
          <w:szCs w:val="24"/>
        </w:rPr>
        <w:t>2 in 3 decedents were White</w:t>
      </w:r>
    </w:p>
    <w:p w14:paraId="0ABAE75D" w14:textId="2F3BCEAD" w:rsidR="00672700" w:rsidRPr="009234DE" w:rsidRDefault="00672700" w:rsidP="00074587">
      <w:pPr>
        <w:pStyle w:val="ListParagraph"/>
        <w:numPr>
          <w:ilvl w:val="0"/>
          <w:numId w:val="2"/>
        </w:numPr>
        <w:spacing w:beforeLines="80" w:before="192" w:afterLines="80" w:after="192" w:line="240" w:lineRule="auto"/>
        <w:contextualSpacing w:val="0"/>
        <w:rPr>
          <w:sz w:val="24"/>
          <w:szCs w:val="24"/>
        </w:rPr>
      </w:pPr>
      <w:r w:rsidRPr="009234DE">
        <w:rPr>
          <w:sz w:val="24"/>
          <w:szCs w:val="24"/>
        </w:rPr>
        <w:t>Black decedents had death rates almost 2 times higher than White decedents</w:t>
      </w:r>
    </w:p>
    <w:p w14:paraId="541A058B" w14:textId="24747F9E" w:rsidR="00672700" w:rsidRPr="009234DE" w:rsidRDefault="00672700" w:rsidP="00074587">
      <w:pPr>
        <w:pStyle w:val="ListParagraph"/>
        <w:numPr>
          <w:ilvl w:val="0"/>
          <w:numId w:val="2"/>
        </w:numPr>
        <w:spacing w:beforeLines="80" w:before="192" w:afterLines="80" w:after="192" w:line="240" w:lineRule="auto"/>
        <w:contextualSpacing w:val="0"/>
        <w:rPr>
          <w:sz w:val="24"/>
          <w:szCs w:val="24"/>
        </w:rPr>
      </w:pPr>
      <w:r w:rsidRPr="009234DE">
        <w:rPr>
          <w:sz w:val="24"/>
          <w:szCs w:val="24"/>
        </w:rPr>
        <w:t>4 in 5 overdoses occurred at a residence</w:t>
      </w:r>
    </w:p>
    <w:p w14:paraId="70702F54" w14:textId="23B0902B" w:rsidR="00672700" w:rsidRPr="009234DE" w:rsidRDefault="00672700" w:rsidP="00074587">
      <w:pPr>
        <w:pStyle w:val="ListParagraph"/>
        <w:widowControl w:val="0"/>
        <w:numPr>
          <w:ilvl w:val="0"/>
          <w:numId w:val="2"/>
        </w:numPr>
        <w:spacing w:beforeLines="80" w:before="192" w:afterLines="80" w:after="192" w:line="240" w:lineRule="auto"/>
        <w:contextualSpacing w:val="0"/>
        <w:rPr>
          <w:sz w:val="24"/>
          <w:szCs w:val="24"/>
          <w14:ligatures w14:val="none"/>
        </w:rPr>
      </w:pPr>
      <w:r w:rsidRPr="009234DE">
        <w:rPr>
          <w:sz w:val="24"/>
          <w:szCs w:val="24"/>
          <w14:ligatures w14:val="none"/>
        </w:rPr>
        <w:t>9 in 10 fatal overdoses involved an opioid</w:t>
      </w:r>
    </w:p>
    <w:p w14:paraId="4E856E27" w14:textId="12687726" w:rsidR="00672700" w:rsidRPr="009234DE" w:rsidRDefault="00672700" w:rsidP="00074587">
      <w:pPr>
        <w:pStyle w:val="ListParagraph"/>
        <w:widowControl w:val="0"/>
        <w:numPr>
          <w:ilvl w:val="0"/>
          <w:numId w:val="2"/>
        </w:numPr>
        <w:spacing w:beforeLines="80" w:before="192" w:afterLines="80" w:after="192" w:line="240" w:lineRule="auto"/>
        <w:contextualSpacing w:val="0"/>
        <w:rPr>
          <w:sz w:val="24"/>
          <w:szCs w:val="24"/>
          <w14:ligatures w14:val="none"/>
        </w:rPr>
      </w:pPr>
      <w:r w:rsidRPr="009234DE">
        <w:rPr>
          <w:sz w:val="24"/>
          <w:szCs w:val="24"/>
          <w14:ligatures w14:val="none"/>
        </w:rPr>
        <w:t>3 in 5 fatal overdoses involved a stimulant</w:t>
      </w:r>
    </w:p>
    <w:p w14:paraId="29EB6084" w14:textId="292E856A" w:rsidR="00672700" w:rsidRPr="009234DE" w:rsidRDefault="00672700" w:rsidP="00074587">
      <w:pPr>
        <w:pStyle w:val="ListParagraph"/>
        <w:numPr>
          <w:ilvl w:val="0"/>
          <w:numId w:val="2"/>
        </w:numPr>
        <w:spacing w:beforeLines="80" w:before="192" w:afterLines="80" w:after="192" w:line="240" w:lineRule="auto"/>
        <w:contextualSpacing w:val="0"/>
        <w:rPr>
          <w:sz w:val="24"/>
          <w:szCs w:val="24"/>
          <w14:ligatures w14:val="none"/>
        </w:rPr>
      </w:pPr>
      <w:r w:rsidRPr="009234DE">
        <w:rPr>
          <w:sz w:val="24"/>
          <w:szCs w:val="24"/>
          <w14:ligatures w14:val="none"/>
        </w:rPr>
        <w:t>3 in 4 persons died before they could be treated in the Emergency Department</w:t>
      </w:r>
    </w:p>
    <w:p w14:paraId="24B49B97" w14:textId="78C1004E" w:rsidR="00672700" w:rsidRPr="009234DE" w:rsidRDefault="00672700" w:rsidP="00074587">
      <w:pPr>
        <w:pStyle w:val="ListParagraph"/>
        <w:numPr>
          <w:ilvl w:val="0"/>
          <w:numId w:val="2"/>
        </w:numPr>
        <w:spacing w:beforeLines="80" w:before="192" w:afterLines="80" w:after="192" w:line="240" w:lineRule="auto"/>
        <w:contextualSpacing w:val="0"/>
        <w:rPr>
          <w:sz w:val="24"/>
          <w:szCs w:val="24"/>
          <w:vertAlign w:val="superscript"/>
          <w14:ligatures w14:val="none"/>
        </w:rPr>
      </w:pPr>
      <w:r w:rsidRPr="009234DE">
        <w:rPr>
          <w:sz w:val="24"/>
          <w:szCs w:val="24"/>
          <w14:ligatures w14:val="none"/>
        </w:rPr>
        <w:t>3 in 5 overdoses had no potential bystander present</w:t>
      </w:r>
      <w:r w:rsidRPr="009234DE">
        <w:rPr>
          <w:rStyle w:val="FootnoteReference"/>
          <w:sz w:val="24"/>
          <w:szCs w:val="24"/>
          <w14:ligatures w14:val="none"/>
        </w:rPr>
        <w:footnoteReference w:id="6"/>
      </w:r>
    </w:p>
    <w:p w14:paraId="4B423EC7" w14:textId="1F35B782" w:rsidR="00672700" w:rsidRPr="009234DE" w:rsidRDefault="00672700" w:rsidP="00074587">
      <w:pPr>
        <w:pStyle w:val="ListParagraph"/>
        <w:numPr>
          <w:ilvl w:val="0"/>
          <w:numId w:val="2"/>
        </w:numPr>
        <w:spacing w:beforeLines="80" w:before="192" w:afterLines="80" w:after="192" w:line="240" w:lineRule="auto"/>
        <w:contextualSpacing w:val="0"/>
        <w:rPr>
          <w:sz w:val="24"/>
          <w:szCs w:val="24"/>
          <w14:ligatures w14:val="none"/>
        </w:rPr>
      </w:pPr>
      <w:r w:rsidRPr="009234DE">
        <w:rPr>
          <w:sz w:val="24"/>
          <w:szCs w:val="24"/>
          <w14:ligatures w14:val="none"/>
        </w:rPr>
        <w:t>Drug use was witnessed in about  1 in 13 fatal overdoses</w:t>
      </w:r>
    </w:p>
    <w:p w14:paraId="34009852" w14:textId="4F0AD585"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Toxicology Results</w:t>
      </w:r>
      <w:r w:rsidRPr="009234DE">
        <w:rPr>
          <w:rStyle w:val="FootnoteReference"/>
          <w:rFonts w:ascii="Segoe UI" w:hAnsi="Segoe UI" w:cs="Segoe UI"/>
        </w:rPr>
        <w:footnoteReference w:id="7"/>
      </w:r>
    </w:p>
    <w:p w14:paraId="69743C70" w14:textId="0B51715C" w:rsidR="00672700" w:rsidRDefault="00672700" w:rsidP="00223A17">
      <w:pPr>
        <w:spacing w:beforeLines="80" w:before="192" w:afterLines="80" w:after="192"/>
        <w:rPr>
          <w:sz w:val="24"/>
          <w:szCs w:val="24"/>
        </w:rPr>
      </w:pPr>
      <w:r w:rsidRPr="00D751AF">
        <w:rPr>
          <w:sz w:val="24"/>
          <w:szCs w:val="24"/>
        </w:rPr>
        <w:t xml:space="preserve">The </w:t>
      </w:r>
      <w:r>
        <w:rPr>
          <w:sz w:val="24"/>
          <w:szCs w:val="24"/>
        </w:rPr>
        <w:t>table on the next page lists</w:t>
      </w:r>
      <w:r w:rsidRPr="00D751AF">
        <w:rPr>
          <w:sz w:val="24"/>
          <w:szCs w:val="24"/>
        </w:rPr>
        <w:t xml:space="preserve"> selected drugs and the percentage of incidents in which they were determined to have contributed to the individual's death. Of all drug classes, opioids and stimulants were detected most frequently. Of all drugs, fentanyl and cocaine </w:t>
      </w:r>
      <w:r w:rsidRPr="00D751AF">
        <w:rPr>
          <w:sz w:val="24"/>
          <w:szCs w:val="24"/>
        </w:rPr>
        <w:lastRenderedPageBreak/>
        <w:t>were detected most frequently. (Note: More than one drug or class of drug may have caused an individual's death. Individual drug percentages may not add up to the total displayed for the drug class.</w:t>
      </w:r>
      <w:r w:rsidRPr="009234DE">
        <w:rPr>
          <w:sz w:val="24"/>
          <w:szCs w:val="24"/>
        </w:rPr>
        <w:t>)</w:t>
      </w:r>
    </w:p>
    <w:p w14:paraId="37CDE33B" w14:textId="77777777" w:rsidR="00672700" w:rsidRPr="00223A17" w:rsidRDefault="00672700" w:rsidP="00223A17">
      <w:pPr>
        <w:spacing w:beforeLines="80" w:before="192" w:afterLines="80" w:after="192"/>
        <w:rPr>
          <w:sz w:val="6"/>
          <w:szCs w:val="6"/>
        </w:rPr>
      </w:pPr>
    </w:p>
    <w:tbl>
      <w:tblPr>
        <w:tblStyle w:val="List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619"/>
      </w:tblGrid>
      <w:tr w:rsidR="00672700" w:rsidRPr="009234DE" w14:paraId="5CDC50D1" w14:textId="77777777" w:rsidTr="007B2A0A">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49" w:type="dxa"/>
            <w:vAlign w:val="center"/>
          </w:tcPr>
          <w:p w14:paraId="23631C08" w14:textId="3837555E" w:rsidR="00672700" w:rsidRPr="007B2A0A" w:rsidRDefault="00672700" w:rsidP="007B2A0A">
            <w:pPr>
              <w:pStyle w:val="NoSpacing"/>
              <w:jc w:val="center"/>
              <w:rPr>
                <w:sz w:val="24"/>
                <w:szCs w:val="24"/>
              </w:rPr>
            </w:pPr>
            <w:r w:rsidRPr="007B2A0A">
              <w:rPr>
                <w:sz w:val="24"/>
                <w:szCs w:val="24"/>
              </w:rPr>
              <w:t>Drug Class / Drug</w:t>
            </w:r>
          </w:p>
        </w:tc>
        <w:tc>
          <w:tcPr>
            <w:tcW w:w="0" w:type="auto"/>
            <w:vAlign w:val="center"/>
          </w:tcPr>
          <w:p w14:paraId="2C373440" w14:textId="385F4A6F" w:rsidR="00672700" w:rsidRPr="007B2A0A" w:rsidRDefault="00672700" w:rsidP="007B2A0A">
            <w:pPr>
              <w:pStyle w:val="No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7B2A0A">
              <w:rPr>
                <w:sz w:val="24"/>
                <w:szCs w:val="24"/>
              </w:rPr>
              <w:t>Percentage of Deaths</w:t>
            </w:r>
          </w:p>
        </w:tc>
      </w:tr>
      <w:tr w:rsidR="00672700" w:rsidRPr="009234DE" w14:paraId="42EC017E" w14:textId="77777777" w:rsidTr="007B2A0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49" w:type="dxa"/>
            <w:shd w:val="clear" w:color="auto" w:fill="D9D9D9" w:themeFill="background1" w:themeFillShade="D9"/>
            <w:vAlign w:val="center"/>
          </w:tcPr>
          <w:p w14:paraId="0B154C67" w14:textId="5EC1A3C4" w:rsidR="00672700" w:rsidRPr="007B2A0A" w:rsidRDefault="00672700" w:rsidP="007B2A0A">
            <w:pPr>
              <w:pStyle w:val="NoSpacing"/>
              <w:rPr>
                <w:sz w:val="24"/>
                <w:szCs w:val="24"/>
              </w:rPr>
            </w:pPr>
            <w:r w:rsidRPr="007B2A0A">
              <w:rPr>
                <w:sz w:val="24"/>
                <w:szCs w:val="24"/>
              </w:rPr>
              <w:t>Any opioid</w:t>
            </w:r>
          </w:p>
        </w:tc>
        <w:tc>
          <w:tcPr>
            <w:tcW w:w="0" w:type="auto"/>
            <w:shd w:val="clear" w:color="auto" w:fill="D9D9D9" w:themeFill="background1" w:themeFillShade="D9"/>
            <w:vAlign w:val="center"/>
          </w:tcPr>
          <w:p w14:paraId="4B20C32A" w14:textId="7F28F16F" w:rsidR="00672700" w:rsidRPr="007B2A0A" w:rsidRDefault="00672700" w:rsidP="007B2A0A">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7B2A0A">
              <w:rPr>
                <w:sz w:val="24"/>
                <w:szCs w:val="24"/>
              </w:rPr>
              <w:t>88.2%</w:t>
            </w:r>
          </w:p>
        </w:tc>
      </w:tr>
      <w:tr w:rsidR="00672700" w:rsidRPr="009234DE" w14:paraId="63CE3EC3" w14:textId="77777777" w:rsidTr="007B2A0A">
        <w:trPr>
          <w:trHeight w:val="432"/>
          <w:jc w:val="center"/>
        </w:trPr>
        <w:tc>
          <w:tcPr>
            <w:cnfStyle w:val="001000000000" w:firstRow="0" w:lastRow="0" w:firstColumn="1" w:lastColumn="0" w:oddVBand="0" w:evenVBand="0" w:oddHBand="0" w:evenHBand="0" w:firstRowFirstColumn="0" w:firstRowLastColumn="0" w:lastRowFirstColumn="0" w:lastRowLastColumn="0"/>
            <w:tcW w:w="2949" w:type="dxa"/>
            <w:vAlign w:val="center"/>
          </w:tcPr>
          <w:p w14:paraId="73021371" w14:textId="241F3832" w:rsidR="00672700" w:rsidRPr="007B2A0A" w:rsidRDefault="00672700" w:rsidP="007B2A0A">
            <w:pPr>
              <w:pStyle w:val="NoSpacing"/>
              <w:ind w:left="330"/>
              <w:rPr>
                <w:b w:val="0"/>
                <w:bCs w:val="0"/>
                <w:sz w:val="24"/>
                <w:szCs w:val="24"/>
              </w:rPr>
            </w:pPr>
            <w:r w:rsidRPr="007B2A0A">
              <w:rPr>
                <w:b w:val="0"/>
                <w:bCs w:val="0"/>
                <w:sz w:val="24"/>
                <w:szCs w:val="24"/>
              </w:rPr>
              <w:t>Fentanyl</w:t>
            </w:r>
          </w:p>
        </w:tc>
        <w:tc>
          <w:tcPr>
            <w:tcW w:w="0" w:type="auto"/>
            <w:vAlign w:val="center"/>
          </w:tcPr>
          <w:p w14:paraId="31B0B9A2" w14:textId="0C7B5BE7" w:rsidR="00672700" w:rsidRPr="007B2A0A" w:rsidRDefault="00672700" w:rsidP="007B2A0A">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7B2A0A">
              <w:rPr>
                <w:sz w:val="24"/>
                <w:szCs w:val="24"/>
              </w:rPr>
              <w:t>82.7%</w:t>
            </w:r>
          </w:p>
        </w:tc>
      </w:tr>
      <w:tr w:rsidR="00672700" w:rsidRPr="009234DE" w14:paraId="77D25215" w14:textId="77777777" w:rsidTr="007B2A0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49" w:type="dxa"/>
            <w:shd w:val="clear" w:color="auto" w:fill="auto"/>
            <w:vAlign w:val="center"/>
          </w:tcPr>
          <w:p w14:paraId="7A4AA08B" w14:textId="3922155B" w:rsidR="00672700" w:rsidRPr="007B2A0A" w:rsidRDefault="00672700" w:rsidP="007B2A0A">
            <w:pPr>
              <w:pStyle w:val="NoSpacing"/>
              <w:ind w:left="330"/>
              <w:rPr>
                <w:b w:val="0"/>
                <w:bCs w:val="0"/>
                <w:sz w:val="24"/>
                <w:szCs w:val="24"/>
              </w:rPr>
            </w:pPr>
            <w:r w:rsidRPr="007B2A0A">
              <w:rPr>
                <w:b w:val="0"/>
                <w:bCs w:val="0"/>
                <w:sz w:val="24"/>
                <w:szCs w:val="24"/>
              </w:rPr>
              <w:t>Prescription opioids</w:t>
            </w:r>
          </w:p>
        </w:tc>
        <w:tc>
          <w:tcPr>
            <w:tcW w:w="0" w:type="auto"/>
            <w:shd w:val="clear" w:color="auto" w:fill="auto"/>
            <w:vAlign w:val="center"/>
          </w:tcPr>
          <w:p w14:paraId="1BFDEF4E" w14:textId="2177D92A" w:rsidR="00672700" w:rsidRPr="007B2A0A" w:rsidRDefault="00672700" w:rsidP="007B2A0A">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7B2A0A">
              <w:rPr>
                <w:sz w:val="24"/>
                <w:szCs w:val="24"/>
              </w:rPr>
              <w:t>17.0%</w:t>
            </w:r>
          </w:p>
        </w:tc>
      </w:tr>
      <w:tr w:rsidR="00672700" w:rsidRPr="009234DE" w14:paraId="06129737" w14:textId="77777777" w:rsidTr="007B2A0A">
        <w:trPr>
          <w:trHeight w:val="432"/>
          <w:jc w:val="center"/>
        </w:trPr>
        <w:tc>
          <w:tcPr>
            <w:cnfStyle w:val="001000000000" w:firstRow="0" w:lastRow="0" w:firstColumn="1" w:lastColumn="0" w:oddVBand="0" w:evenVBand="0" w:oddHBand="0" w:evenHBand="0" w:firstRowFirstColumn="0" w:firstRowLastColumn="0" w:lastRowFirstColumn="0" w:lastRowLastColumn="0"/>
            <w:tcW w:w="2949" w:type="dxa"/>
            <w:vAlign w:val="center"/>
          </w:tcPr>
          <w:p w14:paraId="5AA3EC29" w14:textId="5B4F2C45" w:rsidR="00672700" w:rsidRPr="007B2A0A" w:rsidRDefault="00672700" w:rsidP="007B2A0A">
            <w:pPr>
              <w:pStyle w:val="NoSpacing"/>
              <w:ind w:left="330"/>
              <w:rPr>
                <w:b w:val="0"/>
                <w:bCs w:val="0"/>
                <w:sz w:val="24"/>
                <w:szCs w:val="24"/>
              </w:rPr>
            </w:pPr>
            <w:r w:rsidRPr="007B2A0A">
              <w:rPr>
                <w:b w:val="0"/>
                <w:bCs w:val="0"/>
                <w:sz w:val="24"/>
                <w:szCs w:val="24"/>
              </w:rPr>
              <w:t>Heroin</w:t>
            </w:r>
          </w:p>
        </w:tc>
        <w:tc>
          <w:tcPr>
            <w:tcW w:w="0" w:type="auto"/>
            <w:vAlign w:val="center"/>
          </w:tcPr>
          <w:p w14:paraId="5DA7B689" w14:textId="63C93171" w:rsidR="00672700" w:rsidRPr="007B2A0A" w:rsidRDefault="00672700" w:rsidP="007B2A0A">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7B2A0A">
              <w:rPr>
                <w:sz w:val="24"/>
                <w:szCs w:val="24"/>
              </w:rPr>
              <w:t>2.8%</w:t>
            </w:r>
          </w:p>
        </w:tc>
      </w:tr>
      <w:tr w:rsidR="00672700" w:rsidRPr="009234DE" w14:paraId="74B64984" w14:textId="77777777" w:rsidTr="007B2A0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49" w:type="dxa"/>
            <w:shd w:val="clear" w:color="auto" w:fill="D9D9D9" w:themeFill="background1" w:themeFillShade="D9"/>
            <w:vAlign w:val="center"/>
          </w:tcPr>
          <w:p w14:paraId="123FCC9C" w14:textId="165FD0F7" w:rsidR="00672700" w:rsidRPr="007B2A0A" w:rsidRDefault="00672700" w:rsidP="007B2A0A">
            <w:pPr>
              <w:pStyle w:val="NoSpacing"/>
              <w:rPr>
                <w:sz w:val="24"/>
                <w:szCs w:val="24"/>
              </w:rPr>
            </w:pPr>
            <w:r w:rsidRPr="007B2A0A">
              <w:rPr>
                <w:sz w:val="24"/>
                <w:szCs w:val="24"/>
              </w:rPr>
              <w:t>Any Stimulant</w:t>
            </w:r>
          </w:p>
        </w:tc>
        <w:tc>
          <w:tcPr>
            <w:tcW w:w="0" w:type="auto"/>
            <w:shd w:val="clear" w:color="auto" w:fill="D9D9D9" w:themeFill="background1" w:themeFillShade="D9"/>
            <w:vAlign w:val="center"/>
          </w:tcPr>
          <w:p w14:paraId="349935EB" w14:textId="267D059F" w:rsidR="00672700" w:rsidRPr="007B2A0A" w:rsidRDefault="00672700" w:rsidP="007B2A0A">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7B2A0A">
              <w:rPr>
                <w:sz w:val="24"/>
                <w:szCs w:val="24"/>
              </w:rPr>
              <w:t>61.8%</w:t>
            </w:r>
          </w:p>
        </w:tc>
      </w:tr>
      <w:tr w:rsidR="00672700" w:rsidRPr="009234DE" w14:paraId="059306D4" w14:textId="77777777" w:rsidTr="007B2A0A">
        <w:trPr>
          <w:trHeight w:val="432"/>
          <w:jc w:val="center"/>
        </w:trPr>
        <w:tc>
          <w:tcPr>
            <w:cnfStyle w:val="001000000000" w:firstRow="0" w:lastRow="0" w:firstColumn="1" w:lastColumn="0" w:oddVBand="0" w:evenVBand="0" w:oddHBand="0" w:evenHBand="0" w:firstRowFirstColumn="0" w:firstRowLastColumn="0" w:lastRowFirstColumn="0" w:lastRowLastColumn="0"/>
            <w:tcW w:w="2949" w:type="dxa"/>
            <w:vAlign w:val="center"/>
          </w:tcPr>
          <w:p w14:paraId="6A3E65AB" w14:textId="5DE5E6D9" w:rsidR="00672700" w:rsidRPr="007B2A0A" w:rsidRDefault="00672700" w:rsidP="007B2A0A">
            <w:pPr>
              <w:pStyle w:val="NoSpacing"/>
              <w:ind w:left="330"/>
              <w:rPr>
                <w:b w:val="0"/>
                <w:bCs w:val="0"/>
                <w:sz w:val="24"/>
                <w:szCs w:val="24"/>
              </w:rPr>
            </w:pPr>
            <w:r w:rsidRPr="007B2A0A">
              <w:rPr>
                <w:b w:val="0"/>
                <w:bCs w:val="0"/>
                <w:sz w:val="24"/>
                <w:szCs w:val="24"/>
              </w:rPr>
              <w:t>Cocaine</w:t>
            </w:r>
          </w:p>
        </w:tc>
        <w:tc>
          <w:tcPr>
            <w:tcW w:w="0" w:type="auto"/>
            <w:vAlign w:val="center"/>
          </w:tcPr>
          <w:p w14:paraId="76CF30E0" w14:textId="0D6AA6ED" w:rsidR="00672700" w:rsidRPr="007B2A0A" w:rsidRDefault="00672700" w:rsidP="007B2A0A">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7B2A0A">
              <w:rPr>
                <w:sz w:val="24"/>
                <w:szCs w:val="24"/>
              </w:rPr>
              <w:t>57.7%</w:t>
            </w:r>
          </w:p>
        </w:tc>
      </w:tr>
      <w:tr w:rsidR="00672700" w:rsidRPr="009234DE" w14:paraId="74CF1DB5" w14:textId="77777777" w:rsidTr="007B2A0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49" w:type="dxa"/>
            <w:shd w:val="clear" w:color="auto" w:fill="auto"/>
            <w:vAlign w:val="center"/>
          </w:tcPr>
          <w:p w14:paraId="5D683B93" w14:textId="555F86D2" w:rsidR="00672700" w:rsidRPr="007B2A0A" w:rsidRDefault="00672700" w:rsidP="007B2A0A">
            <w:pPr>
              <w:pStyle w:val="NoSpacing"/>
              <w:ind w:left="330"/>
              <w:rPr>
                <w:b w:val="0"/>
                <w:bCs w:val="0"/>
                <w:sz w:val="24"/>
                <w:szCs w:val="24"/>
              </w:rPr>
            </w:pPr>
            <w:r w:rsidRPr="007B2A0A">
              <w:rPr>
                <w:b w:val="0"/>
                <w:bCs w:val="0"/>
                <w:sz w:val="24"/>
                <w:szCs w:val="24"/>
              </w:rPr>
              <w:t>Methamphetamine</w:t>
            </w:r>
          </w:p>
        </w:tc>
        <w:tc>
          <w:tcPr>
            <w:tcW w:w="0" w:type="auto"/>
            <w:shd w:val="clear" w:color="auto" w:fill="auto"/>
            <w:vAlign w:val="center"/>
          </w:tcPr>
          <w:p w14:paraId="02C258A3" w14:textId="592DE761" w:rsidR="00672700" w:rsidRPr="007B2A0A" w:rsidRDefault="00672700" w:rsidP="007B2A0A">
            <w:pPr>
              <w:pStyle w:val="NoSpacing"/>
              <w:jc w:val="center"/>
              <w:cnfStyle w:val="000000100000" w:firstRow="0" w:lastRow="0" w:firstColumn="0" w:lastColumn="0" w:oddVBand="0" w:evenVBand="0" w:oddHBand="1" w:evenHBand="0" w:firstRowFirstColumn="0" w:firstRowLastColumn="0" w:lastRowFirstColumn="0" w:lastRowLastColumn="0"/>
              <w:rPr>
                <w:sz w:val="24"/>
                <w:szCs w:val="24"/>
              </w:rPr>
            </w:pPr>
            <w:r w:rsidRPr="007B2A0A">
              <w:rPr>
                <w:sz w:val="24"/>
                <w:szCs w:val="24"/>
              </w:rPr>
              <w:t>5.0%</w:t>
            </w:r>
          </w:p>
        </w:tc>
      </w:tr>
      <w:tr w:rsidR="00672700" w:rsidRPr="009234DE" w14:paraId="37CD7DED" w14:textId="77777777" w:rsidTr="007B2A0A">
        <w:trPr>
          <w:trHeight w:val="432"/>
          <w:jc w:val="center"/>
        </w:trPr>
        <w:tc>
          <w:tcPr>
            <w:cnfStyle w:val="001000000000" w:firstRow="0" w:lastRow="0" w:firstColumn="1" w:lastColumn="0" w:oddVBand="0" w:evenVBand="0" w:oddHBand="0" w:evenHBand="0" w:firstRowFirstColumn="0" w:firstRowLastColumn="0" w:lastRowFirstColumn="0" w:lastRowLastColumn="0"/>
            <w:tcW w:w="2949" w:type="dxa"/>
            <w:shd w:val="clear" w:color="auto" w:fill="D9D9D9" w:themeFill="background1" w:themeFillShade="D9"/>
            <w:vAlign w:val="center"/>
          </w:tcPr>
          <w:p w14:paraId="6FD174F0" w14:textId="7B1A4CA5" w:rsidR="00672700" w:rsidRPr="007B2A0A" w:rsidRDefault="00672700" w:rsidP="007B2A0A">
            <w:pPr>
              <w:pStyle w:val="NoSpacing"/>
              <w:rPr>
                <w:sz w:val="24"/>
                <w:szCs w:val="24"/>
              </w:rPr>
            </w:pPr>
            <w:r w:rsidRPr="007B2A0A">
              <w:rPr>
                <w:sz w:val="24"/>
                <w:szCs w:val="24"/>
              </w:rPr>
              <w:t>Any benzodiazepine</w:t>
            </w:r>
          </w:p>
        </w:tc>
        <w:tc>
          <w:tcPr>
            <w:tcW w:w="0" w:type="auto"/>
            <w:shd w:val="clear" w:color="auto" w:fill="D9D9D9" w:themeFill="background1" w:themeFillShade="D9"/>
            <w:vAlign w:val="center"/>
          </w:tcPr>
          <w:p w14:paraId="5180085B" w14:textId="0D26CFFE" w:rsidR="00672700" w:rsidRPr="007B2A0A" w:rsidRDefault="00672700" w:rsidP="007B2A0A">
            <w:pPr>
              <w:pStyle w:val="NoSpacing"/>
              <w:jc w:val="center"/>
              <w:cnfStyle w:val="000000000000" w:firstRow="0" w:lastRow="0" w:firstColumn="0" w:lastColumn="0" w:oddVBand="0" w:evenVBand="0" w:oddHBand="0" w:evenHBand="0" w:firstRowFirstColumn="0" w:firstRowLastColumn="0" w:lastRowFirstColumn="0" w:lastRowLastColumn="0"/>
              <w:rPr>
                <w:sz w:val="24"/>
                <w:szCs w:val="24"/>
              </w:rPr>
            </w:pPr>
            <w:r w:rsidRPr="007B2A0A">
              <w:rPr>
                <w:sz w:val="24"/>
                <w:szCs w:val="24"/>
              </w:rPr>
              <w:t>17.5%</w:t>
            </w:r>
          </w:p>
        </w:tc>
      </w:tr>
    </w:tbl>
    <w:p w14:paraId="17A989FB" w14:textId="77777777" w:rsidR="00672700" w:rsidRPr="004A33A7" w:rsidRDefault="00672700" w:rsidP="00223A17">
      <w:pPr>
        <w:spacing w:beforeLines="80" w:before="192" w:afterLines="80" w:after="192"/>
        <w:rPr>
          <w:sz w:val="2"/>
          <w:szCs w:val="2"/>
        </w:rPr>
      </w:pPr>
    </w:p>
    <w:p w14:paraId="02914607" w14:textId="5D977D2A" w:rsidR="00672700" w:rsidRDefault="00672700" w:rsidP="00223A17">
      <w:pPr>
        <w:spacing w:beforeLines="80" w:before="192" w:afterLines="80" w:after="192"/>
        <w:rPr>
          <w:sz w:val="24"/>
          <w:szCs w:val="24"/>
        </w:rPr>
      </w:pPr>
      <w:r w:rsidRPr="009234DE">
        <w:rPr>
          <w:sz w:val="24"/>
          <w:szCs w:val="24"/>
        </w:rPr>
        <w:t>Over half (52.6%)</w:t>
      </w:r>
      <w:r w:rsidRPr="009234DE">
        <w:rPr>
          <w:b/>
          <w:bCs/>
          <w:sz w:val="24"/>
          <w:szCs w:val="24"/>
        </w:rPr>
        <w:t xml:space="preserve"> </w:t>
      </w:r>
      <w:r w:rsidRPr="009234DE">
        <w:rPr>
          <w:sz w:val="24"/>
          <w:szCs w:val="24"/>
        </w:rPr>
        <w:t>of the overdose deaths involved both opioids and stimulants.</w:t>
      </w:r>
    </w:p>
    <w:p w14:paraId="1BB5117A" w14:textId="6812EBDD"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Scene Evidence and Routes of Administration</w:t>
      </w:r>
      <w:r w:rsidRPr="009234DE">
        <w:rPr>
          <w:rStyle w:val="FootnoteReference"/>
          <w:rFonts w:ascii="Segoe UI" w:hAnsi="Segoe UI" w:cs="Segoe UI"/>
        </w:rPr>
        <w:footnoteReference w:id="8"/>
      </w:r>
    </w:p>
    <w:p w14:paraId="0DA4F4A0" w14:textId="77777777" w:rsidR="00672700" w:rsidRPr="00BE7269" w:rsidRDefault="00672700" w:rsidP="00223A17">
      <w:pPr>
        <w:spacing w:beforeLines="80" w:before="192" w:afterLines="80" w:after="192"/>
        <w:rPr>
          <w:sz w:val="24"/>
          <w:szCs w:val="24"/>
        </w:rPr>
      </w:pPr>
      <w:r w:rsidRPr="00BE7269">
        <w:rPr>
          <w:sz w:val="24"/>
          <w:szCs w:val="24"/>
        </w:rPr>
        <w:t>Scene evidence suggestive of one or more routes of drug administration was found in 1,178 (48.8%) of the 2,416 overdose deaths. Of the incidents where route information was known, snorting, smoking, and injection were most common.</w:t>
      </w:r>
    </w:p>
    <w:tbl>
      <w:tblPr>
        <w:tblStyle w:val="TableGrid"/>
        <w:tblW w:w="0" w:type="auto"/>
        <w:jc w:val="center"/>
        <w:tblLook w:val="04A0" w:firstRow="1" w:lastRow="0" w:firstColumn="1" w:lastColumn="0" w:noHBand="0" w:noVBand="1"/>
      </w:tblPr>
      <w:tblGrid>
        <w:gridCol w:w="1705"/>
        <w:gridCol w:w="1890"/>
        <w:gridCol w:w="3870"/>
      </w:tblGrid>
      <w:tr w:rsidR="00672700" w14:paraId="431A7BE9" w14:textId="77777777" w:rsidTr="00D271FA">
        <w:trPr>
          <w:trHeight w:val="432"/>
          <w:jc w:val="center"/>
        </w:trPr>
        <w:tc>
          <w:tcPr>
            <w:tcW w:w="1705" w:type="dxa"/>
            <w:shd w:val="clear" w:color="auto" w:fill="D9D9D9" w:themeFill="background1" w:themeFillShade="D9"/>
            <w:vAlign w:val="center"/>
          </w:tcPr>
          <w:p w14:paraId="3E66600C" w14:textId="07EB525A" w:rsidR="00672700" w:rsidRPr="00D271FA" w:rsidRDefault="00672700" w:rsidP="00D271FA">
            <w:pPr>
              <w:jc w:val="center"/>
              <w:rPr>
                <w:b/>
                <w:bCs/>
                <w:sz w:val="24"/>
                <w:szCs w:val="24"/>
              </w:rPr>
            </w:pPr>
            <w:r w:rsidRPr="00D271FA">
              <w:rPr>
                <w:b/>
                <w:bCs/>
                <w:sz w:val="24"/>
                <w:szCs w:val="24"/>
              </w:rPr>
              <w:t>Route</w:t>
            </w:r>
          </w:p>
        </w:tc>
        <w:tc>
          <w:tcPr>
            <w:tcW w:w="1890" w:type="dxa"/>
            <w:shd w:val="clear" w:color="auto" w:fill="D9D9D9" w:themeFill="background1" w:themeFillShade="D9"/>
            <w:vAlign w:val="center"/>
          </w:tcPr>
          <w:p w14:paraId="787F7E07" w14:textId="69C300FD" w:rsidR="00672700" w:rsidRPr="00D271FA" w:rsidRDefault="00672700" w:rsidP="00D271FA">
            <w:pPr>
              <w:jc w:val="center"/>
              <w:rPr>
                <w:b/>
                <w:bCs/>
                <w:sz w:val="24"/>
                <w:szCs w:val="24"/>
              </w:rPr>
            </w:pPr>
            <w:r w:rsidRPr="00D271FA">
              <w:rPr>
                <w:b/>
                <w:bCs/>
                <w:sz w:val="24"/>
                <w:szCs w:val="24"/>
              </w:rPr>
              <w:t>Percentage</w:t>
            </w:r>
          </w:p>
        </w:tc>
        <w:tc>
          <w:tcPr>
            <w:tcW w:w="3870" w:type="dxa"/>
            <w:shd w:val="clear" w:color="auto" w:fill="D9D9D9" w:themeFill="background1" w:themeFillShade="D9"/>
            <w:vAlign w:val="center"/>
          </w:tcPr>
          <w:p w14:paraId="4E12D24C" w14:textId="7909CFE2" w:rsidR="00672700" w:rsidRPr="00D271FA" w:rsidRDefault="00672700" w:rsidP="00D271FA">
            <w:pPr>
              <w:jc w:val="center"/>
              <w:rPr>
                <w:b/>
                <w:bCs/>
                <w:sz w:val="24"/>
                <w:szCs w:val="24"/>
              </w:rPr>
            </w:pPr>
            <w:r w:rsidRPr="00D271FA">
              <w:rPr>
                <w:b/>
                <w:bCs/>
                <w:sz w:val="24"/>
                <w:szCs w:val="24"/>
              </w:rPr>
              <w:t>Approximate number of deaths</w:t>
            </w:r>
          </w:p>
        </w:tc>
      </w:tr>
      <w:tr w:rsidR="00672700" w14:paraId="089A99C3" w14:textId="77777777" w:rsidTr="00D271FA">
        <w:trPr>
          <w:trHeight w:val="432"/>
          <w:jc w:val="center"/>
        </w:trPr>
        <w:tc>
          <w:tcPr>
            <w:tcW w:w="1705" w:type="dxa"/>
            <w:vAlign w:val="center"/>
          </w:tcPr>
          <w:p w14:paraId="6A106C5D" w14:textId="0879197A" w:rsidR="00672700" w:rsidRPr="00D271FA" w:rsidRDefault="00672700" w:rsidP="00D271FA">
            <w:pPr>
              <w:jc w:val="center"/>
              <w:rPr>
                <w:sz w:val="24"/>
                <w:szCs w:val="24"/>
              </w:rPr>
            </w:pPr>
            <w:r w:rsidRPr="00D271FA">
              <w:rPr>
                <w:sz w:val="24"/>
                <w:szCs w:val="24"/>
              </w:rPr>
              <w:t>Snorting</w:t>
            </w:r>
          </w:p>
        </w:tc>
        <w:tc>
          <w:tcPr>
            <w:tcW w:w="1890" w:type="dxa"/>
            <w:vAlign w:val="center"/>
          </w:tcPr>
          <w:p w14:paraId="131A1A02" w14:textId="7BB8806C" w:rsidR="00672700" w:rsidRPr="00D271FA" w:rsidRDefault="00672700" w:rsidP="00D271FA">
            <w:pPr>
              <w:jc w:val="center"/>
              <w:rPr>
                <w:sz w:val="24"/>
                <w:szCs w:val="24"/>
              </w:rPr>
            </w:pPr>
            <w:r w:rsidRPr="00D271FA">
              <w:rPr>
                <w:sz w:val="24"/>
                <w:szCs w:val="24"/>
              </w:rPr>
              <w:t>47.</w:t>
            </w:r>
            <w:r w:rsidR="005B2771">
              <w:rPr>
                <w:sz w:val="24"/>
                <w:szCs w:val="24"/>
              </w:rPr>
              <w:t>4</w:t>
            </w:r>
            <w:r w:rsidRPr="00D271FA">
              <w:rPr>
                <w:sz w:val="24"/>
                <w:szCs w:val="24"/>
              </w:rPr>
              <w:t>%</w:t>
            </w:r>
          </w:p>
        </w:tc>
        <w:tc>
          <w:tcPr>
            <w:tcW w:w="3870" w:type="dxa"/>
            <w:vAlign w:val="center"/>
          </w:tcPr>
          <w:p w14:paraId="6B64799E" w14:textId="41D6CF33" w:rsidR="00672700" w:rsidRPr="00D271FA" w:rsidRDefault="00672700" w:rsidP="00D271FA">
            <w:pPr>
              <w:jc w:val="center"/>
              <w:rPr>
                <w:sz w:val="24"/>
                <w:szCs w:val="24"/>
              </w:rPr>
            </w:pPr>
            <w:r w:rsidRPr="00D271FA">
              <w:rPr>
                <w:sz w:val="24"/>
                <w:szCs w:val="24"/>
              </w:rPr>
              <w:t>About 1 in 2</w:t>
            </w:r>
          </w:p>
        </w:tc>
      </w:tr>
      <w:tr w:rsidR="00672700" w14:paraId="63680F15" w14:textId="77777777" w:rsidTr="00D271FA">
        <w:trPr>
          <w:trHeight w:val="432"/>
          <w:jc w:val="center"/>
        </w:trPr>
        <w:tc>
          <w:tcPr>
            <w:tcW w:w="1705" w:type="dxa"/>
            <w:vAlign w:val="center"/>
          </w:tcPr>
          <w:p w14:paraId="2E098EF4" w14:textId="68D7A839" w:rsidR="00672700" w:rsidRPr="00D271FA" w:rsidRDefault="00672700" w:rsidP="00D271FA">
            <w:pPr>
              <w:jc w:val="center"/>
              <w:rPr>
                <w:sz w:val="24"/>
                <w:szCs w:val="24"/>
              </w:rPr>
            </w:pPr>
            <w:r w:rsidRPr="00D271FA">
              <w:rPr>
                <w:sz w:val="24"/>
                <w:szCs w:val="24"/>
              </w:rPr>
              <w:t>Smoking</w:t>
            </w:r>
          </w:p>
        </w:tc>
        <w:tc>
          <w:tcPr>
            <w:tcW w:w="1890" w:type="dxa"/>
            <w:vAlign w:val="center"/>
          </w:tcPr>
          <w:p w14:paraId="3FBDFA90" w14:textId="345D8499" w:rsidR="00672700" w:rsidRPr="00D271FA" w:rsidRDefault="00672700" w:rsidP="00D271FA">
            <w:pPr>
              <w:jc w:val="center"/>
              <w:rPr>
                <w:sz w:val="24"/>
                <w:szCs w:val="24"/>
              </w:rPr>
            </w:pPr>
            <w:r w:rsidRPr="00D271FA">
              <w:rPr>
                <w:sz w:val="24"/>
                <w:szCs w:val="24"/>
              </w:rPr>
              <w:t>35.5%</w:t>
            </w:r>
          </w:p>
        </w:tc>
        <w:tc>
          <w:tcPr>
            <w:tcW w:w="3870" w:type="dxa"/>
            <w:vAlign w:val="center"/>
          </w:tcPr>
          <w:p w14:paraId="76422A92" w14:textId="02B4BF06" w:rsidR="00672700" w:rsidRPr="00D271FA" w:rsidRDefault="00672700" w:rsidP="00D271FA">
            <w:pPr>
              <w:jc w:val="center"/>
              <w:rPr>
                <w:sz w:val="24"/>
                <w:szCs w:val="24"/>
              </w:rPr>
            </w:pPr>
            <w:r w:rsidRPr="00D271FA">
              <w:rPr>
                <w:sz w:val="24"/>
                <w:szCs w:val="24"/>
              </w:rPr>
              <w:t>About 1 in 3</w:t>
            </w:r>
          </w:p>
        </w:tc>
      </w:tr>
      <w:tr w:rsidR="00672700" w14:paraId="14DD5877" w14:textId="77777777" w:rsidTr="00D271FA">
        <w:trPr>
          <w:trHeight w:val="432"/>
          <w:jc w:val="center"/>
        </w:trPr>
        <w:tc>
          <w:tcPr>
            <w:tcW w:w="1705" w:type="dxa"/>
            <w:vAlign w:val="center"/>
          </w:tcPr>
          <w:p w14:paraId="2A179623" w14:textId="6B10E9B2" w:rsidR="00672700" w:rsidRPr="00D271FA" w:rsidRDefault="00672700" w:rsidP="00D271FA">
            <w:pPr>
              <w:jc w:val="center"/>
              <w:rPr>
                <w:sz w:val="24"/>
                <w:szCs w:val="24"/>
              </w:rPr>
            </w:pPr>
            <w:r w:rsidRPr="00D271FA">
              <w:rPr>
                <w:sz w:val="24"/>
                <w:szCs w:val="24"/>
              </w:rPr>
              <w:t>Injection</w:t>
            </w:r>
          </w:p>
        </w:tc>
        <w:tc>
          <w:tcPr>
            <w:tcW w:w="1890" w:type="dxa"/>
            <w:vAlign w:val="center"/>
          </w:tcPr>
          <w:p w14:paraId="65E779B4" w14:textId="02E24B6E" w:rsidR="00672700" w:rsidRPr="00D271FA" w:rsidRDefault="00672700" w:rsidP="00D271FA">
            <w:pPr>
              <w:jc w:val="center"/>
              <w:rPr>
                <w:sz w:val="24"/>
                <w:szCs w:val="24"/>
              </w:rPr>
            </w:pPr>
            <w:r w:rsidRPr="00D271FA">
              <w:rPr>
                <w:sz w:val="24"/>
                <w:szCs w:val="24"/>
              </w:rPr>
              <w:t>31.2%</w:t>
            </w:r>
          </w:p>
        </w:tc>
        <w:tc>
          <w:tcPr>
            <w:tcW w:w="3870" w:type="dxa"/>
            <w:vAlign w:val="center"/>
          </w:tcPr>
          <w:p w14:paraId="7C34E90B" w14:textId="3E746572" w:rsidR="00672700" w:rsidRPr="00D271FA" w:rsidRDefault="00672700" w:rsidP="00D271FA">
            <w:pPr>
              <w:jc w:val="center"/>
              <w:rPr>
                <w:sz w:val="24"/>
                <w:szCs w:val="24"/>
              </w:rPr>
            </w:pPr>
            <w:r w:rsidRPr="00D271FA">
              <w:rPr>
                <w:sz w:val="24"/>
                <w:szCs w:val="24"/>
              </w:rPr>
              <w:t>About 1 in 3</w:t>
            </w:r>
          </w:p>
        </w:tc>
      </w:tr>
    </w:tbl>
    <w:p w14:paraId="71484D7C" w14:textId="773212F0" w:rsidR="00672700" w:rsidRPr="009234DE" w:rsidRDefault="00672700" w:rsidP="00223A17">
      <w:pPr>
        <w:pStyle w:val="Heading1"/>
        <w:spacing w:beforeLines="80" w:before="192" w:afterLines="80" w:after="192"/>
        <w:rPr>
          <w:rFonts w:ascii="Segoe UI" w:hAnsi="Segoe UI" w:cs="Segoe UI"/>
        </w:rPr>
      </w:pPr>
      <w:r w:rsidRPr="009234DE">
        <w:rPr>
          <w:rFonts w:ascii="Segoe UI" w:hAnsi="Segoe UI" w:cs="Segoe UI"/>
        </w:rPr>
        <w:t>Personal Circumstances</w:t>
      </w:r>
    </w:p>
    <w:p w14:paraId="6B5F1E2A" w14:textId="77777777" w:rsidR="00672700" w:rsidRDefault="00672700" w:rsidP="00223A17">
      <w:pPr>
        <w:spacing w:beforeLines="80" w:before="192" w:afterLines="80" w:after="192"/>
        <w:rPr>
          <w:sz w:val="24"/>
          <w:szCs w:val="24"/>
        </w:rPr>
      </w:pPr>
      <w:r w:rsidRPr="009234DE">
        <w:rPr>
          <w:sz w:val="24"/>
          <w:szCs w:val="24"/>
        </w:rPr>
        <w:t>Note: Personal circumstances are not known for every decedent. Percentages reported below are based on available data.</w:t>
      </w:r>
    </w:p>
    <w:p w14:paraId="34CCE7FF" w14:textId="77777777" w:rsidR="00672700" w:rsidRPr="009234DE" w:rsidRDefault="00672700" w:rsidP="00FB0BBA">
      <w:pPr>
        <w:pStyle w:val="Heading2"/>
        <w:spacing w:before="80"/>
        <w:rPr>
          <w:rFonts w:ascii="Segoe UI" w:hAnsi="Segoe UI" w:cs="Segoe UI"/>
          <w:color w:val="auto"/>
          <w:sz w:val="24"/>
          <w:szCs w:val="24"/>
          <w:u w:val="single"/>
        </w:rPr>
      </w:pPr>
      <w:r w:rsidRPr="009234DE">
        <w:rPr>
          <w:rFonts w:ascii="Segoe UI" w:hAnsi="Segoe UI" w:cs="Segoe UI"/>
          <w:color w:val="auto"/>
          <w:sz w:val="24"/>
          <w:szCs w:val="24"/>
          <w:u w:val="single"/>
        </w:rPr>
        <w:lastRenderedPageBreak/>
        <w:t>Substance Use, Treatment, and Overdose History</w:t>
      </w:r>
    </w:p>
    <w:p w14:paraId="25F3E36F" w14:textId="01CD5A8C" w:rsidR="00672700" w:rsidRPr="009234DE" w:rsidRDefault="00672700" w:rsidP="00FB0BBA">
      <w:pPr>
        <w:pStyle w:val="ListParagraph"/>
        <w:numPr>
          <w:ilvl w:val="0"/>
          <w:numId w:val="3"/>
        </w:numPr>
        <w:spacing w:before="80" w:after="80"/>
        <w:contextualSpacing w:val="0"/>
        <w:rPr>
          <w:sz w:val="24"/>
          <w:szCs w:val="24"/>
        </w:rPr>
      </w:pPr>
      <w:r w:rsidRPr="009234DE">
        <w:rPr>
          <w:sz w:val="24"/>
          <w:szCs w:val="24"/>
        </w:rPr>
        <w:t>83.7% had a history of drug use</w:t>
      </w:r>
      <w:r w:rsidRPr="009234DE">
        <w:rPr>
          <w:rStyle w:val="FootnoteReference"/>
          <w:sz w:val="24"/>
          <w:szCs w:val="24"/>
        </w:rPr>
        <w:footnoteReference w:id="9"/>
      </w:r>
    </w:p>
    <w:p w14:paraId="1868DAF7" w14:textId="73692908" w:rsidR="00672700" w:rsidRPr="009234DE" w:rsidRDefault="00672700" w:rsidP="00FB0BBA">
      <w:pPr>
        <w:pStyle w:val="ListParagraph"/>
        <w:numPr>
          <w:ilvl w:val="0"/>
          <w:numId w:val="3"/>
        </w:numPr>
        <w:spacing w:before="80" w:after="80"/>
        <w:contextualSpacing w:val="0"/>
        <w:rPr>
          <w:sz w:val="24"/>
          <w:szCs w:val="24"/>
        </w:rPr>
      </w:pPr>
      <w:r w:rsidRPr="009234DE">
        <w:rPr>
          <w:sz w:val="24"/>
          <w:szCs w:val="24"/>
        </w:rPr>
        <w:t>29.4% had a problem with alcohol</w:t>
      </w:r>
      <w:r w:rsidRPr="009234DE">
        <w:rPr>
          <w:rStyle w:val="FootnoteReference"/>
          <w:sz w:val="24"/>
          <w:szCs w:val="24"/>
        </w:rPr>
        <w:footnoteReference w:id="10"/>
      </w:r>
    </w:p>
    <w:p w14:paraId="09A4EDB5" w14:textId="77777777" w:rsidR="00672700" w:rsidRPr="009234DE" w:rsidRDefault="00672700" w:rsidP="00FB0BBA">
      <w:pPr>
        <w:pStyle w:val="ListParagraph"/>
        <w:numPr>
          <w:ilvl w:val="0"/>
          <w:numId w:val="3"/>
        </w:numPr>
        <w:spacing w:before="80" w:after="80"/>
        <w:contextualSpacing w:val="0"/>
        <w:rPr>
          <w:sz w:val="24"/>
          <w:szCs w:val="24"/>
        </w:rPr>
      </w:pPr>
      <w:r w:rsidRPr="009234DE">
        <w:rPr>
          <w:sz w:val="24"/>
          <w:szCs w:val="24"/>
        </w:rPr>
        <w:t>22.1% had a history of treatment for substance use disorder</w:t>
      </w:r>
    </w:p>
    <w:p w14:paraId="6E3E1576" w14:textId="027ABD7A" w:rsidR="00672700" w:rsidRDefault="00672700" w:rsidP="00D271FA">
      <w:pPr>
        <w:pStyle w:val="ListParagraph"/>
        <w:numPr>
          <w:ilvl w:val="0"/>
          <w:numId w:val="3"/>
        </w:numPr>
        <w:spacing w:before="80" w:after="80"/>
        <w:contextualSpacing w:val="0"/>
        <w:rPr>
          <w:sz w:val="24"/>
          <w:szCs w:val="24"/>
        </w:rPr>
      </w:pPr>
      <w:r w:rsidRPr="009234DE">
        <w:rPr>
          <w:sz w:val="24"/>
          <w:szCs w:val="24"/>
        </w:rPr>
        <w:t>13.7% had a previous overdose</w:t>
      </w:r>
      <w:r w:rsidRPr="009234DE">
        <w:rPr>
          <w:rStyle w:val="FootnoteReference"/>
          <w:sz w:val="24"/>
          <w:szCs w:val="24"/>
        </w:rPr>
        <w:footnoteReference w:id="11"/>
      </w:r>
    </w:p>
    <w:p w14:paraId="6A356311" w14:textId="77777777" w:rsidR="00B63B24" w:rsidRPr="00B63B24" w:rsidRDefault="00B63B24" w:rsidP="00B63B24">
      <w:pPr>
        <w:pStyle w:val="ListParagraph"/>
        <w:spacing w:before="80" w:after="80"/>
        <w:contextualSpacing w:val="0"/>
        <w:rPr>
          <w:sz w:val="10"/>
          <w:szCs w:val="10"/>
        </w:rPr>
      </w:pPr>
    </w:p>
    <w:p w14:paraId="5528FDCD" w14:textId="77777777" w:rsidR="00672700" w:rsidRPr="009234DE" w:rsidRDefault="00672700" w:rsidP="00FB0BBA">
      <w:pPr>
        <w:pStyle w:val="Heading2"/>
        <w:spacing w:before="80"/>
        <w:rPr>
          <w:rFonts w:ascii="Segoe UI" w:hAnsi="Segoe UI" w:cs="Segoe UI"/>
          <w:color w:val="auto"/>
          <w:sz w:val="24"/>
          <w:szCs w:val="24"/>
          <w:u w:val="single"/>
        </w:rPr>
      </w:pPr>
      <w:r w:rsidRPr="009234DE">
        <w:rPr>
          <w:rFonts w:ascii="Segoe UI" w:hAnsi="Segoe UI" w:cs="Segoe UI"/>
          <w:color w:val="auto"/>
          <w:sz w:val="24"/>
          <w:szCs w:val="24"/>
          <w:u w:val="single"/>
        </w:rPr>
        <w:t>Mental Health and Neurodivergence</w:t>
      </w:r>
    </w:p>
    <w:p w14:paraId="209D801C" w14:textId="2A671532" w:rsidR="00672700" w:rsidRPr="009234DE" w:rsidRDefault="00672700" w:rsidP="00FB0BBA">
      <w:pPr>
        <w:pStyle w:val="ListParagraph"/>
        <w:numPr>
          <w:ilvl w:val="0"/>
          <w:numId w:val="4"/>
        </w:numPr>
        <w:spacing w:before="80" w:after="80"/>
        <w:contextualSpacing w:val="0"/>
        <w:rPr>
          <w:sz w:val="24"/>
          <w:szCs w:val="24"/>
        </w:rPr>
      </w:pPr>
      <w:r w:rsidRPr="009234DE">
        <w:rPr>
          <w:sz w:val="24"/>
          <w:szCs w:val="24"/>
        </w:rPr>
        <w:t>38.4% had one or more mental health conditions</w:t>
      </w:r>
      <w:r>
        <w:rPr>
          <w:sz w:val="24"/>
          <w:szCs w:val="24"/>
        </w:rPr>
        <w:t>. D</w:t>
      </w:r>
      <w:r w:rsidRPr="009234DE">
        <w:rPr>
          <w:sz w:val="24"/>
          <w:szCs w:val="24"/>
        </w:rPr>
        <w:t>epression (24.2%) and anxiety (20.2%)</w:t>
      </w:r>
      <w:r>
        <w:rPr>
          <w:sz w:val="24"/>
          <w:szCs w:val="24"/>
        </w:rPr>
        <w:t xml:space="preserve"> were</w:t>
      </w:r>
      <w:r w:rsidRPr="009234DE">
        <w:rPr>
          <w:sz w:val="24"/>
          <w:szCs w:val="24"/>
        </w:rPr>
        <w:t xml:space="preserve"> most common</w:t>
      </w:r>
      <w:r w:rsidRPr="009234DE">
        <w:rPr>
          <w:rStyle w:val="FootnoteReference"/>
          <w:sz w:val="24"/>
          <w:szCs w:val="24"/>
        </w:rPr>
        <w:footnoteReference w:id="12"/>
      </w:r>
    </w:p>
    <w:p w14:paraId="57CEE7B0" w14:textId="4C7DA3EF" w:rsidR="00672700" w:rsidRDefault="00672700" w:rsidP="00FB0BBA">
      <w:pPr>
        <w:pStyle w:val="ListParagraph"/>
        <w:numPr>
          <w:ilvl w:val="0"/>
          <w:numId w:val="4"/>
        </w:numPr>
        <w:spacing w:before="80" w:after="80"/>
        <w:contextualSpacing w:val="0"/>
        <w:rPr>
          <w:sz w:val="24"/>
          <w:szCs w:val="24"/>
        </w:rPr>
      </w:pPr>
      <w:r w:rsidRPr="009234DE">
        <w:rPr>
          <w:sz w:val="24"/>
          <w:szCs w:val="24"/>
        </w:rPr>
        <w:t>7.0% were neurodivergent</w:t>
      </w:r>
      <w:r w:rsidRPr="009234DE">
        <w:rPr>
          <w:rStyle w:val="FootnoteReference"/>
          <w:sz w:val="24"/>
          <w:szCs w:val="24"/>
        </w:rPr>
        <w:footnoteReference w:id="13"/>
      </w:r>
    </w:p>
    <w:p w14:paraId="64F066EF" w14:textId="77777777" w:rsidR="00B63B24" w:rsidRPr="00B63B24" w:rsidRDefault="00B63B24" w:rsidP="00B63B24">
      <w:pPr>
        <w:pStyle w:val="ListParagraph"/>
        <w:spacing w:before="80" w:after="80"/>
        <w:contextualSpacing w:val="0"/>
        <w:rPr>
          <w:sz w:val="10"/>
          <w:szCs w:val="10"/>
        </w:rPr>
      </w:pPr>
    </w:p>
    <w:p w14:paraId="379B3124" w14:textId="77777777" w:rsidR="00672700" w:rsidRPr="009234DE" w:rsidRDefault="00672700" w:rsidP="00FB0BBA">
      <w:pPr>
        <w:pStyle w:val="Heading2"/>
        <w:spacing w:before="80"/>
        <w:rPr>
          <w:rFonts w:ascii="Segoe UI" w:hAnsi="Segoe UI" w:cs="Segoe UI"/>
          <w:color w:val="auto"/>
          <w:sz w:val="24"/>
          <w:szCs w:val="24"/>
          <w:u w:val="single"/>
        </w:rPr>
      </w:pPr>
      <w:r w:rsidRPr="009234DE">
        <w:rPr>
          <w:rFonts w:ascii="Segoe UI" w:hAnsi="Segoe UI" w:cs="Segoe UI"/>
          <w:color w:val="auto"/>
          <w:sz w:val="24"/>
          <w:szCs w:val="24"/>
          <w:u w:val="single"/>
        </w:rPr>
        <w:t>Past Medical History and Current Medical Conditions</w:t>
      </w:r>
    </w:p>
    <w:p w14:paraId="57B902A0" w14:textId="77777777" w:rsidR="00672700" w:rsidRPr="009234DE" w:rsidRDefault="00672700" w:rsidP="00FB0BBA">
      <w:pPr>
        <w:pStyle w:val="ListParagraph"/>
        <w:numPr>
          <w:ilvl w:val="0"/>
          <w:numId w:val="5"/>
        </w:numPr>
        <w:spacing w:before="80" w:after="80"/>
        <w:contextualSpacing w:val="0"/>
        <w:rPr>
          <w:sz w:val="24"/>
          <w:szCs w:val="24"/>
        </w:rPr>
      </w:pPr>
      <w:r w:rsidRPr="009234DE">
        <w:rPr>
          <w:sz w:val="24"/>
          <w:szCs w:val="24"/>
        </w:rPr>
        <w:t>15.8% had asthma, chronic obstructive pulmonary disease (COPD), or some other breathing problem</w:t>
      </w:r>
    </w:p>
    <w:p w14:paraId="6FA69814" w14:textId="77777777" w:rsidR="00672700" w:rsidRPr="009234DE" w:rsidRDefault="00672700" w:rsidP="00FB0BBA">
      <w:pPr>
        <w:pStyle w:val="ListParagraph"/>
        <w:numPr>
          <w:ilvl w:val="0"/>
          <w:numId w:val="5"/>
        </w:numPr>
        <w:spacing w:before="80" w:after="80"/>
        <w:contextualSpacing w:val="0"/>
        <w:rPr>
          <w:sz w:val="24"/>
          <w:szCs w:val="24"/>
        </w:rPr>
      </w:pPr>
      <w:r w:rsidRPr="009234DE">
        <w:rPr>
          <w:sz w:val="24"/>
          <w:szCs w:val="24"/>
        </w:rPr>
        <w:lastRenderedPageBreak/>
        <w:t>6.5% were being treated for pain</w:t>
      </w:r>
    </w:p>
    <w:p w14:paraId="65251CF1" w14:textId="25AEB551" w:rsidR="00672700" w:rsidRDefault="00672700" w:rsidP="00FB0BBA">
      <w:pPr>
        <w:pStyle w:val="ListParagraph"/>
        <w:numPr>
          <w:ilvl w:val="0"/>
          <w:numId w:val="5"/>
        </w:numPr>
        <w:spacing w:before="80" w:after="80"/>
        <w:contextualSpacing w:val="0"/>
        <w:rPr>
          <w:sz w:val="24"/>
          <w:szCs w:val="24"/>
        </w:rPr>
      </w:pPr>
      <w:r w:rsidRPr="009234DE">
        <w:rPr>
          <w:sz w:val="24"/>
          <w:szCs w:val="24"/>
        </w:rPr>
        <w:t>5.8% ever had a major injury</w:t>
      </w:r>
      <w:r w:rsidRPr="009234DE">
        <w:rPr>
          <w:rStyle w:val="FootnoteReference"/>
          <w:sz w:val="24"/>
          <w:szCs w:val="24"/>
        </w:rPr>
        <w:footnoteReference w:id="14"/>
      </w:r>
    </w:p>
    <w:p w14:paraId="0B672063" w14:textId="77777777" w:rsidR="00672700" w:rsidRPr="00B63B24" w:rsidRDefault="00672700" w:rsidP="00FB0BBA">
      <w:pPr>
        <w:pStyle w:val="ListParagraph"/>
        <w:spacing w:before="80" w:after="80"/>
        <w:contextualSpacing w:val="0"/>
        <w:rPr>
          <w:sz w:val="10"/>
          <w:szCs w:val="10"/>
        </w:rPr>
      </w:pPr>
    </w:p>
    <w:p w14:paraId="772D24AA" w14:textId="77777777" w:rsidR="00672700" w:rsidRPr="009234DE" w:rsidRDefault="00672700" w:rsidP="00FB0BBA">
      <w:pPr>
        <w:pStyle w:val="Heading2"/>
        <w:spacing w:before="80"/>
        <w:rPr>
          <w:rFonts w:ascii="Segoe UI" w:hAnsi="Segoe UI" w:cs="Segoe UI"/>
          <w:color w:val="auto"/>
          <w:sz w:val="24"/>
          <w:szCs w:val="24"/>
          <w:u w:val="single"/>
        </w:rPr>
      </w:pPr>
      <w:r w:rsidRPr="009234DE">
        <w:rPr>
          <w:rFonts w:ascii="Segoe UI" w:hAnsi="Segoe UI" w:cs="Segoe UI"/>
          <w:color w:val="auto"/>
          <w:sz w:val="24"/>
          <w:szCs w:val="24"/>
          <w:u w:val="single"/>
        </w:rPr>
        <w:t>Housing Status</w:t>
      </w:r>
    </w:p>
    <w:p w14:paraId="19E4930F" w14:textId="42C8795E" w:rsidR="00672700" w:rsidRPr="009234DE" w:rsidRDefault="00672700" w:rsidP="00FB0BBA">
      <w:pPr>
        <w:pStyle w:val="ListParagraph"/>
        <w:numPr>
          <w:ilvl w:val="0"/>
          <w:numId w:val="6"/>
        </w:numPr>
        <w:spacing w:before="80" w:after="80"/>
        <w:contextualSpacing w:val="0"/>
        <w:rPr>
          <w:sz w:val="24"/>
          <w:szCs w:val="24"/>
        </w:rPr>
      </w:pPr>
      <w:r w:rsidRPr="009234DE">
        <w:rPr>
          <w:sz w:val="24"/>
          <w:szCs w:val="24"/>
        </w:rPr>
        <w:t>7.2% were experiencing homelessness</w:t>
      </w:r>
      <w:r w:rsidRPr="009234DE">
        <w:rPr>
          <w:rStyle w:val="FootnoteReference"/>
          <w:sz w:val="24"/>
          <w:szCs w:val="24"/>
        </w:rPr>
        <w:footnoteReference w:id="15"/>
      </w:r>
    </w:p>
    <w:p w14:paraId="70EA5F51" w14:textId="344B24E2" w:rsidR="00672700" w:rsidRDefault="00672700" w:rsidP="00FB0BBA">
      <w:pPr>
        <w:pStyle w:val="ListParagraph"/>
        <w:numPr>
          <w:ilvl w:val="0"/>
          <w:numId w:val="6"/>
        </w:numPr>
        <w:spacing w:before="80" w:after="80"/>
        <w:contextualSpacing w:val="0"/>
        <w:rPr>
          <w:sz w:val="24"/>
          <w:szCs w:val="24"/>
        </w:rPr>
      </w:pPr>
      <w:r w:rsidRPr="009234DE">
        <w:rPr>
          <w:sz w:val="24"/>
          <w:szCs w:val="24"/>
        </w:rPr>
        <w:t>4.6% were experiencing housing instability</w:t>
      </w:r>
      <w:r w:rsidRPr="009234DE">
        <w:rPr>
          <w:rStyle w:val="FootnoteReference"/>
          <w:sz w:val="24"/>
          <w:szCs w:val="24"/>
        </w:rPr>
        <w:footnoteReference w:id="16"/>
      </w:r>
    </w:p>
    <w:p w14:paraId="0B4C215D" w14:textId="77777777" w:rsidR="00B63B24" w:rsidRPr="00B63B24" w:rsidRDefault="00B63B24" w:rsidP="00B63B24">
      <w:pPr>
        <w:pStyle w:val="ListParagraph"/>
        <w:spacing w:before="80" w:after="80"/>
        <w:contextualSpacing w:val="0"/>
        <w:rPr>
          <w:sz w:val="10"/>
          <w:szCs w:val="10"/>
        </w:rPr>
      </w:pPr>
    </w:p>
    <w:p w14:paraId="3ED9E93C" w14:textId="77777777" w:rsidR="00672700" w:rsidRPr="009234DE" w:rsidRDefault="00672700" w:rsidP="00FB0BBA">
      <w:pPr>
        <w:pStyle w:val="Heading2"/>
        <w:spacing w:before="80"/>
        <w:rPr>
          <w:rFonts w:ascii="Segoe UI" w:hAnsi="Segoe UI" w:cs="Segoe UI"/>
          <w:color w:val="auto"/>
          <w:sz w:val="24"/>
          <w:szCs w:val="24"/>
          <w:u w:val="single"/>
        </w:rPr>
      </w:pPr>
      <w:r w:rsidRPr="009234DE">
        <w:rPr>
          <w:rFonts w:ascii="Segoe UI" w:hAnsi="Segoe UI" w:cs="Segoe UI"/>
          <w:color w:val="auto"/>
          <w:sz w:val="24"/>
          <w:szCs w:val="24"/>
          <w:u w:val="single"/>
        </w:rPr>
        <w:t>Military Service</w:t>
      </w:r>
    </w:p>
    <w:p w14:paraId="6F9CD40B" w14:textId="01903846" w:rsidR="00672700" w:rsidRDefault="00672700" w:rsidP="00FB0BBA">
      <w:pPr>
        <w:pStyle w:val="ListParagraph"/>
        <w:numPr>
          <w:ilvl w:val="0"/>
          <w:numId w:val="7"/>
        </w:numPr>
        <w:spacing w:before="80" w:after="80"/>
        <w:contextualSpacing w:val="0"/>
        <w:rPr>
          <w:sz w:val="24"/>
          <w:szCs w:val="24"/>
        </w:rPr>
      </w:pPr>
      <w:r w:rsidRPr="009234DE">
        <w:rPr>
          <w:sz w:val="24"/>
          <w:szCs w:val="24"/>
        </w:rPr>
        <w:t>3.6% ever served in the military</w:t>
      </w:r>
    </w:p>
    <w:p w14:paraId="21EF13C7" w14:textId="77777777" w:rsidR="00672700" w:rsidRPr="00B63B24" w:rsidRDefault="00672700" w:rsidP="00D271FA">
      <w:pPr>
        <w:pStyle w:val="ListParagraph"/>
        <w:spacing w:before="80" w:after="80"/>
        <w:contextualSpacing w:val="0"/>
        <w:rPr>
          <w:sz w:val="10"/>
          <w:szCs w:val="10"/>
        </w:rPr>
      </w:pPr>
    </w:p>
    <w:p w14:paraId="2FCCB316" w14:textId="7371CB9A" w:rsidR="00672700" w:rsidRPr="009234DE" w:rsidRDefault="00672700" w:rsidP="00FB0BBA">
      <w:pPr>
        <w:spacing w:before="80" w:after="80"/>
        <w:rPr>
          <w:sz w:val="24"/>
          <w:szCs w:val="24"/>
          <w:u w:val="single"/>
        </w:rPr>
      </w:pPr>
      <w:r w:rsidRPr="009234DE">
        <w:rPr>
          <w:sz w:val="24"/>
          <w:szCs w:val="24"/>
          <w:u w:val="single"/>
        </w:rPr>
        <w:t>Fatal Overdose Circumstances</w:t>
      </w:r>
    </w:p>
    <w:p w14:paraId="5AFF1A3F" w14:textId="77777777" w:rsidR="00672700" w:rsidRPr="009234DE" w:rsidRDefault="00672700" w:rsidP="00FB0BBA">
      <w:pPr>
        <w:pStyle w:val="ListParagraph"/>
        <w:numPr>
          <w:ilvl w:val="0"/>
          <w:numId w:val="7"/>
        </w:numPr>
        <w:spacing w:before="80" w:after="80"/>
        <w:contextualSpacing w:val="0"/>
        <w:rPr>
          <w:sz w:val="24"/>
          <w:szCs w:val="24"/>
        </w:rPr>
      </w:pPr>
      <w:r w:rsidRPr="009234DE">
        <w:rPr>
          <w:sz w:val="24"/>
          <w:szCs w:val="24"/>
        </w:rPr>
        <w:t>75.7% of decedents died before they could be treated at an Emergency Department, or were dead on arrival</w:t>
      </w:r>
    </w:p>
    <w:p w14:paraId="079ED921" w14:textId="77777777" w:rsidR="00672700" w:rsidRPr="009234DE" w:rsidRDefault="00672700" w:rsidP="00FB0BBA">
      <w:pPr>
        <w:pStyle w:val="ListParagraph"/>
        <w:numPr>
          <w:ilvl w:val="0"/>
          <w:numId w:val="7"/>
        </w:numPr>
        <w:spacing w:before="80" w:after="80"/>
        <w:contextualSpacing w:val="0"/>
        <w:rPr>
          <w:sz w:val="24"/>
          <w:szCs w:val="24"/>
        </w:rPr>
      </w:pPr>
      <w:r w:rsidRPr="009234DE">
        <w:rPr>
          <w:sz w:val="24"/>
          <w:szCs w:val="24"/>
        </w:rPr>
        <w:t>One or more potential bystanders were present during 40.9% of overdoses</w:t>
      </w:r>
    </w:p>
    <w:p w14:paraId="73FC6C3A" w14:textId="67D4991C" w:rsidR="00672700" w:rsidRPr="009234DE" w:rsidRDefault="00672700" w:rsidP="00FB0BBA">
      <w:pPr>
        <w:pStyle w:val="ListParagraph"/>
        <w:numPr>
          <w:ilvl w:val="0"/>
          <w:numId w:val="7"/>
        </w:numPr>
        <w:spacing w:before="80" w:after="80"/>
        <w:contextualSpacing w:val="0"/>
        <w:rPr>
          <w:sz w:val="24"/>
          <w:szCs w:val="24"/>
        </w:rPr>
      </w:pPr>
      <w:r w:rsidRPr="009234DE">
        <w:rPr>
          <w:sz w:val="24"/>
          <w:szCs w:val="24"/>
        </w:rPr>
        <w:t>Drug use was witnessed in only 7.9% of overdoses.</w:t>
      </w:r>
      <w:r w:rsidRPr="009234DE">
        <w:rPr>
          <w:rStyle w:val="FootnoteReference"/>
          <w:sz w:val="24"/>
          <w:szCs w:val="24"/>
        </w:rPr>
        <w:footnoteReference w:id="17"/>
      </w:r>
    </w:p>
    <w:p w14:paraId="1BD702D6" w14:textId="0761D1F0" w:rsidR="00223A17" w:rsidRDefault="009D0179" w:rsidP="00FB0BBA">
      <w:pPr>
        <w:pStyle w:val="ListParagraph"/>
        <w:numPr>
          <w:ilvl w:val="0"/>
          <w:numId w:val="7"/>
        </w:numPr>
        <w:spacing w:before="80" w:after="80"/>
        <w:contextualSpacing w:val="0"/>
        <w:rPr>
          <w:sz w:val="24"/>
          <w:szCs w:val="24"/>
        </w:rPr>
      </w:pPr>
      <w:r w:rsidRPr="009234DE">
        <w:rPr>
          <w:sz w:val="24"/>
          <w:szCs w:val="24"/>
        </w:rPr>
        <w:t>Minors were present during 1.8% of overdoses</w:t>
      </w:r>
    </w:p>
    <w:p w14:paraId="1D93022B" w14:textId="77777777" w:rsidR="00D271FA" w:rsidRDefault="00D271FA" w:rsidP="00D271FA">
      <w:pPr>
        <w:pStyle w:val="ListParagraph"/>
        <w:spacing w:before="80" w:after="80"/>
        <w:contextualSpacing w:val="0"/>
        <w:rPr>
          <w:sz w:val="24"/>
          <w:szCs w:val="24"/>
        </w:rPr>
      </w:pPr>
    </w:p>
    <w:p w14:paraId="3EC464EB" w14:textId="77777777" w:rsidR="00A00487" w:rsidRPr="00FB0BBA" w:rsidRDefault="00A00487" w:rsidP="00D271FA">
      <w:pPr>
        <w:pStyle w:val="ListParagraph"/>
        <w:spacing w:before="80" w:after="80"/>
        <w:contextualSpacing w:val="0"/>
        <w:rPr>
          <w:sz w:val="24"/>
          <w:szCs w:val="24"/>
        </w:rPr>
      </w:pPr>
    </w:p>
    <w:p w14:paraId="6B3A1165" w14:textId="77777777" w:rsidR="009D0179" w:rsidRPr="009234DE" w:rsidRDefault="009D0179" w:rsidP="00223A17">
      <w:pPr>
        <w:pStyle w:val="Heading1"/>
        <w:spacing w:beforeLines="80" w:before="192" w:afterLines="80" w:after="192"/>
        <w:rPr>
          <w:rFonts w:ascii="Segoe UI" w:hAnsi="Segoe UI" w:cs="Segoe UI"/>
        </w:rPr>
      </w:pPr>
      <w:r w:rsidRPr="009234DE">
        <w:rPr>
          <w:rFonts w:ascii="Segoe UI" w:hAnsi="Segoe UI" w:cs="Segoe UI"/>
        </w:rPr>
        <w:lastRenderedPageBreak/>
        <w:t>Resources</w:t>
      </w:r>
    </w:p>
    <w:p w14:paraId="0972A5B9" w14:textId="77777777" w:rsidR="0002293F" w:rsidRPr="0002293F" w:rsidRDefault="0002293F" w:rsidP="00223A17">
      <w:pPr>
        <w:spacing w:after="0" w:line="240" w:lineRule="auto"/>
        <w:ind w:left="360"/>
        <w:rPr>
          <w:b/>
          <w:bCs/>
          <w:sz w:val="24"/>
          <w:szCs w:val="24"/>
        </w:rPr>
      </w:pPr>
      <w:r w:rsidRPr="0002293F">
        <w:rPr>
          <w:b/>
          <w:bCs/>
          <w:sz w:val="24"/>
          <w:szCs w:val="24"/>
        </w:rPr>
        <w:t>Massachusetts Substance Use Helpline</w:t>
      </w:r>
    </w:p>
    <w:p w14:paraId="21B8BF80" w14:textId="4FA4EFB6" w:rsidR="0002293F" w:rsidRPr="0002293F" w:rsidRDefault="0002293F" w:rsidP="00223A17">
      <w:pPr>
        <w:spacing w:after="0" w:line="240" w:lineRule="auto"/>
        <w:ind w:left="360"/>
        <w:rPr>
          <w:sz w:val="24"/>
          <w:szCs w:val="24"/>
        </w:rPr>
      </w:pPr>
      <w:r w:rsidRPr="0002293F">
        <w:rPr>
          <w:sz w:val="24"/>
          <w:szCs w:val="24"/>
        </w:rPr>
        <w:t xml:space="preserve">Call 800-327-5050, text "HOPE" to 800327, or visit </w:t>
      </w:r>
      <w:hyperlink r:id="rId8" w:history="1">
        <w:r w:rsidRPr="0002293F">
          <w:rPr>
            <w:rStyle w:val="Hyperlink"/>
            <w:sz w:val="24"/>
            <w:szCs w:val="24"/>
          </w:rPr>
          <w:t>https://helplinema.org</w:t>
        </w:r>
      </w:hyperlink>
      <w:r w:rsidRPr="0002293F">
        <w:rPr>
          <w:sz w:val="24"/>
          <w:szCs w:val="24"/>
        </w:rPr>
        <w:t xml:space="preserve"> </w:t>
      </w:r>
    </w:p>
    <w:p w14:paraId="1E09D36C" w14:textId="77777777" w:rsidR="00223A17" w:rsidRDefault="00223A17" w:rsidP="00223A17">
      <w:pPr>
        <w:spacing w:after="0" w:line="240" w:lineRule="auto"/>
        <w:ind w:left="360"/>
        <w:rPr>
          <w:sz w:val="24"/>
          <w:szCs w:val="24"/>
        </w:rPr>
      </w:pPr>
    </w:p>
    <w:p w14:paraId="13298661" w14:textId="7A40ABC0" w:rsidR="0002293F" w:rsidRPr="0002293F" w:rsidRDefault="0002293F" w:rsidP="00223A17">
      <w:pPr>
        <w:spacing w:after="0" w:line="240" w:lineRule="auto"/>
        <w:ind w:left="360"/>
        <w:rPr>
          <w:b/>
          <w:bCs/>
          <w:sz w:val="24"/>
          <w:szCs w:val="24"/>
        </w:rPr>
      </w:pPr>
      <w:r w:rsidRPr="0002293F">
        <w:rPr>
          <w:b/>
          <w:bCs/>
          <w:sz w:val="24"/>
          <w:szCs w:val="24"/>
        </w:rPr>
        <w:t>SafeSpot Overdose Prevention Hotline</w:t>
      </w:r>
    </w:p>
    <w:p w14:paraId="3B150278" w14:textId="77777777" w:rsidR="0002293F" w:rsidRPr="0002293F" w:rsidRDefault="0002293F" w:rsidP="00223A17">
      <w:pPr>
        <w:spacing w:after="0" w:line="240" w:lineRule="auto"/>
        <w:ind w:left="360"/>
        <w:rPr>
          <w:sz w:val="24"/>
          <w:szCs w:val="24"/>
        </w:rPr>
      </w:pPr>
      <w:r w:rsidRPr="0002293F">
        <w:rPr>
          <w:sz w:val="24"/>
          <w:szCs w:val="24"/>
        </w:rPr>
        <w:t xml:space="preserve">Call 800-972-0590 or visit </w:t>
      </w:r>
      <w:hyperlink r:id="rId9" w:history="1">
        <w:r w:rsidRPr="0002293F">
          <w:rPr>
            <w:rStyle w:val="Hyperlink"/>
            <w:sz w:val="24"/>
            <w:szCs w:val="24"/>
          </w:rPr>
          <w:t>https://safe-spot.me/</w:t>
        </w:r>
      </w:hyperlink>
      <w:r w:rsidRPr="0002293F">
        <w:rPr>
          <w:sz w:val="24"/>
          <w:szCs w:val="24"/>
        </w:rPr>
        <w:t xml:space="preserve">  </w:t>
      </w:r>
    </w:p>
    <w:p w14:paraId="300C7728" w14:textId="77777777" w:rsidR="0002293F" w:rsidRPr="0002293F" w:rsidRDefault="0002293F" w:rsidP="00223A17">
      <w:pPr>
        <w:spacing w:after="0" w:line="240" w:lineRule="auto"/>
        <w:ind w:left="360"/>
        <w:rPr>
          <w:sz w:val="24"/>
          <w:szCs w:val="24"/>
        </w:rPr>
      </w:pPr>
      <w:r w:rsidRPr="0002293F">
        <w:rPr>
          <w:sz w:val="24"/>
          <w:szCs w:val="24"/>
        </w:rPr>
        <w:t> </w:t>
      </w:r>
    </w:p>
    <w:p w14:paraId="694410E5" w14:textId="77777777" w:rsidR="0002293F" w:rsidRPr="0002293F" w:rsidRDefault="0002293F" w:rsidP="00223A17">
      <w:pPr>
        <w:spacing w:after="0" w:line="240" w:lineRule="auto"/>
        <w:ind w:left="360"/>
        <w:rPr>
          <w:b/>
          <w:bCs/>
          <w:sz w:val="24"/>
          <w:szCs w:val="24"/>
        </w:rPr>
      </w:pPr>
      <w:r w:rsidRPr="0002293F">
        <w:rPr>
          <w:b/>
          <w:bCs/>
          <w:sz w:val="24"/>
          <w:szCs w:val="24"/>
        </w:rPr>
        <w:t>StreetCheck (Community Drug Checking)</w:t>
      </w:r>
    </w:p>
    <w:p w14:paraId="73491973" w14:textId="77777777" w:rsidR="0002293F" w:rsidRDefault="0002293F" w:rsidP="00223A17">
      <w:pPr>
        <w:spacing w:after="0" w:line="240" w:lineRule="auto"/>
        <w:ind w:left="360"/>
        <w:rPr>
          <w:sz w:val="24"/>
          <w:szCs w:val="24"/>
        </w:rPr>
      </w:pPr>
      <w:hyperlink r:id="rId10" w:history="1">
        <w:r w:rsidRPr="0002293F">
          <w:rPr>
            <w:rStyle w:val="Hyperlink"/>
            <w:sz w:val="24"/>
            <w:szCs w:val="24"/>
          </w:rPr>
          <w:t>https://www.info.streetcheck.org/</w:t>
        </w:r>
      </w:hyperlink>
    </w:p>
    <w:p w14:paraId="0C155DF5" w14:textId="77777777" w:rsidR="00D271FA" w:rsidRPr="009234DE" w:rsidRDefault="00D271FA" w:rsidP="00223A17">
      <w:pPr>
        <w:spacing w:after="0" w:line="240" w:lineRule="auto"/>
        <w:ind w:left="360"/>
        <w:rPr>
          <w:sz w:val="24"/>
          <w:szCs w:val="24"/>
        </w:rPr>
      </w:pPr>
    </w:p>
    <w:p w14:paraId="5B33A736" w14:textId="2E8E9DAA" w:rsidR="0002293F" w:rsidRPr="009234DE" w:rsidRDefault="0002293F" w:rsidP="00223A17">
      <w:pPr>
        <w:pStyle w:val="Heading1"/>
        <w:spacing w:beforeLines="80" w:before="192" w:afterLines="80" w:after="192"/>
        <w:rPr>
          <w:rFonts w:ascii="Segoe UI" w:hAnsi="Segoe UI" w:cs="Segoe UI"/>
        </w:rPr>
      </w:pPr>
      <w:r w:rsidRPr="009234DE">
        <w:rPr>
          <w:rFonts w:ascii="Segoe UI" w:hAnsi="Segoe UI" w:cs="Segoe UI"/>
        </w:rPr>
        <w:t>Sources</w:t>
      </w:r>
    </w:p>
    <w:p w14:paraId="73E4E579" w14:textId="77777777" w:rsidR="0002293F" w:rsidRPr="0002293F" w:rsidRDefault="0002293F" w:rsidP="00223A17">
      <w:pPr>
        <w:tabs>
          <w:tab w:val="left" w:pos="360"/>
        </w:tabs>
        <w:spacing w:beforeLines="80" w:before="192" w:afterLines="80" w:after="192"/>
        <w:ind w:left="450"/>
        <w:rPr>
          <w:sz w:val="24"/>
          <w:szCs w:val="24"/>
        </w:rPr>
      </w:pPr>
      <w:r w:rsidRPr="0002293F">
        <w:rPr>
          <w:b/>
          <w:bCs/>
          <w:sz w:val="24"/>
          <w:szCs w:val="24"/>
        </w:rPr>
        <w:t>Fatal overdose data</w:t>
      </w:r>
      <w:r w:rsidRPr="0002293F">
        <w:rPr>
          <w:sz w:val="24"/>
          <w:szCs w:val="24"/>
        </w:rPr>
        <w:t>: State Unintentional Drug Overdose Reporting System (SUDORS)</w:t>
      </w:r>
    </w:p>
    <w:p w14:paraId="2E93DB3D" w14:textId="57D49C36" w:rsidR="00607D20" w:rsidRDefault="0002293F" w:rsidP="00223A17">
      <w:pPr>
        <w:tabs>
          <w:tab w:val="left" w:pos="360"/>
        </w:tabs>
        <w:spacing w:beforeLines="80" w:before="192" w:afterLines="80" w:after="192"/>
        <w:ind w:left="450"/>
        <w:rPr>
          <w:sz w:val="24"/>
          <w:szCs w:val="24"/>
        </w:rPr>
      </w:pPr>
      <w:r w:rsidRPr="0002293F">
        <w:rPr>
          <w:b/>
          <w:bCs/>
          <w:sz w:val="24"/>
          <w:szCs w:val="24"/>
        </w:rPr>
        <w:t>Population data</w:t>
      </w:r>
      <w:r w:rsidRPr="0002293F">
        <w:rPr>
          <w:sz w:val="24"/>
          <w:szCs w:val="24"/>
        </w:rPr>
        <w:t>: United States Census Bureau and</w:t>
      </w:r>
      <w:r w:rsidR="00223A17">
        <w:rPr>
          <w:sz w:val="24"/>
          <w:szCs w:val="24"/>
        </w:rPr>
        <w:t xml:space="preserve"> </w:t>
      </w:r>
      <w:r w:rsidRPr="0002293F">
        <w:rPr>
          <w:sz w:val="24"/>
          <w:szCs w:val="24"/>
        </w:rPr>
        <w:t>University of Massachusetts Donahue Institute</w:t>
      </w:r>
    </w:p>
    <w:p w14:paraId="100A2274" w14:textId="77777777" w:rsidR="008B7D99" w:rsidRDefault="008B7D99" w:rsidP="00223A17">
      <w:pPr>
        <w:tabs>
          <w:tab w:val="left" w:pos="360"/>
        </w:tabs>
        <w:spacing w:beforeLines="80" w:before="192" w:afterLines="80" w:after="192"/>
        <w:ind w:left="450"/>
        <w:rPr>
          <w:sz w:val="24"/>
          <w:szCs w:val="24"/>
        </w:rPr>
      </w:pPr>
    </w:p>
    <w:p w14:paraId="7219B8B9" w14:textId="2ECCBD88" w:rsidR="008B7D99" w:rsidRPr="009234DE" w:rsidRDefault="008B7D99" w:rsidP="008B7D99">
      <w:pPr>
        <w:tabs>
          <w:tab w:val="left" w:pos="360"/>
        </w:tabs>
        <w:spacing w:beforeLines="80" w:before="192" w:afterLines="80" w:after="192"/>
        <w:rPr>
          <w:sz w:val="24"/>
          <w:szCs w:val="24"/>
        </w:rPr>
      </w:pPr>
    </w:p>
    <w:sectPr w:rsidR="008B7D99" w:rsidRPr="00923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66C" w14:textId="77777777" w:rsidR="0068596C" w:rsidRDefault="0068596C" w:rsidP="00A01E6F">
      <w:pPr>
        <w:spacing w:after="0" w:line="240" w:lineRule="auto"/>
      </w:pPr>
      <w:r>
        <w:separator/>
      </w:r>
    </w:p>
  </w:endnote>
  <w:endnote w:type="continuationSeparator" w:id="0">
    <w:p w14:paraId="3BCD6430" w14:textId="77777777" w:rsidR="0068596C" w:rsidRDefault="0068596C" w:rsidP="00A0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3AD3" w14:textId="77777777" w:rsidR="0068596C" w:rsidRDefault="0068596C" w:rsidP="00A01E6F">
      <w:pPr>
        <w:spacing w:after="0" w:line="240" w:lineRule="auto"/>
      </w:pPr>
      <w:r>
        <w:separator/>
      </w:r>
    </w:p>
  </w:footnote>
  <w:footnote w:type="continuationSeparator" w:id="0">
    <w:p w14:paraId="44EF4892" w14:textId="77777777" w:rsidR="0068596C" w:rsidRDefault="0068596C" w:rsidP="00A01E6F">
      <w:pPr>
        <w:spacing w:after="0" w:line="240" w:lineRule="auto"/>
      </w:pPr>
      <w:r>
        <w:continuationSeparator/>
      </w:r>
    </w:p>
  </w:footnote>
  <w:footnote w:id="1">
    <w:p w14:paraId="18D9A809" w14:textId="77777777" w:rsidR="00672700" w:rsidRDefault="00672700" w:rsidP="004A33A7">
      <w:pPr>
        <w:pStyle w:val="FootnoteText"/>
        <w:rPr>
          <w:sz w:val="22"/>
          <w:szCs w:val="22"/>
        </w:rPr>
      </w:pPr>
      <w:r w:rsidRPr="00223A17">
        <w:rPr>
          <w:rStyle w:val="FootnoteReference"/>
          <w:sz w:val="22"/>
          <w:szCs w:val="22"/>
        </w:rPr>
        <w:footnoteRef/>
      </w:r>
      <w:r w:rsidRPr="00223A17">
        <w:rPr>
          <w:sz w:val="22"/>
          <w:szCs w:val="22"/>
        </w:rPr>
        <w:t xml:space="preserve">"Rate per 100,000 population" expresses the frequency of an event in relation to a standard population size of 100,000. This measure allows for easier comparison between populations or regions. </w:t>
      </w:r>
    </w:p>
    <w:p w14:paraId="07C820DC" w14:textId="77777777" w:rsidR="00672700" w:rsidRDefault="00672700" w:rsidP="004A33A7">
      <w:pPr>
        <w:pStyle w:val="FootnoteText"/>
        <w:rPr>
          <w:sz w:val="22"/>
          <w:szCs w:val="22"/>
        </w:rPr>
      </w:pPr>
    </w:p>
    <w:p w14:paraId="64CA78BD" w14:textId="77777777" w:rsidR="00672700" w:rsidRPr="00672700" w:rsidRDefault="00672700" w:rsidP="00672700">
      <w:pPr>
        <w:pStyle w:val="FootnoteText"/>
        <w:rPr>
          <w:sz w:val="22"/>
          <w:szCs w:val="22"/>
        </w:rPr>
      </w:pPr>
      <w:r w:rsidRPr="00672700">
        <w:rPr>
          <w:sz w:val="22"/>
          <w:szCs w:val="22"/>
        </w:rPr>
        <w:t xml:space="preserve">The population values used to calculate rates for this infographic were obtained from the United States Census Bureau and UMass Donahue Institute. </w:t>
      </w:r>
    </w:p>
    <w:p w14:paraId="4686D5CF" w14:textId="77777777" w:rsidR="00672700" w:rsidRPr="00672700" w:rsidRDefault="00672700" w:rsidP="00672700">
      <w:pPr>
        <w:pStyle w:val="FootnoteText"/>
        <w:rPr>
          <w:sz w:val="22"/>
          <w:szCs w:val="22"/>
        </w:rPr>
      </w:pPr>
      <w:r w:rsidRPr="00672700">
        <w:rPr>
          <w:sz w:val="22"/>
          <w:szCs w:val="22"/>
        </w:rPr>
        <w:t> </w:t>
      </w:r>
    </w:p>
    <w:p w14:paraId="7F602801" w14:textId="77777777" w:rsidR="00672700" w:rsidRPr="00223A17" w:rsidRDefault="00672700" w:rsidP="004A33A7">
      <w:pPr>
        <w:pStyle w:val="FootnoteText"/>
        <w:rPr>
          <w:sz w:val="22"/>
          <w:szCs w:val="22"/>
        </w:rPr>
      </w:pPr>
    </w:p>
    <w:p w14:paraId="7110150B" w14:textId="77777777" w:rsidR="00672700" w:rsidRDefault="00672700" w:rsidP="004A33A7">
      <w:pPr>
        <w:pStyle w:val="FootnoteText"/>
      </w:pPr>
      <w:r w:rsidRPr="00A15C09">
        <w:t> </w:t>
      </w:r>
    </w:p>
  </w:footnote>
  <w:footnote w:id="2">
    <w:p w14:paraId="46415C1E" w14:textId="3666164B" w:rsidR="00672700" w:rsidRPr="00223A17" w:rsidRDefault="00672700">
      <w:pPr>
        <w:pStyle w:val="FootnoteText"/>
        <w:rPr>
          <w:sz w:val="22"/>
          <w:szCs w:val="22"/>
        </w:rPr>
      </w:pPr>
      <w:r w:rsidRPr="00223A17">
        <w:rPr>
          <w:rStyle w:val="FootnoteReference"/>
          <w:sz w:val="22"/>
          <w:szCs w:val="22"/>
        </w:rPr>
        <w:footnoteRef/>
      </w:r>
      <w:r w:rsidRPr="00223A17">
        <w:rPr>
          <w:sz w:val="22"/>
          <w:szCs w:val="22"/>
        </w:rPr>
        <w:t xml:space="preserve">This is based on quartile information. Quartiles are values that divide a dataset into four equal parts after it has been ordered--in this case, by age in years. Each quartile represents 25% of the observations.  The value of the first quartile, which represents the lowest 25%, is 36 years. The second quartile or median, which divides the dataset in half, is 45 years. The third quartile, which represents the highest 25%, is 56 years.  </w:t>
      </w:r>
      <w:r w:rsidRPr="00A15C09">
        <w:rPr>
          <w:sz w:val="22"/>
          <w:szCs w:val="22"/>
        </w:rPr>
        <w:t>Q</w:t>
      </w:r>
      <w:r w:rsidRPr="00A15C09">
        <w:rPr>
          <w:sz w:val="22"/>
          <w:szCs w:val="22"/>
          <w:vertAlign w:val="subscript"/>
        </w:rPr>
        <w:t>1</w:t>
      </w:r>
      <w:r w:rsidRPr="00A15C09">
        <w:rPr>
          <w:sz w:val="22"/>
          <w:szCs w:val="22"/>
        </w:rPr>
        <w:t xml:space="preserve"> = 36y, Q</w:t>
      </w:r>
      <w:r w:rsidRPr="00A15C09">
        <w:rPr>
          <w:sz w:val="22"/>
          <w:szCs w:val="22"/>
          <w:vertAlign w:val="subscript"/>
        </w:rPr>
        <w:t>2</w:t>
      </w:r>
      <w:r w:rsidRPr="00A15C09">
        <w:rPr>
          <w:sz w:val="22"/>
          <w:szCs w:val="22"/>
        </w:rPr>
        <w:t xml:space="preserve"> = 45y, Q</w:t>
      </w:r>
      <w:r w:rsidRPr="00A15C09">
        <w:rPr>
          <w:sz w:val="22"/>
          <w:szCs w:val="22"/>
          <w:vertAlign w:val="subscript"/>
        </w:rPr>
        <w:t>3</w:t>
      </w:r>
      <w:r w:rsidRPr="00A15C09">
        <w:rPr>
          <w:sz w:val="22"/>
          <w:szCs w:val="22"/>
        </w:rPr>
        <w:t xml:space="preserve"> = 56y </w:t>
      </w:r>
    </w:p>
  </w:footnote>
  <w:footnote w:id="3">
    <w:p w14:paraId="1A8A6A58" w14:textId="77777777" w:rsidR="00672700" w:rsidRDefault="00672700" w:rsidP="005A47B8">
      <w:pPr>
        <w:pStyle w:val="FootnoteText"/>
      </w:pPr>
    </w:p>
    <w:p w14:paraId="2B4DF39D" w14:textId="7D35F87A" w:rsidR="00672700" w:rsidRPr="005A47B8" w:rsidRDefault="00672700" w:rsidP="005A47B8">
      <w:pPr>
        <w:pStyle w:val="FootnoteText"/>
      </w:pPr>
      <w:r>
        <w:rPr>
          <w:rStyle w:val="FootnoteReference"/>
        </w:rPr>
        <w:footnoteRef/>
      </w:r>
      <w:r>
        <w:t xml:space="preserve"> </w:t>
      </w:r>
      <w:r w:rsidRPr="00FA1BA7">
        <w:rPr>
          <w:sz w:val="22"/>
          <w:szCs w:val="22"/>
        </w:rPr>
        <w:t xml:space="preserve">Multi-racial persons were counted under the race or ethnicity with the least representation in Massachusetts. For example, if a decedent was Asian and White, they were counted as Asian. </w:t>
      </w:r>
    </w:p>
    <w:p w14:paraId="3A22500C" w14:textId="68878B53" w:rsidR="00672700" w:rsidRDefault="00672700">
      <w:pPr>
        <w:pStyle w:val="FootnoteText"/>
      </w:pPr>
    </w:p>
  </w:footnote>
  <w:footnote w:id="4">
    <w:p w14:paraId="645D617F" w14:textId="77777777" w:rsidR="00D71A32" w:rsidRPr="00223A17" w:rsidRDefault="00D71A32" w:rsidP="00D71A32">
      <w:pPr>
        <w:pStyle w:val="FootnoteText"/>
        <w:rPr>
          <w:sz w:val="22"/>
          <w:szCs w:val="22"/>
        </w:rPr>
      </w:pPr>
      <w:r w:rsidRPr="00223A17">
        <w:rPr>
          <w:rStyle w:val="FootnoteReference"/>
          <w:sz w:val="22"/>
          <w:szCs w:val="22"/>
        </w:rPr>
        <w:footnoteRef/>
      </w:r>
      <w:r w:rsidRPr="00223A17">
        <w:rPr>
          <w:sz w:val="22"/>
          <w:szCs w:val="22"/>
        </w:rPr>
        <w:t xml:space="preserve">The county where the overdose began may not be the county where the death occurred. For example, a decedent may overdose in one county and be transported to an emergency department in another county.  </w:t>
      </w:r>
    </w:p>
    <w:p w14:paraId="6D722A84" w14:textId="77777777" w:rsidR="00D71A32" w:rsidRDefault="00D71A32" w:rsidP="00D71A32">
      <w:pPr>
        <w:pStyle w:val="FootnoteText"/>
      </w:pPr>
    </w:p>
  </w:footnote>
  <w:footnote w:id="5">
    <w:p w14:paraId="2E39E583" w14:textId="039E7BF8" w:rsidR="00672700" w:rsidRDefault="00672700">
      <w:pPr>
        <w:pStyle w:val="FootnoteText"/>
        <w:rPr>
          <w:sz w:val="22"/>
          <w:szCs w:val="22"/>
        </w:rPr>
      </w:pPr>
      <w:r w:rsidRPr="00223A17">
        <w:rPr>
          <w:rStyle w:val="FootnoteReference"/>
          <w:sz w:val="22"/>
          <w:szCs w:val="22"/>
        </w:rPr>
        <w:footnoteRef/>
      </w:r>
      <w:r w:rsidRPr="00223A17">
        <w:rPr>
          <w:sz w:val="22"/>
          <w:szCs w:val="22"/>
        </w:rPr>
        <w:t xml:space="preserve"> This includes supervised residential treatment facilities related to alcohol or substance use treatment, shelters, halfway houses, group homes, nursing homes, and assisted living residences. </w:t>
      </w:r>
    </w:p>
    <w:p w14:paraId="300EB439" w14:textId="77777777" w:rsidR="00672700" w:rsidRDefault="00672700">
      <w:pPr>
        <w:pStyle w:val="FootnoteText"/>
      </w:pPr>
    </w:p>
  </w:footnote>
  <w:footnote w:id="6">
    <w:p w14:paraId="4CD9D9C5" w14:textId="53205613" w:rsidR="00672700" w:rsidRPr="00223A17" w:rsidRDefault="00672700" w:rsidP="00E36A17">
      <w:pPr>
        <w:pStyle w:val="FootnoteText"/>
        <w:rPr>
          <w:sz w:val="22"/>
          <w:szCs w:val="22"/>
        </w:rPr>
      </w:pPr>
      <w:r w:rsidRPr="00223A17">
        <w:rPr>
          <w:rStyle w:val="FootnoteReference"/>
          <w:sz w:val="22"/>
          <w:szCs w:val="22"/>
        </w:rPr>
        <w:footnoteRef/>
      </w:r>
      <w:r w:rsidRPr="00223A17">
        <w:rPr>
          <w:sz w:val="22"/>
          <w:szCs w:val="22"/>
        </w:rPr>
        <w:t xml:space="preserve">SUDORS defines a bystander as someone who is 11 years old or older and has the opportunity to intervene during an overdose. Bystanders include people who are present or nearby when the overdose occurs (including spatially separated persons within the same household); people who observed the decedent during the overdose regardless of whether the drug use was observed; and persons who witnessed the drug use or observed that the decedent was intoxicated or high, regardless of whether they were present for the overdose itself. First responders or medical professionals called to the scene are not bystanders under this definition. </w:t>
      </w:r>
    </w:p>
    <w:p w14:paraId="5FE9F615" w14:textId="4D95DB8B" w:rsidR="00672700" w:rsidRPr="00223A17" w:rsidRDefault="00672700">
      <w:pPr>
        <w:pStyle w:val="FootnoteText"/>
        <w:rPr>
          <w:sz w:val="22"/>
          <w:szCs w:val="22"/>
        </w:rPr>
      </w:pPr>
      <w:r w:rsidRPr="00E36A17">
        <w:rPr>
          <w:sz w:val="22"/>
          <w:szCs w:val="22"/>
        </w:rPr>
        <w:t> </w:t>
      </w:r>
    </w:p>
  </w:footnote>
  <w:footnote w:id="7">
    <w:p w14:paraId="377BBCF4" w14:textId="09143B8A" w:rsidR="00672700" w:rsidRPr="00BE7269" w:rsidRDefault="00672700" w:rsidP="00BE7269">
      <w:pPr>
        <w:pStyle w:val="FootnoteText"/>
        <w:rPr>
          <w:sz w:val="22"/>
          <w:szCs w:val="22"/>
        </w:rPr>
      </w:pPr>
      <w:r w:rsidRPr="00223A17">
        <w:rPr>
          <w:rStyle w:val="FootnoteReference"/>
          <w:sz w:val="22"/>
          <w:szCs w:val="22"/>
        </w:rPr>
        <w:footnoteRef/>
      </w:r>
      <w:r w:rsidRPr="00223A17">
        <w:rPr>
          <w:sz w:val="22"/>
          <w:szCs w:val="22"/>
        </w:rPr>
        <w:t xml:space="preserve">A decedent may have died with more than one drug class (e.g., opioids and stimulants) or drug (e.g., cocaine and fentanyl) in their system. The Office of the Chief Medical Examiner determines whether a detected substance caused death. </w:t>
      </w:r>
      <w:r w:rsidRPr="00BE7269">
        <w:rPr>
          <w:sz w:val="22"/>
          <w:szCs w:val="22"/>
        </w:rPr>
        <w:t xml:space="preserve">In the bar graph, the drug class “Opioids” includes any opioid, whether illicit or prescription, “Stimulants” includes cocaine, methamphetamine, cathinones, and phenidates, and “Benzodiazepines” includes any benzodiazepine. </w:t>
      </w:r>
    </w:p>
    <w:p w14:paraId="502CFACC" w14:textId="19AA25BA" w:rsidR="00672700" w:rsidRDefault="00672700">
      <w:pPr>
        <w:pStyle w:val="FootnoteText"/>
      </w:pPr>
    </w:p>
  </w:footnote>
  <w:footnote w:id="8">
    <w:p w14:paraId="38EF7971" w14:textId="1B2E55F9" w:rsidR="00672700" w:rsidRPr="00FB0BBA" w:rsidRDefault="00672700">
      <w:pPr>
        <w:pStyle w:val="FootnoteText"/>
        <w:rPr>
          <w:sz w:val="22"/>
          <w:szCs w:val="22"/>
        </w:rPr>
      </w:pPr>
      <w:r w:rsidRPr="00FB0BBA">
        <w:rPr>
          <w:rStyle w:val="FootnoteReference"/>
          <w:sz w:val="22"/>
          <w:szCs w:val="22"/>
        </w:rPr>
        <w:footnoteRef/>
      </w:r>
      <w:r w:rsidRPr="00FB0BBA">
        <w:rPr>
          <w:sz w:val="22"/>
          <w:szCs w:val="22"/>
        </w:rPr>
        <w:t xml:space="preserve"> Other routes of administration include ingestion, transdermal, sublingual, suppository, and buccal. </w:t>
      </w:r>
    </w:p>
    <w:p w14:paraId="4E93FAB4" w14:textId="77777777" w:rsidR="00672700" w:rsidRPr="00FB0BBA" w:rsidRDefault="00672700">
      <w:pPr>
        <w:pStyle w:val="FootnoteText"/>
        <w:rPr>
          <w:sz w:val="22"/>
          <w:szCs w:val="22"/>
        </w:rPr>
      </w:pPr>
    </w:p>
  </w:footnote>
  <w:footnote w:id="9">
    <w:p w14:paraId="1FF502F2" w14:textId="36D77845" w:rsidR="00672700" w:rsidRPr="00FB0BBA" w:rsidRDefault="00672700" w:rsidP="0002293F">
      <w:pPr>
        <w:pStyle w:val="FootnoteText"/>
        <w:rPr>
          <w:sz w:val="22"/>
          <w:szCs w:val="22"/>
        </w:rPr>
      </w:pPr>
      <w:r w:rsidRPr="00FB0BBA">
        <w:rPr>
          <w:rStyle w:val="FootnoteReference"/>
          <w:sz w:val="22"/>
          <w:szCs w:val="22"/>
        </w:rPr>
        <w:footnoteRef/>
      </w:r>
      <w:r w:rsidRPr="00FB0BBA">
        <w:rPr>
          <w:sz w:val="22"/>
          <w:szCs w:val="22"/>
        </w:rPr>
        <w:t xml:space="preserve">Drug use is defined as current or past illicit drug use and/or prescription drug misuse. Alcohol use is not captured by this variable. </w:t>
      </w:r>
    </w:p>
    <w:p w14:paraId="3E176894" w14:textId="157ECED7" w:rsidR="00672700" w:rsidRPr="00FB0BBA" w:rsidRDefault="00672700">
      <w:pPr>
        <w:pStyle w:val="FootnoteText"/>
        <w:rPr>
          <w:sz w:val="22"/>
          <w:szCs w:val="22"/>
        </w:rPr>
      </w:pPr>
    </w:p>
  </w:footnote>
  <w:footnote w:id="10">
    <w:p w14:paraId="766B84E6" w14:textId="2271E33F" w:rsidR="00672700" w:rsidRPr="0002293F" w:rsidRDefault="00672700" w:rsidP="009234DE">
      <w:pPr>
        <w:pStyle w:val="FootnoteText"/>
        <w:rPr>
          <w:sz w:val="22"/>
          <w:szCs w:val="22"/>
        </w:rPr>
      </w:pPr>
      <w:r w:rsidRPr="00FB0BBA">
        <w:rPr>
          <w:rStyle w:val="FootnoteReference"/>
          <w:sz w:val="22"/>
          <w:szCs w:val="22"/>
        </w:rPr>
        <w:footnoteRef/>
      </w:r>
      <w:r w:rsidRPr="00FB0BBA">
        <w:rPr>
          <w:sz w:val="22"/>
          <w:szCs w:val="22"/>
        </w:rPr>
        <w:t>Decedents were coded as currently having an alcohol problem if they were perceived to have a problem with alcohol or had an alcohol addiction. This could be evidenced by medical records reporting alcohol use disorder, police report information, and other sources. In accordance with the National Violent Death Reporting System Web Coding Manual v6.0, an alcohol problem from the past (i.e., five years or more ago) that has resolved and no longer seems to apply would not be coded.</w:t>
      </w:r>
    </w:p>
    <w:p w14:paraId="2457FC16" w14:textId="15D67068" w:rsidR="00672700" w:rsidRDefault="00672700">
      <w:pPr>
        <w:pStyle w:val="FootnoteText"/>
      </w:pPr>
    </w:p>
  </w:footnote>
  <w:footnote w:id="11">
    <w:p w14:paraId="401119E9" w14:textId="2D796B50"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 xml:space="preserve">Previous overdoses were coded when known. Our reported statistic is likely lower than it should be due to the unavailability of medical records, police reports, and other documentation for some decedents. </w:t>
      </w:r>
    </w:p>
    <w:p w14:paraId="31B8153D" w14:textId="6B1BE28C" w:rsidR="00672700" w:rsidRPr="00FB0BBA" w:rsidRDefault="00672700">
      <w:pPr>
        <w:pStyle w:val="FootnoteText"/>
        <w:rPr>
          <w:sz w:val="22"/>
          <w:szCs w:val="22"/>
        </w:rPr>
      </w:pPr>
    </w:p>
  </w:footnote>
  <w:footnote w:id="12">
    <w:p w14:paraId="045ECDCE" w14:textId="2616A412" w:rsidR="00672700" w:rsidRPr="00FB0BBA" w:rsidRDefault="00672700">
      <w:pPr>
        <w:pStyle w:val="FootnoteText"/>
        <w:rPr>
          <w:sz w:val="22"/>
          <w:szCs w:val="22"/>
        </w:rPr>
      </w:pPr>
      <w:r w:rsidRPr="00FB0BBA">
        <w:rPr>
          <w:rStyle w:val="FootnoteReference"/>
          <w:sz w:val="22"/>
          <w:szCs w:val="22"/>
        </w:rPr>
        <w:footnoteRef/>
      </w:r>
      <w:r w:rsidRPr="00FB0BBA">
        <w:rPr>
          <w:sz w:val="22"/>
          <w:szCs w:val="22"/>
        </w:rPr>
        <w:t xml:space="preserve">This statistic captures mental health conditions including depression, schizophrenia, generalized anxiety disorder, eating disorders, personality disorders, and dementia. </w:t>
      </w:r>
    </w:p>
    <w:p w14:paraId="1F44D855" w14:textId="77777777" w:rsidR="00672700" w:rsidRPr="00FB0BBA" w:rsidRDefault="00672700">
      <w:pPr>
        <w:pStyle w:val="FootnoteText"/>
        <w:rPr>
          <w:sz w:val="22"/>
          <w:szCs w:val="22"/>
        </w:rPr>
      </w:pPr>
    </w:p>
  </w:footnote>
  <w:footnote w:id="13">
    <w:p w14:paraId="1D6A0280" w14:textId="41D3FBE3"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 xml:space="preserve">For the purposes of </w:t>
      </w:r>
      <w:r>
        <w:rPr>
          <w:sz w:val="22"/>
          <w:szCs w:val="22"/>
        </w:rPr>
        <w:t>this document</w:t>
      </w:r>
      <w:r w:rsidRPr="00FB0BBA">
        <w:rPr>
          <w:sz w:val="22"/>
          <w:szCs w:val="22"/>
        </w:rPr>
        <w:t xml:space="preserve">, "neurodivergent" refers to decedents who were autistic, had attention-deficit disorders, dyscalculia, dysgraphia, dyslexia, dyspraxia, Tourette syndrome, obsessive compulsive disorder (OCD), epilepsy, brain injury, or other conditions that impact information processing. Though depression, anxiety, bipolar disorder, post-traumatic stress disorder (PTSD), and schizophrenia are included in some definitions of neurodivergence, we captured these in our mental health statistic instead. </w:t>
      </w:r>
    </w:p>
    <w:p w14:paraId="0B06F55F" w14:textId="06EEB348" w:rsidR="00672700" w:rsidRPr="00FB0BBA" w:rsidRDefault="00672700">
      <w:pPr>
        <w:pStyle w:val="FootnoteText"/>
        <w:rPr>
          <w:sz w:val="22"/>
          <w:szCs w:val="22"/>
        </w:rPr>
      </w:pPr>
    </w:p>
  </w:footnote>
  <w:footnote w:id="14">
    <w:p w14:paraId="32777AB2" w14:textId="032DB0DC"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 xml:space="preserve">Major injuries include fractures, severe burns, and other events that may have been significant enough to be mentioned in documentation pertaining to the decedent. </w:t>
      </w:r>
    </w:p>
    <w:p w14:paraId="3A6EB307" w14:textId="2CAAD176" w:rsidR="00672700" w:rsidRPr="00FB0BBA" w:rsidRDefault="00672700">
      <w:pPr>
        <w:pStyle w:val="FootnoteText"/>
        <w:rPr>
          <w:sz w:val="22"/>
          <w:szCs w:val="22"/>
        </w:rPr>
      </w:pPr>
    </w:p>
  </w:footnote>
  <w:footnote w:id="15">
    <w:p w14:paraId="65873537" w14:textId="2F97AE73"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 xml:space="preserve">For the purposes of this </w:t>
      </w:r>
      <w:r>
        <w:rPr>
          <w:sz w:val="22"/>
          <w:szCs w:val="22"/>
        </w:rPr>
        <w:t>document</w:t>
      </w:r>
      <w:r w:rsidRPr="00FB0BBA">
        <w:rPr>
          <w:sz w:val="22"/>
          <w:szCs w:val="22"/>
        </w:rPr>
        <w:t>, persons experiencing homelessness reside in places not designed for or ordinarily used as a regular sleeping accommodation for human beings, or reside in a shelter, in temporary accommodations provided by a homeless shelter, or in a drop-in center designated to provide temporary living arrangements.</w:t>
      </w:r>
    </w:p>
    <w:p w14:paraId="1FE4EC7C" w14:textId="0F116B41" w:rsidR="00672700" w:rsidRDefault="00672700">
      <w:pPr>
        <w:pStyle w:val="FootnoteText"/>
      </w:pPr>
    </w:p>
  </w:footnote>
  <w:footnote w:id="16">
    <w:p w14:paraId="6BEF273C" w14:textId="6DDCF105"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According to the National Violent Death Reporting System Web Coding Manual v6.0, the housing instability variable is intended to "represent people who are not experiencing homelessness but who lack the resources or supports to obtain or retain permanent or stable housing.</w:t>
      </w:r>
      <w:r>
        <w:rPr>
          <w:sz w:val="22"/>
          <w:szCs w:val="22"/>
        </w:rPr>
        <w:t>”</w:t>
      </w:r>
      <w:r w:rsidRPr="00FB0BBA">
        <w:rPr>
          <w:sz w:val="22"/>
          <w:szCs w:val="22"/>
        </w:rPr>
        <w:t xml:space="preserve"> The homeless and housing instability variables are mutually exclusive.</w:t>
      </w:r>
    </w:p>
    <w:p w14:paraId="41D2B5C3" w14:textId="50C10AE1" w:rsidR="00672700" w:rsidRPr="00FB0BBA" w:rsidRDefault="00672700">
      <w:pPr>
        <w:pStyle w:val="FootnoteText"/>
        <w:rPr>
          <w:sz w:val="22"/>
          <w:szCs w:val="22"/>
        </w:rPr>
      </w:pPr>
    </w:p>
  </w:footnote>
  <w:footnote w:id="17">
    <w:p w14:paraId="3E67A007" w14:textId="7F8EEE09" w:rsidR="00672700" w:rsidRPr="00FB0BBA" w:rsidRDefault="00672700" w:rsidP="009234DE">
      <w:pPr>
        <w:pStyle w:val="FootnoteText"/>
        <w:rPr>
          <w:sz w:val="22"/>
          <w:szCs w:val="22"/>
        </w:rPr>
      </w:pPr>
      <w:r w:rsidRPr="00FB0BBA">
        <w:rPr>
          <w:rStyle w:val="FootnoteReference"/>
          <w:sz w:val="22"/>
          <w:szCs w:val="22"/>
        </w:rPr>
        <w:footnoteRef/>
      </w:r>
      <w:r w:rsidRPr="00FB0BBA">
        <w:rPr>
          <w:sz w:val="22"/>
          <w:szCs w:val="22"/>
        </w:rPr>
        <w:t>In SUDORS, drug use is coded as witnessed if someone at least 11 years of age saw the decedent using the substance(s) that caused the overdose, regardless of whether the overdose itself was witnessed.</w:t>
      </w:r>
    </w:p>
    <w:p w14:paraId="6202C0DB" w14:textId="28730D47" w:rsidR="00672700" w:rsidRDefault="006727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E41"/>
    <w:multiLevelType w:val="hybridMultilevel"/>
    <w:tmpl w:val="8D1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D359C"/>
    <w:multiLevelType w:val="hybridMultilevel"/>
    <w:tmpl w:val="DE46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803DF"/>
    <w:multiLevelType w:val="hybridMultilevel"/>
    <w:tmpl w:val="4A66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E5EAF"/>
    <w:multiLevelType w:val="hybridMultilevel"/>
    <w:tmpl w:val="392CB734"/>
    <w:lvl w:ilvl="0" w:tplc="BC06B15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A041B"/>
    <w:multiLevelType w:val="hybridMultilevel"/>
    <w:tmpl w:val="6754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F7762"/>
    <w:multiLevelType w:val="hybridMultilevel"/>
    <w:tmpl w:val="6A3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A6A0B"/>
    <w:multiLevelType w:val="hybridMultilevel"/>
    <w:tmpl w:val="AD86956C"/>
    <w:lvl w:ilvl="0" w:tplc="BC06B15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338619">
    <w:abstractNumId w:val="6"/>
  </w:num>
  <w:num w:numId="2" w16cid:durableId="755708108">
    <w:abstractNumId w:val="3"/>
  </w:num>
  <w:num w:numId="3" w16cid:durableId="1545023920">
    <w:abstractNumId w:val="5"/>
  </w:num>
  <w:num w:numId="4" w16cid:durableId="623775145">
    <w:abstractNumId w:val="2"/>
  </w:num>
  <w:num w:numId="5" w16cid:durableId="1748453582">
    <w:abstractNumId w:val="4"/>
  </w:num>
  <w:num w:numId="6" w16cid:durableId="140117913">
    <w:abstractNumId w:val="1"/>
  </w:num>
  <w:num w:numId="7" w16cid:durableId="48019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6F"/>
    <w:rsid w:val="0002293F"/>
    <w:rsid w:val="00036C21"/>
    <w:rsid w:val="00074587"/>
    <w:rsid w:val="000C4A96"/>
    <w:rsid w:val="001B47FF"/>
    <w:rsid w:val="00223A17"/>
    <w:rsid w:val="002B0048"/>
    <w:rsid w:val="002E0C37"/>
    <w:rsid w:val="002E2CD5"/>
    <w:rsid w:val="002E3EAB"/>
    <w:rsid w:val="00331A37"/>
    <w:rsid w:val="00350AA3"/>
    <w:rsid w:val="003B5622"/>
    <w:rsid w:val="003E7569"/>
    <w:rsid w:val="00432ED3"/>
    <w:rsid w:val="00446E73"/>
    <w:rsid w:val="0046231F"/>
    <w:rsid w:val="004A33A7"/>
    <w:rsid w:val="00504FC4"/>
    <w:rsid w:val="00525BAB"/>
    <w:rsid w:val="005A47B8"/>
    <w:rsid w:val="005B2771"/>
    <w:rsid w:val="005F4DBA"/>
    <w:rsid w:val="00607D20"/>
    <w:rsid w:val="00672700"/>
    <w:rsid w:val="00681B76"/>
    <w:rsid w:val="0068596C"/>
    <w:rsid w:val="006A3F66"/>
    <w:rsid w:val="006A72BF"/>
    <w:rsid w:val="0079245C"/>
    <w:rsid w:val="007B2A0A"/>
    <w:rsid w:val="007C242E"/>
    <w:rsid w:val="007C4344"/>
    <w:rsid w:val="00864C73"/>
    <w:rsid w:val="008B7D99"/>
    <w:rsid w:val="008D6FF6"/>
    <w:rsid w:val="008E3CB5"/>
    <w:rsid w:val="00907476"/>
    <w:rsid w:val="009115DB"/>
    <w:rsid w:val="009234DE"/>
    <w:rsid w:val="009D0179"/>
    <w:rsid w:val="00A00487"/>
    <w:rsid w:val="00A01E6F"/>
    <w:rsid w:val="00A15C09"/>
    <w:rsid w:val="00AC0FE9"/>
    <w:rsid w:val="00B56A08"/>
    <w:rsid w:val="00B63B24"/>
    <w:rsid w:val="00BA04A8"/>
    <w:rsid w:val="00BE7269"/>
    <w:rsid w:val="00C0387A"/>
    <w:rsid w:val="00C06F74"/>
    <w:rsid w:val="00C10631"/>
    <w:rsid w:val="00C606DF"/>
    <w:rsid w:val="00CA655E"/>
    <w:rsid w:val="00CE0EEA"/>
    <w:rsid w:val="00D271FA"/>
    <w:rsid w:val="00D71A32"/>
    <w:rsid w:val="00D751AF"/>
    <w:rsid w:val="00D865D2"/>
    <w:rsid w:val="00D94A2B"/>
    <w:rsid w:val="00E36A17"/>
    <w:rsid w:val="00E469A4"/>
    <w:rsid w:val="00EE033C"/>
    <w:rsid w:val="00EE5592"/>
    <w:rsid w:val="00F91151"/>
    <w:rsid w:val="00FA1BA7"/>
    <w:rsid w:val="00FB0BBA"/>
    <w:rsid w:val="00FD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4854"/>
  <w15:chartTrackingRefBased/>
  <w15:docId w15:val="{311CF6BA-8E4B-4407-9E04-C51CC8F3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A15C09"/>
    <w:pPr>
      <w:outlineLvl w:val="0"/>
    </w:pPr>
    <w:rPr>
      <w:b/>
      <w:bCs/>
      <w:color w:val="auto"/>
      <w:sz w:val="24"/>
      <w:szCs w:val="24"/>
    </w:rPr>
  </w:style>
  <w:style w:type="paragraph" w:styleId="Heading2">
    <w:name w:val="heading 2"/>
    <w:basedOn w:val="Normal"/>
    <w:next w:val="Normal"/>
    <w:link w:val="Heading2Char"/>
    <w:uiPriority w:val="9"/>
    <w:unhideWhenUsed/>
    <w:qFormat/>
    <w:rsid w:val="00A0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1E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E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E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E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E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E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E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09"/>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A0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1E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E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E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E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E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E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E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E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E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E6F"/>
    <w:pPr>
      <w:spacing w:before="160"/>
      <w:jc w:val="center"/>
    </w:pPr>
    <w:rPr>
      <w:i/>
      <w:iCs/>
      <w:color w:val="404040" w:themeColor="text1" w:themeTint="BF"/>
    </w:rPr>
  </w:style>
  <w:style w:type="character" w:customStyle="1" w:styleId="QuoteChar">
    <w:name w:val="Quote Char"/>
    <w:basedOn w:val="DefaultParagraphFont"/>
    <w:link w:val="Quote"/>
    <w:uiPriority w:val="29"/>
    <w:rsid w:val="00A01E6F"/>
    <w:rPr>
      <w:i/>
      <w:iCs/>
      <w:color w:val="404040" w:themeColor="text1" w:themeTint="BF"/>
    </w:rPr>
  </w:style>
  <w:style w:type="paragraph" w:styleId="ListParagraph">
    <w:name w:val="List Paragraph"/>
    <w:basedOn w:val="Normal"/>
    <w:uiPriority w:val="34"/>
    <w:qFormat/>
    <w:rsid w:val="00A01E6F"/>
    <w:pPr>
      <w:ind w:left="720"/>
      <w:contextualSpacing/>
    </w:pPr>
  </w:style>
  <w:style w:type="character" w:styleId="IntenseEmphasis">
    <w:name w:val="Intense Emphasis"/>
    <w:basedOn w:val="DefaultParagraphFont"/>
    <w:uiPriority w:val="21"/>
    <w:qFormat/>
    <w:rsid w:val="00A01E6F"/>
    <w:rPr>
      <w:i/>
      <w:iCs/>
      <w:color w:val="0F4761" w:themeColor="accent1" w:themeShade="BF"/>
    </w:rPr>
  </w:style>
  <w:style w:type="paragraph" w:styleId="IntenseQuote">
    <w:name w:val="Intense Quote"/>
    <w:basedOn w:val="Normal"/>
    <w:next w:val="Normal"/>
    <w:link w:val="IntenseQuoteChar"/>
    <w:uiPriority w:val="30"/>
    <w:qFormat/>
    <w:rsid w:val="00A0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E6F"/>
    <w:rPr>
      <w:i/>
      <w:iCs/>
      <w:color w:val="0F4761" w:themeColor="accent1" w:themeShade="BF"/>
    </w:rPr>
  </w:style>
  <w:style w:type="character" w:styleId="IntenseReference">
    <w:name w:val="Intense Reference"/>
    <w:basedOn w:val="DefaultParagraphFont"/>
    <w:uiPriority w:val="32"/>
    <w:qFormat/>
    <w:rsid w:val="00A01E6F"/>
    <w:rPr>
      <w:b/>
      <w:bCs/>
      <w:smallCaps/>
      <w:color w:val="0F4761" w:themeColor="accent1" w:themeShade="BF"/>
      <w:spacing w:val="5"/>
    </w:rPr>
  </w:style>
  <w:style w:type="paragraph" w:styleId="FootnoteText">
    <w:name w:val="footnote text"/>
    <w:basedOn w:val="Normal"/>
    <w:link w:val="FootnoteTextChar"/>
    <w:uiPriority w:val="99"/>
    <w:unhideWhenUsed/>
    <w:rsid w:val="00A01E6F"/>
    <w:pPr>
      <w:spacing w:after="0" w:line="240" w:lineRule="auto"/>
    </w:pPr>
  </w:style>
  <w:style w:type="character" w:customStyle="1" w:styleId="FootnoteTextChar">
    <w:name w:val="Footnote Text Char"/>
    <w:basedOn w:val="DefaultParagraphFont"/>
    <w:link w:val="FootnoteText"/>
    <w:uiPriority w:val="99"/>
    <w:rsid w:val="00A01E6F"/>
  </w:style>
  <w:style w:type="character" w:styleId="FootnoteReference">
    <w:name w:val="footnote reference"/>
    <w:basedOn w:val="DefaultParagraphFont"/>
    <w:uiPriority w:val="99"/>
    <w:semiHidden/>
    <w:unhideWhenUsed/>
    <w:rsid w:val="00A01E6F"/>
    <w:rPr>
      <w:vertAlign w:val="superscript"/>
    </w:rPr>
  </w:style>
  <w:style w:type="table" w:styleId="TableGrid">
    <w:name w:val="Table Grid"/>
    <w:basedOn w:val="TableNormal"/>
    <w:uiPriority w:val="39"/>
    <w:rsid w:val="00462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46231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2293F"/>
    <w:rPr>
      <w:color w:val="467886" w:themeColor="hyperlink"/>
      <w:u w:val="single"/>
    </w:rPr>
  </w:style>
  <w:style w:type="character" w:styleId="UnresolvedMention">
    <w:name w:val="Unresolved Mention"/>
    <w:basedOn w:val="DefaultParagraphFont"/>
    <w:uiPriority w:val="99"/>
    <w:semiHidden/>
    <w:unhideWhenUsed/>
    <w:rsid w:val="0002293F"/>
    <w:rPr>
      <w:color w:val="605E5C"/>
      <w:shd w:val="clear" w:color="auto" w:fill="E1DFDD"/>
    </w:rPr>
  </w:style>
  <w:style w:type="character" w:styleId="CommentReference">
    <w:name w:val="annotation reference"/>
    <w:basedOn w:val="DefaultParagraphFont"/>
    <w:uiPriority w:val="99"/>
    <w:semiHidden/>
    <w:unhideWhenUsed/>
    <w:rsid w:val="00525BAB"/>
    <w:rPr>
      <w:sz w:val="16"/>
      <w:szCs w:val="16"/>
    </w:rPr>
  </w:style>
  <w:style w:type="paragraph" w:styleId="CommentText">
    <w:name w:val="annotation text"/>
    <w:basedOn w:val="Normal"/>
    <w:link w:val="CommentTextChar"/>
    <w:uiPriority w:val="99"/>
    <w:unhideWhenUsed/>
    <w:rsid w:val="00525BAB"/>
    <w:pPr>
      <w:spacing w:line="240" w:lineRule="auto"/>
    </w:pPr>
  </w:style>
  <w:style w:type="character" w:customStyle="1" w:styleId="CommentTextChar">
    <w:name w:val="Comment Text Char"/>
    <w:basedOn w:val="DefaultParagraphFont"/>
    <w:link w:val="CommentText"/>
    <w:uiPriority w:val="99"/>
    <w:rsid w:val="00525BAB"/>
  </w:style>
  <w:style w:type="paragraph" w:styleId="CommentSubject">
    <w:name w:val="annotation subject"/>
    <w:basedOn w:val="CommentText"/>
    <w:next w:val="CommentText"/>
    <w:link w:val="CommentSubjectChar"/>
    <w:uiPriority w:val="99"/>
    <w:semiHidden/>
    <w:unhideWhenUsed/>
    <w:rsid w:val="00525BAB"/>
    <w:rPr>
      <w:b/>
      <w:bCs/>
    </w:rPr>
  </w:style>
  <w:style w:type="character" w:customStyle="1" w:styleId="CommentSubjectChar">
    <w:name w:val="Comment Subject Char"/>
    <w:basedOn w:val="CommentTextChar"/>
    <w:link w:val="CommentSubject"/>
    <w:uiPriority w:val="99"/>
    <w:semiHidden/>
    <w:rsid w:val="00525BAB"/>
    <w:rPr>
      <w:b/>
      <w:bCs/>
    </w:rPr>
  </w:style>
  <w:style w:type="paragraph" w:styleId="EndnoteText">
    <w:name w:val="endnote text"/>
    <w:basedOn w:val="Normal"/>
    <w:link w:val="EndnoteTextChar"/>
    <w:uiPriority w:val="99"/>
    <w:semiHidden/>
    <w:unhideWhenUsed/>
    <w:rsid w:val="00CE0EEA"/>
    <w:pPr>
      <w:spacing w:after="0" w:line="240" w:lineRule="auto"/>
    </w:pPr>
  </w:style>
  <w:style w:type="character" w:customStyle="1" w:styleId="EndnoteTextChar">
    <w:name w:val="Endnote Text Char"/>
    <w:basedOn w:val="DefaultParagraphFont"/>
    <w:link w:val="EndnoteText"/>
    <w:uiPriority w:val="99"/>
    <w:semiHidden/>
    <w:rsid w:val="00CE0EEA"/>
  </w:style>
  <w:style w:type="character" w:styleId="EndnoteReference">
    <w:name w:val="endnote reference"/>
    <w:basedOn w:val="DefaultParagraphFont"/>
    <w:uiPriority w:val="99"/>
    <w:semiHidden/>
    <w:unhideWhenUsed/>
    <w:rsid w:val="00CE0EEA"/>
    <w:rPr>
      <w:vertAlign w:val="superscript"/>
    </w:rPr>
  </w:style>
  <w:style w:type="paragraph" w:styleId="NoSpacing">
    <w:name w:val="No Spacing"/>
    <w:uiPriority w:val="1"/>
    <w:qFormat/>
    <w:rsid w:val="008E3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linem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fo.streetcheck.org/" TargetMode="External"/><Relationship Id="rId4" Type="http://schemas.openxmlformats.org/officeDocument/2006/relationships/settings" Target="settings.xml"/><Relationship Id="rId9" Type="http://schemas.openxmlformats.org/officeDocument/2006/relationships/hyperlink" Target="https://safe-spo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60A9-EBA2-4A65-AB36-4BFD15E2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Caine, Raesin (DPH)</dc:creator>
  <cp:keywords/>
  <dc:description/>
  <cp:lastModifiedBy>Caine, Raesin (DPH)</cp:lastModifiedBy>
  <cp:revision>2</cp:revision>
  <dcterms:created xsi:type="dcterms:W3CDTF">2025-11-21T13:33:00Z</dcterms:created>
  <dcterms:modified xsi:type="dcterms:W3CDTF">2025-11-21T13:33:00Z</dcterms:modified>
</cp:coreProperties>
</file>