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ADC2" w14:textId="77777777" w:rsidR="00274E8A" w:rsidRDefault="007A4418">
      <w:pPr>
        <w:spacing w:before="80"/>
        <w:ind w:left="359"/>
        <w:rPr>
          <w:rFonts w:ascii="Palatino Linotype"/>
          <w:b/>
          <w:sz w:val="18"/>
        </w:rPr>
      </w:pPr>
      <w:r>
        <w:rPr>
          <w:rFonts w:ascii="Palatino Linotype"/>
          <w:b/>
          <w:noProof/>
          <w:sz w:val="18"/>
        </w:rPr>
        <w:drawing>
          <wp:anchor distT="0" distB="0" distL="0" distR="0" simplePos="0" relativeHeight="15729664" behindDoc="0" locked="0" layoutInCell="1" allowOverlap="1" wp14:anchorId="4A82E108" wp14:editId="5C0ABD0C">
            <wp:simplePos x="0" y="0"/>
            <wp:positionH relativeFrom="page">
              <wp:posOffset>4945379</wp:posOffset>
            </wp:positionH>
            <wp:positionV relativeFrom="paragraph">
              <wp:posOffset>56895</wp:posOffset>
            </wp:positionV>
            <wp:extent cx="1796795" cy="691896"/>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4" cstate="print"/>
                    <a:stretch>
                      <a:fillRect/>
                    </a:stretch>
                  </pic:blipFill>
                  <pic:spPr>
                    <a:xfrm>
                      <a:off x="0" y="0"/>
                      <a:ext cx="1796795" cy="691896"/>
                    </a:xfrm>
                    <a:prstGeom prst="rect">
                      <a:avLst/>
                    </a:prstGeom>
                  </pic:spPr>
                </pic:pic>
              </a:graphicData>
            </a:graphic>
          </wp:anchor>
        </w:drawing>
      </w:r>
      <w:r>
        <w:rPr>
          <w:rFonts w:ascii="Palatino Linotype"/>
          <w:b/>
          <w:sz w:val="18"/>
        </w:rPr>
        <w:t>DEPARTMENT</w:t>
      </w:r>
      <w:r>
        <w:rPr>
          <w:rFonts w:ascii="Palatino Linotype"/>
          <w:b/>
          <w:spacing w:val="-2"/>
          <w:sz w:val="18"/>
        </w:rPr>
        <w:t xml:space="preserve"> </w:t>
      </w:r>
      <w:r>
        <w:rPr>
          <w:rFonts w:ascii="Palatino Linotype"/>
          <w:b/>
          <w:sz w:val="18"/>
        </w:rPr>
        <w:t>OF</w:t>
      </w:r>
      <w:r>
        <w:rPr>
          <w:rFonts w:ascii="Palatino Linotype"/>
          <w:b/>
          <w:spacing w:val="1"/>
          <w:sz w:val="18"/>
        </w:rPr>
        <w:t xml:space="preserve"> </w:t>
      </w:r>
      <w:r>
        <w:rPr>
          <w:rFonts w:ascii="Palatino Linotype"/>
          <w:b/>
          <w:sz w:val="18"/>
        </w:rPr>
        <w:t>HEALTH</w:t>
      </w:r>
      <w:r>
        <w:rPr>
          <w:rFonts w:ascii="Palatino Linotype"/>
          <w:b/>
          <w:spacing w:val="-3"/>
          <w:sz w:val="18"/>
        </w:rPr>
        <w:t xml:space="preserve"> </w:t>
      </w:r>
      <w:r>
        <w:rPr>
          <w:rFonts w:ascii="Palatino Linotype"/>
          <w:b/>
          <w:sz w:val="18"/>
        </w:rPr>
        <w:t>&amp;</w:t>
      </w:r>
      <w:r>
        <w:rPr>
          <w:rFonts w:ascii="Palatino Linotype"/>
          <w:b/>
          <w:spacing w:val="-2"/>
          <w:sz w:val="18"/>
        </w:rPr>
        <w:t xml:space="preserve"> </w:t>
      </w:r>
      <w:r>
        <w:rPr>
          <w:rFonts w:ascii="Palatino Linotype"/>
          <w:b/>
          <w:sz w:val="18"/>
        </w:rPr>
        <w:t xml:space="preserve">HUMAN </w:t>
      </w:r>
      <w:r>
        <w:rPr>
          <w:rFonts w:ascii="Palatino Linotype"/>
          <w:b/>
          <w:spacing w:val="-2"/>
          <w:sz w:val="18"/>
        </w:rPr>
        <w:t>SERVICES</w:t>
      </w:r>
    </w:p>
    <w:p w14:paraId="7C03E6E1" w14:textId="77777777" w:rsidR="00274E8A" w:rsidRDefault="007A4418">
      <w:pPr>
        <w:spacing w:before="9" w:line="249" w:lineRule="auto"/>
        <w:ind w:left="359" w:right="5546"/>
        <w:rPr>
          <w:rFonts w:ascii="Palatino Linotype"/>
          <w:b/>
          <w:sz w:val="18"/>
        </w:rPr>
      </w:pPr>
      <w:r>
        <w:rPr>
          <w:rFonts w:ascii="Palatino Linotype"/>
          <w:b/>
          <w:sz w:val="18"/>
        </w:rPr>
        <w:t>Centers for Medicare &amp; Medicaid Services 7500</w:t>
      </w:r>
      <w:r>
        <w:rPr>
          <w:rFonts w:ascii="Palatino Linotype"/>
          <w:b/>
          <w:spacing w:val="-7"/>
          <w:sz w:val="18"/>
        </w:rPr>
        <w:t xml:space="preserve"> </w:t>
      </w:r>
      <w:r>
        <w:rPr>
          <w:rFonts w:ascii="Palatino Linotype"/>
          <w:b/>
          <w:sz w:val="18"/>
        </w:rPr>
        <w:t>Security</w:t>
      </w:r>
      <w:r>
        <w:rPr>
          <w:rFonts w:ascii="Palatino Linotype"/>
          <w:b/>
          <w:spacing w:val="-7"/>
          <w:sz w:val="18"/>
        </w:rPr>
        <w:t xml:space="preserve"> </w:t>
      </w:r>
      <w:r>
        <w:rPr>
          <w:rFonts w:ascii="Palatino Linotype"/>
          <w:b/>
          <w:sz w:val="18"/>
        </w:rPr>
        <w:t>Boulevard,</w:t>
      </w:r>
      <w:r>
        <w:rPr>
          <w:rFonts w:ascii="Palatino Linotype"/>
          <w:b/>
          <w:spacing w:val="-5"/>
          <w:sz w:val="18"/>
        </w:rPr>
        <w:t xml:space="preserve"> </w:t>
      </w:r>
      <w:r>
        <w:rPr>
          <w:rFonts w:ascii="Palatino Linotype"/>
          <w:b/>
          <w:sz w:val="18"/>
        </w:rPr>
        <w:t>Mail</w:t>
      </w:r>
      <w:r>
        <w:rPr>
          <w:rFonts w:ascii="Palatino Linotype"/>
          <w:b/>
          <w:spacing w:val="-8"/>
          <w:sz w:val="18"/>
        </w:rPr>
        <w:t xml:space="preserve"> </w:t>
      </w:r>
      <w:r>
        <w:rPr>
          <w:rFonts w:ascii="Palatino Linotype"/>
          <w:b/>
          <w:sz w:val="18"/>
        </w:rPr>
        <w:t>Stop</w:t>
      </w:r>
      <w:r>
        <w:rPr>
          <w:rFonts w:ascii="Palatino Linotype"/>
          <w:b/>
          <w:spacing w:val="-7"/>
          <w:sz w:val="18"/>
        </w:rPr>
        <w:t xml:space="preserve"> </w:t>
      </w:r>
      <w:r>
        <w:rPr>
          <w:rFonts w:ascii="Palatino Linotype"/>
          <w:b/>
          <w:sz w:val="18"/>
        </w:rPr>
        <w:t>S2-26-12 Baltimore, Maryland 21244-1850</w:t>
      </w:r>
    </w:p>
    <w:p w14:paraId="3CBD4C3C" w14:textId="77777777" w:rsidR="00274E8A" w:rsidRDefault="007A4418">
      <w:pPr>
        <w:pStyle w:val="BodyText"/>
        <w:spacing w:before="1"/>
        <w:ind w:left="0"/>
        <w:rPr>
          <w:rFonts w:ascii="Palatino Linotype"/>
          <w:b/>
          <w:sz w:val="19"/>
        </w:rPr>
      </w:pPr>
      <w:r>
        <w:rPr>
          <w:rFonts w:ascii="Palatino Linotype"/>
          <w:b/>
          <w:noProof/>
          <w:sz w:val="19"/>
        </w:rPr>
        <mc:AlternateContent>
          <mc:Choice Requires="wps">
            <w:drawing>
              <wp:anchor distT="0" distB="0" distL="0" distR="0" simplePos="0" relativeHeight="487587840" behindDoc="1" locked="0" layoutInCell="1" allowOverlap="1" wp14:anchorId="06D9DFD1" wp14:editId="6F6C1C08">
                <wp:simplePos x="0" y="0"/>
                <wp:positionH relativeFrom="page">
                  <wp:posOffset>900683</wp:posOffset>
                </wp:positionH>
                <wp:positionV relativeFrom="paragraph">
                  <wp:posOffset>178874</wp:posOffset>
                </wp:positionV>
                <wp:extent cx="59436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1371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8D3900" id="Graphic 2" o:spid="_x0000_s1026" style="position:absolute;margin-left:70.9pt;margin-top:14.1pt;width:46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" path="m,l5943600,e" filled="f" strokeweight="1.08pt">
                <v:path arrowok="t"/>
                <w10:wrap type="topAndBottom" anchorx="page"/>
              </v:shape>
            </w:pict>
          </mc:Fallback>
        </mc:AlternateContent>
      </w:r>
    </w:p>
    <w:p w14:paraId="4522756F" w14:textId="77777777" w:rsidR="00274E8A" w:rsidRDefault="007A4418">
      <w:pPr>
        <w:pStyle w:val="Heading1"/>
      </w:pPr>
      <w:r>
        <w:t>State</w:t>
      </w:r>
      <w:r>
        <w:rPr>
          <w:spacing w:val="-3"/>
        </w:rPr>
        <w:t xml:space="preserve"> </w:t>
      </w:r>
      <w:r>
        <w:t>Demonstrations</w:t>
      </w:r>
      <w:r>
        <w:rPr>
          <w:spacing w:val="4"/>
        </w:rPr>
        <w:t xml:space="preserve"> </w:t>
      </w:r>
      <w:r>
        <w:rPr>
          <w:spacing w:val="-2"/>
        </w:rPr>
        <w:t>Group</w:t>
      </w:r>
    </w:p>
    <w:p w14:paraId="560002C8" w14:textId="77777777" w:rsidR="00274E8A" w:rsidRDefault="007A4418">
      <w:pPr>
        <w:ind w:left="359"/>
        <w:rPr>
          <w:b/>
          <w:sz w:val="24"/>
        </w:rPr>
      </w:pPr>
      <w:r>
        <w:rPr>
          <w:b/>
          <w:sz w:val="24"/>
        </w:rPr>
        <w:t>Summative</w:t>
      </w:r>
      <w:r>
        <w:rPr>
          <w:b/>
          <w:spacing w:val="-4"/>
          <w:sz w:val="24"/>
        </w:rPr>
        <w:t xml:space="preserve"> </w:t>
      </w:r>
      <w:r>
        <w:rPr>
          <w:b/>
          <w:sz w:val="24"/>
        </w:rPr>
        <w:t>Evaluation Report</w:t>
      </w:r>
      <w:r>
        <w:rPr>
          <w:b/>
          <w:spacing w:val="-4"/>
          <w:sz w:val="24"/>
        </w:rPr>
        <w:t xml:space="preserve"> </w:t>
      </w:r>
      <w:r>
        <w:rPr>
          <w:b/>
          <w:sz w:val="24"/>
        </w:rPr>
        <w:t>Approval</w:t>
      </w:r>
      <w:r>
        <w:rPr>
          <w:b/>
          <w:spacing w:val="-4"/>
          <w:sz w:val="24"/>
        </w:rPr>
        <w:t xml:space="preserve"> </w:t>
      </w:r>
      <w:r>
        <w:rPr>
          <w:b/>
          <w:spacing w:val="-2"/>
          <w:sz w:val="24"/>
        </w:rPr>
        <w:t>Letter</w:t>
      </w:r>
    </w:p>
    <w:p w14:paraId="59779C3B" w14:textId="77777777" w:rsidR="00274E8A" w:rsidRDefault="00274E8A">
      <w:pPr>
        <w:pStyle w:val="BodyText"/>
        <w:spacing w:before="257"/>
        <w:ind w:left="0"/>
        <w:rPr>
          <w:b/>
        </w:rPr>
      </w:pPr>
    </w:p>
    <w:p w14:paraId="5CB15AA6" w14:textId="77777777" w:rsidR="00274E8A" w:rsidRDefault="007A4418">
      <w:pPr>
        <w:pStyle w:val="BodyText"/>
      </w:pPr>
      <w:r>
        <w:t>January</w:t>
      </w:r>
      <w:r>
        <w:rPr>
          <w:spacing w:val="-3"/>
        </w:rPr>
        <w:t xml:space="preserve"> </w:t>
      </w:r>
      <w:r>
        <w:t>29,</w:t>
      </w:r>
      <w:r>
        <w:rPr>
          <w:spacing w:val="-1"/>
        </w:rPr>
        <w:t xml:space="preserve"> </w:t>
      </w:r>
      <w:r>
        <w:rPr>
          <w:spacing w:val="-4"/>
        </w:rPr>
        <w:t>2026</w:t>
      </w:r>
    </w:p>
    <w:p w14:paraId="1AEF7CA1" w14:textId="77777777" w:rsidR="00274E8A" w:rsidRDefault="00274E8A">
      <w:pPr>
        <w:pStyle w:val="BodyText"/>
        <w:ind w:left="0"/>
      </w:pPr>
    </w:p>
    <w:p w14:paraId="708CFCA9" w14:textId="77777777" w:rsidR="00274E8A" w:rsidRDefault="00274E8A">
      <w:pPr>
        <w:pStyle w:val="BodyText"/>
        <w:ind w:left="0"/>
      </w:pPr>
    </w:p>
    <w:p w14:paraId="6BC5C6DE" w14:textId="77777777" w:rsidR="00274E8A" w:rsidRDefault="007A4418">
      <w:pPr>
        <w:pStyle w:val="BodyText"/>
        <w:spacing w:line="237" w:lineRule="auto"/>
        <w:ind w:right="7590"/>
      </w:pPr>
      <w:r>
        <w:t>Mike Levine Medicaid</w:t>
      </w:r>
      <w:r>
        <w:rPr>
          <w:spacing w:val="-15"/>
        </w:rPr>
        <w:t xml:space="preserve"> </w:t>
      </w:r>
      <w:r>
        <w:t>Director</w:t>
      </w:r>
    </w:p>
    <w:p w14:paraId="1D6B2D02" w14:textId="77777777" w:rsidR="00274E8A" w:rsidRDefault="007A4418">
      <w:pPr>
        <w:pStyle w:val="BodyText"/>
        <w:spacing w:before="6"/>
      </w:pPr>
      <w:r>
        <w:t>Commonwealth</w:t>
      </w:r>
      <w:r>
        <w:rPr>
          <w:spacing w:val="-5"/>
        </w:rPr>
        <w:t xml:space="preserve"> </w:t>
      </w:r>
      <w:r>
        <w:t>of</w:t>
      </w:r>
      <w:r>
        <w:rPr>
          <w:spacing w:val="-4"/>
        </w:rPr>
        <w:t xml:space="preserve"> </w:t>
      </w:r>
      <w:r>
        <w:rPr>
          <w:spacing w:val="-2"/>
        </w:rPr>
        <w:t>Massachusetts</w:t>
      </w:r>
    </w:p>
    <w:p w14:paraId="33AA7108" w14:textId="77777777" w:rsidR="00274E8A" w:rsidRDefault="007A4418">
      <w:pPr>
        <w:pStyle w:val="BodyText"/>
        <w:spacing w:before="2" w:line="237" w:lineRule="auto"/>
        <w:ind w:right="3214"/>
      </w:pPr>
      <w:r>
        <w:t>Department</w:t>
      </w:r>
      <w:r>
        <w:rPr>
          <w:spacing w:val="-8"/>
        </w:rPr>
        <w:t xml:space="preserve"> </w:t>
      </w:r>
      <w:r>
        <w:t>of</w:t>
      </w:r>
      <w:r>
        <w:rPr>
          <w:spacing w:val="-5"/>
        </w:rPr>
        <w:t xml:space="preserve"> </w:t>
      </w:r>
      <w:r>
        <w:t>Health</w:t>
      </w:r>
      <w:r>
        <w:rPr>
          <w:spacing w:val="-6"/>
        </w:rPr>
        <w:t xml:space="preserve"> </w:t>
      </w:r>
      <w:r>
        <w:t>and</w:t>
      </w:r>
      <w:r>
        <w:rPr>
          <w:spacing w:val="-6"/>
        </w:rPr>
        <w:t xml:space="preserve"> </w:t>
      </w:r>
      <w:r>
        <w:t>Human</w:t>
      </w:r>
      <w:r>
        <w:rPr>
          <w:spacing w:val="-6"/>
        </w:rPr>
        <w:t xml:space="preserve"> </w:t>
      </w:r>
      <w:r>
        <w:t>Services,</w:t>
      </w:r>
      <w:r>
        <w:rPr>
          <w:spacing w:val="-6"/>
        </w:rPr>
        <w:t xml:space="preserve"> </w:t>
      </w:r>
      <w:r>
        <w:t>Office</w:t>
      </w:r>
      <w:r>
        <w:rPr>
          <w:spacing w:val="-7"/>
        </w:rPr>
        <w:t xml:space="preserve"> </w:t>
      </w:r>
      <w:r>
        <w:t>of</w:t>
      </w:r>
      <w:r>
        <w:rPr>
          <w:spacing w:val="-7"/>
        </w:rPr>
        <w:t xml:space="preserve"> </w:t>
      </w:r>
      <w:r>
        <w:t>Medicaid 1 Ashburton Place, 11th Floor Room 1109</w:t>
      </w:r>
    </w:p>
    <w:p w14:paraId="2CBF0870" w14:textId="34A4B425" w:rsidR="00274E8A" w:rsidRDefault="007A4418">
      <w:pPr>
        <w:pStyle w:val="BodyText"/>
        <w:spacing w:before="1" w:line="482" w:lineRule="auto"/>
        <w:ind w:right="7067"/>
      </w:pPr>
      <w:r>
        <w:t>Boston, MA 02108 Dear</w:t>
      </w:r>
      <w:r>
        <w:rPr>
          <w:spacing w:val="-15"/>
        </w:rPr>
        <w:t xml:space="preserve"> </w:t>
      </w:r>
      <w:r>
        <w:t>Director</w:t>
      </w:r>
      <w:r>
        <w:rPr>
          <w:spacing w:val="-15"/>
        </w:rPr>
        <w:t xml:space="preserve"> </w:t>
      </w:r>
      <w:r>
        <w:t>Levine:</w:t>
      </w:r>
    </w:p>
    <w:p w14:paraId="3496957E" w14:textId="06C1E8A1" w:rsidR="00274E8A" w:rsidRDefault="007A37E7" w:rsidP="007A37E7">
      <w:pPr>
        <w:pStyle w:val="BodyText"/>
      </w:pPr>
      <w:r>
        <w:t>T</w:t>
      </w:r>
      <w:r w:rsidRPr="007A37E7">
        <w:t>he Centers for Medicare &amp; Medicaid Services (CMS)</w:t>
      </w:r>
      <w:r>
        <w:t xml:space="preserve"> completed its review of Massachusetts’s </w:t>
      </w:r>
      <w:r w:rsidR="007A4418">
        <w:t>Summative</w:t>
      </w:r>
      <w:r w:rsidR="007A4418">
        <w:rPr>
          <w:spacing w:val="-6"/>
        </w:rPr>
        <w:t xml:space="preserve"> </w:t>
      </w:r>
      <w:r w:rsidR="007A4418">
        <w:t>Evaluation</w:t>
      </w:r>
      <w:r w:rsidR="007A4418">
        <w:rPr>
          <w:spacing w:val="-2"/>
        </w:rPr>
        <w:t xml:space="preserve"> </w:t>
      </w:r>
      <w:r w:rsidR="007A4418">
        <w:t>Report</w:t>
      </w:r>
      <w:r w:rsidR="007A4418">
        <w:rPr>
          <w:spacing w:val="-4"/>
        </w:rPr>
        <w:t xml:space="preserve"> </w:t>
      </w:r>
      <w:r w:rsidR="007A4418">
        <w:t>which</w:t>
      </w:r>
      <w:r w:rsidR="007A4418">
        <w:rPr>
          <w:spacing w:val="-2"/>
        </w:rPr>
        <w:t xml:space="preserve"> </w:t>
      </w:r>
      <w:r w:rsidR="007A4418">
        <w:t>is</w:t>
      </w:r>
      <w:r w:rsidR="007A4418">
        <w:rPr>
          <w:spacing w:val="-2"/>
        </w:rPr>
        <w:t xml:space="preserve"> </w:t>
      </w:r>
      <w:r w:rsidR="007A4418">
        <w:t>required</w:t>
      </w:r>
      <w:r w:rsidR="007A4418">
        <w:rPr>
          <w:spacing w:val="-2"/>
        </w:rPr>
        <w:t xml:space="preserve"> </w:t>
      </w:r>
      <w:r w:rsidR="007A4418">
        <w:t>by</w:t>
      </w:r>
      <w:r w:rsidR="007A4418">
        <w:rPr>
          <w:spacing w:val="2"/>
        </w:rPr>
        <w:t xml:space="preserve"> </w:t>
      </w:r>
      <w:r w:rsidR="007A4418">
        <w:t>the</w:t>
      </w:r>
      <w:r w:rsidR="007A4418">
        <w:rPr>
          <w:spacing w:val="-3"/>
        </w:rPr>
        <w:t xml:space="preserve"> </w:t>
      </w:r>
      <w:r w:rsidR="007A4418">
        <w:t>Special</w:t>
      </w:r>
      <w:r w:rsidR="007A4418">
        <w:rPr>
          <w:spacing w:val="-4"/>
        </w:rPr>
        <w:t xml:space="preserve"> </w:t>
      </w:r>
      <w:r w:rsidR="007A4418">
        <w:t>Terms and</w:t>
      </w:r>
      <w:r w:rsidR="007A4418">
        <w:rPr>
          <w:spacing w:val="-2"/>
        </w:rPr>
        <w:t xml:space="preserve"> </w:t>
      </w:r>
      <w:r w:rsidR="007A4418">
        <w:t xml:space="preserve">Conditions </w:t>
      </w:r>
      <w:r w:rsidR="007A4418">
        <w:rPr>
          <w:spacing w:val="-2"/>
        </w:rPr>
        <w:t>(STCs),</w:t>
      </w:r>
      <w:r>
        <w:rPr>
          <w:spacing w:val="-2"/>
        </w:rPr>
        <w:t xml:space="preserve"> dated August 11, 2022, specifically STC #98(f) “Summative Evaluation Reports” of the Commonwealth’s section 1115(a) demonstration entitled, “MassHealth” (Project No. 11-W-00030/1), </w:t>
      </w:r>
      <w:r w:rsidR="007A4418">
        <w:t>effective from July 1, 2017 through September 30, 2022.</w:t>
      </w:r>
      <w:r w:rsidR="007A4418">
        <w:rPr>
          <w:spacing w:val="40"/>
        </w:rPr>
        <w:t xml:space="preserve"> </w:t>
      </w:r>
      <w:r w:rsidR="007A4418">
        <w:t>This report covers the demonstration approval period.</w:t>
      </w:r>
      <w:r w:rsidR="007A4418">
        <w:rPr>
          <w:spacing w:val="40"/>
        </w:rPr>
        <w:t xml:space="preserve"> </w:t>
      </w:r>
      <w:r w:rsidR="007A4418">
        <w:t>In addition, it also covers the full Delivery System Reform Incentive Payment Program (DSRIP) period, which extended through March 31, 2023.</w:t>
      </w:r>
      <w:r w:rsidR="007A4418">
        <w:rPr>
          <w:spacing w:val="40"/>
        </w:rPr>
        <w:t xml:space="preserve"> </w:t>
      </w:r>
      <w:r w:rsidR="007A4418">
        <w:t>CMS determined that the Evaluation Report, submitted on September 30, 2024, and most recently revised</w:t>
      </w:r>
      <w:r w:rsidR="007A4418">
        <w:rPr>
          <w:spacing w:val="-4"/>
        </w:rPr>
        <w:t xml:space="preserve"> </w:t>
      </w:r>
      <w:r w:rsidR="007A4418">
        <w:t>on</w:t>
      </w:r>
      <w:r w:rsidR="007A4418">
        <w:rPr>
          <w:spacing w:val="-4"/>
        </w:rPr>
        <w:t xml:space="preserve"> </w:t>
      </w:r>
      <w:r w:rsidR="007A4418">
        <w:t>October</w:t>
      </w:r>
      <w:r w:rsidR="007A4418">
        <w:rPr>
          <w:spacing w:val="-5"/>
        </w:rPr>
        <w:t xml:space="preserve"> </w:t>
      </w:r>
      <w:r w:rsidR="007A4418">
        <w:t>2,</w:t>
      </w:r>
      <w:r w:rsidR="007A4418">
        <w:rPr>
          <w:spacing w:val="-4"/>
        </w:rPr>
        <w:t xml:space="preserve"> </w:t>
      </w:r>
      <w:r w:rsidR="007A4418">
        <w:t>2025, is</w:t>
      </w:r>
      <w:r w:rsidR="007A4418">
        <w:rPr>
          <w:spacing w:val="-2"/>
        </w:rPr>
        <w:t xml:space="preserve"> </w:t>
      </w:r>
      <w:r w:rsidR="007A4418">
        <w:t>in</w:t>
      </w:r>
      <w:r w:rsidR="007A4418">
        <w:rPr>
          <w:spacing w:val="-4"/>
        </w:rPr>
        <w:t xml:space="preserve"> </w:t>
      </w:r>
      <w:r w:rsidR="007A4418">
        <w:t>alignment</w:t>
      </w:r>
      <w:r w:rsidR="007A4418">
        <w:rPr>
          <w:spacing w:val="-6"/>
        </w:rPr>
        <w:t xml:space="preserve"> </w:t>
      </w:r>
      <w:r w:rsidR="007A4418">
        <w:t>with</w:t>
      </w:r>
      <w:r w:rsidR="007A4418">
        <w:rPr>
          <w:spacing w:val="-4"/>
        </w:rPr>
        <w:t xml:space="preserve"> </w:t>
      </w:r>
      <w:r w:rsidR="007A4418">
        <w:t>the</w:t>
      </w:r>
      <w:r w:rsidR="007A4418">
        <w:rPr>
          <w:spacing w:val="-3"/>
        </w:rPr>
        <w:t xml:space="preserve"> </w:t>
      </w:r>
      <w:r w:rsidR="007A4418">
        <w:t>CMS-approved</w:t>
      </w:r>
      <w:r w:rsidR="007A4418">
        <w:rPr>
          <w:spacing w:val="-4"/>
        </w:rPr>
        <w:t xml:space="preserve"> </w:t>
      </w:r>
      <w:r w:rsidR="007A4418">
        <w:t>Evaluation</w:t>
      </w:r>
      <w:r w:rsidR="007A4418">
        <w:rPr>
          <w:spacing w:val="-4"/>
        </w:rPr>
        <w:t xml:space="preserve"> </w:t>
      </w:r>
      <w:r w:rsidR="007A4418">
        <w:t>Design</w:t>
      </w:r>
      <w:r w:rsidR="007A4418">
        <w:rPr>
          <w:spacing w:val="-4"/>
        </w:rPr>
        <w:t xml:space="preserve"> </w:t>
      </w:r>
      <w:r w:rsidR="007A4418">
        <w:t>and the requirements set forth in the STCs, and therefore, approves the Commonwea</w:t>
      </w:r>
      <w:r>
        <w:rPr>
          <w:noProof/>
          <w:spacing w:val="11"/>
        </w:rPr>
        <w:t>lth’s</w:t>
      </w:r>
      <w:r w:rsidR="007A4418">
        <w:rPr>
          <w:spacing w:val="11"/>
        </w:rPr>
        <w:t xml:space="preserve"> </w:t>
      </w:r>
      <w:r>
        <w:rPr>
          <w:spacing w:val="11"/>
        </w:rPr>
        <w:t xml:space="preserve">Summative </w:t>
      </w:r>
      <w:r w:rsidR="007A4418">
        <w:t>Evaluation Report.</w:t>
      </w:r>
    </w:p>
    <w:p w14:paraId="4BBD8F50" w14:textId="35AD44A8" w:rsidR="00274E8A" w:rsidRDefault="007A4418" w:rsidP="007A37E7">
      <w:pPr>
        <w:pStyle w:val="BodyText"/>
        <w:spacing w:before="274" w:line="244" w:lineRule="auto"/>
        <w:ind w:right="25"/>
      </w:pPr>
      <w:r>
        <w:t>The</w:t>
      </w:r>
      <w:r>
        <w:rPr>
          <w:spacing w:val="-5"/>
        </w:rPr>
        <w:t xml:space="preserve"> </w:t>
      </w:r>
      <w:r>
        <w:t>Summative</w:t>
      </w:r>
      <w:r>
        <w:rPr>
          <w:spacing w:val="-1"/>
        </w:rPr>
        <w:t xml:space="preserve"> </w:t>
      </w:r>
      <w:r>
        <w:t>Evaluation</w:t>
      </w:r>
      <w:r>
        <w:rPr>
          <w:spacing w:val="-4"/>
        </w:rPr>
        <w:t xml:space="preserve"> </w:t>
      </w:r>
      <w:r>
        <w:t>Report</w:t>
      </w:r>
      <w:r>
        <w:rPr>
          <w:spacing w:val="-4"/>
        </w:rPr>
        <w:t xml:space="preserve"> </w:t>
      </w:r>
      <w:r>
        <w:t>employed</w:t>
      </w:r>
      <w:r>
        <w:rPr>
          <w:spacing w:val="-4"/>
        </w:rPr>
        <w:t xml:space="preserve"> </w:t>
      </w:r>
      <w:r>
        <w:t>a</w:t>
      </w:r>
      <w:r>
        <w:rPr>
          <w:spacing w:val="-8"/>
        </w:rPr>
        <w:t xml:space="preserve"> </w:t>
      </w:r>
      <w:r>
        <w:t>robust</w:t>
      </w:r>
      <w:r>
        <w:rPr>
          <w:spacing w:val="-6"/>
        </w:rPr>
        <w:t xml:space="preserve"> </w:t>
      </w:r>
      <w:r>
        <w:t>mixed-methods</w:t>
      </w:r>
      <w:r>
        <w:rPr>
          <w:spacing w:val="-4"/>
        </w:rPr>
        <w:t xml:space="preserve"> </w:t>
      </w:r>
      <w:r>
        <w:t>design</w:t>
      </w:r>
      <w:r>
        <w:rPr>
          <w:spacing w:val="-4"/>
        </w:rPr>
        <w:t xml:space="preserve"> </w:t>
      </w:r>
      <w:r>
        <w:t>using multiple</w:t>
      </w:r>
      <w:r>
        <w:rPr>
          <w:spacing w:val="-5"/>
        </w:rPr>
        <w:t xml:space="preserve"> </w:t>
      </w:r>
      <w:r>
        <w:t xml:space="preserve">data sources that </w:t>
      </w:r>
      <w:r w:rsidR="007A37E7">
        <w:t xml:space="preserve">demonstrated notable improvements toward the demonstration’s goals, including </w:t>
      </w:r>
      <w:r>
        <w:t>substantial</w:t>
      </w:r>
      <w:r>
        <w:rPr>
          <w:spacing w:val="-5"/>
        </w:rPr>
        <w:t xml:space="preserve"> </w:t>
      </w:r>
      <w:r>
        <w:t>progress</w:t>
      </w:r>
      <w:r>
        <w:rPr>
          <w:spacing w:val="-3"/>
        </w:rPr>
        <w:t xml:space="preserve"> </w:t>
      </w:r>
      <w:r>
        <w:t>in</w:t>
      </w:r>
      <w:r>
        <w:rPr>
          <w:spacing w:val="-3"/>
        </w:rPr>
        <w:t xml:space="preserve"> </w:t>
      </w:r>
      <w:r>
        <w:t>delivery</w:t>
      </w:r>
      <w:r>
        <w:rPr>
          <w:spacing w:val="-3"/>
        </w:rPr>
        <w:t xml:space="preserve"> </w:t>
      </w:r>
      <w:r>
        <w:t>system</w:t>
      </w:r>
      <w:r>
        <w:rPr>
          <w:spacing w:val="-1"/>
        </w:rPr>
        <w:t xml:space="preserve"> </w:t>
      </w:r>
      <w:r>
        <w:t>reform</w:t>
      </w:r>
      <w:r>
        <w:rPr>
          <w:spacing w:val="-2"/>
        </w:rPr>
        <w:t xml:space="preserve"> </w:t>
      </w:r>
      <w:r>
        <w:t>and</w:t>
      </w:r>
      <w:r>
        <w:rPr>
          <w:spacing w:val="-3"/>
        </w:rPr>
        <w:t xml:space="preserve"> </w:t>
      </w:r>
      <w:r>
        <w:t>integration</w:t>
      </w:r>
      <w:r>
        <w:rPr>
          <w:spacing w:val="-3"/>
        </w:rPr>
        <w:t xml:space="preserve"> </w:t>
      </w:r>
      <w:r>
        <w:t>of</w:t>
      </w:r>
      <w:r>
        <w:rPr>
          <w:spacing w:val="-4"/>
        </w:rPr>
        <w:t xml:space="preserve"> </w:t>
      </w:r>
      <w:r>
        <w:t>care.</w:t>
      </w:r>
      <w:r>
        <w:rPr>
          <w:spacing w:val="40"/>
        </w:rPr>
        <w:t xml:space="preserve"> </w:t>
      </w:r>
      <w:r>
        <w:t>For</w:t>
      </w:r>
      <w:r>
        <w:rPr>
          <w:spacing w:val="-4"/>
        </w:rPr>
        <w:t xml:space="preserve"> </w:t>
      </w:r>
      <w:r>
        <w:t>example,</w:t>
      </w:r>
      <w:r>
        <w:rPr>
          <w:spacing w:val="-1"/>
        </w:rPr>
        <w:t xml:space="preserve"> </w:t>
      </w:r>
      <w:r>
        <w:t>the</w:t>
      </w:r>
      <w:r>
        <w:rPr>
          <w:spacing w:val="-4"/>
        </w:rPr>
        <w:t xml:space="preserve"> </w:t>
      </w:r>
      <w:r>
        <w:t>DSRIP investments</w:t>
      </w:r>
      <w:r>
        <w:rPr>
          <w:spacing w:val="-2"/>
        </w:rPr>
        <w:t xml:space="preserve"> </w:t>
      </w:r>
      <w:r>
        <w:t>in</w:t>
      </w:r>
      <w:r>
        <w:rPr>
          <w:spacing w:val="-4"/>
        </w:rPr>
        <w:t xml:space="preserve"> </w:t>
      </w:r>
      <w:r>
        <w:t>the</w:t>
      </w:r>
      <w:r>
        <w:rPr>
          <w:spacing w:val="-5"/>
        </w:rPr>
        <w:t xml:space="preserve"> </w:t>
      </w:r>
      <w:r>
        <w:t>ACOs</w:t>
      </w:r>
      <w:r>
        <w:rPr>
          <w:spacing w:val="-2"/>
        </w:rPr>
        <w:t xml:space="preserve"> </w:t>
      </w:r>
      <w:r>
        <w:t>were</w:t>
      </w:r>
      <w:r>
        <w:rPr>
          <w:spacing w:val="-5"/>
        </w:rPr>
        <w:t xml:space="preserve"> </w:t>
      </w:r>
      <w:r>
        <w:t>recouped</w:t>
      </w:r>
      <w:r>
        <w:rPr>
          <w:spacing w:val="-4"/>
        </w:rPr>
        <w:t xml:space="preserve"> </w:t>
      </w:r>
      <w:r>
        <w:t>with</w:t>
      </w:r>
      <w:r>
        <w:rPr>
          <w:spacing w:val="-4"/>
        </w:rPr>
        <w:t xml:space="preserve"> </w:t>
      </w:r>
      <w:r>
        <w:t>an</w:t>
      </w:r>
      <w:r>
        <w:rPr>
          <w:spacing w:val="-4"/>
        </w:rPr>
        <w:t xml:space="preserve"> </w:t>
      </w:r>
      <w:r>
        <w:t>additional 35</w:t>
      </w:r>
      <w:r>
        <w:rPr>
          <w:spacing w:val="-4"/>
        </w:rPr>
        <w:t xml:space="preserve"> </w:t>
      </w:r>
      <w:r>
        <w:t>percent</w:t>
      </w:r>
      <w:r>
        <w:rPr>
          <w:spacing w:val="-4"/>
        </w:rPr>
        <w:t xml:space="preserve"> </w:t>
      </w:r>
      <w:r>
        <w:t>in</w:t>
      </w:r>
      <w:r>
        <w:rPr>
          <w:spacing w:val="-4"/>
        </w:rPr>
        <w:t xml:space="preserve"> </w:t>
      </w:r>
      <w:r>
        <w:t>returns,</w:t>
      </w:r>
      <w:r>
        <w:rPr>
          <w:spacing w:val="-4"/>
        </w:rPr>
        <w:t xml:space="preserve"> </w:t>
      </w:r>
      <w:r>
        <w:t>resulting in</w:t>
      </w:r>
      <w:r>
        <w:rPr>
          <w:spacing w:val="-4"/>
        </w:rPr>
        <w:t xml:space="preserve"> </w:t>
      </w:r>
      <w:r>
        <w:t>an aggregate savings of $512 million over the 2018</w:t>
      </w:r>
      <w:r w:rsidR="00B05F49" w:rsidRPr="00B05F49">
        <w:rPr>
          <w:b/>
          <w:bCs/>
        </w:rPr>
        <w:t>–</w:t>
      </w:r>
      <w:r>
        <w:t>2022 evaluation period and a projected net savings of $962 million over a 10-year period (CY2018</w:t>
      </w:r>
      <w:r w:rsidR="00B05F49" w:rsidRPr="00B05F49">
        <w:rPr>
          <w:b/>
          <w:bCs/>
        </w:rPr>
        <w:t>–</w:t>
      </w:r>
      <w:r>
        <w:t>CY2028)</w:t>
      </w:r>
      <w:r>
        <w:rPr>
          <w:rFonts w:ascii="Gadugi"/>
          <w:sz w:val="18"/>
        </w:rPr>
        <w:t>.</w:t>
      </w:r>
      <w:r>
        <w:rPr>
          <w:rFonts w:ascii="Gadugi"/>
          <w:spacing w:val="80"/>
          <w:sz w:val="18"/>
        </w:rPr>
        <w:t xml:space="preserve"> </w:t>
      </w:r>
      <w:r>
        <w:t>The ACO program also produced favorable</w:t>
      </w:r>
      <w:r>
        <w:rPr>
          <w:spacing w:val="-1"/>
        </w:rPr>
        <w:t xml:space="preserve"> </w:t>
      </w:r>
      <w:r>
        <w:t>impacts on primary care</w:t>
      </w:r>
      <w:r>
        <w:rPr>
          <w:spacing w:val="-1"/>
        </w:rPr>
        <w:t xml:space="preserve"> </w:t>
      </w:r>
      <w:r>
        <w:t>visits, hospitalizations, and emergency department (ED) boarding.</w:t>
      </w:r>
      <w:r>
        <w:rPr>
          <w:spacing w:val="40"/>
        </w:rPr>
        <w:t xml:space="preserve"> </w:t>
      </w:r>
      <w:r>
        <w:t>The Flexible Services Program provided nutritional and tenancy preservation supports to over 30,000 ACO members and averted 15,064 inpatient hospitalizations.</w:t>
      </w:r>
    </w:p>
    <w:p w14:paraId="422FC21C" w14:textId="77777777" w:rsidR="00274E8A" w:rsidRDefault="007A4418">
      <w:pPr>
        <w:pStyle w:val="BodyText"/>
      </w:pPr>
      <w:r>
        <w:t>Incremental cost-effectiveness ratio analysis showed that investing in housing and nutrition for eligible people</w:t>
      </w:r>
      <w:r>
        <w:rPr>
          <w:spacing w:val="-1"/>
        </w:rPr>
        <w:t xml:space="preserve"> </w:t>
      </w:r>
      <w:r>
        <w:t>resulted in one fewer inpatient hospitalization per every $3,337 spent on housing and $5,296 spent on nutrition.</w:t>
      </w:r>
      <w:r>
        <w:rPr>
          <w:spacing w:val="40"/>
        </w:rPr>
        <w:t xml:space="preserve"> </w:t>
      </w:r>
      <w:r>
        <w:t>Among the Behavioral Health Community Partner members, primary</w:t>
      </w:r>
      <w:r>
        <w:rPr>
          <w:spacing w:val="-4"/>
        </w:rPr>
        <w:t xml:space="preserve"> </w:t>
      </w:r>
      <w:r>
        <w:t>care</w:t>
      </w:r>
      <w:r>
        <w:rPr>
          <w:spacing w:val="-5"/>
        </w:rPr>
        <w:t xml:space="preserve"> </w:t>
      </w:r>
      <w:r>
        <w:t>sensitive</w:t>
      </w:r>
      <w:r>
        <w:rPr>
          <w:spacing w:val="-5"/>
        </w:rPr>
        <w:t xml:space="preserve"> </w:t>
      </w:r>
      <w:r>
        <w:t>ED</w:t>
      </w:r>
      <w:r>
        <w:rPr>
          <w:spacing w:val="-3"/>
        </w:rPr>
        <w:t xml:space="preserve"> </w:t>
      </w:r>
      <w:r>
        <w:t>visits,</w:t>
      </w:r>
      <w:r>
        <w:rPr>
          <w:spacing w:val="-4"/>
        </w:rPr>
        <w:t xml:space="preserve"> </w:t>
      </w:r>
      <w:r>
        <w:t>all-cause</w:t>
      </w:r>
      <w:r>
        <w:rPr>
          <w:spacing w:val="-5"/>
        </w:rPr>
        <w:t xml:space="preserve"> </w:t>
      </w:r>
      <w:r>
        <w:t>ED</w:t>
      </w:r>
      <w:r>
        <w:rPr>
          <w:spacing w:val="-3"/>
        </w:rPr>
        <w:t xml:space="preserve"> </w:t>
      </w:r>
      <w:r>
        <w:t>visits, and</w:t>
      </w:r>
      <w:r>
        <w:rPr>
          <w:spacing w:val="-4"/>
        </w:rPr>
        <w:t xml:space="preserve"> </w:t>
      </w:r>
      <w:r>
        <w:t>ED</w:t>
      </w:r>
      <w:r>
        <w:rPr>
          <w:spacing w:val="-3"/>
        </w:rPr>
        <w:t xml:space="preserve"> </w:t>
      </w:r>
      <w:r>
        <w:t>visits</w:t>
      </w:r>
      <w:r>
        <w:rPr>
          <w:spacing w:val="-4"/>
        </w:rPr>
        <w:t xml:space="preserve"> </w:t>
      </w:r>
      <w:r>
        <w:t>for</w:t>
      </w:r>
      <w:r>
        <w:rPr>
          <w:spacing w:val="-5"/>
        </w:rPr>
        <w:t xml:space="preserve"> </w:t>
      </w:r>
      <w:r>
        <w:t>adults</w:t>
      </w:r>
      <w:r>
        <w:rPr>
          <w:spacing w:val="-4"/>
        </w:rPr>
        <w:t xml:space="preserve"> </w:t>
      </w:r>
      <w:r>
        <w:t>with</w:t>
      </w:r>
      <w:r>
        <w:rPr>
          <w:spacing w:val="-4"/>
        </w:rPr>
        <w:t xml:space="preserve"> </w:t>
      </w:r>
      <w:r>
        <w:t>serious</w:t>
      </w:r>
      <w:r>
        <w:rPr>
          <w:spacing w:val="-2"/>
        </w:rPr>
        <w:t xml:space="preserve"> </w:t>
      </w:r>
      <w:r>
        <w:t>mental illness (SMI)/substance use disorder (SUD) diagnoses decreased between 2018 and 2022.</w:t>
      </w:r>
      <w:r>
        <w:rPr>
          <w:spacing w:val="40"/>
        </w:rPr>
        <w:t xml:space="preserve"> </w:t>
      </w:r>
      <w:r>
        <w:t>The</w:t>
      </w:r>
    </w:p>
    <w:p w14:paraId="3D36820A" w14:textId="77777777" w:rsidR="00274E8A" w:rsidRDefault="00274E8A">
      <w:pPr>
        <w:pStyle w:val="BodyText"/>
        <w:sectPr w:rsidR="00274E8A">
          <w:type w:val="continuous"/>
          <w:pgSz w:w="12240" w:h="15840"/>
          <w:pgMar w:top="1360" w:right="1440" w:bottom="280" w:left="1080" w:header="720" w:footer="720" w:gutter="0"/>
          <w:cols w:space="720"/>
        </w:sectPr>
      </w:pPr>
    </w:p>
    <w:p w14:paraId="6F27999D" w14:textId="64A73071" w:rsidR="00274E8A" w:rsidRDefault="007A4418">
      <w:pPr>
        <w:pStyle w:val="BodyText"/>
        <w:spacing w:before="61"/>
      </w:pPr>
      <w:r>
        <w:lastRenderedPageBreak/>
        <w:t>Page</w:t>
      </w:r>
      <w:r>
        <w:rPr>
          <w:spacing w:val="-2"/>
        </w:rPr>
        <w:t xml:space="preserve"> </w:t>
      </w:r>
      <w:r>
        <w:t>2</w:t>
      </w:r>
      <w:r>
        <w:rPr>
          <w:spacing w:val="-3"/>
        </w:rPr>
        <w:t xml:space="preserve"> </w:t>
      </w:r>
      <w:r w:rsidR="00B05F49" w:rsidRPr="00B05F49">
        <w:rPr>
          <w:b/>
          <w:bCs/>
          <w:spacing w:val="-3"/>
        </w:rPr>
        <w:t>–</w:t>
      </w:r>
      <w:r w:rsidR="00B05F49">
        <w:rPr>
          <w:b/>
          <w:bCs/>
          <w:spacing w:val="-3"/>
        </w:rPr>
        <w:t xml:space="preserve"> </w:t>
      </w:r>
      <w:r>
        <w:t>Mike</w:t>
      </w:r>
      <w:r>
        <w:rPr>
          <w:spacing w:val="-4"/>
        </w:rPr>
        <w:t xml:space="preserve"> </w:t>
      </w:r>
      <w:r>
        <w:rPr>
          <w:spacing w:val="-2"/>
        </w:rPr>
        <w:t>Levine</w:t>
      </w:r>
    </w:p>
    <w:p w14:paraId="5D3D1006" w14:textId="77777777" w:rsidR="00274E8A" w:rsidRDefault="00274E8A">
      <w:pPr>
        <w:pStyle w:val="BodyText"/>
        <w:spacing w:before="168"/>
        <w:ind w:left="0"/>
      </w:pPr>
    </w:p>
    <w:p w14:paraId="0A9C96EA" w14:textId="77777777" w:rsidR="00274E8A" w:rsidRDefault="007A4418">
      <w:pPr>
        <w:pStyle w:val="BodyText"/>
        <w:ind w:right="266"/>
      </w:pPr>
      <w:r>
        <w:t>SUD services expansion showed improved access, with increases in the use of residential rehabilitation services and recovery coaches among members with any SUD or opioid use disorder (OUD) diagnosis 20 quarters after implementation in 2018.</w:t>
      </w:r>
      <w:r>
        <w:rPr>
          <w:spacing w:val="40"/>
        </w:rPr>
        <w:t xml:space="preserve"> </w:t>
      </w:r>
      <w:r>
        <w:t>Favorable changes were observed</w:t>
      </w:r>
      <w:r>
        <w:rPr>
          <w:spacing w:val="-4"/>
        </w:rPr>
        <w:t xml:space="preserve"> </w:t>
      </w:r>
      <w:r>
        <w:t>in</w:t>
      </w:r>
      <w:r>
        <w:rPr>
          <w:spacing w:val="-4"/>
        </w:rPr>
        <w:t xml:space="preserve"> </w:t>
      </w:r>
      <w:r>
        <w:t>trends</w:t>
      </w:r>
      <w:r>
        <w:rPr>
          <w:spacing w:val="-4"/>
        </w:rPr>
        <w:t xml:space="preserve"> </w:t>
      </w:r>
      <w:r>
        <w:t>of</w:t>
      </w:r>
      <w:r>
        <w:rPr>
          <w:spacing w:val="-5"/>
        </w:rPr>
        <w:t xml:space="preserve"> </w:t>
      </w:r>
      <w:r>
        <w:t>multiple</w:t>
      </w:r>
      <w:r>
        <w:rPr>
          <w:spacing w:val="-5"/>
        </w:rPr>
        <w:t xml:space="preserve"> </w:t>
      </w:r>
      <w:r>
        <w:t>measures</w:t>
      </w:r>
      <w:r>
        <w:rPr>
          <w:spacing w:val="-4"/>
        </w:rPr>
        <w:t xml:space="preserve"> </w:t>
      </w:r>
      <w:r>
        <w:t>relative</w:t>
      </w:r>
      <w:r>
        <w:rPr>
          <w:spacing w:val="-1"/>
        </w:rPr>
        <w:t xml:space="preserve"> </w:t>
      </w:r>
      <w:r>
        <w:t>to</w:t>
      </w:r>
      <w:r>
        <w:rPr>
          <w:spacing w:val="-4"/>
        </w:rPr>
        <w:t xml:space="preserve"> </w:t>
      </w:r>
      <w:r>
        <w:t>the</w:t>
      </w:r>
      <w:r>
        <w:rPr>
          <w:spacing w:val="-5"/>
        </w:rPr>
        <w:t xml:space="preserve"> </w:t>
      </w:r>
      <w:r>
        <w:t>baseline</w:t>
      </w:r>
      <w:r>
        <w:rPr>
          <w:spacing w:val="-5"/>
        </w:rPr>
        <w:t xml:space="preserve"> </w:t>
      </w:r>
      <w:r>
        <w:t>period, including</w:t>
      </w:r>
      <w:r>
        <w:rPr>
          <w:spacing w:val="-4"/>
        </w:rPr>
        <w:t xml:space="preserve"> </w:t>
      </w:r>
      <w:r>
        <w:t>high</w:t>
      </w:r>
      <w:r>
        <w:rPr>
          <w:spacing w:val="-4"/>
        </w:rPr>
        <w:t xml:space="preserve"> </w:t>
      </w:r>
      <w:r>
        <w:t>doses</w:t>
      </w:r>
      <w:r>
        <w:rPr>
          <w:spacing w:val="-2"/>
        </w:rPr>
        <w:t xml:space="preserve"> </w:t>
      </w:r>
      <w:r>
        <w:t>of opioids, overdoses, ED visits, inpatient stays, number of medications for opioid use disorder (MOUD) providers, and readmissions for SUD care.</w:t>
      </w:r>
      <w:r>
        <w:rPr>
          <w:spacing w:val="40"/>
        </w:rPr>
        <w:t xml:space="preserve"> </w:t>
      </w:r>
      <w:r>
        <w:t>Additionally, Massachusetts maintained near-universal coverage with an uninsurance rate of less than 3% during the baseline and the demonstration period.</w:t>
      </w:r>
    </w:p>
    <w:p w14:paraId="34565597" w14:textId="77777777" w:rsidR="00274E8A" w:rsidRDefault="00274E8A">
      <w:pPr>
        <w:pStyle w:val="BodyText"/>
        <w:spacing w:before="3"/>
        <w:ind w:left="0"/>
      </w:pPr>
    </w:p>
    <w:p w14:paraId="6F1E5FBD" w14:textId="77777777" w:rsidR="00274E8A" w:rsidRDefault="007A4418">
      <w:pPr>
        <w:pStyle w:val="BodyText"/>
      </w:pPr>
      <w:r>
        <w:t>The report also showed certain areas with opportunities for improvement.</w:t>
      </w:r>
      <w:r>
        <w:rPr>
          <w:spacing w:val="40"/>
        </w:rPr>
        <w:t xml:space="preserve"> </w:t>
      </w:r>
      <w:r>
        <w:t>Hospitalizations for ambulatory care sensitive conditions increased in 2020 among ACO enrollees. Some SUD measures showed no change or worsened, including readmissions within 30 and 90 days after inpatient hospitalization for withdrawal management.</w:t>
      </w:r>
      <w:r>
        <w:rPr>
          <w:spacing w:val="40"/>
        </w:rPr>
        <w:t xml:space="preserve"> </w:t>
      </w:r>
      <w:r>
        <w:t>However, the COVID-19 Public Health Emergency might have confounded some of the results.</w:t>
      </w:r>
      <w:r>
        <w:rPr>
          <w:spacing w:val="40"/>
        </w:rPr>
        <w:t xml:space="preserve"> </w:t>
      </w:r>
      <w:r>
        <w:t>We look forward to further evidence from</w:t>
      </w:r>
      <w:r>
        <w:rPr>
          <w:spacing w:val="-7"/>
        </w:rPr>
        <w:t xml:space="preserve"> </w:t>
      </w:r>
      <w:r>
        <w:t>the</w:t>
      </w:r>
      <w:r>
        <w:rPr>
          <w:spacing w:val="-9"/>
        </w:rPr>
        <w:t xml:space="preserve"> </w:t>
      </w:r>
      <w:r>
        <w:t>Commonwealth's</w:t>
      </w:r>
      <w:r>
        <w:rPr>
          <w:spacing w:val="-3"/>
        </w:rPr>
        <w:t xml:space="preserve"> </w:t>
      </w:r>
      <w:r>
        <w:t>evaluation</w:t>
      </w:r>
      <w:r>
        <w:rPr>
          <w:spacing w:val="-5"/>
        </w:rPr>
        <w:t xml:space="preserve"> </w:t>
      </w:r>
      <w:r>
        <w:t>efforts</w:t>
      </w:r>
      <w:r>
        <w:rPr>
          <w:spacing w:val="-3"/>
        </w:rPr>
        <w:t xml:space="preserve"> </w:t>
      </w:r>
      <w:r>
        <w:t>during</w:t>
      </w:r>
      <w:r>
        <w:rPr>
          <w:spacing w:val="-2"/>
        </w:rPr>
        <w:t xml:space="preserve"> </w:t>
      </w:r>
      <w:r>
        <w:t>the</w:t>
      </w:r>
      <w:r>
        <w:rPr>
          <w:spacing w:val="-6"/>
        </w:rPr>
        <w:t xml:space="preserve"> </w:t>
      </w:r>
      <w:r>
        <w:t>ongoing</w:t>
      </w:r>
      <w:r>
        <w:rPr>
          <w:spacing w:val="-5"/>
        </w:rPr>
        <w:t xml:space="preserve"> </w:t>
      </w:r>
      <w:r>
        <w:t>demonstration</w:t>
      </w:r>
      <w:r>
        <w:rPr>
          <w:spacing w:val="-2"/>
        </w:rPr>
        <w:t xml:space="preserve"> </w:t>
      </w:r>
      <w:r>
        <w:t>approval</w:t>
      </w:r>
      <w:r>
        <w:rPr>
          <w:spacing w:val="-7"/>
        </w:rPr>
        <w:t xml:space="preserve"> </w:t>
      </w:r>
      <w:r>
        <w:t>period.</w:t>
      </w:r>
    </w:p>
    <w:p w14:paraId="64F65EA9" w14:textId="2426C32B" w:rsidR="00B05F49" w:rsidRDefault="00B05F49">
      <w:pPr>
        <w:pStyle w:val="BodyText"/>
      </w:pPr>
    </w:p>
    <w:p w14:paraId="464DB83A" w14:textId="4CADF398" w:rsidR="00B05F49" w:rsidRDefault="00B05F49">
      <w:pPr>
        <w:pStyle w:val="BodyText"/>
      </w:pPr>
      <w:r>
        <w:t>In accordance with the STC #101 “Public Access”, the approved Evaluation Report may now be posted to the state’s Medicaid website within 30 days.  CMS will also post the Summative Evaluation Report on Medicaidgov.</w:t>
      </w:r>
    </w:p>
    <w:p w14:paraId="5737011A" w14:textId="77777777" w:rsidR="00274E8A" w:rsidRDefault="00274E8A">
      <w:pPr>
        <w:pStyle w:val="BodyText"/>
        <w:spacing w:before="6"/>
        <w:ind w:left="0"/>
      </w:pPr>
    </w:p>
    <w:p w14:paraId="743216D0" w14:textId="3B27F96A" w:rsidR="00274E8A" w:rsidRDefault="007A4418">
      <w:pPr>
        <w:pStyle w:val="BodyText"/>
        <w:spacing w:before="1" w:line="235" w:lineRule="auto"/>
        <w:ind w:right="25"/>
      </w:pPr>
      <w:r>
        <w:rPr>
          <w:spacing w:val="-4"/>
        </w:rPr>
        <w:t>We</w:t>
      </w:r>
      <w:r>
        <w:rPr>
          <w:spacing w:val="-13"/>
        </w:rPr>
        <w:t xml:space="preserve"> </w:t>
      </w:r>
      <w:r>
        <w:rPr>
          <w:spacing w:val="-4"/>
        </w:rPr>
        <w:t>look</w:t>
      </w:r>
      <w:r>
        <w:rPr>
          <w:spacing w:val="-11"/>
        </w:rPr>
        <w:t xml:space="preserve"> </w:t>
      </w:r>
      <w:r>
        <w:rPr>
          <w:spacing w:val="-4"/>
        </w:rPr>
        <w:t>forward</w:t>
      </w:r>
      <w:r>
        <w:rPr>
          <w:spacing w:val="-11"/>
        </w:rPr>
        <w:t xml:space="preserve"> </w:t>
      </w:r>
      <w:r>
        <w:rPr>
          <w:spacing w:val="-4"/>
        </w:rPr>
        <w:t>to</w:t>
      </w:r>
      <w:r>
        <w:rPr>
          <w:spacing w:val="-11"/>
        </w:rPr>
        <w:t xml:space="preserve"> </w:t>
      </w:r>
      <w:r>
        <w:rPr>
          <w:spacing w:val="-4"/>
        </w:rPr>
        <w:t>continuing</w:t>
      </w:r>
      <w:r>
        <w:rPr>
          <w:spacing w:val="-11"/>
        </w:rPr>
        <w:t xml:space="preserve"> </w:t>
      </w:r>
      <w:r>
        <w:rPr>
          <w:spacing w:val="-4"/>
        </w:rPr>
        <w:t>our</w:t>
      </w:r>
      <w:r>
        <w:rPr>
          <w:spacing w:val="-11"/>
        </w:rPr>
        <w:t xml:space="preserve"> </w:t>
      </w:r>
      <w:r>
        <w:rPr>
          <w:spacing w:val="-4"/>
        </w:rPr>
        <w:t>partnership</w:t>
      </w:r>
      <w:r>
        <w:rPr>
          <w:spacing w:val="-11"/>
        </w:rPr>
        <w:t xml:space="preserve"> </w:t>
      </w:r>
      <w:r>
        <w:rPr>
          <w:spacing w:val="-4"/>
        </w:rPr>
        <w:t>on</w:t>
      </w:r>
      <w:r>
        <w:rPr>
          <w:spacing w:val="-11"/>
        </w:rPr>
        <w:t xml:space="preserve"> </w:t>
      </w:r>
      <w:r>
        <w:rPr>
          <w:spacing w:val="-4"/>
        </w:rPr>
        <w:t>the</w:t>
      </w:r>
      <w:r w:rsidR="00B05F49">
        <w:rPr>
          <w:spacing w:val="-4"/>
        </w:rPr>
        <w:t xml:space="preserve"> Commonwealth’s </w:t>
      </w:r>
      <w:r>
        <w:rPr>
          <w:spacing w:val="-4"/>
        </w:rPr>
        <w:t>section</w:t>
      </w:r>
      <w:r>
        <w:rPr>
          <w:spacing w:val="-11"/>
        </w:rPr>
        <w:t xml:space="preserve"> </w:t>
      </w:r>
      <w:r>
        <w:rPr>
          <w:spacing w:val="-4"/>
        </w:rPr>
        <w:t>1115</w:t>
      </w:r>
      <w:r>
        <w:rPr>
          <w:spacing w:val="-11"/>
        </w:rPr>
        <w:t xml:space="preserve"> </w:t>
      </w:r>
      <w:r>
        <w:rPr>
          <w:spacing w:val="-4"/>
        </w:rPr>
        <w:t xml:space="preserve">demonstration. </w:t>
      </w:r>
      <w:r>
        <w:t>If you have any questions, please contact your CMS demonstration team.</w:t>
      </w:r>
    </w:p>
    <w:p w14:paraId="40A217A2" w14:textId="77777777" w:rsidR="00274E8A" w:rsidRDefault="00274E8A">
      <w:pPr>
        <w:pStyle w:val="BodyText"/>
        <w:ind w:left="0"/>
      </w:pPr>
    </w:p>
    <w:p w14:paraId="25717540" w14:textId="77777777" w:rsidR="00274E8A" w:rsidRDefault="00274E8A">
      <w:pPr>
        <w:pStyle w:val="BodyText"/>
        <w:spacing w:before="4"/>
        <w:ind w:left="0"/>
      </w:pPr>
    </w:p>
    <w:p w14:paraId="0CABD219" w14:textId="77777777" w:rsidR="00274E8A" w:rsidRDefault="007A4418">
      <w:pPr>
        <w:pStyle w:val="BodyText"/>
        <w:ind w:left="4017"/>
      </w:pPr>
      <w:r>
        <w:rPr>
          <w:spacing w:val="-2"/>
        </w:rPr>
        <w:t>Sincerely,</w:t>
      </w:r>
    </w:p>
    <w:p w14:paraId="36A7C540" w14:textId="77777777" w:rsidR="00274E8A" w:rsidRDefault="007A4418">
      <w:pPr>
        <w:pStyle w:val="BodyText"/>
        <w:spacing w:before="3"/>
        <w:ind w:left="0"/>
        <w:rPr>
          <w:sz w:val="10"/>
        </w:rPr>
      </w:pPr>
      <w:r>
        <w:rPr>
          <w:noProof/>
          <w:sz w:val="10"/>
        </w:rPr>
        <w:drawing>
          <wp:anchor distT="0" distB="0" distL="0" distR="0" simplePos="0" relativeHeight="487589888" behindDoc="1" locked="0" layoutInCell="1" allowOverlap="1" wp14:anchorId="16116A45" wp14:editId="0F323815">
            <wp:simplePos x="0" y="0"/>
            <wp:positionH relativeFrom="page">
              <wp:posOffset>3283994</wp:posOffset>
            </wp:positionH>
            <wp:positionV relativeFrom="paragraph">
              <wp:posOffset>90552</wp:posOffset>
            </wp:positionV>
            <wp:extent cx="1651526" cy="376237"/>
            <wp:effectExtent l="0" t="0" r="0" b="0"/>
            <wp:wrapTopAndBottom/>
            <wp:docPr id="14" name="Image 14" descr="Text&#10;&#10;digital 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Text&#10;&#10;digital signature"/>
                    <pic:cNvPicPr/>
                  </pic:nvPicPr>
                  <pic:blipFill>
                    <a:blip r:embed="rId5" cstate="print"/>
                    <a:stretch>
                      <a:fillRect/>
                    </a:stretch>
                  </pic:blipFill>
                  <pic:spPr>
                    <a:xfrm>
                      <a:off x="0" y="0"/>
                      <a:ext cx="1651526" cy="376237"/>
                    </a:xfrm>
                    <a:prstGeom prst="rect">
                      <a:avLst/>
                    </a:prstGeom>
                  </pic:spPr>
                </pic:pic>
              </a:graphicData>
            </a:graphic>
          </wp:anchor>
        </w:drawing>
      </w:r>
    </w:p>
    <w:p w14:paraId="5D46FC9E" w14:textId="77777777" w:rsidR="00274E8A" w:rsidRDefault="007A4418">
      <w:pPr>
        <w:pStyle w:val="BodyText"/>
        <w:spacing w:before="90" w:line="242" w:lineRule="auto"/>
        <w:ind w:left="4041" w:right="3658"/>
      </w:pPr>
      <w:r>
        <w:rPr>
          <w:spacing w:val="-6"/>
        </w:rPr>
        <w:t>Danielle</w:t>
      </w:r>
      <w:r>
        <w:rPr>
          <w:spacing w:val="-11"/>
        </w:rPr>
        <w:t xml:space="preserve"> </w:t>
      </w:r>
      <w:r>
        <w:rPr>
          <w:spacing w:val="-6"/>
        </w:rPr>
        <w:t xml:space="preserve">Daly </w:t>
      </w:r>
      <w:r>
        <w:rPr>
          <w:spacing w:val="-2"/>
        </w:rPr>
        <w:t>Director</w:t>
      </w:r>
    </w:p>
    <w:p w14:paraId="07562779" w14:textId="77777777" w:rsidR="00274E8A" w:rsidRDefault="007A4418">
      <w:pPr>
        <w:pStyle w:val="BodyText"/>
        <w:spacing w:line="273" w:lineRule="exact"/>
        <w:ind w:left="4041"/>
      </w:pPr>
      <w:r>
        <w:rPr>
          <w:spacing w:val="-6"/>
        </w:rPr>
        <w:t>Division</w:t>
      </w:r>
      <w:r>
        <w:rPr>
          <w:spacing w:val="-4"/>
        </w:rPr>
        <w:t xml:space="preserve"> </w:t>
      </w:r>
      <w:r>
        <w:rPr>
          <w:spacing w:val="-6"/>
        </w:rPr>
        <w:t>of</w:t>
      </w:r>
      <w:r>
        <w:rPr>
          <w:spacing w:val="-3"/>
        </w:rPr>
        <w:t xml:space="preserve"> </w:t>
      </w:r>
      <w:r>
        <w:rPr>
          <w:spacing w:val="-6"/>
        </w:rPr>
        <w:t>Demonstration</w:t>
      </w:r>
      <w:r>
        <w:rPr>
          <w:spacing w:val="-1"/>
        </w:rPr>
        <w:t xml:space="preserve"> </w:t>
      </w:r>
      <w:r>
        <w:rPr>
          <w:spacing w:val="-6"/>
        </w:rPr>
        <w:t>Monitoring</w:t>
      </w:r>
      <w:r>
        <w:rPr>
          <w:spacing w:val="4"/>
        </w:rPr>
        <w:t xml:space="preserve"> </w:t>
      </w:r>
      <w:r>
        <w:rPr>
          <w:spacing w:val="-6"/>
        </w:rPr>
        <w:t>and</w:t>
      </w:r>
      <w:r>
        <w:rPr>
          <w:spacing w:val="-1"/>
        </w:rPr>
        <w:t xml:space="preserve"> </w:t>
      </w:r>
      <w:r>
        <w:rPr>
          <w:spacing w:val="-6"/>
        </w:rPr>
        <w:t>Evaluation</w:t>
      </w:r>
    </w:p>
    <w:p w14:paraId="0F34F9EB" w14:textId="77777777" w:rsidR="00274E8A" w:rsidRDefault="00274E8A">
      <w:pPr>
        <w:pStyle w:val="BodyText"/>
        <w:ind w:left="0"/>
      </w:pPr>
    </w:p>
    <w:p w14:paraId="7E645F3E" w14:textId="77777777" w:rsidR="00274E8A" w:rsidRDefault="00274E8A">
      <w:pPr>
        <w:pStyle w:val="BodyText"/>
        <w:ind w:left="0"/>
      </w:pPr>
    </w:p>
    <w:p w14:paraId="6BA6DA89" w14:textId="77777777" w:rsidR="00274E8A" w:rsidRDefault="00274E8A">
      <w:pPr>
        <w:pStyle w:val="BodyText"/>
        <w:spacing w:before="3"/>
        <w:ind w:left="0"/>
      </w:pPr>
    </w:p>
    <w:p w14:paraId="7B1AB446" w14:textId="77777777" w:rsidR="00274E8A" w:rsidRDefault="007A4418">
      <w:pPr>
        <w:pStyle w:val="BodyText"/>
        <w:tabs>
          <w:tab w:val="left" w:pos="1079"/>
        </w:tabs>
      </w:pPr>
      <w:r>
        <w:rPr>
          <w:spacing w:val="-5"/>
        </w:rPr>
        <w:t>cc:</w:t>
      </w:r>
      <w:r>
        <w:tab/>
        <w:t>Ambrosia</w:t>
      </w:r>
      <w:r>
        <w:rPr>
          <w:spacing w:val="-8"/>
        </w:rPr>
        <w:t xml:space="preserve"> </w:t>
      </w:r>
      <w:r>
        <w:t>Watts,</w:t>
      </w:r>
      <w:r>
        <w:rPr>
          <w:spacing w:val="-2"/>
        </w:rPr>
        <w:t xml:space="preserve"> </w:t>
      </w:r>
      <w:r>
        <w:t>State</w:t>
      </w:r>
      <w:r>
        <w:rPr>
          <w:spacing w:val="-2"/>
        </w:rPr>
        <w:t xml:space="preserve"> </w:t>
      </w:r>
      <w:r>
        <w:t>Monitoring</w:t>
      </w:r>
      <w:r>
        <w:rPr>
          <w:spacing w:val="-2"/>
        </w:rPr>
        <w:t xml:space="preserve"> </w:t>
      </w:r>
      <w:r>
        <w:t>Lead,</w:t>
      </w:r>
      <w:r>
        <w:rPr>
          <w:spacing w:val="-1"/>
        </w:rPr>
        <w:t xml:space="preserve"> </w:t>
      </w:r>
      <w:r>
        <w:t>CMS</w:t>
      </w:r>
      <w:r>
        <w:rPr>
          <w:spacing w:val="-2"/>
        </w:rPr>
        <w:t xml:space="preserve"> </w:t>
      </w:r>
      <w:r>
        <w:t>Medicaid</w:t>
      </w:r>
      <w:r>
        <w:rPr>
          <w:spacing w:val="-2"/>
        </w:rPr>
        <w:t xml:space="preserve"> </w:t>
      </w:r>
      <w:r>
        <w:t>and</w:t>
      </w:r>
      <w:r>
        <w:rPr>
          <w:spacing w:val="-1"/>
        </w:rPr>
        <w:t xml:space="preserve"> </w:t>
      </w:r>
      <w:r>
        <w:t>CHIP</w:t>
      </w:r>
      <w:r>
        <w:rPr>
          <w:spacing w:val="1"/>
        </w:rPr>
        <w:t xml:space="preserve"> </w:t>
      </w:r>
      <w:r>
        <w:t>Operations</w:t>
      </w:r>
      <w:r>
        <w:rPr>
          <w:spacing w:val="1"/>
        </w:rPr>
        <w:t xml:space="preserve"> </w:t>
      </w:r>
      <w:r>
        <w:rPr>
          <w:spacing w:val="-2"/>
        </w:rPr>
        <w:t>Group</w:t>
      </w:r>
    </w:p>
    <w:sectPr w:rsidR="00274E8A">
      <w:pgSz w:w="12240" w:h="15840"/>
      <w:pgMar w:top="66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dugi">
    <w:altName w:val="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E8A"/>
    <w:rsid w:val="00274E8A"/>
    <w:rsid w:val="005A400B"/>
    <w:rsid w:val="007A37E7"/>
    <w:rsid w:val="007A4418"/>
    <w:rsid w:val="00B05F49"/>
    <w:rsid w:val="00B26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085DB"/>
  <w15:docId w15:val="{83382BBE-D134-4F3A-BE65-DF5C4F1E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59"/>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59"/>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Evaluation Design Approval Letter Template.pdf</vt:lpstr>
    </vt:vector>
  </TitlesOfParts>
  <Company>Commonwealth of Massachusetts</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Design Approval Letter Template.pdf</dc:title>
  <dc:creator>Elizabeth Ochoa</dc:creator>
  <cp:lastModifiedBy>Sousa, Pam (EHS)</cp:lastModifiedBy>
  <cp:revision>2</cp:revision>
  <dcterms:created xsi:type="dcterms:W3CDTF">2026-02-19T17:11:00Z</dcterms:created>
  <dcterms:modified xsi:type="dcterms:W3CDTF">2026-02-19T17:11:00Z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Creator">
    <vt:lpwstr>Microsoft Word</vt:lpwstr>
  </property>
  <property fmtid="{D5CDD505-2E9C-101B-9397-08002B2CF9AE}" pid="4" name="LastSaved">
    <vt:filetime>2026-02-19T00:00:00Z</vt:filetime>
  </property>
  <property fmtid="{D5CDD505-2E9C-101B-9397-08002B2CF9AE}" pid="5" name="Producer">
    <vt:lpwstr>Microsoft: Print To PDF</vt:lpwstr>
  </property>
</Properties>
</file>