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3D5D" w14:textId="77777777" w:rsidR="00104138" w:rsidRPr="005D4166" w:rsidRDefault="00104138" w:rsidP="00104138">
      <w:pPr>
        <w:pStyle w:val="JuryInstructionText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Publication Date: January 11, 2022</w:t>
      </w:r>
    </w:p>
    <w:p w14:paraId="3E7F0004" w14:textId="2F14C75A" w:rsidR="00104138" w:rsidRDefault="00104138" w:rsidP="00104138">
      <w:pPr>
        <w:pStyle w:val="JuryInstructionText"/>
      </w:pPr>
      <w:r>
        <w:t>&lt;</w:t>
      </w:r>
      <w:r>
        <w:rPr>
          <w:b/>
          <w:bCs/>
          <w:i/>
          <w:iCs/>
        </w:rPr>
        <w:t>If relevant, this heading and instruction may be inserted in the “Evaluating the Evidence” section of the Civil Master Template</w:t>
      </w:r>
      <w:r>
        <w:t>&gt;</w:t>
      </w:r>
    </w:p>
    <w:p w14:paraId="111BA0B0" w14:textId="3BD6E795" w:rsidR="00104138" w:rsidRPr="002562E6" w:rsidRDefault="00104138" w:rsidP="00104138">
      <w:pPr>
        <w:pStyle w:val="JuryInst2"/>
      </w:pPr>
      <w:r w:rsidRPr="002562E6">
        <w:t>Adverse Inference Regarding Attorney-Client Privilege</w:t>
      </w:r>
      <w:r>
        <w:t>.</w:t>
      </w:r>
    </w:p>
    <w:p w14:paraId="77D1C81C" w14:textId="79BB8774" w:rsidR="00104138" w:rsidRPr="00A60C78" w:rsidRDefault="00104138" w:rsidP="00104138">
      <w:pPr>
        <w:pStyle w:val="JuryInstructionText"/>
      </w:pPr>
      <w:r w:rsidRPr="00A60C78">
        <w:t xml:space="preserve">The attorney-client privilege allows a person not to disclose confidential </w:t>
      </w:r>
      <w:r>
        <w:t>oral</w:t>
      </w:r>
      <w:r w:rsidRPr="00A60C78">
        <w:t xml:space="preserve"> and written communications with the person’s attorney. The communications must be for the purpose of seeking and obtaining legal advice.</w:t>
      </w:r>
      <w:r>
        <w:rPr>
          <w:rStyle w:val="FootnoteReference"/>
        </w:rPr>
        <w:footnoteReference w:id="1"/>
      </w:r>
      <w:r w:rsidRPr="00A60C78">
        <w:t xml:space="preserve"> Sometimes, a person asserts the attorney-client privilege for communications which would be relevant to a particular issue in a case. If that happens, you may, but are not required, to conclude that the privileged information was adverse or unfavorable to PLF/DFT. In other words, you may find that PLF/DFT chose not to reveal the communication because he/she/it thought the information would be harmful to his/her/its’ position in this case</w:t>
      </w:r>
      <w:r>
        <w:rPr>
          <w:rStyle w:val="FootnoteReference"/>
        </w:rPr>
        <w:footnoteReference w:id="2"/>
      </w:r>
      <w:r>
        <w:t>.</w:t>
      </w:r>
    </w:p>
    <w:sectPr w:rsidR="00104138" w:rsidRPr="00A60C78" w:rsidSect="00F74A90">
      <w:footerReference w:type="default" r:id="rId7"/>
      <w:pgSz w:w="12240" w:h="15840" w:code="1"/>
      <w:pgMar w:top="1440" w:right="1440" w:bottom="1440" w:left="1440" w:header="648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A386F" w14:textId="77777777" w:rsidR="00D53DEA" w:rsidRDefault="00D53DEA" w:rsidP="00F74A90">
      <w:r>
        <w:separator/>
      </w:r>
    </w:p>
  </w:endnote>
  <w:endnote w:type="continuationSeparator" w:id="0">
    <w:p w14:paraId="32E24304" w14:textId="77777777" w:rsidR="00D53DEA" w:rsidRDefault="00D53DEA" w:rsidP="00F7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2F6D" w14:textId="2BA91F15" w:rsidR="00037D40" w:rsidRDefault="00992410" w:rsidP="003511A1">
    <w:pPr>
      <w:tabs>
        <w:tab w:val="right" w:pos="9360"/>
      </w:tabs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3A6B" w14:textId="77777777" w:rsidR="00D53DEA" w:rsidRDefault="00D53DEA" w:rsidP="00F74A90">
      <w:r>
        <w:separator/>
      </w:r>
    </w:p>
  </w:footnote>
  <w:footnote w:type="continuationSeparator" w:id="0">
    <w:p w14:paraId="33AB322B" w14:textId="77777777" w:rsidR="00D53DEA" w:rsidRDefault="00D53DEA" w:rsidP="00F74A90">
      <w:r>
        <w:continuationSeparator/>
      </w:r>
    </w:p>
  </w:footnote>
  <w:footnote w:id="1">
    <w:p w14:paraId="0D57E1B6" w14:textId="7FCD156A" w:rsidR="00104138" w:rsidRDefault="001041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Candara" w:hAnsi="Candara"/>
        </w:rPr>
        <w:tab/>
      </w:r>
      <w:r w:rsidRPr="00A60C78">
        <w:rPr>
          <w:rFonts w:ascii="Candara" w:hAnsi="Candara"/>
        </w:rPr>
        <w:t xml:space="preserve">Mass. G. Evid. § 502 (2020); 20A Mass. </w:t>
      </w:r>
      <w:proofErr w:type="spellStart"/>
      <w:r w:rsidRPr="00A60C78">
        <w:rPr>
          <w:rFonts w:ascii="Candara" w:hAnsi="Candara"/>
        </w:rPr>
        <w:t>Prac</w:t>
      </w:r>
      <w:proofErr w:type="spellEnd"/>
      <w:r w:rsidRPr="00A60C78">
        <w:rPr>
          <w:rFonts w:ascii="Candara" w:hAnsi="Candara"/>
        </w:rPr>
        <w:t>. Annotated Guide to Mass. Evid. § 502(a), (b) (2020 ed.).</w:t>
      </w:r>
    </w:p>
  </w:footnote>
  <w:footnote w:id="2">
    <w:p w14:paraId="51E60563" w14:textId="6C435564" w:rsidR="00104138" w:rsidRDefault="001041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Candara" w:hAnsi="Candara"/>
        </w:rPr>
        <w:tab/>
        <w:t xml:space="preserve">See </w:t>
      </w:r>
      <w:r>
        <w:rPr>
          <w:rFonts w:ascii="Candara" w:hAnsi="Candara"/>
          <w:i/>
          <w:iCs/>
        </w:rPr>
        <w:t>Phillips</w:t>
      </w:r>
      <w:r>
        <w:rPr>
          <w:rFonts w:ascii="Candara" w:hAnsi="Candara"/>
        </w:rPr>
        <w:t xml:space="preserve"> v. </w:t>
      </w:r>
      <w:r>
        <w:rPr>
          <w:rFonts w:ascii="Candara" w:hAnsi="Candara"/>
          <w:i/>
          <w:iCs/>
        </w:rPr>
        <w:t>Chase</w:t>
      </w:r>
      <w:r>
        <w:rPr>
          <w:rFonts w:ascii="Candara" w:hAnsi="Candara"/>
        </w:rPr>
        <w:t xml:space="preserve">, 201 Mass. 444, 450 (1909); </w:t>
      </w:r>
      <w:proofErr w:type="spellStart"/>
      <w:r>
        <w:rPr>
          <w:rFonts w:ascii="Candara" w:hAnsi="Candara"/>
          <w:i/>
          <w:iCs/>
        </w:rPr>
        <w:t>McCooe</w:t>
      </w:r>
      <w:proofErr w:type="spellEnd"/>
      <w:r>
        <w:rPr>
          <w:rFonts w:ascii="Candara" w:hAnsi="Candara"/>
        </w:rPr>
        <w:t xml:space="preserve"> v. </w:t>
      </w:r>
      <w:r>
        <w:rPr>
          <w:rFonts w:ascii="Candara" w:hAnsi="Candara"/>
          <w:i/>
          <w:iCs/>
        </w:rPr>
        <w:t>Dighton</w:t>
      </w:r>
      <w:r>
        <w:rPr>
          <w:rFonts w:ascii="Candara" w:hAnsi="Candara"/>
        </w:rPr>
        <w:t xml:space="preserve"> 173 Mass. 117, 119 (1899); see also  </w:t>
      </w:r>
      <w:r w:rsidRPr="002562E6">
        <w:rPr>
          <w:rFonts w:ascii="Candara" w:hAnsi="Candara"/>
          <w:i/>
        </w:rPr>
        <w:t>Eldridge</w:t>
      </w:r>
      <w:r w:rsidRPr="00A60C78">
        <w:rPr>
          <w:rFonts w:ascii="Candara" w:hAnsi="Candara"/>
        </w:rPr>
        <w:t xml:space="preserve"> v. </w:t>
      </w:r>
      <w:r w:rsidRPr="002562E6">
        <w:rPr>
          <w:rFonts w:ascii="Candara" w:hAnsi="Candara"/>
          <w:i/>
        </w:rPr>
        <w:t>Provident Cos</w:t>
      </w:r>
      <w:r w:rsidRPr="00A60C78">
        <w:rPr>
          <w:rFonts w:ascii="Candara" w:hAnsi="Candara"/>
        </w:rPr>
        <w:t>., Inc., No. 97-1294, 2001 WL 262937 (Mass. Super. Ct. Mar. 13, 2001)</w:t>
      </w:r>
      <w:r>
        <w:rPr>
          <w:rFonts w:ascii="Candara" w:hAnsi="Candara"/>
        </w:rPr>
        <w:t xml:space="preserve"> (Toomey, J.); Mass. G. Evid. § 525(a) (2020)</w:t>
      </w:r>
      <w:r w:rsidRPr="00A60C78">
        <w:rPr>
          <w:rFonts w:ascii="Candara" w:hAnsi="Candar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6070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1DE43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1E6D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572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732F2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28CC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2B7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92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F4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F44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5632C3"/>
    <w:multiLevelType w:val="multilevel"/>
    <w:tmpl w:val="86D633D2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1" w15:restartNumberingAfterBreak="0">
    <w:nsid w:val="1B722686"/>
    <w:multiLevelType w:val="multilevel"/>
    <w:tmpl w:val="5218CAB0"/>
    <w:lvl w:ilvl="0">
      <w:start w:val="1"/>
      <w:numFmt w:val="none"/>
      <w:pStyle w:val="JuryInst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JuryInst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JuryInst3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pStyle w:val="JuryInst4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pStyle w:val="JuryInst5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pStyle w:val="JuryInst6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2" w15:restartNumberingAfterBreak="0">
    <w:nsid w:val="3E0C20F8"/>
    <w:multiLevelType w:val="hybridMultilevel"/>
    <w:tmpl w:val="FC8E5BC2"/>
    <w:lvl w:ilvl="0" w:tplc="B6209AF6">
      <w:start w:val="1"/>
      <w:numFmt w:val="bullet"/>
      <w:pStyle w:val="JuryInstructionBullets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1"/>
  </w:num>
  <w:num w:numId="1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90"/>
    <w:rsid w:val="000124CA"/>
    <w:rsid w:val="00016CA0"/>
    <w:rsid w:val="00037245"/>
    <w:rsid w:val="000B7B9E"/>
    <w:rsid w:val="000D70C6"/>
    <w:rsid w:val="000E7622"/>
    <w:rsid w:val="00104138"/>
    <w:rsid w:val="0010739E"/>
    <w:rsid w:val="00130F23"/>
    <w:rsid w:val="0017397B"/>
    <w:rsid w:val="001B7748"/>
    <w:rsid w:val="001C5FA5"/>
    <w:rsid w:val="001D701D"/>
    <w:rsid w:val="001E2162"/>
    <w:rsid w:val="00221552"/>
    <w:rsid w:val="00257345"/>
    <w:rsid w:val="00294F89"/>
    <w:rsid w:val="002A2C60"/>
    <w:rsid w:val="00303039"/>
    <w:rsid w:val="00420329"/>
    <w:rsid w:val="004848CB"/>
    <w:rsid w:val="004A3BE2"/>
    <w:rsid w:val="00516C98"/>
    <w:rsid w:val="005446C0"/>
    <w:rsid w:val="00550249"/>
    <w:rsid w:val="00594672"/>
    <w:rsid w:val="00596E5A"/>
    <w:rsid w:val="00676B44"/>
    <w:rsid w:val="007E7B77"/>
    <w:rsid w:val="00834E34"/>
    <w:rsid w:val="008733AA"/>
    <w:rsid w:val="00880AA6"/>
    <w:rsid w:val="0094500B"/>
    <w:rsid w:val="009626F1"/>
    <w:rsid w:val="00992410"/>
    <w:rsid w:val="009B481F"/>
    <w:rsid w:val="00A05B86"/>
    <w:rsid w:val="00A164C0"/>
    <w:rsid w:val="00A2789E"/>
    <w:rsid w:val="00A55E4E"/>
    <w:rsid w:val="00A56498"/>
    <w:rsid w:val="00A76145"/>
    <w:rsid w:val="00A917A4"/>
    <w:rsid w:val="00A95EAD"/>
    <w:rsid w:val="00AF6831"/>
    <w:rsid w:val="00B02468"/>
    <w:rsid w:val="00B2579A"/>
    <w:rsid w:val="00B520AB"/>
    <w:rsid w:val="00B75859"/>
    <w:rsid w:val="00BE7335"/>
    <w:rsid w:val="00BF0717"/>
    <w:rsid w:val="00BF08B5"/>
    <w:rsid w:val="00C43AEF"/>
    <w:rsid w:val="00C5670C"/>
    <w:rsid w:val="00CD7576"/>
    <w:rsid w:val="00D53DEA"/>
    <w:rsid w:val="00D71FE5"/>
    <w:rsid w:val="00D8732A"/>
    <w:rsid w:val="00D9196F"/>
    <w:rsid w:val="00DB6604"/>
    <w:rsid w:val="00DC61A7"/>
    <w:rsid w:val="00E174B0"/>
    <w:rsid w:val="00F10AE9"/>
    <w:rsid w:val="00F11C6F"/>
    <w:rsid w:val="00F74A90"/>
    <w:rsid w:val="00F83046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AF33E3"/>
  <w15:chartTrackingRefBased/>
  <w15:docId w15:val="{F0DCD95B-F6BC-7E4C-A645-37CF44BD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138"/>
    <w:rPr>
      <w:rFonts w:ascii="Times New Roman" w:eastAsiaTheme="minorHAns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F10AE9"/>
    <w:pPr>
      <w:spacing w:line="480" w:lineRule="exact"/>
      <w:ind w:firstLine="720"/>
    </w:pPr>
    <w:rPr>
      <w:rFonts w:ascii="Palatino Linotype" w:eastAsia="Times New Roman" w:hAnsi="Palatino Linotype" w:cs="Times New Roman"/>
      <w:kern w:val="20"/>
      <w:szCs w:val="24"/>
    </w:rPr>
  </w:style>
  <w:style w:type="character" w:customStyle="1" w:styleId="BodyTextChar">
    <w:name w:val="Body Text Char"/>
    <w:link w:val="BodyText"/>
    <w:uiPriority w:val="99"/>
    <w:rsid w:val="00F10AE9"/>
    <w:rPr>
      <w:rFonts w:ascii="Century" w:eastAsia="Calibri" w:hAnsi="Century" w:cs="Times New Roman"/>
    </w:rPr>
  </w:style>
  <w:style w:type="paragraph" w:customStyle="1" w:styleId="CenterBold">
    <w:name w:val="Center Bold"/>
    <w:basedOn w:val="Normal"/>
    <w:qFormat/>
    <w:rsid w:val="00F83046"/>
    <w:pPr>
      <w:spacing w:after="60"/>
      <w:jc w:val="center"/>
    </w:pPr>
    <w:rPr>
      <w:rFonts w:ascii="Palatino Linotype" w:eastAsia="Times New Roman" w:hAnsi="Palatino Linotype" w:cs="Times New Roman"/>
      <w:b/>
      <w:kern w:val="20"/>
      <w:szCs w:val="24"/>
    </w:rPr>
  </w:style>
  <w:style w:type="paragraph" w:styleId="FootnoteText">
    <w:name w:val="footnote text"/>
    <w:basedOn w:val="JuryInstructionText"/>
    <w:link w:val="FootnoteTextChar"/>
    <w:uiPriority w:val="99"/>
    <w:unhideWhenUsed/>
    <w:rsid w:val="00257345"/>
    <w:pPr>
      <w:spacing w:before="60" w:after="0" w:line="280" w:lineRule="exact"/>
      <w:ind w:left="288" w:hanging="288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7345"/>
    <w:rPr>
      <w:rFonts w:ascii="Segoe UI Historic" w:hAnsi="Segoe UI Historic" w:cs="Times New Roman"/>
      <w:kern w:val="20"/>
      <w:sz w:val="22"/>
      <w:szCs w:val="20"/>
    </w:rPr>
  </w:style>
  <w:style w:type="paragraph" w:customStyle="1" w:styleId="Notes">
    <w:name w:val="Notes"/>
    <w:basedOn w:val="Normal"/>
    <w:qFormat/>
    <w:rsid w:val="00594672"/>
    <w:pPr>
      <w:spacing w:after="120"/>
    </w:pPr>
    <w:rPr>
      <w:rFonts w:ascii="Palatino Linotype" w:eastAsia="Times New Roman" w:hAnsi="Palatino Linotype" w:cs="Times New Roman"/>
      <w:kern w:val="20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8733AA"/>
    <w:pPr>
      <w:tabs>
        <w:tab w:val="right" w:leader="dot" w:pos="9350"/>
      </w:tabs>
      <w:spacing w:after="120"/>
      <w:ind w:right="720"/>
    </w:pPr>
    <w:rPr>
      <w:rFonts w:ascii="Segoe UI Historic" w:eastAsia="Times New Roman" w:hAnsi="Segoe UI Historic" w:cs="Times New Roman"/>
      <w:kern w:val="20"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8733AA"/>
    <w:pPr>
      <w:keepNext/>
      <w:tabs>
        <w:tab w:val="left" w:pos="1440"/>
        <w:tab w:val="right" w:leader="dot" w:pos="9350"/>
      </w:tabs>
      <w:spacing w:after="120"/>
      <w:ind w:left="432" w:right="720"/>
    </w:pPr>
    <w:rPr>
      <w:rFonts w:ascii="Segoe UI Historic" w:eastAsia="Times New Roman" w:hAnsi="Segoe UI Historic" w:cs="Times New Roman"/>
      <w:kern w:val="20"/>
      <w:szCs w:val="24"/>
    </w:rPr>
  </w:style>
  <w:style w:type="paragraph" w:styleId="TOC3">
    <w:name w:val="toc 3"/>
    <w:basedOn w:val="Normal"/>
    <w:next w:val="Normal"/>
    <w:uiPriority w:val="39"/>
    <w:qFormat/>
    <w:rsid w:val="008733AA"/>
    <w:pPr>
      <w:tabs>
        <w:tab w:val="left" w:pos="1296"/>
        <w:tab w:val="right" w:leader="dot" w:pos="9346"/>
      </w:tabs>
      <w:spacing w:after="120"/>
      <w:ind w:left="864" w:right="720"/>
    </w:pPr>
    <w:rPr>
      <w:rFonts w:ascii="Segoe UI Historic" w:eastAsia="Times New Roman" w:hAnsi="Segoe UI Historic" w:cs="Times New Roman"/>
      <w:kern w:val="20"/>
      <w:szCs w:val="24"/>
    </w:rPr>
  </w:style>
  <w:style w:type="paragraph" w:styleId="TOC4">
    <w:name w:val="toc 4"/>
    <w:basedOn w:val="Normal"/>
    <w:next w:val="Normal"/>
    <w:uiPriority w:val="39"/>
    <w:rsid w:val="008733AA"/>
    <w:pPr>
      <w:tabs>
        <w:tab w:val="left" w:pos="1728"/>
        <w:tab w:val="right" w:leader="dot" w:pos="9346"/>
      </w:tabs>
      <w:spacing w:after="120"/>
      <w:ind w:left="1296" w:right="720"/>
    </w:pPr>
    <w:rPr>
      <w:rFonts w:ascii="Segoe UI Historic" w:eastAsia="Times New Roman" w:hAnsi="Segoe UI Historic" w:cs="Times New Roman"/>
      <w:kern w:val="20"/>
      <w:szCs w:val="24"/>
    </w:rPr>
  </w:style>
  <w:style w:type="paragraph" w:styleId="TOC9">
    <w:name w:val="toc 9"/>
    <w:basedOn w:val="Normal"/>
    <w:next w:val="Normal"/>
    <w:qFormat/>
    <w:rsid w:val="00F10AE9"/>
    <w:pPr>
      <w:spacing w:after="240"/>
      <w:ind w:left="1440" w:right="720" w:hanging="720"/>
    </w:pPr>
    <w:rPr>
      <w:rFonts w:ascii="Palatino Linotype" w:eastAsia="Times New Roman" w:hAnsi="Palatino Linotype" w:cs="Times New Roman"/>
      <w:kern w:val="20"/>
      <w:szCs w:val="24"/>
    </w:rPr>
  </w:style>
  <w:style w:type="paragraph" w:styleId="TOC5">
    <w:name w:val="toc 5"/>
    <w:basedOn w:val="Normal"/>
    <w:next w:val="Normal"/>
    <w:autoRedefine/>
    <w:uiPriority w:val="39"/>
    <w:rsid w:val="008733AA"/>
    <w:pPr>
      <w:tabs>
        <w:tab w:val="left" w:pos="2160"/>
        <w:tab w:val="right" w:leader="dot" w:pos="9346"/>
      </w:tabs>
      <w:spacing w:after="120"/>
      <w:ind w:left="1728" w:right="720"/>
    </w:pPr>
    <w:rPr>
      <w:rFonts w:ascii="Segoe UI Historic" w:eastAsia="Times New Roman" w:hAnsi="Segoe UI Historic" w:cs="Times New Roman"/>
      <w:kern w:val="20"/>
      <w:szCs w:val="24"/>
    </w:rPr>
  </w:style>
  <w:style w:type="paragraph" w:customStyle="1" w:styleId="Notes-Hanging">
    <w:name w:val="Notes - Hanging"/>
    <w:basedOn w:val="Notes"/>
    <w:next w:val="Notes"/>
    <w:qFormat/>
    <w:rsid w:val="00594672"/>
    <w:pPr>
      <w:ind w:left="432" w:hanging="432"/>
    </w:pPr>
  </w:style>
  <w:style w:type="character" w:styleId="FootnoteReference">
    <w:name w:val="footnote reference"/>
    <w:uiPriority w:val="99"/>
    <w:rsid w:val="00F74A90"/>
    <w:rPr>
      <w:b/>
      <w:vertAlign w:val="superscript"/>
    </w:rPr>
  </w:style>
  <w:style w:type="paragraph" w:customStyle="1" w:styleId="JuryInst2">
    <w:name w:val="JuryInst2"/>
    <w:basedOn w:val="JuryInst1"/>
    <w:next w:val="JuryInstructionText"/>
    <w:rsid w:val="00B75859"/>
    <w:pPr>
      <w:keepLines/>
      <w:numPr>
        <w:ilvl w:val="1"/>
      </w:numPr>
      <w:spacing w:before="0"/>
      <w:jc w:val="left"/>
      <w:outlineLvl w:val="1"/>
    </w:pPr>
    <w:rPr>
      <w:smallCaps w:val="0"/>
      <w:spacing w:val="12"/>
    </w:rPr>
  </w:style>
  <w:style w:type="paragraph" w:customStyle="1" w:styleId="JuryInstructionText">
    <w:name w:val="Jury Instruction Text"/>
    <w:basedOn w:val="Normal"/>
    <w:qFormat/>
    <w:rsid w:val="004848CB"/>
    <w:pPr>
      <w:spacing w:after="160" w:line="400" w:lineRule="exact"/>
    </w:pPr>
    <w:rPr>
      <w:rFonts w:ascii="Segoe UI Historic" w:eastAsia="Calibri" w:hAnsi="Segoe UI Historic" w:cs="Times New Roman"/>
      <w:kern w:val="20"/>
      <w:sz w:val="28"/>
      <w:szCs w:val="28"/>
    </w:rPr>
  </w:style>
  <w:style w:type="paragraph" w:customStyle="1" w:styleId="JuryInstructionElements">
    <w:name w:val="Jury Instruction Elements"/>
    <w:basedOn w:val="JuryInstructionText"/>
    <w:qFormat/>
    <w:rsid w:val="005446C0"/>
    <w:pPr>
      <w:spacing w:after="120" w:line="340" w:lineRule="exact"/>
      <w:ind w:left="864" w:right="432" w:hanging="360"/>
    </w:pPr>
  </w:style>
  <w:style w:type="paragraph" w:customStyle="1" w:styleId="JuryInst1">
    <w:name w:val="JuryInst1"/>
    <w:basedOn w:val="JuryInstructionText"/>
    <w:next w:val="JuryInstructionText"/>
    <w:rsid w:val="00B75859"/>
    <w:pPr>
      <w:keepNext/>
      <w:numPr>
        <w:numId w:val="2"/>
      </w:numPr>
      <w:spacing w:before="80"/>
      <w:jc w:val="center"/>
      <w:outlineLvl w:val="0"/>
    </w:pPr>
    <w:rPr>
      <w:b/>
      <w:smallCaps/>
      <w:spacing w:val="20"/>
      <w:szCs w:val="20"/>
    </w:rPr>
  </w:style>
  <w:style w:type="paragraph" w:customStyle="1" w:styleId="JuryInst3">
    <w:name w:val="JuryInst3"/>
    <w:basedOn w:val="JuryInstructionText"/>
    <w:next w:val="JuryInstructionText"/>
    <w:rsid w:val="00FD6881"/>
    <w:pPr>
      <w:keepNext/>
      <w:keepLines/>
      <w:numPr>
        <w:ilvl w:val="2"/>
        <w:numId w:val="2"/>
      </w:numPr>
      <w:snapToGrid w:val="0"/>
      <w:outlineLvl w:val="2"/>
    </w:pPr>
    <w:rPr>
      <w:b/>
    </w:rPr>
  </w:style>
  <w:style w:type="paragraph" w:customStyle="1" w:styleId="JuryInst4">
    <w:name w:val="JuryInst4"/>
    <w:basedOn w:val="JuryInst3"/>
    <w:next w:val="JuryInstructionText"/>
    <w:rsid w:val="00BF08B5"/>
    <w:pPr>
      <w:numPr>
        <w:ilvl w:val="3"/>
      </w:numPr>
      <w:outlineLvl w:val="3"/>
    </w:pPr>
  </w:style>
  <w:style w:type="paragraph" w:customStyle="1" w:styleId="JuryInst5">
    <w:name w:val="JuryInst5"/>
    <w:basedOn w:val="JuryInst4"/>
    <w:next w:val="JuryInstructionText"/>
    <w:rsid w:val="00BF08B5"/>
    <w:pPr>
      <w:numPr>
        <w:ilvl w:val="4"/>
      </w:numPr>
      <w:spacing w:after="120"/>
      <w:outlineLvl w:val="4"/>
    </w:pPr>
  </w:style>
  <w:style w:type="paragraph" w:customStyle="1" w:styleId="JuryInst6">
    <w:name w:val="JuryInst6"/>
    <w:basedOn w:val="JuryInst5"/>
    <w:next w:val="JuryInstructionText"/>
    <w:rsid w:val="00BF08B5"/>
    <w:pPr>
      <w:numPr>
        <w:ilvl w:val="5"/>
      </w:numPr>
      <w:outlineLvl w:val="5"/>
    </w:pPr>
  </w:style>
  <w:style w:type="paragraph" w:customStyle="1" w:styleId="JuryInstructionBullets">
    <w:name w:val="Jury Instruction Bullets"/>
    <w:basedOn w:val="JuryInstructionElements"/>
    <w:qFormat/>
    <w:rsid w:val="005446C0"/>
    <w:pPr>
      <w:numPr>
        <w:numId w:val="1"/>
      </w:numPr>
      <w:ind w:left="864"/>
    </w:pPr>
  </w:style>
  <w:style w:type="paragraph" w:customStyle="1" w:styleId="JuryInstructionIndent">
    <w:name w:val="Jury Instruction Indent"/>
    <w:basedOn w:val="JuryInstructionText"/>
    <w:next w:val="JuryInstructionText"/>
    <w:qFormat/>
    <w:rsid w:val="00016CA0"/>
    <w:pPr>
      <w:ind w:left="432"/>
    </w:pPr>
  </w:style>
  <w:style w:type="paragraph" w:styleId="TOC6">
    <w:name w:val="toc 6"/>
    <w:basedOn w:val="Normal"/>
    <w:next w:val="Normal"/>
    <w:autoRedefine/>
    <w:uiPriority w:val="39"/>
    <w:unhideWhenUsed/>
    <w:rsid w:val="008733AA"/>
    <w:pPr>
      <w:tabs>
        <w:tab w:val="left" w:pos="2592"/>
        <w:tab w:val="right" w:leader="dot" w:pos="9346"/>
      </w:tabs>
      <w:spacing w:after="120"/>
      <w:ind w:left="2160" w:right="720"/>
    </w:pPr>
    <w:rPr>
      <w:rFonts w:ascii="Segoe UI Historic" w:eastAsia="Times New Roman" w:hAnsi="Segoe UI Historic" w:cs="Times New Roman"/>
      <w:kern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</dc:creator>
  <cp:keywords/>
  <dc:description/>
  <cp:lastModifiedBy>kws</cp:lastModifiedBy>
  <cp:revision>2</cp:revision>
  <dcterms:created xsi:type="dcterms:W3CDTF">2022-01-11T14:17:00Z</dcterms:created>
  <dcterms:modified xsi:type="dcterms:W3CDTF">2022-01-11T14:17:00Z</dcterms:modified>
</cp:coreProperties>
</file>