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FE21" w14:textId="389EA25F" w:rsidR="006254D4" w:rsidRPr="006254D4" w:rsidRDefault="006254D4" w:rsidP="006254D4">
      <w:pPr>
        <w:pStyle w:val="JuryInstructionText"/>
        <w:jc w:val="right"/>
        <w:rPr>
          <w:i/>
          <w:iCs/>
          <w:sz w:val="24"/>
          <w:szCs w:val="24"/>
        </w:rPr>
      </w:pPr>
      <w:r>
        <w:rPr>
          <w:i/>
          <w:iCs/>
          <w:sz w:val="24"/>
          <w:szCs w:val="24"/>
        </w:rPr>
        <w:t xml:space="preserve">Publication Date: </w:t>
      </w:r>
      <w:r w:rsidR="00AB01C5">
        <w:rPr>
          <w:i/>
          <w:iCs/>
          <w:sz w:val="24"/>
          <w:szCs w:val="24"/>
        </w:rPr>
        <w:t>October 25, 2022</w:t>
      </w:r>
    </w:p>
    <w:p w14:paraId="15C33E4E" w14:textId="2A5383B4" w:rsidR="00BF08B5" w:rsidRDefault="00AB01C5" w:rsidP="00BF08B5">
      <w:pPr>
        <w:pStyle w:val="JuryInst2"/>
      </w:pPr>
      <w:r>
        <w:t>Adverse Possession.</w:t>
      </w:r>
    </w:p>
    <w:p w14:paraId="47B778D2" w14:textId="77777777" w:rsidR="00AB01C5" w:rsidRPr="004E0788" w:rsidRDefault="00AB01C5" w:rsidP="00AB01C5">
      <w:pPr>
        <w:pStyle w:val="JuryInstructionText"/>
      </w:pPr>
      <w:r w:rsidRPr="004E0788">
        <w:t xml:space="preserve">During this trial, you have heard the term “adverse possession.” </w:t>
      </w:r>
      <w:proofErr w:type="gramStart"/>
      <w:r w:rsidRPr="004E0788">
        <w:t>In order to</w:t>
      </w:r>
      <w:proofErr w:type="gramEnd"/>
      <w:r w:rsidRPr="004E0788">
        <w:t xml:space="preserve"> prove adverse possession, PLF must show that, for a period of at least twenty uninterrupted years, the following five things were more likely true than not true:</w:t>
      </w:r>
    </w:p>
    <w:p w14:paraId="64A2D97E" w14:textId="032605B2" w:rsidR="00AB01C5" w:rsidRPr="004E0788" w:rsidRDefault="00AB01C5" w:rsidP="00AB01C5">
      <w:pPr>
        <w:pStyle w:val="JuryInstructionElements"/>
      </w:pPr>
      <w:r>
        <w:t>1.</w:t>
      </w:r>
      <w:r>
        <w:tab/>
      </w:r>
      <w:r w:rsidRPr="004E0788">
        <w:t xml:space="preserve">PLF </w:t>
      </w:r>
      <w:proofErr w:type="gramStart"/>
      <w:r w:rsidRPr="004E0788">
        <w:t>actually used</w:t>
      </w:r>
      <w:proofErr w:type="gramEnd"/>
      <w:r w:rsidRPr="004E0788">
        <w:t xml:space="preserve"> the land;</w:t>
      </w:r>
    </w:p>
    <w:p w14:paraId="567EA25F" w14:textId="31F19449" w:rsidR="00AB01C5" w:rsidRPr="004E0788" w:rsidRDefault="00AB01C5" w:rsidP="00AB01C5">
      <w:pPr>
        <w:pStyle w:val="JuryInstructionElements"/>
      </w:pPr>
      <w:r>
        <w:t>2.</w:t>
      </w:r>
      <w:r>
        <w:tab/>
      </w:r>
      <w:r w:rsidRPr="004E0788">
        <w:t>PLF</w:t>
      </w:r>
      <w:r>
        <w:t xml:space="preserve"> openly and obviously used the l</w:t>
      </w:r>
      <w:r w:rsidRPr="004E0788">
        <w:t>and;</w:t>
      </w:r>
    </w:p>
    <w:p w14:paraId="5327EA0E" w14:textId="3DB5D9E7" w:rsidR="00AB01C5" w:rsidRPr="004E0788" w:rsidRDefault="00AB01C5" w:rsidP="00AB01C5">
      <w:pPr>
        <w:pStyle w:val="JuryInstructionElements"/>
      </w:pPr>
      <w:r>
        <w:t>3.</w:t>
      </w:r>
      <w:r>
        <w:tab/>
      </w:r>
      <w:r w:rsidRPr="004E0788">
        <w:t>PLF ex</w:t>
      </w:r>
      <w:r>
        <w:t xml:space="preserve">clusively used the land; </w:t>
      </w:r>
    </w:p>
    <w:p w14:paraId="3D4B093B" w14:textId="47A0BC1F" w:rsidR="00AB01C5" w:rsidRPr="004E0788" w:rsidRDefault="00AB01C5" w:rsidP="00AB01C5">
      <w:pPr>
        <w:pStyle w:val="JuryInstructionElements"/>
      </w:pPr>
      <w:r>
        <w:t>4.</w:t>
      </w:r>
      <w:r>
        <w:tab/>
      </w:r>
      <w:r w:rsidRPr="004E0788">
        <w:t xml:space="preserve">PLF used the land in a </w:t>
      </w:r>
      <w:r>
        <w:t xml:space="preserve">way that was </w:t>
      </w:r>
      <w:proofErr w:type="gramStart"/>
      <w:r>
        <w:t>adverse</w:t>
      </w:r>
      <w:proofErr w:type="gramEnd"/>
      <w:r>
        <w:t xml:space="preserve"> to DFT; and</w:t>
      </w:r>
    </w:p>
    <w:p w14:paraId="02ADF6BA" w14:textId="151AE604" w:rsidR="00AB01C5" w:rsidRPr="004E0788" w:rsidRDefault="00AB01C5" w:rsidP="00AB01C5">
      <w:pPr>
        <w:pStyle w:val="JuryInstructionElements"/>
      </w:pPr>
      <w:r>
        <w:t>5.</w:t>
      </w:r>
      <w:r>
        <w:tab/>
      </w:r>
      <w:r w:rsidRPr="004E0788">
        <w:t>DFT did not give PLF permission to use the land.</w:t>
      </w:r>
      <w:r>
        <w:rPr>
          <w:rStyle w:val="FootnoteReference"/>
          <w:rFonts w:eastAsia="Quattrocento Sans" w:cs="Segoe UI Historic"/>
          <w:color w:val="000000"/>
        </w:rPr>
        <w:footnoteReference w:id="1"/>
      </w:r>
    </w:p>
    <w:p w14:paraId="75680C5B" w14:textId="75DEED7C" w:rsidR="00AB01C5" w:rsidRPr="00AB01C5" w:rsidRDefault="00AB01C5" w:rsidP="00AB01C5">
      <w:pPr>
        <w:pStyle w:val="JuryInstructionText"/>
      </w:pPr>
      <w:r w:rsidRPr="004E0788">
        <w:t>I will now explain to you what each of these things means.</w:t>
      </w:r>
    </w:p>
    <w:p w14:paraId="33AEE9AF" w14:textId="77777777" w:rsidR="00AB01C5" w:rsidRPr="00FF7D45" w:rsidRDefault="00AB01C5" w:rsidP="00AB01C5">
      <w:pPr>
        <w:pStyle w:val="JuryInst3"/>
      </w:pPr>
      <w:r w:rsidRPr="00FF7D45">
        <w:t>Actual Use</w:t>
      </w:r>
    </w:p>
    <w:p w14:paraId="5847A455" w14:textId="2BC447B0" w:rsidR="00AB01C5" w:rsidRPr="004E0788" w:rsidRDefault="00AB01C5" w:rsidP="00AB01C5">
      <w:pPr>
        <w:pStyle w:val="JuryInstructionText"/>
      </w:pPr>
      <w:r w:rsidRPr="004E0788">
        <w:t xml:space="preserve">First, PLF must prove, more likely than not, that PLF </w:t>
      </w:r>
      <w:proofErr w:type="gramStart"/>
      <w:r w:rsidRPr="004E0788">
        <w:t>actually used</w:t>
      </w:r>
      <w:proofErr w:type="gramEnd"/>
      <w:r w:rsidRPr="004E0788">
        <w:t xml:space="preserve"> the land. A person actually uses the land if </w:t>
      </w:r>
      <w:r w:rsidRPr="00B41C01">
        <w:t>he/she</w:t>
      </w:r>
      <w:r w:rsidRPr="004E0788">
        <w:t xml:space="preserve"> uses, controls, or changes the land in the way a </w:t>
      </w:r>
      <w:proofErr w:type="gramStart"/>
      <w:r w:rsidRPr="004E0788">
        <w:t>land owner</w:t>
      </w:r>
      <w:proofErr w:type="gramEnd"/>
      <w:r w:rsidRPr="004E0788">
        <w:t xml:space="preserve"> typically treats his or her own land</w:t>
      </w:r>
      <w:r>
        <w:t xml:space="preserve">. </w:t>
      </w:r>
      <w:r w:rsidRPr="004E0788">
        <w:t>Here, you must examine how PLF occupied the land and consider the land’s features and characteristics, because a landowner would use different types of land differently</w:t>
      </w:r>
      <w:r>
        <w:t xml:space="preserve">. </w:t>
      </w:r>
      <w:r w:rsidRPr="004E0788">
        <w:t>For instance, someone would use a city lot differently from a large piece of land in the woods.</w:t>
      </w:r>
      <w:r>
        <w:rPr>
          <w:rStyle w:val="FootnoteReference"/>
          <w:rFonts w:eastAsia="Quattrocento Sans" w:cs="Segoe UI Historic"/>
          <w:color w:val="000000"/>
        </w:rPr>
        <w:footnoteReference w:id="2"/>
      </w:r>
      <w:r w:rsidRPr="004E0788">
        <w:t xml:space="preserve">  </w:t>
      </w:r>
    </w:p>
    <w:p w14:paraId="4F782ED7" w14:textId="77777777" w:rsidR="00AB01C5" w:rsidRPr="00FF7D45" w:rsidRDefault="00AB01C5" w:rsidP="00AB01C5">
      <w:pPr>
        <w:pStyle w:val="JuryInst3"/>
      </w:pPr>
      <w:r w:rsidRPr="00FF7D45">
        <w:lastRenderedPageBreak/>
        <w:t xml:space="preserve">Open and Obvious [Notorious] </w:t>
      </w:r>
      <w:sdt>
        <w:sdtPr>
          <w:tag w:val="goog_rdk_0"/>
          <w:id w:val="559683052"/>
        </w:sdtPr>
        <w:sdtContent/>
      </w:sdt>
      <w:sdt>
        <w:sdtPr>
          <w:tag w:val="goog_rdk_1"/>
          <w:id w:val="1219089532"/>
        </w:sdtPr>
        <w:sdtContent/>
      </w:sdt>
      <w:r w:rsidRPr="00FF7D45">
        <w:t>Use</w:t>
      </w:r>
    </w:p>
    <w:p w14:paraId="50A9BF67" w14:textId="4A681A9D" w:rsidR="00AB01C5" w:rsidRPr="004E0788" w:rsidRDefault="00AB01C5" w:rsidP="00AB01C5">
      <w:pPr>
        <w:pStyle w:val="JuryInstructionText"/>
      </w:pPr>
      <w:r w:rsidRPr="004E0788">
        <w:t>Second, PLF must prove, more likely than not</w:t>
      </w:r>
      <w:r>
        <w:t>,</w:t>
      </w:r>
      <w:r w:rsidRPr="004E0788">
        <w:t xml:space="preserve"> that </w:t>
      </w:r>
      <w:sdt>
        <w:sdtPr>
          <w:tag w:val="goog_rdk_2"/>
          <w:id w:val="1788387631"/>
        </w:sdtPr>
        <w:sdtContent/>
      </w:sdt>
      <w:r w:rsidRPr="004E0788">
        <w:t>PLF openly and obviously used the land</w:t>
      </w:r>
      <w:r>
        <w:t xml:space="preserve">. </w:t>
      </w:r>
      <w:r w:rsidRPr="004E0788">
        <w:t>PLF must prove that s/he/it did not attempt to hide his/her/its use of the land.</w:t>
      </w:r>
    </w:p>
    <w:p w14:paraId="1B20AF55" w14:textId="7246FDE4" w:rsidR="00AB01C5" w:rsidRPr="004E0788" w:rsidRDefault="00AB01C5" w:rsidP="00AB01C5">
      <w:pPr>
        <w:pStyle w:val="JuryInstructionText"/>
      </w:pPr>
      <w:r w:rsidRPr="004E0788">
        <w:t xml:space="preserve">PLF must also prove, that PLF’s use of the land was so obvious that that a landowner likely would </w:t>
      </w:r>
      <w:sdt>
        <w:sdtPr>
          <w:tag w:val="goog_rdk_3"/>
          <w:id w:val="1458837436"/>
        </w:sdtPr>
        <w:sdtContent/>
      </w:sdt>
      <w:r w:rsidRPr="004E0788">
        <w:t>notice it</w:t>
      </w:r>
      <w:r>
        <w:t xml:space="preserve">. </w:t>
      </w:r>
      <w:r w:rsidRPr="004E0788">
        <w:t>PLF can prove this by showing that his/her/its use of the land was so obvious that DFT would have discovered it himself/herself/</w:t>
      </w:r>
      <w:sdt>
        <w:sdtPr>
          <w:tag w:val="goog_rdk_4"/>
          <w:id w:val="2015652472"/>
        </w:sdtPr>
        <w:sdtContent/>
      </w:sdt>
      <w:r w:rsidRPr="004E0788">
        <w:t>itself</w:t>
      </w:r>
      <w:r>
        <w:t xml:space="preserve">. </w:t>
      </w:r>
      <w:r w:rsidRPr="004E0788">
        <w:t>PLF can also prove this by showing that his/her/its use was so obvious that you would reasonably expect someone else to tell the DFT about it</w:t>
      </w:r>
      <w:r>
        <w:t xml:space="preserve">. </w:t>
      </w:r>
      <w:r w:rsidRPr="004E0788">
        <w:t>For example, erecting a fence or building on the land acts as notice to the world, and you may presume that DFT was aware of any such acts</w:t>
      </w:r>
      <w:r>
        <w:t xml:space="preserve">. </w:t>
      </w:r>
      <w:r w:rsidRPr="004E0788">
        <w:t xml:space="preserve">PLF does not have to prove that DFT </w:t>
      </w:r>
      <w:proofErr w:type="gramStart"/>
      <w:r w:rsidRPr="004E0788">
        <w:t>actually knew</w:t>
      </w:r>
      <w:proofErr w:type="gramEnd"/>
      <w:r w:rsidRPr="004E0788">
        <w:t xml:space="preserve"> of his/her/its use of the land.</w:t>
      </w:r>
      <w:r>
        <w:rPr>
          <w:rStyle w:val="FootnoteReference"/>
          <w:rFonts w:eastAsia="Quattrocento Sans" w:cs="Segoe UI Historic"/>
          <w:color w:val="000000"/>
        </w:rPr>
        <w:footnoteReference w:id="3"/>
      </w:r>
    </w:p>
    <w:p w14:paraId="4FF30C58" w14:textId="77777777" w:rsidR="00AB01C5" w:rsidRPr="00FF7D45" w:rsidRDefault="00AB01C5" w:rsidP="00AB01C5">
      <w:pPr>
        <w:pStyle w:val="JuryInst3"/>
      </w:pPr>
      <w:bookmarkStart w:id="0" w:name="_heading=h.gjdgxs" w:colFirst="0" w:colLast="0"/>
      <w:bookmarkEnd w:id="0"/>
      <w:r w:rsidRPr="00FF7D45">
        <w:t>Exclusive Use</w:t>
      </w:r>
    </w:p>
    <w:p w14:paraId="3A2D7C36" w14:textId="0C64D617" w:rsidR="00AB01C5" w:rsidRDefault="00AB01C5" w:rsidP="00AB01C5">
      <w:pPr>
        <w:pStyle w:val="JuryInstructionText"/>
        <w:rPr>
          <w:b/>
        </w:rPr>
      </w:pPr>
      <w:r w:rsidRPr="004E0788">
        <w:t>Third, PLF must prove, more likely than not, that PLF had exclusive use of the land</w:t>
      </w:r>
      <w:r>
        <w:t xml:space="preserve">. </w:t>
      </w:r>
      <w:r w:rsidRPr="004E0788">
        <w:t>That means that PLF took steps to prevent the DFT and all other persons from entering the land to the same extent that a landowner would have barred other persons from entering the land.</w:t>
      </w:r>
      <w:r>
        <w:rPr>
          <w:rStyle w:val="FootnoteReference"/>
          <w:rFonts w:eastAsia="Quattrocento Sans" w:cs="Segoe UI Historic"/>
        </w:rPr>
        <w:footnoteReference w:id="4"/>
      </w:r>
      <w:r w:rsidRPr="004E0788">
        <w:t xml:space="preserve">  You should consider the nature of PLF’s use and the condition of the land. Some land uses may not be enough to show exclusive use of woodlands or vacant land in the country, but might be adequate proof if the land is in the center of a large city</w:t>
      </w:r>
      <w:r>
        <w:t>.</w:t>
      </w:r>
    </w:p>
    <w:p w14:paraId="5451FCB5" w14:textId="0F005F2F" w:rsidR="00AB01C5" w:rsidRPr="00FF7D45" w:rsidRDefault="005E78E2" w:rsidP="00AB01C5">
      <w:pPr>
        <w:pStyle w:val="JuryInst3"/>
      </w:pPr>
      <w:r>
        <w:t xml:space="preserve">Adverse Use for </w:t>
      </w:r>
      <w:r w:rsidR="00AB01C5" w:rsidRPr="00FF7D45">
        <w:t>Twenty Years</w:t>
      </w:r>
    </w:p>
    <w:p w14:paraId="2A964106" w14:textId="4FC36F3C" w:rsidR="00AB01C5" w:rsidRPr="004E0788" w:rsidRDefault="00AB01C5" w:rsidP="00AB01C5">
      <w:pPr>
        <w:pStyle w:val="JuryInstructionText"/>
      </w:pPr>
      <w:r w:rsidRPr="004E0788">
        <w:t>Fourth, PLF must prove, more likely than not, that</w:t>
      </w:r>
      <w:r w:rsidRPr="004E0788">
        <w:rPr>
          <w:b/>
        </w:rPr>
        <w:t xml:space="preserve"> </w:t>
      </w:r>
      <w:r w:rsidRPr="004E0788">
        <w:t xml:space="preserve">PLF’s use of the land was actual, open, </w:t>
      </w:r>
      <w:proofErr w:type="gramStart"/>
      <w:r w:rsidRPr="004E0788">
        <w:t>obvious</w:t>
      </w:r>
      <w:proofErr w:type="gramEnd"/>
      <w:r w:rsidRPr="004E0788">
        <w:t xml:space="preserve"> and exclusive for an uninterrupted period of at least twenty years</w:t>
      </w:r>
      <w:r>
        <w:t xml:space="preserve">. </w:t>
      </w:r>
      <w:r w:rsidRPr="004E0788">
        <w:t xml:space="preserve">That means that PLF must have used the land without the </w:t>
      </w:r>
      <w:r w:rsidRPr="004E0788">
        <w:lastRenderedPageBreak/>
        <w:t>DFT’s permission for at least twenty uninterrupted years</w:t>
      </w:r>
      <w:r>
        <w:t xml:space="preserve">. </w:t>
      </w:r>
      <w:r w:rsidRPr="004E0788">
        <w:t>PLF must prove that DFT never objected to PLF’s use of the land</w:t>
      </w:r>
      <w:r>
        <w:t xml:space="preserve">. </w:t>
      </w:r>
      <w:r w:rsidRPr="004E0788">
        <w:t>PLF does not have to show that s/he/it resided on the land or used the land for a single purpose over that period</w:t>
      </w:r>
      <w:r>
        <w:t xml:space="preserve">. </w:t>
      </w:r>
      <w:r w:rsidRPr="004E0788">
        <w:t>[</w:t>
      </w:r>
      <w:r w:rsidR="005E78E2">
        <w:t>&lt;</w:t>
      </w:r>
      <w:r w:rsidR="005E78E2">
        <w:rPr>
          <w:b/>
          <w:bCs/>
          <w:i/>
          <w:iCs/>
        </w:rPr>
        <w:t>If Applicable</w:t>
      </w:r>
      <w:r w:rsidR="005E78E2">
        <w:t>&gt;</w:t>
      </w:r>
      <w:r w:rsidRPr="004E0788">
        <w:t xml:space="preserve"> PLF may make seasonal use of the land, </w:t>
      </w:r>
      <w:proofErr w:type="gramStart"/>
      <w:r w:rsidRPr="004E0788">
        <w:t>as long as</w:t>
      </w:r>
      <w:proofErr w:type="gramEnd"/>
      <w:r w:rsidRPr="004E0788">
        <w:t xml:space="preserve"> [his/her/its] possession remains unbroken.</w:t>
      </w:r>
      <w:r>
        <w:rPr>
          <w:rStyle w:val="FootnoteReference"/>
          <w:rFonts w:eastAsia="Quattrocento Sans" w:cs="Segoe UI Historic"/>
          <w:color w:val="000000"/>
        </w:rPr>
        <w:footnoteReference w:id="5"/>
      </w:r>
      <w:r w:rsidRPr="004E0788">
        <w:t xml:space="preserve">] </w:t>
      </w:r>
    </w:p>
    <w:p w14:paraId="61495EAA" w14:textId="15C14854" w:rsidR="00AB01C5" w:rsidRPr="004E0788" w:rsidRDefault="00AB01C5" w:rsidP="00AB01C5">
      <w:pPr>
        <w:pStyle w:val="JuryInstructionText"/>
        <w:rPr>
          <w:rFonts w:eastAsia="Helvetica Neue"/>
          <w:b/>
        </w:rPr>
      </w:pPr>
      <w:r w:rsidRPr="004E0788">
        <w:t xml:space="preserve">PLF may meet the 20-year requirement by adding the </w:t>
      </w:r>
      <w:proofErr w:type="gramStart"/>
      <w:r w:rsidRPr="004E0788">
        <w:t>time period</w:t>
      </w:r>
      <w:proofErr w:type="gramEnd"/>
      <w:r w:rsidRPr="004E0788">
        <w:t xml:space="preserve"> of his/her/its use to the time period a person or entity adversely possessed the land immediately before PLF</w:t>
      </w:r>
      <w:r>
        <w:t xml:space="preserve">. </w:t>
      </w:r>
      <w:r w:rsidRPr="004E0788">
        <w:t xml:space="preserve">To do this, PLF must prove that, more likely than not, this predecessor met all the </w:t>
      </w:r>
      <w:sdt>
        <w:sdtPr>
          <w:tag w:val="goog_rdk_6"/>
          <w:id w:val="-1953852569"/>
        </w:sdtPr>
        <w:sdtContent/>
      </w:sdt>
      <w:r w:rsidRPr="004E0788">
        <w:t>elements of adverse possession I have described</w:t>
      </w:r>
      <w:r>
        <w:t xml:space="preserve">. </w:t>
      </w:r>
      <w:r w:rsidRPr="004E0788">
        <w:t>PLF must also prove that there was no break in time between the predecessor’s adverse use and PLF’s adverse use of the land.</w:t>
      </w:r>
      <w:r>
        <w:rPr>
          <w:rStyle w:val="FootnoteReference"/>
          <w:rFonts w:eastAsia="Quattrocento Sans" w:cs="Segoe UI Historic"/>
          <w:color w:val="000000"/>
        </w:rPr>
        <w:footnoteReference w:id="6"/>
      </w:r>
    </w:p>
    <w:p w14:paraId="56C197A4" w14:textId="76386773" w:rsidR="00AB01C5" w:rsidRPr="004E0788" w:rsidRDefault="00AB01C5" w:rsidP="00AB01C5">
      <w:pPr>
        <w:pStyle w:val="JuryInstructionText"/>
      </w:pPr>
      <w:r w:rsidRPr="004E0788">
        <w:t>[</w:t>
      </w:r>
      <w:r w:rsidR="000E1462">
        <w:t>&lt;</w:t>
      </w:r>
      <w:r w:rsidR="000E1462">
        <w:rPr>
          <w:b/>
          <w:bCs/>
          <w:i/>
          <w:iCs/>
        </w:rPr>
        <w:t>If Applicable</w:t>
      </w:r>
      <w:r w:rsidR="000E1462">
        <w:t>&gt;</w:t>
      </w:r>
      <w:r w:rsidRPr="004E0788">
        <w:t xml:space="preserve"> It is PLF’s conduct and not [his/her/its] state of mind </w:t>
      </w:r>
      <w:r w:rsidR="000E1462">
        <w:t>that</w:t>
      </w:r>
      <w:r w:rsidRPr="004E0788">
        <w:t xml:space="preserve"> governs whether [he/she/it] possesses the land adversely.</w:t>
      </w:r>
      <w:r>
        <w:rPr>
          <w:rStyle w:val="FootnoteReference"/>
          <w:rFonts w:eastAsia="Quattrocento Sans" w:cs="Segoe UI Historic"/>
          <w:color w:val="000000"/>
        </w:rPr>
        <w:footnoteReference w:id="7"/>
      </w:r>
      <w:r w:rsidRPr="004E0788">
        <w:t>]</w:t>
      </w:r>
    </w:p>
    <w:p w14:paraId="5BE36065" w14:textId="77777777" w:rsidR="00AB01C5" w:rsidRPr="00FF7D45" w:rsidRDefault="00AB01C5" w:rsidP="00AB01C5">
      <w:pPr>
        <w:pStyle w:val="JuryInst3"/>
      </w:pPr>
      <w:r w:rsidRPr="00FF7D45">
        <w:t>Lack of Permission</w:t>
      </w:r>
    </w:p>
    <w:p w14:paraId="21F33DD6" w14:textId="3CB2D392" w:rsidR="00B75859" w:rsidRPr="00B75859" w:rsidRDefault="00AB01C5" w:rsidP="00B75859">
      <w:pPr>
        <w:pStyle w:val="JuryInstructionText"/>
      </w:pPr>
      <w:r w:rsidRPr="004E0788">
        <w:t>Fifth, PLF must prove that DFT never gave PLF permission to use the property and never objected to PLF’s use of the property</w:t>
      </w:r>
      <w:r>
        <w:t xml:space="preserve">. </w:t>
      </w:r>
      <w:r w:rsidRPr="004E0788">
        <w:t xml:space="preserve">If DFT </w:t>
      </w:r>
      <w:r>
        <w:t>assented to</w:t>
      </w:r>
      <w:r w:rsidRPr="004E0788">
        <w:t xml:space="preserve"> PLF’s use of the property, you must </w:t>
      </w:r>
      <w:r>
        <w:t>decide whether that assent</w:t>
      </w:r>
      <w:r w:rsidRPr="004E0788">
        <w:t xml:space="preserve"> amounted to permission</w:t>
      </w:r>
      <w:r>
        <w:t xml:space="preserve">. </w:t>
      </w:r>
      <w:r w:rsidRPr="004E0788">
        <w:t xml:space="preserve">If PLF </w:t>
      </w:r>
      <w:proofErr w:type="gramStart"/>
      <w:r w:rsidRPr="004E0788">
        <w:t>actually used</w:t>
      </w:r>
      <w:proofErr w:type="gramEnd"/>
      <w:r w:rsidRPr="004E0788">
        <w:t xml:space="preserve"> the property in a way that was open, obvious, adverse and exclusive for a period of twenty years, you may conclude that DFT did not give permission</w:t>
      </w:r>
      <w:r>
        <w:t xml:space="preserve">. </w:t>
      </w:r>
      <w:r w:rsidRPr="004E0788">
        <w:t>You do not have to draw that conclusion if the evidence persuades you that DFT did not give permission.</w:t>
      </w:r>
      <w:r>
        <w:rPr>
          <w:rStyle w:val="FootnoteReference"/>
          <w:rFonts w:eastAsia="Quattrocento Sans" w:cs="Segoe UI Historic"/>
          <w:color w:val="000000"/>
        </w:rPr>
        <w:footnoteReference w:id="8"/>
      </w:r>
    </w:p>
    <w:sectPr w:rsidR="00B75859" w:rsidRPr="00B75859"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968D" w14:textId="77777777" w:rsidR="00FC7FD0" w:rsidRDefault="00FC7FD0" w:rsidP="00F74A90">
      <w:r>
        <w:separator/>
      </w:r>
    </w:p>
  </w:endnote>
  <w:endnote w:type="continuationSeparator" w:id="0">
    <w:p w14:paraId="759E33B9" w14:textId="77777777" w:rsidR="00FC7FD0" w:rsidRDefault="00FC7FD0"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LT Std">
    <w:altName w:val="Times New Roman"/>
    <w:panose1 w:val="0000050000000002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Quattrocento Sans">
    <w:panose1 w:val="020B0604020202020204"/>
    <w:charset w:val="00"/>
    <w:family w:val="swiss"/>
    <w:pitch w:val="variable"/>
    <w:sig w:usb0="800000BF" w:usb1="4000005B"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10AF" w14:textId="77777777" w:rsidR="00FC7FD0" w:rsidRDefault="00FC7FD0" w:rsidP="00F74A90">
      <w:r>
        <w:separator/>
      </w:r>
    </w:p>
  </w:footnote>
  <w:footnote w:type="continuationSeparator" w:id="0">
    <w:p w14:paraId="2C8FC37F" w14:textId="77777777" w:rsidR="00FC7FD0" w:rsidRDefault="00FC7FD0" w:rsidP="00F74A90">
      <w:r>
        <w:continuationSeparator/>
      </w:r>
    </w:p>
  </w:footnote>
  <w:footnote w:id="1">
    <w:p w14:paraId="05C67E94" w14:textId="29A37DB3" w:rsidR="00AB01C5" w:rsidRPr="00051759" w:rsidRDefault="00AB01C5" w:rsidP="00AB01C5">
      <w:pPr>
        <w:pStyle w:val="FootnoteText"/>
        <w:rPr>
          <w:rFonts w:cs="Segoe UI Historic"/>
        </w:rPr>
      </w:pPr>
      <w:r>
        <w:rPr>
          <w:rStyle w:val="FootnoteReference"/>
        </w:rPr>
        <w:footnoteRef/>
      </w:r>
      <w:r>
        <w:t xml:space="preserve"> </w:t>
      </w:r>
      <w:r>
        <w:tab/>
      </w:r>
      <w:r w:rsidRPr="00A672F1">
        <w:rPr>
          <w:rFonts w:cs="Segoe UI Historic"/>
          <w:i/>
        </w:rPr>
        <w:t>Lawrence v. Town of Concord</w:t>
      </w:r>
      <w:r>
        <w:rPr>
          <w:rFonts w:cs="Segoe UI Historic"/>
        </w:rPr>
        <w:t xml:space="preserve">, 439 Mass. 416, 421 (2003); </w:t>
      </w:r>
      <w:r w:rsidRPr="00A672F1">
        <w:rPr>
          <w:rFonts w:cs="Segoe UI Historic"/>
          <w:i/>
        </w:rPr>
        <w:t xml:space="preserve">Kendall v. </w:t>
      </w:r>
      <w:proofErr w:type="spellStart"/>
      <w:r w:rsidRPr="00A672F1">
        <w:rPr>
          <w:rFonts w:cs="Segoe UI Historic"/>
          <w:i/>
        </w:rPr>
        <w:t>Selvaggio</w:t>
      </w:r>
      <w:proofErr w:type="spellEnd"/>
      <w:r>
        <w:rPr>
          <w:rFonts w:cs="Segoe UI Historic"/>
        </w:rPr>
        <w:t>, 413 Mass. 619, 621</w:t>
      </w:r>
      <w:r>
        <w:rPr>
          <w:rFonts w:cs="Segoe UI Historic"/>
        </w:rPr>
        <w:t>–6</w:t>
      </w:r>
      <w:r>
        <w:rPr>
          <w:rFonts w:cs="Segoe UI Historic"/>
        </w:rPr>
        <w:t xml:space="preserve">22 (1992); </w:t>
      </w:r>
      <w:r w:rsidRPr="00A672F1">
        <w:rPr>
          <w:rFonts w:cs="Segoe UI Historic"/>
          <w:i/>
        </w:rPr>
        <w:t>Ryan v. Stavros</w:t>
      </w:r>
      <w:r>
        <w:rPr>
          <w:rFonts w:cs="Segoe UI Historic"/>
        </w:rPr>
        <w:t xml:space="preserve">, 348 Mass. 251, 262 (1964); </w:t>
      </w:r>
      <w:r w:rsidRPr="00A672F1">
        <w:rPr>
          <w:rFonts w:cs="Segoe UI Historic"/>
          <w:i/>
        </w:rPr>
        <w:t>Holmes v. Johnson,</w:t>
      </w:r>
      <w:r>
        <w:rPr>
          <w:rFonts w:cs="Segoe UI Historic"/>
        </w:rPr>
        <w:t xml:space="preserve"> 324 Mass. 450, 453 (1949).</w:t>
      </w:r>
    </w:p>
  </w:footnote>
  <w:footnote w:id="2">
    <w:p w14:paraId="2AF2B122" w14:textId="62779309" w:rsidR="00AB01C5" w:rsidRPr="00051759" w:rsidRDefault="00AB01C5" w:rsidP="00AB01C5">
      <w:pPr>
        <w:pStyle w:val="FootnoteText"/>
        <w:rPr>
          <w:rFonts w:cs="Segoe UI Historic"/>
        </w:rPr>
      </w:pPr>
      <w:r>
        <w:rPr>
          <w:rStyle w:val="FootnoteReference"/>
        </w:rPr>
        <w:footnoteRef/>
      </w:r>
      <w:r>
        <w:t xml:space="preserve"> </w:t>
      </w:r>
      <w:r>
        <w:tab/>
      </w:r>
      <w:r w:rsidRPr="00A672F1">
        <w:rPr>
          <w:rFonts w:cs="Segoe UI Historic"/>
          <w:i/>
        </w:rPr>
        <w:t>LaChance v. First Nat’l Bank &amp; Trust Co.</w:t>
      </w:r>
      <w:r w:rsidRPr="00BA2AD4">
        <w:rPr>
          <w:rFonts w:cs="Segoe UI Historic"/>
          <w:i/>
        </w:rPr>
        <w:t>,</w:t>
      </w:r>
      <w:r>
        <w:rPr>
          <w:rFonts w:cs="Segoe UI Historic"/>
        </w:rPr>
        <w:t xml:space="preserve"> 301 Mass. 488, 491 (1938); </w:t>
      </w:r>
      <w:r w:rsidRPr="00A672F1">
        <w:rPr>
          <w:rFonts w:cs="Segoe UI Historic"/>
          <w:i/>
        </w:rPr>
        <w:t xml:space="preserve">Brandao v. </w:t>
      </w:r>
      <w:proofErr w:type="spellStart"/>
      <w:r w:rsidRPr="00A672F1">
        <w:rPr>
          <w:rFonts w:cs="Segoe UI Historic"/>
          <w:i/>
        </w:rPr>
        <w:t>Docanto</w:t>
      </w:r>
      <w:proofErr w:type="spellEnd"/>
      <w:r>
        <w:rPr>
          <w:rFonts w:cs="Segoe UI Historic"/>
        </w:rPr>
        <w:t>, 80</w:t>
      </w:r>
      <w:r>
        <w:rPr>
          <w:rFonts w:cs="Segoe UI Historic"/>
        </w:rPr>
        <w:t> </w:t>
      </w:r>
      <w:r>
        <w:rPr>
          <w:rFonts w:cs="Segoe UI Historic"/>
        </w:rPr>
        <w:t>Mass. App. Ct. 151, 156</w:t>
      </w:r>
      <w:r>
        <w:rPr>
          <w:rFonts w:cs="Segoe UI Historic"/>
        </w:rPr>
        <w:t>–1</w:t>
      </w:r>
      <w:r>
        <w:rPr>
          <w:rFonts w:cs="Segoe UI Historic"/>
        </w:rPr>
        <w:t xml:space="preserve">57 (2011); </w:t>
      </w:r>
      <w:r w:rsidRPr="00A672F1">
        <w:rPr>
          <w:rFonts w:cs="Segoe UI Historic"/>
          <w:i/>
        </w:rPr>
        <w:t>Peck v. Bigelow</w:t>
      </w:r>
      <w:r>
        <w:rPr>
          <w:rFonts w:cs="Segoe UI Historic"/>
        </w:rPr>
        <w:t xml:space="preserve">, 34 Mass. App. Ct. 551, 556 (1993). </w:t>
      </w:r>
    </w:p>
  </w:footnote>
  <w:footnote w:id="3">
    <w:p w14:paraId="0D633C20" w14:textId="556740B7" w:rsidR="00AB01C5" w:rsidRPr="00BA2AD4" w:rsidRDefault="00AB01C5" w:rsidP="00AB01C5">
      <w:pPr>
        <w:pStyle w:val="FootnoteText"/>
        <w:rPr>
          <w:rFonts w:cs="Segoe UI Historic"/>
        </w:rPr>
      </w:pPr>
      <w:r>
        <w:rPr>
          <w:rStyle w:val="FootnoteReference"/>
        </w:rPr>
        <w:footnoteRef/>
      </w:r>
      <w:r>
        <w:t xml:space="preserve"> </w:t>
      </w:r>
      <w:r>
        <w:tab/>
      </w:r>
      <w:r w:rsidRPr="00A672F1">
        <w:rPr>
          <w:rFonts w:cs="Segoe UI Historic"/>
          <w:i/>
        </w:rPr>
        <w:t>Lawrence v. Town of Concord</w:t>
      </w:r>
      <w:r>
        <w:rPr>
          <w:rFonts w:cs="Segoe UI Historic"/>
          <w:i/>
        </w:rPr>
        <w:t xml:space="preserve">, </w:t>
      </w:r>
      <w:r>
        <w:rPr>
          <w:rFonts w:cs="Segoe UI Historic"/>
        </w:rPr>
        <w:t>439 Mass. 416, 421</w:t>
      </w:r>
      <w:r>
        <w:rPr>
          <w:rFonts w:cs="Segoe UI Historic"/>
        </w:rPr>
        <w:t>–4</w:t>
      </w:r>
      <w:r>
        <w:rPr>
          <w:rFonts w:cs="Segoe UI Historic"/>
        </w:rPr>
        <w:t xml:space="preserve">22 (2003); </w:t>
      </w:r>
      <w:r w:rsidRPr="00A672F1">
        <w:rPr>
          <w:rFonts w:cs="Segoe UI Historic"/>
          <w:i/>
        </w:rPr>
        <w:t>Foot v. Bauman</w:t>
      </w:r>
      <w:r>
        <w:rPr>
          <w:rFonts w:cs="Segoe UI Historic"/>
        </w:rPr>
        <w:t xml:space="preserve">, 333 Mass. 214, 218 (1955); </w:t>
      </w:r>
      <w:r w:rsidRPr="00A672F1">
        <w:rPr>
          <w:rFonts w:cs="Segoe UI Historic"/>
          <w:i/>
        </w:rPr>
        <w:t xml:space="preserve">Boothroyd v. </w:t>
      </w:r>
      <w:proofErr w:type="spellStart"/>
      <w:r w:rsidRPr="00A672F1">
        <w:rPr>
          <w:rFonts w:cs="Segoe UI Historic"/>
          <w:i/>
        </w:rPr>
        <w:t>Bogarty</w:t>
      </w:r>
      <w:proofErr w:type="spellEnd"/>
      <w:r>
        <w:rPr>
          <w:rFonts w:cs="Segoe UI Historic"/>
        </w:rPr>
        <w:t>, 68 Mass. App. Ct. 40, 44 (2007)</w:t>
      </w:r>
      <w:r>
        <w:rPr>
          <w:rFonts w:cs="Segoe UI Historic"/>
        </w:rPr>
        <w:t xml:space="preserve">. </w:t>
      </w:r>
    </w:p>
  </w:footnote>
  <w:footnote w:id="4">
    <w:p w14:paraId="33064A94" w14:textId="752A9E38" w:rsidR="00AB01C5" w:rsidRDefault="00AB01C5" w:rsidP="00AB01C5">
      <w:pPr>
        <w:pStyle w:val="FootnoteText"/>
      </w:pPr>
      <w:r>
        <w:rPr>
          <w:rStyle w:val="FootnoteReference"/>
        </w:rPr>
        <w:footnoteRef/>
      </w:r>
      <w:r>
        <w:t xml:space="preserve"> </w:t>
      </w:r>
      <w:r>
        <w:tab/>
      </w:r>
      <w:r w:rsidRPr="00A672F1">
        <w:rPr>
          <w:rFonts w:cs="Segoe UI Historic"/>
          <w:i/>
        </w:rPr>
        <w:t xml:space="preserve">Brandao v. </w:t>
      </w:r>
      <w:proofErr w:type="spellStart"/>
      <w:r w:rsidRPr="00A672F1">
        <w:rPr>
          <w:rFonts w:cs="Segoe UI Historic"/>
          <w:i/>
        </w:rPr>
        <w:t>DoCanto</w:t>
      </w:r>
      <w:proofErr w:type="spellEnd"/>
      <w:r>
        <w:rPr>
          <w:rFonts w:cs="Segoe UI Historic"/>
        </w:rPr>
        <w:t xml:space="preserve">, 80 Mass. App. Ct. 151, 157-58 (2011); </w:t>
      </w:r>
      <w:r w:rsidRPr="00A672F1">
        <w:rPr>
          <w:rFonts w:cs="Segoe UI Historic"/>
          <w:i/>
        </w:rPr>
        <w:t>Peck v. Bigelow</w:t>
      </w:r>
      <w:r>
        <w:rPr>
          <w:rFonts w:cs="Segoe UI Historic"/>
        </w:rPr>
        <w:t>, 34 Mass. App. Ct. 551, 557 (1993)</w:t>
      </w:r>
      <w:r>
        <w:rPr>
          <w:rFonts w:cs="Segoe UI Historic"/>
        </w:rPr>
        <w:t xml:space="preserve">. </w:t>
      </w:r>
    </w:p>
  </w:footnote>
  <w:footnote w:id="5">
    <w:p w14:paraId="11B0D10E" w14:textId="744E8073" w:rsidR="00AB01C5" w:rsidRPr="00685C30" w:rsidRDefault="00AB01C5" w:rsidP="00AB01C5">
      <w:pPr>
        <w:pStyle w:val="FootnoteText"/>
        <w:rPr>
          <w:rFonts w:cs="Segoe UI Historic"/>
        </w:rPr>
      </w:pPr>
      <w:r>
        <w:rPr>
          <w:rStyle w:val="FootnoteReference"/>
        </w:rPr>
        <w:footnoteRef/>
      </w:r>
      <w:r>
        <w:t xml:space="preserve"> </w:t>
      </w:r>
      <w:r>
        <w:tab/>
      </w:r>
      <w:r w:rsidRPr="00A672F1">
        <w:rPr>
          <w:rFonts w:cs="Segoe UI Historic"/>
          <w:i/>
        </w:rPr>
        <w:t xml:space="preserve">Kershaw v. </w:t>
      </w:r>
      <w:proofErr w:type="spellStart"/>
      <w:r w:rsidRPr="00A672F1">
        <w:rPr>
          <w:rFonts w:cs="Segoe UI Historic"/>
          <w:i/>
        </w:rPr>
        <w:t>Zecchini</w:t>
      </w:r>
      <w:proofErr w:type="spellEnd"/>
      <w:r>
        <w:rPr>
          <w:rFonts w:cs="Segoe UI Historic"/>
        </w:rPr>
        <w:t xml:space="preserve">, 342 Mass. 318, 321 (1961); </w:t>
      </w:r>
      <w:r w:rsidRPr="00A672F1">
        <w:rPr>
          <w:rFonts w:cs="Segoe UI Historic"/>
          <w:i/>
        </w:rPr>
        <w:t>Lebel v. Nelson</w:t>
      </w:r>
      <w:r>
        <w:rPr>
          <w:rFonts w:cs="Segoe UI Historic"/>
        </w:rPr>
        <w:t xml:space="preserve">, 29 Mass. App. Ct. 300, 302 (1990); </w:t>
      </w:r>
      <w:r w:rsidRPr="00FF7D45">
        <w:rPr>
          <w:rFonts w:cs="Segoe UI Historic"/>
          <w:i/>
        </w:rPr>
        <w:t xml:space="preserve">see </w:t>
      </w:r>
      <w:proofErr w:type="spellStart"/>
      <w:r w:rsidRPr="00A672F1">
        <w:rPr>
          <w:rFonts w:cs="Segoe UI Historic"/>
          <w:i/>
        </w:rPr>
        <w:t>Pugatch</w:t>
      </w:r>
      <w:proofErr w:type="spellEnd"/>
      <w:r w:rsidRPr="00A672F1">
        <w:rPr>
          <w:rFonts w:cs="Segoe UI Historic"/>
          <w:i/>
        </w:rPr>
        <w:t xml:space="preserve"> v. Stoloff,</w:t>
      </w:r>
      <w:r>
        <w:rPr>
          <w:rFonts w:cs="Segoe UI Historic"/>
        </w:rPr>
        <w:t xml:space="preserve"> 41 Mass. App. Ct. 536 (1996)</w:t>
      </w:r>
      <w:r>
        <w:rPr>
          <w:rFonts w:cs="Segoe UI Historic"/>
        </w:rPr>
        <w:t xml:space="preserve">. </w:t>
      </w:r>
    </w:p>
  </w:footnote>
  <w:footnote w:id="6">
    <w:p w14:paraId="02893158" w14:textId="1139E2E3" w:rsidR="00AB01C5" w:rsidRPr="002A504B" w:rsidRDefault="00AB01C5" w:rsidP="00AB01C5">
      <w:pPr>
        <w:pStyle w:val="FootnoteText"/>
        <w:rPr>
          <w:rFonts w:cs="Segoe UI Historic"/>
        </w:rPr>
      </w:pPr>
      <w:r>
        <w:rPr>
          <w:rStyle w:val="FootnoteReference"/>
        </w:rPr>
        <w:footnoteRef/>
      </w:r>
      <w:r>
        <w:t xml:space="preserve"> </w:t>
      </w:r>
      <w:r>
        <w:tab/>
      </w:r>
      <w:r w:rsidRPr="00A672F1">
        <w:rPr>
          <w:rFonts w:cs="Segoe UI Historic"/>
          <w:i/>
        </w:rPr>
        <w:t xml:space="preserve">Kershaw v. </w:t>
      </w:r>
      <w:proofErr w:type="spellStart"/>
      <w:r w:rsidRPr="00A672F1">
        <w:rPr>
          <w:rFonts w:cs="Segoe UI Historic"/>
          <w:i/>
        </w:rPr>
        <w:t>Zecchini</w:t>
      </w:r>
      <w:proofErr w:type="spellEnd"/>
      <w:r>
        <w:rPr>
          <w:rFonts w:cs="Segoe UI Historic"/>
        </w:rPr>
        <w:t xml:space="preserve">, 342 Mass. 318, 320-21 (1961); </w:t>
      </w:r>
      <w:r w:rsidRPr="002A504B">
        <w:rPr>
          <w:rFonts w:cs="Segoe UI Historic"/>
          <w:i/>
        </w:rPr>
        <w:t>Holmes</w:t>
      </w:r>
      <w:r>
        <w:rPr>
          <w:rFonts w:cs="Segoe UI Historic"/>
        </w:rPr>
        <w:t xml:space="preserve"> v. </w:t>
      </w:r>
      <w:r w:rsidRPr="002A504B">
        <w:rPr>
          <w:rFonts w:cs="Segoe UI Historic"/>
          <w:i/>
        </w:rPr>
        <w:t>Johnson</w:t>
      </w:r>
      <w:r>
        <w:rPr>
          <w:rFonts w:cs="Segoe UI Historic"/>
        </w:rPr>
        <w:t>, 342 Mass. 450, 453</w:t>
      </w:r>
      <w:r>
        <w:rPr>
          <w:rFonts w:cs="Segoe UI Historic"/>
        </w:rPr>
        <w:t>–4</w:t>
      </w:r>
      <w:r>
        <w:rPr>
          <w:rFonts w:cs="Segoe UI Historic"/>
        </w:rPr>
        <w:t xml:space="preserve">54 (1949). </w:t>
      </w:r>
    </w:p>
  </w:footnote>
  <w:footnote w:id="7">
    <w:p w14:paraId="23663CB5" w14:textId="74C1E27F" w:rsidR="00AB01C5" w:rsidRPr="002A504B" w:rsidRDefault="00AB01C5" w:rsidP="00AB01C5">
      <w:pPr>
        <w:pStyle w:val="FootnoteText"/>
        <w:rPr>
          <w:rFonts w:cs="Segoe UI Historic"/>
        </w:rPr>
      </w:pPr>
      <w:r>
        <w:rPr>
          <w:rStyle w:val="FootnoteReference"/>
        </w:rPr>
        <w:footnoteRef/>
      </w:r>
      <w:r>
        <w:t xml:space="preserve"> </w:t>
      </w:r>
      <w:r>
        <w:tab/>
      </w:r>
      <w:proofErr w:type="spellStart"/>
      <w:r w:rsidRPr="00A672F1">
        <w:rPr>
          <w:rFonts w:cs="Segoe UI Historic"/>
          <w:i/>
        </w:rPr>
        <w:t>Totman</w:t>
      </w:r>
      <w:proofErr w:type="spellEnd"/>
      <w:r w:rsidRPr="00A672F1">
        <w:rPr>
          <w:rFonts w:cs="Segoe UI Historic"/>
          <w:i/>
        </w:rPr>
        <w:t xml:space="preserve"> v. Malloy</w:t>
      </w:r>
      <w:r>
        <w:rPr>
          <w:rFonts w:cs="Segoe UI Historic"/>
        </w:rPr>
        <w:t xml:space="preserve">, 431 Mass. 143, 146 (2000); </w:t>
      </w:r>
      <w:r w:rsidRPr="00A672F1">
        <w:rPr>
          <w:rFonts w:cs="Segoe UI Historic"/>
          <w:i/>
        </w:rPr>
        <w:t xml:space="preserve">Kendall v. </w:t>
      </w:r>
      <w:proofErr w:type="spellStart"/>
      <w:r w:rsidRPr="00A672F1">
        <w:rPr>
          <w:rFonts w:cs="Segoe UI Historic"/>
          <w:i/>
        </w:rPr>
        <w:t>Selvaggio</w:t>
      </w:r>
      <w:proofErr w:type="spellEnd"/>
      <w:r>
        <w:rPr>
          <w:rFonts w:cs="Segoe UI Historic"/>
        </w:rPr>
        <w:t>, 413 Mass. 619, 623</w:t>
      </w:r>
      <w:r>
        <w:rPr>
          <w:rFonts w:cs="Segoe UI Historic"/>
        </w:rPr>
        <w:t>–6</w:t>
      </w:r>
      <w:r>
        <w:rPr>
          <w:rFonts w:cs="Segoe UI Historic"/>
        </w:rPr>
        <w:t xml:space="preserve">24 (1992); </w:t>
      </w:r>
      <w:r w:rsidRPr="00A672F1">
        <w:rPr>
          <w:rFonts w:cs="Segoe UI Historic"/>
          <w:i/>
        </w:rPr>
        <w:t>Peck v. Bigelow</w:t>
      </w:r>
      <w:r>
        <w:rPr>
          <w:rFonts w:cs="Segoe UI Historic"/>
        </w:rPr>
        <w:t xml:space="preserve">, 34 Mass. App. Ct. 551, 555 (1993); </w:t>
      </w:r>
      <w:r w:rsidRPr="00A672F1">
        <w:rPr>
          <w:rFonts w:cs="Segoe UI Historic"/>
          <w:i/>
        </w:rPr>
        <w:t>Lebel v. Nelson</w:t>
      </w:r>
      <w:r>
        <w:rPr>
          <w:rFonts w:cs="Segoe UI Historic"/>
        </w:rPr>
        <w:t xml:space="preserve">, 29 Mass. App. Ct. 300, 302 (1990). </w:t>
      </w:r>
    </w:p>
  </w:footnote>
  <w:footnote w:id="8">
    <w:p w14:paraId="6F501F7C" w14:textId="2499BA03" w:rsidR="00AB01C5" w:rsidRPr="006D0191" w:rsidRDefault="00AB01C5" w:rsidP="00AB01C5">
      <w:pPr>
        <w:pStyle w:val="FootnoteText"/>
        <w:rPr>
          <w:rFonts w:cs="Segoe UI Historic"/>
        </w:rPr>
      </w:pPr>
      <w:r>
        <w:rPr>
          <w:rStyle w:val="FootnoteReference"/>
        </w:rPr>
        <w:footnoteRef/>
      </w:r>
      <w:r>
        <w:t xml:space="preserve"> </w:t>
      </w:r>
      <w:r>
        <w:tab/>
      </w:r>
      <w:proofErr w:type="spellStart"/>
      <w:r w:rsidRPr="00AB01C5">
        <w:rPr>
          <w:rFonts w:cs="Segoe UI Historic"/>
          <w:i/>
          <w:iCs/>
        </w:rPr>
        <w:t>Totman</w:t>
      </w:r>
      <w:proofErr w:type="spellEnd"/>
      <w:r w:rsidRPr="00A672F1">
        <w:rPr>
          <w:rFonts w:cs="Segoe UI Historic"/>
        </w:rPr>
        <w:t xml:space="preserve"> v.</w:t>
      </w:r>
      <w:proofErr w:type="spellStart"/>
      <w:r w:rsidRPr="00A672F1">
        <w:rPr>
          <w:rFonts w:cs="Segoe UI Historic"/>
        </w:rPr>
        <w:t xml:space="preserve"> </w:t>
      </w:r>
      <w:r w:rsidRPr="00AB01C5">
        <w:rPr>
          <w:rFonts w:cs="Segoe UI Historic"/>
          <w:i/>
          <w:iCs/>
        </w:rPr>
        <w:t>Ma</w:t>
      </w:r>
      <w:proofErr w:type="spellEnd"/>
      <w:r w:rsidRPr="00AB01C5">
        <w:rPr>
          <w:rFonts w:cs="Segoe UI Historic"/>
          <w:i/>
          <w:iCs/>
        </w:rPr>
        <w:t>lloy</w:t>
      </w:r>
      <w:r>
        <w:rPr>
          <w:rFonts w:cs="Segoe UI Historic"/>
        </w:rPr>
        <w:t xml:space="preserve">, 431 Mass. 143, 146 (2000); </w:t>
      </w:r>
      <w:r w:rsidRPr="006D0191">
        <w:rPr>
          <w:rFonts w:cs="Segoe UI Historic"/>
          <w:i/>
        </w:rPr>
        <w:t>Stone</w:t>
      </w:r>
      <w:r>
        <w:rPr>
          <w:rFonts w:cs="Segoe UI Historic"/>
        </w:rPr>
        <w:t xml:space="preserve"> v. </w:t>
      </w:r>
      <w:r w:rsidRPr="006D0191">
        <w:rPr>
          <w:rFonts w:cs="Segoe UI Historic"/>
          <w:i/>
        </w:rPr>
        <w:t>Perkins</w:t>
      </w:r>
      <w:r>
        <w:rPr>
          <w:rFonts w:cs="Segoe UI Historic"/>
        </w:rPr>
        <w:t xml:space="preserve">, 59 Mass. App. Ct. 265, 266 (2007).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9076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26FF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8411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D80B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68A0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E4A7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08B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B8B4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205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268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7793798"/>
    <w:multiLevelType w:val="multilevel"/>
    <w:tmpl w:val="E37E147C"/>
    <w:lvl w:ilvl="0">
      <w:start w:val="1"/>
      <w:numFmt w:val="decimal"/>
      <w:pStyle w:val="Heading1"/>
      <w:lvlText w:val="%1."/>
      <w:lvlJc w:val="left"/>
      <w:pPr>
        <w:ind w:left="720" w:hanging="360"/>
      </w:pPr>
      <w:rPr>
        <w:sz w:val="28"/>
        <w:szCs w:val="28"/>
      </w:r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num w:numId="1" w16cid:durableId="903952319">
    <w:abstractNumId w:val="12"/>
  </w:num>
  <w:num w:numId="2" w16cid:durableId="1767994091">
    <w:abstractNumId w:val="11"/>
  </w:num>
  <w:num w:numId="3" w16cid:durableId="1939016867">
    <w:abstractNumId w:val="0"/>
  </w:num>
  <w:num w:numId="4" w16cid:durableId="255722060">
    <w:abstractNumId w:val="1"/>
  </w:num>
  <w:num w:numId="5" w16cid:durableId="328947880">
    <w:abstractNumId w:val="2"/>
  </w:num>
  <w:num w:numId="6" w16cid:durableId="1138259413">
    <w:abstractNumId w:val="3"/>
  </w:num>
  <w:num w:numId="7" w16cid:durableId="1341932704">
    <w:abstractNumId w:val="8"/>
  </w:num>
  <w:num w:numId="8" w16cid:durableId="1281063206">
    <w:abstractNumId w:val="4"/>
  </w:num>
  <w:num w:numId="9" w16cid:durableId="1789273455">
    <w:abstractNumId w:val="5"/>
  </w:num>
  <w:num w:numId="10" w16cid:durableId="1140152751">
    <w:abstractNumId w:val="6"/>
  </w:num>
  <w:num w:numId="11" w16cid:durableId="1295720554">
    <w:abstractNumId w:val="7"/>
  </w:num>
  <w:num w:numId="12" w16cid:durableId="498928709">
    <w:abstractNumId w:val="9"/>
  </w:num>
  <w:num w:numId="13" w16cid:durableId="2029287987">
    <w:abstractNumId w:val="11"/>
  </w:num>
  <w:num w:numId="14" w16cid:durableId="1674870534">
    <w:abstractNumId w:val="10"/>
  </w:num>
  <w:num w:numId="15" w16cid:durableId="104617717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B08DB"/>
    <w:rsid w:val="000B7B9E"/>
    <w:rsid w:val="000D70C6"/>
    <w:rsid w:val="000E1462"/>
    <w:rsid w:val="000E7622"/>
    <w:rsid w:val="0010739E"/>
    <w:rsid w:val="00130F23"/>
    <w:rsid w:val="0017397B"/>
    <w:rsid w:val="001B7748"/>
    <w:rsid w:val="001C5FA5"/>
    <w:rsid w:val="001D701D"/>
    <w:rsid w:val="001E2162"/>
    <w:rsid w:val="00221552"/>
    <w:rsid w:val="00257345"/>
    <w:rsid w:val="00294F89"/>
    <w:rsid w:val="002A2C60"/>
    <w:rsid w:val="00303039"/>
    <w:rsid w:val="00420329"/>
    <w:rsid w:val="004848CB"/>
    <w:rsid w:val="004859F0"/>
    <w:rsid w:val="004A3BE2"/>
    <w:rsid w:val="00516C98"/>
    <w:rsid w:val="005446C0"/>
    <w:rsid w:val="00550249"/>
    <w:rsid w:val="00594672"/>
    <w:rsid w:val="00596E5A"/>
    <w:rsid w:val="005E78E2"/>
    <w:rsid w:val="006254D4"/>
    <w:rsid w:val="006318A9"/>
    <w:rsid w:val="00676B44"/>
    <w:rsid w:val="007E7B77"/>
    <w:rsid w:val="00834E34"/>
    <w:rsid w:val="008733AA"/>
    <w:rsid w:val="00880AA6"/>
    <w:rsid w:val="0094500B"/>
    <w:rsid w:val="00992410"/>
    <w:rsid w:val="00996339"/>
    <w:rsid w:val="009B481F"/>
    <w:rsid w:val="00A05B86"/>
    <w:rsid w:val="00A164C0"/>
    <w:rsid w:val="00A2789E"/>
    <w:rsid w:val="00A55E4E"/>
    <w:rsid w:val="00A56498"/>
    <w:rsid w:val="00A679E4"/>
    <w:rsid w:val="00A76145"/>
    <w:rsid w:val="00A917A4"/>
    <w:rsid w:val="00A95EAD"/>
    <w:rsid w:val="00AB01C5"/>
    <w:rsid w:val="00AF6831"/>
    <w:rsid w:val="00B02468"/>
    <w:rsid w:val="00B2579A"/>
    <w:rsid w:val="00B520AB"/>
    <w:rsid w:val="00B75859"/>
    <w:rsid w:val="00BE7335"/>
    <w:rsid w:val="00BF0717"/>
    <w:rsid w:val="00BF08B5"/>
    <w:rsid w:val="00C43AEF"/>
    <w:rsid w:val="00C5670C"/>
    <w:rsid w:val="00CD7576"/>
    <w:rsid w:val="00D71FE5"/>
    <w:rsid w:val="00D8732A"/>
    <w:rsid w:val="00D9196F"/>
    <w:rsid w:val="00DB6604"/>
    <w:rsid w:val="00DC61A7"/>
    <w:rsid w:val="00E174B0"/>
    <w:rsid w:val="00F10AE9"/>
    <w:rsid w:val="00F11C6F"/>
    <w:rsid w:val="00F74A90"/>
    <w:rsid w:val="00F83046"/>
    <w:rsid w:val="00FC7FD0"/>
    <w:rsid w:val="00FD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paragraph" w:styleId="Heading1">
    <w:name w:val="heading 1"/>
    <w:aliases w:val="Chapter Number"/>
    <w:basedOn w:val="Normal"/>
    <w:next w:val="Heading2"/>
    <w:link w:val="Heading1Char"/>
    <w:qFormat/>
    <w:rsid w:val="00AB01C5"/>
    <w:pPr>
      <w:keepNext/>
      <w:pageBreakBefore/>
      <w:widowControl w:val="0"/>
      <w:numPr>
        <w:numId w:val="15"/>
      </w:numPr>
      <w:suppressAutoHyphens/>
      <w:spacing w:after="160" w:line="320" w:lineRule="exact"/>
      <w:outlineLvl w:val="0"/>
    </w:pPr>
    <w:rPr>
      <w:rFonts w:ascii="Times LT Std" w:hAnsi="Times LT Std"/>
      <w:b/>
      <w:kern w:val="28"/>
      <w:sz w:val="32"/>
      <w:szCs w:val="20"/>
    </w:rPr>
  </w:style>
  <w:style w:type="paragraph" w:styleId="Heading2">
    <w:name w:val="heading 2"/>
    <w:aliases w:val="Chapter Title"/>
    <w:basedOn w:val="Normal"/>
    <w:next w:val="Heading3"/>
    <w:link w:val="Heading2Char"/>
    <w:qFormat/>
    <w:rsid w:val="00AB01C5"/>
    <w:pPr>
      <w:keepNext/>
      <w:numPr>
        <w:ilvl w:val="1"/>
        <w:numId w:val="15"/>
      </w:numPr>
      <w:suppressAutoHyphens/>
      <w:spacing w:after="400" w:line="440" w:lineRule="exact"/>
      <w:outlineLvl w:val="1"/>
    </w:pPr>
    <w:rPr>
      <w:rFonts w:ascii="Times LT Std" w:hAnsi="Times LT Std"/>
      <w:b/>
      <w:caps/>
      <w:sz w:val="40"/>
      <w:szCs w:val="20"/>
    </w:rPr>
  </w:style>
  <w:style w:type="paragraph" w:styleId="Heading3">
    <w:name w:val="heading 3"/>
    <w:aliases w:val="Author Credit"/>
    <w:basedOn w:val="Normal"/>
    <w:next w:val="Heading4"/>
    <w:link w:val="Heading3Char"/>
    <w:qFormat/>
    <w:rsid w:val="00AB01C5"/>
    <w:pPr>
      <w:keepNext/>
      <w:numPr>
        <w:ilvl w:val="2"/>
        <w:numId w:val="15"/>
      </w:numPr>
      <w:suppressAutoHyphens/>
      <w:spacing w:line="280" w:lineRule="exact"/>
      <w:outlineLvl w:val="2"/>
    </w:pPr>
    <w:rPr>
      <w:rFonts w:ascii="Times LT Std" w:hAnsi="Times LT Std"/>
      <w:sz w:val="20"/>
      <w:szCs w:val="20"/>
    </w:rPr>
  </w:style>
  <w:style w:type="paragraph" w:styleId="Heading4">
    <w:name w:val="heading 4"/>
    <w:aliases w:val="Firm Credit,Firm"/>
    <w:basedOn w:val="Normal"/>
    <w:next w:val="Normal"/>
    <w:link w:val="Heading4Char"/>
    <w:qFormat/>
    <w:rsid w:val="00AB01C5"/>
    <w:pPr>
      <w:numPr>
        <w:ilvl w:val="3"/>
        <w:numId w:val="15"/>
      </w:numPr>
      <w:suppressAutoHyphens/>
      <w:spacing w:after="240" w:line="280" w:lineRule="exact"/>
      <w:outlineLvl w:val="3"/>
    </w:pPr>
    <w:rPr>
      <w:rFonts w:ascii="Times LT Std" w:hAnsi="Times LT Std"/>
      <w:i/>
      <w:sz w:val="20"/>
      <w:szCs w:val="20"/>
    </w:rPr>
  </w:style>
  <w:style w:type="paragraph" w:styleId="Heading5">
    <w:name w:val="heading 5"/>
    <w:aliases w:val="Level1"/>
    <w:basedOn w:val="Normal"/>
    <w:next w:val="Normal"/>
    <w:link w:val="Heading5Char"/>
    <w:qFormat/>
    <w:rsid w:val="00AB01C5"/>
    <w:pPr>
      <w:keepNext/>
      <w:keepLines/>
      <w:numPr>
        <w:ilvl w:val="4"/>
        <w:numId w:val="15"/>
      </w:numPr>
      <w:suppressAutoHyphens/>
      <w:spacing w:before="480" w:line="300" w:lineRule="exact"/>
      <w:outlineLvl w:val="4"/>
    </w:pPr>
    <w:rPr>
      <w:rFonts w:ascii="Times LT Std" w:hAnsi="Times LT Std"/>
      <w:b/>
      <w:caps/>
      <w:sz w:val="26"/>
      <w:szCs w:val="20"/>
    </w:rPr>
  </w:style>
  <w:style w:type="paragraph" w:styleId="Heading6">
    <w:name w:val="heading 6"/>
    <w:aliases w:val="Level2"/>
    <w:basedOn w:val="Normal"/>
    <w:next w:val="Normal"/>
    <w:link w:val="Heading6Char"/>
    <w:qFormat/>
    <w:rsid w:val="00AB01C5"/>
    <w:pPr>
      <w:keepNext/>
      <w:keepLines/>
      <w:numPr>
        <w:ilvl w:val="5"/>
        <w:numId w:val="15"/>
      </w:numPr>
      <w:suppressAutoHyphens/>
      <w:spacing w:before="200" w:line="300" w:lineRule="exact"/>
      <w:outlineLvl w:val="5"/>
    </w:pPr>
    <w:rPr>
      <w:rFonts w:ascii="Times LT Std" w:hAnsi="Times LT Std"/>
      <w:b/>
      <w:sz w:val="26"/>
      <w:szCs w:val="20"/>
    </w:rPr>
  </w:style>
  <w:style w:type="paragraph" w:styleId="Heading7">
    <w:name w:val="heading 7"/>
    <w:aliases w:val="Level3"/>
    <w:basedOn w:val="Normal"/>
    <w:next w:val="Normal"/>
    <w:link w:val="Heading7Char"/>
    <w:qFormat/>
    <w:rsid w:val="00AB01C5"/>
    <w:pPr>
      <w:keepNext/>
      <w:keepLines/>
      <w:numPr>
        <w:ilvl w:val="6"/>
        <w:numId w:val="15"/>
      </w:numPr>
      <w:suppressAutoHyphens/>
      <w:spacing w:before="320" w:line="280" w:lineRule="exact"/>
      <w:outlineLvl w:val="6"/>
    </w:pPr>
    <w:rPr>
      <w:rFonts w:ascii="Times LT Std" w:hAnsi="Times LT Std"/>
      <w:b/>
      <w:i/>
      <w:sz w:val="20"/>
      <w:szCs w:val="20"/>
    </w:rPr>
  </w:style>
  <w:style w:type="paragraph" w:styleId="Heading8">
    <w:name w:val="heading 8"/>
    <w:aliases w:val="Level4"/>
    <w:basedOn w:val="Normal"/>
    <w:next w:val="Normal"/>
    <w:link w:val="Heading8Char"/>
    <w:qFormat/>
    <w:rsid w:val="00AB01C5"/>
    <w:pPr>
      <w:keepNext/>
      <w:keepLines/>
      <w:numPr>
        <w:ilvl w:val="7"/>
        <w:numId w:val="15"/>
      </w:numPr>
      <w:suppressAutoHyphens/>
      <w:spacing w:before="280" w:line="260" w:lineRule="exact"/>
      <w:outlineLvl w:val="7"/>
    </w:pPr>
    <w:rPr>
      <w:rFonts w:ascii="Times LT Std" w:hAnsi="Times LT Std"/>
      <w:b/>
      <w:sz w:val="22"/>
      <w:szCs w:val="20"/>
    </w:rPr>
  </w:style>
  <w:style w:type="paragraph" w:styleId="Heading9">
    <w:name w:val="heading 9"/>
    <w:aliases w:val="Level5"/>
    <w:basedOn w:val="Normal"/>
    <w:next w:val="Normal"/>
    <w:link w:val="Heading9Char"/>
    <w:qFormat/>
    <w:rsid w:val="00AB01C5"/>
    <w:pPr>
      <w:keepNext/>
      <w:keepLines/>
      <w:numPr>
        <w:ilvl w:val="8"/>
        <w:numId w:val="15"/>
      </w:numPr>
      <w:suppressAutoHyphens/>
      <w:spacing w:before="280" w:line="260" w:lineRule="exact"/>
      <w:outlineLvl w:val="8"/>
    </w:pPr>
    <w:rPr>
      <w:rFonts w:ascii="Times LT Std" w:hAnsi="Times LT Std"/>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iPriority w:val="99"/>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uiPriority w:val="99"/>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customStyle="1" w:styleId="Heading1Char">
    <w:name w:val="Heading 1 Char"/>
    <w:basedOn w:val="DefaultParagraphFont"/>
    <w:link w:val="Heading1"/>
    <w:rsid w:val="00AB01C5"/>
    <w:rPr>
      <w:rFonts w:ascii="Times LT Std" w:eastAsia="Times New Roman" w:hAnsi="Times LT Std" w:cs="Times New Roman"/>
      <w:b/>
      <w:kern w:val="28"/>
      <w:sz w:val="32"/>
      <w:szCs w:val="20"/>
    </w:rPr>
  </w:style>
  <w:style w:type="character" w:customStyle="1" w:styleId="Heading2Char">
    <w:name w:val="Heading 2 Char"/>
    <w:basedOn w:val="DefaultParagraphFont"/>
    <w:link w:val="Heading2"/>
    <w:rsid w:val="00AB01C5"/>
    <w:rPr>
      <w:rFonts w:ascii="Times LT Std" w:eastAsia="Times New Roman" w:hAnsi="Times LT Std" w:cs="Times New Roman"/>
      <w:b/>
      <w:caps/>
      <w:kern w:val="20"/>
      <w:sz w:val="40"/>
      <w:szCs w:val="20"/>
    </w:rPr>
  </w:style>
  <w:style w:type="character" w:customStyle="1" w:styleId="Heading3Char">
    <w:name w:val="Heading 3 Char"/>
    <w:basedOn w:val="DefaultParagraphFont"/>
    <w:link w:val="Heading3"/>
    <w:rsid w:val="00AB01C5"/>
    <w:rPr>
      <w:rFonts w:ascii="Times LT Std" w:eastAsia="Times New Roman" w:hAnsi="Times LT Std" w:cs="Times New Roman"/>
      <w:kern w:val="20"/>
      <w:sz w:val="20"/>
      <w:szCs w:val="20"/>
    </w:rPr>
  </w:style>
  <w:style w:type="character" w:customStyle="1" w:styleId="Heading4Char">
    <w:name w:val="Heading 4 Char"/>
    <w:basedOn w:val="DefaultParagraphFont"/>
    <w:link w:val="Heading4"/>
    <w:rsid w:val="00AB01C5"/>
    <w:rPr>
      <w:rFonts w:ascii="Times LT Std" w:eastAsia="Times New Roman" w:hAnsi="Times LT Std" w:cs="Times New Roman"/>
      <w:i/>
      <w:kern w:val="20"/>
      <w:sz w:val="20"/>
      <w:szCs w:val="20"/>
    </w:rPr>
  </w:style>
  <w:style w:type="character" w:customStyle="1" w:styleId="Heading5Char">
    <w:name w:val="Heading 5 Char"/>
    <w:basedOn w:val="DefaultParagraphFont"/>
    <w:link w:val="Heading5"/>
    <w:rsid w:val="00AB01C5"/>
    <w:rPr>
      <w:rFonts w:ascii="Times LT Std" w:eastAsia="Times New Roman" w:hAnsi="Times LT Std" w:cs="Times New Roman"/>
      <w:b/>
      <w:caps/>
      <w:kern w:val="20"/>
      <w:sz w:val="26"/>
      <w:szCs w:val="20"/>
    </w:rPr>
  </w:style>
  <w:style w:type="character" w:customStyle="1" w:styleId="Heading6Char">
    <w:name w:val="Heading 6 Char"/>
    <w:basedOn w:val="DefaultParagraphFont"/>
    <w:link w:val="Heading6"/>
    <w:rsid w:val="00AB01C5"/>
    <w:rPr>
      <w:rFonts w:ascii="Times LT Std" w:eastAsia="Times New Roman" w:hAnsi="Times LT Std" w:cs="Times New Roman"/>
      <w:b/>
      <w:kern w:val="20"/>
      <w:sz w:val="26"/>
      <w:szCs w:val="20"/>
    </w:rPr>
  </w:style>
  <w:style w:type="character" w:customStyle="1" w:styleId="Heading7Char">
    <w:name w:val="Heading 7 Char"/>
    <w:basedOn w:val="DefaultParagraphFont"/>
    <w:link w:val="Heading7"/>
    <w:rsid w:val="00AB01C5"/>
    <w:rPr>
      <w:rFonts w:ascii="Times LT Std" w:eastAsia="Times New Roman" w:hAnsi="Times LT Std" w:cs="Times New Roman"/>
      <w:b/>
      <w:i/>
      <w:kern w:val="20"/>
      <w:sz w:val="20"/>
      <w:szCs w:val="20"/>
    </w:rPr>
  </w:style>
  <w:style w:type="character" w:customStyle="1" w:styleId="Heading8Char">
    <w:name w:val="Heading 8 Char"/>
    <w:basedOn w:val="DefaultParagraphFont"/>
    <w:link w:val="Heading8"/>
    <w:rsid w:val="00AB01C5"/>
    <w:rPr>
      <w:rFonts w:ascii="Times LT Std" w:eastAsia="Times New Roman" w:hAnsi="Times LT Std" w:cs="Times New Roman"/>
      <w:b/>
      <w:kern w:val="20"/>
      <w:sz w:val="22"/>
      <w:szCs w:val="20"/>
    </w:rPr>
  </w:style>
  <w:style w:type="character" w:customStyle="1" w:styleId="Heading9Char">
    <w:name w:val="Heading 9 Char"/>
    <w:basedOn w:val="DefaultParagraphFont"/>
    <w:link w:val="Heading9"/>
    <w:rsid w:val="00AB01C5"/>
    <w:rPr>
      <w:rFonts w:ascii="Times LT Std" w:eastAsia="Times New Roman" w:hAnsi="Times LT Std" w:cs="Times New Roman"/>
      <w:i/>
      <w:kern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Ken Salinger</cp:lastModifiedBy>
  <cp:revision>4</cp:revision>
  <dcterms:created xsi:type="dcterms:W3CDTF">2022-10-25T14:59:00Z</dcterms:created>
  <dcterms:modified xsi:type="dcterms:W3CDTF">2022-10-25T15:15:00Z</dcterms:modified>
</cp:coreProperties>
</file>