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5E2A" w14:textId="7BEAC441" w:rsidR="00F90828" w:rsidRPr="005D4166" w:rsidRDefault="00F90828" w:rsidP="00F90828">
      <w:pPr>
        <w:pStyle w:val="JuryInstructionText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Publication Date: </w:t>
      </w:r>
      <w:r w:rsidR="005D23B0">
        <w:rPr>
          <w:i/>
          <w:iCs/>
          <w:sz w:val="24"/>
          <w:szCs w:val="24"/>
        </w:rPr>
        <w:t xml:space="preserve">May </w:t>
      </w:r>
      <w:r w:rsidR="000F34F5">
        <w:rPr>
          <w:i/>
          <w:iCs/>
          <w:sz w:val="24"/>
          <w:szCs w:val="24"/>
        </w:rPr>
        <w:t>22</w:t>
      </w:r>
      <w:r w:rsidR="005D23B0">
        <w:rPr>
          <w:i/>
          <w:iCs/>
          <w:sz w:val="24"/>
          <w:szCs w:val="24"/>
        </w:rPr>
        <w:t>, 2025</w:t>
      </w:r>
    </w:p>
    <w:p w14:paraId="0F07EC33" w14:textId="71CC72E5" w:rsidR="00F90828" w:rsidRPr="00016CA0" w:rsidRDefault="00F90828" w:rsidP="00F90828">
      <w:pPr>
        <w:pStyle w:val="JuryInst2"/>
        <w:rPr>
          <w:rFonts w:eastAsia="Times New Roman"/>
          <w:szCs w:val="28"/>
        </w:rPr>
      </w:pPr>
      <w:r>
        <w:rPr>
          <w:rFonts w:eastAsia="Times New Roman"/>
          <w:szCs w:val="28"/>
        </w:rPr>
        <w:t>Breach of Fiduciary Duty</w:t>
      </w:r>
    </w:p>
    <w:p w14:paraId="3DFD1607" w14:textId="68CAEAC1" w:rsidR="00F90828" w:rsidRPr="00660739" w:rsidRDefault="00F90828" w:rsidP="00F90828">
      <w:pPr>
        <w:pStyle w:val="JuryInstructionText"/>
      </w:pPr>
      <w:r w:rsidRPr="00660739">
        <w:t xml:space="preserve">PLF claims that DFT violated her/his fiduciary duty by </w:t>
      </w:r>
      <w:r>
        <w:t>&lt;</w:t>
      </w:r>
      <w:r>
        <w:rPr>
          <w:b/>
          <w:bCs/>
          <w:i/>
          <w:iCs/>
        </w:rPr>
        <w:t>insert specifics</w:t>
      </w:r>
      <w:r>
        <w:t>&gt;</w:t>
      </w:r>
      <w:r w:rsidR="005B0DB1">
        <w:t xml:space="preserve">. </w:t>
      </w:r>
      <w:r>
        <w:t>C</w:t>
      </w:r>
      <w:r w:rsidRPr="00660739">
        <w:t xml:space="preserve">ertain special relationships between individuals create </w:t>
      </w:r>
      <w:r>
        <w:t xml:space="preserve">what we call </w:t>
      </w:r>
      <w:r w:rsidRPr="00660739">
        <w:t xml:space="preserve">a </w:t>
      </w:r>
      <w:r>
        <w:t>“</w:t>
      </w:r>
      <w:r w:rsidRPr="00660739">
        <w:t>fiduciary duty.</w:t>
      </w:r>
      <w:r>
        <w:t>”</w:t>
      </w:r>
      <w:r w:rsidRPr="00660739">
        <w:t xml:space="preserve">  A fiduciary duty requires one person to act with honesty, fairness, and loyalty toward the other person</w:t>
      </w:r>
      <w:r w:rsidR="005B0DB1">
        <w:t xml:space="preserve">. </w:t>
      </w:r>
      <w:r w:rsidRPr="00660739">
        <w:t>In other words, a fiduciary duty requires one person to act in the other person’s best interests and not out of self-interest.</w:t>
      </w:r>
    </w:p>
    <w:p w14:paraId="3142D88B" w14:textId="77777777" w:rsidR="00F90828" w:rsidRPr="00660739" w:rsidRDefault="00F90828" w:rsidP="00F90828">
      <w:pPr>
        <w:pStyle w:val="JuryInstructionText"/>
      </w:pPr>
      <w:r w:rsidRPr="00660739">
        <w:t>To prove this claim, PLF must prove three things:</w:t>
      </w:r>
    </w:p>
    <w:p w14:paraId="6C7A29B4" w14:textId="77777777" w:rsidR="00F90828" w:rsidRDefault="00F90828" w:rsidP="00F90828">
      <w:pPr>
        <w:pStyle w:val="JuryInstructionElements"/>
      </w:pPr>
      <w:r>
        <w:t>1.</w:t>
      </w:r>
      <w:r>
        <w:tab/>
        <w:t>PLF had a special relationship with DFT that created a fiduciary duty;</w:t>
      </w:r>
      <w:r w:rsidRPr="00C64B59">
        <w:rPr>
          <w:rStyle w:val="FootnoteReference"/>
          <w:rFonts w:cs="Segoe UI Historic"/>
          <w:bCs/>
        </w:rPr>
        <w:footnoteReference w:id="1"/>
      </w:r>
    </w:p>
    <w:p w14:paraId="259EDD19" w14:textId="77777777" w:rsidR="00F90828" w:rsidRPr="00CF758B" w:rsidRDefault="00F90828" w:rsidP="00F90828">
      <w:pPr>
        <w:pStyle w:val="JuryInstructionElements"/>
      </w:pPr>
      <w:r>
        <w:t>2.</w:t>
      </w:r>
      <w:r>
        <w:tab/>
        <w:t>DFT violated that duty</w:t>
      </w:r>
      <w:r w:rsidRPr="00CF758B">
        <w:t>;</w:t>
      </w:r>
      <w:r>
        <w:t xml:space="preserve"> and </w:t>
      </w:r>
    </w:p>
    <w:p w14:paraId="5A94C18D" w14:textId="77777777" w:rsidR="00F90828" w:rsidRDefault="00F90828" w:rsidP="00F90828">
      <w:pPr>
        <w:pStyle w:val="JuryInstructionElements"/>
      </w:pPr>
      <w:r>
        <w:t>3.</w:t>
      </w:r>
      <w:r>
        <w:tab/>
        <w:t>PLF suffered harm or loss as a result.</w:t>
      </w:r>
      <w:r w:rsidRPr="00C64B59">
        <w:rPr>
          <w:rStyle w:val="FootnoteReference"/>
          <w:rFonts w:cs="Segoe UI Historic"/>
          <w:bCs/>
        </w:rPr>
        <w:footnoteReference w:id="2"/>
      </w:r>
    </w:p>
    <w:p w14:paraId="17D22447" w14:textId="77777777" w:rsidR="00F90828" w:rsidRDefault="00F90828" w:rsidP="00F90828">
      <w:pPr>
        <w:pStyle w:val="JuryInstructionText"/>
      </w:pPr>
      <w:r>
        <w:t>I will now explain each of these items in more detail.</w:t>
      </w:r>
    </w:p>
    <w:p w14:paraId="73C67A67" w14:textId="77777777" w:rsidR="00F90828" w:rsidRDefault="00F90828" w:rsidP="00F90828">
      <w:pPr>
        <w:pStyle w:val="JuryInst3"/>
        <w:rPr>
          <w:snapToGrid w:val="0"/>
        </w:rPr>
      </w:pPr>
      <w:bookmarkStart w:id="0" w:name="_Toc404328760"/>
      <w:bookmarkStart w:id="1" w:name="_Toc529873446"/>
      <w:r w:rsidRPr="00660739">
        <w:rPr>
          <w:snapToGrid w:val="0"/>
        </w:rPr>
        <w:lastRenderedPageBreak/>
        <w:t>Existence of a Duty</w:t>
      </w:r>
      <w:bookmarkEnd w:id="0"/>
      <w:bookmarkEnd w:id="1"/>
      <w:r w:rsidRPr="00C64B59">
        <w:rPr>
          <w:rStyle w:val="FootnoteReference"/>
          <w:b/>
          <w:bCs/>
          <w:snapToGrid w:val="0"/>
        </w:rPr>
        <w:footnoteReference w:id="3"/>
      </w:r>
    </w:p>
    <w:p w14:paraId="2052AD9E" w14:textId="77777777" w:rsidR="00F90828" w:rsidRDefault="00F90828" w:rsidP="005B0DB1">
      <w:pPr>
        <w:pStyle w:val="JuryInstructionText"/>
        <w:keepLines/>
      </w:pPr>
      <w:r>
        <w:t>&lt;</w:t>
      </w:r>
      <w:r>
        <w:rPr>
          <w:b/>
          <w:bCs/>
          <w:i/>
          <w:iCs/>
        </w:rPr>
        <w:t>NOTE: Parties in certain kinds of relationships (for example attorney/client, trustee/beneficiary, or partnership) have a fiduciary relationship as a matter of law.</w:t>
      </w:r>
      <w:r w:rsidRPr="00C64B59">
        <w:rPr>
          <w:rStyle w:val="FootnoteReference"/>
          <w:i/>
          <w:iCs/>
        </w:rPr>
        <w:footnoteReference w:id="4"/>
      </w:r>
      <w:r>
        <w:rPr>
          <w:b/>
          <w:bCs/>
          <w:i/>
          <w:iCs/>
        </w:rPr>
        <w:t xml:space="preserve"> But a fiduciary relationship may also arise in other situations where one person puts their trust and confidence in, and is dependent upon, the other person’s judgment, honesty, and integrity.</w:t>
      </w:r>
      <w:r w:rsidRPr="00C64B59">
        <w:rPr>
          <w:rStyle w:val="FootnoteReference"/>
          <w:i/>
          <w:iCs/>
        </w:rPr>
        <w:footnoteReference w:id="5"/>
      </w:r>
      <w:r>
        <w:rPr>
          <w:b/>
          <w:bCs/>
          <w:i/>
          <w:iCs/>
        </w:rPr>
        <w:t xml:space="preserve"> There are three main ways that the existence of a fiduciary relationship must be addressed in final jury instructions.</w:t>
      </w:r>
      <w:r>
        <w:t>&gt;</w:t>
      </w:r>
    </w:p>
    <w:p w14:paraId="1EDB44F7" w14:textId="77777777" w:rsidR="00F90828" w:rsidRDefault="00F90828" w:rsidP="00F90828">
      <w:pPr>
        <w:pStyle w:val="JuryInstructionText"/>
      </w:pPr>
      <w:r>
        <w:t>&lt;</w:t>
      </w:r>
      <w:r>
        <w:rPr>
          <w:b/>
          <w:bCs/>
          <w:i/>
          <w:iCs/>
        </w:rPr>
        <w:t>First, if it is undisputed that the parties had a relationship giving rise to fiduciary duties as a matter of law, then delete the “existence of duty” element, instruct the jury that the parties were in such a relationship (explaining its nature) and that DFT therefore owed PLF a fiduciary party, and instruct on the nature of the duties owed in the particular case.</w:t>
      </w:r>
      <w:r>
        <w:t>&gt;</w:t>
      </w:r>
    </w:p>
    <w:p w14:paraId="5CF184E8" w14:textId="0523A85E" w:rsidR="00F90828" w:rsidRDefault="00F90828" w:rsidP="00F90828">
      <w:pPr>
        <w:pStyle w:val="JuryInstructionText"/>
      </w:pPr>
      <w:r>
        <w:t>&lt;</w:t>
      </w:r>
      <w:r>
        <w:rPr>
          <w:b/>
          <w:bCs/>
          <w:i/>
          <w:iCs/>
        </w:rPr>
        <w:t xml:space="preserve">Second, if plaintiff claims but defendant </w:t>
      </w:r>
      <w:proofErr w:type="gramStart"/>
      <w:r>
        <w:rPr>
          <w:b/>
          <w:bCs/>
          <w:i/>
          <w:iCs/>
        </w:rPr>
        <w:t>disputes</w:t>
      </w:r>
      <w:proofErr w:type="gramEnd"/>
      <w:r>
        <w:rPr>
          <w:b/>
          <w:bCs/>
          <w:i/>
          <w:iCs/>
        </w:rPr>
        <w:t xml:space="preserve"> they had a relationship that would give rise to fiduciary duties as a matter of law, give appropriate instruction. Models concerning different kinds of relationships are set forth below</w:t>
      </w:r>
      <w:r w:rsidR="005B0DB1">
        <w:rPr>
          <w:b/>
          <w:bCs/>
          <w:i/>
          <w:iCs/>
        </w:rPr>
        <w:t>, under “Possible Alternative Instructions.”</w:t>
      </w:r>
      <w:r>
        <w:t>&gt;</w:t>
      </w:r>
    </w:p>
    <w:p w14:paraId="38849591" w14:textId="77777777" w:rsidR="00F90828" w:rsidRDefault="00F90828" w:rsidP="00F90828">
      <w:pPr>
        <w:pStyle w:val="JuryInstructionText"/>
      </w:pPr>
      <w:r>
        <w:lastRenderedPageBreak/>
        <w:t>&lt;</w:t>
      </w:r>
      <w:r w:rsidRPr="00E049E6">
        <w:rPr>
          <w:b/>
          <w:i/>
        </w:rPr>
        <w:t>T</w:t>
      </w:r>
      <w:r w:rsidRPr="00E049E6">
        <w:rPr>
          <w:b/>
          <w:bCs/>
          <w:i/>
          <w:iCs/>
        </w:rPr>
        <w:t>hi</w:t>
      </w:r>
      <w:r>
        <w:rPr>
          <w:b/>
          <w:bCs/>
          <w:i/>
          <w:iCs/>
        </w:rPr>
        <w:t>rd, if plaintiff is not claiming the existence of a fiduciary duty as a matter of law, instruct as follows</w:t>
      </w:r>
      <w:r w:rsidRPr="00E049E6">
        <w:rPr>
          <w:b/>
          <w:bCs/>
          <w:i/>
          <w:iCs/>
        </w:rPr>
        <w:t>.</w:t>
      </w:r>
      <w:r w:rsidRPr="00E049E6">
        <w:rPr>
          <w:b/>
        </w:rPr>
        <w:t xml:space="preserve"> &gt;</w:t>
      </w:r>
    </w:p>
    <w:p w14:paraId="516ABAFC" w14:textId="77777777" w:rsidR="00F90828" w:rsidRDefault="00F90828" w:rsidP="00F90828">
      <w:pPr>
        <w:pStyle w:val="JuryInstructionText"/>
      </w:pPr>
      <w:r>
        <w:t>PLF must first prove that DFT had a duty to act in PLF’s best interest because they had a special relationship of trust.</w:t>
      </w:r>
    </w:p>
    <w:p w14:paraId="06943130" w14:textId="77777777" w:rsidR="00F90828" w:rsidRDefault="00F90828" w:rsidP="00F90828">
      <w:pPr>
        <w:pStyle w:val="JuryInstructionText"/>
      </w:pPr>
      <w:r>
        <w:t>To prove that DFT owed PLF a fiduciary duty, PLF must prove that:</w:t>
      </w:r>
    </w:p>
    <w:p w14:paraId="7E2FB788" w14:textId="77777777" w:rsidR="00F90828" w:rsidRDefault="00F90828" w:rsidP="005B0DB1">
      <w:pPr>
        <w:pStyle w:val="JuryInstructionBullets"/>
      </w:pPr>
      <w:r>
        <w:t>PLF put his/her trust and confidence in DFT’s judgment, honesty, and integrity;</w:t>
      </w:r>
      <w:r>
        <w:rPr>
          <w:rStyle w:val="FootnoteReference"/>
        </w:rPr>
        <w:footnoteReference w:id="6"/>
      </w:r>
    </w:p>
    <w:p w14:paraId="07A0C5FC" w14:textId="77777777" w:rsidR="00F90828" w:rsidRDefault="00F90828" w:rsidP="005B0DB1">
      <w:pPr>
        <w:pStyle w:val="JuryInstructionBullets"/>
      </w:pPr>
      <w:r>
        <w:t>DFT knew that PLF was relying on DFT and accepted PLF’s trust and confidence.</w:t>
      </w:r>
      <w:r>
        <w:rPr>
          <w:rStyle w:val="FootnoteReference"/>
        </w:rPr>
        <w:footnoteReference w:id="7"/>
      </w:r>
    </w:p>
    <w:p w14:paraId="3DD8057A" w14:textId="0B954F97" w:rsidR="00F90828" w:rsidRDefault="00F90828" w:rsidP="00F90828">
      <w:pPr>
        <w:pStyle w:val="JuryInstructionText"/>
      </w:pPr>
      <w:r>
        <w:t>Y</w:t>
      </w:r>
      <w:r w:rsidRPr="00CF758B">
        <w:t xml:space="preserve">ou </w:t>
      </w:r>
      <w:r>
        <w:t>should</w:t>
      </w:r>
      <w:r w:rsidRPr="00CF758B">
        <w:t xml:space="preserve"> consider all of the circumstances</w:t>
      </w:r>
      <w:r>
        <w:t xml:space="preserve"> surrounding the relationship to decide whether PLF and DFT had the type of special relationship that gives rise to a fiduciary duty</w:t>
      </w:r>
      <w:r w:rsidR="005B0DB1">
        <w:t xml:space="preserve">. </w:t>
      </w:r>
      <w:r>
        <w:t>You should consider any difference in PLF’s and DFT’s skills, experience, and knowledge concerning the issues in this case</w:t>
      </w:r>
      <w:r w:rsidR="005B0DB1">
        <w:t xml:space="preserve">. </w:t>
      </w:r>
      <w:r>
        <w:t>A large difference in the capabilities of PLF and DFT may point to a special relationship</w:t>
      </w:r>
      <w:r w:rsidR="005B0DB1">
        <w:t xml:space="preserve">. </w:t>
      </w:r>
      <w:r>
        <w:t xml:space="preserve">You should also consider whether PLF actually relied on DFT’s </w:t>
      </w:r>
      <w:r w:rsidRPr="00CF758B">
        <w:t>specialized knowledge.</w:t>
      </w:r>
      <w:r>
        <w:t xml:space="preserve"> </w:t>
      </w:r>
    </w:p>
    <w:p w14:paraId="2356E440" w14:textId="77777777" w:rsidR="00F90828" w:rsidRPr="00660739" w:rsidRDefault="00F90828" w:rsidP="00F90828">
      <w:pPr>
        <w:pStyle w:val="JuryInst3"/>
      </w:pPr>
      <w:r w:rsidRPr="00660739">
        <w:t>Breach of Duty</w:t>
      </w:r>
    </w:p>
    <w:p w14:paraId="577F374D" w14:textId="7A42B60E" w:rsidR="00F90828" w:rsidRPr="00897650" w:rsidRDefault="00F90828" w:rsidP="00F90828">
      <w:pPr>
        <w:pStyle w:val="JuryInstructionText"/>
      </w:pPr>
      <w:r>
        <w:t>Second, PLF must prove that DFT violated her/his fiduciary duty</w:t>
      </w:r>
      <w:r w:rsidR="005B0DB1">
        <w:t xml:space="preserve">. </w:t>
      </w:r>
    </w:p>
    <w:p w14:paraId="46796CD3" w14:textId="39E5A9C8" w:rsidR="00F90828" w:rsidRDefault="00F90828" w:rsidP="00F90828">
      <w:pPr>
        <w:pStyle w:val="JuryInstructionText"/>
      </w:pPr>
      <w:r>
        <w:t>A breach of fiduciary duty may occur by taking some action or through an intentional failure to act</w:t>
      </w:r>
      <w:r w:rsidR="005B0DB1">
        <w:t xml:space="preserve">. </w:t>
      </w:r>
      <w:r>
        <w:t>PLF</w:t>
      </w:r>
      <w:r w:rsidRPr="00897650">
        <w:t xml:space="preserve"> does not have to show corruption, dishonesty</w:t>
      </w:r>
      <w:r>
        <w:t>,</w:t>
      </w:r>
      <w:r w:rsidRPr="00897650">
        <w:t xml:space="preserve"> or bad faith to prove that </w:t>
      </w:r>
      <w:r>
        <w:t>DFT</w:t>
      </w:r>
      <w:r w:rsidRPr="00897650">
        <w:t xml:space="preserve"> breached her</w:t>
      </w:r>
      <w:r>
        <w:t>/his</w:t>
      </w:r>
      <w:r w:rsidRPr="00897650">
        <w:t xml:space="preserve"> fiduciary duty</w:t>
      </w:r>
      <w:r w:rsidR="005B0DB1">
        <w:t xml:space="preserve">. </w:t>
      </w:r>
      <w:r>
        <w:t>A</w:t>
      </w:r>
      <w:r w:rsidRPr="00897650">
        <w:t xml:space="preserve"> fiduciary does not breach </w:t>
      </w:r>
      <w:r>
        <w:t>her/his</w:t>
      </w:r>
      <w:r w:rsidRPr="00897650">
        <w:t xml:space="preserve"> </w:t>
      </w:r>
      <w:r>
        <w:t xml:space="preserve">fiduciary </w:t>
      </w:r>
      <w:r w:rsidRPr="00897650">
        <w:t>duty by</w:t>
      </w:r>
      <w:r>
        <w:t xml:space="preserve"> a mistake of judgment or if s/he</w:t>
      </w:r>
      <w:r w:rsidRPr="00897650">
        <w:t xml:space="preserve"> </w:t>
      </w:r>
      <w:r w:rsidRPr="00897650">
        <w:lastRenderedPageBreak/>
        <w:t xml:space="preserve">reasonably believed in good faith that </w:t>
      </w:r>
      <w:r>
        <w:t>her/his</w:t>
      </w:r>
      <w:r w:rsidRPr="00897650">
        <w:t xml:space="preserve"> actions were loyal to </w:t>
      </w:r>
      <w:r>
        <w:t>PLF’s</w:t>
      </w:r>
      <w:r w:rsidRPr="00897650">
        <w:t xml:space="preserve"> best interests</w:t>
      </w:r>
      <w:r w:rsidR="005B0DB1">
        <w:t xml:space="preserve">. </w:t>
      </w:r>
    </w:p>
    <w:p w14:paraId="3B50AB0D" w14:textId="77777777" w:rsidR="00F90828" w:rsidRPr="009B68AE" w:rsidRDefault="00F90828" w:rsidP="00F90828">
      <w:pPr>
        <w:pStyle w:val="JuryInst3"/>
      </w:pPr>
      <w:r w:rsidRPr="009B68AE">
        <w:t>Harm or Loss</w:t>
      </w:r>
    </w:p>
    <w:p w14:paraId="20BEE7BE" w14:textId="6DCBA1FF" w:rsidR="00F90828" w:rsidRDefault="00F90828" w:rsidP="00F90828">
      <w:pPr>
        <w:pStyle w:val="JuryInstructionText"/>
      </w:pPr>
      <w:r>
        <w:t>Finally, if DFT breached her/his fiduciary duty, PLF must then prove that the breach caused her/him loss or harm</w:t>
      </w:r>
      <w:r w:rsidR="005B0DB1">
        <w:t xml:space="preserve">. </w:t>
      </w:r>
      <w:r>
        <w:t xml:space="preserve"> We often refer to this loss or harm as damages.</w:t>
      </w:r>
    </w:p>
    <w:p w14:paraId="56CD2B94" w14:textId="77777777" w:rsidR="00F90828" w:rsidRDefault="00F90828" w:rsidP="00F90828">
      <w:pPr>
        <w:pStyle w:val="JuryInstructionText"/>
      </w:pPr>
      <w:r>
        <w:t>In order for you to award damages, PLF must convince you that:</w:t>
      </w:r>
    </w:p>
    <w:p w14:paraId="180DB884" w14:textId="77777777" w:rsidR="00F90828" w:rsidRPr="005B0DB1" w:rsidRDefault="00F90828" w:rsidP="005B0DB1">
      <w:pPr>
        <w:pStyle w:val="JuryInstructionBullets"/>
      </w:pPr>
      <w:r>
        <w:t xml:space="preserve">PLF </w:t>
      </w:r>
      <w:r w:rsidRPr="00DE589E">
        <w:t>lost b</w:t>
      </w:r>
      <w:r w:rsidRPr="005B0DB1">
        <w:t xml:space="preserve">enefits, legal rights, money or suffered some other financial harm without receiving equivalent value in return; and </w:t>
      </w:r>
    </w:p>
    <w:p w14:paraId="616C5B12" w14:textId="7850AA24" w:rsidR="00F90828" w:rsidRDefault="00F90828" w:rsidP="005B0DB1">
      <w:pPr>
        <w:pStyle w:val="JuryInstructionBullets"/>
      </w:pPr>
      <w:r w:rsidRPr="005B0DB1">
        <w:t xml:space="preserve">DFT’s breach of fiduciary duty was a </w:t>
      </w:r>
      <w:r w:rsidR="00D013EF">
        <w:t>cause of</w:t>
      </w:r>
      <w:r w:rsidRPr="005B0DB1">
        <w:t xml:space="preserve"> that loss</w:t>
      </w:r>
      <w:r w:rsidR="005B0DB1">
        <w:t xml:space="preserve">. </w:t>
      </w:r>
      <w:r w:rsidRPr="005B0DB1">
        <w:t>That means that DFT’s b</w:t>
      </w:r>
      <w:r>
        <w:t>reach of duty</w:t>
      </w:r>
      <w:r w:rsidRPr="00CC4523">
        <w:t xml:space="preserve"> must have made a difference in the result</w:t>
      </w:r>
      <w:r w:rsidR="005B0DB1">
        <w:t xml:space="preserve">. </w:t>
      </w:r>
      <w:r w:rsidRPr="00CC4523">
        <w:t xml:space="preserve">It does not matter whether other causes also contributed to PLF’s </w:t>
      </w:r>
      <w:r>
        <w:t>loss as</w:t>
      </w:r>
      <w:r w:rsidRPr="00CC4523">
        <w:t xml:space="preserve"> long as DFT’s </w:t>
      </w:r>
      <w:r>
        <w:t xml:space="preserve">breach of fiduciary duty </w:t>
      </w:r>
      <w:r w:rsidR="00C148B3">
        <w:t>was a cause of the damages.</w:t>
      </w:r>
      <w:r w:rsidR="003143E4">
        <w:rPr>
          <w:rStyle w:val="FootnoteReference"/>
        </w:rPr>
        <w:footnoteReference w:id="8"/>
      </w:r>
    </w:p>
    <w:p w14:paraId="14EEA772" w14:textId="53CE49FB" w:rsidR="00F90828" w:rsidRDefault="00F90828" w:rsidP="00F90828">
      <w:pPr>
        <w:pStyle w:val="JuryInstructionText"/>
        <w:rPr>
          <w:vertAlign w:val="superscript"/>
        </w:rPr>
      </w:pPr>
      <w:r w:rsidRPr="00D337E8">
        <w:t>Sometimes there is an element of uncertainty in proving one or more area of damage</w:t>
      </w:r>
      <w:r>
        <w:t>s</w:t>
      </w:r>
      <w:r w:rsidR="005B0DB1">
        <w:t xml:space="preserve">. </w:t>
      </w:r>
      <w:r>
        <w:t xml:space="preserve">Uncertainty </w:t>
      </w:r>
      <w:r w:rsidRPr="00D337E8">
        <w:t>does not necessarily prevent you from awarding full and fair compensation</w:t>
      </w:r>
      <w:r w:rsidR="005B0DB1">
        <w:t xml:space="preserve">. </w:t>
      </w:r>
      <w:r>
        <w:t>On the other hand, y</w:t>
      </w:r>
      <w:r w:rsidRPr="00D337E8">
        <w:t xml:space="preserve">ou may not determine </w:t>
      </w:r>
      <w:r>
        <w:t xml:space="preserve">PLF’s </w:t>
      </w:r>
      <w:r w:rsidRPr="00D337E8">
        <w:t>damages by</w:t>
      </w:r>
      <w:r>
        <w:t xml:space="preserve"> </w:t>
      </w:r>
      <w:r w:rsidRPr="00D337E8">
        <w:t>speculation or guesswork</w:t>
      </w:r>
      <w:r w:rsidR="005B0DB1">
        <w:t xml:space="preserve">. </w:t>
      </w:r>
      <w:r>
        <w:t xml:space="preserve">You may award damages if the </w:t>
      </w:r>
      <w:r w:rsidRPr="00D337E8">
        <w:t>evidence allows you to draw fair and reasonable conclusions about the extent of the damages</w:t>
      </w:r>
      <w:r w:rsidR="005B0DB1">
        <w:t xml:space="preserve">. </w:t>
      </w:r>
      <w:r>
        <w:t>W</w:t>
      </w:r>
      <w:r w:rsidRPr="00D337E8">
        <w:t>e leave the amount of damages to your judgment, sometimes upon meager evidence.</w:t>
      </w:r>
      <w:r>
        <w:rPr>
          <w:rStyle w:val="FootnoteReference"/>
        </w:rPr>
        <w:footnoteReference w:id="9"/>
      </w:r>
    </w:p>
    <w:p w14:paraId="229A7517" w14:textId="77777777" w:rsidR="00F90828" w:rsidRDefault="00F90828" w:rsidP="00F90828">
      <w:pPr>
        <w:pStyle w:val="JuryInst2"/>
      </w:pPr>
      <w:r>
        <w:lastRenderedPageBreak/>
        <w:t>Possible Alternative Instructions</w:t>
      </w:r>
    </w:p>
    <w:p w14:paraId="1A8AC16F" w14:textId="77777777" w:rsidR="00F90828" w:rsidRPr="009B68AE" w:rsidRDefault="00F90828" w:rsidP="00F90828">
      <w:pPr>
        <w:pStyle w:val="JuryInst3"/>
      </w:pPr>
      <w:r w:rsidRPr="009B68AE">
        <w:t>Partnership</w:t>
      </w:r>
    </w:p>
    <w:p w14:paraId="582B7D24" w14:textId="70D85171" w:rsidR="00F90828" w:rsidRDefault="00F90828" w:rsidP="00F90828">
      <w:pPr>
        <w:pStyle w:val="JuryInstructionText"/>
      </w:pPr>
      <w:r>
        <w:t>PLF claims that DFT violated the fiduciary duty that partners owe each other</w:t>
      </w:r>
      <w:r w:rsidR="005B0DB1">
        <w:t xml:space="preserve">. </w:t>
      </w:r>
      <w:r>
        <w:t>In order to determine if PLF has proven her/his claim, the first thing you must decide is whether PLF and DFT were in a partnership</w:t>
      </w:r>
      <w:r w:rsidR="005B0DB1">
        <w:t xml:space="preserve">. </w:t>
      </w:r>
      <w:r>
        <w:t xml:space="preserve"> </w:t>
      </w:r>
      <w:r w:rsidRPr="00CF758B">
        <w:t>Massachusetts law defines a partnership as an asso</w:t>
      </w:r>
      <w:r>
        <w:t>ciation of two or more persons who are co-owners of a for-profit business.</w:t>
      </w:r>
      <w:r w:rsidRPr="00C64B59">
        <w:rPr>
          <w:rStyle w:val="FootnoteReference"/>
          <w:rFonts w:cs="Segoe UI Historic"/>
          <w:bCs/>
        </w:rPr>
        <w:footnoteReference w:id="10"/>
      </w:r>
      <w:r w:rsidRPr="00CF758B">
        <w:t xml:space="preserve"> </w:t>
      </w:r>
      <w:r>
        <w:t xml:space="preserve"> This means that PLF must prove that s/he and DFT agreed to share the profits and losses of their business</w:t>
      </w:r>
      <w:r w:rsidR="005B0DB1">
        <w:t xml:space="preserve">. </w:t>
      </w:r>
      <w:r>
        <w:t>The agreement may be written or oral or a combination of the two</w:t>
      </w:r>
      <w:r w:rsidR="005B0DB1">
        <w:t xml:space="preserve">. </w:t>
      </w:r>
    </w:p>
    <w:p w14:paraId="176CA24D" w14:textId="77777777" w:rsidR="00F90828" w:rsidRPr="00CF758B" w:rsidRDefault="00F90828" w:rsidP="00F90828">
      <w:pPr>
        <w:pStyle w:val="JuryInstructionText"/>
        <w:rPr>
          <w:snapToGrid w:val="0"/>
        </w:rPr>
      </w:pPr>
      <w:r>
        <w:t>&lt;</w:t>
      </w:r>
      <w:r>
        <w:rPr>
          <w:b/>
          <w:bCs/>
          <w:i/>
          <w:iCs/>
        </w:rPr>
        <w:t>if no written partnership agreement</w:t>
      </w:r>
      <w:r>
        <w:t xml:space="preserve">&gt; Since there is no written agreement in this case, you should look at PLF’s and DFT’s words and actions to decide whether they intended to operate an enterprise as partners. </w:t>
      </w:r>
    </w:p>
    <w:p w14:paraId="3D9B1DBE" w14:textId="1EE1EBBB" w:rsidR="00F90828" w:rsidRPr="002C506B" w:rsidRDefault="00F90828" w:rsidP="00F90828">
      <w:pPr>
        <w:pStyle w:val="JuryInstructionText"/>
      </w:pPr>
      <w:r>
        <w:t>While an agr</w:t>
      </w:r>
      <w:r w:rsidRPr="002C506B">
        <w:t>eement to share profits is essential for there to be a partnership, it is not enough standing by itself</w:t>
      </w:r>
      <w:r w:rsidR="005B0DB1">
        <w:t xml:space="preserve">. </w:t>
      </w:r>
    </w:p>
    <w:p w14:paraId="02D0DD97" w14:textId="77777777" w:rsidR="00F90828" w:rsidRPr="002C506B" w:rsidRDefault="00F90828" w:rsidP="00F90828">
      <w:pPr>
        <w:pStyle w:val="JuryInstructionText"/>
      </w:pPr>
      <w:r w:rsidRPr="002C506B">
        <w:t>You should weigh the following additional factors to decide whether PLF and DFT formed a partnership.</w:t>
      </w:r>
    </w:p>
    <w:p w14:paraId="21D19BFC" w14:textId="30FD9111" w:rsidR="00F90828" w:rsidRPr="004F2F44" w:rsidRDefault="005B0DB1" w:rsidP="005B0DB1">
      <w:pPr>
        <w:pStyle w:val="JuryInstructionBullets"/>
      </w:pPr>
      <w:r>
        <w:t>D</w:t>
      </w:r>
      <w:r w:rsidR="00F90828" w:rsidRPr="004F2F44">
        <w:t>id each bring something of value to the enterprise, such as money, property, knowledge, efforts, skills, and the like?</w:t>
      </w:r>
    </w:p>
    <w:p w14:paraId="0159D9E3" w14:textId="0EA34388" w:rsidR="00F90828" w:rsidRPr="004F2F44" w:rsidRDefault="005B0DB1" w:rsidP="005B0DB1">
      <w:pPr>
        <w:pStyle w:val="JuryInstructionBullets"/>
      </w:pPr>
      <w:r>
        <w:t>D</w:t>
      </w:r>
      <w:r w:rsidR="00F90828" w:rsidRPr="004F2F44">
        <w:t>id each have the right to participate in the management or control of the enterprise?</w:t>
      </w:r>
    </w:p>
    <w:p w14:paraId="6F087A95" w14:textId="62F40D38" w:rsidR="00F90828" w:rsidRPr="00A26C57" w:rsidRDefault="005B0DB1" w:rsidP="005B0DB1">
      <w:pPr>
        <w:pStyle w:val="JuryInstructionBullets"/>
      </w:pPr>
      <w:r>
        <w:t>D</w:t>
      </w:r>
      <w:r w:rsidR="00F90828" w:rsidRPr="001A1E3D">
        <w:t>id each have the obligation to share in losses, debts, and similar obligations of the enterprise?</w:t>
      </w:r>
      <w:r w:rsidR="00F90828" w:rsidRPr="00C64B59">
        <w:rPr>
          <w:rStyle w:val="FootnoteReference"/>
          <w:bCs/>
        </w:rPr>
        <w:footnoteReference w:id="11"/>
      </w:r>
      <w:r w:rsidR="00F90828" w:rsidRPr="00A26C57">
        <w:rPr>
          <w:vertAlign w:val="superscript"/>
        </w:rPr>
        <w:t xml:space="preserve"> </w:t>
      </w:r>
    </w:p>
    <w:p w14:paraId="33538AE9" w14:textId="301F318B" w:rsidR="00F90828" w:rsidRDefault="00F90828" w:rsidP="00F90828">
      <w:pPr>
        <w:pStyle w:val="JuryInstructionText"/>
        <w:rPr>
          <w:vertAlign w:val="superscript"/>
        </w:rPr>
      </w:pPr>
      <w:r w:rsidRPr="002C506B">
        <w:lastRenderedPageBreak/>
        <w:t>No one factor will decide whether there was a partnership</w:t>
      </w:r>
      <w:r w:rsidR="005B0DB1">
        <w:t xml:space="preserve">. </w:t>
      </w:r>
      <w:r w:rsidRPr="002C506B">
        <w:t>On the other hand, PLF does not need to show that all factors exist</w:t>
      </w:r>
      <w:r w:rsidR="005B0DB1">
        <w:t xml:space="preserve">. </w:t>
      </w:r>
      <w:r w:rsidRPr="002C506B">
        <w:t>Rather, it is up to you to weigh the evidence presented on the various factor to decide whether PLF has</w:t>
      </w:r>
      <w:r>
        <w:t xml:space="preserve"> proven that s/he and DFT were partners.</w:t>
      </w:r>
    </w:p>
    <w:p w14:paraId="2704D780" w14:textId="77777777" w:rsidR="00F90828" w:rsidRPr="009B68AE" w:rsidRDefault="00F90828" w:rsidP="00F90828">
      <w:pPr>
        <w:pStyle w:val="JuryInst3"/>
      </w:pPr>
      <w:bookmarkStart w:id="10" w:name="_Toc404328763"/>
      <w:bookmarkStart w:id="11" w:name="_Toc529873449"/>
      <w:r w:rsidRPr="009B68AE">
        <w:t>Joint Venture</w:t>
      </w:r>
      <w:bookmarkEnd w:id="10"/>
      <w:bookmarkEnd w:id="11"/>
    </w:p>
    <w:p w14:paraId="7FCC0E95" w14:textId="4E322468" w:rsidR="00F90828" w:rsidRDefault="00F90828" w:rsidP="00F90828">
      <w:pPr>
        <w:pStyle w:val="JuryInstructionText"/>
      </w:pPr>
      <w:r>
        <w:t>PLF claims that DFT violated the fiduciary duty that joint venturers owe each other</w:t>
      </w:r>
      <w:r w:rsidR="005B0DB1">
        <w:t xml:space="preserve">. </w:t>
      </w:r>
      <w:r>
        <w:t>To prevail on this claim, PLF first must prove that s/he and DFT agreed to jointly undertake a particular project or venture and share in the profits</w:t>
      </w:r>
      <w:r w:rsidR="005B0DB1">
        <w:t xml:space="preserve">. </w:t>
      </w:r>
      <w:r>
        <w:t xml:space="preserve">  </w:t>
      </w:r>
    </w:p>
    <w:p w14:paraId="5258561A" w14:textId="5B1FD139" w:rsidR="00F90828" w:rsidRDefault="005B0DB1" w:rsidP="00F90828">
      <w:pPr>
        <w:pStyle w:val="JuryInstructionText"/>
      </w:pPr>
      <w:r>
        <w:rPr>
          <w:bCs/>
          <w:iCs/>
        </w:rPr>
        <w:t>[</w:t>
      </w:r>
      <w:r w:rsidR="00F90828" w:rsidRPr="00E049E6">
        <w:rPr>
          <w:b/>
          <w:i/>
        </w:rPr>
        <w:t>&lt;add the following sentence if also instructing on partnership&gt;</w:t>
      </w:r>
      <w:r w:rsidR="00F90828" w:rsidRPr="005B0DB1">
        <w:rPr>
          <w:bCs/>
          <w:iCs/>
        </w:rPr>
        <w:t xml:space="preserve"> </w:t>
      </w:r>
      <w:r>
        <w:rPr>
          <w:bCs/>
          <w:iCs/>
        </w:rPr>
        <w:br/>
      </w:r>
      <w:r w:rsidR="00F90828" w:rsidRPr="005B0DB1">
        <w:rPr>
          <w:bCs/>
          <w:iCs/>
        </w:rPr>
        <w:t xml:space="preserve">A </w:t>
      </w:r>
      <w:r w:rsidR="00F90828">
        <w:t>joint venture is similar to a partnership except that it has a more limited scope or duration.]</w:t>
      </w:r>
    </w:p>
    <w:p w14:paraId="21EBF38C" w14:textId="77777777" w:rsidR="00F90828" w:rsidRPr="002C506B" w:rsidRDefault="00F90828" w:rsidP="00F90828">
      <w:pPr>
        <w:pStyle w:val="JuryInstructionText"/>
        <w:spacing w:after="240"/>
      </w:pPr>
      <w:r>
        <w:t>You sho</w:t>
      </w:r>
      <w:r w:rsidRPr="002C506B">
        <w:t xml:space="preserve">uld weigh the following factors to decide whether PLF has proven s/he and DFT were in a joint venture. </w:t>
      </w:r>
    </w:p>
    <w:p w14:paraId="73EAFC00" w14:textId="77777777" w:rsidR="00F90828" w:rsidRPr="005B0DB1" w:rsidRDefault="00F90828" w:rsidP="005B0DB1">
      <w:pPr>
        <w:pStyle w:val="JuryInstructionBullets"/>
      </w:pPr>
      <w:r>
        <w:t>D</w:t>
      </w:r>
      <w:r w:rsidRPr="002C506B">
        <w:t>id</w:t>
      </w:r>
      <w:r>
        <w:t xml:space="preserve"> PLF and D</w:t>
      </w:r>
      <w:r w:rsidRPr="005B0DB1">
        <w:t xml:space="preserve">FT agree to join together in a particular project or undertaking for joint profit?  The agreement may be oral or written or a combination of the two. </w:t>
      </w:r>
    </w:p>
    <w:p w14:paraId="18D28A68" w14:textId="77777777" w:rsidR="00F90828" w:rsidRPr="005B0DB1" w:rsidRDefault="00F90828" w:rsidP="005B0DB1">
      <w:pPr>
        <w:pStyle w:val="JuryInstructionBullets"/>
      </w:pPr>
      <w:r w:rsidRPr="005B0DB1">
        <w:t>&lt;if no written agreement&gt;</w:t>
      </w:r>
      <w:r w:rsidRPr="005B0DB1">
        <w:br/>
        <w:t>Since there is no written agreement in this case, you should look at PLF’s and DFT’s words and actions to decide whether they intended to operate as joint venturers.</w:t>
      </w:r>
    </w:p>
    <w:p w14:paraId="60147BBD" w14:textId="77777777" w:rsidR="00F90828" w:rsidRPr="005B0DB1" w:rsidRDefault="00F90828" w:rsidP="005B0DB1">
      <w:pPr>
        <w:pStyle w:val="JuryInstructionBullets"/>
      </w:pPr>
      <w:r w:rsidRPr="005B0DB1">
        <w:t>Did each bring something of value to the project or undertaking, such as money, property, knowledge, efforts, skills, and the like?</w:t>
      </w:r>
    </w:p>
    <w:p w14:paraId="0CDBF833" w14:textId="77777777" w:rsidR="00F90828" w:rsidRPr="005B0DB1" w:rsidRDefault="00F90828" w:rsidP="005B0DB1">
      <w:pPr>
        <w:pStyle w:val="JuryInstructionBullets"/>
      </w:pPr>
      <w:r w:rsidRPr="005B0DB1">
        <w:t>Did each have the right to participate in the management or control of the project or undertaking?</w:t>
      </w:r>
    </w:p>
    <w:p w14:paraId="6DCD7DA3" w14:textId="77777777" w:rsidR="00F90828" w:rsidRPr="004F2F44" w:rsidRDefault="00F90828" w:rsidP="005B0DB1">
      <w:pPr>
        <w:pStyle w:val="JuryInstructionBullets"/>
      </w:pPr>
      <w:r w:rsidRPr="005B0DB1">
        <w:t>Did each have the r</w:t>
      </w:r>
      <w:r w:rsidRPr="002C506B">
        <w:t>ight to share in any profit and the obligation to share in any loss?</w:t>
      </w:r>
    </w:p>
    <w:p w14:paraId="7F59D07F" w14:textId="2B2EEEA1" w:rsidR="00F90828" w:rsidRDefault="00F90828" w:rsidP="00F90828">
      <w:pPr>
        <w:pStyle w:val="JuryInstructionText"/>
      </w:pPr>
      <w:r w:rsidRPr="004F2F44">
        <w:t>No one</w:t>
      </w:r>
      <w:r>
        <w:t xml:space="preserve"> factor will decide whether there was a joint venture</w:t>
      </w:r>
      <w:r w:rsidR="005B0DB1">
        <w:t xml:space="preserve">. </w:t>
      </w:r>
      <w:r>
        <w:t>On the other hand, PLF does not need to show that all factors exist</w:t>
      </w:r>
      <w:r w:rsidR="005B0DB1">
        <w:t xml:space="preserve">. </w:t>
      </w:r>
      <w:r>
        <w:t xml:space="preserve">Rather, you should </w:t>
      </w:r>
      <w:r>
        <w:lastRenderedPageBreak/>
        <w:t>weigh the evidence presented on the various factors to decide whether PLF has proven s/he and DFT were engaged in a</w:t>
      </w:r>
      <w:r w:rsidRPr="00CF758B">
        <w:t xml:space="preserve"> joint venture</w:t>
      </w:r>
      <w:r>
        <w:t>.</w:t>
      </w:r>
      <w:r w:rsidRPr="00C64B59">
        <w:rPr>
          <w:rStyle w:val="FootnoteReference"/>
          <w:rFonts w:cs="Segoe UI Historic"/>
          <w:bCs/>
        </w:rPr>
        <w:footnoteReference w:id="12"/>
      </w:r>
    </w:p>
    <w:p w14:paraId="33A082C3" w14:textId="77777777" w:rsidR="00F90828" w:rsidRPr="009B68AE" w:rsidRDefault="00F90828" w:rsidP="00F90828">
      <w:pPr>
        <w:pStyle w:val="JuryInst3"/>
      </w:pPr>
      <w:r w:rsidRPr="009B68AE">
        <w:t>Officer and Director</w:t>
      </w:r>
    </w:p>
    <w:p w14:paraId="2FC53899" w14:textId="6983AEE8" w:rsidR="00F90828" w:rsidRDefault="00F90828" w:rsidP="00F90828">
      <w:pPr>
        <w:pStyle w:val="JuryInstructionText"/>
      </w:pPr>
      <w:r>
        <w:t>PLF claims that DFT violated the fiduciary duty that an officer/director owes to the corporation and its shareholders.</w:t>
      </w:r>
      <w:r w:rsidR="005B0DB1">
        <w:rPr>
          <w:rStyle w:val="FootnoteReference"/>
        </w:rPr>
        <w:footnoteReference w:id="13"/>
      </w:r>
      <w:r>
        <w:t>As an o</w:t>
      </w:r>
      <w:r w:rsidRPr="00CF758B">
        <w:t>fficer</w:t>
      </w:r>
      <w:r>
        <w:t>/</w:t>
      </w:r>
      <w:r w:rsidRPr="00CF758B">
        <w:t>director</w:t>
      </w:r>
      <w:r>
        <w:t xml:space="preserve">, DFT was required to act with the greatest honesty, fairness, and loyalty toward the corporation and its </w:t>
      </w:r>
      <w:r w:rsidRPr="00CF758B">
        <w:t>shareholders</w:t>
      </w:r>
      <w:r>
        <w:t xml:space="preserve"> and to put their interests above her/his self-interest.</w:t>
      </w:r>
    </w:p>
    <w:p w14:paraId="3C19238B" w14:textId="77777777" w:rsidR="00F90828" w:rsidRPr="009B68AE" w:rsidRDefault="00F90828" w:rsidP="00F90828">
      <w:pPr>
        <w:pStyle w:val="JuryInst3"/>
      </w:pPr>
      <w:bookmarkStart w:id="12" w:name="_Toc404328761"/>
      <w:bookmarkStart w:id="13" w:name="_Toc529873447"/>
      <w:r w:rsidRPr="009B68AE">
        <w:t>Attorney to a Client</w:t>
      </w:r>
      <w:bookmarkEnd w:id="12"/>
      <w:bookmarkEnd w:id="13"/>
    </w:p>
    <w:p w14:paraId="2B755CCB" w14:textId="13B1BE03" w:rsidR="00F90828" w:rsidRDefault="00F90828" w:rsidP="00F90828">
      <w:pPr>
        <w:pStyle w:val="JuryInstructionText"/>
      </w:pPr>
      <w:r>
        <w:t xml:space="preserve">As a lawyer, DFT owed PLF </w:t>
      </w:r>
      <w:r w:rsidRPr="00CF758B">
        <w:t>a</w:t>
      </w:r>
      <w:r>
        <w:t xml:space="preserve"> fiduciary duty as</w:t>
      </w:r>
      <w:r w:rsidRPr="00CF758B">
        <w:t xml:space="preserve"> a matter of law</w:t>
      </w:r>
      <w:r w:rsidR="005B0DB1">
        <w:t xml:space="preserve">. </w:t>
      </w:r>
      <w:r>
        <w:t>&lt;</w:t>
      </w:r>
      <w:r w:rsidRPr="00A26C57">
        <w:rPr>
          <w:b/>
          <w:bCs/>
          <w:i/>
          <w:iCs/>
        </w:rPr>
        <w:t>If the existence of an attorney client relationship is disputed, give instruction from professional negligence on determining whether there is such a relationship</w:t>
      </w:r>
      <w:r>
        <w:t>&gt;</w:t>
      </w:r>
    </w:p>
    <w:p w14:paraId="21F33DD6" w14:textId="799500FF" w:rsidR="00B75859" w:rsidRPr="00F90828" w:rsidRDefault="00F90828" w:rsidP="005B0DB1">
      <w:pPr>
        <w:pStyle w:val="JuryInstructionText"/>
      </w:pPr>
      <w:r>
        <w:t>Therefore, you only need to decide whether DFT violated that duty and, if so, whether DFT’s conduct harmed PLF</w:t>
      </w:r>
      <w:r w:rsidR="005B0DB1">
        <w:t xml:space="preserve">. </w:t>
      </w:r>
      <w:r w:rsidRPr="00CF758B">
        <w:t xml:space="preserve"> </w:t>
      </w:r>
    </w:p>
    <w:sectPr w:rsidR="00B75859" w:rsidRPr="00F90828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3BDF" w14:textId="77777777" w:rsidR="00B73F99" w:rsidRDefault="00B73F99" w:rsidP="00F74A90">
      <w:r>
        <w:separator/>
      </w:r>
    </w:p>
  </w:endnote>
  <w:endnote w:type="continuationSeparator" w:id="0">
    <w:p w14:paraId="4F0C9B9B" w14:textId="77777777" w:rsidR="00B73F99" w:rsidRDefault="00B73F99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B73F99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B96A" w14:textId="77777777" w:rsidR="00B73F99" w:rsidRDefault="00B73F99" w:rsidP="00F74A90">
      <w:r>
        <w:separator/>
      </w:r>
    </w:p>
  </w:footnote>
  <w:footnote w:type="continuationSeparator" w:id="0">
    <w:p w14:paraId="46FC470E" w14:textId="77777777" w:rsidR="00B73F99" w:rsidRDefault="00B73F99" w:rsidP="00F74A90">
      <w:r>
        <w:continuationSeparator/>
      </w:r>
    </w:p>
  </w:footnote>
  <w:footnote w:id="1">
    <w:p w14:paraId="4EA073DC" w14:textId="77777777" w:rsidR="00F90828" w:rsidRDefault="00F90828" w:rsidP="00F908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512F7E">
        <w:rPr>
          <w:rStyle w:val="FootnoteTextChar"/>
          <w:i/>
        </w:rPr>
        <w:t xml:space="preserve">Doe </w:t>
      </w:r>
      <w:r w:rsidRPr="00512F7E">
        <w:rPr>
          <w:rStyle w:val="FootnoteTextChar"/>
        </w:rPr>
        <w:t xml:space="preserve">v. </w:t>
      </w:r>
      <w:r w:rsidRPr="00512F7E">
        <w:rPr>
          <w:rStyle w:val="FootnoteTextChar"/>
          <w:i/>
        </w:rPr>
        <w:t xml:space="preserve">Harbor </w:t>
      </w:r>
      <w:proofErr w:type="spellStart"/>
      <w:r w:rsidRPr="00512F7E">
        <w:rPr>
          <w:rStyle w:val="FootnoteTextChar"/>
          <w:i/>
        </w:rPr>
        <w:t>Schs</w:t>
      </w:r>
      <w:proofErr w:type="spellEnd"/>
      <w:r w:rsidRPr="00512F7E">
        <w:rPr>
          <w:rStyle w:val="FootnoteTextChar"/>
        </w:rPr>
        <w:t>., 446 Mass. 245, 252 (2006).</w:t>
      </w:r>
    </w:p>
  </w:footnote>
  <w:footnote w:id="2">
    <w:p w14:paraId="7C89AF29" w14:textId="77777777" w:rsidR="00F90828" w:rsidRPr="00512F7E" w:rsidRDefault="00F90828" w:rsidP="00F90828">
      <w:pPr>
        <w:pStyle w:val="FootnoteText"/>
        <w:rPr>
          <w:rStyle w:val="FootnoteTextChar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512F7E">
        <w:rPr>
          <w:rStyle w:val="FootnoteTextChar"/>
          <w:i/>
        </w:rPr>
        <w:t>Estate of Moulton</w:t>
      </w:r>
      <w:r w:rsidRPr="00512F7E">
        <w:rPr>
          <w:rStyle w:val="FootnoteTextChar"/>
        </w:rPr>
        <w:t xml:space="preserve"> v. </w:t>
      </w:r>
      <w:r w:rsidRPr="00512F7E">
        <w:rPr>
          <w:rStyle w:val="FootnoteTextChar"/>
          <w:i/>
        </w:rPr>
        <w:t>Puopolo</w:t>
      </w:r>
      <w:r w:rsidRPr="00512F7E">
        <w:rPr>
          <w:rStyle w:val="FootnoteTextChar"/>
        </w:rPr>
        <w:t xml:space="preserve">, 467 Mass. 478, 492 (2014); </w:t>
      </w:r>
      <w:r w:rsidRPr="00512F7E">
        <w:rPr>
          <w:rStyle w:val="FootnoteTextChar"/>
          <w:i/>
        </w:rPr>
        <w:t>MAZ Partners LP</w:t>
      </w:r>
      <w:r>
        <w:rPr>
          <w:rStyle w:val="FootnoteTextChar"/>
          <w:i/>
        </w:rPr>
        <w:t xml:space="preserve"> </w:t>
      </w:r>
      <w:r w:rsidRPr="00512F7E">
        <w:rPr>
          <w:rStyle w:val="FootnoteTextChar"/>
        </w:rPr>
        <w:t xml:space="preserve"> v. </w:t>
      </w:r>
      <w:r w:rsidRPr="00512F7E">
        <w:rPr>
          <w:rStyle w:val="FootnoteTextChar"/>
          <w:i/>
        </w:rPr>
        <w:t>Shear</w:t>
      </w:r>
      <w:r w:rsidRPr="00512F7E">
        <w:rPr>
          <w:rStyle w:val="FootnoteTextChar"/>
        </w:rPr>
        <w:t>, 265 F. Su</w:t>
      </w:r>
      <w:r>
        <w:rPr>
          <w:rStyle w:val="FootnoteTextChar"/>
        </w:rPr>
        <w:t xml:space="preserve">pp. 3d 109, 116 (D. Mass. 2017), </w:t>
      </w:r>
      <w:r w:rsidRPr="00512F7E">
        <w:rPr>
          <w:rStyle w:val="FootnoteTextChar"/>
        </w:rPr>
        <w:t xml:space="preserve">citing </w:t>
      </w:r>
      <w:r w:rsidRPr="00512F7E">
        <w:rPr>
          <w:rStyle w:val="FootnoteTextChar"/>
          <w:i/>
        </w:rPr>
        <w:t>Hanover Ins. Co</w:t>
      </w:r>
      <w:r w:rsidRPr="00512F7E">
        <w:rPr>
          <w:rStyle w:val="FootnoteTextChar"/>
        </w:rPr>
        <w:t xml:space="preserve">. v. </w:t>
      </w:r>
      <w:r w:rsidRPr="00512F7E">
        <w:rPr>
          <w:rStyle w:val="FootnoteTextChar"/>
          <w:i/>
        </w:rPr>
        <w:t>Sutton,</w:t>
      </w:r>
      <w:r w:rsidRPr="00512F7E">
        <w:rPr>
          <w:rStyle w:val="FootnoteTextChar"/>
        </w:rPr>
        <w:t xml:space="preserve"> 46 Mass. App. Ct. 153 (1999).</w:t>
      </w:r>
    </w:p>
  </w:footnote>
  <w:footnote w:id="3">
    <w:p w14:paraId="4911BBD8" w14:textId="715DD3A4" w:rsidR="00F90828" w:rsidRDefault="00F90828" w:rsidP="00F908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B0DB1">
        <w:tab/>
      </w:r>
      <w:r w:rsidRPr="00890DE1">
        <w:rPr>
          <w:rFonts w:cs="Segoe UI Historic"/>
          <w:color w:val="000000"/>
          <w:szCs w:val="22"/>
          <w:shd w:val="clear" w:color="auto" w:fill="FFFFFF"/>
        </w:rPr>
        <w:t>Th</w:t>
      </w:r>
      <w:r>
        <w:rPr>
          <w:rFonts w:cs="Segoe UI Historic"/>
          <w:color w:val="000000"/>
          <w:szCs w:val="22"/>
          <w:shd w:val="clear" w:color="auto" w:fill="FFFFFF"/>
        </w:rPr>
        <w:t>e Massachusetts Supreme Judicial Court</w:t>
      </w:r>
      <w:r w:rsidRPr="00890DE1">
        <w:rPr>
          <w:rFonts w:cs="Segoe UI Historic"/>
          <w:color w:val="000000"/>
          <w:szCs w:val="22"/>
          <w:shd w:val="clear" w:color="auto" w:fill="FFFFFF"/>
        </w:rPr>
        <w:t xml:space="preserve"> has recognized fiduciary relationships in limited circumstances</w:t>
      </w:r>
      <w:r w:rsidR="005B0DB1">
        <w:rPr>
          <w:rFonts w:cs="Segoe UI Historic"/>
          <w:color w:val="000000"/>
          <w:szCs w:val="22"/>
          <w:shd w:val="clear" w:color="auto" w:fill="FFFFFF"/>
        </w:rPr>
        <w:t xml:space="preserve">. </w:t>
      </w:r>
      <w:r w:rsidRPr="00890DE1">
        <w:rPr>
          <w:rFonts w:cs="Segoe UI Historic"/>
          <w:color w:val="000000"/>
          <w:szCs w:val="22"/>
          <w:shd w:val="clear" w:color="auto" w:fill="FFFFFF"/>
        </w:rPr>
        <w:t xml:space="preserve">See, e.g., </w:t>
      </w:r>
      <w:r w:rsidRPr="00890DE1">
        <w:rPr>
          <w:rFonts w:cs="Segoe UI Historic"/>
          <w:i/>
          <w:color w:val="000000"/>
          <w:szCs w:val="22"/>
          <w:shd w:val="clear" w:color="auto" w:fill="FFFFFF"/>
        </w:rPr>
        <w:t xml:space="preserve">Berish v. </w:t>
      </w:r>
      <w:r w:rsidRPr="00890DE1">
        <w:rPr>
          <w:rFonts w:cs="Segoe UI Historic"/>
          <w:i/>
          <w:szCs w:val="22"/>
          <w:shd w:val="clear" w:color="auto" w:fill="FFFFFF"/>
        </w:rPr>
        <w:t>Bornstein</w:t>
      </w:r>
      <w:r w:rsidRPr="00890DE1">
        <w:rPr>
          <w:rFonts w:cs="Segoe UI Historic"/>
          <w:szCs w:val="22"/>
          <w:shd w:val="clear" w:color="auto" w:fill="FFFFFF"/>
        </w:rPr>
        <w:t>, </w:t>
      </w:r>
      <w:bookmarkStart w:id="2" w:name="cite_437mass252"/>
      <w:r w:rsidRPr="00890DE1">
        <w:rPr>
          <w:rStyle w:val="object"/>
          <w:rFonts w:cs="Segoe UI Historic"/>
          <w:szCs w:val="22"/>
        </w:rPr>
        <w:t>437 Mass. 252</w:t>
      </w:r>
      <w:bookmarkEnd w:id="2"/>
      <w:r w:rsidRPr="00890DE1">
        <w:rPr>
          <w:rFonts w:cs="Segoe UI Historic"/>
          <w:szCs w:val="22"/>
          <w:shd w:val="clear" w:color="auto" w:fill="FFFFFF"/>
        </w:rPr>
        <w:t xml:space="preserve">, 269 n.29 (2002) (trustee of condominium association owed fiduciary duty to association but not individual unit owners); </w:t>
      </w:r>
      <w:r w:rsidRPr="00890DE1">
        <w:rPr>
          <w:rFonts w:cs="Segoe UI Historic"/>
          <w:i/>
          <w:szCs w:val="22"/>
          <w:shd w:val="clear" w:color="auto" w:fill="FFFFFF"/>
        </w:rPr>
        <w:t>Patsos v. First Albany Corp</w:t>
      </w:r>
      <w:r w:rsidRPr="00890DE1">
        <w:rPr>
          <w:rFonts w:cs="Segoe UI Historic"/>
          <w:szCs w:val="22"/>
          <w:shd w:val="clear" w:color="auto" w:fill="FFFFFF"/>
        </w:rPr>
        <w:t>., </w:t>
      </w:r>
      <w:bookmarkStart w:id="3" w:name="cite_433mass323"/>
      <w:r w:rsidRPr="00890DE1">
        <w:rPr>
          <w:rStyle w:val="object"/>
          <w:rFonts w:cs="Segoe UI Historic"/>
          <w:szCs w:val="22"/>
        </w:rPr>
        <w:t>433 Mass. 323</w:t>
      </w:r>
      <w:bookmarkEnd w:id="3"/>
      <w:r w:rsidRPr="00890DE1">
        <w:rPr>
          <w:rFonts w:cs="Segoe UI Historic"/>
          <w:szCs w:val="22"/>
          <w:shd w:val="clear" w:color="auto" w:fill="FFFFFF"/>
        </w:rPr>
        <w:t>, 333-334 (2001) (stockbroker is fiduciary of customer in certain circumstances</w:t>
      </w:r>
      <w:r>
        <w:rPr>
          <w:rFonts w:cs="Segoe UI Historic"/>
          <w:szCs w:val="22"/>
          <w:shd w:val="clear" w:color="auto" w:fill="FFFFFF"/>
        </w:rPr>
        <w:t>, such</w:t>
      </w:r>
      <w:r w:rsidRPr="00890DE1">
        <w:rPr>
          <w:rFonts w:cs="Segoe UI Historic"/>
          <w:szCs w:val="22"/>
          <w:shd w:val="clear" w:color="auto" w:fill="FFFFFF"/>
        </w:rPr>
        <w:t xml:space="preserve"> as where entrusted with discretion); </w:t>
      </w:r>
      <w:r w:rsidRPr="00890DE1">
        <w:rPr>
          <w:rFonts w:cs="Segoe UI Historic"/>
          <w:i/>
          <w:szCs w:val="22"/>
          <w:shd w:val="clear" w:color="auto" w:fill="FFFFFF"/>
        </w:rPr>
        <w:t>Demoulas v. Demoulas</w:t>
      </w:r>
      <w:r w:rsidRPr="00890DE1">
        <w:rPr>
          <w:rFonts w:cs="Segoe UI Historic"/>
          <w:szCs w:val="22"/>
          <w:shd w:val="clear" w:color="auto" w:fill="FFFFFF"/>
        </w:rPr>
        <w:t>, </w:t>
      </w:r>
      <w:bookmarkStart w:id="4" w:name="cite_424mass501"/>
      <w:r w:rsidRPr="00890DE1">
        <w:rPr>
          <w:rStyle w:val="object"/>
          <w:rFonts w:cs="Segoe UI Historic"/>
          <w:szCs w:val="22"/>
        </w:rPr>
        <w:t>424 Mass. 501</w:t>
      </w:r>
      <w:bookmarkEnd w:id="4"/>
      <w:r w:rsidRPr="00890DE1">
        <w:rPr>
          <w:rFonts w:cs="Segoe UI Historic"/>
          <w:szCs w:val="22"/>
          <w:shd w:val="clear" w:color="auto" w:fill="FFFFFF"/>
        </w:rPr>
        <w:t xml:space="preserve">, 504-505 (1997) (sole voting trustee to family business breached fiduciary duty to shareholders by exploiting control over assets); </w:t>
      </w:r>
      <w:r w:rsidRPr="00890DE1">
        <w:rPr>
          <w:rFonts w:cs="Segoe UI Historic"/>
          <w:i/>
          <w:szCs w:val="22"/>
          <w:shd w:val="clear" w:color="auto" w:fill="FFFFFF"/>
        </w:rPr>
        <w:t>Merola v. Exergen Corp</w:t>
      </w:r>
      <w:r w:rsidRPr="00890DE1">
        <w:rPr>
          <w:rFonts w:cs="Segoe UI Historic"/>
          <w:szCs w:val="22"/>
          <w:shd w:val="clear" w:color="auto" w:fill="FFFFFF"/>
        </w:rPr>
        <w:t>., </w:t>
      </w:r>
      <w:bookmarkStart w:id="5" w:name="cite_423mass461"/>
      <w:r w:rsidRPr="00890DE1">
        <w:rPr>
          <w:rStyle w:val="object"/>
          <w:rFonts w:cs="Segoe UI Historic"/>
          <w:szCs w:val="22"/>
        </w:rPr>
        <w:t>423 Mass. 461</w:t>
      </w:r>
      <w:bookmarkEnd w:id="5"/>
      <w:r w:rsidRPr="00890DE1">
        <w:rPr>
          <w:rFonts w:cs="Segoe UI Historic"/>
          <w:szCs w:val="22"/>
          <w:shd w:val="clear" w:color="auto" w:fill="FFFFFF"/>
        </w:rPr>
        <w:t xml:space="preserve">, 464 (1996) (stockholders in close corporation owe one another fiduciary duty); </w:t>
      </w:r>
      <w:r w:rsidRPr="00890DE1">
        <w:rPr>
          <w:rFonts w:cs="Segoe UI Historic"/>
          <w:i/>
          <w:szCs w:val="22"/>
          <w:shd w:val="clear" w:color="auto" w:fill="FFFFFF"/>
        </w:rPr>
        <w:t>Matter of Pressman</w:t>
      </w:r>
      <w:r w:rsidRPr="00890DE1">
        <w:rPr>
          <w:rFonts w:cs="Segoe UI Historic"/>
          <w:szCs w:val="22"/>
          <w:shd w:val="clear" w:color="auto" w:fill="FFFFFF"/>
        </w:rPr>
        <w:t>, </w:t>
      </w:r>
      <w:bookmarkStart w:id="6" w:name="cite_421mass514"/>
      <w:r w:rsidRPr="00890DE1">
        <w:rPr>
          <w:rStyle w:val="object"/>
          <w:rFonts w:cs="Segoe UI Historic"/>
          <w:szCs w:val="22"/>
        </w:rPr>
        <w:t>421 Mass. 514</w:t>
      </w:r>
      <w:bookmarkEnd w:id="6"/>
      <w:r w:rsidRPr="00890DE1">
        <w:rPr>
          <w:rFonts w:cs="Segoe UI Historic"/>
          <w:szCs w:val="22"/>
          <w:shd w:val="clear" w:color="auto" w:fill="FFFFFF"/>
        </w:rPr>
        <w:t xml:space="preserve">, 518 (1995) (attorneys owe fiduciary duty to clients); </w:t>
      </w:r>
      <w:r w:rsidRPr="00890DE1">
        <w:rPr>
          <w:rFonts w:cs="Segoe UI Historic"/>
          <w:i/>
          <w:szCs w:val="22"/>
          <w:shd w:val="clear" w:color="auto" w:fill="FFFFFF"/>
        </w:rPr>
        <w:t>Zimmerman v. Bogoff</w:t>
      </w:r>
      <w:r w:rsidRPr="00890DE1">
        <w:rPr>
          <w:rFonts w:cs="Segoe UI Historic"/>
          <w:szCs w:val="22"/>
          <w:shd w:val="clear" w:color="auto" w:fill="FFFFFF"/>
        </w:rPr>
        <w:t>, </w:t>
      </w:r>
      <w:bookmarkStart w:id="7" w:name="cite_402mass650"/>
      <w:r w:rsidRPr="00890DE1">
        <w:rPr>
          <w:rStyle w:val="object"/>
          <w:rFonts w:cs="Segoe UI Historic"/>
          <w:szCs w:val="22"/>
        </w:rPr>
        <w:t>402 Mass. 650</w:t>
      </w:r>
      <w:bookmarkEnd w:id="7"/>
      <w:r w:rsidRPr="00890DE1">
        <w:rPr>
          <w:rFonts w:cs="Segoe UI Historic"/>
          <w:szCs w:val="22"/>
          <w:shd w:val="clear" w:color="auto" w:fill="FFFFFF"/>
        </w:rPr>
        <w:t xml:space="preserve">, 660 (1988) (joint venturers owe one another fiduciary duties); </w:t>
      </w:r>
      <w:r w:rsidRPr="00890DE1">
        <w:rPr>
          <w:rFonts w:cs="Segoe UI Historic"/>
          <w:i/>
          <w:szCs w:val="22"/>
          <w:shd w:val="clear" w:color="auto" w:fill="FFFFFF"/>
        </w:rPr>
        <w:t xml:space="preserve">Chelsea Indus., Inc. </w:t>
      </w:r>
      <w:r w:rsidRPr="00890DE1">
        <w:rPr>
          <w:rFonts w:cs="Segoe UI Historic"/>
          <w:i/>
          <w:color w:val="000000"/>
          <w:szCs w:val="22"/>
          <w:shd w:val="clear" w:color="auto" w:fill="FFFFFF"/>
        </w:rPr>
        <w:t>v. Gaffney</w:t>
      </w:r>
      <w:r w:rsidRPr="00890DE1">
        <w:rPr>
          <w:rFonts w:cs="Segoe UI Historic"/>
          <w:color w:val="000000"/>
          <w:szCs w:val="22"/>
          <w:shd w:val="clear" w:color="auto" w:fill="FFFFFF"/>
        </w:rPr>
        <w:t>, </w:t>
      </w:r>
      <w:bookmarkStart w:id="8" w:name="cite_389mass1"/>
      <w:r w:rsidRPr="00890DE1">
        <w:rPr>
          <w:rStyle w:val="object"/>
          <w:rFonts w:cs="Segoe UI Historic"/>
          <w:szCs w:val="22"/>
        </w:rPr>
        <w:t>389 Mass. 1</w:t>
      </w:r>
      <w:bookmarkEnd w:id="8"/>
      <w:r w:rsidRPr="00890DE1">
        <w:rPr>
          <w:rFonts w:cs="Segoe UI Historic"/>
          <w:szCs w:val="22"/>
          <w:shd w:val="clear" w:color="auto" w:fill="FFFFFF"/>
        </w:rPr>
        <w:t>,</w:t>
      </w:r>
      <w:r w:rsidRPr="00890DE1">
        <w:rPr>
          <w:rFonts w:cs="Segoe UI Historic"/>
          <w:color w:val="000000"/>
          <w:szCs w:val="22"/>
          <w:shd w:val="clear" w:color="auto" w:fill="FFFFFF"/>
        </w:rPr>
        <w:t xml:space="preserve"> 11 (1983) (trusted executives owed fiduciary duty to employer). The "prudent investor" fiduciary duty is commonly applicable to trustees, who owe a special responsibility to beneficiaries of a trust when investing trust assets</w:t>
      </w:r>
      <w:r w:rsidR="005B0DB1">
        <w:rPr>
          <w:rFonts w:cs="Segoe UI Historic"/>
          <w:color w:val="000000"/>
          <w:szCs w:val="22"/>
          <w:shd w:val="clear" w:color="auto" w:fill="FFFFFF"/>
        </w:rPr>
        <w:t xml:space="preserve">. </w:t>
      </w:r>
      <w:r w:rsidRPr="00890DE1">
        <w:rPr>
          <w:rFonts w:cs="Segoe UI Historic"/>
          <w:color w:val="000000"/>
          <w:szCs w:val="22"/>
          <w:shd w:val="clear" w:color="auto" w:fill="FFFFFF"/>
        </w:rPr>
        <w:t xml:space="preserve">See, e.g., </w:t>
      </w:r>
      <w:r w:rsidRPr="00890DE1">
        <w:rPr>
          <w:rFonts w:cs="Segoe UI Historic"/>
          <w:i/>
          <w:color w:val="000000"/>
          <w:szCs w:val="22"/>
          <w:shd w:val="clear" w:color="auto" w:fill="FFFFFF"/>
        </w:rPr>
        <w:t>Berish v. Bornstein</w:t>
      </w:r>
      <w:r w:rsidRPr="00890DE1">
        <w:rPr>
          <w:rFonts w:cs="Segoe UI Historic"/>
          <w:color w:val="000000"/>
          <w:szCs w:val="22"/>
          <w:shd w:val="clear" w:color="auto" w:fill="FFFFFF"/>
        </w:rPr>
        <w:t xml:space="preserve">, supra; </w:t>
      </w:r>
      <w:r w:rsidRPr="00890DE1">
        <w:rPr>
          <w:rFonts w:cs="Segoe UI Historic"/>
          <w:i/>
          <w:color w:val="000000"/>
          <w:szCs w:val="22"/>
          <w:shd w:val="clear" w:color="auto" w:fill="FFFFFF"/>
        </w:rPr>
        <w:t xml:space="preserve">Chase v. </w:t>
      </w:r>
      <w:proofErr w:type="spellStart"/>
      <w:r w:rsidRPr="00890DE1">
        <w:rPr>
          <w:rFonts w:cs="Segoe UI Historic"/>
          <w:i/>
          <w:color w:val="000000"/>
          <w:szCs w:val="22"/>
          <w:shd w:val="clear" w:color="auto" w:fill="FFFFFF"/>
        </w:rPr>
        <w:t>Pevear</w:t>
      </w:r>
      <w:proofErr w:type="spellEnd"/>
      <w:r w:rsidRPr="00890DE1">
        <w:rPr>
          <w:rFonts w:cs="Segoe UI Historic"/>
          <w:szCs w:val="22"/>
          <w:shd w:val="clear" w:color="auto" w:fill="FFFFFF"/>
        </w:rPr>
        <w:t>, </w:t>
      </w:r>
      <w:bookmarkStart w:id="9" w:name="cite_383mass350"/>
      <w:r w:rsidRPr="00890DE1">
        <w:rPr>
          <w:rStyle w:val="object"/>
          <w:rFonts w:cs="Segoe UI Historic"/>
          <w:szCs w:val="22"/>
          <w:shd w:val="clear" w:color="auto" w:fill="FFFFFF"/>
        </w:rPr>
        <w:fldChar w:fldCharType="begin"/>
      </w:r>
      <w:r w:rsidRPr="00890DE1">
        <w:rPr>
          <w:rStyle w:val="object"/>
          <w:rFonts w:cs="Segoe UI Historic"/>
          <w:szCs w:val="22"/>
          <w:shd w:val="clear" w:color="auto" w:fill="FFFFFF"/>
        </w:rPr>
        <w:instrText xml:space="preserve"> HYPERLINK "http://masscases.com/cases/sjc/383/383mass350.html" \t "_blank" </w:instrText>
      </w:r>
      <w:r w:rsidRPr="00890DE1">
        <w:rPr>
          <w:rStyle w:val="object"/>
          <w:rFonts w:cs="Segoe UI Historic"/>
          <w:szCs w:val="22"/>
          <w:shd w:val="clear" w:color="auto" w:fill="FFFFFF"/>
        </w:rPr>
      </w:r>
      <w:r w:rsidRPr="00890DE1">
        <w:rPr>
          <w:rStyle w:val="object"/>
          <w:rFonts w:cs="Segoe UI Historic"/>
          <w:szCs w:val="22"/>
          <w:shd w:val="clear" w:color="auto" w:fill="FFFFFF"/>
        </w:rPr>
        <w:fldChar w:fldCharType="separate"/>
      </w:r>
      <w:r w:rsidRPr="00890DE1">
        <w:rPr>
          <w:rStyle w:val="Hyperlink"/>
          <w:rFonts w:cs="Segoe UI Historic"/>
          <w:szCs w:val="22"/>
        </w:rPr>
        <w:t>383 Mass. 350</w:t>
      </w:r>
      <w:r w:rsidRPr="00890DE1">
        <w:rPr>
          <w:rStyle w:val="object"/>
          <w:rFonts w:cs="Segoe UI Historic"/>
          <w:szCs w:val="22"/>
          <w:shd w:val="clear" w:color="auto" w:fill="FFFFFF"/>
        </w:rPr>
        <w:fldChar w:fldCharType="end"/>
      </w:r>
      <w:bookmarkEnd w:id="9"/>
      <w:r w:rsidRPr="00890DE1">
        <w:rPr>
          <w:rFonts w:cs="Segoe UI Historic"/>
          <w:color w:val="000000"/>
          <w:szCs w:val="22"/>
          <w:shd w:val="clear" w:color="auto" w:fill="FFFFFF"/>
        </w:rPr>
        <w:t>, 362-364 (1981) (trustee of testamentary trust owed "prudent man" fiduciary duty to beneficiaries).</w:t>
      </w:r>
    </w:p>
  </w:footnote>
  <w:footnote w:id="4">
    <w:p w14:paraId="4860225D" w14:textId="77777777" w:rsidR="00F90828" w:rsidRDefault="00F90828" w:rsidP="00F908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See </w:t>
      </w:r>
      <w:r>
        <w:rPr>
          <w:i/>
          <w:iCs/>
        </w:rPr>
        <w:t>UBS Financial Services, Inc.</w:t>
      </w:r>
      <w:r>
        <w:t xml:space="preserve"> v. </w:t>
      </w:r>
      <w:r>
        <w:rPr>
          <w:i/>
          <w:iCs/>
        </w:rPr>
        <w:t>Aliberti</w:t>
      </w:r>
      <w:r>
        <w:t>, 483 Mass. 396, 406 (2019).</w:t>
      </w:r>
    </w:p>
  </w:footnote>
  <w:footnote w:id="5">
    <w:p w14:paraId="2B131BE8" w14:textId="77777777" w:rsidR="00F90828" w:rsidRPr="001A1E3D" w:rsidRDefault="00F90828" w:rsidP="00F908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  <w:iCs/>
        </w:rPr>
        <w:t>Id</w:t>
      </w:r>
      <w:r>
        <w:t>. at 406–408.</w:t>
      </w:r>
    </w:p>
  </w:footnote>
  <w:footnote w:id="6">
    <w:p w14:paraId="1722701F" w14:textId="77777777" w:rsidR="00F90828" w:rsidRPr="00B95469" w:rsidRDefault="00F90828" w:rsidP="00F908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  <w:iCs/>
        </w:rPr>
        <w:t>UBS Financial Services, Inc.</w:t>
      </w:r>
      <w:r>
        <w:t xml:space="preserve"> v. </w:t>
      </w:r>
      <w:r>
        <w:rPr>
          <w:i/>
          <w:iCs/>
        </w:rPr>
        <w:t>Aliberti</w:t>
      </w:r>
      <w:r>
        <w:t xml:space="preserve">, 483 Mass. 396, 408 (2019) (“fiduciary duties may arise wherever ‘faith, confidence, and trust’ is reposed by one party ‘in another’s judgment and advice”) (quoting </w:t>
      </w:r>
      <w:r>
        <w:rPr>
          <w:i/>
          <w:iCs/>
        </w:rPr>
        <w:t>Doe</w:t>
      </w:r>
      <w:r>
        <w:t xml:space="preserve"> v. </w:t>
      </w:r>
      <w:r>
        <w:rPr>
          <w:i/>
          <w:iCs/>
        </w:rPr>
        <w:t>Harbor Sch., Inc.</w:t>
      </w:r>
      <w:r>
        <w:t xml:space="preserve">, 446 Mass. 245, 252 (2006); </w:t>
      </w:r>
      <w:r>
        <w:rPr>
          <w:i/>
          <w:iCs/>
        </w:rPr>
        <w:t>Estate of Moulton</w:t>
      </w:r>
      <w:r>
        <w:t xml:space="preserve"> v. </w:t>
      </w:r>
      <w:r>
        <w:rPr>
          <w:i/>
          <w:iCs/>
        </w:rPr>
        <w:t>Puopolo</w:t>
      </w:r>
      <w:r>
        <w:t>, 467 Mass. 478, 492 (2014) (“A fiduciary relationship is one founded on the trust and confidence reposed by one party in the integrity and fidelity of another.”).</w:t>
      </w:r>
    </w:p>
  </w:footnote>
  <w:footnote w:id="7">
    <w:p w14:paraId="1F340AC3" w14:textId="77777777" w:rsidR="00F90828" w:rsidRDefault="00F90828" w:rsidP="00F908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See </w:t>
      </w:r>
      <w:r w:rsidRPr="0024319F">
        <w:rPr>
          <w:i/>
        </w:rPr>
        <w:t xml:space="preserve">Baker </w:t>
      </w:r>
      <w:r w:rsidRPr="00512F7E">
        <w:t>v.</w:t>
      </w:r>
      <w:r w:rsidRPr="0024319F">
        <w:rPr>
          <w:i/>
        </w:rPr>
        <w:t xml:space="preserve"> Goldman, Sachs &amp; Co.</w:t>
      </w:r>
      <w:r w:rsidRPr="0024319F">
        <w:t>, 771 F.3d 37, 59 (1st Cir. 2014) (recognizing tha</w:t>
      </w:r>
      <w:r>
        <w:t>t</w:t>
      </w:r>
      <w:r w:rsidRPr="0024319F">
        <w:t xml:space="preserve"> under Massachusetts law “a fiduciary relationship exists only if the plaintiff justifiably reposed trust in the defendant and the defendant knew of an</w:t>
      </w:r>
      <w:r>
        <w:t>d accepted that trust).</w:t>
      </w:r>
    </w:p>
  </w:footnote>
  <w:footnote w:id="8">
    <w:p w14:paraId="6700258A" w14:textId="64815DEF" w:rsidR="003143E4" w:rsidRPr="003143E4" w:rsidRDefault="003143E4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r>
        <w:rPr>
          <w:i/>
          <w:iCs/>
        </w:rPr>
        <w:t>Doull v. Foster</w:t>
      </w:r>
      <w:r>
        <w:t xml:space="preserve">, 487 Mass. 1, 11 (2021) (“[T]he purpose of this but-for standard is to separate the conduct that had no impact on the harm from the conduct that caused the harm.”). </w:t>
      </w:r>
    </w:p>
  </w:footnote>
  <w:footnote w:id="9">
    <w:p w14:paraId="2A8DA8D8" w14:textId="77777777" w:rsidR="00F90828" w:rsidRDefault="00F90828" w:rsidP="00F908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5B0DB1">
        <w:rPr>
          <w:iCs/>
          <w:snapToGrid w:val="0"/>
        </w:rPr>
        <w:t>See, e.g.,</w:t>
      </w:r>
      <w:r w:rsidRPr="00FF7B4C">
        <w:rPr>
          <w:snapToGrid w:val="0"/>
        </w:rPr>
        <w:t xml:space="preserve"> </w:t>
      </w:r>
      <w:r w:rsidRPr="00FF7B4C">
        <w:rPr>
          <w:i/>
          <w:snapToGrid w:val="0"/>
        </w:rPr>
        <w:t xml:space="preserve">O’Brien </w:t>
      </w:r>
      <w:r w:rsidRPr="00512F7E">
        <w:rPr>
          <w:snapToGrid w:val="0"/>
        </w:rPr>
        <w:t>v.</w:t>
      </w:r>
      <w:r w:rsidRPr="00FF7B4C">
        <w:rPr>
          <w:i/>
          <w:snapToGrid w:val="0"/>
        </w:rPr>
        <w:t xml:space="preserve"> Pearson</w:t>
      </w:r>
      <w:r w:rsidRPr="00FF7B4C">
        <w:rPr>
          <w:snapToGrid w:val="0"/>
        </w:rPr>
        <w:t>, 449 Mass. 377, 388 (2007) (“The question is whether the facts prove within a reasonable degree of certainty that the breach, i.e., the wrongful conduct of the defendants, caused [plaintiff] to suffer the damages he sought to establish.”).</w:t>
      </w:r>
    </w:p>
  </w:footnote>
  <w:footnote w:id="10">
    <w:p w14:paraId="17931D52" w14:textId="77777777" w:rsidR="00F90828" w:rsidRPr="006E2915" w:rsidRDefault="00F90828" w:rsidP="00F90828">
      <w:pPr>
        <w:pStyle w:val="FootnoteText"/>
      </w:pPr>
      <w:r w:rsidRPr="00C64B59">
        <w:rPr>
          <w:rStyle w:val="FootnoteReference"/>
          <w:rFonts w:cs="Segoe UI Historic"/>
          <w:bCs/>
        </w:rPr>
        <w:footnoteRef/>
      </w:r>
      <w:r w:rsidRPr="00C64B59">
        <w:rPr>
          <w:bCs/>
          <w:snapToGrid w:val="0"/>
        </w:rPr>
        <w:t xml:space="preserve"> </w:t>
      </w:r>
      <w:r>
        <w:rPr>
          <w:snapToGrid w:val="0"/>
        </w:rPr>
        <w:tab/>
      </w:r>
      <w:r w:rsidRPr="006E2915">
        <w:rPr>
          <w:snapToGrid w:val="0"/>
        </w:rPr>
        <w:t xml:space="preserve">G.L. c. 108A, § 6; </w:t>
      </w:r>
      <w:r w:rsidRPr="006E2915">
        <w:rPr>
          <w:i/>
          <w:snapToGrid w:val="0"/>
        </w:rPr>
        <w:t xml:space="preserve">see Boyer </w:t>
      </w:r>
      <w:r w:rsidRPr="00180E33">
        <w:rPr>
          <w:snapToGrid w:val="0"/>
        </w:rPr>
        <w:t>v.</w:t>
      </w:r>
      <w:r w:rsidRPr="006E2915">
        <w:rPr>
          <w:i/>
          <w:snapToGrid w:val="0"/>
        </w:rPr>
        <w:t xml:space="preserve"> Bowles</w:t>
      </w:r>
      <w:r w:rsidRPr="006E2915">
        <w:rPr>
          <w:snapToGrid w:val="0"/>
        </w:rPr>
        <w:t>, 310 Mass. 134, 138 (1941)</w:t>
      </w:r>
      <w:r w:rsidRPr="006E2915">
        <w:t xml:space="preserve">; </w:t>
      </w:r>
      <w:r w:rsidRPr="006E2915">
        <w:rPr>
          <w:i/>
        </w:rPr>
        <w:t xml:space="preserve">Gemini Investors, Inc. </w:t>
      </w:r>
      <w:r w:rsidRPr="00180E33">
        <w:t>v.</w:t>
      </w:r>
      <w:r w:rsidRPr="006E2915">
        <w:rPr>
          <w:i/>
        </w:rPr>
        <w:t xml:space="preserve"> Ches-Mont Disposal, LLC</w:t>
      </w:r>
      <w:r w:rsidRPr="006E2915">
        <w:t>, 629 F. Supp. 2d 163, 166 (D. Mass. 2009)</w:t>
      </w:r>
      <w:r w:rsidRPr="006E2915">
        <w:rPr>
          <w:snapToGrid w:val="0"/>
        </w:rPr>
        <w:t>.</w:t>
      </w:r>
      <w:r w:rsidRPr="006E2915">
        <w:t xml:space="preserve"> </w:t>
      </w:r>
    </w:p>
  </w:footnote>
  <w:footnote w:id="11">
    <w:p w14:paraId="01D884C5" w14:textId="3E79CED2" w:rsidR="00F90828" w:rsidRPr="006E2915" w:rsidRDefault="00F90828" w:rsidP="00F90828">
      <w:pPr>
        <w:pStyle w:val="FootnoteText"/>
      </w:pPr>
      <w:r w:rsidRPr="006E2915">
        <w:rPr>
          <w:rStyle w:val="FootnoteReference"/>
          <w:rFonts w:cs="Segoe UI Historic"/>
        </w:rPr>
        <w:footnoteRef/>
      </w:r>
      <w:r w:rsidRPr="006E2915">
        <w:t xml:space="preserve"> </w:t>
      </w:r>
      <w:r>
        <w:tab/>
      </w:r>
      <w:r w:rsidRPr="006E2915">
        <w:rPr>
          <w:i/>
        </w:rPr>
        <w:t xml:space="preserve">Sullivan </w:t>
      </w:r>
      <w:r w:rsidRPr="00180E33">
        <w:t>v.</w:t>
      </w:r>
      <w:r w:rsidRPr="006E2915">
        <w:rPr>
          <w:i/>
        </w:rPr>
        <w:t xml:space="preserve"> Lawlis</w:t>
      </w:r>
      <w:r w:rsidRPr="006E2915">
        <w:t>, 93 Mass. App. Ct. 409, 413</w:t>
      </w:r>
      <w:r>
        <w:t>, 415</w:t>
      </w:r>
      <w:r w:rsidRPr="006E2915">
        <w:t xml:space="preserve"> (2018)</w:t>
      </w:r>
      <w:r>
        <w:t xml:space="preserve">. </w:t>
      </w:r>
      <w:r w:rsidRPr="006E2915">
        <w:t xml:space="preserve">quoting </w:t>
      </w:r>
      <w:r w:rsidRPr="006E2915">
        <w:rPr>
          <w:i/>
        </w:rPr>
        <w:t xml:space="preserve">Fenton </w:t>
      </w:r>
      <w:r w:rsidRPr="00180E33">
        <w:t>v.</w:t>
      </w:r>
      <w:r w:rsidRPr="006E2915">
        <w:rPr>
          <w:i/>
        </w:rPr>
        <w:t xml:space="preserve"> Bryan</w:t>
      </w:r>
      <w:r w:rsidRPr="006E2915">
        <w:t>, 33</w:t>
      </w:r>
      <w:r>
        <w:t xml:space="preserve"> Mass. App. Ct. 688, 691 (1992)</w:t>
      </w:r>
      <w:r w:rsidRPr="006E2915">
        <w:t xml:space="preserve">; </w:t>
      </w:r>
      <w:proofErr w:type="spellStart"/>
      <w:r w:rsidRPr="006E2915">
        <w:rPr>
          <w:i/>
        </w:rPr>
        <w:t>Saunwin</w:t>
      </w:r>
      <w:proofErr w:type="spellEnd"/>
      <w:r w:rsidRPr="006E2915">
        <w:rPr>
          <w:i/>
        </w:rPr>
        <w:t xml:space="preserve"> Int’l Equities Fund LLC </w:t>
      </w:r>
      <w:r w:rsidRPr="00180E33">
        <w:t>v.</w:t>
      </w:r>
      <w:r w:rsidRPr="006E2915">
        <w:rPr>
          <w:i/>
        </w:rPr>
        <w:t xml:space="preserve"> </w:t>
      </w:r>
      <w:proofErr w:type="spellStart"/>
      <w:r w:rsidRPr="006E2915">
        <w:rPr>
          <w:i/>
        </w:rPr>
        <w:t>Donville</w:t>
      </w:r>
      <w:proofErr w:type="spellEnd"/>
      <w:r w:rsidRPr="006E2915">
        <w:rPr>
          <w:i/>
        </w:rPr>
        <w:t xml:space="preserve"> Kent Asset Mgmt., Inc.</w:t>
      </w:r>
      <w:r w:rsidRPr="006E2915">
        <w:t>, 2018 WL 3543533, at *8 (D. Mass. July 20, 2018)</w:t>
      </w:r>
      <w:r>
        <w:t xml:space="preserve">, </w:t>
      </w:r>
      <w:r w:rsidRPr="006E2915">
        <w:rPr>
          <w:snapToGrid w:val="0"/>
        </w:rPr>
        <w:t xml:space="preserve">quoting </w:t>
      </w:r>
      <w:proofErr w:type="spellStart"/>
      <w:r w:rsidRPr="006E2915">
        <w:rPr>
          <w:i/>
        </w:rPr>
        <w:t>Kansallis</w:t>
      </w:r>
      <w:proofErr w:type="spellEnd"/>
      <w:r w:rsidRPr="006E2915">
        <w:rPr>
          <w:i/>
        </w:rPr>
        <w:t xml:space="preserve"> Fin. Ltd. </w:t>
      </w:r>
      <w:r w:rsidRPr="00180E33">
        <w:t>v.</w:t>
      </w:r>
      <w:r w:rsidRPr="006E2915">
        <w:rPr>
          <w:i/>
        </w:rPr>
        <w:t xml:space="preserve"> Fern</w:t>
      </w:r>
      <w:r w:rsidRPr="006E2915">
        <w:t>, 40 F.3d 476, 478–79 (1st Cir. 1994)</w:t>
      </w:r>
      <w:r>
        <w:t xml:space="preserve">, </w:t>
      </w:r>
      <w:r w:rsidRPr="006E2915">
        <w:t>quoting</w:t>
      </w:r>
      <w:r w:rsidRPr="006E2915">
        <w:rPr>
          <w:i/>
          <w:snapToGrid w:val="0"/>
        </w:rPr>
        <w:t xml:space="preserve"> Fenton </w:t>
      </w:r>
      <w:r w:rsidRPr="00180E33">
        <w:rPr>
          <w:snapToGrid w:val="0"/>
        </w:rPr>
        <w:t>v.</w:t>
      </w:r>
      <w:r w:rsidRPr="006E2915">
        <w:rPr>
          <w:i/>
          <w:snapToGrid w:val="0"/>
        </w:rPr>
        <w:t xml:space="preserve"> Bryan</w:t>
      </w:r>
      <w:r w:rsidRPr="006E2915">
        <w:rPr>
          <w:snapToGrid w:val="0"/>
        </w:rPr>
        <w:t>, 33 Mass. App. Ct. at 691</w:t>
      </w:r>
      <w:r w:rsidR="005B0DB1">
        <w:rPr>
          <w:snapToGrid w:val="0"/>
        </w:rPr>
        <w:t xml:space="preserve">. </w:t>
      </w:r>
      <w:r w:rsidRPr="006E2915">
        <w:t>General Laws Chapter 108A, § 7 lists a set of factors that may be appropriate to include, depending on the circumstances.</w:t>
      </w:r>
    </w:p>
  </w:footnote>
  <w:footnote w:id="12">
    <w:p w14:paraId="6A6A32F6" w14:textId="3D12D483" w:rsidR="00F90828" w:rsidRPr="0045507A" w:rsidRDefault="00F90828" w:rsidP="00F90828">
      <w:pPr>
        <w:pStyle w:val="FootnoteText"/>
        <w:spacing w:before="0"/>
      </w:pPr>
      <w:r w:rsidRPr="00180E33">
        <w:rPr>
          <w:b/>
          <w:vertAlign w:val="superscript"/>
        </w:rPr>
        <w:footnoteRef/>
      </w:r>
      <w:r w:rsidRPr="0045507A">
        <w:t xml:space="preserve"> </w:t>
      </w:r>
      <w:r>
        <w:tab/>
      </w:r>
      <w:r w:rsidRPr="0045507A">
        <w:t xml:space="preserve">See </w:t>
      </w:r>
      <w:r w:rsidRPr="00180E33">
        <w:rPr>
          <w:i/>
        </w:rPr>
        <w:t>Massachusetts Prop. Ins. Underwriting Ass’n</w:t>
      </w:r>
      <w:r w:rsidRPr="0045507A">
        <w:t xml:space="preserve"> v. </w:t>
      </w:r>
      <w:proofErr w:type="spellStart"/>
      <w:r w:rsidRPr="00180E33">
        <w:rPr>
          <w:i/>
        </w:rPr>
        <w:t>Georgaklis</w:t>
      </w:r>
      <w:proofErr w:type="spellEnd"/>
      <w:r w:rsidRPr="0045507A">
        <w:t>, 77 Mass. App. Ct. 358, 361 (2010)</w:t>
      </w:r>
      <w:r>
        <w:t xml:space="preserve">, </w:t>
      </w:r>
      <w:r w:rsidRPr="0045507A">
        <w:t xml:space="preserve">quoting </w:t>
      </w:r>
      <w:r w:rsidRPr="0045507A">
        <w:rPr>
          <w:i/>
        </w:rPr>
        <w:t xml:space="preserve">Gurry </w:t>
      </w:r>
      <w:r w:rsidRPr="00180E33">
        <w:t>v.</w:t>
      </w:r>
      <w:r w:rsidRPr="0045507A">
        <w:rPr>
          <w:i/>
        </w:rPr>
        <w:t xml:space="preserve"> Cumberland Farms, Inc.,</w:t>
      </w:r>
      <w:r w:rsidRPr="0045507A">
        <w:t xml:space="preserve"> 406 Mass. 615, 623 (1990)</w:t>
      </w:r>
      <w:r w:rsidR="005B0DB1">
        <w:t xml:space="preserve">. </w:t>
      </w:r>
      <w:r>
        <w:t xml:space="preserve"> </w:t>
      </w:r>
      <w:r w:rsidRPr="0045507A">
        <w:t xml:space="preserve">See </w:t>
      </w:r>
      <w:r>
        <w:t xml:space="preserve">also </w:t>
      </w:r>
      <w:proofErr w:type="spellStart"/>
      <w:r w:rsidRPr="0045507A">
        <w:rPr>
          <w:i/>
        </w:rPr>
        <w:t>Shain</w:t>
      </w:r>
      <w:proofErr w:type="spellEnd"/>
      <w:r w:rsidRPr="0045507A">
        <w:rPr>
          <w:i/>
        </w:rPr>
        <w:t xml:space="preserve"> Inv. Co., Inc. </w:t>
      </w:r>
      <w:r w:rsidRPr="00180E33">
        <w:t>v</w:t>
      </w:r>
      <w:r w:rsidRPr="0045507A">
        <w:rPr>
          <w:i/>
        </w:rPr>
        <w:t>. Cohen</w:t>
      </w:r>
      <w:r w:rsidRPr="0045507A">
        <w:t>, 15 Mass. App. Ct. 4, 7 (1982).</w:t>
      </w:r>
      <w:r>
        <w:t xml:space="preserve"> </w:t>
      </w:r>
    </w:p>
  </w:footnote>
  <w:footnote w:id="13">
    <w:p w14:paraId="3BF24D83" w14:textId="64A3ADA7" w:rsidR="005B0DB1" w:rsidRDefault="005B0D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45507A">
        <w:rPr>
          <w:i/>
          <w:snapToGrid w:val="0"/>
        </w:rPr>
        <w:t xml:space="preserve">Estate of Moulton </w:t>
      </w:r>
      <w:r w:rsidRPr="00180E33">
        <w:rPr>
          <w:snapToGrid w:val="0"/>
        </w:rPr>
        <w:t>v.</w:t>
      </w:r>
      <w:r w:rsidRPr="0045507A">
        <w:rPr>
          <w:i/>
          <w:snapToGrid w:val="0"/>
        </w:rPr>
        <w:t xml:space="preserve"> Puopolo</w:t>
      </w:r>
      <w:r w:rsidRPr="0045507A">
        <w:rPr>
          <w:snapToGrid w:val="0"/>
        </w:rPr>
        <w:t>, 467 Mass. 478, 492 (2014) (“Directors of a corporation stand</w:t>
      </w:r>
      <w:r w:rsidRPr="00FA2D1F">
        <w:rPr>
          <w:b/>
          <w:snapToGrid w:val="0"/>
        </w:rPr>
        <w:t xml:space="preserve"> </w:t>
      </w:r>
      <w:r w:rsidRPr="0045507A">
        <w:rPr>
          <w:snapToGrid w:val="0"/>
        </w:rPr>
        <w:t xml:space="preserve">in a fiduciary relationship </w:t>
      </w:r>
      <w:r>
        <w:rPr>
          <w:snapToGrid w:val="0"/>
        </w:rPr>
        <w:t xml:space="preserve">to </w:t>
      </w:r>
      <w:r w:rsidRPr="0045507A">
        <w:rPr>
          <w:snapToGrid w:val="0"/>
        </w:rPr>
        <w:t xml:space="preserve">that corporation and have a duty to protect its interests ‘above every other obligation.’”) (citing cases); </w:t>
      </w:r>
      <w:r w:rsidRPr="0045507A">
        <w:rPr>
          <w:i/>
          <w:snapToGrid w:val="0"/>
        </w:rPr>
        <w:t xml:space="preserve">Demoulas </w:t>
      </w:r>
      <w:r w:rsidRPr="00180E33">
        <w:rPr>
          <w:snapToGrid w:val="0"/>
        </w:rPr>
        <w:t>v.</w:t>
      </w:r>
      <w:r w:rsidRPr="0045507A">
        <w:rPr>
          <w:i/>
          <w:snapToGrid w:val="0"/>
        </w:rPr>
        <w:t xml:space="preserve"> Demoulas Super Mkts., Inc.</w:t>
      </w:r>
      <w:r w:rsidRPr="0045507A">
        <w:rPr>
          <w:snapToGrid w:val="0"/>
        </w:rPr>
        <w:t>, 424 Mass. 501 (1997).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147A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8653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3608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72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227B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E6C0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227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5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345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9A5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1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1959745">
    <w:abstractNumId w:val="12"/>
  </w:num>
  <w:num w:numId="2" w16cid:durableId="1708680047">
    <w:abstractNumId w:val="11"/>
  </w:num>
  <w:num w:numId="3" w16cid:durableId="974531391">
    <w:abstractNumId w:val="0"/>
  </w:num>
  <w:num w:numId="4" w16cid:durableId="481698322">
    <w:abstractNumId w:val="1"/>
  </w:num>
  <w:num w:numId="5" w16cid:durableId="941231015">
    <w:abstractNumId w:val="2"/>
  </w:num>
  <w:num w:numId="6" w16cid:durableId="936403543">
    <w:abstractNumId w:val="3"/>
  </w:num>
  <w:num w:numId="7" w16cid:durableId="1897858935">
    <w:abstractNumId w:val="8"/>
  </w:num>
  <w:num w:numId="8" w16cid:durableId="2127309554">
    <w:abstractNumId w:val="4"/>
  </w:num>
  <w:num w:numId="9" w16cid:durableId="1526478832">
    <w:abstractNumId w:val="5"/>
  </w:num>
  <w:num w:numId="10" w16cid:durableId="557210211">
    <w:abstractNumId w:val="6"/>
  </w:num>
  <w:num w:numId="11" w16cid:durableId="1968388829">
    <w:abstractNumId w:val="7"/>
  </w:num>
  <w:num w:numId="12" w16cid:durableId="1386030428">
    <w:abstractNumId w:val="9"/>
  </w:num>
  <w:num w:numId="13" w16cid:durableId="343439039">
    <w:abstractNumId w:val="11"/>
  </w:num>
  <w:num w:numId="14" w16cid:durableId="59201385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B7B9E"/>
    <w:rsid w:val="000D70C6"/>
    <w:rsid w:val="000E7622"/>
    <w:rsid w:val="000F34F5"/>
    <w:rsid w:val="001014C9"/>
    <w:rsid w:val="0010739E"/>
    <w:rsid w:val="00130F23"/>
    <w:rsid w:val="0017397B"/>
    <w:rsid w:val="001B7748"/>
    <w:rsid w:val="001C5FA5"/>
    <w:rsid w:val="001D701D"/>
    <w:rsid w:val="001E2162"/>
    <w:rsid w:val="00221552"/>
    <w:rsid w:val="00257345"/>
    <w:rsid w:val="00294F89"/>
    <w:rsid w:val="002A2C60"/>
    <w:rsid w:val="002D2041"/>
    <w:rsid w:val="00303039"/>
    <w:rsid w:val="003143E4"/>
    <w:rsid w:val="00420329"/>
    <w:rsid w:val="004848CB"/>
    <w:rsid w:val="004A3BE2"/>
    <w:rsid w:val="00516C98"/>
    <w:rsid w:val="005446C0"/>
    <w:rsid w:val="00550249"/>
    <w:rsid w:val="00594672"/>
    <w:rsid w:val="00596E5A"/>
    <w:rsid w:val="005B0DB1"/>
    <w:rsid w:val="005D23B0"/>
    <w:rsid w:val="00631DAB"/>
    <w:rsid w:val="00676B44"/>
    <w:rsid w:val="0070203B"/>
    <w:rsid w:val="00727C1B"/>
    <w:rsid w:val="007E7B77"/>
    <w:rsid w:val="00813327"/>
    <w:rsid w:val="00834E34"/>
    <w:rsid w:val="008733AA"/>
    <w:rsid w:val="00880AA6"/>
    <w:rsid w:val="00933E6B"/>
    <w:rsid w:val="0094500B"/>
    <w:rsid w:val="00992410"/>
    <w:rsid w:val="009B481F"/>
    <w:rsid w:val="00A05B86"/>
    <w:rsid w:val="00A068AB"/>
    <w:rsid w:val="00A164C0"/>
    <w:rsid w:val="00A2789E"/>
    <w:rsid w:val="00A41EA4"/>
    <w:rsid w:val="00A55E4E"/>
    <w:rsid w:val="00A56498"/>
    <w:rsid w:val="00A76145"/>
    <w:rsid w:val="00A917A4"/>
    <w:rsid w:val="00A95EAD"/>
    <w:rsid w:val="00AF6831"/>
    <w:rsid w:val="00B02468"/>
    <w:rsid w:val="00B2579A"/>
    <w:rsid w:val="00B520AB"/>
    <w:rsid w:val="00B73F99"/>
    <w:rsid w:val="00B75859"/>
    <w:rsid w:val="00BE7335"/>
    <w:rsid w:val="00BF0717"/>
    <w:rsid w:val="00BF08B5"/>
    <w:rsid w:val="00C148B3"/>
    <w:rsid w:val="00C43AEF"/>
    <w:rsid w:val="00C5670C"/>
    <w:rsid w:val="00C961B7"/>
    <w:rsid w:val="00CC65AA"/>
    <w:rsid w:val="00CD7576"/>
    <w:rsid w:val="00D013EF"/>
    <w:rsid w:val="00D71FE5"/>
    <w:rsid w:val="00D8732A"/>
    <w:rsid w:val="00D873B2"/>
    <w:rsid w:val="00D9196F"/>
    <w:rsid w:val="00DB6604"/>
    <w:rsid w:val="00DC61A7"/>
    <w:rsid w:val="00E174B0"/>
    <w:rsid w:val="00F10AE9"/>
    <w:rsid w:val="00F11C6F"/>
    <w:rsid w:val="00F74A90"/>
    <w:rsid w:val="00F83046"/>
    <w:rsid w:val="00F90828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CB"/>
    <w:rPr>
      <w:rFonts w:ascii="Palatino Linotype" w:eastAsia="Times New Roman" w:hAnsi="Palatino Linotype" w:cs="Times New Roman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  <w:style w:type="character" w:customStyle="1" w:styleId="object">
    <w:name w:val="object"/>
    <w:basedOn w:val="DefaultParagraphFont"/>
    <w:rsid w:val="00F90828"/>
  </w:style>
  <w:style w:type="character" w:styleId="Hyperlink">
    <w:name w:val="Hyperlink"/>
    <w:basedOn w:val="DefaultParagraphFont"/>
    <w:uiPriority w:val="99"/>
    <w:semiHidden/>
    <w:unhideWhenUsed/>
    <w:rsid w:val="00F90828"/>
    <w:rPr>
      <w:color w:val="0000FF"/>
      <w:u w:val="single"/>
    </w:rPr>
  </w:style>
  <w:style w:type="paragraph" w:styleId="Revision">
    <w:name w:val="Revision"/>
    <w:hidden/>
    <w:uiPriority w:val="99"/>
    <w:semiHidden/>
    <w:rsid w:val="00D013EF"/>
    <w:rPr>
      <w:rFonts w:ascii="Palatino Linotype" w:eastAsia="Times New Roman" w:hAnsi="Palatino Linotype" w:cs="Times New Roman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 Jury Instructions Breach of Fiduciary Duty</dc:title>
  <dc:subject/>
  <dc:creator>KWS</dc:creator>
  <cp:keywords/>
  <dc:description/>
  <cp:lastModifiedBy>Steven F Kreager</cp:lastModifiedBy>
  <cp:revision>2</cp:revision>
  <dcterms:created xsi:type="dcterms:W3CDTF">2025-05-22T15:20:00Z</dcterms:created>
  <dcterms:modified xsi:type="dcterms:W3CDTF">2025-05-22T15:20:00Z</dcterms:modified>
</cp:coreProperties>
</file>