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ED8B" w14:textId="77777777" w:rsidR="002D6594" w:rsidRPr="00720E2B" w:rsidRDefault="002D6594" w:rsidP="002D6594">
      <w:pPr>
        <w:pStyle w:val="JuryInstructionText"/>
        <w:jc w:val="right"/>
        <w:rPr>
          <w:i/>
          <w:iCs/>
        </w:rPr>
      </w:pPr>
      <w:r w:rsidRPr="00720E2B">
        <w:rPr>
          <w:i/>
          <w:iCs/>
        </w:rPr>
        <w:t xml:space="preserve">Publication Date: </w:t>
      </w:r>
      <w:r>
        <w:rPr>
          <w:i/>
          <w:iCs/>
        </w:rPr>
        <w:t>August 9, 2022</w:t>
      </w:r>
    </w:p>
    <w:p w14:paraId="0ADB0657" w14:textId="4FF34DF4" w:rsidR="006A6C6D" w:rsidRPr="001E1EF9" w:rsidRDefault="006A6C6D" w:rsidP="007B2CF3">
      <w:pPr>
        <w:pStyle w:val="JuryInst1"/>
      </w:pPr>
      <w:r w:rsidRPr="007B2CF3">
        <w:rPr>
          <w:snapToGrid w:val="0"/>
        </w:rPr>
        <w:t>Breach of Noncompetition Agreement by a Former Employee</w:t>
      </w:r>
      <w:r w:rsidR="007B2CF3" w:rsidRPr="007B2CF3">
        <w:rPr>
          <w:snapToGrid w:val="0"/>
        </w:rPr>
        <w:br/>
      </w:r>
      <w:r w:rsidRPr="007B2CF3">
        <w:rPr>
          <w:snapToGrid w:val="0"/>
        </w:rPr>
        <w:t>(For</w:t>
      </w:r>
      <w:r w:rsidRPr="001E1EF9">
        <w:t xml:space="preserve"> Non-Compete Agreements </w:t>
      </w:r>
      <w:r w:rsidR="007B2CF3">
        <w:t xml:space="preserve">Executed </w:t>
      </w:r>
      <w:r w:rsidRPr="001E1EF9">
        <w:t>After September 30, 2018)</w:t>
      </w:r>
      <w:r>
        <w:t>.</w:t>
      </w:r>
      <w:r w:rsidRPr="001E1EF9">
        <w:rPr>
          <w:rStyle w:val="FootnoteReference"/>
          <w:rFonts w:cs="Segoe UI Historic"/>
          <w:szCs w:val="28"/>
        </w:rPr>
        <w:footnoteReference w:id="1"/>
      </w:r>
      <w:r w:rsidR="002D6594">
        <w:br/>
      </w:r>
    </w:p>
    <w:p w14:paraId="0F8EE3E4" w14:textId="6BB1F403" w:rsidR="006A6C6D" w:rsidRDefault="007B2CF3" w:rsidP="007B2CF3">
      <w:pPr>
        <w:pStyle w:val="JuryInst2"/>
      </w:pPr>
      <w:r>
        <w:t>Non-Competition Agreement</w:t>
      </w:r>
    </w:p>
    <w:p w14:paraId="03DCEBDD" w14:textId="77777777" w:rsidR="006A6C6D" w:rsidRDefault="006A6C6D" w:rsidP="00654169">
      <w:pPr>
        <w:pStyle w:val="JuryInstructionText"/>
        <w:rPr>
          <w:b/>
        </w:rPr>
      </w:pPr>
      <w:r>
        <w:t>PLF claims that DFT broke an agreement not to compete against PLF once DFT no longer worked there.</w:t>
      </w:r>
    </w:p>
    <w:p w14:paraId="4D51279F" w14:textId="77777777" w:rsidR="006A6C6D" w:rsidRDefault="006A6C6D" w:rsidP="00654169">
      <w:pPr>
        <w:pStyle w:val="JuryInstructionText"/>
        <w:rPr>
          <w:b/>
        </w:rPr>
      </w:pPr>
      <w:r>
        <w:t>T</w:t>
      </w:r>
      <w:r w:rsidRPr="00FE7BA9">
        <w:t xml:space="preserve">o </w:t>
      </w:r>
      <w:r>
        <w:t>prove</w:t>
      </w:r>
      <w:r w:rsidRPr="00FE7BA9">
        <w:t xml:space="preserve"> </w:t>
      </w:r>
      <w:r>
        <w:t xml:space="preserve">that DFT violated the parties’ </w:t>
      </w:r>
      <w:r w:rsidRPr="00FE7BA9">
        <w:rPr>
          <w:spacing w:val="-2"/>
        </w:rPr>
        <w:t xml:space="preserve">noncompetition agreement, </w:t>
      </w:r>
      <w:r w:rsidRPr="00FE7BA9">
        <w:t>PLF must pro</w:t>
      </w:r>
      <w:r>
        <w:t>ve that</w:t>
      </w:r>
      <w:r w:rsidRPr="00FE7BA9">
        <w:t xml:space="preserve"> each of the following</w:t>
      </w:r>
      <w:r>
        <w:t xml:space="preserve"> six [five, four]</w:t>
      </w:r>
      <w:r w:rsidRPr="00FE7BA9">
        <w:t xml:space="preserve"> </w:t>
      </w:r>
      <w:r>
        <w:t>things is more probably true than not true</w:t>
      </w:r>
      <w:r w:rsidRPr="00FE7BA9">
        <w:t>:</w:t>
      </w:r>
    </w:p>
    <w:p w14:paraId="3D69CA4A" w14:textId="3D6BE35F" w:rsidR="006A6C6D" w:rsidRPr="00E522DC" w:rsidRDefault="00654169" w:rsidP="00654169">
      <w:pPr>
        <w:pStyle w:val="JuryInstructionElements"/>
        <w:rPr>
          <w:b/>
        </w:rPr>
      </w:pPr>
      <w:r>
        <w:t>1.</w:t>
      </w:r>
      <w:r>
        <w:tab/>
      </w:r>
      <w:r w:rsidR="002E08FC">
        <w:t>&lt;</w:t>
      </w:r>
      <w:r w:rsidR="002E08FC">
        <w:rPr>
          <w:b/>
          <w:bCs/>
          <w:i/>
          <w:iCs/>
        </w:rPr>
        <w:t>Only if contested.</w:t>
      </w:r>
      <w:r w:rsidR="002E08FC">
        <w:t xml:space="preserve">&gt; </w:t>
      </w:r>
      <w:r w:rsidR="006A6C6D">
        <w:t>DFT was</w:t>
      </w:r>
      <w:r w:rsidR="006A6C6D" w:rsidRPr="00FE7BA9">
        <w:t xml:space="preserve"> not entitled to overtime pay</w:t>
      </w:r>
      <w:r w:rsidR="003D4823">
        <w:t xml:space="preserve">. </w:t>
      </w:r>
    </w:p>
    <w:p w14:paraId="1E825652" w14:textId="33AD27F5" w:rsidR="006A6C6D" w:rsidRPr="00326E22" w:rsidRDefault="00654169" w:rsidP="00654169">
      <w:pPr>
        <w:pStyle w:val="JuryInstructionElements"/>
      </w:pPr>
      <w:r>
        <w:t>2.</w:t>
      </w:r>
      <w:r>
        <w:tab/>
      </w:r>
      <w:r w:rsidR="006A6C6D">
        <w:t xml:space="preserve">PLF terminated </w:t>
      </w:r>
      <w:r w:rsidR="006A6C6D" w:rsidRPr="003221F0">
        <w:t>DFT</w:t>
      </w:r>
      <w:r w:rsidR="006A6C6D">
        <w:t xml:space="preserve">’s </w:t>
      </w:r>
      <w:r w:rsidR="006A6C6D" w:rsidRPr="003221F0">
        <w:t xml:space="preserve">employment </w:t>
      </w:r>
      <w:r w:rsidR="006A6C6D">
        <w:t>for</w:t>
      </w:r>
      <w:r w:rsidR="006A6C6D" w:rsidRPr="003221F0">
        <w:t xml:space="preserve"> cause</w:t>
      </w:r>
      <w:r w:rsidR="003D4823">
        <w:t xml:space="preserve">. </w:t>
      </w:r>
    </w:p>
    <w:p w14:paraId="09364EAD" w14:textId="301F8BA2" w:rsidR="006A6C6D" w:rsidRDefault="00654169" w:rsidP="00654169">
      <w:pPr>
        <w:pStyle w:val="JuryInstructionElements"/>
      </w:pPr>
      <w:r>
        <w:t>3.</w:t>
      </w:r>
      <w:r>
        <w:tab/>
      </w:r>
      <w:r w:rsidR="002E08FC">
        <w:t>&lt;</w:t>
      </w:r>
      <w:r w:rsidR="002E08FC">
        <w:rPr>
          <w:b/>
          <w:bCs/>
          <w:i/>
          <w:iCs/>
        </w:rPr>
        <w:t>Only if contested.</w:t>
      </w:r>
      <w:r w:rsidR="002E08FC">
        <w:t xml:space="preserve">&gt; </w:t>
      </w:r>
      <w:r w:rsidR="006A6C6D">
        <w:t>PLF and DFT had a</w:t>
      </w:r>
      <w:r w:rsidR="006A6C6D" w:rsidRPr="003221F0">
        <w:t xml:space="preserve"> written noncompetition agreement </w:t>
      </w:r>
      <w:r w:rsidR="006A6C6D">
        <w:t>that met certain legal requirements, that I will explain in a minute;</w:t>
      </w:r>
    </w:p>
    <w:p w14:paraId="0374EFE2" w14:textId="59A91B00" w:rsidR="006A6C6D" w:rsidRDefault="00654169" w:rsidP="00654169">
      <w:pPr>
        <w:pStyle w:val="JuryInstructionElements"/>
      </w:pPr>
      <w:r>
        <w:t>4.</w:t>
      </w:r>
      <w:r>
        <w:tab/>
      </w:r>
      <w:r w:rsidR="006A6C6D" w:rsidRPr="005769F9">
        <w:t>The agreement had a reasonably limited time and scope, and was consistent with the public interest</w:t>
      </w:r>
      <w:r w:rsidR="003D4823">
        <w:t xml:space="preserve">. </w:t>
      </w:r>
    </w:p>
    <w:p w14:paraId="38236AF2" w14:textId="0B39CDF7" w:rsidR="006A6C6D" w:rsidRPr="005769F9" w:rsidRDefault="00654169" w:rsidP="00654169">
      <w:pPr>
        <w:pStyle w:val="JuryInstructionElements"/>
      </w:pPr>
      <w:r>
        <w:t>5.</w:t>
      </w:r>
      <w:r>
        <w:tab/>
      </w:r>
      <w:r w:rsidR="006A6C6D" w:rsidRPr="005769F9">
        <w:t xml:space="preserve">DFT violated a part of the agreement </w:t>
      </w:r>
      <w:r w:rsidR="006A6C6D">
        <w:t>that</w:t>
      </w:r>
      <w:r w:rsidR="006A6C6D" w:rsidRPr="005769F9">
        <w:t xml:space="preserve"> was necessary to protect PLF’s legitimate business interest; and </w:t>
      </w:r>
    </w:p>
    <w:p w14:paraId="41CAA872" w14:textId="4B2088E9" w:rsidR="006A6C6D" w:rsidRDefault="006A6C6D" w:rsidP="00654169">
      <w:pPr>
        <w:pStyle w:val="JuryInstructionElements"/>
      </w:pPr>
      <w:r>
        <w:t>6.</w:t>
      </w:r>
      <w:r w:rsidR="00654169">
        <w:tab/>
      </w:r>
      <w:r w:rsidRPr="00FE7BA9">
        <w:t>DFT’s breach o</w:t>
      </w:r>
      <w:r>
        <w:t>f the agreement caused harm to PLF.</w:t>
      </w:r>
    </w:p>
    <w:p w14:paraId="16ACF1C9" w14:textId="0A27FB61" w:rsidR="006A6C6D" w:rsidRDefault="006A6C6D" w:rsidP="00654169">
      <w:pPr>
        <w:pStyle w:val="JuryInstructionText"/>
        <w:rPr>
          <w:b/>
        </w:rPr>
      </w:pPr>
      <w:r>
        <w:t>I will now describe these matters in more detail.</w:t>
      </w:r>
    </w:p>
    <w:p w14:paraId="03C473BB" w14:textId="77777777" w:rsidR="006A6C6D" w:rsidRPr="001E1EF9" w:rsidRDefault="006A6C6D" w:rsidP="00654169">
      <w:pPr>
        <w:pStyle w:val="JuryInst3"/>
      </w:pPr>
      <w:r w:rsidRPr="001E1EF9">
        <w:lastRenderedPageBreak/>
        <w:t>Exempt Employee</w:t>
      </w:r>
    </w:p>
    <w:p w14:paraId="6D06B99E" w14:textId="3DEDAD4F" w:rsidR="003D4823" w:rsidRDefault="002E08FC" w:rsidP="003D4823">
      <w:pPr>
        <w:pStyle w:val="JuryInstructionText"/>
        <w:keepNext/>
        <w:keepLines/>
        <w:rPr>
          <w:spacing w:val="-2"/>
        </w:rPr>
      </w:pPr>
      <w:r>
        <w:t>&lt;</w:t>
      </w:r>
      <w:r>
        <w:rPr>
          <w:b/>
          <w:bCs/>
          <w:i/>
          <w:iCs/>
        </w:rPr>
        <w:t>Only if contested.</w:t>
      </w:r>
      <w:r>
        <w:t xml:space="preserve">&gt; </w:t>
      </w:r>
      <w:r w:rsidR="006A6C6D">
        <w:t xml:space="preserve">First, PLF must prove that, given the nature of his/her job, </w:t>
      </w:r>
      <w:r w:rsidR="006A6C6D" w:rsidRPr="00FE7BA9">
        <w:t xml:space="preserve">DFT </w:t>
      </w:r>
      <w:r w:rsidR="006A6C6D">
        <w:t>was</w:t>
      </w:r>
      <w:r w:rsidR="006A6C6D" w:rsidRPr="00FE7BA9">
        <w:t xml:space="preserve"> not entitled to overtime pay</w:t>
      </w:r>
      <w:r w:rsidR="003D4823">
        <w:t xml:space="preserve">. </w:t>
      </w:r>
      <w:r w:rsidR="006A6C6D">
        <w:t xml:space="preserve">PLF may not enforce a </w:t>
      </w:r>
      <w:r w:rsidR="006A6C6D" w:rsidRPr="00FE7BA9">
        <w:t xml:space="preserve">Noncompetition </w:t>
      </w:r>
      <w:r w:rsidR="006A6C6D">
        <w:t xml:space="preserve">Agreement </w:t>
      </w:r>
      <w:r w:rsidR="006A6C6D" w:rsidRPr="00FE7BA9">
        <w:t xml:space="preserve">against </w:t>
      </w:r>
      <w:r w:rsidR="006A6C6D">
        <w:t>an employee who was eligible for overtime pay</w:t>
      </w:r>
      <w:r w:rsidR="006A6C6D">
        <w:rPr>
          <w:rStyle w:val="FootnoteReference"/>
          <w:rFonts w:cs="Segoe UI Historic"/>
          <w:spacing w:val="-2"/>
        </w:rPr>
        <w:footnoteReference w:id="2"/>
      </w:r>
      <w:r w:rsidR="006A6C6D">
        <w:rPr>
          <w:spacing w:val="-2"/>
        </w:rPr>
        <w:t xml:space="preserve">. </w:t>
      </w:r>
    </w:p>
    <w:p w14:paraId="229879E5" w14:textId="3B0C96EC" w:rsidR="006A6C6D" w:rsidRDefault="006A6C6D" w:rsidP="00654169">
      <w:pPr>
        <w:pStyle w:val="JuryInstructionText"/>
        <w:rPr>
          <w:spacing w:val="-2"/>
        </w:rPr>
      </w:pPr>
      <w:r>
        <w:rPr>
          <w:spacing w:val="-2"/>
        </w:rPr>
        <w:t>&lt;</w:t>
      </w:r>
      <w:r>
        <w:rPr>
          <w:b/>
          <w:bCs/>
          <w:i/>
          <w:iCs/>
          <w:spacing w:val="-2"/>
        </w:rPr>
        <w:t>Insert appropriate instruction for claimed category of exemption from overtime pay from Appendix A, below</w:t>
      </w:r>
      <w:r>
        <w:rPr>
          <w:spacing w:val="-2"/>
        </w:rPr>
        <w:t xml:space="preserve">&gt; </w:t>
      </w:r>
    </w:p>
    <w:p w14:paraId="4E88F911" w14:textId="77777777" w:rsidR="006A6C6D" w:rsidRPr="001E1EF9" w:rsidRDefault="006A6C6D" w:rsidP="00654169">
      <w:pPr>
        <w:pStyle w:val="JuryInst3"/>
      </w:pPr>
      <w:r w:rsidRPr="001E1EF9">
        <w:t xml:space="preserve">Reason </w:t>
      </w:r>
      <w:r>
        <w:t>f</w:t>
      </w:r>
      <w:r w:rsidRPr="001E1EF9">
        <w:t>or Employment Termination</w:t>
      </w:r>
    </w:p>
    <w:p w14:paraId="316CD191" w14:textId="77777777" w:rsidR="00D1515D" w:rsidRDefault="006A6C6D" w:rsidP="00654169">
      <w:pPr>
        <w:pStyle w:val="JuryInstructionText"/>
      </w:pPr>
      <w:r w:rsidRPr="005769F9">
        <w:t>First (second) PLF must prove that it did not lay DFT off</w:t>
      </w:r>
      <w:r>
        <w:t xml:space="preserve"> without cause</w:t>
      </w:r>
      <w:r w:rsidRPr="005769F9">
        <w:t>. PLF may do this in one of two ways</w:t>
      </w:r>
      <w:r w:rsidR="003D4823">
        <w:t xml:space="preserve">. </w:t>
      </w:r>
    </w:p>
    <w:p w14:paraId="45B3543E" w14:textId="77777777" w:rsidR="00D1515D" w:rsidRDefault="00D1515D" w:rsidP="00654169">
      <w:pPr>
        <w:pStyle w:val="JuryInstructionText"/>
        <w:rPr>
          <w:rFonts w:eastAsia="Times New Roman"/>
          <w:color w:val="000000"/>
        </w:rPr>
      </w:pPr>
      <w:r>
        <w:t xml:space="preserve">One way is for </w:t>
      </w:r>
      <w:r w:rsidR="006A6C6D" w:rsidRPr="005769F9">
        <w:t xml:space="preserve">PLF </w:t>
      </w:r>
      <w:r>
        <w:t>to</w:t>
      </w:r>
      <w:r w:rsidR="006A6C6D" w:rsidRPr="005769F9">
        <w:t xml:space="preserve"> prove that it terminated DFT’s employment</w:t>
      </w:r>
      <w:r w:rsidR="006A6C6D">
        <w:t xml:space="preserve"> for cause—such as for some sort of </w:t>
      </w:r>
      <w:r w:rsidR="006A6C6D" w:rsidRPr="005769F9">
        <w:t xml:space="preserve">misconduct or </w:t>
      </w:r>
      <w:r w:rsidR="006A6C6D">
        <w:t>violation</w:t>
      </w:r>
      <w:r w:rsidR="006A6C6D" w:rsidRPr="005769F9">
        <w:t xml:space="preserve"> of PLF’s workplace </w:t>
      </w:r>
      <w:r w:rsidR="006A6C6D">
        <w:t xml:space="preserve">rules or </w:t>
      </w:r>
      <w:r w:rsidR="006A6C6D" w:rsidRPr="005769F9">
        <w:t>policies</w:t>
      </w:r>
      <w:r w:rsidR="003D4823">
        <w:t xml:space="preserve">. </w:t>
      </w:r>
      <w:r w:rsidR="006A6C6D" w:rsidRPr="005769F9">
        <w:t>PLF</w:t>
      </w:r>
      <w:r w:rsidR="006A6C6D" w:rsidRPr="005769F9">
        <w:rPr>
          <w:rFonts w:eastAsia="Times New Roman"/>
          <w:color w:val="000000"/>
        </w:rPr>
        <w:t xml:space="preserve"> may terminate an employee for cause </w:t>
      </w:r>
      <w:r w:rsidR="006A6C6D">
        <w:rPr>
          <w:rFonts w:eastAsia="Times New Roman"/>
          <w:color w:val="000000"/>
        </w:rPr>
        <w:t>for any reason that</w:t>
      </w:r>
      <w:r w:rsidR="006A6C6D" w:rsidRPr="005769F9">
        <w:rPr>
          <w:rFonts w:eastAsia="Times New Roman"/>
          <w:color w:val="000000"/>
        </w:rPr>
        <w:t xml:space="preserve"> is reasonably related, in PLF’s judgment, to the needs of his/her/its business.</w:t>
      </w:r>
      <w:r w:rsidR="006A6C6D" w:rsidRPr="00326E22">
        <w:rPr>
          <w:rStyle w:val="FootnoteReference"/>
          <w:rFonts w:eastAsia="Times New Roman" w:cs="Segoe UI Historic"/>
          <w:color w:val="000000"/>
        </w:rPr>
        <w:footnoteReference w:id="3"/>
      </w:r>
      <w:r w:rsidR="006A6C6D" w:rsidRPr="005769F9">
        <w:rPr>
          <w:rFonts w:eastAsia="Times New Roman"/>
          <w:color w:val="000000"/>
        </w:rPr>
        <w:t xml:space="preserve"> </w:t>
      </w:r>
    </w:p>
    <w:p w14:paraId="77C7E7D3" w14:textId="487B853D" w:rsidR="006A6C6D" w:rsidRPr="005769F9" w:rsidRDefault="00D1515D" w:rsidP="00654169">
      <w:pPr>
        <w:pStyle w:val="JuryInstructionText"/>
      </w:pPr>
      <w:r>
        <w:rPr>
          <w:rFonts w:eastAsia="Times New Roman"/>
          <w:color w:val="000000"/>
        </w:rPr>
        <w:t xml:space="preserve">The other way is for </w:t>
      </w:r>
      <w:r w:rsidR="006A6C6D" w:rsidRPr="005769F9">
        <w:t xml:space="preserve">PLF </w:t>
      </w:r>
      <w:r>
        <w:t>to</w:t>
      </w:r>
      <w:r w:rsidR="006A6C6D" w:rsidRPr="005769F9">
        <w:t xml:space="preserve"> prove DFT voluntarily quit his/her employment</w:t>
      </w:r>
      <w:r w:rsidR="006A6C6D">
        <w:rPr>
          <w:rStyle w:val="FootnoteReference"/>
          <w:rFonts w:cs="Segoe UI Historic"/>
        </w:rPr>
        <w:footnoteReference w:id="4"/>
      </w:r>
      <w:r w:rsidR="006A6C6D" w:rsidRPr="005769F9">
        <w:t xml:space="preserve">. </w:t>
      </w:r>
    </w:p>
    <w:p w14:paraId="4B158403" w14:textId="77777777" w:rsidR="006A6C6D" w:rsidRPr="001E1EF9" w:rsidRDefault="006A6C6D" w:rsidP="00654169">
      <w:pPr>
        <w:pStyle w:val="JuryInst3"/>
      </w:pPr>
      <w:r w:rsidRPr="001E1EF9">
        <w:lastRenderedPageBreak/>
        <w:t xml:space="preserve">Compliance </w:t>
      </w:r>
      <w:r>
        <w:t>with Statutory Form an</w:t>
      </w:r>
      <w:r w:rsidRPr="001E1EF9">
        <w:t>d Timing</w:t>
      </w:r>
    </w:p>
    <w:p w14:paraId="13763265" w14:textId="6D4FF105" w:rsidR="006A6C6D" w:rsidRPr="00A42586" w:rsidRDefault="002E08FC" w:rsidP="00654169">
      <w:pPr>
        <w:pStyle w:val="JuryInstructionText"/>
      </w:pPr>
      <w:r>
        <w:t>&lt;</w:t>
      </w:r>
      <w:r>
        <w:rPr>
          <w:b/>
          <w:bCs/>
          <w:i/>
          <w:iCs/>
        </w:rPr>
        <w:t>Only if contested.</w:t>
      </w:r>
      <w:r>
        <w:t xml:space="preserve">&gt; </w:t>
      </w:r>
      <w:r w:rsidR="006A6C6D" w:rsidRPr="00A42586">
        <w:t xml:space="preserve">Second [third], PLF must prove that the agreement complied with the following legal requirements. </w:t>
      </w:r>
      <w:r w:rsidR="00D1515D">
        <w:t>&lt;</w:t>
      </w:r>
      <w:r w:rsidR="006A6C6D" w:rsidRPr="00D1515D">
        <w:rPr>
          <w:b/>
          <w:bCs/>
          <w:i/>
          <w:iCs/>
        </w:rPr>
        <w:t>Instruct only on those that apply and are contested</w:t>
      </w:r>
      <w:r w:rsidR="00D1515D" w:rsidRPr="00D1515D">
        <w:rPr>
          <w:b/>
          <w:bCs/>
          <w:i/>
          <w:iCs/>
        </w:rPr>
        <w:t>.</w:t>
      </w:r>
      <w:r w:rsidR="00D1515D">
        <w:t>&gt;</w:t>
      </w:r>
    </w:p>
    <w:p w14:paraId="38781539" w14:textId="6A15EF02" w:rsidR="006A6C6D" w:rsidRDefault="006A6C6D" w:rsidP="00654169">
      <w:pPr>
        <w:pStyle w:val="JuryInstructionBullets"/>
      </w:pPr>
      <w:r w:rsidRPr="00E67518">
        <w:t xml:space="preserve">PLF must show that it provided DFT with a written noncompetition agreement at least ten business days </w:t>
      </w:r>
      <w:r>
        <w:t>[</w:t>
      </w:r>
      <w:r w:rsidRPr="00E67518">
        <w:t>before it was to take effect</w:t>
      </w:r>
      <w:r>
        <w:t>]</w:t>
      </w:r>
      <w:r w:rsidRPr="00E67518">
        <w:t xml:space="preserve"> </w:t>
      </w:r>
      <w:r>
        <w:t>[</w:t>
      </w:r>
      <w:r w:rsidRPr="00E67518">
        <w:t>or</w:t>
      </w:r>
      <w:r w:rsidR="00D1515D">
        <w:t>]</w:t>
      </w:r>
      <w:r w:rsidRPr="00E67518">
        <w:t xml:space="preserve"> </w:t>
      </w:r>
      <w:r w:rsidR="00D1515D">
        <w:t>[</w:t>
      </w:r>
      <w:r w:rsidRPr="00E67518">
        <w:t>before the start of DFT’s employment with PLF</w:t>
      </w:r>
      <w:r>
        <w:t>]</w:t>
      </w:r>
      <w:r w:rsidRPr="00E67518">
        <w:t xml:space="preserve"> </w:t>
      </w:r>
      <w:r>
        <w:t>[</w:t>
      </w:r>
      <w:r w:rsidRPr="00D1515D">
        <w:rPr>
          <w:b/>
          <w:bCs/>
          <w:i/>
          <w:iCs/>
        </w:rPr>
        <w:t>If both may apply</w:t>
      </w:r>
      <w:r>
        <w:t>:  “</w:t>
      </w:r>
      <w:r w:rsidR="00D1515D">
        <w:t xml:space="preserve">, </w:t>
      </w:r>
      <w:r w:rsidRPr="00E67518">
        <w:t>whichever is earlier</w:t>
      </w:r>
      <w:r>
        <w:t>”]</w:t>
      </w:r>
      <w:r w:rsidR="00D1515D">
        <w:t>.</w:t>
      </w:r>
    </w:p>
    <w:p w14:paraId="71D2FEF3" w14:textId="77777777" w:rsidR="006A6C6D" w:rsidRDefault="006A6C6D" w:rsidP="00654169">
      <w:pPr>
        <w:pStyle w:val="JuryInstructionBullets"/>
      </w:pPr>
      <w:r>
        <w:t>PLF must show t</w:t>
      </w:r>
      <w:r w:rsidRPr="006D22BC">
        <w:t>he agreement expressly state</w:t>
      </w:r>
      <w:r>
        <w:t>d</w:t>
      </w:r>
      <w:r w:rsidRPr="006D22BC">
        <w:t xml:space="preserve"> that DFT had the right to seek the advice of legal counsel before signing</w:t>
      </w:r>
      <w:r>
        <w:t>.</w:t>
      </w:r>
    </w:p>
    <w:p w14:paraId="468BA8E9" w14:textId="1425A710" w:rsidR="006A6C6D" w:rsidRDefault="006A6C6D" w:rsidP="00654169">
      <w:pPr>
        <w:pStyle w:val="JuryInstructionBullets"/>
      </w:pPr>
      <w:r>
        <w:t>PLF must show that it and DFT signed t</w:t>
      </w:r>
      <w:r w:rsidRPr="00FE7BA9">
        <w:t>he agreement;</w:t>
      </w:r>
    </w:p>
    <w:p w14:paraId="76DBDD90" w14:textId="610E8DEA" w:rsidR="006A6C6D" w:rsidRPr="00C27548" w:rsidRDefault="006A6C6D" w:rsidP="00654169">
      <w:pPr>
        <w:pStyle w:val="JuryInstructionBullets"/>
      </w:pPr>
      <w:r w:rsidRPr="00C27548">
        <w:t>PLF must show the agreement provided for DFT to receive a benefit in return for agreeing to it</w:t>
      </w:r>
      <w:r w:rsidR="003D4823">
        <w:t xml:space="preserve">. </w:t>
      </w:r>
      <w:r w:rsidRPr="00C27548">
        <w:t>So, PLF cannot enforce the noncompetition agreement unless the DFT received a benefit in exchange for entering into the agreement</w:t>
      </w:r>
      <w:r w:rsidR="003D4823">
        <w:t xml:space="preserve">. </w:t>
      </w:r>
      <w:r w:rsidRPr="00C27548">
        <w:t xml:space="preserve">PLF must have </w:t>
      </w:r>
      <w:r w:rsidRPr="00C27548">
        <w:rPr>
          <w:spacing w:val="-2"/>
        </w:rPr>
        <w:t>offered that benefit to DFT</w:t>
      </w:r>
      <w:r w:rsidRPr="00C27548">
        <w:t xml:space="preserve"> at the time [he/she] entered into the agreement, and PLF must have accepted the benefit at that time. </w:t>
      </w:r>
    </w:p>
    <w:p w14:paraId="6BCFE53B" w14:textId="77777777" w:rsidR="006A6C6D" w:rsidRPr="00440A0D" w:rsidRDefault="006A6C6D" w:rsidP="00654169">
      <w:pPr>
        <w:pStyle w:val="JuryInst3"/>
        <w:rPr>
          <w:snapToGrid w:val="0"/>
        </w:rPr>
      </w:pPr>
      <w:bookmarkStart w:id="0" w:name="_Toc404328748"/>
      <w:bookmarkStart w:id="1" w:name="_Toc529873433"/>
      <w:r w:rsidRPr="00440A0D">
        <w:rPr>
          <w:snapToGrid w:val="0"/>
        </w:rPr>
        <w:t>Consideration</w:t>
      </w:r>
      <w:bookmarkEnd w:id="0"/>
      <w:bookmarkEnd w:id="1"/>
    </w:p>
    <w:p w14:paraId="2199F575" w14:textId="5053EECD" w:rsidR="006A6C6D" w:rsidRDefault="006A6C6D" w:rsidP="00654169">
      <w:pPr>
        <w:pStyle w:val="JuryInstructionText"/>
      </w:pPr>
      <w:r>
        <w:t xml:space="preserve">Third [fourth], </w:t>
      </w:r>
      <w:r w:rsidRPr="00440A0D">
        <w:t xml:space="preserve">[If DFT was a new </w:t>
      </w:r>
      <w:r>
        <w:t>employee</w:t>
      </w:r>
      <w:r w:rsidRPr="00440A0D">
        <w:t xml:space="preserve"> when entering into the noncompetition agreement] The noncompetition agreement must </w:t>
      </w:r>
      <w:r>
        <w:t xml:space="preserve">include </w:t>
      </w:r>
      <w:r w:rsidRPr="00440A0D">
        <w:t xml:space="preserve">what is known as a </w:t>
      </w:r>
      <w:r>
        <w:t>“</w:t>
      </w:r>
      <w:r w:rsidRPr="00440A0D">
        <w:t>garden leave</w:t>
      </w:r>
      <w:r>
        <w:t>”</w:t>
      </w:r>
      <w:r w:rsidRPr="00440A0D">
        <w:t xml:space="preserve"> clause or other consideration the PLF and DFT agreed upon</w:t>
      </w:r>
      <w:r w:rsidR="003D4823">
        <w:t xml:space="preserve">. </w:t>
      </w:r>
      <w:r>
        <w:t>“</w:t>
      </w:r>
      <w:r w:rsidRPr="00440A0D">
        <w:t>Garden leave</w:t>
      </w:r>
      <w:r>
        <w:t>”</w:t>
      </w:r>
      <w:r w:rsidRPr="00440A0D">
        <w:t xml:space="preserve"> is </w:t>
      </w:r>
      <w:proofErr w:type="gramStart"/>
      <w:r w:rsidRPr="00440A0D">
        <w:t>a perio</w:t>
      </w:r>
      <w:r>
        <w:t>d of time</w:t>
      </w:r>
      <w:proofErr w:type="gramEnd"/>
      <w:r>
        <w:t xml:space="preserve"> after employment ends when an employee </w:t>
      </w:r>
      <w:r w:rsidRPr="00FE7BA9">
        <w:t>can</w:t>
      </w:r>
      <w:r>
        <w:t>not compete but continues to be</w:t>
      </w:r>
      <w:r w:rsidRPr="00FE7BA9">
        <w:t xml:space="preserve"> paid at least 50</w:t>
      </w:r>
      <w:r>
        <w:t xml:space="preserve"> percent of his/her </w:t>
      </w:r>
      <w:r w:rsidRPr="00FE7BA9">
        <w:t>prior salary</w:t>
      </w:r>
      <w:r w:rsidR="003D4823">
        <w:t xml:space="preserve">. </w:t>
      </w:r>
    </w:p>
    <w:p w14:paraId="393DF4C4" w14:textId="0DE9A315" w:rsidR="006A6C6D" w:rsidRDefault="006A6C6D" w:rsidP="00654169">
      <w:pPr>
        <w:pStyle w:val="JuryInstructionText"/>
      </w:pPr>
      <w:r>
        <w:t>[</w:t>
      </w:r>
      <w:r w:rsidRPr="00FE7BA9">
        <w:t xml:space="preserve">For current </w:t>
      </w:r>
      <w:r>
        <w:t>DFT</w:t>
      </w:r>
      <w:r w:rsidRPr="00FE7BA9">
        <w:t xml:space="preserve">s asked to sign noncompetition agreements </w:t>
      </w:r>
      <w:r>
        <w:t>d</w:t>
      </w:r>
      <w:r w:rsidRPr="00FE7BA9">
        <w:t>uring</w:t>
      </w:r>
      <w:r>
        <w:t xml:space="preserve"> </w:t>
      </w:r>
      <w:r w:rsidRPr="00FE7BA9">
        <w:t>the pendency of their employment</w:t>
      </w:r>
      <w:r>
        <w:t xml:space="preserve">.]  </w:t>
      </w:r>
      <w:r w:rsidRPr="00FE7BA9">
        <w:t>Continued employment</w:t>
      </w:r>
      <w:r>
        <w:t xml:space="preserve"> by DFT, by itself, is not enough </w:t>
      </w:r>
      <w:r w:rsidRPr="00FE7BA9">
        <w:t>to support</w:t>
      </w:r>
      <w:r>
        <w:t xml:space="preserve"> a</w:t>
      </w:r>
      <w:r w:rsidRPr="00FE7BA9">
        <w:t xml:space="preserve"> noncompetition agreement</w:t>
      </w:r>
      <w:r w:rsidR="003D4823">
        <w:t xml:space="preserve">. </w:t>
      </w:r>
      <w:r>
        <w:t>T</w:t>
      </w:r>
      <w:r w:rsidRPr="00FE7BA9">
        <w:t>he</w:t>
      </w:r>
      <w:r>
        <w:t xml:space="preserve">re </w:t>
      </w:r>
      <w:r w:rsidRPr="00FE7BA9">
        <w:t xml:space="preserve">must be </w:t>
      </w:r>
      <w:r>
        <w:t xml:space="preserve">a </w:t>
      </w:r>
      <w:r w:rsidRPr="00440A0D">
        <w:t xml:space="preserve">garden leave clause or other </w:t>
      </w:r>
      <w:r>
        <w:t>agreed benefit</w:t>
      </w:r>
      <w:r w:rsidRPr="00440A0D">
        <w:t xml:space="preserve"> </w:t>
      </w:r>
      <w:r>
        <w:t xml:space="preserve">that </w:t>
      </w:r>
      <w:r w:rsidRPr="00440A0D">
        <w:t xml:space="preserve">the PLF and DFT </w:t>
      </w:r>
      <w:r>
        <w:t>included in the noncompetition agreement</w:t>
      </w:r>
      <w:r w:rsidRPr="00FE7BA9">
        <w:t>.</w:t>
      </w:r>
    </w:p>
    <w:p w14:paraId="18E3E284" w14:textId="296DF3E1" w:rsidR="006A6C6D" w:rsidRPr="001E1EF9" w:rsidRDefault="006A6C6D" w:rsidP="00654169">
      <w:pPr>
        <w:pStyle w:val="JuryInst3"/>
      </w:pPr>
      <w:r>
        <w:lastRenderedPageBreak/>
        <w:t>Reasonable Limitations o</w:t>
      </w:r>
      <w:r w:rsidRPr="001E1EF9">
        <w:t xml:space="preserve">n Scope </w:t>
      </w:r>
      <w:r>
        <w:t>a</w:t>
      </w:r>
      <w:r w:rsidRPr="001E1EF9">
        <w:t>nd Time</w:t>
      </w:r>
      <w:r w:rsidR="002D6594">
        <w:t xml:space="preserve"> </w:t>
      </w:r>
      <w:r w:rsidR="002D6594" w:rsidRPr="00CB054E">
        <w:t>and Consistent with the Public Interest</w:t>
      </w:r>
    </w:p>
    <w:p w14:paraId="79759739" w14:textId="71DD56A1" w:rsidR="006A6C6D" w:rsidRDefault="006A6C6D" w:rsidP="00654169">
      <w:pPr>
        <w:pStyle w:val="JuryInstructionText"/>
        <w:rPr>
          <w:b/>
        </w:rPr>
      </w:pPr>
      <w:r>
        <w:t xml:space="preserve">Fifth [sixth], PLF must prove two things about the agreement </w:t>
      </w:r>
      <w:r w:rsidR="00E87E3C">
        <w:t>&lt;</w:t>
      </w:r>
      <w:r w:rsidRPr="00E87E3C">
        <w:rPr>
          <w:b/>
          <w:bCs/>
          <w:i/>
          <w:iCs/>
        </w:rPr>
        <w:t>Instruct only on contested elements</w:t>
      </w:r>
      <w:r w:rsidR="00E87E3C">
        <w:rPr>
          <w:b/>
          <w:bCs/>
          <w:i/>
          <w:iCs/>
        </w:rPr>
        <w:t>.</w:t>
      </w:r>
      <w:r w:rsidR="00E87E3C">
        <w:t>&gt;</w:t>
      </w:r>
      <w:r>
        <w:t xml:space="preserve"> First, that the agreement had a </w:t>
      </w:r>
      <w:r w:rsidRPr="00FE7BA9">
        <w:t>reasonably limited time and scope and</w:t>
      </w:r>
      <w:r>
        <w:t>, second, that the agreement</w:t>
      </w:r>
      <w:r w:rsidRPr="00FE7BA9">
        <w:t xml:space="preserve"> </w:t>
      </w:r>
      <w:r>
        <w:t xml:space="preserve">was consistent with </w:t>
      </w:r>
      <w:r w:rsidRPr="00FE7BA9">
        <w:t>the public interest.</w:t>
      </w:r>
      <w:r>
        <w:rPr>
          <w:rStyle w:val="FootnoteReference"/>
          <w:rFonts w:cs="Segoe UI Historic"/>
        </w:rPr>
        <w:footnoteReference w:id="5"/>
      </w:r>
    </w:p>
    <w:p w14:paraId="2F376B88" w14:textId="77777777" w:rsidR="006A6C6D" w:rsidRDefault="006A6C6D" w:rsidP="00654169">
      <w:pPr>
        <w:pStyle w:val="JuryInstructionText"/>
        <w:rPr>
          <w:b/>
        </w:rPr>
      </w:pPr>
      <w:r>
        <w:t>As to the First thing, the law gives you guidance about what limitations in time and scope are reasonable:</w:t>
      </w:r>
    </w:p>
    <w:p w14:paraId="7C2503C3" w14:textId="090361D0" w:rsidR="006A6C6D" w:rsidRPr="001E1EF9" w:rsidRDefault="006A6C6D" w:rsidP="00654169">
      <w:pPr>
        <w:pStyle w:val="JuryInstructionBullets"/>
        <w:rPr>
          <w:b/>
        </w:rPr>
      </w:pPr>
      <w:r>
        <w:t>The</w:t>
      </w:r>
      <w:r w:rsidRPr="00FE7BA9">
        <w:t xml:space="preserve"> </w:t>
      </w:r>
      <w:r w:rsidRPr="00D3200F">
        <w:t xml:space="preserve">term of the agreement </w:t>
      </w:r>
      <w:r>
        <w:t xml:space="preserve">must be </w:t>
      </w:r>
      <w:r w:rsidRPr="001E1EF9">
        <w:t>twelve months or less [unless you find that DFT breached a fiduciary duty or took property belonging to PLF without permission, in which case the restriction extends to two years];</w:t>
      </w:r>
    </w:p>
    <w:p w14:paraId="330E5B5C" w14:textId="6D3D0A3C" w:rsidR="006A6C6D" w:rsidRDefault="006A6C6D" w:rsidP="00654169">
      <w:pPr>
        <w:pStyle w:val="JuryInstructionBullets"/>
      </w:pPr>
      <w:r>
        <w:t>You may assume that t</w:t>
      </w:r>
      <w:r w:rsidRPr="00FE7BA9">
        <w:t xml:space="preserve">he geographic </w:t>
      </w:r>
      <w:r>
        <w:t>area covered by the</w:t>
      </w:r>
      <w:r w:rsidRPr="00FE7BA9">
        <w:t xml:space="preserve"> noncompetition agreement </w:t>
      </w:r>
      <w:r>
        <w:t>was</w:t>
      </w:r>
      <w:r w:rsidRPr="00FE7BA9">
        <w:t xml:space="preserve"> reasonable if it</w:t>
      </w:r>
      <w:r>
        <w:t xml:space="preserve"> the agreement affects only</w:t>
      </w:r>
      <w:r w:rsidRPr="00FE7BA9">
        <w:t xml:space="preserve"> the geographic areas in which </w:t>
      </w:r>
      <w:r>
        <w:t>DFT</w:t>
      </w:r>
      <w:r w:rsidRPr="00FE7BA9">
        <w:t xml:space="preserve"> provided services or had a </w:t>
      </w:r>
      <w:r>
        <w:t>significant presence during his/her</w:t>
      </w:r>
      <w:r w:rsidRPr="00FE7BA9">
        <w:t xml:space="preserve"> </w:t>
      </w:r>
      <w:r>
        <w:t>last</w:t>
      </w:r>
      <w:r w:rsidRPr="00FE7BA9">
        <w:t xml:space="preserve"> two years of employment; </w:t>
      </w:r>
      <w:r>
        <w:t>and</w:t>
      </w:r>
    </w:p>
    <w:p w14:paraId="48D3944A" w14:textId="76ADF7D4" w:rsidR="006A6C6D" w:rsidRDefault="006A6C6D" w:rsidP="00654169">
      <w:pPr>
        <w:pStyle w:val="JuryInstructionBullets"/>
      </w:pPr>
      <w:r>
        <w:t>You may assume that the scope of</w:t>
      </w:r>
      <w:r w:rsidRPr="00FE7BA9">
        <w:t xml:space="preserve"> </w:t>
      </w:r>
      <w:r>
        <w:t>prohibited</w:t>
      </w:r>
      <w:r w:rsidRPr="00FE7BA9">
        <w:t xml:space="preserve"> </w:t>
      </w:r>
      <w:r>
        <w:t>activities is</w:t>
      </w:r>
      <w:r w:rsidRPr="00FE7BA9">
        <w:t xml:space="preserve"> reason</w:t>
      </w:r>
      <w:r>
        <w:t>able if it affects only those types of services</w:t>
      </w:r>
      <w:r w:rsidRPr="00FE7BA9">
        <w:t xml:space="preserve"> </w:t>
      </w:r>
      <w:r>
        <w:t>DFT</w:t>
      </w:r>
      <w:r w:rsidRPr="00FE7BA9">
        <w:t xml:space="preserve"> </w:t>
      </w:r>
      <w:r>
        <w:t xml:space="preserve">provided </w:t>
      </w:r>
      <w:r w:rsidRPr="00FE7BA9">
        <w:t xml:space="preserve">during </w:t>
      </w:r>
      <w:r>
        <w:t>his/her last</w:t>
      </w:r>
      <w:r w:rsidRPr="00FE7BA9">
        <w:t xml:space="preserve"> two years of employment</w:t>
      </w:r>
      <w:r w:rsidR="003D4823">
        <w:t xml:space="preserve">. </w:t>
      </w:r>
    </w:p>
    <w:p w14:paraId="77ECB9BD" w14:textId="77777777" w:rsidR="006A6C6D" w:rsidRPr="001E1EF9" w:rsidRDefault="006A6C6D" w:rsidP="00654169">
      <w:pPr>
        <w:pStyle w:val="JuryInst3"/>
      </w:pPr>
      <w:r w:rsidRPr="001E1EF9">
        <w:t>Legitimate Business Interest</w:t>
      </w:r>
    </w:p>
    <w:p w14:paraId="4F9E8637" w14:textId="07ED260F" w:rsidR="006A6C6D" w:rsidRDefault="006A6C6D" w:rsidP="00654169">
      <w:pPr>
        <w:pStyle w:val="JuryInstructionText"/>
      </w:pPr>
      <w:r>
        <w:t>Next,</w:t>
      </w:r>
      <w:r w:rsidRPr="00963ED6">
        <w:t xml:space="preserve"> </w:t>
      </w:r>
      <w:r>
        <w:t>PLF must prove that it has a legitimate business interest in enforcing the agreement</w:t>
      </w:r>
      <w:r w:rsidR="003D4823">
        <w:t xml:space="preserve">. </w:t>
      </w:r>
      <w:r w:rsidRPr="00440A0D">
        <w:t>PLF may enforce his/her/its noncompetition agreement only to the extent necessary to protect PLF’s legitimate business interests.</w:t>
      </w:r>
      <w:r>
        <w:rPr>
          <w:rStyle w:val="FootnoteReference"/>
          <w:rFonts w:cs="Segoe UI Historic"/>
        </w:rPr>
        <w:footnoteReference w:id="6"/>
      </w:r>
      <w:r>
        <w:t xml:space="preserve">  </w:t>
      </w:r>
      <w:r>
        <w:lastRenderedPageBreak/>
        <w:t>So, as to this legitimate business interest requirement, PLF must prove two things:</w:t>
      </w:r>
    </w:p>
    <w:p w14:paraId="0F8FBDE1" w14:textId="77777777" w:rsidR="006A6C6D" w:rsidRDefault="006A6C6D" w:rsidP="006A6C6D">
      <w:pPr>
        <w:pStyle w:val="JuryInstructionBullets"/>
      </w:pPr>
      <w:r>
        <w:t>that the agreement protected PLF’s legitimate business interests in some way; and</w:t>
      </w:r>
    </w:p>
    <w:p w14:paraId="187428AC" w14:textId="77777777" w:rsidR="006A6C6D" w:rsidRDefault="006A6C6D" w:rsidP="006A6C6D">
      <w:pPr>
        <w:pStyle w:val="JuryInstructionBullets"/>
      </w:pPr>
      <w:r>
        <w:t>that</w:t>
      </w:r>
      <w:r w:rsidRPr="00FE7BA9">
        <w:t xml:space="preserve"> DFT </w:t>
      </w:r>
      <w:r>
        <w:t>violated a provision of</w:t>
      </w:r>
      <w:r w:rsidRPr="00FE7BA9">
        <w:t xml:space="preserve"> the agreement </w:t>
      </w:r>
      <w:r>
        <w:t>that</w:t>
      </w:r>
      <w:r w:rsidRPr="00FE7BA9">
        <w:t xml:space="preserve"> was necessary to protect </w:t>
      </w:r>
      <w:r>
        <w:t>PLF’s</w:t>
      </w:r>
      <w:r w:rsidRPr="00FE7BA9">
        <w:t xml:space="preserve"> legitimate business interest</w:t>
      </w:r>
      <w:r>
        <w:t>s.</w:t>
      </w:r>
      <w:r w:rsidRPr="00FE7BA9">
        <w:t xml:space="preserve"> </w:t>
      </w:r>
    </w:p>
    <w:p w14:paraId="3B491059" w14:textId="3F85A22C" w:rsidR="006A6C6D" w:rsidRDefault="006A6C6D" w:rsidP="00654169">
      <w:pPr>
        <w:pStyle w:val="JuryInstructionText"/>
      </w:pPr>
      <w:r>
        <w:t>An employer has a legitimate business interest in protecting its goodwill, trade secret information and confidential business information</w:t>
      </w:r>
      <w:r w:rsidR="003D4823">
        <w:t xml:space="preserve">. </w:t>
      </w:r>
      <w:r>
        <w:t>However, employers, such as PLF, do not have a legitimate business interest in p</w:t>
      </w:r>
      <w:r w:rsidRPr="00440A0D">
        <w:t>rotectin</w:t>
      </w:r>
      <w:r>
        <w:t>g themselves from ordinary competition</w:t>
      </w:r>
      <w:r w:rsidR="003D4823">
        <w:t xml:space="preserve">. </w:t>
      </w:r>
      <w:r w:rsidRPr="00440A0D">
        <w:t xml:space="preserve"> </w:t>
      </w:r>
      <w:r>
        <w:t>PLF cannot enforce a</w:t>
      </w:r>
      <w:r w:rsidRPr="00440A0D">
        <w:t xml:space="preserve"> noncompetition agreement designed solely for that purpose</w:t>
      </w:r>
      <w:r w:rsidR="003D4823">
        <w:t xml:space="preserve">. </w:t>
      </w:r>
      <w:r w:rsidRPr="00440A0D">
        <w:t xml:space="preserve"> </w:t>
      </w:r>
    </w:p>
    <w:p w14:paraId="7D04F334" w14:textId="14C70C43" w:rsidR="006A6C6D" w:rsidRPr="00440A0D" w:rsidRDefault="006A6C6D" w:rsidP="00654169">
      <w:pPr>
        <w:pStyle w:val="JuryInstructionText"/>
        <w:rPr>
          <w:b/>
        </w:rPr>
      </w:pPr>
      <w:r w:rsidRPr="00440A0D">
        <w:t>Le</w:t>
      </w:r>
      <w:r>
        <w:t xml:space="preserve">t me explain in greater detail when an employer has a legitimate business reason to protect goodwill, trade secret information and confidential business information. </w:t>
      </w:r>
      <w:r w:rsidR="008A68FD">
        <w:t>&lt;</w:t>
      </w:r>
      <w:r w:rsidR="008A68FD">
        <w:rPr>
          <w:b/>
          <w:bCs/>
          <w:i/>
          <w:iCs/>
        </w:rPr>
        <w:t>Instruct only on what is applicable.</w:t>
      </w:r>
      <w:r w:rsidR="008A68FD">
        <w:t>&gt;</w:t>
      </w:r>
    </w:p>
    <w:p w14:paraId="41F32008" w14:textId="3C34FC0E" w:rsidR="006A6C6D" w:rsidRPr="00982C62" w:rsidRDefault="006A6C6D" w:rsidP="002D6594">
      <w:pPr>
        <w:pStyle w:val="JuryInstructionIndent"/>
        <w:rPr>
          <w:b/>
        </w:rPr>
      </w:pPr>
      <w:r w:rsidRPr="00982C62">
        <w:t>PLF</w:t>
      </w:r>
      <w:r>
        <w:t xml:space="preserve"> may show that it</w:t>
      </w:r>
      <w:r w:rsidRPr="00982C62">
        <w:t xml:space="preserve"> need</w:t>
      </w:r>
      <w:r>
        <w:t>ed</w:t>
      </w:r>
      <w:r w:rsidRPr="00982C62">
        <w:t xml:space="preserve"> to prevent DFT from</w:t>
      </w:r>
      <w:r>
        <w:t xml:space="preserve"> using</w:t>
      </w:r>
      <w:r w:rsidRPr="00982C62">
        <w:t xml:space="preserve"> </w:t>
      </w:r>
      <w:r>
        <w:t>PLF’s</w:t>
      </w:r>
      <w:r w:rsidRPr="00982C62">
        <w:t xml:space="preserve"> </w:t>
      </w:r>
      <w:r>
        <w:t>good</w:t>
      </w:r>
      <w:r w:rsidRPr="00982C62">
        <w:t xml:space="preserve">will for[himself/herself] </w:t>
      </w:r>
      <w:r>
        <w:t>[</w:t>
      </w:r>
      <w:r w:rsidRPr="00982C62">
        <w:t>or</w:t>
      </w:r>
      <w:r>
        <w:t xml:space="preserve"> for</w:t>
      </w:r>
      <w:r w:rsidRPr="00982C62">
        <w:t xml:space="preserve"> a competitor</w:t>
      </w:r>
      <w:r>
        <w:t>]</w:t>
      </w:r>
      <w:r w:rsidR="003D4823">
        <w:t xml:space="preserve">. </w:t>
      </w:r>
      <w:r>
        <w:t>Goodwill is an employer’s</w:t>
      </w:r>
      <w:r w:rsidRPr="00982C62">
        <w:t xml:space="preserve"> favorable reputation</w:t>
      </w:r>
      <w:r>
        <w:t xml:space="preserve"> in the eyes of its </w:t>
      </w:r>
      <w:r w:rsidRPr="00982C62">
        <w:t>customers</w:t>
      </w:r>
      <w:r>
        <w:t xml:space="preserve"> and potential customers.</w:t>
      </w:r>
    </w:p>
    <w:p w14:paraId="313796B5" w14:textId="3793D19B" w:rsidR="008A68FD" w:rsidRDefault="006A6C6D" w:rsidP="002D6594">
      <w:pPr>
        <w:pStyle w:val="JuryInstructionIndent"/>
      </w:pPr>
      <w:r w:rsidRPr="00982C62">
        <w:t>PLF</w:t>
      </w:r>
      <w:r>
        <w:rPr>
          <w:b/>
        </w:rPr>
        <w:t xml:space="preserve"> </w:t>
      </w:r>
      <w:r w:rsidRPr="00C36247">
        <w:t>may show that it needed</w:t>
      </w:r>
      <w:r w:rsidRPr="00982C62">
        <w:t xml:space="preserve"> to protect any trade secret information </w:t>
      </w:r>
      <w:r>
        <w:t xml:space="preserve">to </w:t>
      </w:r>
      <w:r w:rsidRPr="00982C62">
        <w:t>which DFT had access</w:t>
      </w:r>
      <w:r w:rsidRPr="00067743">
        <w:t xml:space="preserve"> </w:t>
      </w:r>
      <w:r w:rsidRPr="00982C62">
        <w:t>during the period of [his/her] employment, and to prevent DFT from disclosing that information to third parties</w:t>
      </w:r>
      <w:r w:rsidR="003D4823">
        <w:rPr>
          <w:b/>
        </w:rPr>
        <w:t xml:space="preserve">. </w:t>
      </w:r>
      <w:r>
        <w:t>A “</w:t>
      </w:r>
      <w:r w:rsidRPr="00440A0D">
        <w:t>trade secret</w:t>
      </w:r>
      <w:r>
        <w:t xml:space="preserve">” </w:t>
      </w:r>
      <w:r w:rsidRPr="00440A0D">
        <w:t>mean</w:t>
      </w:r>
      <w:r>
        <w:t>s</w:t>
      </w:r>
      <w:r w:rsidRPr="00440A0D">
        <w:t xml:space="preserve"> </w:t>
      </w:r>
      <w:r w:rsidRPr="007469FA">
        <w:t>information such as</w:t>
      </w:r>
      <w:r>
        <w:t xml:space="preserve"> </w:t>
      </w:r>
      <w:r w:rsidR="008A68FD">
        <w:t>&lt;</w:t>
      </w:r>
      <w:r w:rsidR="008A68FD">
        <w:rPr>
          <w:b/>
          <w:bCs/>
          <w:i/>
          <w:iCs/>
        </w:rPr>
        <w:t>as applicable</w:t>
      </w:r>
      <w:r w:rsidR="008A68FD">
        <w:t xml:space="preserve">&gt; </w:t>
      </w:r>
      <w:r w:rsidRPr="007469FA">
        <w:t>a formula, pattern, compilation, program, device, method, technique, process, business strategy, customer list, invention, or scientific, technical, financial or customer data</w:t>
      </w:r>
      <w:r w:rsidR="003D4823">
        <w:t xml:space="preserve">. </w:t>
      </w:r>
      <w:r>
        <w:t>A trade secret provides actual or potential economic advantage to an employer, such as PLF, to the extent it is secret</w:t>
      </w:r>
      <w:r w:rsidR="003D4823">
        <w:t xml:space="preserve">. </w:t>
      </w:r>
      <w:r>
        <w:t xml:space="preserve">PLF must show that at the time it claims DFT took PLF’s trade </w:t>
      </w:r>
      <w:r>
        <w:lastRenderedPageBreak/>
        <w:t>secret, that PLF was protecting the trade secret from being disclosed without PLF’s consent</w:t>
      </w:r>
      <w:r w:rsidR="008A68FD">
        <w:t>.</w:t>
      </w:r>
      <w:r>
        <w:rPr>
          <w:rStyle w:val="FootnoteReference"/>
          <w:rFonts w:cs="Segoe UI Historic"/>
        </w:rPr>
        <w:footnoteReference w:id="7"/>
      </w:r>
    </w:p>
    <w:p w14:paraId="291D4941" w14:textId="65E8FDCC" w:rsidR="006A6C6D" w:rsidRPr="00440A0D" w:rsidRDefault="008A68FD" w:rsidP="002D6594">
      <w:pPr>
        <w:pStyle w:val="JuryInstructionIndent"/>
      </w:pPr>
      <w:r>
        <w:t>O</w:t>
      </w:r>
      <w:r w:rsidR="006A6C6D">
        <w:t>r</w:t>
      </w:r>
      <w:r>
        <w:t xml:space="preserve"> </w:t>
      </w:r>
      <w:r w:rsidR="006A6C6D" w:rsidRPr="00982C62">
        <w:t>PLF</w:t>
      </w:r>
      <w:r w:rsidR="006A6C6D">
        <w:rPr>
          <w:b/>
        </w:rPr>
        <w:t xml:space="preserve"> </w:t>
      </w:r>
      <w:r w:rsidR="006A6C6D" w:rsidRPr="00C36247">
        <w:t>may show that it needed</w:t>
      </w:r>
      <w:r w:rsidR="006A6C6D" w:rsidRPr="00982C62">
        <w:t xml:space="preserve"> </w:t>
      </w:r>
      <w:r w:rsidR="006A6C6D" w:rsidRPr="0048022D">
        <w:t xml:space="preserve">to protect any other confidential business information </w:t>
      </w:r>
      <w:r w:rsidR="006A6C6D">
        <w:t xml:space="preserve">to </w:t>
      </w:r>
      <w:r w:rsidR="006A6C6D" w:rsidRPr="0048022D">
        <w:t>which DFT had access to during [his/her] employment from disclosure to third parties</w:t>
      </w:r>
      <w:r w:rsidR="003D4823">
        <w:rPr>
          <w:b/>
        </w:rPr>
        <w:t xml:space="preserve">. </w:t>
      </w:r>
      <w:r w:rsidR="006A6C6D" w:rsidRPr="00440A0D">
        <w:rPr>
          <w:snapToGrid w:val="0"/>
        </w:rPr>
        <w:t xml:space="preserve">Confidential information may consist of customer or supplier lists, marketing studies and strategies, </w:t>
      </w:r>
      <w:proofErr w:type="gramStart"/>
      <w:r w:rsidR="006A6C6D" w:rsidRPr="00440A0D">
        <w:rPr>
          <w:snapToGrid w:val="0"/>
        </w:rPr>
        <w:t>future plans</w:t>
      </w:r>
      <w:proofErr w:type="gramEnd"/>
      <w:r w:rsidR="006A6C6D" w:rsidRPr="00440A0D">
        <w:rPr>
          <w:snapToGrid w:val="0"/>
        </w:rPr>
        <w:t xml:space="preserve"> for expansion, o</w:t>
      </w:r>
      <w:r w:rsidR="006A6C6D">
        <w:rPr>
          <w:snapToGrid w:val="0"/>
        </w:rPr>
        <w:t>r new merchandising techniques</w:t>
      </w:r>
      <w:r w:rsidR="003D4823">
        <w:rPr>
          <w:snapToGrid w:val="0"/>
        </w:rPr>
        <w:t xml:space="preserve">. </w:t>
      </w:r>
      <w:r w:rsidR="006A6C6D">
        <w:rPr>
          <w:snapToGrid w:val="0"/>
        </w:rPr>
        <w:t>T</w:t>
      </w:r>
      <w:r w:rsidR="006A6C6D" w:rsidRPr="00440A0D">
        <w:rPr>
          <w:snapToGrid w:val="0"/>
        </w:rPr>
        <w:t xml:space="preserve">he employer must </w:t>
      </w:r>
      <w:proofErr w:type="gramStart"/>
      <w:r w:rsidR="006A6C6D" w:rsidRPr="00440A0D">
        <w:rPr>
          <w:snapToGrid w:val="0"/>
        </w:rPr>
        <w:t>at all times</w:t>
      </w:r>
      <w:proofErr w:type="gramEnd"/>
      <w:r w:rsidR="006A6C6D" w:rsidRPr="00440A0D">
        <w:rPr>
          <w:snapToGrid w:val="0"/>
        </w:rPr>
        <w:t xml:space="preserve"> have treated the information as confidential and protected it from disclosure.</w:t>
      </w:r>
      <w:r w:rsidR="006A6C6D">
        <w:rPr>
          <w:rStyle w:val="FootnoteReference"/>
          <w:rFonts w:cs="Segoe UI Historic"/>
          <w:snapToGrid w:val="0"/>
        </w:rPr>
        <w:footnoteReference w:id="8"/>
      </w:r>
      <w:r w:rsidR="006A6C6D" w:rsidRPr="00440A0D">
        <w:rPr>
          <w:snapToGrid w:val="0"/>
        </w:rPr>
        <w:t xml:space="preserve"> </w:t>
      </w:r>
    </w:p>
    <w:p w14:paraId="27368721" w14:textId="3CBDC0FA" w:rsidR="006A6C6D" w:rsidRDefault="006A6C6D" w:rsidP="00654169">
      <w:pPr>
        <w:pStyle w:val="JuryInstructionText"/>
        <w:rPr>
          <w:b/>
        </w:rPr>
      </w:pPr>
      <w:r w:rsidRPr="0048022D">
        <w:t xml:space="preserve">In determining whether </w:t>
      </w:r>
      <w:proofErr w:type="gramStart"/>
      <w:r w:rsidRPr="0048022D">
        <w:t>particular information</w:t>
      </w:r>
      <w:proofErr w:type="gramEnd"/>
      <w:r w:rsidRPr="0048022D">
        <w:t xml:space="preserve"> qualifies as a trade secret or other confidential business information, you should consider:</w:t>
      </w:r>
    </w:p>
    <w:p w14:paraId="71EAC930" w14:textId="77777777" w:rsidR="006A6C6D" w:rsidRPr="0048022D" w:rsidRDefault="006A6C6D" w:rsidP="006A6C6D">
      <w:pPr>
        <w:pStyle w:val="JuryInstructionBullets"/>
      </w:pPr>
      <w:r w:rsidRPr="0048022D">
        <w:t>the extent to which the information is already known outside the PLF’s business;</w:t>
      </w:r>
    </w:p>
    <w:p w14:paraId="57352C39" w14:textId="77777777" w:rsidR="006A6C6D" w:rsidRPr="0048022D" w:rsidRDefault="006A6C6D" w:rsidP="006A6C6D">
      <w:pPr>
        <w:pStyle w:val="JuryInstructionBullets"/>
      </w:pPr>
      <w:r w:rsidRPr="0048022D">
        <w:t xml:space="preserve">the extent to which </w:t>
      </w:r>
      <w:r>
        <w:t>employees within PLF’s</w:t>
      </w:r>
      <w:r w:rsidRPr="0048022D">
        <w:t xml:space="preserve"> business</w:t>
      </w:r>
      <w:r>
        <w:t xml:space="preserve"> know the information</w:t>
      </w:r>
      <w:r w:rsidRPr="0048022D">
        <w:t>;</w:t>
      </w:r>
    </w:p>
    <w:p w14:paraId="2DEE753A" w14:textId="77777777" w:rsidR="006A6C6D" w:rsidRPr="0048022D" w:rsidRDefault="006A6C6D" w:rsidP="006A6C6D">
      <w:pPr>
        <w:pStyle w:val="JuryInstructionBullets"/>
      </w:pPr>
      <w:r w:rsidRPr="0048022D">
        <w:t xml:space="preserve">the nature and extent of measures </w:t>
      </w:r>
      <w:r>
        <w:t>PLF took</w:t>
      </w:r>
      <w:r w:rsidRPr="0048022D">
        <w:t xml:space="preserve"> to guard the secrecy of the information;</w:t>
      </w:r>
    </w:p>
    <w:p w14:paraId="301408D7" w14:textId="77777777" w:rsidR="006A6C6D" w:rsidRPr="0048022D" w:rsidRDefault="006A6C6D" w:rsidP="006A6C6D">
      <w:pPr>
        <w:pStyle w:val="JuryInstructionBullets"/>
      </w:pPr>
      <w:r w:rsidRPr="0048022D">
        <w:t>the value of the information to PLF and to its competitors;</w:t>
      </w:r>
    </w:p>
    <w:p w14:paraId="0BA3E09F" w14:textId="77777777" w:rsidR="006A6C6D" w:rsidRDefault="006A6C6D" w:rsidP="006A6C6D">
      <w:pPr>
        <w:pStyle w:val="JuryInstructionBullets"/>
      </w:pPr>
      <w:r w:rsidRPr="0048022D">
        <w:t>the amount of effort or money PLF expended in developing the information; and</w:t>
      </w:r>
    </w:p>
    <w:p w14:paraId="28ECF64D" w14:textId="77777777" w:rsidR="006A6C6D" w:rsidRDefault="006A6C6D" w:rsidP="006A6C6D">
      <w:pPr>
        <w:pStyle w:val="JuryInstructionBullets"/>
      </w:pPr>
      <w:r w:rsidRPr="0048022D">
        <w:t>the ease or difficulty with which the information could be properly acquired or duplicated by others.</w:t>
      </w:r>
    </w:p>
    <w:p w14:paraId="2B5A48CB" w14:textId="3F5B33E4" w:rsidR="006A6C6D" w:rsidRDefault="00654169" w:rsidP="00654169">
      <w:pPr>
        <w:pStyle w:val="JuryInst3"/>
      </w:pPr>
      <w:r>
        <w:t>Causation</w:t>
      </w:r>
    </w:p>
    <w:p w14:paraId="41A7608C" w14:textId="77777777" w:rsidR="006A6C6D" w:rsidRDefault="006A6C6D" w:rsidP="00654169">
      <w:pPr>
        <w:pStyle w:val="JuryInstructionText"/>
        <w:rPr>
          <w:b/>
        </w:rPr>
      </w:pPr>
      <w:r w:rsidRPr="00DF5186">
        <w:t>Finally, PLF must show</w:t>
      </w:r>
      <w:r>
        <w:t xml:space="preserve"> it is more probably true than not true </w:t>
      </w:r>
      <w:r w:rsidRPr="00DF5186">
        <w:t xml:space="preserve">that </w:t>
      </w:r>
      <w:r>
        <w:t xml:space="preserve">DFT’s violation of the agreement caused </w:t>
      </w:r>
      <w:r w:rsidRPr="00DF5186">
        <w:t>it</w:t>
      </w:r>
      <w:r>
        <w:t xml:space="preserve"> to</w:t>
      </w:r>
      <w:r w:rsidRPr="00DF5186">
        <w:t xml:space="preserve"> </w:t>
      </w:r>
      <w:r w:rsidRPr="00520931">
        <w:t>suffer harm.</w:t>
      </w:r>
      <w:r>
        <w:rPr>
          <w:b/>
        </w:rPr>
        <w:t xml:space="preserve"> </w:t>
      </w:r>
    </w:p>
    <w:p w14:paraId="4D2FBBAB" w14:textId="7B80C4FE" w:rsidR="006A6C6D" w:rsidRDefault="00654169" w:rsidP="00654169">
      <w:pPr>
        <w:pStyle w:val="JuryInst3"/>
      </w:pPr>
      <w:r>
        <w:lastRenderedPageBreak/>
        <w:t>Harm</w:t>
      </w:r>
    </w:p>
    <w:p w14:paraId="3B3F5CAC" w14:textId="0DAB414E" w:rsidR="006A6C6D" w:rsidRPr="00F7757B" w:rsidRDefault="006A6C6D" w:rsidP="00654169">
      <w:pPr>
        <w:pStyle w:val="JuryInstructionText"/>
      </w:pPr>
      <w:r w:rsidRPr="00F7757B">
        <w:t>If the PLF is entitled to recover on [his/her/its] claim of violation of a postemployment noncompetition agreement, you may award the PLF damages for the profits [he/she/it] has lost, if any, as a result of DFT’s acts.</w:t>
      </w:r>
      <w:r w:rsidRPr="00F7757B">
        <w:rPr>
          <w:rStyle w:val="FootnoteReference"/>
          <w:rFonts w:cs="Segoe UI Historic"/>
        </w:rPr>
        <w:footnoteReference w:id="9"/>
      </w:r>
      <w:r w:rsidRPr="00F7757B">
        <w:t xml:space="preserve"> In determining the amount of any such award for lost profits, first, determine the amount of sales PLF would have achieved but for the DFT’s competition with PLF</w:t>
      </w:r>
      <w:r w:rsidR="003D4823">
        <w:t xml:space="preserve">. </w:t>
      </w:r>
      <w:r w:rsidRPr="00F7757B">
        <w:t>Then, deduct any costs and expenses that you find that the</w:t>
      </w:r>
      <w:r w:rsidRPr="000305CB">
        <w:t xml:space="preserve"> </w:t>
      </w:r>
      <w:r>
        <w:t>PLF</w:t>
      </w:r>
      <w:r w:rsidRPr="000305CB">
        <w:t xml:space="preserve"> would have incurred in </w:t>
      </w:r>
      <w:r>
        <w:t xml:space="preserve">making </w:t>
      </w:r>
      <w:r w:rsidRPr="000305CB">
        <w:t>those sales</w:t>
      </w:r>
      <w:r>
        <w:t>.</w:t>
      </w:r>
    </w:p>
    <w:p w14:paraId="08D30C41" w14:textId="77777777" w:rsidR="006A6C6D" w:rsidRPr="0062080B" w:rsidRDefault="006A6C6D" w:rsidP="00654169">
      <w:pPr>
        <w:pStyle w:val="JuryInst3"/>
      </w:pPr>
      <w:r w:rsidRPr="0062080B">
        <w:t>Contract Defenses</w:t>
      </w:r>
    </w:p>
    <w:p w14:paraId="2389BDF5" w14:textId="7297471F" w:rsidR="006A6C6D" w:rsidRDefault="006A6C6D" w:rsidP="006A6C6D">
      <w:pPr>
        <w:pStyle w:val="Notes"/>
        <w:spacing w:line="480" w:lineRule="auto"/>
        <w:rPr>
          <w:rFonts w:ascii="Segoe UI Historic" w:hAnsi="Segoe UI Historic" w:cs="Segoe UI Historic"/>
          <w:sz w:val="28"/>
          <w:szCs w:val="28"/>
        </w:rPr>
      </w:pPr>
      <w:r w:rsidRPr="00FE7BA9">
        <w:rPr>
          <w:rFonts w:ascii="Segoe UI Historic" w:hAnsi="Segoe UI Historic" w:cs="Segoe UI Historic"/>
          <w:sz w:val="28"/>
          <w:szCs w:val="28"/>
        </w:rPr>
        <w:t xml:space="preserve">See </w:t>
      </w:r>
      <w:r w:rsidR="00654169">
        <w:rPr>
          <w:rFonts w:ascii="Segoe UI Historic" w:hAnsi="Segoe UI Historic" w:cs="Segoe UI Historic"/>
          <w:sz w:val="28"/>
          <w:szCs w:val="28"/>
        </w:rPr>
        <w:t xml:space="preserve">Model </w:t>
      </w:r>
      <w:r w:rsidRPr="00FE7BA9">
        <w:rPr>
          <w:rFonts w:ascii="Segoe UI Historic" w:hAnsi="Segoe UI Historic" w:cs="Segoe UI Historic"/>
          <w:sz w:val="28"/>
          <w:szCs w:val="28"/>
        </w:rPr>
        <w:t>Instruction on Contract Defenses</w:t>
      </w:r>
    </w:p>
    <w:p w14:paraId="76491726" w14:textId="77777777" w:rsidR="006A6C6D" w:rsidRDefault="006A6C6D" w:rsidP="00654169">
      <w:pPr>
        <w:pStyle w:val="JuryInst2"/>
      </w:pPr>
      <w:r w:rsidRPr="001A2FCA">
        <w:t xml:space="preserve">Appendix </w:t>
      </w:r>
      <w:r>
        <w:t>A—Overtime Exemption Instructions</w:t>
      </w:r>
    </w:p>
    <w:p w14:paraId="6D0A0104" w14:textId="77777777" w:rsidR="006A6C6D" w:rsidRPr="00E20421" w:rsidRDefault="006A6C6D" w:rsidP="006A6C6D">
      <w:pPr>
        <w:pStyle w:val="JuryInstructionText"/>
        <w:rPr>
          <w:b/>
          <w:bCs/>
        </w:rPr>
      </w:pPr>
      <w:r>
        <w:t>&lt;</w:t>
      </w:r>
      <w:r w:rsidRPr="00E20421">
        <w:rPr>
          <w:b/>
          <w:bCs/>
          <w:i/>
          <w:iCs/>
        </w:rPr>
        <w:t xml:space="preserve">If </w:t>
      </w:r>
      <w:r>
        <w:rPr>
          <w:b/>
          <w:bCs/>
          <w:i/>
          <w:iCs/>
        </w:rPr>
        <w:t>there is a dispute as to whether DFT is exempt from overtime, insert the appropriate instruction from the following list into the first element above.</w:t>
      </w:r>
      <w:r>
        <w:t>&gt;</w:t>
      </w:r>
    </w:p>
    <w:p w14:paraId="33D5EC2B" w14:textId="77777777" w:rsidR="006A6C6D" w:rsidRDefault="006A6C6D" w:rsidP="00654169">
      <w:pPr>
        <w:pStyle w:val="JuryInst4"/>
      </w:pPr>
      <w:r>
        <w:t>Executive Employee Exemption Claim</w:t>
      </w:r>
    </w:p>
    <w:p w14:paraId="30D1EEE3" w14:textId="1CEB9733" w:rsidR="006A6C6D" w:rsidRDefault="006A6C6D" w:rsidP="00654169">
      <w:pPr>
        <w:pStyle w:val="JuryInstructionText"/>
      </w:pPr>
      <w:r>
        <w:t>To qualify for the</w:t>
      </w:r>
      <w:r w:rsidRPr="00B17D2B">
        <w:t xml:space="preserve"> executive </w:t>
      </w:r>
      <w:r>
        <w:t xml:space="preserve">employee </w:t>
      </w:r>
      <w:r w:rsidRPr="00B17D2B">
        <w:t>e</w:t>
      </w:r>
      <w:r>
        <w:t xml:space="preserve">xemption, PLF must prove the following things are more probably true than not true:  </w:t>
      </w:r>
    </w:p>
    <w:p w14:paraId="00C635F6" w14:textId="76E00627" w:rsidR="006A6C6D" w:rsidRDefault="006A6C6D" w:rsidP="00654169">
      <w:pPr>
        <w:pStyle w:val="JuryInstructionBullets"/>
      </w:pPr>
      <w:r>
        <w:t>T</w:t>
      </w:r>
      <w:r w:rsidRPr="00B17D2B">
        <w:t xml:space="preserve">he </w:t>
      </w:r>
      <w:r>
        <w:t>DFT</w:t>
      </w:r>
      <w:r w:rsidRPr="00B17D2B">
        <w:t xml:space="preserve"> </w:t>
      </w:r>
      <w:r>
        <w:t>was</w:t>
      </w:r>
      <w:r w:rsidRPr="00B17D2B">
        <w:t xml:space="preserve"> </w:t>
      </w:r>
      <w:r>
        <w:t>paid</w:t>
      </w:r>
      <w:r w:rsidRPr="00B17D2B">
        <w:t xml:space="preserve"> on a salary basis at a rate</w:t>
      </w:r>
      <w:r>
        <w:t xml:space="preserve"> not less than $684 per week</w:t>
      </w:r>
      <w:r>
        <w:rPr>
          <w:rStyle w:val="FootnoteReference"/>
          <w:rFonts w:cs="Segoe UI Historic"/>
        </w:rPr>
        <w:footnoteReference w:id="10"/>
      </w:r>
      <w:r>
        <w:t xml:space="preserve">; </w:t>
      </w:r>
    </w:p>
    <w:p w14:paraId="4F10DA62" w14:textId="0B58F763" w:rsidR="006A6C6D" w:rsidRDefault="006A6C6D" w:rsidP="00654169">
      <w:pPr>
        <w:pStyle w:val="JuryInstructionBullets"/>
      </w:pPr>
      <w:r w:rsidRPr="00B17D2B">
        <w:t xml:space="preserve">The </w:t>
      </w:r>
      <w:r>
        <w:t xml:space="preserve">DFT’s </w:t>
      </w:r>
      <w:r w:rsidRPr="00B17D2B">
        <w:t xml:space="preserve">primary </w:t>
      </w:r>
      <w:r>
        <w:t>responsibility</w:t>
      </w:r>
      <w:r w:rsidRPr="00B17D2B">
        <w:t xml:space="preserve"> </w:t>
      </w:r>
      <w:r>
        <w:t>was to manage</w:t>
      </w:r>
      <w:r w:rsidRPr="00B17D2B">
        <w:t xml:space="preserve"> </w:t>
      </w:r>
      <w:r>
        <w:t xml:space="preserve">PLF’s business; </w:t>
      </w:r>
    </w:p>
    <w:p w14:paraId="5496CE66" w14:textId="6F17561F" w:rsidR="006A6C6D" w:rsidRDefault="006A6C6D" w:rsidP="00654169">
      <w:pPr>
        <w:pStyle w:val="JuryInstructionBullets"/>
      </w:pPr>
      <w:r>
        <w:t xml:space="preserve">The DFT </w:t>
      </w:r>
      <w:r w:rsidRPr="00B17D2B">
        <w:t>regularly dire</w:t>
      </w:r>
      <w:r>
        <w:t>c</w:t>
      </w:r>
      <w:r w:rsidRPr="00B17D2B">
        <w:t>t</w:t>
      </w:r>
      <w:r>
        <w:t>ed</w:t>
      </w:r>
      <w:r w:rsidRPr="00B17D2B">
        <w:t xml:space="preserve"> the work of at least two or more other full-time </w:t>
      </w:r>
      <w:r>
        <w:t>employees</w:t>
      </w:r>
      <w:r w:rsidRPr="00B17D2B">
        <w:t xml:space="preserve"> or their equivalent; and</w:t>
      </w:r>
    </w:p>
    <w:p w14:paraId="3878FA78" w14:textId="151445E3" w:rsidR="006A6C6D" w:rsidRPr="00B17D2B" w:rsidRDefault="006A6C6D" w:rsidP="00654169">
      <w:pPr>
        <w:pStyle w:val="JuryInstructionBullets"/>
      </w:pPr>
      <w:r>
        <w:t>The DFT</w:t>
      </w:r>
      <w:r w:rsidRPr="00B17D2B">
        <w:t xml:space="preserve"> </w:t>
      </w:r>
      <w:r>
        <w:t>had</w:t>
      </w:r>
      <w:r w:rsidRPr="00B17D2B">
        <w:t xml:space="preserve"> the authority to hire or fire other </w:t>
      </w:r>
      <w:r>
        <w:t>employees,</w:t>
      </w:r>
      <w:r w:rsidRPr="00B17D2B">
        <w:t xml:space="preserve"> or </w:t>
      </w:r>
      <w:r>
        <w:t>to make</w:t>
      </w:r>
      <w:r w:rsidRPr="00B17D2B">
        <w:t xml:space="preserve"> suggestions and recommendations</w:t>
      </w:r>
      <w:r>
        <w:t xml:space="preserve"> to which PLF gave </w:t>
      </w:r>
      <w:proofErr w:type="gramStart"/>
      <w:r>
        <w:lastRenderedPageBreak/>
        <w:t>particular weight</w:t>
      </w:r>
      <w:proofErr w:type="gramEnd"/>
      <w:r w:rsidRPr="00B17D2B">
        <w:t xml:space="preserve"> as to the hiring, firing, advancement, promotion or any other change of status of other </w:t>
      </w:r>
      <w:r>
        <w:t>employees</w:t>
      </w:r>
      <w:r w:rsidRPr="00B17D2B">
        <w:t>.</w:t>
      </w:r>
    </w:p>
    <w:p w14:paraId="142D9827" w14:textId="77777777" w:rsidR="006A6C6D" w:rsidRDefault="006A6C6D" w:rsidP="00654169">
      <w:pPr>
        <w:pStyle w:val="JuryInst4"/>
      </w:pPr>
      <w:r>
        <w:t>Administrative Employee Exemption Claim</w:t>
      </w:r>
    </w:p>
    <w:p w14:paraId="3432B961" w14:textId="45C9DE72" w:rsidR="006A6C6D" w:rsidRDefault="006A6C6D" w:rsidP="00654169">
      <w:pPr>
        <w:pStyle w:val="JuryInstructionText"/>
      </w:pPr>
      <w:r>
        <w:t>To qualify for the administrative</w:t>
      </w:r>
      <w:r w:rsidRPr="00B17D2B">
        <w:t xml:space="preserve"> </w:t>
      </w:r>
      <w:r>
        <w:t xml:space="preserve">employee </w:t>
      </w:r>
      <w:r w:rsidRPr="00B17D2B">
        <w:t>e</w:t>
      </w:r>
      <w:r>
        <w:t xml:space="preserve">xemption, PLF must prove the following things are more probably true than not true:  </w:t>
      </w:r>
    </w:p>
    <w:p w14:paraId="18FE9455" w14:textId="77777777" w:rsidR="006A6C6D" w:rsidRPr="001E112E" w:rsidRDefault="006A6C6D" w:rsidP="00654169">
      <w:pPr>
        <w:pStyle w:val="JuryInstructionBullets"/>
      </w:pPr>
      <w:r w:rsidRPr="001E112E">
        <w:t xml:space="preserve">The DFT </w:t>
      </w:r>
      <w:r>
        <w:t>was</w:t>
      </w:r>
      <w:r w:rsidRPr="001E112E">
        <w:t xml:space="preserve"> compensated on a salary or fee basis at a rate not less than $684 per week;  </w:t>
      </w:r>
    </w:p>
    <w:p w14:paraId="798D4F67" w14:textId="77777777" w:rsidR="006A6C6D" w:rsidRPr="001E112E" w:rsidRDefault="006A6C6D" w:rsidP="00654169">
      <w:pPr>
        <w:pStyle w:val="JuryInstructionBullets"/>
      </w:pPr>
      <w:r w:rsidRPr="001E112E">
        <w:t xml:space="preserve">The DFT’s primary duty </w:t>
      </w:r>
      <w:r>
        <w:t>was to perform</w:t>
      </w:r>
      <w:r w:rsidRPr="001E112E">
        <w:t xml:space="preserve"> office or non-manual work directly related to the management or general business operations of </w:t>
      </w:r>
      <w:r>
        <w:t>PLF or PLF’s</w:t>
      </w:r>
      <w:r w:rsidRPr="001E112E">
        <w:t xml:space="preserve"> customers; and </w:t>
      </w:r>
    </w:p>
    <w:p w14:paraId="3D2C0A0B" w14:textId="66FBA223" w:rsidR="006A6C6D" w:rsidRPr="001E112E" w:rsidRDefault="006A6C6D" w:rsidP="00654169">
      <w:pPr>
        <w:pStyle w:val="JuryInstructionBullets"/>
      </w:pPr>
      <w:r w:rsidRPr="001E112E">
        <w:t xml:space="preserve">The DFT’s primary duty </w:t>
      </w:r>
      <w:r>
        <w:t>involved the</w:t>
      </w:r>
      <w:r w:rsidRPr="001E112E">
        <w:t xml:space="preserve"> exercise of discretion and independent judgment with respect to matters of significance.</w:t>
      </w:r>
    </w:p>
    <w:p w14:paraId="5D8A29ED" w14:textId="77777777" w:rsidR="006A6C6D" w:rsidRDefault="006A6C6D" w:rsidP="00654169">
      <w:pPr>
        <w:pStyle w:val="JuryInst4"/>
      </w:pPr>
      <w:r>
        <w:t>Professional Employee Exemption Claim</w:t>
      </w:r>
    </w:p>
    <w:p w14:paraId="18775273" w14:textId="5E87F600" w:rsidR="006A6C6D" w:rsidRDefault="006A6C6D" w:rsidP="00654169">
      <w:pPr>
        <w:pStyle w:val="JuryInstructionText"/>
      </w:pPr>
      <w:r>
        <w:t xml:space="preserve">To qualify for the professional employee </w:t>
      </w:r>
      <w:r w:rsidRPr="00B17D2B">
        <w:t>e</w:t>
      </w:r>
      <w:r>
        <w:t xml:space="preserve">xemption, PLF must prove the following things are more probably true than not true:  </w:t>
      </w:r>
    </w:p>
    <w:p w14:paraId="34A2C817" w14:textId="77777777" w:rsidR="006A6C6D" w:rsidRPr="001E112E" w:rsidRDefault="006A6C6D" w:rsidP="00654169">
      <w:pPr>
        <w:pStyle w:val="JuryInstructionBullets"/>
      </w:pPr>
      <w:r w:rsidRPr="001E112E">
        <w:t xml:space="preserve">The DFT </w:t>
      </w:r>
      <w:r>
        <w:t>was</w:t>
      </w:r>
      <w:r w:rsidRPr="001E112E">
        <w:t xml:space="preserve"> compensated on a salary or fee basis at a rat</w:t>
      </w:r>
      <w:r>
        <w:t>e not less than $684</w:t>
      </w:r>
      <w:r w:rsidRPr="001E112E">
        <w:t xml:space="preserve"> per week; </w:t>
      </w:r>
    </w:p>
    <w:p w14:paraId="63E2EAAD" w14:textId="77777777" w:rsidR="006A6C6D" w:rsidRPr="001E112E" w:rsidRDefault="006A6C6D" w:rsidP="00654169">
      <w:pPr>
        <w:pStyle w:val="JuryInstructionBullets"/>
      </w:pPr>
      <w:r w:rsidRPr="001E112E">
        <w:t xml:space="preserve">The DFT’s primary duty </w:t>
      </w:r>
      <w:r>
        <w:t>was to perform</w:t>
      </w:r>
      <w:r w:rsidRPr="001E112E">
        <w:t xml:space="preserve"> work requiring advanced knowledge, defined as work which is predominantly intellectual in </w:t>
      </w:r>
      <w:proofErr w:type="gramStart"/>
      <w:r w:rsidRPr="001E112E">
        <w:t>character</w:t>
      </w:r>
      <w:proofErr w:type="gramEnd"/>
      <w:r w:rsidRPr="001E112E">
        <w:t xml:space="preserve"> and which includes work requiring the </w:t>
      </w:r>
      <w:r>
        <w:t xml:space="preserve">regular </w:t>
      </w:r>
      <w:r w:rsidRPr="001E112E">
        <w:t xml:space="preserve">exercise of discretion and judgment; </w:t>
      </w:r>
    </w:p>
    <w:p w14:paraId="1351E443" w14:textId="77777777" w:rsidR="006A6C6D" w:rsidRPr="001E112E" w:rsidRDefault="006A6C6D" w:rsidP="00654169">
      <w:pPr>
        <w:pStyle w:val="JuryInstructionBullets"/>
      </w:pPr>
      <w:r w:rsidRPr="001E112E">
        <w:t xml:space="preserve">The advanced knowledge </w:t>
      </w:r>
      <w:r>
        <w:t>was</w:t>
      </w:r>
      <w:r w:rsidRPr="001E112E">
        <w:t xml:space="preserve"> in a field of science or learning; and </w:t>
      </w:r>
    </w:p>
    <w:p w14:paraId="47AEAA04" w14:textId="3EC68A74" w:rsidR="006A6C6D" w:rsidRPr="001E112E" w:rsidRDefault="006A6C6D" w:rsidP="00654169">
      <w:pPr>
        <w:pStyle w:val="JuryInstructionBullets"/>
      </w:pPr>
      <w:r w:rsidRPr="001E112E">
        <w:t>The advanced knowledge</w:t>
      </w:r>
      <w:r>
        <w:t xml:space="preserve"> is customarily acquired through</w:t>
      </w:r>
      <w:r w:rsidRPr="001E112E">
        <w:t xml:space="preserve"> a lengthy course of specialized intellectual instruction.</w:t>
      </w:r>
    </w:p>
    <w:p w14:paraId="12BD46D4" w14:textId="77777777" w:rsidR="006A6C6D" w:rsidRDefault="006A6C6D" w:rsidP="00654169">
      <w:pPr>
        <w:pStyle w:val="JuryInst4"/>
      </w:pPr>
      <w:r>
        <w:t>Creative Employee Exemption Claim</w:t>
      </w:r>
    </w:p>
    <w:p w14:paraId="0252F1A9" w14:textId="0CC1C482" w:rsidR="006A6C6D" w:rsidRPr="001E112E" w:rsidRDefault="006A6C6D" w:rsidP="00654169">
      <w:pPr>
        <w:pStyle w:val="JuryInstructionText"/>
      </w:pPr>
      <w:r w:rsidRPr="001E112E">
        <w:t xml:space="preserve">To qualify for the </w:t>
      </w:r>
      <w:r>
        <w:t xml:space="preserve">creative </w:t>
      </w:r>
      <w:r w:rsidRPr="001E112E">
        <w:t xml:space="preserve">employee exemption, PLF must prove the following things are more probably true than not true:  </w:t>
      </w:r>
    </w:p>
    <w:p w14:paraId="430D8E2D" w14:textId="77777777" w:rsidR="006A6C6D" w:rsidRPr="001E112E" w:rsidRDefault="006A6C6D" w:rsidP="00654169">
      <w:pPr>
        <w:pStyle w:val="JuryInstructionBullets"/>
      </w:pPr>
      <w:r w:rsidRPr="001E112E">
        <w:t xml:space="preserve">The DFT </w:t>
      </w:r>
      <w:r>
        <w:t>was</w:t>
      </w:r>
      <w:r w:rsidRPr="001E112E">
        <w:t xml:space="preserve"> compensated on a salary or fee basis (at a rate not less than $684 per week; </w:t>
      </w:r>
      <w:r>
        <w:t>and</w:t>
      </w:r>
    </w:p>
    <w:p w14:paraId="7A142D83" w14:textId="3486059F" w:rsidR="006A6C6D" w:rsidRPr="001E112E" w:rsidRDefault="006A6C6D" w:rsidP="00654169">
      <w:pPr>
        <w:pStyle w:val="JuryInstructionBullets"/>
      </w:pPr>
      <w:r w:rsidRPr="001E112E">
        <w:lastRenderedPageBreak/>
        <w:t xml:space="preserve">The DFT’s primary duty </w:t>
      </w:r>
      <w:r>
        <w:t>was to perform</w:t>
      </w:r>
      <w:r w:rsidRPr="001E112E">
        <w:t xml:space="preserve"> work requiring invention, imagination, </w:t>
      </w:r>
      <w:proofErr w:type="gramStart"/>
      <w:r w:rsidRPr="001E112E">
        <w:t>originality</w:t>
      </w:r>
      <w:proofErr w:type="gramEnd"/>
      <w:r w:rsidRPr="001E112E">
        <w:t xml:space="preserve"> or talent in a recognized field of artistic or creative endeavor.</w:t>
      </w:r>
    </w:p>
    <w:p w14:paraId="7322F146" w14:textId="77777777" w:rsidR="006A6C6D" w:rsidRDefault="006A6C6D" w:rsidP="00654169">
      <w:pPr>
        <w:pStyle w:val="JuryInst4"/>
      </w:pPr>
      <w:r>
        <w:t>Computer Employee Exemption Claim</w:t>
      </w:r>
    </w:p>
    <w:p w14:paraId="1E8EFFD8" w14:textId="336096BB" w:rsidR="006A6C6D" w:rsidRDefault="006A6C6D" w:rsidP="00654169">
      <w:pPr>
        <w:pStyle w:val="JuryInstructionText"/>
      </w:pPr>
      <w:r w:rsidRPr="001E112E">
        <w:t xml:space="preserve">To qualify for the </w:t>
      </w:r>
      <w:r>
        <w:t>computer</w:t>
      </w:r>
      <w:r w:rsidRPr="001E112E">
        <w:t xml:space="preserve"> employee exemption, PLF must prove the following things are more probably true than not true:  </w:t>
      </w:r>
    </w:p>
    <w:p w14:paraId="6EF9CD38" w14:textId="77777777" w:rsidR="006A6C6D" w:rsidRPr="001E112E" w:rsidRDefault="006A6C6D" w:rsidP="00654169">
      <w:pPr>
        <w:pStyle w:val="JuryInstructionBullets"/>
      </w:pPr>
      <w:r w:rsidRPr="001E112E">
        <w:t xml:space="preserve">The DFT </w:t>
      </w:r>
      <w:r>
        <w:t>was</w:t>
      </w:r>
      <w:r w:rsidRPr="001E112E">
        <w:t xml:space="preserve"> compensated either on a salary or fee basis at a rate not less than $684 per week or, if compensated on an hourly basis, at a rate not less than $27.63 an hour; </w:t>
      </w:r>
    </w:p>
    <w:p w14:paraId="0042CFB0" w14:textId="77777777" w:rsidR="006A6C6D" w:rsidRPr="001E112E" w:rsidRDefault="006A6C6D" w:rsidP="00654169">
      <w:pPr>
        <w:pStyle w:val="JuryInstructionBullets"/>
      </w:pPr>
      <w:r w:rsidRPr="001E112E">
        <w:t xml:space="preserve">The DFT </w:t>
      </w:r>
      <w:r>
        <w:t>was</w:t>
      </w:r>
      <w:r w:rsidRPr="001E112E">
        <w:t xml:space="preserve"> employed as a computer systems analyst, computer programmer, software engineer or other similarly skilled worker in the computer field performing the duties described below; </w:t>
      </w:r>
    </w:p>
    <w:p w14:paraId="1E264D9C" w14:textId="2FBAB641" w:rsidR="006A6C6D" w:rsidRPr="001E112E" w:rsidRDefault="006A6C6D" w:rsidP="00654169">
      <w:pPr>
        <w:pStyle w:val="JuryInstructionBullets"/>
      </w:pPr>
      <w:r w:rsidRPr="001E112E">
        <w:t>The DFT’s primary duty consist</w:t>
      </w:r>
      <w:r>
        <w:t>ed</w:t>
      </w:r>
      <w:r w:rsidRPr="001E112E">
        <w:t xml:space="preserve"> </w:t>
      </w:r>
      <w:proofErr w:type="gramStart"/>
      <w:r w:rsidRPr="001E112E">
        <w:t>of:</w:t>
      </w:r>
      <w:proofErr w:type="gramEnd"/>
      <w:r w:rsidRPr="001E112E">
        <w:t xml:space="preserve">  a) The application of systems analysis techniques</w:t>
      </w:r>
      <w:r>
        <w:t>; b</w:t>
      </w:r>
      <w:r w:rsidRPr="001E112E">
        <w:t xml:space="preserve">) The design, development, creation, testing or modification </w:t>
      </w:r>
      <w:r>
        <w:t xml:space="preserve">of computer systems or programs; </w:t>
      </w:r>
      <w:r w:rsidRPr="001E112E">
        <w:t>or 4) A combination of the aforementioned duties.</w:t>
      </w:r>
    </w:p>
    <w:p w14:paraId="3E7C15C4" w14:textId="77777777" w:rsidR="006A6C6D" w:rsidRDefault="006A6C6D" w:rsidP="00654169">
      <w:pPr>
        <w:pStyle w:val="JuryInst4"/>
      </w:pPr>
      <w:r>
        <w:t>Outside Sales Exemption Claim</w:t>
      </w:r>
    </w:p>
    <w:p w14:paraId="395BDBFE" w14:textId="15FF9C7E" w:rsidR="006A6C6D" w:rsidRPr="001E112E" w:rsidRDefault="006A6C6D" w:rsidP="00654169">
      <w:pPr>
        <w:pStyle w:val="JuryInstructionText"/>
      </w:pPr>
      <w:r w:rsidRPr="001E112E">
        <w:t xml:space="preserve">To qualify for the </w:t>
      </w:r>
      <w:r>
        <w:t>outside sales</w:t>
      </w:r>
      <w:r w:rsidRPr="001E112E">
        <w:t xml:space="preserve"> exemption, PLF must prove the following things are more probably true than not true:  </w:t>
      </w:r>
    </w:p>
    <w:p w14:paraId="1413664F" w14:textId="77777777" w:rsidR="006A6C6D" w:rsidRPr="00752D83" w:rsidRDefault="006A6C6D" w:rsidP="00654169">
      <w:pPr>
        <w:pStyle w:val="JuryInstructionBullets"/>
      </w:pPr>
      <w:r w:rsidRPr="00752D83">
        <w:t xml:space="preserve">The DFT’s primary duty </w:t>
      </w:r>
      <w:r>
        <w:t>was</w:t>
      </w:r>
      <w:r w:rsidRPr="00752D83">
        <w:t xml:space="preserve"> making sales</w:t>
      </w:r>
      <w:r>
        <w:rPr>
          <w:rStyle w:val="FootnoteReference"/>
          <w:rFonts w:cs="Segoe UI Historic"/>
        </w:rPr>
        <w:footnoteReference w:id="11"/>
      </w:r>
      <w:r w:rsidRPr="00752D83">
        <w:t xml:space="preserve"> or obtaining orders or contracts for services; and </w:t>
      </w:r>
    </w:p>
    <w:p w14:paraId="47489FAB" w14:textId="7A9BDD3A" w:rsidR="006A6C6D" w:rsidRPr="00752D83" w:rsidRDefault="006A6C6D" w:rsidP="00654169">
      <w:pPr>
        <w:pStyle w:val="JuryInstructionBullets"/>
      </w:pPr>
      <w:r w:rsidRPr="00752D83">
        <w:t xml:space="preserve">The DFT customarily and regularly </w:t>
      </w:r>
      <w:r>
        <w:t>worked</w:t>
      </w:r>
      <w:r w:rsidRPr="00752D83">
        <w:t xml:space="preserve"> away from the employer’s place or places of business.</w:t>
      </w:r>
    </w:p>
    <w:p w14:paraId="21F33DD6" w14:textId="77777777" w:rsidR="00B75859" w:rsidRPr="006A6C6D" w:rsidRDefault="00B75859" w:rsidP="00654169">
      <w:pPr>
        <w:pStyle w:val="JuryInstructionText"/>
      </w:pPr>
    </w:p>
    <w:sectPr w:rsidR="00B75859" w:rsidRPr="006A6C6D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ACCA" w14:textId="77777777" w:rsidR="007424CB" w:rsidRDefault="007424CB" w:rsidP="00F74A90">
      <w:r>
        <w:separator/>
      </w:r>
    </w:p>
  </w:endnote>
  <w:endnote w:type="continuationSeparator" w:id="0">
    <w:p w14:paraId="121049D9" w14:textId="77777777" w:rsidR="007424CB" w:rsidRDefault="007424CB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 LT Std">
    <w:altName w:val="Arial"/>
    <w:charset w:val="00"/>
    <w:family w:val="auto"/>
    <w:pitch w:val="variable"/>
    <w:sig w:usb0="E00002FF" w:usb1="5000785B" w:usb2="00000000" w:usb3="00000000" w:csb0="0000019F" w:csb1="00000000"/>
  </w:font>
  <w:font w:name="Times LT St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5B26" w14:textId="77777777" w:rsidR="007424CB" w:rsidRDefault="007424CB" w:rsidP="00F74A90">
      <w:r>
        <w:separator/>
      </w:r>
    </w:p>
  </w:footnote>
  <w:footnote w:type="continuationSeparator" w:id="0">
    <w:p w14:paraId="321D8E1D" w14:textId="77777777" w:rsidR="007424CB" w:rsidRDefault="007424CB" w:rsidP="00F74A90">
      <w:r>
        <w:continuationSeparator/>
      </w:r>
    </w:p>
  </w:footnote>
  <w:footnote w:id="1">
    <w:p w14:paraId="72C6C755" w14:textId="775DF564" w:rsidR="006A6C6D" w:rsidRDefault="006A6C6D" w:rsidP="006A6C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00DDE">
        <w:tab/>
      </w:r>
      <w:r>
        <w:t>See “Massachusetts Noncompetition Agreement Act,” G.L. c. 149, sec. 24L</w:t>
      </w:r>
      <w:r w:rsidR="00500DDE">
        <w:t xml:space="preserve">, which took </w:t>
      </w:r>
      <w:r>
        <w:t>effec</w:t>
      </w:r>
      <w:r w:rsidR="00500DDE">
        <w:t>t</w:t>
      </w:r>
      <w:r>
        <w:t xml:space="preserve"> October 1, 2018</w:t>
      </w:r>
      <w:r w:rsidR="00500DDE">
        <w:t xml:space="preserve">. </w:t>
      </w:r>
      <w:r>
        <w:t>The statute is not retroactive</w:t>
      </w:r>
      <w:r w:rsidR="00500DDE">
        <w:t xml:space="preserve">. </w:t>
      </w:r>
      <w:r>
        <w:t>This model instruction is limited to post-2018 employment noncompetition agreements.</w:t>
      </w:r>
    </w:p>
  </w:footnote>
  <w:footnote w:id="2">
    <w:p w14:paraId="1D0A843D" w14:textId="7A0A223A" w:rsidR="006A6C6D" w:rsidRPr="008660A8" w:rsidRDefault="006A6C6D" w:rsidP="006A6C6D">
      <w:pPr>
        <w:pStyle w:val="FootnoteText"/>
        <w:rPr>
          <w:rFonts w:cs="Segoe UI Historic"/>
        </w:rPr>
      </w:pPr>
      <w:r>
        <w:rPr>
          <w:rStyle w:val="FootnoteReference"/>
        </w:rPr>
        <w:footnoteRef/>
      </w:r>
      <w:r>
        <w:t xml:space="preserve"> </w:t>
      </w:r>
      <w:r w:rsidR="00500DDE">
        <w:tab/>
      </w:r>
      <w:r w:rsidRPr="008660A8">
        <w:rPr>
          <w:rFonts w:cs="Segoe UI Historic"/>
          <w:color w:val="000000"/>
          <w:shd w:val="clear" w:color="auto" w:fill="FFFFFF"/>
        </w:rPr>
        <w:t xml:space="preserve">In many cases, there may be no jury issue as to a </w:t>
      </w:r>
      <w:r>
        <w:rPr>
          <w:rFonts w:cs="Segoe UI Historic"/>
          <w:color w:val="000000"/>
          <w:shd w:val="clear" w:color="auto" w:fill="FFFFFF"/>
        </w:rPr>
        <w:t>DFT</w:t>
      </w:r>
      <w:r w:rsidRPr="008660A8">
        <w:rPr>
          <w:rFonts w:cs="Segoe UI Historic"/>
          <w:color w:val="000000"/>
          <w:shd w:val="clear" w:color="auto" w:fill="FFFFFF"/>
        </w:rPr>
        <w:t xml:space="preserve">’s status as exempt or non-exempt, either because the parties stipulate to the </w:t>
      </w:r>
      <w:r>
        <w:rPr>
          <w:rFonts w:cs="Segoe UI Historic"/>
          <w:color w:val="000000"/>
          <w:shd w:val="clear" w:color="auto" w:fill="FFFFFF"/>
        </w:rPr>
        <w:t>DFT</w:t>
      </w:r>
      <w:r w:rsidRPr="008660A8">
        <w:rPr>
          <w:rFonts w:cs="Segoe UI Historic"/>
          <w:color w:val="000000"/>
          <w:shd w:val="clear" w:color="auto" w:fill="FFFFFF"/>
        </w:rPr>
        <w:t xml:space="preserve">’s </w:t>
      </w:r>
      <w:proofErr w:type="gramStart"/>
      <w:r w:rsidRPr="008660A8">
        <w:rPr>
          <w:rFonts w:cs="Segoe UI Historic"/>
          <w:color w:val="000000"/>
          <w:shd w:val="clear" w:color="auto" w:fill="FFFFFF"/>
        </w:rPr>
        <w:t>status</w:t>
      </w:r>
      <w:proofErr w:type="gramEnd"/>
      <w:r w:rsidRPr="008660A8">
        <w:rPr>
          <w:rFonts w:cs="Segoe UI Historic"/>
          <w:color w:val="000000"/>
          <w:shd w:val="clear" w:color="auto" w:fill="FFFFFF"/>
        </w:rPr>
        <w:t xml:space="preserve"> or the issue has been resolved on a motion for partial summary judgment</w:t>
      </w:r>
      <w:r w:rsidR="00500DDE">
        <w:rPr>
          <w:rFonts w:cs="Segoe UI Historic"/>
          <w:color w:val="000000"/>
          <w:shd w:val="clear" w:color="auto" w:fill="FFFFFF"/>
        </w:rPr>
        <w:t xml:space="preserve">. </w:t>
      </w:r>
      <w:r w:rsidRPr="008660A8">
        <w:rPr>
          <w:rFonts w:cs="Segoe UI Historic"/>
          <w:color w:val="000000"/>
          <w:shd w:val="clear" w:color="auto" w:fill="FFFFFF"/>
        </w:rPr>
        <w:t xml:space="preserve">But some of the FLSA exemptions could raise factual issues that the jury would need to resolve, such as whether the </w:t>
      </w:r>
      <w:r>
        <w:rPr>
          <w:rFonts w:cs="Segoe UI Historic"/>
          <w:color w:val="000000"/>
          <w:shd w:val="clear" w:color="auto" w:fill="FFFFFF"/>
        </w:rPr>
        <w:t>DFT</w:t>
      </w:r>
      <w:r w:rsidRPr="008660A8">
        <w:rPr>
          <w:rFonts w:cs="Segoe UI Historic"/>
          <w:color w:val="000000"/>
          <w:shd w:val="clear" w:color="auto" w:fill="FFFFFF"/>
        </w:rPr>
        <w:t xml:space="preserve"> qualifies as an executive, administrative, professional, or outside sales </w:t>
      </w:r>
      <w:r>
        <w:rPr>
          <w:rFonts w:cs="Segoe UI Historic"/>
          <w:color w:val="000000"/>
          <w:shd w:val="clear" w:color="auto" w:fill="FFFFFF"/>
        </w:rPr>
        <w:t>employee</w:t>
      </w:r>
      <w:r w:rsidR="00500DDE">
        <w:rPr>
          <w:rFonts w:cs="Segoe UI Historic"/>
          <w:color w:val="000000"/>
          <w:shd w:val="clear" w:color="auto" w:fill="FFFFFF"/>
        </w:rPr>
        <w:t xml:space="preserve">. </w:t>
      </w:r>
      <w:r>
        <w:rPr>
          <w:rFonts w:cs="Segoe UI Historic"/>
          <w:color w:val="000000"/>
          <w:shd w:val="clear" w:color="auto" w:fill="FFFFFF"/>
        </w:rPr>
        <w:t xml:space="preserve">For </w:t>
      </w:r>
      <w:r w:rsidRPr="001A2FCA">
        <w:rPr>
          <w:rFonts w:cs="Segoe UI Historic"/>
          <w:color w:val="000000"/>
          <w:shd w:val="clear" w:color="auto" w:fill="FFFFFF"/>
        </w:rPr>
        <w:t>information on the</w:t>
      </w:r>
      <w:r>
        <w:rPr>
          <w:rFonts w:cs="Segoe UI Historic"/>
          <w:color w:val="000000"/>
          <w:shd w:val="clear" w:color="auto" w:fill="FFFFFF"/>
        </w:rPr>
        <w:t xml:space="preserve"> FLSA</w:t>
      </w:r>
      <w:r w:rsidRPr="001A2FCA">
        <w:rPr>
          <w:rFonts w:cs="Segoe UI Historic"/>
          <w:color w:val="000000"/>
          <w:shd w:val="clear" w:color="auto" w:fill="FFFFFF"/>
        </w:rPr>
        <w:t xml:space="preserve"> exemption from minimum wage and overtime </w:t>
      </w:r>
      <w:r>
        <w:rPr>
          <w:rFonts w:cs="Segoe UI Historic"/>
          <w:color w:val="000000"/>
          <w:shd w:val="clear" w:color="auto" w:fill="FFFFFF"/>
        </w:rPr>
        <w:t xml:space="preserve">payment, see Section 13(a)(1) of the FLSA and </w:t>
      </w:r>
      <w:r w:rsidRPr="001A2FCA">
        <w:rPr>
          <w:rFonts w:cs="Segoe UI Historic"/>
          <w:color w:val="000000"/>
          <w:shd w:val="clear" w:color="auto" w:fill="FFFFFF"/>
        </w:rPr>
        <w:t>29 C.F.R. Part 541</w:t>
      </w:r>
      <w:r w:rsidR="00500DDE">
        <w:rPr>
          <w:rFonts w:cs="Segoe UI Historic"/>
          <w:color w:val="000000"/>
          <w:shd w:val="clear" w:color="auto" w:fill="FFFFFF"/>
        </w:rPr>
        <w:t xml:space="preserve">. </w:t>
      </w:r>
      <w:r>
        <w:rPr>
          <w:rFonts w:cs="Segoe UI Historic"/>
          <w:color w:val="000000"/>
          <w:shd w:val="clear" w:color="auto" w:fill="FFFFFF"/>
        </w:rPr>
        <w:t>Note that an employer’s reduction in force is tantamount to a lay-off and, hence, does not constitute termination for just cause.</w:t>
      </w:r>
    </w:p>
  </w:footnote>
  <w:footnote w:id="3">
    <w:p w14:paraId="3E94084A" w14:textId="53730397" w:rsidR="006A6C6D" w:rsidRDefault="006A6C6D" w:rsidP="006A6C6D">
      <w:pPr>
        <w:pStyle w:val="FootnoteText"/>
      </w:pPr>
      <w:r w:rsidRPr="0095111A">
        <w:rPr>
          <w:rStyle w:val="FootnoteReference"/>
          <w:rFonts w:cs="Segoe UI Historic"/>
        </w:rPr>
        <w:footnoteRef/>
      </w:r>
      <w:r w:rsidRPr="0095111A">
        <w:rPr>
          <w:rFonts w:cs="Segoe UI Historic"/>
        </w:rPr>
        <w:t xml:space="preserve"> </w:t>
      </w:r>
      <w:r w:rsidR="00500DDE">
        <w:rPr>
          <w:rFonts w:cs="Segoe UI Historic"/>
        </w:rPr>
        <w:tab/>
      </w:r>
      <w:r w:rsidRPr="00046FD6">
        <w:rPr>
          <w:rFonts w:eastAsia="Times New Roman" w:cs="Segoe UI Historic"/>
          <w:i/>
          <w:iCs/>
          <w:color w:val="000000"/>
          <w:sz w:val="20"/>
        </w:rPr>
        <w:t>Flomenbaum</w:t>
      </w:r>
      <w:r w:rsidRPr="00046FD6">
        <w:rPr>
          <w:rFonts w:eastAsia="Times New Roman" w:cs="Segoe UI Historic"/>
          <w:color w:val="000000"/>
          <w:sz w:val="20"/>
        </w:rPr>
        <w:t xml:space="preserve"> v. </w:t>
      </w:r>
      <w:r w:rsidRPr="00046FD6">
        <w:rPr>
          <w:rFonts w:eastAsia="Times New Roman" w:cs="Segoe UI Historic"/>
          <w:i/>
          <w:iCs/>
          <w:color w:val="000000"/>
          <w:sz w:val="20"/>
        </w:rPr>
        <w:t>Commonwealth</w:t>
      </w:r>
      <w:r w:rsidRPr="00046FD6">
        <w:rPr>
          <w:rFonts w:eastAsia="Times New Roman" w:cs="Segoe UI Historic"/>
          <w:color w:val="000000"/>
          <w:sz w:val="20"/>
        </w:rPr>
        <w:t xml:space="preserve">, 451 Mass. 740, 746 (2008), quoting </w:t>
      </w:r>
      <w:r w:rsidRPr="00046FD6">
        <w:rPr>
          <w:rFonts w:eastAsia="Times New Roman" w:cs="Segoe UI Historic"/>
          <w:i/>
          <w:iCs/>
          <w:color w:val="000000"/>
          <w:sz w:val="20"/>
        </w:rPr>
        <w:t>G &amp; M Employment Serv., Inc</w:t>
      </w:r>
      <w:r w:rsidRPr="00046FD6">
        <w:rPr>
          <w:rFonts w:eastAsia="Times New Roman" w:cs="Segoe UI Historic"/>
          <w:color w:val="000000"/>
          <w:sz w:val="20"/>
        </w:rPr>
        <w:t xml:space="preserve">. v. </w:t>
      </w:r>
      <w:r w:rsidRPr="00046FD6">
        <w:rPr>
          <w:rFonts w:eastAsia="Times New Roman" w:cs="Segoe UI Historic"/>
          <w:i/>
          <w:iCs/>
          <w:color w:val="000000"/>
          <w:sz w:val="20"/>
        </w:rPr>
        <w:t>Commonwealth</w:t>
      </w:r>
      <w:r w:rsidRPr="00046FD6">
        <w:rPr>
          <w:rFonts w:eastAsia="Times New Roman" w:cs="Segoe UI Historic"/>
          <w:color w:val="000000"/>
          <w:sz w:val="20"/>
        </w:rPr>
        <w:t xml:space="preserve">, 358 Mass. 430, 435 (1970). </w:t>
      </w:r>
    </w:p>
  </w:footnote>
  <w:footnote w:id="4">
    <w:p w14:paraId="64E4DFA5" w14:textId="5FD045B8" w:rsidR="006A6C6D" w:rsidRPr="0095111A" w:rsidRDefault="006A6C6D" w:rsidP="006A6C6D">
      <w:pPr>
        <w:pStyle w:val="FootnoteText"/>
        <w:rPr>
          <w:rFonts w:cs="Segoe UI Historic"/>
        </w:rPr>
      </w:pPr>
      <w:r>
        <w:rPr>
          <w:rStyle w:val="FootnoteReference"/>
        </w:rPr>
        <w:footnoteRef/>
      </w:r>
      <w:r>
        <w:t xml:space="preserve"> </w:t>
      </w:r>
      <w:r w:rsidR="00500DDE">
        <w:tab/>
      </w:r>
      <w:r w:rsidRPr="0095111A">
        <w:rPr>
          <w:rFonts w:cs="Segoe UI Historic"/>
        </w:rPr>
        <w:t xml:space="preserve">Noncompetition agreements </w:t>
      </w:r>
      <w:r>
        <w:rPr>
          <w:rFonts w:cs="Segoe UI Historic"/>
        </w:rPr>
        <w:t xml:space="preserve">may not be enforced </w:t>
      </w:r>
      <w:r w:rsidRPr="0095111A">
        <w:rPr>
          <w:rFonts w:cs="Segoe UI Historic"/>
        </w:rPr>
        <w:t xml:space="preserve">in </w:t>
      </w:r>
      <w:r w:rsidRPr="00500DDE">
        <w:t>circumstances</w:t>
      </w:r>
      <w:r w:rsidRPr="0095111A">
        <w:rPr>
          <w:rFonts w:cs="Segoe UI Historic"/>
        </w:rPr>
        <w:t xml:space="preserve"> where the employee can prove constructive discharge</w:t>
      </w:r>
      <w:r w:rsidR="00500DDE">
        <w:rPr>
          <w:rFonts w:cs="Segoe UI Historic"/>
        </w:rPr>
        <w:t xml:space="preserve">. </w:t>
      </w:r>
      <w:r>
        <w:rPr>
          <w:rFonts w:cs="Segoe UI Historic"/>
        </w:rPr>
        <w:t xml:space="preserve">See </w:t>
      </w:r>
      <w:r w:rsidR="00500DDE">
        <w:rPr>
          <w:rFonts w:cs="Segoe UI Historic"/>
        </w:rPr>
        <w:t xml:space="preserve">Model </w:t>
      </w:r>
      <w:r>
        <w:rPr>
          <w:rFonts w:cs="Segoe UI Historic"/>
        </w:rPr>
        <w:t>instruction on Constructive Discharge of Employment</w:t>
      </w:r>
      <w:r w:rsidR="00500DDE">
        <w:rPr>
          <w:rFonts w:cs="Segoe UI Historic"/>
        </w:rPr>
        <w:t>.</w:t>
      </w:r>
    </w:p>
  </w:footnote>
  <w:footnote w:id="5">
    <w:p w14:paraId="3B64A265" w14:textId="0C9DCF80" w:rsidR="006A6C6D" w:rsidRPr="00437E1E" w:rsidRDefault="006A6C6D" w:rsidP="006A6C6D">
      <w:pPr>
        <w:pStyle w:val="FootnoteText"/>
        <w:rPr>
          <w:rFonts w:cs="Segoe UI Historic"/>
        </w:rPr>
      </w:pPr>
      <w:r>
        <w:rPr>
          <w:rStyle w:val="FootnoteReference"/>
        </w:rPr>
        <w:footnoteRef/>
      </w:r>
      <w:r>
        <w:t xml:space="preserve"> </w:t>
      </w:r>
      <w:r w:rsidR="00500DDE">
        <w:tab/>
      </w:r>
      <w:r w:rsidRPr="00437E1E">
        <w:rPr>
          <w:rFonts w:cs="Segoe UI Historic"/>
          <w:i/>
          <w:snapToGrid w:val="0"/>
        </w:rPr>
        <w:t>See, e.g.</w:t>
      </w:r>
      <w:r w:rsidRPr="00437E1E">
        <w:rPr>
          <w:rFonts w:cs="Segoe UI Historic"/>
        </w:rPr>
        <w:t xml:space="preserve">, </w:t>
      </w:r>
      <w:r w:rsidRPr="00437E1E">
        <w:rPr>
          <w:rFonts w:cs="Segoe UI Historic"/>
          <w:i/>
          <w:snapToGrid w:val="0"/>
        </w:rPr>
        <w:t>Boulanger v. Dunkin Donuts, Inc.</w:t>
      </w:r>
      <w:r w:rsidRPr="00437E1E">
        <w:rPr>
          <w:rFonts w:cs="Segoe UI Historic"/>
          <w:snapToGrid w:val="0"/>
        </w:rPr>
        <w:t xml:space="preserve">, 442 Mass. 635, 639, 646 (2004). </w:t>
      </w:r>
      <w:r w:rsidRPr="00500DDE">
        <w:t>Whether</w:t>
      </w:r>
      <w:r w:rsidRPr="00437E1E">
        <w:rPr>
          <w:rFonts w:cs="Segoe UI Historic"/>
        </w:rPr>
        <w:t xml:space="preserve"> a noncompet</w:t>
      </w:r>
      <w:r>
        <w:rPr>
          <w:rFonts w:cs="Segoe UI Historic"/>
        </w:rPr>
        <w:t>ition</w:t>
      </w:r>
      <w:r w:rsidRPr="00437E1E">
        <w:rPr>
          <w:rFonts w:cs="Segoe UI Historic"/>
        </w:rPr>
        <w:t xml:space="preserve"> agreement obstructs public interest is a question of fact. See </w:t>
      </w:r>
      <w:r w:rsidRPr="00437E1E">
        <w:rPr>
          <w:rFonts w:cs="Segoe UI Historic"/>
          <w:i/>
          <w:iCs/>
        </w:rPr>
        <w:t>Whitinsville Plaza, Inc</w:t>
      </w:r>
      <w:r w:rsidRPr="00437E1E">
        <w:rPr>
          <w:rFonts w:cs="Segoe UI Historic"/>
        </w:rPr>
        <w:t xml:space="preserve">. v. </w:t>
      </w:r>
      <w:r w:rsidRPr="00437E1E">
        <w:rPr>
          <w:rFonts w:cs="Segoe UI Historic"/>
          <w:i/>
          <w:iCs/>
        </w:rPr>
        <w:t>Kotseas</w:t>
      </w:r>
      <w:r w:rsidRPr="00437E1E">
        <w:rPr>
          <w:rFonts w:cs="Segoe UI Historic"/>
        </w:rPr>
        <w:t>, 378 Mass. 85, 102-103 (1979);</w:t>
      </w:r>
      <w:r w:rsidRPr="00437E1E">
        <w:rPr>
          <w:rFonts w:cs="Segoe UI Historic"/>
          <w:i/>
          <w:iCs/>
        </w:rPr>
        <w:t xml:space="preserve"> All Stainless, Inc. </w:t>
      </w:r>
      <w:r w:rsidRPr="00437E1E">
        <w:rPr>
          <w:rFonts w:cs="Segoe UI Historic"/>
        </w:rPr>
        <w:t>v.</w:t>
      </w:r>
      <w:r w:rsidRPr="00437E1E">
        <w:rPr>
          <w:rFonts w:cs="Segoe UI Historic"/>
          <w:i/>
          <w:iCs/>
        </w:rPr>
        <w:t xml:space="preserve"> Colby</w:t>
      </w:r>
      <w:r w:rsidRPr="00437E1E">
        <w:rPr>
          <w:rFonts w:cs="Segoe UI Historic"/>
        </w:rPr>
        <w:t xml:space="preserve">, 364 Mass. 773, 781 n. 2 (1974); </w:t>
      </w:r>
      <w:r w:rsidRPr="00437E1E">
        <w:rPr>
          <w:rFonts w:cs="Segoe UI Historic"/>
          <w:i/>
          <w:iCs/>
        </w:rPr>
        <w:t xml:space="preserve">Economy Grocery Stores, Corp. </w:t>
      </w:r>
      <w:r w:rsidRPr="00437E1E">
        <w:rPr>
          <w:rFonts w:cs="Segoe UI Historic"/>
        </w:rPr>
        <w:t>v</w:t>
      </w:r>
      <w:r w:rsidRPr="00437E1E">
        <w:rPr>
          <w:rFonts w:cs="Segoe UI Historic"/>
          <w:i/>
          <w:iCs/>
        </w:rPr>
        <w:t xml:space="preserve">. </w:t>
      </w:r>
      <w:proofErr w:type="spellStart"/>
      <w:r w:rsidRPr="00437E1E">
        <w:rPr>
          <w:rFonts w:cs="Segoe UI Historic"/>
          <w:i/>
          <w:iCs/>
        </w:rPr>
        <w:t>McMenamy</w:t>
      </w:r>
      <w:proofErr w:type="spellEnd"/>
      <w:r w:rsidRPr="00437E1E">
        <w:rPr>
          <w:rFonts w:cs="Segoe UI Historic"/>
        </w:rPr>
        <w:t xml:space="preserve">, 290 Mass. 549, 553 (1935); </w:t>
      </w:r>
      <w:r w:rsidRPr="00437E1E">
        <w:rPr>
          <w:rFonts w:cs="Segoe UI Historic"/>
          <w:i/>
          <w:iCs/>
        </w:rPr>
        <w:t xml:space="preserve">Sherman </w:t>
      </w:r>
      <w:r w:rsidRPr="00437E1E">
        <w:rPr>
          <w:rFonts w:cs="Segoe UI Historic"/>
        </w:rPr>
        <w:t xml:space="preserve">v. </w:t>
      </w:r>
      <w:proofErr w:type="spellStart"/>
      <w:r w:rsidRPr="00437E1E">
        <w:rPr>
          <w:rFonts w:cs="Segoe UI Historic"/>
          <w:i/>
          <w:iCs/>
        </w:rPr>
        <w:t>Pfefferkorn</w:t>
      </w:r>
      <w:proofErr w:type="spellEnd"/>
      <w:r w:rsidRPr="00437E1E">
        <w:rPr>
          <w:rFonts w:cs="Segoe UI Historic"/>
        </w:rPr>
        <w:t>, 241 Mass. 468, 474-475 (1922)</w:t>
      </w:r>
      <w:r>
        <w:rPr>
          <w:rFonts w:cs="Segoe UI Historic"/>
        </w:rPr>
        <w:t>.</w:t>
      </w:r>
    </w:p>
  </w:footnote>
  <w:footnote w:id="6">
    <w:p w14:paraId="66FAB4F5" w14:textId="0B0A3674" w:rsidR="006A6C6D" w:rsidRDefault="006A6C6D" w:rsidP="006A6C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00DDE">
        <w:tab/>
      </w:r>
      <w:r w:rsidRPr="0048022D">
        <w:rPr>
          <w:rFonts w:cs="Segoe UI Historic"/>
          <w:i/>
          <w:snapToGrid w:val="0"/>
        </w:rPr>
        <w:t xml:space="preserve">See, </w:t>
      </w:r>
      <w:r>
        <w:rPr>
          <w:rFonts w:cs="Segoe UI Historic"/>
          <w:i/>
          <w:snapToGrid w:val="0"/>
        </w:rPr>
        <w:t>Id.</w:t>
      </w:r>
      <w:r w:rsidRPr="0048022D">
        <w:rPr>
          <w:rFonts w:cs="Segoe UI Historic"/>
          <w:snapToGrid w:val="0"/>
        </w:rPr>
        <w:t xml:space="preserve">; </w:t>
      </w:r>
      <w:r w:rsidRPr="0048022D">
        <w:rPr>
          <w:rFonts w:cs="Segoe UI Historic"/>
          <w:i/>
          <w:snapToGrid w:val="0"/>
        </w:rPr>
        <w:t>see also Get in Shape Franchise, Inc. v. TFL Fishers, LLC</w:t>
      </w:r>
      <w:r w:rsidRPr="0048022D">
        <w:rPr>
          <w:rFonts w:cs="Segoe UI Historic"/>
          <w:snapToGrid w:val="0"/>
        </w:rPr>
        <w:t>, 167 F. Supp. 3d 173, 198–99 (D. Mass. 2016).</w:t>
      </w:r>
    </w:p>
  </w:footnote>
  <w:footnote w:id="7">
    <w:p w14:paraId="3AFCFCF0" w14:textId="21D7BD96" w:rsidR="006A6C6D" w:rsidRDefault="006A6C6D" w:rsidP="006A6C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00DDE">
        <w:tab/>
      </w:r>
      <w:r w:rsidRPr="00067743">
        <w:rPr>
          <w:rFonts w:cs="Segoe UI Historic"/>
          <w:i/>
        </w:rPr>
        <w:t>See</w:t>
      </w:r>
      <w:r w:rsidRPr="00067743">
        <w:rPr>
          <w:rFonts w:cs="Segoe UI Historic"/>
        </w:rPr>
        <w:t xml:space="preserve"> G.L. c. 93, § 42(4)</w:t>
      </w:r>
    </w:p>
  </w:footnote>
  <w:footnote w:id="8">
    <w:p w14:paraId="5210EEA9" w14:textId="777DF232" w:rsidR="006A6C6D" w:rsidRDefault="006A6C6D" w:rsidP="006A6C6D">
      <w:pPr>
        <w:pStyle w:val="FootnoteText"/>
      </w:pPr>
      <w:r w:rsidRPr="0048022D">
        <w:rPr>
          <w:rStyle w:val="FootnoteReference"/>
          <w:rFonts w:cs="Segoe UI Historic"/>
        </w:rPr>
        <w:footnoteRef/>
      </w:r>
      <w:r w:rsidRPr="0048022D">
        <w:rPr>
          <w:rFonts w:cs="Segoe UI Historic"/>
        </w:rPr>
        <w:t xml:space="preserve"> </w:t>
      </w:r>
      <w:r w:rsidR="00500DDE">
        <w:rPr>
          <w:rFonts w:cs="Segoe UI Historic"/>
        </w:rPr>
        <w:tab/>
      </w:r>
      <w:r w:rsidRPr="0048022D">
        <w:rPr>
          <w:rFonts w:cs="Segoe UI Historic"/>
          <w:i/>
          <w:snapToGrid w:val="0"/>
        </w:rPr>
        <w:t xml:space="preserve">USM </w:t>
      </w:r>
      <w:r w:rsidRPr="0048022D">
        <w:rPr>
          <w:rFonts w:cs="Segoe UI Historic"/>
          <w:i/>
          <w:snapToGrid w:val="0"/>
          <w:spacing w:val="-2"/>
        </w:rPr>
        <w:t>Corp. v. Marson Fastener Corp.</w:t>
      </w:r>
      <w:r w:rsidRPr="0048022D">
        <w:rPr>
          <w:rFonts w:cs="Segoe UI Historic"/>
          <w:snapToGrid w:val="0"/>
          <w:spacing w:val="-2"/>
        </w:rPr>
        <w:t>, 379 Mass. 90, 97 (1979)</w:t>
      </w:r>
      <w:r w:rsidR="00500DDE">
        <w:rPr>
          <w:rFonts w:cs="Segoe UI Historic"/>
          <w:snapToGrid w:val="0"/>
          <w:spacing w:val="-2"/>
        </w:rPr>
        <w:t xml:space="preserve">; </w:t>
      </w:r>
      <w:r w:rsidR="00500DDE">
        <w:rPr>
          <w:rFonts w:cs="Segoe UI Historic"/>
          <w:i/>
          <w:snapToGrid w:val="0"/>
        </w:rPr>
        <w:t>b</w:t>
      </w:r>
      <w:r w:rsidRPr="0048022D">
        <w:rPr>
          <w:rFonts w:cs="Segoe UI Historic"/>
          <w:i/>
          <w:snapToGrid w:val="0"/>
        </w:rPr>
        <w:t>ut see Boulanger v. Dunkin Donuts Inc.</w:t>
      </w:r>
      <w:r w:rsidRPr="0048022D">
        <w:rPr>
          <w:rFonts w:cs="Segoe UI Historic"/>
          <w:snapToGrid w:val="0"/>
        </w:rPr>
        <w:t>, 442 Mass. 635, 642 (</w:t>
      </w:r>
      <w:r w:rsidRPr="00500DDE">
        <w:t>2004</w:t>
      </w:r>
      <w:r w:rsidRPr="0048022D">
        <w:rPr>
          <w:rFonts w:cs="Segoe UI Historic"/>
          <w:snapToGrid w:val="0"/>
        </w:rPr>
        <w:t>)</w:t>
      </w:r>
      <w:r w:rsidR="00500DDE">
        <w:rPr>
          <w:rFonts w:cs="Segoe UI Historic"/>
          <w:snapToGrid w:val="0"/>
        </w:rPr>
        <w:t>.</w:t>
      </w:r>
    </w:p>
  </w:footnote>
  <w:footnote w:id="9">
    <w:p w14:paraId="2235F6E5" w14:textId="35C15530" w:rsidR="006A6C6D" w:rsidRDefault="006A6C6D" w:rsidP="006A6C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684D62">
        <w:t xml:space="preserve">See, e.g., </w:t>
      </w:r>
      <w:r w:rsidRPr="00240CED">
        <w:rPr>
          <w:i/>
          <w:iCs/>
        </w:rPr>
        <w:t>Mailman’s Steam Carpet Cleaning Corp.</w:t>
      </w:r>
      <w:r w:rsidRPr="00684D62">
        <w:t xml:space="preserve"> v. </w:t>
      </w:r>
      <w:r w:rsidRPr="00240CED">
        <w:rPr>
          <w:i/>
          <w:iCs/>
        </w:rPr>
        <w:t>Lizotte</w:t>
      </w:r>
      <w:r w:rsidRPr="00684D62">
        <w:t>, 415 Mass. 86, 869 (1993</w:t>
      </w:r>
      <w:r>
        <w:t xml:space="preserve">); </w:t>
      </w:r>
      <w:r w:rsidRPr="00684D62">
        <w:t xml:space="preserve">see also </w:t>
      </w:r>
      <w:r w:rsidRPr="00240CED">
        <w:rPr>
          <w:i/>
          <w:iCs/>
        </w:rPr>
        <w:t>Frank D. Wayne Assocs., Inc.</w:t>
      </w:r>
      <w:r w:rsidRPr="00684D62">
        <w:t xml:space="preserve"> v. </w:t>
      </w:r>
      <w:r w:rsidRPr="00240CED">
        <w:rPr>
          <w:i/>
          <w:iCs/>
        </w:rPr>
        <w:t>Lussier,</w:t>
      </w:r>
      <w:r w:rsidRPr="00684D62">
        <w:t xml:space="preserve"> 16 Mass. App. Ct. 986, 988 (1983).</w:t>
      </w:r>
    </w:p>
  </w:footnote>
  <w:footnote w:id="10">
    <w:p w14:paraId="0B4D7AF3" w14:textId="57A60AB9" w:rsidR="006A6C6D" w:rsidRDefault="006A6C6D" w:rsidP="006A6C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00DDE">
        <w:tab/>
      </w:r>
      <w:r>
        <w:t>This amount is the threshold as of January 1, 2022</w:t>
      </w:r>
      <w:r w:rsidR="00500DDE">
        <w:t xml:space="preserve">. </w:t>
      </w:r>
      <w:r>
        <w:t xml:space="preserve">Check the Department of Labor </w:t>
      </w:r>
      <w:r w:rsidR="00500DDE">
        <w:t xml:space="preserve">website </w:t>
      </w:r>
      <w:r>
        <w:t>to determine if the threshold amount has changed.</w:t>
      </w:r>
    </w:p>
  </w:footnote>
  <w:footnote w:id="11">
    <w:p w14:paraId="367261E4" w14:textId="17F62F21" w:rsidR="006A6C6D" w:rsidRDefault="006A6C6D" w:rsidP="006A6C6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00DDE">
        <w:tab/>
      </w:r>
      <w:r>
        <w:t>See Section 13(a)(1) of the FLSA, 29 C.F.R. Part 541.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62B5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A4E1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6A600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EBC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5E80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829F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901C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5A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203E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44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1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2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40BA509A"/>
    <w:multiLevelType w:val="hybridMultilevel"/>
    <w:tmpl w:val="B91AA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E3E82"/>
    <w:multiLevelType w:val="hybridMultilevel"/>
    <w:tmpl w:val="8CA2A5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633C69"/>
    <w:multiLevelType w:val="hybridMultilevel"/>
    <w:tmpl w:val="94B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2220E"/>
    <w:multiLevelType w:val="hybridMultilevel"/>
    <w:tmpl w:val="77C2E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47526"/>
    <w:multiLevelType w:val="hybridMultilevel"/>
    <w:tmpl w:val="079AF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75ACB"/>
    <w:multiLevelType w:val="hybridMultilevel"/>
    <w:tmpl w:val="7B223EB6"/>
    <w:lvl w:ilvl="0" w:tplc="18780F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 w15:restartNumberingAfterBreak="0">
    <w:nsid w:val="64B41FC7"/>
    <w:multiLevelType w:val="hybridMultilevel"/>
    <w:tmpl w:val="BFB88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659DC"/>
    <w:multiLevelType w:val="singleLevel"/>
    <w:tmpl w:val="BAD404EA"/>
    <w:lvl w:ilvl="0">
      <w:start w:val="1"/>
      <w:numFmt w:val="bullet"/>
      <w:pStyle w:val="TipBullet1"/>
      <w:lvlText w:val="•"/>
      <w:lvlJc w:val="left"/>
      <w:pPr>
        <w:tabs>
          <w:tab w:val="num" w:pos="360"/>
        </w:tabs>
        <w:ind w:left="173" w:hanging="173"/>
      </w:pPr>
      <w:rPr>
        <w:rFonts w:ascii="Times New Roman" w:hAnsi="Times New Roman" w:hint="default"/>
        <w:b w:val="0"/>
        <w:i w:val="0"/>
        <w:sz w:val="18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10"/>
  </w:num>
  <w:num w:numId="15">
    <w:abstractNumId w:val="20"/>
  </w:num>
  <w:num w:numId="16">
    <w:abstractNumId w:val="18"/>
  </w:num>
  <w:num w:numId="17">
    <w:abstractNumId w:val="16"/>
  </w:num>
  <w:num w:numId="18">
    <w:abstractNumId w:val="17"/>
  </w:num>
  <w:num w:numId="19">
    <w:abstractNumId w:val="19"/>
  </w:num>
  <w:num w:numId="20">
    <w:abstractNumId w:val="14"/>
  </w:num>
  <w:num w:numId="21">
    <w:abstractNumId w:val="13"/>
  </w:num>
  <w:num w:numId="2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739E"/>
    <w:rsid w:val="00130F23"/>
    <w:rsid w:val="0017397B"/>
    <w:rsid w:val="001B7748"/>
    <w:rsid w:val="001C5FA5"/>
    <w:rsid w:val="001D701D"/>
    <w:rsid w:val="001E2162"/>
    <w:rsid w:val="00221552"/>
    <w:rsid w:val="00242E79"/>
    <w:rsid w:val="00257345"/>
    <w:rsid w:val="00294F89"/>
    <w:rsid w:val="002A2C60"/>
    <w:rsid w:val="002D6594"/>
    <w:rsid w:val="002E08FC"/>
    <w:rsid w:val="00303039"/>
    <w:rsid w:val="003D4823"/>
    <w:rsid w:val="00420329"/>
    <w:rsid w:val="004848CB"/>
    <w:rsid w:val="004A3BE2"/>
    <w:rsid w:val="00500DDE"/>
    <w:rsid w:val="00516C98"/>
    <w:rsid w:val="005446C0"/>
    <w:rsid w:val="00550249"/>
    <w:rsid w:val="00594672"/>
    <w:rsid w:val="00596E5A"/>
    <w:rsid w:val="00654169"/>
    <w:rsid w:val="00676B44"/>
    <w:rsid w:val="006A6C6D"/>
    <w:rsid w:val="007424CB"/>
    <w:rsid w:val="007B2CF3"/>
    <w:rsid w:val="007E7B77"/>
    <w:rsid w:val="00834E34"/>
    <w:rsid w:val="0085442B"/>
    <w:rsid w:val="008733AA"/>
    <w:rsid w:val="00880AA6"/>
    <w:rsid w:val="008A68FD"/>
    <w:rsid w:val="0094500B"/>
    <w:rsid w:val="00992410"/>
    <w:rsid w:val="009B481F"/>
    <w:rsid w:val="009D3FE0"/>
    <w:rsid w:val="00A05B86"/>
    <w:rsid w:val="00A164C0"/>
    <w:rsid w:val="00A2789E"/>
    <w:rsid w:val="00A55E4E"/>
    <w:rsid w:val="00A56498"/>
    <w:rsid w:val="00A76145"/>
    <w:rsid w:val="00A917A4"/>
    <w:rsid w:val="00A95EAD"/>
    <w:rsid w:val="00AE11E0"/>
    <w:rsid w:val="00AF6831"/>
    <w:rsid w:val="00B02468"/>
    <w:rsid w:val="00B2579A"/>
    <w:rsid w:val="00B520AB"/>
    <w:rsid w:val="00B75859"/>
    <w:rsid w:val="00BE7335"/>
    <w:rsid w:val="00BF0717"/>
    <w:rsid w:val="00BF08B5"/>
    <w:rsid w:val="00C43AEF"/>
    <w:rsid w:val="00C5670C"/>
    <w:rsid w:val="00CD7576"/>
    <w:rsid w:val="00D1515D"/>
    <w:rsid w:val="00D71FE5"/>
    <w:rsid w:val="00D8732A"/>
    <w:rsid w:val="00D9196F"/>
    <w:rsid w:val="00DB6604"/>
    <w:rsid w:val="00DC61A7"/>
    <w:rsid w:val="00E174B0"/>
    <w:rsid w:val="00E435FF"/>
    <w:rsid w:val="00E87E3C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6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iPriority w:val="99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paragraph" w:customStyle="1" w:styleId="TipBullet1">
    <w:name w:val="Tip Bullet1"/>
    <w:basedOn w:val="Normal"/>
    <w:rsid w:val="006A6C6D"/>
    <w:pPr>
      <w:numPr>
        <w:numId w:val="15"/>
      </w:numPr>
      <w:tabs>
        <w:tab w:val="clear" w:pos="360"/>
        <w:tab w:val="left" w:pos="677"/>
      </w:tabs>
      <w:spacing w:after="0" w:line="240" w:lineRule="exact"/>
      <w:ind w:left="677" w:right="504"/>
      <w:jc w:val="both"/>
    </w:pPr>
    <w:rPr>
      <w:rFonts w:ascii="Helvetica" w:eastAsia="Times New Roman" w:hAnsi="Helvetica" w:cs="Times New Roman"/>
      <w:kern w:val="20"/>
      <w:sz w:val="18"/>
      <w:szCs w:val="20"/>
    </w:rPr>
  </w:style>
  <w:style w:type="paragraph" w:customStyle="1" w:styleId="Instruction">
    <w:name w:val="Instruction"/>
    <w:basedOn w:val="Normal"/>
    <w:rsid w:val="006A6C6D"/>
    <w:pPr>
      <w:spacing w:before="240" w:after="0" w:line="280" w:lineRule="exact"/>
      <w:jc w:val="both"/>
    </w:pPr>
    <w:rPr>
      <w:rFonts w:ascii="Helvetica LT Std" w:eastAsia="Times New Roman" w:hAnsi="Helvetica LT Std" w:cs="Times New Roman"/>
      <w:b/>
      <w:snapToGrid w:val="0"/>
      <w:kern w:val="20"/>
      <w:szCs w:val="20"/>
    </w:rPr>
  </w:style>
  <w:style w:type="paragraph" w:customStyle="1" w:styleId="InstructionNumbered">
    <w:name w:val="Instruction Numbered"/>
    <w:basedOn w:val="Instruction"/>
    <w:rsid w:val="006A6C6D"/>
    <w:pPr>
      <w:ind w:left="461" w:hanging="461"/>
    </w:pPr>
    <w:rPr>
      <w:snapToGrid/>
    </w:rPr>
  </w:style>
  <w:style w:type="paragraph" w:styleId="ListParagraph">
    <w:name w:val="List Paragraph"/>
    <w:basedOn w:val="Normal"/>
    <w:uiPriority w:val="34"/>
    <w:qFormat/>
    <w:rsid w:val="006A6C6D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A6C6D"/>
    <w:pPr>
      <w:spacing w:before="200" w:after="0" w:line="240" w:lineRule="exact"/>
      <w:jc w:val="both"/>
    </w:pPr>
    <w:rPr>
      <w:rFonts w:ascii="Times LT Std" w:eastAsia="Times New Roman" w:hAnsi="Times LT Std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A6C6D"/>
    <w:rPr>
      <w:rFonts w:ascii="Times LT Std" w:eastAsia="Times New Roman" w:hAnsi="Times LT Std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William Burke</cp:lastModifiedBy>
  <cp:revision>2</cp:revision>
  <dcterms:created xsi:type="dcterms:W3CDTF">2022-08-11T18:16:00Z</dcterms:created>
  <dcterms:modified xsi:type="dcterms:W3CDTF">2022-08-11T18:16:00Z</dcterms:modified>
</cp:coreProperties>
</file>