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C865" w14:textId="77777777" w:rsidR="00E16385" w:rsidRPr="00720E2B" w:rsidRDefault="00E16385" w:rsidP="00E16385">
      <w:pPr>
        <w:pStyle w:val="JuryInstructionText"/>
        <w:jc w:val="right"/>
        <w:rPr>
          <w:i/>
          <w:iCs/>
        </w:rPr>
      </w:pPr>
      <w:r w:rsidRPr="00720E2B">
        <w:rPr>
          <w:i/>
          <w:iCs/>
        </w:rPr>
        <w:t xml:space="preserve">Publication Date: </w:t>
      </w:r>
      <w:r>
        <w:rPr>
          <w:i/>
          <w:iCs/>
        </w:rPr>
        <w:t>August 9, 2022</w:t>
      </w:r>
    </w:p>
    <w:p w14:paraId="55692B20" w14:textId="42D8E48B" w:rsidR="009337A4" w:rsidRPr="00E16385" w:rsidRDefault="009337A4" w:rsidP="009337A4">
      <w:pPr>
        <w:pStyle w:val="JuryInst1"/>
        <w:rPr>
          <w:u w:val="single"/>
        </w:rPr>
      </w:pPr>
      <w:r>
        <w:t>Breach of Noncompetition Agreement by a Former Employee</w:t>
      </w:r>
      <w:r w:rsidR="00E16385">
        <w:br/>
        <w:t>(For Non-Compete Agreements Executed Before October 1, 2018)</w:t>
      </w:r>
      <w:r>
        <w:rPr>
          <w:rStyle w:val="FootnoteReference"/>
          <w:u w:val="single"/>
        </w:rPr>
        <w:footnoteReference w:id="1"/>
      </w:r>
      <w:r w:rsidR="005D6F2C">
        <w:br/>
      </w:r>
    </w:p>
    <w:p w14:paraId="7BF945FB" w14:textId="77777777" w:rsidR="005D6F2C" w:rsidRDefault="005D6F2C" w:rsidP="005D6F2C">
      <w:pPr>
        <w:pStyle w:val="JuryInst2"/>
      </w:pPr>
      <w:r>
        <w:t>Non-Competition Agreement</w:t>
      </w:r>
    </w:p>
    <w:p w14:paraId="5C50ED1F" w14:textId="77777777" w:rsidR="009337A4" w:rsidRDefault="009337A4" w:rsidP="009337A4">
      <w:pPr>
        <w:pStyle w:val="JuryInstructionText"/>
        <w:rPr>
          <w:b/>
        </w:rPr>
      </w:pPr>
      <w:r>
        <w:t xml:space="preserve">PLF claims that DFT breached </w:t>
      </w:r>
      <w:r>
        <w:rPr>
          <w:rFonts w:cs="Segoe UI Historic"/>
        </w:rPr>
        <w:t>an agreement not to compete against PLF once DFT no longer worked there.</w:t>
      </w:r>
    </w:p>
    <w:p w14:paraId="27A5969B" w14:textId="77777777" w:rsidR="009337A4" w:rsidRDefault="009337A4" w:rsidP="009337A4">
      <w:pPr>
        <w:pStyle w:val="JuryInstructionText"/>
        <w:rPr>
          <w:b/>
        </w:rPr>
      </w:pPr>
      <w:r>
        <w:t>To prove breach of a noncompetition agreement, PLF must prove that each of the following four things is more probably true than not true:</w:t>
      </w:r>
    </w:p>
    <w:p w14:paraId="168F71B5" w14:textId="77777777" w:rsidR="009337A4" w:rsidRPr="00083A61" w:rsidRDefault="009337A4" w:rsidP="009337A4">
      <w:pPr>
        <w:pStyle w:val="JuryInstructionElements"/>
        <w:rPr>
          <w:b/>
        </w:rPr>
      </w:pPr>
      <w:r w:rsidRPr="00083A61">
        <w:rPr>
          <w:spacing w:val="-2"/>
        </w:rPr>
        <w:t>1.</w:t>
      </w:r>
      <w:r>
        <w:rPr>
          <w:spacing w:val="-2"/>
        </w:rPr>
        <w:tab/>
      </w:r>
      <w:r w:rsidRPr="00083A61">
        <w:rPr>
          <w:spacing w:val="-2"/>
        </w:rPr>
        <w:t>DFT entered into a</w:t>
      </w:r>
      <w:r w:rsidRPr="00083A61">
        <w:t xml:space="preserve"> noncompetition agreement </w:t>
      </w:r>
      <w:r>
        <w:t>that</w:t>
      </w:r>
      <w:r w:rsidRPr="00083A61">
        <w:t xml:space="preserve"> </w:t>
      </w:r>
      <w:r>
        <w:t>met certain legal requirements that I will explain in a minute</w:t>
      </w:r>
      <w:r w:rsidRPr="00083A61">
        <w:t>;</w:t>
      </w:r>
    </w:p>
    <w:p w14:paraId="1809E57A" w14:textId="77777777" w:rsidR="009337A4" w:rsidRPr="0039186B" w:rsidRDefault="009337A4" w:rsidP="009337A4">
      <w:pPr>
        <w:pStyle w:val="JuryInstructionElements"/>
      </w:pPr>
      <w:r>
        <w:t>2.</w:t>
      </w:r>
      <w:r>
        <w:tab/>
      </w:r>
      <w:r w:rsidRPr="0039186B">
        <w:t>The agreement had a reasonably limited time and scope, and was consistent with the public interest</w:t>
      </w:r>
      <w:r>
        <w:t>;</w:t>
      </w:r>
    </w:p>
    <w:p w14:paraId="4EB5400D" w14:textId="77777777" w:rsidR="009337A4" w:rsidRPr="0039186B" w:rsidRDefault="009337A4" w:rsidP="009337A4">
      <w:pPr>
        <w:pStyle w:val="JuryInstructionElements"/>
      </w:pPr>
      <w:r>
        <w:t>3.</w:t>
      </w:r>
      <w:r>
        <w:tab/>
      </w:r>
      <w:r w:rsidRPr="0039186B">
        <w:t xml:space="preserve">DFT violated a part of the agreement </w:t>
      </w:r>
      <w:r>
        <w:t>that</w:t>
      </w:r>
      <w:r w:rsidRPr="0039186B">
        <w:t xml:space="preserve"> was necessary to protect PLF’s legitimate business interest; and </w:t>
      </w:r>
    </w:p>
    <w:p w14:paraId="1A671E8C" w14:textId="7C547E51" w:rsidR="009337A4" w:rsidRDefault="009337A4" w:rsidP="009337A4">
      <w:pPr>
        <w:pStyle w:val="JuryInstructionElements"/>
      </w:pPr>
      <w:r w:rsidRPr="00083A61">
        <w:t>4.</w:t>
      </w:r>
      <w:r>
        <w:tab/>
      </w:r>
      <w:r w:rsidRPr="0039186B">
        <w:t>DFT’s violation of the agreement caused harm to PLF</w:t>
      </w:r>
      <w:r w:rsidR="00E16385">
        <w:t xml:space="preserve">. </w:t>
      </w:r>
      <w:r>
        <w:t>Sometimes, the lawyers or I will use the phrase “breach of the agreement,” which means the same thing as violation of the agreement.</w:t>
      </w:r>
      <w:r w:rsidR="00E16385">
        <w:rPr>
          <w:rStyle w:val="FootnoteReference"/>
        </w:rPr>
        <w:footnoteReference w:id="2"/>
      </w:r>
    </w:p>
    <w:p w14:paraId="010BA2F3" w14:textId="77777777" w:rsidR="009337A4" w:rsidRDefault="009337A4" w:rsidP="009337A4">
      <w:pPr>
        <w:pStyle w:val="JuryInstructionText"/>
      </w:pPr>
      <w:r>
        <w:t>I will now describe these matters in more detail.</w:t>
      </w:r>
    </w:p>
    <w:p w14:paraId="3676FFB2" w14:textId="77777777" w:rsidR="009337A4" w:rsidRPr="00211331" w:rsidRDefault="009337A4" w:rsidP="00E16385">
      <w:pPr>
        <w:pStyle w:val="JuryInst3"/>
      </w:pPr>
      <w:r>
        <w:t>Entered Into an Agreement</w:t>
      </w:r>
    </w:p>
    <w:p w14:paraId="0E3C2B15" w14:textId="77777777" w:rsidR="009337A4" w:rsidRPr="00F46858" w:rsidRDefault="009337A4" w:rsidP="009337A4">
      <w:pPr>
        <w:pStyle w:val="JuryInstructionText"/>
        <w:rPr>
          <w:b/>
        </w:rPr>
      </w:pPr>
      <w:r>
        <w:t>PLF may not enforce the noncompetition agreement</w:t>
      </w:r>
      <w:r w:rsidRPr="00F46858">
        <w:t xml:space="preserve"> unless the DFT received something of value in return for entering into the agreement. </w:t>
      </w:r>
      <w:r>
        <w:rPr>
          <w:spacing w:val="-2"/>
        </w:rPr>
        <w:t xml:space="preserve">You may find that </w:t>
      </w:r>
      <w:r>
        <w:t>DFT received value if [he/she]</w:t>
      </w:r>
      <w:r w:rsidRPr="00F46858">
        <w:t xml:space="preserve"> received a job offer</w:t>
      </w:r>
      <w:r>
        <w:t xml:space="preserve"> because </w:t>
      </w:r>
      <w:r>
        <w:lastRenderedPageBreak/>
        <w:t xml:space="preserve">[he/she] was </w:t>
      </w:r>
      <w:r w:rsidRPr="00F46858">
        <w:t>willing to sig</w:t>
      </w:r>
      <w:r>
        <w:t>n the agreement o</w:t>
      </w:r>
      <w:r w:rsidRPr="00F46858">
        <w:t>r that</w:t>
      </w:r>
      <w:r>
        <w:t xml:space="preserve"> DFT continued to employ PLF in exchange for PLF signing the agreement.</w:t>
      </w:r>
      <w:r w:rsidRPr="00F46858">
        <w:t xml:space="preserve"> The</w:t>
      </w:r>
      <w:r>
        <w:t xml:space="preserve"> amount of the value </w:t>
      </w:r>
      <w:r w:rsidRPr="00F46858">
        <w:t xml:space="preserve">is not important as long as </w:t>
      </w:r>
      <w:r>
        <w:t>DFT received</w:t>
      </w:r>
      <w:r w:rsidRPr="00F46858">
        <w:t xml:space="preserve"> some value, even if relatively small.</w:t>
      </w:r>
    </w:p>
    <w:p w14:paraId="354D7449" w14:textId="2CBF1ABA" w:rsidR="009337A4" w:rsidRDefault="009337A4" w:rsidP="009337A4">
      <w:pPr>
        <w:pStyle w:val="JuryInstructionText"/>
        <w:rPr>
          <w:b/>
        </w:rPr>
      </w:pPr>
      <w:r w:rsidRPr="00F46858">
        <w:t>In addition</w:t>
      </w:r>
      <w:r>
        <w:t xml:space="preserve">, </w:t>
      </w:r>
      <w:r w:rsidRPr="00F46858">
        <w:t xml:space="preserve">the </w:t>
      </w:r>
      <w:r>
        <w:t xml:space="preserve">value must result from a bargain between PLF and </w:t>
      </w:r>
      <w:r w:rsidRPr="00F46858">
        <w:t>DFT</w:t>
      </w:r>
      <w:r w:rsidR="00E16385">
        <w:t xml:space="preserve">. </w:t>
      </w:r>
      <w:r>
        <w:rPr>
          <w:spacing w:val="-2"/>
        </w:rPr>
        <w:t>A</w:t>
      </w:r>
      <w:r w:rsidRPr="00F46858">
        <w:rPr>
          <w:spacing w:val="-2"/>
        </w:rPr>
        <w:t xml:space="preserve"> bargain</w:t>
      </w:r>
      <w:r>
        <w:rPr>
          <w:spacing w:val="-2"/>
        </w:rPr>
        <w:t xml:space="preserve"> occurred</w:t>
      </w:r>
      <w:r w:rsidRPr="00F46858">
        <w:rPr>
          <w:spacing w:val="-2"/>
        </w:rPr>
        <w:t xml:space="preserve"> if </w:t>
      </w:r>
      <w:r>
        <w:rPr>
          <w:spacing w:val="-2"/>
        </w:rPr>
        <w:t>PLF</w:t>
      </w:r>
      <w:r w:rsidRPr="00F46858">
        <w:rPr>
          <w:spacing w:val="-2"/>
        </w:rPr>
        <w:t xml:space="preserve"> offered</w:t>
      </w:r>
      <w:r>
        <w:rPr>
          <w:spacing w:val="-2"/>
        </w:rPr>
        <w:t xml:space="preserve"> the value to DFT</w:t>
      </w:r>
      <w:r w:rsidRPr="00F46858">
        <w:t xml:space="preserve"> at the</w:t>
      </w:r>
      <w:r>
        <w:t xml:space="preserve"> time he/she entered into the </w:t>
      </w:r>
      <w:r w:rsidRPr="00F46858">
        <w:t xml:space="preserve">agreement, and </w:t>
      </w:r>
      <w:r>
        <w:t xml:space="preserve">[he/she] </w:t>
      </w:r>
      <w:r w:rsidRPr="00F46858">
        <w:t xml:space="preserve">accepted </w:t>
      </w:r>
      <w:r>
        <w:t>it</w:t>
      </w:r>
      <w:r w:rsidRPr="00F46858">
        <w:t xml:space="preserve"> at that time. </w:t>
      </w:r>
    </w:p>
    <w:p w14:paraId="7772DC13" w14:textId="161B44EA" w:rsidR="009337A4" w:rsidRDefault="009337A4" w:rsidP="009337A4">
      <w:pPr>
        <w:pStyle w:val="JuryInstructionText"/>
      </w:pPr>
      <w:r>
        <w:t>When people bargain for something of value, there must be an offer by one and an acceptance by the other</w:t>
      </w:r>
      <w:r w:rsidR="00E16385">
        <w:t xml:space="preserve">. </w:t>
      </w:r>
      <w:r>
        <w:t>The</w:t>
      </w:r>
      <w:r w:rsidRPr="00F46858">
        <w:t xml:space="preserve"> offer and acceptance</w:t>
      </w:r>
      <w:r>
        <w:t xml:space="preserve"> </w:t>
      </w:r>
      <w:r w:rsidRPr="00F46858">
        <w:t xml:space="preserve">does not need to be </w:t>
      </w:r>
      <w:r>
        <w:t>written</w:t>
      </w:r>
      <w:r w:rsidR="00E16385">
        <w:t xml:space="preserve">. </w:t>
      </w:r>
      <w:r>
        <w:t>It may be</w:t>
      </w:r>
      <w:r w:rsidRPr="00F46858">
        <w:t xml:space="preserve"> oral</w:t>
      </w:r>
      <w:r w:rsidR="00E16385">
        <w:t xml:space="preserve">. </w:t>
      </w:r>
      <w:r>
        <w:t xml:space="preserve">You may also conclude there was an offer and acceptance </w:t>
      </w:r>
      <w:r w:rsidRPr="00F46858">
        <w:t xml:space="preserve">from the </w:t>
      </w:r>
      <w:r>
        <w:t xml:space="preserve">parties’ </w:t>
      </w:r>
      <w:r w:rsidRPr="00F46858">
        <w:t xml:space="preserve">conduct at the time </w:t>
      </w:r>
      <w:r>
        <w:t>that DFT</w:t>
      </w:r>
      <w:r w:rsidRPr="00F46858">
        <w:t xml:space="preserve"> entered into the agreement.</w:t>
      </w:r>
    </w:p>
    <w:p w14:paraId="0092B1F1" w14:textId="71C9EBB5" w:rsidR="009337A4" w:rsidRPr="00CB054E" w:rsidRDefault="009337A4" w:rsidP="00E16385">
      <w:pPr>
        <w:pStyle w:val="JuryInst3"/>
      </w:pPr>
      <w:r w:rsidRPr="00CB054E">
        <w:t>Reasonable Limitations on Scope and Time</w:t>
      </w:r>
      <w:r w:rsidR="00E16385">
        <w:t xml:space="preserve"> </w:t>
      </w:r>
      <w:r w:rsidRPr="00CB054E">
        <w:t>and Consistent with the Public Interest</w:t>
      </w:r>
    </w:p>
    <w:p w14:paraId="16C111AB" w14:textId="14387907" w:rsidR="009337A4" w:rsidRDefault="009337A4" w:rsidP="009337A4">
      <w:pPr>
        <w:pStyle w:val="JuryInstructionText"/>
      </w:pPr>
      <w:r w:rsidRPr="00CF3F80">
        <w:t>In addition, a postemployment noncompetition agreement is not enforceable against an employee unless you find that the agreement was reasonable in time and scope</w:t>
      </w:r>
      <w:r>
        <w:t xml:space="preserve"> and consistent with the public interest</w:t>
      </w:r>
      <w:r w:rsidRPr="00CF3F80">
        <w:t>.</w:t>
      </w:r>
      <w:r>
        <w:rPr>
          <w:rStyle w:val="FootnoteReference"/>
          <w:rFonts w:cs="Segoe UI Historic"/>
        </w:rPr>
        <w:footnoteReference w:id="3"/>
      </w:r>
      <w:r w:rsidRPr="00CF3F80">
        <w:t xml:space="preserve"> What is reasonable depends upon the facts of each case.</w:t>
      </w:r>
      <w:r>
        <w:rPr>
          <w:rStyle w:val="FootnoteReference"/>
          <w:rFonts w:cs="Segoe UI Historic"/>
        </w:rPr>
        <w:footnoteReference w:id="4"/>
      </w:r>
      <w:r w:rsidRPr="00CF3F80">
        <w:t xml:space="preserve"> </w:t>
      </w:r>
      <w:r>
        <w:t>Generally speaking,</w:t>
      </w:r>
      <w:r w:rsidRPr="00CF3F80">
        <w:t xml:space="preserve"> a geographic restriction is reasonable so long as it restricts a former employee from doing business in a specific market or markets in which the </w:t>
      </w:r>
      <w:r>
        <w:t>PLF</w:t>
      </w:r>
      <w:r w:rsidRPr="00CF3F80">
        <w:t xml:space="preserve"> conducts business.</w:t>
      </w:r>
      <w:r>
        <w:rPr>
          <w:rStyle w:val="FootnoteReference"/>
          <w:rFonts w:cs="Segoe UI Historic"/>
        </w:rPr>
        <w:footnoteReference w:id="5"/>
      </w:r>
      <w:r w:rsidRPr="00CF3F80">
        <w:t xml:space="preserve"> </w:t>
      </w:r>
      <w:r>
        <w:t>D</w:t>
      </w:r>
      <w:r w:rsidRPr="00CF3F80">
        <w:t xml:space="preserve">etermining whether a </w:t>
      </w:r>
      <w:r>
        <w:t>time-based</w:t>
      </w:r>
      <w:r w:rsidRPr="00CF3F80">
        <w:t xml:space="preserve"> restriction is </w:t>
      </w:r>
      <w:r>
        <w:lastRenderedPageBreak/>
        <w:t>r</w:t>
      </w:r>
      <w:r w:rsidRPr="00CF3F80">
        <w:t xml:space="preserve">easonable requires you </w:t>
      </w:r>
      <w:r>
        <w:t xml:space="preserve">to consider factors such as PLF’s </w:t>
      </w:r>
      <w:r w:rsidRPr="00CF3F80">
        <w:t>industry</w:t>
      </w:r>
      <w:r>
        <w:t xml:space="preserve"> and DFT’s role while employed with the PLF</w:t>
      </w:r>
      <w:r w:rsidRPr="00CF3F80">
        <w:t>.</w:t>
      </w:r>
      <w:r>
        <w:rPr>
          <w:rStyle w:val="FootnoteReference"/>
          <w:rFonts w:cs="Segoe UI Historic"/>
        </w:rPr>
        <w:footnoteReference w:id="6"/>
      </w:r>
    </w:p>
    <w:p w14:paraId="07CF798F" w14:textId="77777777" w:rsidR="009337A4" w:rsidRPr="00211331" w:rsidRDefault="009337A4" w:rsidP="00E16385">
      <w:pPr>
        <w:pStyle w:val="JuryInst3"/>
      </w:pPr>
      <w:r w:rsidRPr="00211331">
        <w:t>Legitimate Business Interest</w:t>
      </w:r>
    </w:p>
    <w:p w14:paraId="3D7716EA" w14:textId="52F609F4" w:rsidR="009337A4" w:rsidRDefault="009337A4" w:rsidP="009337A4">
      <w:pPr>
        <w:pStyle w:val="JuryInstructionText"/>
      </w:pPr>
      <w:r>
        <w:t>Next,</w:t>
      </w:r>
      <w:r w:rsidRPr="00963ED6">
        <w:t xml:space="preserve"> </w:t>
      </w:r>
      <w:r>
        <w:t>PLF must prove that [he/she/it] has a legitimate business interest in enforcing the agreement</w:t>
      </w:r>
      <w:r w:rsidR="00E16385">
        <w:t xml:space="preserve">. </w:t>
      </w:r>
      <w:r w:rsidRPr="00440A0D">
        <w:t xml:space="preserve">PLF may enforce </w:t>
      </w:r>
      <w:r>
        <w:t>this</w:t>
      </w:r>
      <w:r w:rsidRPr="00440A0D">
        <w:t xml:space="preserve"> noncompetition agreement only to the extent necessary to protect PLF’s legitimate business interests.</w:t>
      </w:r>
      <w:r>
        <w:rPr>
          <w:rStyle w:val="FootnoteReference"/>
          <w:rFonts w:cs="Segoe UI Historic"/>
        </w:rPr>
        <w:footnoteReference w:id="7"/>
      </w:r>
      <w:r>
        <w:t xml:space="preserve">   In order for PLF to show this, PLF must prove that: </w:t>
      </w:r>
    </w:p>
    <w:p w14:paraId="1CB6D46E" w14:textId="77777777" w:rsidR="009337A4" w:rsidRDefault="009337A4" w:rsidP="009337A4">
      <w:pPr>
        <w:pStyle w:val="JuryInstructionBullets"/>
      </w:pPr>
      <w:r>
        <w:t>the agreement protected [his/her/its] legitimate business interests in some way; and</w:t>
      </w:r>
    </w:p>
    <w:p w14:paraId="2D0051C9" w14:textId="77777777" w:rsidR="009337A4" w:rsidRDefault="009337A4" w:rsidP="009337A4">
      <w:pPr>
        <w:pStyle w:val="JuryInstructionBullets"/>
      </w:pPr>
      <w:r w:rsidRPr="00FE7BA9">
        <w:t xml:space="preserve">DFT </w:t>
      </w:r>
      <w:r>
        <w:t>violated a provision of</w:t>
      </w:r>
      <w:r w:rsidRPr="00FE7BA9">
        <w:t xml:space="preserve"> the agreement </w:t>
      </w:r>
      <w:r>
        <w:t>that</w:t>
      </w:r>
      <w:r w:rsidRPr="00FE7BA9">
        <w:t xml:space="preserve"> was necessary to protect </w:t>
      </w:r>
      <w:r>
        <w:t>PLF’s</w:t>
      </w:r>
      <w:r w:rsidRPr="00FE7BA9">
        <w:t xml:space="preserve"> legitimate business interest</w:t>
      </w:r>
      <w:r>
        <w:t>s.</w:t>
      </w:r>
      <w:r w:rsidRPr="00FE7BA9">
        <w:t xml:space="preserve"> </w:t>
      </w:r>
    </w:p>
    <w:p w14:paraId="004E4CFD" w14:textId="687926BD" w:rsidR="009337A4" w:rsidRDefault="009337A4" w:rsidP="009337A4">
      <w:pPr>
        <w:pStyle w:val="JuryInstructionText"/>
      </w:pPr>
      <w:r>
        <w:t>An employer has a legitimate business interest in protecting its goodwill, trade secret information and confidential business information</w:t>
      </w:r>
      <w:r w:rsidR="00E16385">
        <w:t xml:space="preserve">. </w:t>
      </w:r>
      <w:r>
        <w:t>Employers, such as PLF, however, do not have a legitimate business interest in p</w:t>
      </w:r>
      <w:r w:rsidRPr="00440A0D">
        <w:t>rotectin</w:t>
      </w:r>
      <w:r>
        <w:t>g themselves from ordinary competition</w:t>
      </w:r>
      <w:r w:rsidR="00E16385">
        <w:t xml:space="preserve">. </w:t>
      </w:r>
      <w:r>
        <w:t>PLF cannot enforce a</w:t>
      </w:r>
      <w:r w:rsidRPr="00440A0D">
        <w:t xml:space="preserve"> noncompetition agreement designed solely for that purpose</w:t>
      </w:r>
      <w:r w:rsidR="00E16385">
        <w:t xml:space="preserve">. </w:t>
      </w:r>
      <w:r w:rsidRPr="00440A0D">
        <w:t xml:space="preserve"> </w:t>
      </w:r>
      <w:r>
        <w:t>For example, Coca-Cola may have a legitimate business interest in protecting its secret recipe for its cola soft drink, but not in protecting itself from competition from other cola soft drink manufacturers.</w:t>
      </w:r>
    </w:p>
    <w:p w14:paraId="56EC2587" w14:textId="52DA4D03" w:rsidR="009337A4" w:rsidRPr="00440A0D" w:rsidRDefault="009337A4" w:rsidP="009337A4">
      <w:pPr>
        <w:pStyle w:val="JuryInstructionText"/>
        <w:rPr>
          <w:b/>
        </w:rPr>
      </w:pPr>
      <w:r w:rsidRPr="00440A0D">
        <w:t>Le</w:t>
      </w:r>
      <w:r>
        <w:t xml:space="preserve">t me explain in greater detail when an employer has a legitimate business reason to protect goodwill, trade secret information and confidential business information. </w:t>
      </w:r>
      <w:r w:rsidR="005D6F2C">
        <w:t>&lt;</w:t>
      </w:r>
      <w:r w:rsidR="005D6F2C">
        <w:rPr>
          <w:b/>
          <w:bCs/>
          <w:i/>
          <w:iCs/>
        </w:rPr>
        <w:t>Instruct only on what is applicable.</w:t>
      </w:r>
      <w:r w:rsidR="005D6F2C">
        <w:t>&gt;</w:t>
      </w:r>
    </w:p>
    <w:p w14:paraId="3C689EE9" w14:textId="6B7E677E" w:rsidR="009337A4" w:rsidRPr="00982C62" w:rsidRDefault="009337A4" w:rsidP="005D6F2C">
      <w:pPr>
        <w:pStyle w:val="JuryInstructionIndent"/>
        <w:rPr>
          <w:b/>
        </w:rPr>
      </w:pPr>
      <w:r w:rsidRPr="00982C62">
        <w:t>PLF</w:t>
      </w:r>
      <w:r>
        <w:t xml:space="preserve"> may show that </w:t>
      </w:r>
      <w:r w:rsidRPr="00FA069D">
        <w:t>[he/she/it]</w:t>
      </w:r>
      <w:r>
        <w:t xml:space="preserve"> </w:t>
      </w:r>
      <w:r w:rsidRPr="00982C62">
        <w:t>need</w:t>
      </w:r>
      <w:r>
        <w:t>ed</w:t>
      </w:r>
      <w:r w:rsidRPr="00982C62">
        <w:t xml:space="preserve"> to prevent DFT from </w:t>
      </w:r>
      <w:r>
        <w:t>using PLF’s</w:t>
      </w:r>
      <w:r w:rsidRPr="00982C62">
        <w:t xml:space="preserve"> </w:t>
      </w:r>
      <w:r>
        <w:t>good</w:t>
      </w:r>
      <w:r w:rsidRPr="00982C62">
        <w:t xml:space="preserve">will for [himself/herself] </w:t>
      </w:r>
      <w:r>
        <w:t>[</w:t>
      </w:r>
      <w:r w:rsidRPr="00982C62">
        <w:t>or</w:t>
      </w:r>
      <w:r>
        <w:t xml:space="preserve"> for</w:t>
      </w:r>
      <w:r w:rsidRPr="00982C62">
        <w:t xml:space="preserve"> a competitor</w:t>
      </w:r>
      <w:r>
        <w:t>]</w:t>
      </w:r>
      <w:r w:rsidR="00E16385">
        <w:t xml:space="preserve">. </w:t>
      </w:r>
      <w:r>
        <w:t xml:space="preserve">Goodwill is an </w:t>
      </w:r>
      <w:r>
        <w:lastRenderedPageBreak/>
        <w:t>employer’s</w:t>
      </w:r>
      <w:r w:rsidRPr="00982C62">
        <w:t xml:space="preserve"> favorable reputation</w:t>
      </w:r>
      <w:r>
        <w:t xml:space="preserve"> in the eyes of its </w:t>
      </w:r>
      <w:r w:rsidRPr="00982C62">
        <w:t>customers</w:t>
      </w:r>
      <w:r>
        <w:t xml:space="preserve"> and potential customers.</w:t>
      </w:r>
    </w:p>
    <w:p w14:paraId="14A523F8" w14:textId="776F4A19" w:rsidR="009337A4" w:rsidRPr="00440A0D" w:rsidRDefault="009337A4" w:rsidP="005D6F2C">
      <w:pPr>
        <w:pStyle w:val="JuryInstructionIndent"/>
      </w:pPr>
      <w:r w:rsidRPr="00982C62">
        <w:t>PLF</w:t>
      </w:r>
      <w:r>
        <w:rPr>
          <w:b/>
        </w:rPr>
        <w:t xml:space="preserve"> </w:t>
      </w:r>
      <w:r w:rsidRPr="00C36247">
        <w:t xml:space="preserve">may show that </w:t>
      </w:r>
      <w:r w:rsidRPr="00FA069D">
        <w:t>[he/she/it]</w:t>
      </w:r>
      <w:r>
        <w:t xml:space="preserve"> </w:t>
      </w:r>
      <w:r w:rsidRPr="00C36247">
        <w:t>needed</w:t>
      </w:r>
      <w:r w:rsidRPr="00982C62">
        <w:t xml:space="preserve"> to protect any trade secret </w:t>
      </w:r>
      <w:r>
        <w:t xml:space="preserve">to </w:t>
      </w:r>
      <w:r w:rsidRPr="00982C62">
        <w:t>which DFT had access</w:t>
      </w:r>
      <w:r w:rsidRPr="00067743">
        <w:t xml:space="preserve"> </w:t>
      </w:r>
      <w:r w:rsidRPr="00982C62">
        <w:t>during the period of [his/her] employment, and to prevent DFT from disclosing that information to third parties</w:t>
      </w:r>
      <w:r w:rsidR="00E16385">
        <w:rPr>
          <w:b/>
        </w:rPr>
        <w:t xml:space="preserve">. </w:t>
      </w:r>
      <w:r>
        <w:t xml:space="preserve">A </w:t>
      </w:r>
      <w:r w:rsidRPr="00440A0D">
        <w:t>trade secret</w:t>
      </w:r>
      <w:r>
        <w:t xml:space="preserve"> </w:t>
      </w:r>
      <w:r w:rsidRPr="00440A0D">
        <w:t>mean</w:t>
      </w:r>
      <w:r>
        <w:t>s</w:t>
      </w:r>
      <w:r w:rsidRPr="00440A0D">
        <w:t xml:space="preserve"> </w:t>
      </w:r>
      <w:r w:rsidRPr="007469FA">
        <w:t xml:space="preserve">information such as a </w:t>
      </w:r>
      <w:r>
        <w:t xml:space="preserve">[INSTRUCT ONLY ON WHAT IS APPLICABLE] </w:t>
      </w:r>
      <w:r w:rsidRPr="007469FA">
        <w:t>formula, pattern, compilation, program, device, method, technique, process, business strategy, customer list, invention, or scientific, technical, financial or customer data</w:t>
      </w:r>
      <w:r>
        <w:t>]</w:t>
      </w:r>
      <w:r w:rsidR="00E16385">
        <w:t xml:space="preserve">. </w:t>
      </w:r>
      <w:r>
        <w:t>A trade secret gives actual or potential economic advantage to an employer, such as PLF, to the extent it is secret</w:t>
      </w:r>
      <w:r w:rsidR="00E16385">
        <w:t xml:space="preserve">. </w:t>
      </w:r>
      <w:r>
        <w:t>PLF must show that PLF was protecting the trade secret from being disclosed without PLF’s consent at the time [he/she/it] claims DFT took [his/her/its] trade secret;</w:t>
      </w:r>
      <w:r>
        <w:rPr>
          <w:rStyle w:val="FootnoteReference"/>
          <w:rFonts w:cs="Segoe UI Historic"/>
        </w:rPr>
        <w:footnoteReference w:id="8"/>
      </w:r>
      <w:r>
        <w:t xml:space="preserve">  or</w:t>
      </w:r>
    </w:p>
    <w:p w14:paraId="1E6193F9" w14:textId="33C9D729" w:rsidR="009337A4" w:rsidRPr="00440A0D" w:rsidRDefault="009337A4" w:rsidP="005D6F2C">
      <w:pPr>
        <w:pStyle w:val="JuryInstructionIndent"/>
      </w:pPr>
      <w:r w:rsidRPr="00982C62">
        <w:t>PLF</w:t>
      </w:r>
      <w:r>
        <w:rPr>
          <w:b/>
        </w:rPr>
        <w:t xml:space="preserve"> </w:t>
      </w:r>
      <w:r w:rsidRPr="00C36247">
        <w:t>may show that</w:t>
      </w:r>
      <w:r>
        <w:t xml:space="preserve"> [he/she/</w:t>
      </w:r>
      <w:r w:rsidRPr="00C36247">
        <w:t>it</w:t>
      </w:r>
      <w:r>
        <w:t>]</w:t>
      </w:r>
      <w:r w:rsidRPr="00C36247">
        <w:t xml:space="preserve"> needed</w:t>
      </w:r>
      <w:r w:rsidRPr="00982C62">
        <w:t xml:space="preserve"> </w:t>
      </w:r>
      <w:r w:rsidRPr="0048022D">
        <w:t xml:space="preserve">to protect any other confidential business information </w:t>
      </w:r>
      <w:r>
        <w:t xml:space="preserve">to </w:t>
      </w:r>
      <w:r w:rsidRPr="0048022D">
        <w:t>which DFT had access to during [his/her] employment</w:t>
      </w:r>
      <w:r w:rsidR="00E16385">
        <w:rPr>
          <w:b/>
        </w:rPr>
        <w:t xml:space="preserve">. </w:t>
      </w:r>
      <w:r w:rsidRPr="00440A0D">
        <w:rPr>
          <w:snapToGrid w:val="0"/>
        </w:rPr>
        <w:t>Confidential information may consist of customer or supplier lists, marketing studies and strategies, future plans for expansion, o</w:t>
      </w:r>
      <w:r>
        <w:rPr>
          <w:snapToGrid w:val="0"/>
        </w:rPr>
        <w:t>r new merchandising techniques</w:t>
      </w:r>
      <w:r w:rsidR="00E16385">
        <w:rPr>
          <w:snapToGrid w:val="0"/>
        </w:rPr>
        <w:t xml:space="preserve">. </w:t>
      </w:r>
      <w:r>
        <w:rPr>
          <w:snapToGrid w:val="0"/>
        </w:rPr>
        <w:t>T</w:t>
      </w:r>
      <w:r w:rsidRPr="00440A0D">
        <w:rPr>
          <w:snapToGrid w:val="0"/>
        </w:rPr>
        <w:t>he employer must at all times have treated the information as confidential and protected it from disclosure.</w:t>
      </w:r>
      <w:r>
        <w:rPr>
          <w:rStyle w:val="FootnoteReference"/>
          <w:rFonts w:cs="Segoe UI Historic"/>
          <w:snapToGrid w:val="0"/>
        </w:rPr>
        <w:footnoteReference w:id="9"/>
      </w:r>
      <w:r w:rsidRPr="00440A0D">
        <w:rPr>
          <w:snapToGrid w:val="0"/>
        </w:rPr>
        <w:t xml:space="preserve"> </w:t>
      </w:r>
    </w:p>
    <w:p w14:paraId="207677BF" w14:textId="77777777" w:rsidR="009337A4" w:rsidRDefault="009337A4" w:rsidP="009337A4">
      <w:pPr>
        <w:pStyle w:val="JuryInstructionText"/>
        <w:rPr>
          <w:b/>
        </w:rPr>
      </w:pPr>
      <w:r w:rsidRPr="0048022D">
        <w:t>In determining whether particular information qualifies as a trade secret or other confidential business information, you should consider:</w:t>
      </w:r>
    </w:p>
    <w:p w14:paraId="7BDCAE61" w14:textId="77777777" w:rsidR="009337A4" w:rsidRDefault="009337A4" w:rsidP="009337A4">
      <w:pPr>
        <w:pStyle w:val="JuryInstructionBullets"/>
        <w:ind w:left="1584"/>
      </w:pPr>
      <w:r w:rsidRPr="00C275BF">
        <w:t>How widely do people outside PLF’s business already know the information?</w:t>
      </w:r>
    </w:p>
    <w:p w14:paraId="5C1AB0D4" w14:textId="77777777" w:rsidR="009337A4" w:rsidRPr="00C275BF" w:rsidRDefault="009337A4" w:rsidP="009337A4">
      <w:pPr>
        <w:pStyle w:val="JuryInstructionBullets"/>
        <w:ind w:left="1584"/>
        <w:rPr>
          <w:b/>
        </w:rPr>
      </w:pPr>
      <w:r w:rsidRPr="00C275BF">
        <w:t>To what extent do PLF’s employees know the information</w:t>
      </w:r>
      <w:r>
        <w:t>?</w:t>
      </w:r>
    </w:p>
    <w:p w14:paraId="06FE9CF2" w14:textId="77777777" w:rsidR="009337A4" w:rsidRPr="00C275BF" w:rsidRDefault="009337A4" w:rsidP="009337A4">
      <w:pPr>
        <w:pStyle w:val="JuryInstructionBullets"/>
        <w:ind w:left="1584"/>
        <w:rPr>
          <w:b/>
        </w:rPr>
      </w:pPr>
      <w:r w:rsidRPr="00C275BF">
        <w:t xml:space="preserve">What did PLF do </w:t>
      </w:r>
      <w:r>
        <w:t>to keep the information secret</w:t>
      </w:r>
      <w:r w:rsidRPr="00C275BF">
        <w:t>?</w:t>
      </w:r>
    </w:p>
    <w:p w14:paraId="70D7A0EA" w14:textId="77777777" w:rsidR="009337A4" w:rsidRPr="00C275BF" w:rsidRDefault="009337A4" w:rsidP="009337A4">
      <w:pPr>
        <w:pStyle w:val="JuryInstructionBullets"/>
        <w:ind w:left="1584"/>
        <w:rPr>
          <w:b/>
        </w:rPr>
      </w:pPr>
      <w:r w:rsidRPr="00C275BF">
        <w:lastRenderedPageBreak/>
        <w:t xml:space="preserve">How valuable was the information to PLF and </w:t>
      </w:r>
      <w:r>
        <w:t>[his/her/</w:t>
      </w:r>
      <w:r w:rsidRPr="00C275BF">
        <w:t>its</w:t>
      </w:r>
      <w:r>
        <w:t>]</w:t>
      </w:r>
      <w:r w:rsidRPr="00C275BF">
        <w:t xml:space="preserve"> competitors?</w:t>
      </w:r>
    </w:p>
    <w:p w14:paraId="1B452945" w14:textId="77777777" w:rsidR="009337A4" w:rsidRDefault="009337A4" w:rsidP="009337A4">
      <w:pPr>
        <w:pStyle w:val="JuryInstructionBullets"/>
        <w:ind w:left="1584"/>
        <w:rPr>
          <w:b/>
        </w:rPr>
      </w:pPr>
      <w:r w:rsidRPr="00C275BF">
        <w:t>How much money and effort did PLF expend to develop the information</w:t>
      </w:r>
      <w:r>
        <w:t>?</w:t>
      </w:r>
    </w:p>
    <w:p w14:paraId="474D0413" w14:textId="77777777" w:rsidR="009337A4" w:rsidRPr="00C275BF" w:rsidRDefault="009337A4" w:rsidP="009337A4">
      <w:pPr>
        <w:pStyle w:val="JuryInstructionBullets"/>
        <w:ind w:left="1584"/>
        <w:rPr>
          <w:b/>
        </w:rPr>
      </w:pPr>
      <w:r>
        <w:t>How easily could other people develop or properly acquire the information?</w:t>
      </w:r>
    </w:p>
    <w:p w14:paraId="70A215BB" w14:textId="77777777" w:rsidR="009337A4" w:rsidRPr="00211331" w:rsidRDefault="009337A4" w:rsidP="00E16385">
      <w:pPr>
        <w:pStyle w:val="JuryInst3"/>
        <w:rPr>
          <w:snapToGrid w:val="0"/>
        </w:rPr>
      </w:pPr>
      <w:r w:rsidRPr="00211331">
        <w:rPr>
          <w:snapToGrid w:val="0"/>
        </w:rPr>
        <w:t>Harm</w:t>
      </w:r>
    </w:p>
    <w:p w14:paraId="1528960E" w14:textId="59F7E775" w:rsidR="009337A4" w:rsidRPr="00DF5186" w:rsidRDefault="009337A4" w:rsidP="009337A4">
      <w:pPr>
        <w:pStyle w:val="JuryInstructionText"/>
        <w:rPr>
          <w:b/>
        </w:rPr>
      </w:pPr>
      <w:r w:rsidRPr="000305CB">
        <w:t xml:space="preserve">If the </w:t>
      </w:r>
      <w:r>
        <w:t>PLF</w:t>
      </w:r>
      <w:r w:rsidRPr="000305CB">
        <w:t xml:space="preserve"> is entitled to recover on </w:t>
      </w:r>
      <w:r>
        <w:t>[his/her/</w:t>
      </w:r>
      <w:r w:rsidRPr="000305CB">
        <w:t>its</w:t>
      </w:r>
      <w:r>
        <w:t>]</w:t>
      </w:r>
      <w:r w:rsidRPr="000305CB">
        <w:t xml:space="preserve"> claim of </w:t>
      </w:r>
      <w:r>
        <w:t>violation</w:t>
      </w:r>
      <w:r w:rsidRPr="000305CB">
        <w:t xml:space="preserve"> of a postemployment noncompetition agreeme</w:t>
      </w:r>
      <w:r>
        <w:t xml:space="preserve">nt, you may award the PLF </w:t>
      </w:r>
      <w:r w:rsidRPr="000305CB">
        <w:t xml:space="preserve">damages for the profits </w:t>
      </w:r>
      <w:r>
        <w:t>[he/she/it]</w:t>
      </w:r>
      <w:r w:rsidRPr="000305CB">
        <w:t xml:space="preserve"> has lost, if any, </w:t>
      </w:r>
      <w:r>
        <w:t>as a result of DFT’s acts.</w:t>
      </w:r>
      <w:r>
        <w:rPr>
          <w:rStyle w:val="FootnoteReference"/>
          <w:rFonts w:cs="Segoe UI Historic"/>
        </w:rPr>
        <w:footnoteReference w:id="10"/>
      </w:r>
      <w:r w:rsidRPr="000305CB">
        <w:t xml:space="preserve"> In determining the amount of any such award for lost profits,</w:t>
      </w:r>
      <w:r>
        <w:t xml:space="preserve"> first, determine </w:t>
      </w:r>
      <w:r w:rsidRPr="000305CB">
        <w:t>the</w:t>
      </w:r>
      <w:r>
        <w:t xml:space="preserve"> amount of sales PLF</w:t>
      </w:r>
      <w:r w:rsidRPr="000305CB">
        <w:t xml:space="preserve"> would have achieved but for the </w:t>
      </w:r>
      <w:r>
        <w:t>DFT’s competition with PLF</w:t>
      </w:r>
      <w:r w:rsidR="00E16385">
        <w:t xml:space="preserve">. </w:t>
      </w:r>
      <w:r>
        <w:t>Then</w:t>
      </w:r>
      <w:r w:rsidRPr="000305CB">
        <w:t xml:space="preserve">, deduct any costs and expenses that you find that the </w:t>
      </w:r>
      <w:r>
        <w:t>PLF</w:t>
      </w:r>
      <w:r w:rsidRPr="000305CB">
        <w:t xml:space="preserve"> would have incurred in </w:t>
      </w:r>
      <w:r>
        <w:t xml:space="preserve">making </w:t>
      </w:r>
      <w:r w:rsidRPr="000305CB">
        <w:t>those sales</w:t>
      </w:r>
      <w:r>
        <w:t>.</w:t>
      </w:r>
    </w:p>
    <w:p w14:paraId="511158F2" w14:textId="77777777" w:rsidR="009337A4" w:rsidRPr="00211331" w:rsidRDefault="009337A4" w:rsidP="005D6F2C">
      <w:pPr>
        <w:pStyle w:val="JuryInst3"/>
      </w:pPr>
      <w:r w:rsidRPr="00211331">
        <w:t>Contract Defenses</w:t>
      </w:r>
    </w:p>
    <w:p w14:paraId="21F33DD6" w14:textId="5101DD30" w:rsidR="00B75859" w:rsidRPr="009337A4" w:rsidRDefault="009337A4" w:rsidP="005D6F2C">
      <w:pPr>
        <w:pStyle w:val="JuryInstructionText"/>
      </w:pPr>
      <w:r w:rsidRPr="00FE7BA9">
        <w:t xml:space="preserve">See </w:t>
      </w:r>
      <w:r w:rsidR="005D6F2C">
        <w:t xml:space="preserve">Model </w:t>
      </w:r>
      <w:r w:rsidRPr="00FE7BA9">
        <w:t>Instruction on Contract Defenses</w:t>
      </w:r>
      <w:r>
        <w:t>.</w:t>
      </w:r>
    </w:p>
    <w:sectPr w:rsidR="00B75859" w:rsidRPr="009337A4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B351" w14:textId="77777777" w:rsidR="00484A6A" w:rsidRDefault="00484A6A" w:rsidP="00F74A90">
      <w:r>
        <w:separator/>
      </w:r>
    </w:p>
  </w:endnote>
  <w:endnote w:type="continuationSeparator" w:id="0">
    <w:p w14:paraId="54822275" w14:textId="77777777" w:rsidR="00484A6A" w:rsidRDefault="00484A6A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6952" w14:textId="77777777" w:rsidR="00484A6A" w:rsidRDefault="00484A6A" w:rsidP="00F74A90">
      <w:r>
        <w:separator/>
      </w:r>
    </w:p>
  </w:footnote>
  <w:footnote w:type="continuationSeparator" w:id="0">
    <w:p w14:paraId="414C184C" w14:textId="77777777" w:rsidR="00484A6A" w:rsidRDefault="00484A6A" w:rsidP="00F74A90">
      <w:r>
        <w:continuationSeparator/>
      </w:r>
    </w:p>
  </w:footnote>
  <w:footnote w:id="1">
    <w:p w14:paraId="1BB05759" w14:textId="156B257B" w:rsidR="009337A4" w:rsidRDefault="009337A4" w:rsidP="009337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6385">
        <w:tab/>
      </w:r>
      <w:r>
        <w:t>This model instruction is limited to employment noncompetition agreements</w:t>
      </w:r>
      <w:r w:rsidR="00E16385">
        <w:t xml:space="preserve"> that were entered into before October 1, 2018</w:t>
      </w:r>
      <w:r>
        <w:t>.</w:t>
      </w:r>
      <w:r w:rsidR="005D6F2C">
        <w:t xml:space="preserve"> Such agreements entered into on or after October 1, 2018, are governed by the “Massachusetts Noncompetition Agreement Act,” G.L. c. 149, § 24L; a separate model instruction applies to such agreements.</w:t>
      </w:r>
    </w:p>
  </w:footnote>
  <w:footnote w:id="2">
    <w:p w14:paraId="61ECBD20" w14:textId="4A89A597" w:rsidR="00E16385" w:rsidRDefault="00E16385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napToGrid w:val="0"/>
        </w:rPr>
        <w:t xml:space="preserve">See generally </w:t>
      </w:r>
      <w:r w:rsidRPr="000D5EA0">
        <w:rPr>
          <w:i/>
          <w:iCs/>
          <w:snapToGrid w:val="0"/>
        </w:rPr>
        <w:t>Boulanger</w:t>
      </w:r>
      <w:r>
        <w:rPr>
          <w:snapToGrid w:val="0"/>
        </w:rPr>
        <w:t xml:space="preserve"> v. </w:t>
      </w:r>
      <w:r w:rsidRPr="000D5EA0">
        <w:rPr>
          <w:i/>
          <w:iCs/>
          <w:snapToGrid w:val="0"/>
        </w:rPr>
        <w:t>Dunkin Donuts, Inc.,</w:t>
      </w:r>
      <w:r>
        <w:rPr>
          <w:snapToGrid w:val="0"/>
        </w:rPr>
        <w:t xml:space="preserve"> 442 Mass. 635, 639 (2004); </w:t>
      </w:r>
      <w:r w:rsidRPr="000D5EA0">
        <w:rPr>
          <w:i/>
          <w:iCs/>
          <w:snapToGrid w:val="0"/>
        </w:rPr>
        <w:t>Analogic Corp.</w:t>
      </w:r>
      <w:r>
        <w:rPr>
          <w:snapToGrid w:val="0"/>
        </w:rPr>
        <w:t xml:space="preserve"> v. </w:t>
      </w:r>
      <w:r w:rsidRPr="000D5EA0">
        <w:rPr>
          <w:i/>
          <w:iCs/>
          <w:snapToGrid w:val="0"/>
        </w:rPr>
        <w:t>Data Translation, Inc.</w:t>
      </w:r>
      <w:r w:rsidRPr="000D5EA0">
        <w:rPr>
          <w:i/>
          <w:iCs/>
        </w:rPr>
        <w:t>,</w:t>
      </w:r>
      <w:r>
        <w:t xml:space="preserve"> </w:t>
      </w:r>
      <w:r>
        <w:rPr>
          <w:snapToGrid w:val="0"/>
        </w:rPr>
        <w:t xml:space="preserve">371 Mass. 643, 647 (1976); </w:t>
      </w:r>
      <w:r w:rsidRPr="000D5EA0">
        <w:rPr>
          <w:i/>
          <w:iCs/>
          <w:snapToGrid w:val="0"/>
        </w:rPr>
        <w:t>Marine Contractors Co.</w:t>
      </w:r>
      <w:r>
        <w:rPr>
          <w:snapToGrid w:val="0"/>
        </w:rPr>
        <w:t xml:space="preserve"> v. </w:t>
      </w:r>
      <w:r w:rsidRPr="000D5EA0">
        <w:rPr>
          <w:i/>
          <w:iCs/>
          <w:snapToGrid w:val="0"/>
        </w:rPr>
        <w:t>Hurley</w:t>
      </w:r>
      <w:r>
        <w:t xml:space="preserve">, </w:t>
      </w:r>
      <w:r>
        <w:rPr>
          <w:snapToGrid w:val="0"/>
        </w:rPr>
        <w:t xml:space="preserve">365 Mass. 280, 287 (1974). See also </w:t>
      </w:r>
      <w:r w:rsidRPr="000D5EA0">
        <w:rPr>
          <w:i/>
          <w:iCs/>
          <w:snapToGrid w:val="0"/>
        </w:rPr>
        <w:t>Struck</w:t>
      </w:r>
      <w:r>
        <w:rPr>
          <w:snapToGrid w:val="0"/>
        </w:rPr>
        <w:t xml:space="preserve"> v. </w:t>
      </w:r>
      <w:r w:rsidRPr="000D5EA0">
        <w:rPr>
          <w:i/>
          <w:iCs/>
          <w:snapToGrid w:val="0"/>
        </w:rPr>
        <w:t>Plymouth Mortgage Co.</w:t>
      </w:r>
      <w:r w:rsidRPr="000D5EA0">
        <w:rPr>
          <w:i/>
          <w:iCs/>
        </w:rPr>
        <w:t>,</w:t>
      </w:r>
      <w:r>
        <w:t xml:space="preserve"> 4</w:t>
      </w:r>
      <w:r>
        <w:rPr>
          <w:snapToGrid w:val="0"/>
        </w:rPr>
        <w:t>14 Mass. 118, 122 (1993).</w:t>
      </w:r>
    </w:p>
  </w:footnote>
  <w:footnote w:id="3">
    <w:p w14:paraId="7A1F6C73" w14:textId="77777777" w:rsidR="009337A4" w:rsidRPr="00375313" w:rsidRDefault="009337A4" w:rsidP="009337A4">
      <w:pPr>
        <w:pStyle w:val="FootnoteText"/>
      </w:pPr>
      <w:r w:rsidRPr="00375313">
        <w:rPr>
          <w:rStyle w:val="FootnoteReference"/>
          <w:bCs/>
        </w:rPr>
        <w:footnoteRef/>
      </w:r>
      <w:r w:rsidRPr="00375313">
        <w:t xml:space="preserve"> </w:t>
      </w:r>
      <w:r>
        <w:tab/>
      </w:r>
      <w:r w:rsidRPr="00375313">
        <w:t xml:space="preserve">See </w:t>
      </w:r>
      <w:r w:rsidRPr="00240CED">
        <w:rPr>
          <w:i/>
          <w:iCs/>
        </w:rPr>
        <w:t>Boulanger</w:t>
      </w:r>
      <w:r w:rsidRPr="00375313">
        <w:t>, supra at 639.</w:t>
      </w:r>
    </w:p>
  </w:footnote>
  <w:footnote w:id="4">
    <w:p w14:paraId="2290822C" w14:textId="77777777" w:rsidR="009337A4" w:rsidRPr="00375313" w:rsidRDefault="009337A4" w:rsidP="009337A4">
      <w:pPr>
        <w:pStyle w:val="FootnoteText"/>
      </w:pPr>
      <w:r w:rsidRPr="00375313">
        <w:rPr>
          <w:rStyle w:val="FootnoteReference"/>
          <w:bCs/>
        </w:rPr>
        <w:footnoteRef/>
      </w:r>
      <w:r w:rsidRPr="00375313">
        <w:t xml:space="preserve"> </w:t>
      </w:r>
      <w:r>
        <w:tab/>
      </w:r>
      <w:r w:rsidRPr="00375313">
        <w:t xml:space="preserve">See </w:t>
      </w:r>
      <w:r w:rsidRPr="00240CED">
        <w:rPr>
          <w:i/>
          <w:iCs/>
        </w:rPr>
        <w:t>Marine Contractors Co.</w:t>
      </w:r>
      <w:r w:rsidRPr="00375313">
        <w:t xml:space="preserve"> v. </w:t>
      </w:r>
      <w:r w:rsidRPr="00240CED">
        <w:rPr>
          <w:i/>
          <w:iCs/>
        </w:rPr>
        <w:t>Hurley,</w:t>
      </w:r>
      <w:r w:rsidRPr="00375313">
        <w:t xml:space="preserve"> 365 Mass. 280, 287 (1974) (“[W]hat is reasonable depends on the facts of each case.”); see also </w:t>
      </w:r>
      <w:r w:rsidRPr="00240CED">
        <w:rPr>
          <w:i/>
          <w:iCs/>
        </w:rPr>
        <w:t>Fraelick</w:t>
      </w:r>
      <w:r w:rsidRPr="00375313">
        <w:t xml:space="preserve"> v. </w:t>
      </w:r>
      <w:r w:rsidRPr="00240CED">
        <w:rPr>
          <w:i/>
          <w:iCs/>
        </w:rPr>
        <w:t>Perkett PR, Inc.,</w:t>
      </w:r>
      <w:r w:rsidRPr="00375313">
        <w:t xml:space="preserve"> 83 Mass. App. Ct. 698, 709 (2013) (citing another case for this same proposition).</w:t>
      </w:r>
    </w:p>
  </w:footnote>
  <w:footnote w:id="5">
    <w:p w14:paraId="1CDE9858" w14:textId="77777777" w:rsidR="009337A4" w:rsidRPr="008C6CFF" w:rsidRDefault="009337A4" w:rsidP="009337A4">
      <w:pPr>
        <w:pStyle w:val="FootnoteText"/>
      </w:pPr>
      <w:r w:rsidRPr="008C6CFF">
        <w:rPr>
          <w:rStyle w:val="FootnoteReference"/>
          <w:rFonts w:cs="Segoe UI Historic"/>
        </w:rPr>
        <w:footnoteRef/>
      </w:r>
      <w:r w:rsidRPr="008C6CFF">
        <w:t xml:space="preserve"> </w:t>
      </w:r>
      <w:r>
        <w:tab/>
      </w:r>
      <w:r w:rsidRPr="00240CED">
        <w:rPr>
          <w:iCs/>
        </w:rPr>
        <w:t>See, e.g.,</w:t>
      </w:r>
      <w:r w:rsidRPr="008C6CFF">
        <w:t xml:space="preserve"> </w:t>
      </w:r>
      <w:r w:rsidRPr="008C6CFF">
        <w:rPr>
          <w:i/>
        </w:rPr>
        <w:t xml:space="preserve">All Stainless, Inc. </w:t>
      </w:r>
      <w:r w:rsidRPr="00240CED">
        <w:rPr>
          <w:iCs/>
        </w:rPr>
        <w:t>v.</w:t>
      </w:r>
      <w:r w:rsidRPr="008C6CFF">
        <w:rPr>
          <w:i/>
        </w:rPr>
        <w:t xml:space="preserve"> Colby</w:t>
      </w:r>
      <w:r>
        <w:t xml:space="preserve">, 364 Mass. 773, 779–80 (1974); </w:t>
      </w:r>
      <w:r w:rsidRPr="00240CED">
        <w:rPr>
          <w:iCs/>
        </w:rPr>
        <w:t>see also</w:t>
      </w:r>
      <w:r w:rsidRPr="008C6CFF">
        <w:rPr>
          <w:i/>
        </w:rPr>
        <w:t xml:space="preserve"> Kroeger </w:t>
      </w:r>
      <w:r w:rsidRPr="00240CED">
        <w:rPr>
          <w:iCs/>
        </w:rPr>
        <w:t>v.</w:t>
      </w:r>
      <w:r w:rsidRPr="008C6CFF">
        <w:rPr>
          <w:i/>
        </w:rPr>
        <w:t xml:space="preserve"> Stop &amp; Shop Cos.</w:t>
      </w:r>
      <w:r w:rsidRPr="008C6CFF">
        <w:t xml:space="preserve">, 13 Mass. App. Ct. 310, 317 (1982) (observing that </w:t>
      </w:r>
      <w:r w:rsidRPr="008C6CFF">
        <w:rPr>
          <w:spacing w:val="-2"/>
        </w:rPr>
        <w:t xml:space="preserve">“[r]estraints upon the competitive activity </w:t>
      </w:r>
      <w:r w:rsidRPr="008C6CFF">
        <w:rPr>
          <w:i/>
          <w:spacing w:val="-2"/>
        </w:rPr>
        <w:t>of a key executive</w:t>
      </w:r>
      <w:r w:rsidRPr="008C6CFF">
        <w:rPr>
          <w:spacing w:val="-2"/>
        </w:rPr>
        <w:t xml:space="preserve"> may range beyond the </w:t>
      </w:r>
      <w:r w:rsidRPr="008C6CFF">
        <w:t>precise geographical area of activity at the time of the employee’s departure”).</w:t>
      </w:r>
    </w:p>
  </w:footnote>
  <w:footnote w:id="6">
    <w:p w14:paraId="228730F3" w14:textId="77777777" w:rsidR="009337A4" w:rsidRPr="008C6CFF" w:rsidRDefault="009337A4" w:rsidP="009337A4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C6CFF">
        <w:t xml:space="preserve">Compare </w:t>
      </w:r>
      <w:r w:rsidRPr="00240CED">
        <w:rPr>
          <w:i/>
          <w:iCs/>
        </w:rPr>
        <w:t xml:space="preserve">Blackwell </w:t>
      </w:r>
      <w:r w:rsidRPr="008C6CFF">
        <w:t xml:space="preserve">v. </w:t>
      </w:r>
      <w:r w:rsidRPr="00240CED">
        <w:rPr>
          <w:i/>
          <w:iCs/>
        </w:rPr>
        <w:t>E.M. Helides, Jr., Inc.,</w:t>
      </w:r>
      <w:r w:rsidRPr="008C6CFF">
        <w:t xml:space="preserve"> 368 Mass. 225, 229 (1975), </w:t>
      </w:r>
      <w:r w:rsidRPr="00240CED">
        <w:rPr>
          <w:i/>
          <w:iCs/>
        </w:rPr>
        <w:t>and Novelty Bias Binding Co.</w:t>
      </w:r>
      <w:r w:rsidRPr="008C6CFF">
        <w:t xml:space="preserve"> v. </w:t>
      </w:r>
      <w:r w:rsidRPr="00240CED">
        <w:rPr>
          <w:i/>
          <w:iCs/>
        </w:rPr>
        <w:t>Shervin,</w:t>
      </w:r>
      <w:r>
        <w:t xml:space="preserve"> 342 Mass. 714, 718 (1961</w:t>
      </w:r>
      <w:r w:rsidRPr="008C6CFF">
        <w:t xml:space="preserve">), and </w:t>
      </w:r>
      <w:r w:rsidRPr="00240CED">
        <w:rPr>
          <w:i/>
          <w:iCs/>
        </w:rPr>
        <w:t>Kroeger</w:t>
      </w:r>
      <w:r w:rsidRPr="008C6CFF">
        <w:t xml:space="preserve"> </w:t>
      </w:r>
      <w:r>
        <w:t>supra at</w:t>
      </w:r>
      <w:r w:rsidRPr="008C6CFF">
        <w:t xml:space="preserve"> 318</w:t>
      </w:r>
      <w:r>
        <w:t>.</w:t>
      </w:r>
    </w:p>
  </w:footnote>
  <w:footnote w:id="7">
    <w:p w14:paraId="376DB0F8" w14:textId="77777777" w:rsidR="009337A4" w:rsidRPr="0048022D" w:rsidRDefault="009337A4" w:rsidP="009337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8022D">
        <w:rPr>
          <w:snapToGrid w:val="0"/>
        </w:rPr>
        <w:t>See, e.g.</w:t>
      </w:r>
      <w:r w:rsidRPr="0048022D">
        <w:t xml:space="preserve">, </w:t>
      </w:r>
      <w:r w:rsidRPr="00240CED">
        <w:rPr>
          <w:i/>
          <w:iCs/>
          <w:snapToGrid w:val="0"/>
        </w:rPr>
        <w:t>Boulanger</w:t>
      </w:r>
      <w:r w:rsidRPr="0048022D">
        <w:rPr>
          <w:snapToGrid w:val="0"/>
        </w:rPr>
        <w:t xml:space="preserve"> v. </w:t>
      </w:r>
      <w:r w:rsidRPr="00240CED">
        <w:rPr>
          <w:i/>
          <w:iCs/>
          <w:snapToGrid w:val="0"/>
        </w:rPr>
        <w:t>Dunkin Donuts, Inc.,</w:t>
      </w:r>
      <w:r w:rsidRPr="0048022D">
        <w:rPr>
          <w:snapToGrid w:val="0"/>
        </w:rPr>
        <w:t xml:space="preserve"> 442 Mass. 635, 639 (2004); see also </w:t>
      </w:r>
      <w:r w:rsidRPr="00240CED">
        <w:rPr>
          <w:i/>
          <w:iCs/>
          <w:snapToGrid w:val="0"/>
        </w:rPr>
        <w:t>Get in Shape Franchise, Inc.</w:t>
      </w:r>
      <w:r w:rsidRPr="0048022D">
        <w:rPr>
          <w:snapToGrid w:val="0"/>
        </w:rPr>
        <w:t xml:space="preserve"> v. </w:t>
      </w:r>
      <w:r w:rsidRPr="00240CED">
        <w:rPr>
          <w:i/>
          <w:iCs/>
          <w:snapToGrid w:val="0"/>
        </w:rPr>
        <w:t>TFL Fishers, LLC,</w:t>
      </w:r>
      <w:r w:rsidRPr="0048022D">
        <w:rPr>
          <w:snapToGrid w:val="0"/>
        </w:rPr>
        <w:t xml:space="preserve"> 167 F. Supp. 3d 173, 198–99 (D. Mass. 2016).</w:t>
      </w:r>
    </w:p>
    <w:p w14:paraId="062AFA01" w14:textId="77777777" w:rsidR="009337A4" w:rsidRDefault="009337A4" w:rsidP="009337A4">
      <w:pPr>
        <w:pStyle w:val="FootnoteText"/>
      </w:pPr>
    </w:p>
  </w:footnote>
  <w:footnote w:id="8">
    <w:p w14:paraId="39C5BF05" w14:textId="77777777" w:rsidR="009337A4" w:rsidRPr="00240CED" w:rsidRDefault="009337A4" w:rsidP="009337A4">
      <w:pPr>
        <w:pStyle w:val="FootnoteText"/>
      </w:pPr>
      <w:r w:rsidRPr="00240CED">
        <w:rPr>
          <w:rStyle w:val="FootnoteReference"/>
          <w:bCs/>
        </w:rPr>
        <w:footnoteRef/>
      </w:r>
      <w:r w:rsidRPr="00240CED">
        <w:t xml:space="preserve"> </w:t>
      </w:r>
      <w:r w:rsidRPr="00240CED">
        <w:tab/>
        <w:t>See G.L. c. 93, § 42(4)</w:t>
      </w:r>
      <w:r>
        <w:t>.</w:t>
      </w:r>
    </w:p>
  </w:footnote>
  <w:footnote w:id="9">
    <w:p w14:paraId="723E07AB" w14:textId="77777777" w:rsidR="009337A4" w:rsidRDefault="009337A4" w:rsidP="009337A4">
      <w:pPr>
        <w:pStyle w:val="FootnoteText"/>
      </w:pPr>
      <w:r w:rsidRPr="0048022D">
        <w:rPr>
          <w:rStyle w:val="FootnoteReference"/>
          <w:rFonts w:cs="Segoe UI Historic"/>
        </w:rPr>
        <w:footnoteRef/>
      </w:r>
      <w:r w:rsidRPr="0048022D">
        <w:t xml:space="preserve"> </w:t>
      </w:r>
      <w:r>
        <w:tab/>
      </w:r>
      <w:r w:rsidRPr="00240CED">
        <w:rPr>
          <w:i/>
          <w:iCs/>
          <w:snapToGrid w:val="0"/>
        </w:rPr>
        <w:t xml:space="preserve">USM </w:t>
      </w:r>
      <w:r w:rsidRPr="00240CED">
        <w:rPr>
          <w:i/>
          <w:iCs/>
          <w:snapToGrid w:val="0"/>
          <w:spacing w:val="-2"/>
        </w:rPr>
        <w:t>Corp.</w:t>
      </w:r>
      <w:r w:rsidRPr="0048022D">
        <w:rPr>
          <w:snapToGrid w:val="0"/>
          <w:spacing w:val="-2"/>
        </w:rPr>
        <w:t xml:space="preserve"> v. </w:t>
      </w:r>
      <w:r w:rsidRPr="00240CED">
        <w:rPr>
          <w:i/>
          <w:iCs/>
          <w:snapToGrid w:val="0"/>
          <w:spacing w:val="-2"/>
        </w:rPr>
        <w:t>Marson Fastener Corp.,</w:t>
      </w:r>
      <w:r w:rsidRPr="0048022D">
        <w:rPr>
          <w:snapToGrid w:val="0"/>
          <w:spacing w:val="-2"/>
        </w:rPr>
        <w:t xml:space="preserve"> 379 Mass. 90, 97 (1979) (</w:t>
      </w:r>
      <w:r w:rsidRPr="0048022D">
        <w:rPr>
          <w:snapToGrid w:val="0"/>
        </w:rPr>
        <w:t xml:space="preserve">But see </w:t>
      </w:r>
      <w:r w:rsidRPr="00240CED">
        <w:rPr>
          <w:i/>
          <w:iCs/>
          <w:snapToGrid w:val="0"/>
        </w:rPr>
        <w:t>Boulanger</w:t>
      </w:r>
      <w:r w:rsidRPr="0048022D">
        <w:rPr>
          <w:snapToGrid w:val="0"/>
        </w:rPr>
        <w:t xml:space="preserve"> v. </w:t>
      </w:r>
      <w:r w:rsidRPr="00240CED">
        <w:rPr>
          <w:i/>
          <w:iCs/>
          <w:snapToGrid w:val="0"/>
        </w:rPr>
        <w:t>Dunkin Donuts Inc.,</w:t>
      </w:r>
      <w:r w:rsidRPr="0048022D">
        <w:rPr>
          <w:snapToGrid w:val="0"/>
        </w:rPr>
        <w:t xml:space="preserve"> 442 Mass. 635, 642 (2004</w:t>
      </w:r>
      <w:r>
        <w:rPr>
          <w:snapToGrid w:val="0"/>
        </w:rPr>
        <w:t>)).</w:t>
      </w:r>
    </w:p>
  </w:footnote>
  <w:footnote w:id="10">
    <w:p w14:paraId="67CEC2C8" w14:textId="75430E1E" w:rsidR="009337A4" w:rsidRDefault="009337A4" w:rsidP="009337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84D62">
        <w:t xml:space="preserve">See, e.g., </w:t>
      </w:r>
      <w:r w:rsidRPr="00240CED">
        <w:rPr>
          <w:i/>
          <w:iCs/>
        </w:rPr>
        <w:t>Mailman’s Steam Carpet Cleaning Corp.</w:t>
      </w:r>
      <w:r w:rsidRPr="00684D62">
        <w:t xml:space="preserve"> v. </w:t>
      </w:r>
      <w:r w:rsidRPr="00240CED">
        <w:rPr>
          <w:i/>
          <w:iCs/>
        </w:rPr>
        <w:t>Lizotte</w:t>
      </w:r>
      <w:r w:rsidRPr="00684D62">
        <w:t>, 415 Mass. 86, 869 (1993</w:t>
      </w:r>
      <w:r>
        <w:t xml:space="preserve">); </w:t>
      </w:r>
      <w:r w:rsidRPr="00684D62">
        <w:t xml:space="preserve">see also </w:t>
      </w:r>
      <w:r w:rsidRPr="00240CED">
        <w:rPr>
          <w:i/>
          <w:iCs/>
        </w:rPr>
        <w:t>Frank D. Wayne Assocs., Inc.</w:t>
      </w:r>
      <w:r w:rsidRPr="00684D62">
        <w:t xml:space="preserve"> v. </w:t>
      </w:r>
      <w:r w:rsidRPr="00240CED">
        <w:rPr>
          <w:i/>
          <w:iCs/>
        </w:rPr>
        <w:t>Lussier,</w:t>
      </w:r>
      <w:r w:rsidRPr="00684D62">
        <w:t xml:space="preserve"> 16 Mass. App. Ct. 986, 988 (1983).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0E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F2B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525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BE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045D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E5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EC5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60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B03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948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0377"/>
    <w:multiLevelType w:val="multilevel"/>
    <w:tmpl w:val="D6EA8F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</w:rPr>
    </w:lvl>
    <w:lvl w:ilvl="5">
      <w:start w:val="1"/>
      <w:numFmt w:val="none"/>
      <w:lvlText w:val="%6."/>
      <w:lvlJc w:val="left"/>
      <w:pPr>
        <w:tabs>
          <w:tab w:val="num" w:pos="2520"/>
        </w:tabs>
        <w:ind w:left="2520" w:hanging="72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11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3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303039"/>
    <w:rsid w:val="00420329"/>
    <w:rsid w:val="004848CB"/>
    <w:rsid w:val="00484A6A"/>
    <w:rsid w:val="004A3BE2"/>
    <w:rsid w:val="00516C98"/>
    <w:rsid w:val="005446C0"/>
    <w:rsid w:val="00550249"/>
    <w:rsid w:val="00594672"/>
    <w:rsid w:val="00595CBC"/>
    <w:rsid w:val="00596E5A"/>
    <w:rsid w:val="005D6F2C"/>
    <w:rsid w:val="00676B44"/>
    <w:rsid w:val="007E7B77"/>
    <w:rsid w:val="00834E34"/>
    <w:rsid w:val="008733AA"/>
    <w:rsid w:val="0087579B"/>
    <w:rsid w:val="00880AA6"/>
    <w:rsid w:val="009337A4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5859"/>
    <w:rsid w:val="00BE7335"/>
    <w:rsid w:val="00BF0717"/>
    <w:rsid w:val="00BF08B5"/>
    <w:rsid w:val="00C43AEF"/>
    <w:rsid w:val="00C5670C"/>
    <w:rsid w:val="00CD7576"/>
    <w:rsid w:val="00D71FE5"/>
    <w:rsid w:val="00D8732A"/>
    <w:rsid w:val="00D9196F"/>
    <w:rsid w:val="00DB6604"/>
    <w:rsid w:val="00DC61A7"/>
    <w:rsid w:val="00E16385"/>
    <w:rsid w:val="00E174B0"/>
    <w:rsid w:val="00E41526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paragraph" w:customStyle="1" w:styleId="Instruction">
    <w:name w:val="Instruction"/>
    <w:basedOn w:val="Normal"/>
    <w:rsid w:val="009337A4"/>
    <w:pPr>
      <w:spacing w:before="240" w:line="280" w:lineRule="exact"/>
      <w:jc w:val="both"/>
    </w:pPr>
    <w:rPr>
      <w:rFonts w:ascii="Helvetica LT Std" w:hAnsi="Helvetica LT Std"/>
      <w:b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William Burke</cp:lastModifiedBy>
  <cp:revision>2</cp:revision>
  <dcterms:created xsi:type="dcterms:W3CDTF">2022-08-11T18:16:00Z</dcterms:created>
  <dcterms:modified xsi:type="dcterms:W3CDTF">2022-08-11T18:16:00Z</dcterms:modified>
</cp:coreProperties>
</file>