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69DB" w14:textId="41349623" w:rsidR="005E649C" w:rsidRPr="005D4166" w:rsidRDefault="005E649C" w:rsidP="005E649C">
      <w:pPr>
        <w:pStyle w:val="JuryInstructionText"/>
        <w:jc w:val="righ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Publication Date: March 28, 2022</w:t>
      </w:r>
    </w:p>
    <w:p w14:paraId="378BC0E3" w14:textId="0133AB2D" w:rsidR="005E649C" w:rsidRDefault="005E649C" w:rsidP="005E649C">
      <w:pPr>
        <w:pStyle w:val="JuryInst2"/>
      </w:pPr>
      <w:r>
        <w:t>Defamation – Public Figure</w:t>
      </w:r>
    </w:p>
    <w:p w14:paraId="13C6FCA1" w14:textId="157F36C8" w:rsidR="00846E1E" w:rsidRDefault="00846E1E" w:rsidP="00846E1E">
      <w:pPr>
        <w:pStyle w:val="JuryInstructionText"/>
      </w:pPr>
      <w:r>
        <w:t>PLF has sued DFT for making false statements about him/her/it concerning [describe defamatory statements]</w:t>
      </w:r>
      <w:r w:rsidR="005E649C">
        <w:t xml:space="preserve">. </w:t>
      </w:r>
      <w:r>
        <w:t>As you have heard during the trial, we call this type of claim “defamation.”</w:t>
      </w:r>
    </w:p>
    <w:p w14:paraId="53D65F37" w14:textId="65D2D41E" w:rsidR="00846E1E" w:rsidRDefault="00846E1E" w:rsidP="00846E1E">
      <w:pPr>
        <w:pStyle w:val="JuryInstructionText"/>
      </w:pPr>
      <w:r>
        <w:t xml:space="preserve">PLF must prove four things </w:t>
      </w:r>
      <w:proofErr w:type="gramStart"/>
      <w:r>
        <w:t>in order to</w:t>
      </w:r>
      <w:proofErr w:type="gramEnd"/>
      <w:r>
        <w:t xml:space="preserve"> prove the defamation claim</w:t>
      </w:r>
      <w:r w:rsidR="00D63AE9">
        <w:t>.</w:t>
      </w:r>
      <w:r>
        <w:t xml:space="preserve"> </w:t>
      </w:r>
      <w:r w:rsidR="00D63AE9">
        <w:br/>
      </w:r>
      <w:r>
        <w:t>PLF must show that the first three things are more likely than not true:</w:t>
      </w:r>
      <w:r>
        <w:rPr>
          <w:rStyle w:val="FootnoteReference"/>
        </w:rPr>
        <w:footnoteReference w:id="1"/>
      </w:r>
    </w:p>
    <w:p w14:paraId="620F99B2" w14:textId="7E9F2E29" w:rsidR="00846E1E" w:rsidRDefault="00846E1E" w:rsidP="005E649C">
      <w:pPr>
        <w:pStyle w:val="JuryInstructionElements"/>
      </w:pPr>
      <w:r>
        <w:t>1.</w:t>
      </w:r>
      <w:r w:rsidR="005E649C">
        <w:tab/>
      </w:r>
      <w:r>
        <w:t xml:space="preserve">DFT made [published, posted, </w:t>
      </w:r>
      <w:bookmarkStart w:id="0" w:name="_Hlk55730176"/>
      <w:r>
        <w:t>emailed, etc.</w:t>
      </w:r>
      <w:r>
        <w:rPr>
          <w:rStyle w:val="FootnoteReference"/>
        </w:rPr>
        <w:footnoteReference w:id="2"/>
      </w:r>
      <w:r>
        <w:t xml:space="preserve">] </w:t>
      </w:r>
      <w:bookmarkEnd w:id="0"/>
      <w:r>
        <w:t>a factual statement about PLF to someone else;</w:t>
      </w:r>
    </w:p>
    <w:p w14:paraId="0B881DE8" w14:textId="09322E51" w:rsidR="00846E1E" w:rsidRDefault="00846E1E" w:rsidP="005E649C">
      <w:pPr>
        <w:pStyle w:val="JuryInstructionElements"/>
      </w:pPr>
      <w:r>
        <w:t>2.</w:t>
      </w:r>
      <w:r w:rsidR="005E649C">
        <w:tab/>
      </w:r>
      <w:r>
        <w:t>The statement [was false and</w:t>
      </w:r>
      <w:r>
        <w:rPr>
          <w:rStyle w:val="FootnoteReference"/>
        </w:rPr>
        <w:footnoteReference w:id="3"/>
      </w:r>
      <w:r>
        <w:t>] could harm PLF’s reputation [in the minds of a substantial number of respectable people</w:t>
      </w:r>
      <w:r>
        <w:rPr>
          <w:rStyle w:val="FootnoteReference"/>
        </w:rPr>
        <w:footnoteReference w:id="4"/>
      </w:r>
      <w:r>
        <w:t>] in the community; and,</w:t>
      </w:r>
    </w:p>
    <w:p w14:paraId="7FEFF165" w14:textId="796B3EC0" w:rsidR="00846E1E" w:rsidRDefault="00846E1E" w:rsidP="005E649C">
      <w:pPr>
        <w:pStyle w:val="JuryInstructionElements"/>
      </w:pPr>
      <w:r>
        <w:t>3.</w:t>
      </w:r>
      <w:r w:rsidR="005E649C">
        <w:tab/>
        <w:t>&lt;</w:t>
      </w:r>
      <w:r w:rsidR="005E649C" w:rsidRPr="005E649C">
        <w:rPr>
          <w:b/>
          <w:bCs/>
          <w:i/>
          <w:iCs/>
        </w:rPr>
        <w:t xml:space="preserve">A. </w:t>
      </w:r>
      <w:r w:rsidRPr="005E649C">
        <w:rPr>
          <w:b/>
          <w:bCs/>
          <w:i/>
          <w:iCs/>
        </w:rPr>
        <w:t>Applicable in most cases</w:t>
      </w:r>
      <w:r w:rsidR="005E649C">
        <w:t>&gt;</w:t>
      </w:r>
      <w:r>
        <w:t xml:space="preserve"> The statement caused PLF economic loss.</w:t>
      </w:r>
    </w:p>
    <w:p w14:paraId="330C9EA9" w14:textId="54A845D0" w:rsidR="00846E1E" w:rsidRDefault="00846E1E" w:rsidP="005E649C">
      <w:pPr>
        <w:pStyle w:val="JuryInstructionElements"/>
      </w:pPr>
      <w:r>
        <w:t>3.</w:t>
      </w:r>
      <w:r w:rsidR="005E649C">
        <w:tab/>
        <w:t>&lt;</w:t>
      </w:r>
      <w:r w:rsidRPr="005E649C">
        <w:rPr>
          <w:b/>
          <w:bCs/>
          <w:i/>
          <w:iCs/>
        </w:rPr>
        <w:t>B. If applicable</w:t>
      </w:r>
      <w:r w:rsidR="005E649C">
        <w:t>&gt;</w:t>
      </w:r>
      <w:r>
        <w:t xml:space="preserve"> The statement [was in writing] [accused PLF of committing a crime] [claimed that PLF had [a sexually </w:t>
      </w:r>
      <w:r>
        <w:lastRenderedPageBreak/>
        <w:t>transmitted disease] [</w:t>
      </w:r>
      <w:proofErr w:type="gramStart"/>
      <w:r>
        <w:t>name</w:t>
      </w:r>
      <w:proofErr w:type="gramEnd"/>
      <w:r>
        <w:t xml:space="preserve"> the loathsome disease]] [harmed PLF’s profession or business].</w:t>
      </w:r>
      <w:r>
        <w:rPr>
          <w:rStyle w:val="FootnoteReference"/>
        </w:rPr>
        <w:footnoteReference w:id="5"/>
      </w:r>
    </w:p>
    <w:p w14:paraId="062F93B0" w14:textId="3FF2B4E6" w:rsidR="00846E1E" w:rsidRDefault="00846E1E" w:rsidP="00846E1E">
      <w:pPr>
        <w:pStyle w:val="JuryInstructionText"/>
      </w:pPr>
      <w:r>
        <w:t xml:space="preserve">In addition, if PLF proves these three things, then s/he/it must prove a fourth thing </w:t>
      </w:r>
      <w:r w:rsidR="00D63AE9">
        <w:t>–</w:t>
      </w:r>
      <w:r>
        <w:t xml:space="preserve"> DFT’s state of mind </w:t>
      </w:r>
      <w:r w:rsidR="00D63AE9">
        <w:t>–</w:t>
      </w:r>
      <w:r>
        <w:t xml:space="preserve"> by clear and convincing evidence, which is a higher burden of proof that I will explain in a minute.</w:t>
      </w:r>
      <w:r>
        <w:rPr>
          <w:rStyle w:val="FootnoteReference"/>
        </w:rPr>
        <w:footnoteReference w:id="6"/>
      </w:r>
      <w:r>
        <w:t xml:space="preserve"> At that time, I will also define what I mean by “state of mind.”</w:t>
      </w:r>
    </w:p>
    <w:p w14:paraId="6A4175B1" w14:textId="77777777" w:rsidR="00846E1E" w:rsidRDefault="00846E1E" w:rsidP="00846E1E">
      <w:pPr>
        <w:pStyle w:val="JuryInstructionText"/>
        <w:rPr>
          <w:b/>
          <w:bCs/>
        </w:rPr>
      </w:pPr>
      <w:r>
        <w:t>I will now explain each of these four items in more detail.</w:t>
      </w:r>
    </w:p>
    <w:p w14:paraId="32215EDD" w14:textId="62DC5F18" w:rsidR="005E649C" w:rsidRDefault="005E649C" w:rsidP="005E649C">
      <w:pPr>
        <w:pStyle w:val="JuryInst3"/>
      </w:pPr>
      <w:r>
        <w:t>Statement of Fact.</w:t>
      </w:r>
    </w:p>
    <w:p w14:paraId="5E5FDCFD" w14:textId="180FAC7F" w:rsidR="00846E1E" w:rsidRDefault="00846E1E" w:rsidP="00846E1E">
      <w:pPr>
        <w:pStyle w:val="JuryInstructionText"/>
      </w:pPr>
      <w:r w:rsidRPr="00D63AE9">
        <w:t>First</w:t>
      </w:r>
      <w:r>
        <w:t>, PLF must prove that DFT made [published][posted][emailed, etc.]  a factual statement about PLF to at least one other person</w:t>
      </w:r>
      <w:r w:rsidR="005E649C">
        <w:t xml:space="preserve">. </w:t>
      </w:r>
      <w:r>
        <w:t xml:space="preserve">PLF does not have to prove that DFT made these statements to </w:t>
      </w:r>
      <w:proofErr w:type="gramStart"/>
      <w:r>
        <w:t>a large number of</w:t>
      </w:r>
      <w:proofErr w:type="gramEnd"/>
      <w:r>
        <w:t xml:space="preserve"> people</w:t>
      </w:r>
      <w:r w:rsidR="005E649C">
        <w:t xml:space="preserve">. </w:t>
      </w:r>
      <w:r>
        <w:t>[However, DFT is not liable for a statement that s/he/it made only to PLF and to no one else.]</w:t>
      </w:r>
    </w:p>
    <w:p w14:paraId="1EADB30C" w14:textId="58963D8F" w:rsidR="00846E1E" w:rsidRDefault="00846E1E" w:rsidP="00846E1E">
      <w:pPr>
        <w:pStyle w:val="JuryInstructionText"/>
      </w:pPr>
      <w:r>
        <w:t>&lt;</w:t>
      </w:r>
      <w:r w:rsidRPr="00D63AE9">
        <w:rPr>
          <w:b/>
          <w:bCs/>
          <w:i/>
          <w:iCs/>
        </w:rPr>
        <w:t>Defamation by conduct</w:t>
      </w:r>
      <w:r>
        <w:t>&gt; Here, PLF claims that DFT made a statement through conduct rather than [in addition to] by written or spoken words</w:t>
      </w:r>
      <w:r w:rsidR="005E649C">
        <w:t xml:space="preserve">. </w:t>
      </w:r>
      <w:r>
        <w:t>To prove this, s/he/it must show that a reasonable person who saw DFT’s actions would understand that DFT’s actions made a statement about PLF</w:t>
      </w:r>
      <w:r w:rsidR="005E649C">
        <w:t xml:space="preserve">. </w:t>
      </w:r>
      <w:r>
        <w:t>It is not enough just to show that PLF himself/herself believed that DFT’s actions made a statement</w:t>
      </w:r>
      <w:r w:rsidR="005E649C">
        <w:t xml:space="preserve">. </w:t>
      </w:r>
    </w:p>
    <w:p w14:paraId="08BAA4BC" w14:textId="0D9733F9" w:rsidR="00846E1E" w:rsidRDefault="00846E1E" w:rsidP="00846E1E">
      <w:pPr>
        <w:pStyle w:val="JuryInstructionText"/>
      </w:pPr>
      <w:r>
        <w:t xml:space="preserve">For example, if I work for a store, and a security guard comes and removes me from the workplace, my coworkers might not understand the security </w:t>
      </w:r>
      <w:r>
        <w:lastRenderedPageBreak/>
        <w:t>guard’s actions to be saying that I broke the law</w:t>
      </w:r>
      <w:r w:rsidR="005E649C">
        <w:t xml:space="preserve">. </w:t>
      </w:r>
      <w:r>
        <w:t xml:space="preserve">However, if my coworkers saw the guard chase, </w:t>
      </w:r>
      <w:proofErr w:type="gramStart"/>
      <w:r>
        <w:t>search</w:t>
      </w:r>
      <w:proofErr w:type="gramEnd"/>
      <w:r>
        <w:t xml:space="preserve"> or restrain me, they would consider the guard’s actions as a statement that I committed a crime.</w:t>
      </w:r>
      <w:r>
        <w:rPr>
          <w:rStyle w:val="FootnoteReference"/>
        </w:rPr>
        <w:footnoteReference w:id="7"/>
      </w:r>
      <w:r>
        <w:t xml:space="preserve">  Based on all the evidence, you must decide whether DFT’s actions made a statement of fact.</w:t>
      </w:r>
    </w:p>
    <w:p w14:paraId="7B4E7DCF" w14:textId="455EFFA3" w:rsidR="00846E1E" w:rsidRDefault="00846E1E" w:rsidP="00846E1E">
      <w:pPr>
        <w:pStyle w:val="JuryInstructionText"/>
      </w:pPr>
      <w:r>
        <w:t>&lt;</w:t>
      </w:r>
      <w:r w:rsidRPr="00D63AE9">
        <w:rPr>
          <w:b/>
          <w:bCs/>
          <w:i/>
          <w:iCs/>
        </w:rPr>
        <w:t>Of and Concerning Plaintiff</w:t>
      </w:r>
      <w:r>
        <w:t>&gt;</w:t>
      </w:r>
      <w:r>
        <w:rPr>
          <w:rStyle w:val="FootnoteReference"/>
        </w:rPr>
        <w:footnoteReference w:id="8"/>
      </w:r>
      <w:r>
        <w:t xml:space="preserve"> The statement must be about PLF</w:t>
      </w:r>
      <w:r w:rsidR="005E649C">
        <w:t xml:space="preserve">. </w:t>
      </w:r>
      <w:r>
        <w:t>If it did not refer to PLF by name, then s/he/it must prove one of the following two things:</w:t>
      </w:r>
    </w:p>
    <w:p w14:paraId="0D3D7346" w14:textId="68399E09" w:rsidR="00846E1E" w:rsidRDefault="00846E1E" w:rsidP="00D63AE9">
      <w:pPr>
        <w:pStyle w:val="JuryInstructionBullets"/>
      </w:pPr>
      <w:r>
        <w:t>PLF may prove that DFT intended the words to refer to PLF and that someone other than PLF understood that they did refer to PLF; or,</w:t>
      </w:r>
    </w:p>
    <w:p w14:paraId="097C0EB0" w14:textId="0570A759" w:rsidR="00846E1E" w:rsidRDefault="00846E1E" w:rsidP="00D63AE9">
      <w:pPr>
        <w:pStyle w:val="JuryInstructionBullets"/>
      </w:pPr>
      <w:r>
        <w:t>PLF may prove that DFT was negligent in making the statement in a way that a reasonable person could interpret as referring to PLF</w:t>
      </w:r>
      <w:r w:rsidR="005E649C">
        <w:t xml:space="preserve">. </w:t>
      </w:r>
    </w:p>
    <w:p w14:paraId="774C29A3" w14:textId="77777777" w:rsidR="00846E1E" w:rsidRDefault="00846E1E" w:rsidP="00846E1E">
      <w:pPr>
        <w:pStyle w:val="JuryInstructionText"/>
      </w:pPr>
      <w:r>
        <w:t xml:space="preserve">PLF does not have to prove both of these </w:t>
      </w:r>
      <w:proofErr w:type="gramStart"/>
      <w:r>
        <w:t>things, but</w:t>
      </w:r>
      <w:proofErr w:type="gramEnd"/>
      <w:r>
        <w:t xml:space="preserve"> must prove at least one of them. </w:t>
      </w:r>
    </w:p>
    <w:p w14:paraId="52D70918" w14:textId="77777777" w:rsidR="00D63AE9" w:rsidRDefault="00D63AE9" w:rsidP="00D63AE9">
      <w:pPr>
        <w:pStyle w:val="JuryInstructionText"/>
      </w:pPr>
      <w:r>
        <w:t>&lt;</w:t>
      </w:r>
      <w:r w:rsidRPr="00C107DF">
        <w:rPr>
          <w:b/>
          <w:bCs/>
          <w:i/>
        </w:rPr>
        <w:t xml:space="preserve">if applicable, define “negligence, </w:t>
      </w:r>
      <w:r>
        <w:rPr>
          <w:b/>
          <w:bCs/>
          <w:i/>
        </w:rPr>
        <w:t>adapting</w:t>
      </w:r>
      <w:r w:rsidRPr="00C107DF">
        <w:rPr>
          <w:b/>
          <w:bCs/>
          <w:i/>
        </w:rPr>
        <w:t xml:space="preserve"> instruction for “Negligence</w:t>
      </w:r>
      <w:r>
        <w:rPr>
          <w:b/>
          <w:bCs/>
          <w:i/>
        </w:rPr>
        <w:t>, General,” section on “</w:t>
      </w:r>
      <w:proofErr w:type="spellStart"/>
      <w:r>
        <w:rPr>
          <w:b/>
          <w:bCs/>
          <w:i/>
        </w:rPr>
        <w:t>Faiilure</w:t>
      </w:r>
      <w:proofErr w:type="spellEnd"/>
      <w:r>
        <w:rPr>
          <w:b/>
          <w:bCs/>
          <w:i/>
        </w:rPr>
        <w:t xml:space="preserve"> to Use Reasonable Care</w:t>
      </w:r>
      <w:r>
        <w:rPr>
          <w:iCs/>
        </w:rPr>
        <w:t>.</w:t>
      </w:r>
      <w:r>
        <w:t xml:space="preserve"> &gt;</w:t>
      </w:r>
    </w:p>
    <w:p w14:paraId="7E1D90D8" w14:textId="75BA1A00" w:rsidR="00846E1E" w:rsidRDefault="00846E1E" w:rsidP="00846E1E">
      <w:pPr>
        <w:pStyle w:val="JuryInstructionText"/>
      </w:pPr>
      <w:r>
        <w:t>&lt;</w:t>
      </w:r>
      <w:r w:rsidRPr="00D63AE9">
        <w:rPr>
          <w:b/>
          <w:bCs/>
          <w:i/>
          <w:iCs/>
        </w:rPr>
        <w:t>fact vs. opinion</w:t>
      </w:r>
      <w:r>
        <w:t>&gt;</w:t>
      </w:r>
      <w:r>
        <w:rPr>
          <w:rStyle w:val="FootnoteReference"/>
        </w:rPr>
        <w:footnoteReference w:id="9"/>
      </w:r>
      <w:r>
        <w:t xml:space="preserve"> DFT’s statement must be factual and not purely a matter of opinion. Everyone has a constitutional right to express an opinion, </w:t>
      </w:r>
      <w:proofErr w:type="gramStart"/>
      <w:r>
        <w:t>as long as</w:t>
      </w:r>
      <w:proofErr w:type="gramEnd"/>
      <w:r>
        <w:t xml:space="preserve"> they do not make false statements of fact</w:t>
      </w:r>
      <w:r w:rsidR="005E649C">
        <w:t xml:space="preserve">. </w:t>
      </w:r>
      <w:r>
        <w:t>No one commits defamation by stating a pure opinion</w:t>
      </w:r>
      <w:r w:rsidRPr="003434DB">
        <w:t xml:space="preserve"> </w:t>
      </w:r>
      <w:r>
        <w:t>even if it is harmful or offensive</w:t>
      </w:r>
      <w:r w:rsidR="005E649C">
        <w:t xml:space="preserve">. </w:t>
      </w:r>
      <w:r>
        <w:t xml:space="preserve">  </w:t>
      </w:r>
    </w:p>
    <w:p w14:paraId="4F4AAB26" w14:textId="62C2928D" w:rsidR="00846E1E" w:rsidRDefault="00846E1E" w:rsidP="00846E1E">
      <w:pPr>
        <w:pStyle w:val="JuryInstructionText"/>
      </w:pPr>
      <w:r>
        <w:lastRenderedPageBreak/>
        <w:t>In some cases, though, a statement that sounds like an opinion may also communicate a fact</w:t>
      </w:r>
      <w:r w:rsidR="005E649C">
        <w:t xml:space="preserve">. </w:t>
      </w:r>
      <w:r>
        <w:t>PLF must prove that a reasonable person could have understood DFT’s statement as making a statement of fact rather than a pure opinion</w:t>
      </w:r>
      <w:r w:rsidR="005E649C">
        <w:t xml:space="preserve">. </w:t>
      </w:r>
    </w:p>
    <w:p w14:paraId="7E94B43B" w14:textId="77777777" w:rsidR="00846E1E" w:rsidRDefault="00846E1E" w:rsidP="00846E1E">
      <w:pPr>
        <w:pStyle w:val="JuryInstructionText"/>
      </w:pPr>
      <w:r>
        <w:t>In deciding whether a reasonable person would understand the statement as a fact or an opinion, you should consider all the circumstances and you may ask yourselves questions, such as:</w:t>
      </w:r>
    </w:p>
    <w:p w14:paraId="29D33D10" w14:textId="77777777" w:rsidR="00846E1E" w:rsidRDefault="00846E1E" w:rsidP="005E649C">
      <w:pPr>
        <w:pStyle w:val="JuryInstructionBullets"/>
      </w:pPr>
      <w:r>
        <w:t>Was it possible for DFT to verify the statement?  Generally, it is possible to verify a statement of fact but not an opinion.</w:t>
      </w:r>
    </w:p>
    <w:p w14:paraId="27DA4B95" w14:textId="77777777" w:rsidR="00846E1E" w:rsidRDefault="00846E1E" w:rsidP="005E649C">
      <w:pPr>
        <w:pStyle w:val="JuryInstructionBullets"/>
      </w:pPr>
      <w:r>
        <w:t>Where and how did DFT make the statement?  Sometimes the location or method of making a statement is more appropriate to stating facts; other methods and places may be more likely for expression of opinions.</w:t>
      </w:r>
    </w:p>
    <w:p w14:paraId="7C925284" w14:textId="77777777" w:rsidR="00846E1E" w:rsidRDefault="00846E1E" w:rsidP="005E649C">
      <w:pPr>
        <w:pStyle w:val="JuryInstructionBullets"/>
      </w:pPr>
      <w:r>
        <w:t xml:space="preserve">Who was DFT speaking to? </w:t>
      </w:r>
    </w:p>
    <w:p w14:paraId="1474856C" w14:textId="77777777" w:rsidR="00846E1E" w:rsidRDefault="00846E1E" w:rsidP="005E649C">
      <w:pPr>
        <w:pStyle w:val="JuryInstructionBullets"/>
      </w:pPr>
      <w:r>
        <w:t xml:space="preserve">What did else did DFT say?  </w:t>
      </w:r>
    </w:p>
    <w:p w14:paraId="552F3043" w14:textId="77777777" w:rsidR="00846E1E" w:rsidRDefault="00846E1E" w:rsidP="005E649C">
      <w:pPr>
        <w:pStyle w:val="JuryInstructionBullets"/>
      </w:pPr>
      <w:r>
        <w:t xml:space="preserve">Did DFT give any cautions to the listeners that might lead a reasonable person to think that the statements were matters of opinion?  </w:t>
      </w:r>
    </w:p>
    <w:p w14:paraId="0E5B64BE" w14:textId="77777777" w:rsidR="00846E1E" w:rsidRDefault="00846E1E" w:rsidP="005E649C">
      <w:pPr>
        <w:pStyle w:val="JuryInstructionBullets"/>
      </w:pPr>
      <w:r>
        <w:t>Did DFT communicate in some way that s/he/it was asserting facts?</w:t>
      </w:r>
    </w:p>
    <w:p w14:paraId="63347DCD" w14:textId="1CAFF21D" w:rsidR="00846E1E" w:rsidRDefault="00846E1E" w:rsidP="00846E1E">
      <w:pPr>
        <w:pStyle w:val="JuryInstructionText"/>
      </w:pPr>
      <w:r>
        <w:t>In general, you should consider the statement’s context carefully, because a statement of fact in one context can be a statement of opinion in another</w:t>
      </w:r>
      <w:r w:rsidR="005E649C">
        <w:t xml:space="preserve">. </w:t>
      </w:r>
      <w:r>
        <w:t>For example, if the setting is one in which the listeners can expect speakers [writers] to try to persuade listeners [readers] through fiery rhetoric or emotional language, people might understand a statement to be a matter of opinion, even though in a different context, the audience would consider it a statement of fact</w:t>
      </w:r>
      <w:r w:rsidR="005E649C">
        <w:t xml:space="preserve">. </w:t>
      </w:r>
    </w:p>
    <w:p w14:paraId="6FCB04D3" w14:textId="77777777" w:rsidR="00846E1E" w:rsidRDefault="00846E1E" w:rsidP="00846E1E">
      <w:pPr>
        <w:pStyle w:val="JuryInstructionText"/>
      </w:pPr>
      <w:r>
        <w:t xml:space="preserve">Based upon all the circumstances, you must decide whether the PLF has proven that a reasonable listener would consider DFT’s statement(s) to be statements of fact, not just pure opinion. </w:t>
      </w:r>
    </w:p>
    <w:p w14:paraId="3D5C76E0" w14:textId="58AD0D14" w:rsidR="00846E1E" w:rsidRDefault="00846E1E" w:rsidP="00846E1E">
      <w:pPr>
        <w:pStyle w:val="JuryInstructionText"/>
      </w:pPr>
      <w:r>
        <w:lastRenderedPageBreak/>
        <w:t>&lt;</w:t>
      </w:r>
      <w:r w:rsidRPr="00D63AE9">
        <w:rPr>
          <w:b/>
          <w:bCs/>
          <w:i/>
          <w:iCs/>
        </w:rPr>
        <w:t>republication</w:t>
      </w:r>
      <w:r>
        <w:t>&gt; A person who repeats a false factual statement is just as liable as the first person to make that statement</w:t>
      </w:r>
      <w:r w:rsidR="005E649C">
        <w:t xml:space="preserve">. </w:t>
      </w:r>
    </w:p>
    <w:p w14:paraId="1547E892" w14:textId="53D5B544" w:rsidR="005E649C" w:rsidRDefault="005E649C" w:rsidP="005E649C">
      <w:pPr>
        <w:pStyle w:val="JuryInst3"/>
      </w:pPr>
      <w:r>
        <w:t>Statement’s Falsity and Potential to Harm.</w:t>
      </w:r>
    </w:p>
    <w:p w14:paraId="5A39ECC3" w14:textId="6A92CCB8" w:rsidR="00846E1E" w:rsidRDefault="00846E1E" w:rsidP="00846E1E">
      <w:pPr>
        <w:pStyle w:val="JuryInstructionText"/>
      </w:pPr>
      <w:r w:rsidRPr="00D63AE9">
        <w:t>The second</w:t>
      </w:r>
      <w:r>
        <w:t xml:space="preserve"> thing PLF must prove, more likely than not, is that the statement [was false and] could harm PLF’s reputation [in the minds of a substantial number of respectable people</w:t>
      </w:r>
      <w:r>
        <w:rPr>
          <w:rStyle w:val="FootnoteReference"/>
        </w:rPr>
        <w:footnoteReference w:id="10"/>
      </w:r>
      <w:r>
        <w:t>] in the community</w:t>
      </w:r>
      <w:r w:rsidR="005E649C">
        <w:t xml:space="preserve">. </w:t>
      </w:r>
    </w:p>
    <w:p w14:paraId="7B3CDF62" w14:textId="7D0E9B37" w:rsidR="00846E1E" w:rsidRDefault="00846E1E" w:rsidP="00846E1E">
      <w:pPr>
        <w:pStyle w:val="JuryInstructionText"/>
      </w:pPr>
      <w:bookmarkStart w:id="1" w:name="_Hlk55720269"/>
      <w:r>
        <w:t>&lt;</w:t>
      </w:r>
      <w:r w:rsidRPr="00D63AE9">
        <w:rPr>
          <w:b/>
          <w:bCs/>
          <w:i/>
          <w:iCs/>
        </w:rPr>
        <w:t>Omit this paragraph in cases where truth arises only as a defense</w:t>
      </w:r>
      <w:r>
        <w:t>&gt; This</w:t>
      </w:r>
      <w:r w:rsidR="00D63AE9">
        <w:t> </w:t>
      </w:r>
      <w:r>
        <w:t>requires PLF to prove two things, that the statement was false and that it could harm PLF</w:t>
      </w:r>
    </w:p>
    <w:p w14:paraId="6952BE0A" w14:textId="225493FE" w:rsidR="00846E1E" w:rsidRDefault="00846E1E" w:rsidP="00846E1E">
      <w:pPr>
        <w:pStyle w:val="JuryInstructionText"/>
      </w:pPr>
      <w:r>
        <w:t>PLF must first prove that the statement was false.</w:t>
      </w:r>
      <w:r>
        <w:rPr>
          <w:rStyle w:val="FootnoteReference"/>
        </w:rPr>
        <w:footnoteReference w:id="11"/>
      </w:r>
      <w:r>
        <w:t xml:space="preserve">  Sometimes, even a true statement harms someone’s reputation, but DFT is not responsible unless PLF also proves that the statement was false</w:t>
      </w:r>
      <w:r w:rsidR="005E649C">
        <w:t xml:space="preserve">. </w:t>
      </w:r>
      <w:r>
        <w:t>To be false, a statement must be substantially untrue</w:t>
      </w:r>
      <w:r w:rsidR="005E649C">
        <w:t xml:space="preserve">. </w:t>
      </w:r>
      <w:r>
        <w:t>If the gist or basics of the statement is accurate, the statement is not false</w:t>
      </w:r>
      <w:r w:rsidR="005E649C">
        <w:t xml:space="preserve">. </w:t>
      </w:r>
      <w:r>
        <w:t>Minor inaccuracies do not make a statement false if the listener’s [reader’s] understanding of the basic truth remains unchanged.</w:t>
      </w:r>
    </w:p>
    <w:p w14:paraId="26518730" w14:textId="77777777" w:rsidR="00846E1E" w:rsidRDefault="00846E1E" w:rsidP="00846E1E">
      <w:pPr>
        <w:pStyle w:val="JuryInstructionText"/>
      </w:pPr>
      <w:r>
        <w:t>If the statement was false, PLF must prove that the statement harmed his/her/its reputation [in the minds of a substantial number of respectable people] in the community.</w:t>
      </w:r>
    </w:p>
    <w:bookmarkEnd w:id="1"/>
    <w:p w14:paraId="20BBF217" w14:textId="35875770" w:rsidR="00846E1E" w:rsidRDefault="00846E1E" w:rsidP="00846E1E">
      <w:pPr>
        <w:pStyle w:val="JuryInstructionText"/>
      </w:pPr>
      <w:r>
        <w:t xml:space="preserve">PLF can prove this harm in </w:t>
      </w:r>
      <w:proofErr w:type="gramStart"/>
      <w:r>
        <w:t>a number of</w:t>
      </w:r>
      <w:proofErr w:type="gramEnd"/>
      <w:r>
        <w:t xml:space="preserve"> different ways</w:t>
      </w:r>
      <w:r w:rsidR="005E649C">
        <w:t xml:space="preserve">. </w:t>
      </w:r>
      <w:r>
        <w:t>PLF can show that the statement:</w:t>
      </w:r>
    </w:p>
    <w:p w14:paraId="654311ED" w14:textId="77777777" w:rsidR="00846E1E" w:rsidRDefault="00846E1E" w:rsidP="005E649C">
      <w:pPr>
        <w:pStyle w:val="JuryInstructionBullets"/>
      </w:pPr>
      <w:r>
        <w:lastRenderedPageBreak/>
        <w:t xml:space="preserve"> May hold PLF up to scorn, hatred, ridicule or contempt</w:t>
      </w:r>
      <w:proofErr w:type="gramStart"/>
      <w:r>
        <w:t>.;</w:t>
      </w:r>
      <w:proofErr w:type="gramEnd"/>
    </w:p>
    <w:p w14:paraId="5913AC6E" w14:textId="77777777" w:rsidR="00846E1E" w:rsidRDefault="00846E1E" w:rsidP="005E649C">
      <w:pPr>
        <w:pStyle w:val="JuryInstructionBullets"/>
      </w:pPr>
      <w:r>
        <w:t>may discredit PLF;</w:t>
      </w:r>
    </w:p>
    <w:p w14:paraId="62CAD10D" w14:textId="77777777" w:rsidR="00846E1E" w:rsidRDefault="00846E1E" w:rsidP="005E649C">
      <w:pPr>
        <w:pStyle w:val="JuryInstructionBullets"/>
      </w:pPr>
      <w:r>
        <w:t>may harm PLF’s reputation by lowering the community’s opinion of him/her; or,</w:t>
      </w:r>
    </w:p>
    <w:p w14:paraId="19C2B871" w14:textId="77777777" w:rsidR="00846E1E" w:rsidRDefault="00846E1E" w:rsidP="005E649C">
      <w:pPr>
        <w:pStyle w:val="JuryInstructionBullets"/>
      </w:pPr>
      <w:r>
        <w:t>may keep other people from associating or dealing with PLF.</w:t>
      </w:r>
    </w:p>
    <w:p w14:paraId="5E2A7CEC" w14:textId="63C2FD18" w:rsidR="00846E1E" w:rsidRDefault="00846E1E" w:rsidP="00846E1E">
      <w:pPr>
        <w:pStyle w:val="JuryInstructionText"/>
      </w:pPr>
      <w:r>
        <w:t>PLF must prove at least one of these kinds of harm</w:t>
      </w:r>
      <w:r w:rsidR="005E649C">
        <w:t xml:space="preserve">. </w:t>
      </w:r>
      <w:r>
        <w:t>In making this decision, you should give the DFT’s statement its common sense meaning under all the circumstances</w:t>
      </w:r>
      <w:r w:rsidR="005E649C">
        <w:t xml:space="preserve">. </w:t>
      </w:r>
      <w:r>
        <w:t>You may also consider how people who heard [read] the statement interpreted it</w:t>
      </w:r>
      <w:r w:rsidR="005E649C">
        <w:t xml:space="preserve">. </w:t>
      </w:r>
      <w:r>
        <w:t>You should not consider strained or unreasonable interpretations of the statement, and you should not take words, phrases or sentences out of context.</w:t>
      </w:r>
    </w:p>
    <w:p w14:paraId="1F075A94" w14:textId="74AA2121" w:rsidR="00846E1E" w:rsidRDefault="00846E1E" w:rsidP="00846E1E">
      <w:pPr>
        <w:pStyle w:val="JuryInstructionText"/>
      </w:pPr>
      <w:r>
        <w:t>&lt;</w:t>
      </w:r>
      <w:r w:rsidRPr="00D63AE9">
        <w:rPr>
          <w:b/>
          <w:bCs/>
          <w:i/>
        </w:rPr>
        <w:t>if appropriate</w:t>
      </w:r>
      <w:r>
        <w:rPr>
          <w:rStyle w:val="FootnoteReference"/>
          <w:i/>
        </w:rPr>
        <w:footnoteReference w:id="12"/>
      </w:r>
      <w:r>
        <w:t>&gt; You must also decide whether the harm to PLF’s reputation occurred among a respectable part of the community</w:t>
      </w:r>
      <w:r w:rsidR="005E649C">
        <w:t xml:space="preserve">. </w:t>
      </w:r>
      <w:r>
        <w:t>For instance, suppose I said that a person is an honest, law-abiding citizen</w:t>
      </w:r>
      <w:r w:rsidR="005E649C">
        <w:t xml:space="preserve">. </w:t>
      </w:r>
      <w:r>
        <w:t>That might hurt the person’s reputation among armed robbers who thought that they could rely upon him to help them commit crimes</w:t>
      </w:r>
      <w:r w:rsidR="005E649C">
        <w:t xml:space="preserve">. </w:t>
      </w:r>
      <w:r>
        <w:t>But the law does not allow recovery in that situation because the community of armed robbers is not respectable</w:t>
      </w:r>
      <w:r w:rsidR="005E649C">
        <w:t xml:space="preserve">. </w:t>
      </w:r>
      <w:r>
        <w:t>Keep in mind that PLF does not have to prove that the statement harmed his/her reputation in the entire community or among all reasonable people.</w:t>
      </w:r>
    </w:p>
    <w:p w14:paraId="00F2B5FC" w14:textId="41D13C9F" w:rsidR="005E649C" w:rsidRDefault="005E649C" w:rsidP="005E649C">
      <w:pPr>
        <w:pStyle w:val="JuryInst3"/>
      </w:pPr>
      <w:r>
        <w:t>Economic Injury.</w:t>
      </w:r>
    </w:p>
    <w:p w14:paraId="178A1EBA" w14:textId="77777777" w:rsidR="00846E1E" w:rsidRDefault="00846E1E" w:rsidP="00846E1E">
      <w:pPr>
        <w:pStyle w:val="JuryInstructionText"/>
      </w:pPr>
      <w:r>
        <w:t>Third, PLF must prove that, more likely than not, the false statement caused PLF economic loss.</w:t>
      </w:r>
    </w:p>
    <w:p w14:paraId="53098281" w14:textId="4751F499" w:rsidR="005E649C" w:rsidRDefault="005E649C" w:rsidP="005E649C">
      <w:pPr>
        <w:pStyle w:val="JuryInst3"/>
      </w:pPr>
      <w:r>
        <w:lastRenderedPageBreak/>
        <w:t>State of Mind</w:t>
      </w:r>
    </w:p>
    <w:p w14:paraId="5834E4FD" w14:textId="77777777" w:rsidR="00846E1E" w:rsidRDefault="00846E1E" w:rsidP="00846E1E">
      <w:pPr>
        <w:pStyle w:val="JuryInstructionText"/>
        <w:rPr>
          <w:bCs/>
        </w:rPr>
      </w:pPr>
      <w:r>
        <w:rPr>
          <w:bCs/>
        </w:rPr>
        <w:t>Fourth, PLF must prove, by clear and convincing evidence, that DFT either knew that the statement was false or recklessly disregarded whether the statement was true or not.</w:t>
      </w:r>
      <w:r>
        <w:rPr>
          <w:rStyle w:val="FootnoteReference"/>
          <w:bCs/>
        </w:rPr>
        <w:footnoteReference w:id="13"/>
      </w:r>
      <w:r>
        <w:rPr>
          <w:bCs/>
        </w:rPr>
        <w:t xml:space="preserve">  </w:t>
      </w:r>
    </w:p>
    <w:p w14:paraId="0041B460" w14:textId="7F47B6C3" w:rsidR="00846E1E" w:rsidRDefault="00846E1E" w:rsidP="00846E1E">
      <w:pPr>
        <w:pStyle w:val="JuryInstructionText"/>
        <w:rPr>
          <w:bCs/>
        </w:rPr>
      </w:pPr>
      <w:r>
        <w:rPr>
          <w:bCs/>
        </w:rPr>
        <w:t>Proof by “clear and convincing evidence” differs from “proving something is more likely than not,” which is the standard that I have discussed so far</w:t>
      </w:r>
      <w:r w:rsidR="005E649C">
        <w:rPr>
          <w:bCs/>
        </w:rPr>
        <w:t xml:space="preserve">. </w:t>
      </w:r>
      <w:r>
        <w:rPr>
          <w:bCs/>
        </w:rPr>
        <w:t>So, I will tell you what it means to prove DFT’s state of mind by clear and convincing evidence.</w:t>
      </w:r>
    </w:p>
    <w:p w14:paraId="73B18104" w14:textId="2F2B361F" w:rsidR="00846E1E" w:rsidRPr="00F64A2F" w:rsidRDefault="00D63AE9" w:rsidP="00846E1E">
      <w:pPr>
        <w:pStyle w:val="JuryInstructionText"/>
        <w:rPr>
          <w:bCs/>
        </w:rPr>
      </w:pPr>
      <w:r>
        <w:rPr>
          <w:bCs/>
        </w:rPr>
        <w:t>&lt;</w:t>
      </w:r>
      <w:r w:rsidR="00846E1E" w:rsidRPr="00D63AE9">
        <w:rPr>
          <w:b/>
          <w:i/>
          <w:iCs/>
        </w:rPr>
        <w:t>Insert Instruction, “Civ</w:t>
      </w:r>
      <w:r>
        <w:rPr>
          <w:b/>
          <w:i/>
          <w:iCs/>
        </w:rPr>
        <w:t xml:space="preserve"> </w:t>
      </w:r>
      <w:r w:rsidR="00846E1E" w:rsidRPr="00D63AE9">
        <w:rPr>
          <w:b/>
          <w:i/>
          <w:iCs/>
        </w:rPr>
        <w:t>- Clear and Convincing Evidence</w:t>
      </w:r>
      <w:r w:rsidR="00846E1E">
        <w:rPr>
          <w:bCs/>
        </w:rPr>
        <w:t>”</w:t>
      </w:r>
      <w:r w:rsidR="00846E1E">
        <w:rPr>
          <w:rStyle w:val="FootnoteReference"/>
          <w:bCs/>
        </w:rPr>
        <w:footnoteReference w:id="14"/>
      </w:r>
      <w:r>
        <w:rPr>
          <w:bCs/>
        </w:rPr>
        <w:t>&gt;</w:t>
      </w:r>
    </w:p>
    <w:p w14:paraId="7BAF74DB" w14:textId="77777777" w:rsidR="00846E1E" w:rsidRDefault="00846E1E" w:rsidP="00846E1E">
      <w:pPr>
        <w:pStyle w:val="JuryInstructionText"/>
        <w:rPr>
          <w:bCs/>
        </w:rPr>
      </w:pPr>
      <w:r>
        <w:rPr>
          <w:bCs/>
        </w:rPr>
        <w:t>PLF must prove by clear and convincing evidence at least one of two things about DFT’s state of mind:</w:t>
      </w:r>
    </w:p>
    <w:p w14:paraId="1522EE45" w14:textId="3FA1A7B1" w:rsidR="00846E1E" w:rsidRDefault="00846E1E" w:rsidP="00D63AE9">
      <w:pPr>
        <w:pStyle w:val="JuryInstructionBullets"/>
      </w:pPr>
      <w:r>
        <w:t xml:space="preserve">DFT knew that the statement was false when s/he/it made it; or, </w:t>
      </w:r>
    </w:p>
    <w:p w14:paraId="781B9884" w14:textId="37AB05BF" w:rsidR="00846E1E" w:rsidRDefault="00846E1E" w:rsidP="00D63AE9">
      <w:pPr>
        <w:pStyle w:val="JuryInstructionBullets"/>
      </w:pPr>
      <w:r>
        <w:t>DFT recklessly disregarded whether the statement was true or not at the time</w:t>
      </w:r>
      <w:r w:rsidR="005E649C">
        <w:t xml:space="preserve">. </w:t>
      </w:r>
    </w:p>
    <w:p w14:paraId="55B6FCC8" w14:textId="77777777" w:rsidR="00846E1E" w:rsidRDefault="00846E1E" w:rsidP="00846E1E">
      <w:pPr>
        <w:pStyle w:val="JuryInstructionText"/>
        <w:rPr>
          <w:bCs/>
        </w:rPr>
      </w:pPr>
      <w:r>
        <w:rPr>
          <w:bCs/>
        </w:rPr>
        <w:t xml:space="preserve">If PLF has proven the DFT’s state of mind in at least one of these two ways by clear and convincing evidence, then s/he/it has proven that the DFT had the state of mind needed for this claim. </w:t>
      </w:r>
    </w:p>
    <w:p w14:paraId="680C762C" w14:textId="5DB75085" w:rsidR="00846E1E" w:rsidRDefault="00D63AE9" w:rsidP="00846E1E">
      <w:pPr>
        <w:pStyle w:val="JuryInstructionText"/>
        <w:rPr>
          <w:bCs/>
        </w:rPr>
      </w:pPr>
      <w:r>
        <w:rPr>
          <w:bCs/>
        </w:rPr>
        <w:t>&lt;</w:t>
      </w:r>
      <w:r w:rsidR="00846E1E" w:rsidRPr="00D63AE9">
        <w:rPr>
          <w:b/>
          <w:i/>
          <w:iCs/>
        </w:rPr>
        <w:t>Insert definition of “knowledge”, from “General Civil Definitions,” if applicable</w:t>
      </w:r>
      <w:r>
        <w:rPr>
          <w:bCs/>
        </w:rPr>
        <w:t>&gt;</w:t>
      </w:r>
    </w:p>
    <w:p w14:paraId="411E56F1" w14:textId="77777777" w:rsidR="00846E1E" w:rsidRDefault="00846E1E" w:rsidP="00846E1E">
      <w:pPr>
        <w:pStyle w:val="JuryInstructionText"/>
        <w:rPr>
          <w:bCs/>
        </w:rPr>
      </w:pPr>
      <w:r>
        <w:rPr>
          <w:bCs/>
        </w:rPr>
        <w:t xml:space="preserve">With respect to the second state of mind, reckless disregard for the truth, PLF must show that DFT had serious doubts about the truth of the </w:t>
      </w:r>
      <w:r>
        <w:rPr>
          <w:bCs/>
        </w:rPr>
        <w:lastRenderedPageBreak/>
        <w:t>statement but made the statement anyway.</w:t>
      </w:r>
      <w:r>
        <w:rPr>
          <w:rStyle w:val="FootnoteReference"/>
          <w:bCs/>
        </w:rPr>
        <w:footnoteReference w:id="15"/>
      </w:r>
      <w:r>
        <w:rPr>
          <w:bCs/>
        </w:rPr>
        <w:t xml:space="preserve">  This state of mind depends on DFT’s attitude toward the statement, not DFT’s attitude towards PLF.</w:t>
      </w:r>
      <w:r>
        <w:rPr>
          <w:rStyle w:val="FootnoteReference"/>
          <w:bCs/>
        </w:rPr>
        <w:footnoteReference w:id="16"/>
      </w:r>
      <w:r>
        <w:rPr>
          <w:bCs/>
        </w:rPr>
        <w:t xml:space="preserve">  </w:t>
      </w:r>
    </w:p>
    <w:p w14:paraId="43FA370A" w14:textId="2E844BE7" w:rsidR="00846E1E" w:rsidRPr="00F64A2F" w:rsidRDefault="00846E1E" w:rsidP="00846E1E">
      <w:pPr>
        <w:pStyle w:val="JuryInstructionText"/>
        <w:rPr>
          <w:b/>
          <w:bCs/>
        </w:rPr>
      </w:pPr>
      <w:r>
        <w:rPr>
          <w:bCs/>
        </w:rPr>
        <w:t>Reckless disregard for the truth is more than just a departure from journalistic standards</w:t>
      </w:r>
      <w:r w:rsidR="005E649C">
        <w:rPr>
          <w:bCs/>
        </w:rPr>
        <w:t xml:space="preserve">. </w:t>
      </w:r>
      <w:r>
        <w:rPr>
          <w:bCs/>
        </w:rPr>
        <w:t>PLF must prove more than mere negligence or ill will; in other words, it is not enough to show that a reasonably careful person would have done more investigation or even that DFT disliked or wanted to harm PLF. Also, it is not enough to show that DFT wanted to make a profit from the statement.</w:t>
      </w:r>
      <w:r>
        <w:rPr>
          <w:rStyle w:val="FootnoteReference"/>
          <w:bCs/>
        </w:rPr>
        <w:footnoteReference w:id="17"/>
      </w:r>
      <w:r>
        <w:rPr>
          <w:bCs/>
        </w:rPr>
        <w:t xml:space="preserve">  </w:t>
      </w:r>
    </w:p>
    <w:p w14:paraId="711E4C27" w14:textId="5B45FAC9" w:rsidR="00846E1E" w:rsidRDefault="00846E1E" w:rsidP="00846E1E">
      <w:pPr>
        <w:pStyle w:val="JuryInstructionText"/>
        <w:rPr>
          <w:bCs/>
        </w:rPr>
      </w:pPr>
      <w:r>
        <w:rPr>
          <w:bCs/>
        </w:rPr>
        <w:t>In deciding whether DFT knew that the statement was false or acted with reckless disregard of its truth, you may ask yourself questions such as :</w:t>
      </w:r>
    </w:p>
    <w:p w14:paraId="325C65FC" w14:textId="77777777" w:rsidR="00846E1E" w:rsidRDefault="00846E1E" w:rsidP="005E649C">
      <w:pPr>
        <w:pStyle w:val="JuryInstructionBullets"/>
      </w:pPr>
      <w:r>
        <w:t>Did DFT investigate the statement’s accuracy by contacting known witnesses and examining available sources?</w:t>
      </w:r>
    </w:p>
    <w:p w14:paraId="1DC14B17" w14:textId="77777777" w:rsidR="00846E1E" w:rsidRDefault="00846E1E" w:rsidP="005E649C">
      <w:pPr>
        <w:pStyle w:val="JuryInstructionBullets"/>
      </w:pPr>
      <w:r>
        <w:t>Did DFT know about probable inaccuracies in the statements?</w:t>
      </w:r>
    </w:p>
    <w:p w14:paraId="1B6A8354" w14:textId="77777777" w:rsidR="00846E1E" w:rsidRDefault="00846E1E" w:rsidP="005E649C">
      <w:pPr>
        <w:pStyle w:val="JuryInstructionBullets"/>
      </w:pPr>
      <w:r>
        <w:t>Did DFT deliberately intend to avoid the truth?</w:t>
      </w:r>
    </w:p>
    <w:p w14:paraId="603CFC6A" w14:textId="77777777" w:rsidR="00846E1E" w:rsidRDefault="00846E1E" w:rsidP="005E649C">
      <w:pPr>
        <w:pStyle w:val="JuryInstructionBullets"/>
      </w:pPr>
      <w:r>
        <w:t>Was there any obvious reason for DFT to doubt the source’s truthfulness or the accuracy of the source’s information?</w:t>
      </w:r>
    </w:p>
    <w:p w14:paraId="1EAC529D" w14:textId="77777777" w:rsidR="00846E1E" w:rsidRPr="003377A8" w:rsidRDefault="00846E1E" w:rsidP="005E649C">
      <w:pPr>
        <w:pStyle w:val="JuryInstructionBullets"/>
      </w:pPr>
      <w:r>
        <w:t>By what methods, if any, did DFT edit or check the statement for accuracy?</w:t>
      </w:r>
    </w:p>
    <w:p w14:paraId="53EA1E49" w14:textId="77777777" w:rsidR="00846E1E" w:rsidRDefault="00846E1E" w:rsidP="00846E1E">
      <w:pPr>
        <w:pStyle w:val="JuryInstructionText"/>
        <w:rPr>
          <w:b/>
          <w:bCs/>
        </w:rPr>
      </w:pPr>
      <w:r>
        <w:rPr>
          <w:b/>
          <w:bCs/>
        </w:rPr>
        <w:t>DEFENSES [See “Defamation- Defenses” Instruction]</w:t>
      </w:r>
    </w:p>
    <w:p w14:paraId="5798BAC6" w14:textId="77777777" w:rsidR="00846E1E" w:rsidRDefault="00846E1E" w:rsidP="00846E1E">
      <w:pPr>
        <w:pStyle w:val="JuryInstructionText"/>
      </w:pPr>
      <w:r w:rsidRPr="00C37317">
        <w:rPr>
          <w:b/>
          <w:bCs/>
        </w:rPr>
        <w:t>DAMAGES</w:t>
      </w:r>
      <w:r>
        <w:rPr>
          <w:b/>
          <w:bCs/>
        </w:rPr>
        <w:t xml:space="preserve">  [See “Defamation-Damages” Instruction]</w:t>
      </w:r>
    </w:p>
    <w:sectPr w:rsidR="00846E1E" w:rsidSect="00F74A90">
      <w:footerReference w:type="default" r:id="rId7"/>
      <w:pgSz w:w="12240" w:h="15840" w:code="1"/>
      <w:pgMar w:top="1440" w:right="1440" w:bottom="1440" w:left="1440" w:header="648" w:footer="6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3289" w14:textId="77777777" w:rsidR="00D336CD" w:rsidRDefault="00D336CD" w:rsidP="00F74A90">
      <w:r>
        <w:separator/>
      </w:r>
    </w:p>
  </w:endnote>
  <w:endnote w:type="continuationSeparator" w:id="0">
    <w:p w14:paraId="63CFED76" w14:textId="77777777" w:rsidR="00D336CD" w:rsidRDefault="00D336CD" w:rsidP="00F7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42F6D" w14:textId="2BA91F15" w:rsidR="00037D40" w:rsidRDefault="00992410" w:rsidP="003511A1">
    <w:pPr>
      <w:tabs>
        <w:tab w:val="right" w:pos="9360"/>
      </w:tabs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A368E" w14:textId="77777777" w:rsidR="00D336CD" w:rsidRDefault="00D336CD" w:rsidP="00F74A90">
      <w:r>
        <w:separator/>
      </w:r>
    </w:p>
  </w:footnote>
  <w:footnote w:type="continuationSeparator" w:id="0">
    <w:p w14:paraId="34D25353" w14:textId="77777777" w:rsidR="00D336CD" w:rsidRDefault="00D336CD" w:rsidP="00F74A90">
      <w:r>
        <w:continuationSeparator/>
      </w:r>
    </w:p>
  </w:footnote>
  <w:footnote w:id="1">
    <w:p w14:paraId="1942191F" w14:textId="0AFB934D" w:rsidR="00846E1E" w:rsidRDefault="00846E1E" w:rsidP="00846E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E649C">
        <w:tab/>
      </w:r>
      <w:r>
        <w:t xml:space="preserve">In </w:t>
      </w:r>
      <w:r w:rsidRPr="00241256">
        <w:rPr>
          <w:i/>
        </w:rPr>
        <w:t>Tripoli</w:t>
      </w:r>
      <w:r w:rsidR="005E649C" w:rsidRPr="005E649C">
        <w:t xml:space="preserve"> v. </w:t>
      </w:r>
      <w:r w:rsidRPr="00241256">
        <w:rPr>
          <w:i/>
        </w:rPr>
        <w:t>Boston Herald--Traveler Corp</w:t>
      </w:r>
      <w:r>
        <w:t>., 359 Mass. 150, 153 (1971), the SJC said:</w:t>
      </w:r>
    </w:p>
    <w:p w14:paraId="17CA6FEA" w14:textId="0C8CA8FC" w:rsidR="00846E1E" w:rsidRDefault="00846E1E" w:rsidP="002C09E5">
      <w:pPr>
        <w:pStyle w:val="FootnoteText"/>
        <w:ind w:left="432" w:firstLine="0"/>
      </w:pPr>
      <w:r>
        <w:t xml:space="preserve">"We agree that it is a generally accepted legal principle that words published, when read as a whole and which create the impression that a person has committed a crime, are libelous per se. </w:t>
      </w:r>
      <w:r w:rsidRPr="00241256">
        <w:rPr>
          <w:i/>
        </w:rPr>
        <w:t>Lyman</w:t>
      </w:r>
      <w:r w:rsidR="005E649C" w:rsidRPr="005E649C">
        <w:t xml:space="preserve"> v. </w:t>
      </w:r>
      <w:r w:rsidRPr="00241256">
        <w:rPr>
          <w:i/>
        </w:rPr>
        <w:t>New England Newspaper Publishing Co</w:t>
      </w:r>
      <w:r>
        <w:t xml:space="preserve">., 286 Mass. 258, 262 (1934). King v. Northeastern Publishing Co., 294 Mass. 369 (1936). However, this does not entitle a person to recover where a matter of 'public interest' is involved, </w:t>
      </w:r>
      <w:r w:rsidRPr="00241256">
        <w:rPr>
          <w:i/>
        </w:rPr>
        <w:t>Time, Inc.</w:t>
      </w:r>
      <w:r w:rsidR="005E649C" w:rsidRPr="005E649C">
        <w:t xml:space="preserve"> v. </w:t>
      </w:r>
      <w:r w:rsidRPr="00241256">
        <w:rPr>
          <w:i/>
        </w:rPr>
        <w:t>Hill</w:t>
      </w:r>
      <w:r>
        <w:t xml:space="preserve">, 385 U.S. 374, 388 (1967), or where the person has attained the status of a 'public figure,' </w:t>
      </w:r>
      <w:r w:rsidRPr="00241256">
        <w:rPr>
          <w:i/>
        </w:rPr>
        <w:t>Curtis Publishing Co.</w:t>
      </w:r>
      <w:r w:rsidR="005E649C" w:rsidRPr="005E649C">
        <w:t xml:space="preserve"> v. </w:t>
      </w:r>
      <w:r w:rsidRPr="00241256">
        <w:rPr>
          <w:i/>
        </w:rPr>
        <w:t>Butts</w:t>
      </w:r>
      <w:r>
        <w:t>, 388 U.S. 130, 155 (1967), unless actual malice is shown."</w:t>
      </w:r>
    </w:p>
  </w:footnote>
  <w:footnote w:id="2">
    <w:p w14:paraId="4C341995" w14:textId="22A57271" w:rsidR="00846E1E" w:rsidRDefault="00846E1E" w:rsidP="005E649C">
      <w:pPr>
        <w:pStyle w:val="FootnoteText"/>
      </w:pPr>
      <w:r>
        <w:rPr>
          <w:rStyle w:val="FootnoteReference"/>
        </w:rPr>
        <w:footnoteRef/>
      </w:r>
      <w:r w:rsidR="005E649C">
        <w:tab/>
      </w:r>
      <w:r>
        <w:t>This instruction therefore uses the phrase “made a statement” and reserves the bracketed word, “published,” for cases where the common and legal meaning of that word converge</w:t>
      </w:r>
      <w:r w:rsidR="005E649C">
        <w:t xml:space="preserve">. </w:t>
      </w:r>
      <w:r>
        <w:t xml:space="preserve">See “Defamation – Private Person,” Instruction x.1.1 n. 1, citing </w:t>
      </w:r>
      <w:r w:rsidRPr="00344781">
        <w:rPr>
          <w:i/>
          <w:iCs/>
        </w:rPr>
        <w:t>Scholz</w:t>
      </w:r>
      <w:r w:rsidR="005E649C" w:rsidRPr="005E649C">
        <w:rPr>
          <w:iCs/>
        </w:rPr>
        <w:t xml:space="preserve"> v. </w:t>
      </w:r>
      <w:proofErr w:type="spellStart"/>
      <w:r w:rsidRPr="00344781">
        <w:rPr>
          <w:i/>
          <w:iCs/>
        </w:rPr>
        <w:t>Delp</w:t>
      </w:r>
      <w:proofErr w:type="spellEnd"/>
      <w:r>
        <w:t xml:space="preserve">, 473 Mass. 242, 249 (2015), cert. denied, 136 S.Ct. 2411 (2016) (lawsuit against a newspaper); </w:t>
      </w:r>
      <w:r w:rsidRPr="00344781">
        <w:rPr>
          <w:i/>
          <w:iCs/>
        </w:rPr>
        <w:t>Li</w:t>
      </w:r>
      <w:r w:rsidR="005E649C" w:rsidRPr="005E649C">
        <w:rPr>
          <w:iCs/>
        </w:rPr>
        <w:t xml:space="preserve"> v. </w:t>
      </w:r>
      <w:r w:rsidRPr="00344781">
        <w:rPr>
          <w:i/>
          <w:iCs/>
        </w:rPr>
        <w:t>Zeng</w:t>
      </w:r>
      <w:r>
        <w:t xml:space="preserve">, 98 Mass. App. Ct. 743, 747 (November 3, 2020); </w:t>
      </w:r>
      <w:proofErr w:type="spellStart"/>
      <w:r w:rsidRPr="00344781">
        <w:rPr>
          <w:i/>
          <w:iCs/>
        </w:rPr>
        <w:t>Ravnikar</w:t>
      </w:r>
      <w:proofErr w:type="spellEnd"/>
      <w:r w:rsidR="005E649C" w:rsidRPr="005E649C">
        <w:rPr>
          <w:iCs/>
        </w:rPr>
        <w:t xml:space="preserve"> v. </w:t>
      </w:r>
      <w:proofErr w:type="spellStart"/>
      <w:r w:rsidRPr="00344781">
        <w:rPr>
          <w:i/>
          <w:iCs/>
        </w:rPr>
        <w:t>Bogojavlensky</w:t>
      </w:r>
      <w:proofErr w:type="spellEnd"/>
      <w:r>
        <w:t>, 438 Mass. 627, 629 (2003)</w:t>
      </w:r>
      <w:r w:rsidR="005E649C">
        <w:t xml:space="preserve">. </w:t>
      </w:r>
      <w:r>
        <w:t xml:space="preserve"> In appropriate cases, the judge may prefer the word “broadcast,” “posted,” emailed or similarly precise term.</w:t>
      </w:r>
    </w:p>
  </w:footnote>
  <w:footnote w:id="3">
    <w:p w14:paraId="05C63E1A" w14:textId="1036F3E3" w:rsidR="00846E1E" w:rsidRDefault="00846E1E" w:rsidP="00846E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E649C">
        <w:tab/>
      </w:r>
      <w:r>
        <w:t xml:space="preserve">Omit this phrase if the issue of truth or falsity arises only as a defense. </w:t>
      </w:r>
    </w:p>
  </w:footnote>
  <w:footnote w:id="4">
    <w:p w14:paraId="21491E2D" w14:textId="456581A9" w:rsidR="00846E1E" w:rsidRDefault="00846E1E" w:rsidP="00846E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E649C">
        <w:tab/>
      </w:r>
      <w:r>
        <w:t>This phrase may be important in some cases, but probably not in most of them</w:t>
      </w:r>
      <w:r w:rsidR="005E649C">
        <w:t xml:space="preserve">. </w:t>
      </w:r>
      <w:r>
        <w:t>See Instruction “Defamation</w:t>
      </w:r>
      <w:r w:rsidR="005E649C">
        <w:t xml:space="preserve"> – Liability</w:t>
      </w:r>
      <w:r>
        <w:t xml:space="preserve"> – Private Figure.”</w:t>
      </w:r>
    </w:p>
  </w:footnote>
  <w:footnote w:id="5">
    <w:p w14:paraId="0D1756B4" w14:textId="375A4671" w:rsidR="00846E1E" w:rsidRDefault="00846E1E" w:rsidP="00846E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C09E5">
        <w:tab/>
      </w:r>
      <w:r w:rsidRPr="00344781">
        <w:rPr>
          <w:i/>
          <w:iCs/>
        </w:rPr>
        <w:t>Li</w:t>
      </w:r>
      <w:r w:rsidR="005E649C" w:rsidRPr="005E649C">
        <w:rPr>
          <w:iCs/>
        </w:rPr>
        <w:t xml:space="preserve"> v. </w:t>
      </w:r>
      <w:r w:rsidRPr="00344781">
        <w:rPr>
          <w:i/>
          <w:iCs/>
        </w:rPr>
        <w:t>Zeng</w:t>
      </w:r>
      <w:r>
        <w:t xml:space="preserve">, 98 Mass. App. Ct. 743, xxx (2020), citing </w:t>
      </w:r>
      <w:r w:rsidRPr="00344781">
        <w:rPr>
          <w:i/>
          <w:iCs/>
        </w:rPr>
        <w:t>Scholz</w:t>
      </w:r>
      <w:r w:rsidR="005E649C" w:rsidRPr="005E649C">
        <w:rPr>
          <w:iCs/>
        </w:rPr>
        <w:t xml:space="preserve"> v. </w:t>
      </w:r>
      <w:proofErr w:type="spellStart"/>
      <w:r w:rsidRPr="00344781">
        <w:rPr>
          <w:i/>
          <w:iCs/>
        </w:rPr>
        <w:t>Delp</w:t>
      </w:r>
      <w:proofErr w:type="spellEnd"/>
      <w:r>
        <w:t xml:space="preserve">, 473 Mass. 242, 249 (2015), cert. denied, 136 S.Ct. 2411 (2016); </w:t>
      </w:r>
      <w:proofErr w:type="spellStart"/>
      <w:r w:rsidRPr="00344781">
        <w:rPr>
          <w:i/>
          <w:iCs/>
        </w:rPr>
        <w:t>Ravnikar</w:t>
      </w:r>
      <w:proofErr w:type="spellEnd"/>
      <w:r w:rsidR="005E649C" w:rsidRPr="005E649C">
        <w:rPr>
          <w:iCs/>
        </w:rPr>
        <w:t xml:space="preserve"> v. </w:t>
      </w:r>
      <w:proofErr w:type="spellStart"/>
      <w:r w:rsidRPr="00344781">
        <w:rPr>
          <w:i/>
          <w:iCs/>
        </w:rPr>
        <w:t>Bogojavlensky</w:t>
      </w:r>
      <w:proofErr w:type="spellEnd"/>
      <w:r>
        <w:t>, 438 Mass. 627, 629-630 (2003).</w:t>
      </w:r>
    </w:p>
  </w:footnote>
  <w:footnote w:id="6">
    <w:p w14:paraId="5365ED43" w14:textId="5D91A455" w:rsidR="00846E1E" w:rsidRPr="00FB26E9" w:rsidRDefault="00846E1E" w:rsidP="005E649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C09E5">
        <w:tab/>
      </w:r>
      <w:r w:rsidRPr="002C09E5">
        <w:t xml:space="preserve">See </w:t>
      </w:r>
      <w:r>
        <w:rPr>
          <w:i/>
          <w:iCs/>
        </w:rPr>
        <w:t>Howell</w:t>
      </w:r>
      <w:r w:rsidR="005E649C" w:rsidRPr="005E649C">
        <w:rPr>
          <w:iCs/>
        </w:rPr>
        <w:t xml:space="preserve"> v. </w:t>
      </w:r>
      <w:proofErr w:type="spellStart"/>
      <w:r>
        <w:rPr>
          <w:i/>
          <w:iCs/>
        </w:rPr>
        <w:t>Enter.Publ’g</w:t>
      </w:r>
      <w:proofErr w:type="spellEnd"/>
      <w:r>
        <w:rPr>
          <w:i/>
          <w:iCs/>
        </w:rPr>
        <w:t xml:space="preserve"> Co., 455 Mass. 641, 664 (2010) (public official); Astra USA, Inc.</w:t>
      </w:r>
      <w:r w:rsidR="005E649C" w:rsidRPr="005E649C">
        <w:rPr>
          <w:iCs/>
        </w:rPr>
        <w:t xml:space="preserve"> v. </w:t>
      </w:r>
      <w:proofErr w:type="spellStart"/>
      <w:r>
        <w:rPr>
          <w:i/>
          <w:iCs/>
        </w:rPr>
        <w:t>Bildman</w:t>
      </w:r>
      <w:proofErr w:type="spellEnd"/>
      <w:r>
        <w:rPr>
          <w:i/>
          <w:iCs/>
        </w:rPr>
        <w:t>, 455 Mass. 116, 144-146 (2009) (limited purpose public figure); Lane</w:t>
      </w:r>
      <w:r w:rsidR="005E649C" w:rsidRPr="005E649C">
        <w:rPr>
          <w:iCs/>
        </w:rPr>
        <w:t xml:space="preserve"> v. </w:t>
      </w:r>
      <w:r>
        <w:rPr>
          <w:i/>
          <w:iCs/>
        </w:rPr>
        <w:t>MPG Newspapers, 438 Mass. 476, 484 (2003)(public official); Stone</w:t>
      </w:r>
      <w:r w:rsidR="005E649C" w:rsidRPr="005E649C">
        <w:rPr>
          <w:iCs/>
        </w:rPr>
        <w:t xml:space="preserve"> v. </w:t>
      </w:r>
      <w:r>
        <w:rPr>
          <w:i/>
          <w:iCs/>
        </w:rPr>
        <w:t>Essex County Newspapers, Inc., 367 Mass. 849 , 866 (1975) (all-purpose public figure)</w:t>
      </w:r>
      <w:r w:rsidR="005E649C">
        <w:rPr>
          <w:i/>
          <w:iCs/>
        </w:rPr>
        <w:t xml:space="preserve">. </w:t>
      </w:r>
      <w:r>
        <w:t>While the judge usually determines whether the plaintiff is a public or private figure, it is possible that disputes of fact will lead the court to submit the question to the jury, with proper instructions</w:t>
      </w:r>
      <w:r w:rsidR="005E649C">
        <w:t xml:space="preserve">. </w:t>
      </w:r>
      <w:r>
        <w:t>Because a jury issue on this question is so rare, the judge will need to fashion a case-specific instruction, using the above-cited cases as a guide.</w:t>
      </w:r>
    </w:p>
  </w:footnote>
  <w:footnote w:id="7">
    <w:p w14:paraId="084C1430" w14:textId="6A1C5FBC" w:rsidR="00846E1E" w:rsidRDefault="00846E1E" w:rsidP="00846E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C09E5">
        <w:tab/>
      </w:r>
      <w:r>
        <w:t xml:space="preserve">See </w:t>
      </w:r>
      <w:r w:rsidRPr="0060695D">
        <w:rPr>
          <w:i/>
          <w:iCs/>
        </w:rPr>
        <w:t>Phelan</w:t>
      </w:r>
      <w:r w:rsidR="005E649C" w:rsidRPr="005E649C">
        <w:rPr>
          <w:iCs/>
        </w:rPr>
        <w:t xml:space="preserve"> v. </w:t>
      </w:r>
      <w:r w:rsidRPr="0060695D">
        <w:rPr>
          <w:i/>
          <w:iCs/>
        </w:rPr>
        <w:t xml:space="preserve">May </w:t>
      </w:r>
      <w:proofErr w:type="spellStart"/>
      <w:r w:rsidRPr="0060695D">
        <w:rPr>
          <w:i/>
          <w:iCs/>
        </w:rPr>
        <w:t>Dep’t</w:t>
      </w:r>
      <w:proofErr w:type="spellEnd"/>
      <w:r w:rsidRPr="0060695D">
        <w:rPr>
          <w:i/>
          <w:iCs/>
        </w:rPr>
        <w:t xml:space="preserve"> Stores Co</w:t>
      </w:r>
      <w:r>
        <w:t>., 443 Mass. 52, 58 (2004).</w:t>
      </w:r>
    </w:p>
  </w:footnote>
  <w:footnote w:id="8">
    <w:p w14:paraId="69AF17AD" w14:textId="4EFA0EF3" w:rsidR="00846E1E" w:rsidRDefault="00846E1E" w:rsidP="00846E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C09E5">
        <w:tab/>
      </w:r>
      <w:r w:rsidRPr="00344781">
        <w:rPr>
          <w:i/>
          <w:iCs/>
        </w:rPr>
        <w:t>Li</w:t>
      </w:r>
      <w:r w:rsidR="005E649C" w:rsidRPr="005E649C">
        <w:rPr>
          <w:iCs/>
        </w:rPr>
        <w:t xml:space="preserve"> v. </w:t>
      </w:r>
      <w:r w:rsidRPr="00344781">
        <w:rPr>
          <w:i/>
          <w:iCs/>
        </w:rPr>
        <w:t>Zeng</w:t>
      </w:r>
      <w:r>
        <w:t xml:space="preserve">, 98 Mass. App. Ct. 743, 747-748 (2020), citing </w:t>
      </w:r>
      <w:r w:rsidRPr="00344781">
        <w:rPr>
          <w:i/>
          <w:iCs/>
        </w:rPr>
        <w:t>Scholz</w:t>
      </w:r>
      <w:r w:rsidR="005E649C" w:rsidRPr="005E649C">
        <w:rPr>
          <w:iCs/>
        </w:rPr>
        <w:t xml:space="preserve"> v. </w:t>
      </w:r>
      <w:proofErr w:type="spellStart"/>
      <w:r w:rsidRPr="00344781">
        <w:rPr>
          <w:i/>
          <w:iCs/>
        </w:rPr>
        <w:t>Delp</w:t>
      </w:r>
      <w:proofErr w:type="spellEnd"/>
      <w:r>
        <w:t xml:space="preserve">, 473 Mass. 242, 249 (2015), cert. denied, 136 S.Ct. 2411 (2016), </w:t>
      </w:r>
      <w:r w:rsidRPr="0006321C">
        <w:rPr>
          <w:i/>
          <w:iCs/>
        </w:rPr>
        <w:t>ELM Med. Lab., Inc.</w:t>
      </w:r>
      <w:r w:rsidR="005E649C" w:rsidRPr="005E649C">
        <w:rPr>
          <w:iCs/>
        </w:rPr>
        <w:t xml:space="preserve"> v. </w:t>
      </w:r>
      <w:r w:rsidRPr="0006321C">
        <w:rPr>
          <w:i/>
          <w:iCs/>
        </w:rPr>
        <w:t>RKO Gen., Inc</w:t>
      </w:r>
      <w:r>
        <w:t>., 403 Mass. 779, 785 (1989)</w:t>
      </w:r>
      <w:r w:rsidR="005E649C">
        <w:t xml:space="preserve">. </w:t>
      </w:r>
      <w:r>
        <w:t>Note that there may be situations where a plaintiff may sue for defamation of a pseudonym, for damages for harm to the pseudonym’s reputation in the community</w:t>
      </w:r>
      <w:r w:rsidR="005E649C">
        <w:t xml:space="preserve">. </w:t>
      </w:r>
      <w:r w:rsidRPr="006C3E80">
        <w:rPr>
          <w:i/>
        </w:rPr>
        <w:t>Li</w:t>
      </w:r>
      <w:r w:rsidR="005E649C" w:rsidRPr="005E649C">
        <w:t xml:space="preserve"> v. </w:t>
      </w:r>
      <w:r w:rsidRPr="006C3E80">
        <w:rPr>
          <w:i/>
        </w:rPr>
        <w:t>Zeng</w:t>
      </w:r>
      <w:r>
        <w:t>, 98 Mass. App. Ct. 743, 749 (2020).</w:t>
      </w:r>
    </w:p>
  </w:footnote>
  <w:footnote w:id="9">
    <w:p w14:paraId="7D2C486C" w14:textId="7CBB9B64" w:rsidR="00846E1E" w:rsidRDefault="00846E1E" w:rsidP="00846E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C09E5">
        <w:tab/>
      </w:r>
      <w:r>
        <w:t>The judge should submit the question of fact versus opinion to the jury if a reasonable person could have understood the statement as either an opinion or a statement of fact</w:t>
      </w:r>
      <w:r w:rsidR="005E649C">
        <w:t xml:space="preserve">. </w:t>
      </w:r>
      <w:r>
        <w:t xml:space="preserve">See </w:t>
      </w:r>
      <w:r w:rsidRPr="006C3E80">
        <w:rPr>
          <w:i/>
        </w:rPr>
        <w:t>Phelan</w:t>
      </w:r>
      <w:r w:rsidR="005E649C" w:rsidRPr="005E649C">
        <w:t xml:space="preserve"> v. </w:t>
      </w:r>
      <w:r w:rsidRPr="006C3E80">
        <w:rPr>
          <w:i/>
        </w:rPr>
        <w:t xml:space="preserve">May </w:t>
      </w:r>
      <w:proofErr w:type="spellStart"/>
      <w:r w:rsidRPr="006C3E80">
        <w:rPr>
          <w:i/>
        </w:rPr>
        <w:t>Dep</w:t>
      </w:r>
      <w:r w:rsidR="00BA2AE6">
        <w:rPr>
          <w:i/>
        </w:rPr>
        <w:t>’</w:t>
      </w:r>
      <w:r w:rsidRPr="006C3E80">
        <w:rPr>
          <w:i/>
        </w:rPr>
        <w:t>t</w:t>
      </w:r>
      <w:proofErr w:type="spellEnd"/>
      <w:r w:rsidRPr="006C3E80">
        <w:rPr>
          <w:i/>
        </w:rPr>
        <w:t xml:space="preserve"> Stores Co</w:t>
      </w:r>
      <w:r>
        <w:t xml:space="preserve">., 443 Mass. 52, 57 (2004); </w:t>
      </w:r>
      <w:proofErr w:type="spellStart"/>
      <w:r w:rsidRPr="006C3E80">
        <w:rPr>
          <w:i/>
        </w:rPr>
        <w:t>Aldoupolis</w:t>
      </w:r>
      <w:proofErr w:type="spellEnd"/>
      <w:r w:rsidR="005E649C" w:rsidRPr="005E649C">
        <w:t xml:space="preserve"> v. </w:t>
      </w:r>
      <w:r w:rsidRPr="006C3E80">
        <w:rPr>
          <w:i/>
        </w:rPr>
        <w:t>Globe Newspaper Co</w:t>
      </w:r>
      <w:r>
        <w:t>., 398 Mass. 731, 733-734 (1986).</w:t>
      </w:r>
    </w:p>
  </w:footnote>
  <w:footnote w:id="10">
    <w:p w14:paraId="78DDC99B" w14:textId="0B4E7684" w:rsidR="00846E1E" w:rsidRPr="002C09E5" w:rsidRDefault="00846E1E" w:rsidP="002C09E5">
      <w:pPr>
        <w:pStyle w:val="FootnoteText"/>
        <w:rPr>
          <w:rFonts w:cs="Segoe UI Historic"/>
        </w:rPr>
      </w:pPr>
      <w:r w:rsidRPr="00D2584E">
        <w:rPr>
          <w:rStyle w:val="FootnoteReference"/>
          <w:rFonts w:cs="Segoe UI Historic"/>
        </w:rPr>
        <w:footnoteRef/>
      </w:r>
      <w:r w:rsidRPr="00D2584E">
        <w:rPr>
          <w:rFonts w:cs="Segoe UI Historic"/>
        </w:rPr>
        <w:t xml:space="preserve"> </w:t>
      </w:r>
      <w:r w:rsidR="002C09E5">
        <w:rPr>
          <w:rFonts w:cs="Segoe UI Historic"/>
        </w:rPr>
        <w:tab/>
      </w:r>
      <w:r w:rsidRPr="00D2584E">
        <w:rPr>
          <w:rFonts w:cs="Segoe UI Historic"/>
        </w:rPr>
        <w:t>"</w:t>
      </w:r>
      <w:r w:rsidRPr="00D2584E">
        <w:rPr>
          <w:rFonts w:cs="Segoe UI Historic"/>
          <w:color w:val="222222"/>
          <w:shd w:val="clear" w:color="auto" w:fill="FFFFFF"/>
        </w:rPr>
        <w:t xml:space="preserve">A statement is defamatory if it ‘may reasonably be read as discrediting [the plaintiff] in the minds of any considerable and respectable class of the community.’"  </w:t>
      </w:r>
      <w:r w:rsidRPr="00D2584E">
        <w:rPr>
          <w:rFonts w:cs="Segoe UI Historic"/>
          <w:i/>
        </w:rPr>
        <w:t>Noonan</w:t>
      </w:r>
      <w:r w:rsidR="005E649C" w:rsidRPr="005E649C">
        <w:rPr>
          <w:rFonts w:cs="Segoe UI Historic"/>
        </w:rPr>
        <w:t xml:space="preserve"> v. </w:t>
      </w:r>
      <w:r w:rsidRPr="00D2584E">
        <w:rPr>
          <w:rFonts w:cs="Segoe UI Historic"/>
          <w:i/>
        </w:rPr>
        <w:t>Staples, Inc</w:t>
      </w:r>
      <w:r w:rsidRPr="00D2584E">
        <w:rPr>
          <w:rFonts w:cs="Segoe UI Historic"/>
        </w:rPr>
        <w:t>., 556 F.3d 20, 25 (1st Cir. 2009), quoting</w:t>
      </w:r>
      <w:r w:rsidR="002C09E5">
        <w:rPr>
          <w:rFonts w:cs="Segoe UI Historic"/>
        </w:rPr>
        <w:t xml:space="preserve"> </w:t>
      </w:r>
      <w:proofErr w:type="spellStart"/>
      <w:r w:rsidR="002C09E5" w:rsidRPr="002C09E5">
        <w:rPr>
          <w:rFonts w:cs="Segoe UI Historic"/>
          <w:i/>
          <w:iCs/>
        </w:rPr>
        <w:t>Disend</w:t>
      </w:r>
      <w:proofErr w:type="spellEnd"/>
      <w:r w:rsidR="002C09E5" w:rsidRPr="002C09E5">
        <w:rPr>
          <w:rFonts w:cs="Segoe UI Historic"/>
        </w:rPr>
        <w:t xml:space="preserve"> v. </w:t>
      </w:r>
      <w:r w:rsidR="002C09E5" w:rsidRPr="002C09E5">
        <w:rPr>
          <w:rFonts w:cs="Segoe UI Historic"/>
          <w:i/>
          <w:iCs/>
        </w:rPr>
        <w:t>Meadowbrook Sch.</w:t>
      </w:r>
      <w:r w:rsidR="002C09E5" w:rsidRPr="002C09E5">
        <w:rPr>
          <w:rFonts w:cs="Segoe UI Historic"/>
        </w:rPr>
        <w:t xml:space="preserve">, 33 Mass. App. Ct. 674, 675 (1992), citing </w:t>
      </w:r>
      <w:proofErr w:type="spellStart"/>
      <w:r w:rsidR="002C09E5" w:rsidRPr="002C09E5">
        <w:rPr>
          <w:rFonts w:cs="Segoe UI Historic"/>
          <w:i/>
          <w:iCs/>
        </w:rPr>
        <w:t>Sharratt</w:t>
      </w:r>
      <w:proofErr w:type="spellEnd"/>
      <w:r w:rsidR="002C09E5" w:rsidRPr="002C09E5">
        <w:rPr>
          <w:rFonts w:cs="Segoe UI Historic"/>
        </w:rPr>
        <w:t xml:space="preserve"> v. </w:t>
      </w:r>
      <w:r w:rsidR="002C09E5" w:rsidRPr="002C09E5">
        <w:rPr>
          <w:rFonts w:cs="Segoe UI Historic"/>
          <w:i/>
          <w:iCs/>
        </w:rPr>
        <w:t xml:space="preserve">Housing </w:t>
      </w:r>
      <w:proofErr w:type="spellStart"/>
      <w:r w:rsidR="002C09E5" w:rsidRPr="002C09E5">
        <w:rPr>
          <w:rFonts w:cs="Segoe UI Historic"/>
          <w:i/>
          <w:iCs/>
        </w:rPr>
        <w:t>Innnovations</w:t>
      </w:r>
      <w:proofErr w:type="spellEnd"/>
      <w:r w:rsidR="002C09E5" w:rsidRPr="002C09E5">
        <w:rPr>
          <w:rFonts w:cs="Segoe UI Historic"/>
          <w:i/>
          <w:iCs/>
        </w:rPr>
        <w:t>, Inc.</w:t>
      </w:r>
      <w:r w:rsidR="002C09E5" w:rsidRPr="002C09E5">
        <w:rPr>
          <w:rFonts w:cs="Segoe UI Historic"/>
        </w:rPr>
        <w:t>, 365 Mass. 141, 145 (1974).</w:t>
      </w:r>
    </w:p>
  </w:footnote>
  <w:footnote w:id="11">
    <w:p w14:paraId="6F8C3CBC" w14:textId="554184D2" w:rsidR="00846E1E" w:rsidRDefault="00846E1E" w:rsidP="00846E1E">
      <w:pPr>
        <w:pStyle w:val="FootnoteText"/>
      </w:pPr>
      <w:r>
        <w:rPr>
          <w:rStyle w:val="FootnoteReference"/>
        </w:rPr>
        <w:footnoteRef/>
      </w:r>
      <w:r w:rsidR="002C09E5">
        <w:tab/>
      </w:r>
      <w:r>
        <w:t xml:space="preserve">This instruction places the burden of proving falsity on the plaintiff, </w:t>
      </w:r>
      <w:proofErr w:type="gramStart"/>
      <w:r>
        <w:t>because,  “</w:t>
      </w:r>
      <w:proofErr w:type="gramEnd"/>
      <w:r>
        <w:t>[i[</w:t>
      </w:r>
      <w:r w:rsidRPr="00655078">
        <w:t>n cases</w:t>
      </w:r>
      <w:r>
        <w:t xml:space="preserve"> . . .</w:t>
      </w:r>
      <w:r w:rsidRPr="00655078">
        <w:t xml:space="preserve"> involving matters of public concern published by a media defendant, the burden is on the plaintiff to prove falsity.</w:t>
      </w:r>
      <w:r>
        <w:t xml:space="preserve">” </w:t>
      </w:r>
      <w:r w:rsidRPr="007271A5">
        <w:rPr>
          <w:i/>
          <w:iCs/>
        </w:rPr>
        <w:t>Murphy</w:t>
      </w:r>
      <w:r w:rsidR="005E649C" w:rsidRPr="005E649C">
        <w:rPr>
          <w:iCs/>
        </w:rPr>
        <w:t xml:space="preserve"> v. </w:t>
      </w:r>
      <w:r w:rsidRPr="007271A5">
        <w:rPr>
          <w:i/>
          <w:iCs/>
        </w:rPr>
        <w:t>Boston Herald,</w:t>
      </w:r>
      <w:r>
        <w:t xml:space="preserve"> 442 Mass. 42, 51 (2003)</w:t>
      </w:r>
      <w:r w:rsidR="005E649C">
        <w:t xml:space="preserve">. </w:t>
      </w:r>
      <w:r>
        <w:t xml:space="preserve">See </w:t>
      </w:r>
      <w:proofErr w:type="spellStart"/>
      <w:r w:rsidRPr="007271A5">
        <w:rPr>
          <w:i/>
          <w:iCs/>
        </w:rPr>
        <w:t>Shaari</w:t>
      </w:r>
      <w:proofErr w:type="spellEnd"/>
      <w:r w:rsidR="005E649C" w:rsidRPr="005E649C">
        <w:rPr>
          <w:iCs/>
        </w:rPr>
        <w:t xml:space="preserve"> v. </w:t>
      </w:r>
      <w:r w:rsidRPr="007271A5">
        <w:rPr>
          <w:i/>
          <w:iCs/>
        </w:rPr>
        <w:t>Harvard Student Agencies, Inc</w:t>
      </w:r>
      <w:r>
        <w:t>., 427 Mass. 129 (1998)</w:t>
      </w:r>
      <w:r w:rsidR="005E649C">
        <w:t xml:space="preserve">. </w:t>
      </w:r>
      <w:r>
        <w:t>In other cases, the court should use the instruction for truth as a defense</w:t>
      </w:r>
      <w:r w:rsidR="002C09E5">
        <w:t>. See instruction “Civ – Defamation –Defenses.”</w:t>
      </w:r>
    </w:p>
  </w:footnote>
  <w:footnote w:id="12">
    <w:p w14:paraId="7202FB32" w14:textId="1E824D28" w:rsidR="00846E1E" w:rsidRDefault="00846E1E" w:rsidP="00D63A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C09E5">
        <w:tab/>
      </w:r>
      <w:r w:rsidRPr="00D2584E">
        <w:rPr>
          <w:i/>
        </w:rPr>
        <w:t>Smith</w:t>
      </w:r>
      <w:r w:rsidR="005E649C" w:rsidRPr="005E649C">
        <w:t xml:space="preserve"> v. </w:t>
      </w:r>
      <w:r w:rsidRPr="00D2584E">
        <w:rPr>
          <w:i/>
        </w:rPr>
        <w:t>Suburban Restaurants, Inc</w:t>
      </w:r>
      <w:r>
        <w:t xml:space="preserve">., 374 Mass. 528, 529-530 (1978); </w:t>
      </w:r>
      <w:proofErr w:type="spellStart"/>
      <w:r w:rsidR="00D63AE9">
        <w:rPr>
          <w:rFonts w:cs="Segoe UI Historic"/>
          <w:i/>
          <w:iCs/>
          <w:szCs w:val="22"/>
        </w:rPr>
        <w:t>Disend</w:t>
      </w:r>
      <w:proofErr w:type="spellEnd"/>
      <w:r w:rsidR="00D63AE9">
        <w:rPr>
          <w:rFonts w:cs="Segoe UI Historic"/>
          <w:szCs w:val="22"/>
        </w:rPr>
        <w:t xml:space="preserve"> v. </w:t>
      </w:r>
      <w:r w:rsidR="00D63AE9">
        <w:rPr>
          <w:rFonts w:cs="Segoe UI Historic"/>
          <w:i/>
          <w:iCs/>
          <w:szCs w:val="22"/>
        </w:rPr>
        <w:t>Meadowbrook Sch.</w:t>
      </w:r>
      <w:r w:rsidR="00D63AE9">
        <w:rPr>
          <w:rFonts w:cs="Segoe UI Historic"/>
          <w:szCs w:val="22"/>
        </w:rPr>
        <w:t xml:space="preserve">, 33 Mass. App. Ct. 674, 675 (1992), citing </w:t>
      </w:r>
      <w:proofErr w:type="spellStart"/>
      <w:r w:rsidR="00D63AE9">
        <w:rPr>
          <w:rFonts w:cs="Segoe UI Historic"/>
          <w:i/>
          <w:iCs/>
          <w:szCs w:val="22"/>
        </w:rPr>
        <w:t>Sharratt</w:t>
      </w:r>
      <w:proofErr w:type="spellEnd"/>
      <w:r w:rsidR="00D63AE9">
        <w:rPr>
          <w:rFonts w:cs="Segoe UI Historic"/>
          <w:szCs w:val="22"/>
        </w:rPr>
        <w:t xml:space="preserve"> v. </w:t>
      </w:r>
      <w:r w:rsidR="00D63AE9">
        <w:rPr>
          <w:rFonts w:cs="Segoe UI Historic"/>
          <w:i/>
          <w:iCs/>
          <w:szCs w:val="22"/>
        </w:rPr>
        <w:t xml:space="preserve">Housing </w:t>
      </w:r>
      <w:proofErr w:type="spellStart"/>
      <w:r w:rsidR="00D63AE9">
        <w:rPr>
          <w:rFonts w:cs="Segoe UI Historic"/>
          <w:i/>
          <w:iCs/>
          <w:szCs w:val="22"/>
        </w:rPr>
        <w:t>Innnovations</w:t>
      </w:r>
      <w:proofErr w:type="spellEnd"/>
      <w:r w:rsidR="00D63AE9">
        <w:rPr>
          <w:rFonts w:cs="Segoe UI Historic"/>
          <w:i/>
          <w:iCs/>
          <w:szCs w:val="22"/>
        </w:rPr>
        <w:t>, Inc.</w:t>
      </w:r>
      <w:r w:rsidR="00D63AE9">
        <w:rPr>
          <w:rFonts w:cs="Segoe UI Historic"/>
          <w:szCs w:val="22"/>
        </w:rPr>
        <w:t>, 365 Mass. 141, 145 (1974).</w:t>
      </w:r>
    </w:p>
  </w:footnote>
  <w:footnote w:id="13">
    <w:p w14:paraId="776B9397" w14:textId="01546A65" w:rsidR="00846E1E" w:rsidRDefault="00846E1E" w:rsidP="00846E1E">
      <w:pPr>
        <w:pStyle w:val="FootnoteText"/>
      </w:pPr>
      <w:r>
        <w:rPr>
          <w:rStyle w:val="FootnoteReference"/>
        </w:rPr>
        <w:footnoteRef/>
      </w:r>
      <w:r w:rsidR="002C09E5">
        <w:tab/>
      </w:r>
      <w:r>
        <w:t xml:space="preserve">This instruction avoids the phrase “actual malice.”  On this </w:t>
      </w:r>
      <w:proofErr w:type="gramStart"/>
      <w:r>
        <w:t>particular issue</w:t>
      </w:r>
      <w:proofErr w:type="gramEnd"/>
      <w:r>
        <w:t xml:space="preserve"> the United States Supreme Court has expressly advised trial judges to use “plain English.” </w:t>
      </w:r>
      <w:r w:rsidRPr="002C09E5">
        <w:rPr>
          <w:i/>
          <w:iCs/>
        </w:rPr>
        <w:t>Harte-Hanks Communications, Inc</w:t>
      </w:r>
      <w:r w:rsidRPr="002C09E5">
        <w:t xml:space="preserve">. v. </w:t>
      </w:r>
      <w:r w:rsidRPr="002C09E5">
        <w:rPr>
          <w:i/>
          <w:iCs/>
        </w:rPr>
        <w:t>Connaughton</w:t>
      </w:r>
      <w:r>
        <w:t>, 491 U.S. 657, 666 n. 7 (1989)</w:t>
      </w:r>
      <w:r w:rsidR="005E649C">
        <w:t xml:space="preserve">. </w:t>
      </w:r>
    </w:p>
  </w:footnote>
  <w:footnote w:id="14">
    <w:p w14:paraId="7509ED61" w14:textId="74358F4D" w:rsidR="00846E1E" w:rsidRDefault="00846E1E" w:rsidP="00846E1E">
      <w:pPr>
        <w:pStyle w:val="FootnoteText"/>
      </w:pPr>
      <w:r>
        <w:rPr>
          <w:rStyle w:val="FootnoteReference"/>
        </w:rPr>
        <w:footnoteRef/>
      </w:r>
      <w:r w:rsidR="002C09E5">
        <w:tab/>
      </w:r>
      <w:r>
        <w:t xml:space="preserve">See also </w:t>
      </w:r>
      <w:r w:rsidRPr="00672E81">
        <w:rPr>
          <w:i/>
        </w:rPr>
        <w:t>Callahan</w:t>
      </w:r>
      <w:r w:rsidR="005E649C" w:rsidRPr="005E649C">
        <w:t xml:space="preserve"> v. </w:t>
      </w:r>
      <w:r w:rsidRPr="00672E81">
        <w:rPr>
          <w:i/>
        </w:rPr>
        <w:t>Westinghouse Board. Co., Inc</w:t>
      </w:r>
      <w:r>
        <w:t>. 372 Mass. 582, 588 n. 3 (1977) (setting forth a possible charge on “clear and convincing evidence”).</w:t>
      </w:r>
    </w:p>
  </w:footnote>
  <w:footnote w:id="15">
    <w:p w14:paraId="18E4A73D" w14:textId="7C9A093B" w:rsidR="00846E1E" w:rsidRDefault="00846E1E" w:rsidP="005E649C">
      <w:pPr>
        <w:pStyle w:val="FootnoteText"/>
      </w:pPr>
      <w:r>
        <w:rPr>
          <w:rStyle w:val="FootnoteReference"/>
        </w:rPr>
        <w:footnoteRef/>
      </w:r>
      <w:r w:rsidR="002C09E5">
        <w:tab/>
      </w:r>
      <w:proofErr w:type="spellStart"/>
      <w:r w:rsidRPr="00440ED0">
        <w:rPr>
          <w:i/>
        </w:rPr>
        <w:t>HipSaver</w:t>
      </w:r>
      <w:proofErr w:type="spellEnd"/>
      <w:r w:rsidRPr="00440ED0">
        <w:rPr>
          <w:i/>
        </w:rPr>
        <w:t>, Inc.</w:t>
      </w:r>
      <w:r w:rsidR="005E649C" w:rsidRPr="005E649C">
        <w:t xml:space="preserve"> v. </w:t>
      </w:r>
      <w:r w:rsidRPr="00440ED0">
        <w:rPr>
          <w:i/>
        </w:rPr>
        <w:t>Kiel</w:t>
      </w:r>
      <w:r>
        <w:t>, 464 Mass. 517, 530 (2013)</w:t>
      </w:r>
      <w:r w:rsidR="005E649C">
        <w:t xml:space="preserve">. </w:t>
      </w:r>
      <w:r w:rsidRPr="00440ED0">
        <w:rPr>
          <w:i/>
        </w:rPr>
        <w:t>Murphy</w:t>
      </w:r>
      <w:r w:rsidR="005E649C" w:rsidRPr="005E649C">
        <w:t xml:space="preserve"> v. </w:t>
      </w:r>
      <w:r w:rsidRPr="00440ED0">
        <w:rPr>
          <w:i/>
        </w:rPr>
        <w:t>Boston Herald, Inc</w:t>
      </w:r>
      <w:r>
        <w:t>., 449 Mass. 42, 48</w:t>
      </w:r>
      <w:r w:rsidR="002C09E5">
        <w:t>–</w:t>
      </w:r>
      <w:r>
        <w:t>59 (2007).</w:t>
      </w:r>
    </w:p>
  </w:footnote>
  <w:footnote w:id="16">
    <w:p w14:paraId="16F09286" w14:textId="5E460953" w:rsidR="00846E1E" w:rsidRDefault="00846E1E" w:rsidP="00846E1E">
      <w:pPr>
        <w:pStyle w:val="FootnoteText"/>
      </w:pPr>
      <w:r>
        <w:rPr>
          <w:rStyle w:val="FootnoteReference"/>
        </w:rPr>
        <w:footnoteRef/>
      </w:r>
      <w:r w:rsidR="002C09E5">
        <w:tab/>
      </w:r>
      <w:proofErr w:type="spellStart"/>
      <w:r w:rsidRPr="00672E81">
        <w:rPr>
          <w:i/>
        </w:rPr>
        <w:t>Rotkiewicz</w:t>
      </w:r>
      <w:proofErr w:type="spellEnd"/>
      <w:r w:rsidR="005E649C" w:rsidRPr="005E649C">
        <w:t xml:space="preserve"> v. </w:t>
      </w:r>
      <w:proofErr w:type="spellStart"/>
      <w:r w:rsidRPr="00672E81">
        <w:rPr>
          <w:i/>
        </w:rPr>
        <w:t>Sadowsky</w:t>
      </w:r>
      <w:proofErr w:type="spellEnd"/>
      <w:r>
        <w:t>, 431 Mass. 749, 755 (2000).</w:t>
      </w:r>
    </w:p>
  </w:footnote>
  <w:footnote w:id="17">
    <w:p w14:paraId="620A26AC" w14:textId="33D1FAEC" w:rsidR="00846E1E" w:rsidRDefault="00846E1E" w:rsidP="00846E1E">
      <w:pPr>
        <w:pStyle w:val="FootnoteText"/>
      </w:pPr>
      <w:r>
        <w:rPr>
          <w:rStyle w:val="FootnoteReference"/>
        </w:rPr>
        <w:footnoteRef/>
      </w:r>
      <w:r w:rsidR="002C09E5">
        <w:tab/>
      </w:r>
      <w:r w:rsidRPr="00440ED0">
        <w:rPr>
          <w:i/>
        </w:rPr>
        <w:t>Murphy</w:t>
      </w:r>
      <w:r w:rsidR="005E649C" w:rsidRPr="005E649C">
        <w:t xml:space="preserve"> v. </w:t>
      </w:r>
      <w:r w:rsidRPr="00440ED0">
        <w:rPr>
          <w:i/>
        </w:rPr>
        <w:t>Boston Herald, Inc</w:t>
      </w:r>
      <w:r>
        <w:t>., 449 Mass. 42, 48-59 (2007).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6AC500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6D0C4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C899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34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7307DE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3A4C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343F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44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AE53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2476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51BB9"/>
    <w:multiLevelType w:val="hybridMultilevel"/>
    <w:tmpl w:val="8D823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D64CD"/>
    <w:multiLevelType w:val="hybridMultilevel"/>
    <w:tmpl w:val="D188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5632C3"/>
    <w:multiLevelType w:val="multilevel"/>
    <w:tmpl w:val="86D633D2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3" w15:restartNumberingAfterBreak="0">
    <w:nsid w:val="1B722686"/>
    <w:multiLevelType w:val="multilevel"/>
    <w:tmpl w:val="5218CAB0"/>
    <w:lvl w:ilvl="0">
      <w:start w:val="1"/>
      <w:numFmt w:val="none"/>
      <w:pStyle w:val="JuryInst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JuryInst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JuryInst3"/>
      <w:lvlText w:val="(%3)"/>
      <w:lvlJc w:val="left"/>
      <w:pPr>
        <w:ind w:left="864" w:hanging="432"/>
      </w:pPr>
      <w:rPr>
        <w:rFonts w:hint="default"/>
      </w:rPr>
    </w:lvl>
    <w:lvl w:ilvl="3">
      <w:start w:val="1"/>
      <w:numFmt w:val="decimal"/>
      <w:pStyle w:val="JuryInst4"/>
      <w:lvlText w:val="(%4)"/>
      <w:lvlJc w:val="left"/>
      <w:pPr>
        <w:ind w:left="1296" w:hanging="432"/>
      </w:pPr>
      <w:rPr>
        <w:rFonts w:hint="default"/>
      </w:rPr>
    </w:lvl>
    <w:lvl w:ilvl="4">
      <w:start w:val="1"/>
      <w:numFmt w:val="lowerLetter"/>
      <w:pStyle w:val="JuryInst5"/>
      <w:lvlText w:val="%5."/>
      <w:lvlJc w:val="left"/>
      <w:pPr>
        <w:ind w:left="1728" w:hanging="432"/>
      </w:pPr>
      <w:rPr>
        <w:rFonts w:hint="default"/>
      </w:rPr>
    </w:lvl>
    <w:lvl w:ilvl="5">
      <w:start w:val="1"/>
      <w:numFmt w:val="lowerRoman"/>
      <w:pStyle w:val="JuryInst6"/>
      <w:lvlText w:val="%6."/>
      <w:lvlJc w:val="left"/>
      <w:pPr>
        <w:ind w:left="2160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4" w:hanging="17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56" w:hanging="432"/>
      </w:pPr>
      <w:rPr>
        <w:rFonts w:hint="default"/>
      </w:rPr>
    </w:lvl>
  </w:abstractNum>
  <w:abstractNum w:abstractNumId="14" w15:restartNumberingAfterBreak="0">
    <w:nsid w:val="3E0C20F8"/>
    <w:multiLevelType w:val="hybridMultilevel"/>
    <w:tmpl w:val="FC8E5BC2"/>
    <w:lvl w:ilvl="0" w:tplc="B6209AF6">
      <w:start w:val="1"/>
      <w:numFmt w:val="bullet"/>
      <w:pStyle w:val="JuryInstructionBullets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5" w15:restartNumberingAfterBreak="0">
    <w:nsid w:val="43624793"/>
    <w:multiLevelType w:val="hybridMultilevel"/>
    <w:tmpl w:val="45B80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3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90"/>
    <w:rsid w:val="000124CA"/>
    <w:rsid w:val="00016CA0"/>
    <w:rsid w:val="00037245"/>
    <w:rsid w:val="000B7B9E"/>
    <w:rsid w:val="000D70C6"/>
    <w:rsid w:val="000E7622"/>
    <w:rsid w:val="00100BEF"/>
    <w:rsid w:val="0010739E"/>
    <w:rsid w:val="00130F23"/>
    <w:rsid w:val="0017397B"/>
    <w:rsid w:val="001B7748"/>
    <w:rsid w:val="001C5FA5"/>
    <w:rsid w:val="001D701D"/>
    <w:rsid w:val="001E2162"/>
    <w:rsid w:val="00221552"/>
    <w:rsid w:val="00257345"/>
    <w:rsid w:val="00294F89"/>
    <w:rsid w:val="002A2C60"/>
    <w:rsid w:val="002C09E5"/>
    <w:rsid w:val="00303039"/>
    <w:rsid w:val="00420329"/>
    <w:rsid w:val="004332C7"/>
    <w:rsid w:val="004848CB"/>
    <w:rsid w:val="004A3BE2"/>
    <w:rsid w:val="00516C98"/>
    <w:rsid w:val="005446C0"/>
    <w:rsid w:val="00550249"/>
    <w:rsid w:val="00594672"/>
    <w:rsid w:val="00596E5A"/>
    <w:rsid w:val="005E649C"/>
    <w:rsid w:val="00676B44"/>
    <w:rsid w:val="006841EF"/>
    <w:rsid w:val="007E7B77"/>
    <w:rsid w:val="00834E34"/>
    <w:rsid w:val="00846E1E"/>
    <w:rsid w:val="008733AA"/>
    <w:rsid w:val="00880AA6"/>
    <w:rsid w:val="0094500B"/>
    <w:rsid w:val="00992410"/>
    <w:rsid w:val="009B481F"/>
    <w:rsid w:val="00A05B86"/>
    <w:rsid w:val="00A164C0"/>
    <w:rsid w:val="00A2789E"/>
    <w:rsid w:val="00A55E4E"/>
    <w:rsid w:val="00A56498"/>
    <w:rsid w:val="00A76145"/>
    <w:rsid w:val="00A917A4"/>
    <w:rsid w:val="00A95EAD"/>
    <w:rsid w:val="00AF6831"/>
    <w:rsid w:val="00B02468"/>
    <w:rsid w:val="00B2579A"/>
    <w:rsid w:val="00B520AB"/>
    <w:rsid w:val="00B75859"/>
    <w:rsid w:val="00BA2AE6"/>
    <w:rsid w:val="00BE7335"/>
    <w:rsid w:val="00BF0717"/>
    <w:rsid w:val="00BF08B5"/>
    <w:rsid w:val="00C43AEF"/>
    <w:rsid w:val="00C5670C"/>
    <w:rsid w:val="00CD7576"/>
    <w:rsid w:val="00D336CD"/>
    <w:rsid w:val="00D63AE9"/>
    <w:rsid w:val="00D71FE5"/>
    <w:rsid w:val="00D8732A"/>
    <w:rsid w:val="00D9196F"/>
    <w:rsid w:val="00DB6604"/>
    <w:rsid w:val="00DC61A7"/>
    <w:rsid w:val="00E174B0"/>
    <w:rsid w:val="00F10AE9"/>
    <w:rsid w:val="00F11C6F"/>
    <w:rsid w:val="00F74A90"/>
    <w:rsid w:val="00F83046"/>
    <w:rsid w:val="00F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F33E3"/>
  <w15:chartTrackingRefBased/>
  <w15:docId w15:val="{F0DCD95B-F6BC-7E4C-A645-37CF44BD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E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F10AE9"/>
    <w:pPr>
      <w:spacing w:line="480" w:lineRule="exact"/>
      <w:ind w:firstLine="720"/>
    </w:pPr>
  </w:style>
  <w:style w:type="character" w:customStyle="1" w:styleId="BodyTextChar">
    <w:name w:val="Body Text Char"/>
    <w:link w:val="BodyText"/>
    <w:uiPriority w:val="99"/>
    <w:rsid w:val="00F10AE9"/>
    <w:rPr>
      <w:rFonts w:ascii="Century" w:eastAsia="Calibri" w:hAnsi="Century" w:cs="Times New Roman"/>
    </w:rPr>
  </w:style>
  <w:style w:type="paragraph" w:customStyle="1" w:styleId="CenterBold">
    <w:name w:val="Center Bold"/>
    <w:basedOn w:val="Normal"/>
    <w:qFormat/>
    <w:rsid w:val="00F83046"/>
    <w:pPr>
      <w:spacing w:after="60"/>
      <w:jc w:val="center"/>
    </w:pPr>
    <w:rPr>
      <w:b/>
    </w:rPr>
  </w:style>
  <w:style w:type="paragraph" w:styleId="FootnoteText">
    <w:name w:val="footnote text"/>
    <w:basedOn w:val="JuryInstructionText"/>
    <w:link w:val="FootnoteTextChar"/>
    <w:unhideWhenUsed/>
    <w:rsid w:val="00257345"/>
    <w:pPr>
      <w:spacing w:before="60" w:after="0" w:line="280" w:lineRule="exact"/>
      <w:ind w:left="288" w:hanging="288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rsid w:val="00257345"/>
    <w:rPr>
      <w:rFonts w:ascii="Segoe UI Historic" w:hAnsi="Segoe UI Historic" w:cs="Times New Roman"/>
      <w:kern w:val="20"/>
      <w:sz w:val="22"/>
      <w:szCs w:val="20"/>
    </w:rPr>
  </w:style>
  <w:style w:type="paragraph" w:customStyle="1" w:styleId="Notes">
    <w:name w:val="Notes"/>
    <w:basedOn w:val="Normal"/>
    <w:qFormat/>
    <w:rsid w:val="00594672"/>
    <w:pPr>
      <w:spacing w:after="120"/>
    </w:pPr>
  </w:style>
  <w:style w:type="paragraph" w:styleId="TOC1">
    <w:name w:val="toc 1"/>
    <w:basedOn w:val="Normal"/>
    <w:next w:val="Normal"/>
    <w:autoRedefine/>
    <w:uiPriority w:val="39"/>
    <w:qFormat/>
    <w:rsid w:val="008733AA"/>
    <w:pPr>
      <w:tabs>
        <w:tab w:val="right" w:leader="dot" w:pos="9350"/>
      </w:tabs>
      <w:spacing w:after="120"/>
      <w:ind w:right="720"/>
    </w:pPr>
    <w:rPr>
      <w:rFonts w:ascii="Segoe UI Historic" w:hAnsi="Segoe UI Historic"/>
    </w:rPr>
  </w:style>
  <w:style w:type="paragraph" w:styleId="TOC2">
    <w:name w:val="toc 2"/>
    <w:basedOn w:val="Normal"/>
    <w:next w:val="Normal"/>
    <w:autoRedefine/>
    <w:uiPriority w:val="39"/>
    <w:qFormat/>
    <w:rsid w:val="008733AA"/>
    <w:pPr>
      <w:keepNext/>
      <w:tabs>
        <w:tab w:val="left" w:pos="1440"/>
        <w:tab w:val="right" w:leader="dot" w:pos="9350"/>
      </w:tabs>
      <w:spacing w:after="120"/>
      <w:ind w:left="432" w:right="720"/>
    </w:pPr>
    <w:rPr>
      <w:rFonts w:ascii="Segoe UI Historic" w:hAnsi="Segoe UI Historic"/>
    </w:rPr>
  </w:style>
  <w:style w:type="paragraph" w:styleId="TOC3">
    <w:name w:val="toc 3"/>
    <w:basedOn w:val="Normal"/>
    <w:next w:val="Normal"/>
    <w:uiPriority w:val="39"/>
    <w:qFormat/>
    <w:rsid w:val="008733AA"/>
    <w:pPr>
      <w:tabs>
        <w:tab w:val="left" w:pos="1296"/>
        <w:tab w:val="right" w:leader="dot" w:pos="9346"/>
      </w:tabs>
      <w:spacing w:after="120"/>
      <w:ind w:left="864" w:right="720"/>
    </w:pPr>
    <w:rPr>
      <w:rFonts w:ascii="Segoe UI Historic" w:hAnsi="Segoe UI Historic"/>
    </w:rPr>
  </w:style>
  <w:style w:type="paragraph" w:styleId="TOC4">
    <w:name w:val="toc 4"/>
    <w:basedOn w:val="Normal"/>
    <w:next w:val="Normal"/>
    <w:uiPriority w:val="39"/>
    <w:rsid w:val="008733AA"/>
    <w:pPr>
      <w:tabs>
        <w:tab w:val="left" w:pos="1728"/>
        <w:tab w:val="right" w:leader="dot" w:pos="9346"/>
      </w:tabs>
      <w:spacing w:after="120"/>
      <w:ind w:left="1296" w:right="720"/>
    </w:pPr>
    <w:rPr>
      <w:rFonts w:ascii="Segoe UI Historic" w:hAnsi="Segoe UI Historic"/>
    </w:rPr>
  </w:style>
  <w:style w:type="paragraph" w:styleId="TOC9">
    <w:name w:val="toc 9"/>
    <w:basedOn w:val="Normal"/>
    <w:next w:val="Normal"/>
    <w:qFormat/>
    <w:rsid w:val="00F10AE9"/>
    <w:pPr>
      <w:spacing w:after="240"/>
      <w:ind w:left="1440" w:right="720" w:hanging="720"/>
    </w:pPr>
  </w:style>
  <w:style w:type="paragraph" w:styleId="TOC5">
    <w:name w:val="toc 5"/>
    <w:basedOn w:val="Normal"/>
    <w:next w:val="Normal"/>
    <w:autoRedefine/>
    <w:uiPriority w:val="39"/>
    <w:rsid w:val="008733AA"/>
    <w:pPr>
      <w:tabs>
        <w:tab w:val="left" w:pos="2160"/>
        <w:tab w:val="right" w:leader="dot" w:pos="9346"/>
      </w:tabs>
      <w:spacing w:after="120"/>
      <w:ind w:left="1728" w:right="720"/>
    </w:pPr>
    <w:rPr>
      <w:rFonts w:ascii="Segoe UI Historic" w:hAnsi="Segoe UI Historic"/>
    </w:rPr>
  </w:style>
  <w:style w:type="paragraph" w:customStyle="1" w:styleId="Notes-Hanging">
    <w:name w:val="Notes - Hanging"/>
    <w:basedOn w:val="Notes"/>
    <w:next w:val="Notes"/>
    <w:qFormat/>
    <w:rsid w:val="00594672"/>
    <w:pPr>
      <w:ind w:left="432" w:hanging="432"/>
    </w:pPr>
  </w:style>
  <w:style w:type="character" w:styleId="FootnoteReference">
    <w:name w:val="footnote reference"/>
    <w:uiPriority w:val="99"/>
    <w:rsid w:val="00F74A90"/>
    <w:rPr>
      <w:b/>
      <w:vertAlign w:val="superscript"/>
    </w:rPr>
  </w:style>
  <w:style w:type="paragraph" w:customStyle="1" w:styleId="JuryInst2">
    <w:name w:val="JuryInst2"/>
    <w:basedOn w:val="JuryInst1"/>
    <w:next w:val="JuryInstructionText"/>
    <w:rsid w:val="00B75859"/>
    <w:pPr>
      <w:keepLines/>
      <w:numPr>
        <w:ilvl w:val="1"/>
      </w:numPr>
      <w:spacing w:before="0"/>
      <w:jc w:val="left"/>
      <w:outlineLvl w:val="1"/>
    </w:pPr>
    <w:rPr>
      <w:smallCaps w:val="0"/>
      <w:spacing w:val="12"/>
    </w:rPr>
  </w:style>
  <w:style w:type="paragraph" w:customStyle="1" w:styleId="JuryInstructionText">
    <w:name w:val="Jury Instruction Text"/>
    <w:basedOn w:val="Normal"/>
    <w:qFormat/>
    <w:rsid w:val="004848CB"/>
    <w:pPr>
      <w:spacing w:line="400" w:lineRule="exact"/>
    </w:pPr>
    <w:rPr>
      <w:rFonts w:ascii="Segoe UI Historic" w:eastAsia="Calibri" w:hAnsi="Segoe UI Historic"/>
      <w:sz w:val="28"/>
      <w:szCs w:val="28"/>
    </w:rPr>
  </w:style>
  <w:style w:type="paragraph" w:customStyle="1" w:styleId="JuryInstructionElements">
    <w:name w:val="Jury Instruction Elements"/>
    <w:basedOn w:val="JuryInstructionText"/>
    <w:qFormat/>
    <w:rsid w:val="005446C0"/>
    <w:pPr>
      <w:spacing w:after="120" w:line="340" w:lineRule="exact"/>
      <w:ind w:left="864" w:right="432" w:hanging="360"/>
    </w:pPr>
  </w:style>
  <w:style w:type="paragraph" w:customStyle="1" w:styleId="JuryInst1">
    <w:name w:val="JuryInst1"/>
    <w:basedOn w:val="JuryInstructionText"/>
    <w:next w:val="JuryInstructionText"/>
    <w:rsid w:val="00B75859"/>
    <w:pPr>
      <w:keepNext/>
      <w:numPr>
        <w:numId w:val="2"/>
      </w:numPr>
      <w:spacing w:before="80"/>
      <w:jc w:val="center"/>
      <w:outlineLvl w:val="0"/>
    </w:pPr>
    <w:rPr>
      <w:b/>
      <w:smallCaps/>
      <w:spacing w:val="20"/>
      <w:szCs w:val="20"/>
    </w:rPr>
  </w:style>
  <w:style w:type="paragraph" w:customStyle="1" w:styleId="JuryInst3">
    <w:name w:val="JuryInst3"/>
    <w:basedOn w:val="JuryInstructionText"/>
    <w:next w:val="JuryInstructionText"/>
    <w:rsid w:val="00FD6881"/>
    <w:pPr>
      <w:keepNext/>
      <w:keepLines/>
      <w:numPr>
        <w:ilvl w:val="2"/>
        <w:numId w:val="2"/>
      </w:numPr>
      <w:snapToGrid w:val="0"/>
      <w:outlineLvl w:val="2"/>
    </w:pPr>
    <w:rPr>
      <w:b/>
    </w:rPr>
  </w:style>
  <w:style w:type="paragraph" w:customStyle="1" w:styleId="JuryInst4">
    <w:name w:val="JuryInst4"/>
    <w:basedOn w:val="JuryInst3"/>
    <w:next w:val="JuryInstructionText"/>
    <w:rsid w:val="00BF08B5"/>
    <w:pPr>
      <w:numPr>
        <w:ilvl w:val="3"/>
      </w:numPr>
      <w:outlineLvl w:val="3"/>
    </w:pPr>
  </w:style>
  <w:style w:type="paragraph" w:customStyle="1" w:styleId="JuryInst5">
    <w:name w:val="JuryInst5"/>
    <w:basedOn w:val="JuryInst4"/>
    <w:next w:val="JuryInstructionText"/>
    <w:rsid w:val="00BF08B5"/>
    <w:pPr>
      <w:numPr>
        <w:ilvl w:val="4"/>
      </w:numPr>
      <w:spacing w:after="120"/>
      <w:outlineLvl w:val="4"/>
    </w:pPr>
  </w:style>
  <w:style w:type="paragraph" w:customStyle="1" w:styleId="JuryInst6">
    <w:name w:val="JuryInst6"/>
    <w:basedOn w:val="JuryInst5"/>
    <w:next w:val="JuryInstructionText"/>
    <w:rsid w:val="00BF08B5"/>
    <w:pPr>
      <w:numPr>
        <w:ilvl w:val="5"/>
      </w:numPr>
      <w:outlineLvl w:val="5"/>
    </w:pPr>
  </w:style>
  <w:style w:type="paragraph" w:customStyle="1" w:styleId="JuryInstructionBullets">
    <w:name w:val="Jury Instruction Bullets"/>
    <w:basedOn w:val="JuryInstructionElements"/>
    <w:qFormat/>
    <w:rsid w:val="005446C0"/>
    <w:pPr>
      <w:numPr>
        <w:numId w:val="1"/>
      </w:numPr>
      <w:ind w:left="864"/>
    </w:pPr>
  </w:style>
  <w:style w:type="paragraph" w:customStyle="1" w:styleId="JuryInstructionIndent">
    <w:name w:val="Jury Instruction Indent"/>
    <w:basedOn w:val="JuryInstructionText"/>
    <w:next w:val="JuryInstructionText"/>
    <w:qFormat/>
    <w:rsid w:val="00016CA0"/>
    <w:pPr>
      <w:ind w:left="432"/>
    </w:pPr>
  </w:style>
  <w:style w:type="paragraph" w:styleId="TOC6">
    <w:name w:val="toc 6"/>
    <w:basedOn w:val="Normal"/>
    <w:next w:val="Normal"/>
    <w:autoRedefine/>
    <w:uiPriority w:val="39"/>
    <w:unhideWhenUsed/>
    <w:rsid w:val="008733AA"/>
    <w:pPr>
      <w:tabs>
        <w:tab w:val="left" w:pos="2592"/>
        <w:tab w:val="right" w:leader="dot" w:pos="9346"/>
      </w:tabs>
      <w:spacing w:after="120"/>
      <w:ind w:left="2160" w:right="720"/>
    </w:pPr>
    <w:rPr>
      <w:rFonts w:ascii="Segoe UI Historic" w:hAnsi="Segoe UI Historic"/>
    </w:rPr>
  </w:style>
  <w:style w:type="character" w:styleId="Hyperlink">
    <w:name w:val="Hyperlink"/>
    <w:basedOn w:val="DefaultParagraphFont"/>
    <w:uiPriority w:val="99"/>
    <w:semiHidden/>
    <w:unhideWhenUsed/>
    <w:rsid w:val="00846E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KWS</dc:creator>
  <cp:keywords/>
  <dc:description/>
  <cp:lastModifiedBy>Michelle L Ciccarelli</cp:lastModifiedBy>
  <cp:revision>3</cp:revision>
  <dcterms:created xsi:type="dcterms:W3CDTF">2022-03-28T19:33:00Z</dcterms:created>
  <dcterms:modified xsi:type="dcterms:W3CDTF">2022-05-20T14:12:00Z</dcterms:modified>
</cp:coreProperties>
</file>