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108FE21" w14:textId="337B3703" w:rsidR="006254D4" w:rsidRPr="006254D4" w:rsidRDefault="006254D4" w:rsidP="006254D4">
      <w:pPr>
        <w:pStyle w:val="JuryInstructionText"/>
        <w:jc w:val="right"/>
        <w:rPr>
          <w:i/>
          <w:iCs/>
          <w:sz w:val="24"/>
          <w:szCs w:val="24"/>
        </w:rPr>
      </w:pPr>
      <w:r>
        <w:rPr>
          <w:i/>
          <w:iCs/>
          <w:sz w:val="24"/>
          <w:szCs w:val="24"/>
        </w:rPr>
        <w:t xml:space="preserve">Publication Date: </w:t>
      </w:r>
      <w:r w:rsidR="004F686C">
        <w:rPr>
          <w:i/>
          <w:iCs/>
          <w:sz w:val="24"/>
          <w:szCs w:val="24"/>
        </w:rPr>
        <w:t>December 12, 2022</w:t>
      </w:r>
    </w:p>
    <w:p w14:paraId="15C33E4E" w14:textId="62926B64" w:rsidR="00BF08B5" w:rsidRDefault="004F686C" w:rsidP="00BF08B5">
      <w:pPr>
        <w:pStyle w:val="JuryInst2"/>
      </w:pPr>
      <w:r>
        <w:t>Detrimental Reliance</w:t>
      </w:r>
    </w:p>
    <w:p w14:paraId="6431BF3D" w14:textId="5C7F578D" w:rsidR="00603BDB" w:rsidRDefault="00603BDB" w:rsidP="004F686C">
      <w:pPr>
        <w:pStyle w:val="JuryInstructionText"/>
      </w:pPr>
      <w:r w:rsidRPr="00603BDB">
        <w:t>&lt;</w:t>
      </w:r>
      <w:r w:rsidRPr="00603BDB">
        <w:rPr>
          <w:b/>
          <w:bCs/>
          <w:i/>
          <w:iCs/>
        </w:rPr>
        <w:t>NOTE: This instruction is for use with “equitable estoppel” claims, not with contract claims based on a theory of detrimental reliance or “promissory estoppel.”</w:t>
      </w:r>
      <w:r>
        <w:rPr>
          <w:rStyle w:val="FootnoteReference"/>
          <w:b w:val="0"/>
          <w:bCs/>
          <w:i/>
          <w:iCs/>
        </w:rPr>
        <w:footnoteReference w:id="1"/>
      </w:r>
      <w:r w:rsidRPr="00603BDB">
        <w:rPr>
          <w:b/>
          <w:bCs/>
          <w:i/>
          <w:iCs/>
        </w:rPr>
        <w:t xml:space="preserve"> The model instruction for contract claims covers contracts </w:t>
      </w:r>
      <w:r>
        <w:rPr>
          <w:b/>
          <w:bCs/>
          <w:i/>
          <w:iCs/>
        </w:rPr>
        <w:t xml:space="preserve">that are </w:t>
      </w:r>
      <w:r w:rsidRPr="00603BDB">
        <w:rPr>
          <w:b/>
          <w:bCs/>
          <w:i/>
          <w:iCs/>
        </w:rPr>
        <w:t>allegedly based on detrimental reliance rather than consideration.</w:t>
      </w:r>
      <w:r w:rsidRPr="00603BDB">
        <w:t>&gt;</w:t>
      </w:r>
    </w:p>
    <w:p w14:paraId="4EADDCAD" w14:textId="0EC9864C" w:rsidR="004F686C" w:rsidRPr="00A23A46" w:rsidRDefault="004F686C" w:rsidP="004F686C">
      <w:pPr>
        <w:pStyle w:val="JuryInstructionText"/>
      </w:pPr>
      <w:r>
        <w:t>PLF</w:t>
      </w:r>
      <w:r w:rsidRPr="00A23A46">
        <w:t xml:space="preserve"> has brought a claim for “detrimental reliance,” which the lawyers have also called “estoppel.” </w:t>
      </w:r>
      <w:r>
        <w:t>PLF</w:t>
      </w:r>
      <w:r w:rsidRPr="00A23A46">
        <w:t xml:space="preserve"> alleges that </w:t>
      </w:r>
      <w:r>
        <w:t>DFT</w:t>
      </w:r>
      <w:r w:rsidRPr="00A23A46">
        <w:t xml:space="preserve"> intended </w:t>
      </w:r>
      <w:r>
        <w:t>PLF</w:t>
      </w:r>
      <w:r w:rsidRPr="00A23A46">
        <w:t xml:space="preserve"> to rely on the </w:t>
      </w:r>
      <w:r>
        <w:t>[describe statement]</w:t>
      </w:r>
      <w:r w:rsidRPr="00A23A46">
        <w:t xml:space="preserve">, that </w:t>
      </w:r>
      <w:r>
        <w:t>PLF</w:t>
      </w:r>
      <w:r w:rsidRPr="00A23A46">
        <w:t xml:space="preserve"> did rely on the </w:t>
      </w:r>
      <w:r>
        <w:t>statement</w:t>
      </w:r>
      <w:r w:rsidRPr="00A23A46">
        <w:t xml:space="preserve"> and that, as a result,</w:t>
      </w:r>
      <w:r>
        <w:t xml:space="preserve"> PLF</w:t>
      </w:r>
      <w:r w:rsidRPr="00A23A46">
        <w:t xml:space="preserve"> suffered harm.</w:t>
      </w:r>
    </w:p>
    <w:p w14:paraId="7EF7B528" w14:textId="714A895F" w:rsidR="004F686C" w:rsidRPr="00A23A46" w:rsidRDefault="004F686C" w:rsidP="004F686C">
      <w:pPr>
        <w:pStyle w:val="JuryInstructionText"/>
      </w:pPr>
      <w:r w:rsidRPr="00A23A46">
        <w:t xml:space="preserve">To prove this claim, </w:t>
      </w:r>
      <w:r>
        <w:t>PLF</w:t>
      </w:r>
      <w:r w:rsidRPr="00A23A46">
        <w:t xml:space="preserve"> must show that four things are more likely true than not true</w:t>
      </w:r>
      <w:r w:rsidRPr="0061108B">
        <w:rPr>
          <w:rStyle w:val="FootnoteReference"/>
          <w:rFonts w:cs="Segoe UI Historic"/>
          <w:b w:val="0"/>
          <w:bCs/>
        </w:rPr>
        <w:footnoteReference w:id="2"/>
      </w:r>
      <w:r w:rsidRPr="00A23A46">
        <w:t>:</w:t>
      </w:r>
    </w:p>
    <w:p w14:paraId="7FEDB757" w14:textId="03E887DA" w:rsidR="004F686C" w:rsidRPr="00A23A46" w:rsidRDefault="004F686C" w:rsidP="004F686C">
      <w:pPr>
        <w:pStyle w:val="JuryInstructionElements"/>
      </w:pPr>
      <w:r>
        <w:t>1.</w:t>
      </w:r>
      <w:r>
        <w:tab/>
      </w:r>
      <w:r>
        <w:t>DFT</w:t>
      </w:r>
      <w:r w:rsidRPr="00A23A46">
        <w:t xml:space="preserve"> made a statement</w:t>
      </w:r>
      <w:r>
        <w:t xml:space="preserve"> and</w:t>
      </w:r>
      <w:r w:rsidRPr="00A23A46">
        <w:t xml:space="preserve"> intend</w:t>
      </w:r>
      <w:r>
        <w:t>ed</w:t>
      </w:r>
      <w:r w:rsidRPr="00A23A46">
        <w:t xml:space="preserve"> for </w:t>
      </w:r>
      <w:r>
        <w:t>PLF</w:t>
      </w:r>
      <w:r w:rsidRPr="00A23A46">
        <w:t xml:space="preserve"> to rely on the statement;</w:t>
      </w:r>
    </w:p>
    <w:p w14:paraId="5D9F6F87" w14:textId="62C32750" w:rsidR="004F686C" w:rsidRPr="00A23A46" w:rsidRDefault="004F686C" w:rsidP="004F686C">
      <w:pPr>
        <w:pStyle w:val="JuryInstructionElements"/>
      </w:pPr>
      <w:r>
        <w:t>2.</w:t>
      </w:r>
      <w:r>
        <w:tab/>
      </w:r>
      <w:r>
        <w:t>PLF</w:t>
      </w:r>
      <w:r w:rsidRPr="00A23A46">
        <w:t xml:space="preserve"> relied on the statement when it acted [or refrained from acting]; </w:t>
      </w:r>
    </w:p>
    <w:p w14:paraId="48866FAD" w14:textId="245EB927" w:rsidR="004F686C" w:rsidRPr="00A23A46" w:rsidRDefault="004F686C" w:rsidP="004F686C">
      <w:pPr>
        <w:pStyle w:val="JuryInstructionElements"/>
      </w:pPr>
      <w:r>
        <w:t>3.</w:t>
      </w:r>
      <w:r>
        <w:tab/>
      </w:r>
      <w:r>
        <w:t>PLF</w:t>
      </w:r>
      <w:r w:rsidRPr="00A23A46">
        <w:t>’s reliance on the statement was reasonable; and</w:t>
      </w:r>
    </w:p>
    <w:p w14:paraId="68770D52" w14:textId="34EBF8ED" w:rsidR="004F686C" w:rsidRPr="00A23A46" w:rsidRDefault="004F686C" w:rsidP="004F686C">
      <w:pPr>
        <w:pStyle w:val="JuryInstructionElements"/>
      </w:pPr>
      <w:r>
        <w:t>4.</w:t>
      </w:r>
      <w:r>
        <w:tab/>
      </w:r>
      <w:r>
        <w:t>PLF</w:t>
      </w:r>
      <w:r w:rsidRPr="00A23A46">
        <w:t xml:space="preserve"> suffered some loss or disadvantage because of that action [or inaction].</w:t>
      </w:r>
    </w:p>
    <w:p w14:paraId="3A46FBF3" w14:textId="368F2801" w:rsidR="004F686C" w:rsidRDefault="004F686C" w:rsidP="004F686C">
      <w:pPr>
        <w:pStyle w:val="JuryInstructionText"/>
      </w:pPr>
      <w:r w:rsidRPr="00A23A46">
        <w:lastRenderedPageBreak/>
        <w:t>Let me explain these items in more detail.</w:t>
      </w:r>
    </w:p>
    <w:p w14:paraId="2CFE7F4A" w14:textId="2BE7AB8A" w:rsidR="004F686C" w:rsidRPr="00A23A46" w:rsidRDefault="004F686C" w:rsidP="004F686C">
      <w:pPr>
        <w:pStyle w:val="JuryInst3"/>
      </w:pPr>
      <w:r>
        <w:t>Liability</w:t>
      </w:r>
    </w:p>
    <w:p w14:paraId="503C681A" w14:textId="01C364B9" w:rsidR="004F686C" w:rsidRPr="00A23A46" w:rsidRDefault="004F686C" w:rsidP="004F686C">
      <w:pPr>
        <w:pStyle w:val="JuryInstructionText"/>
      </w:pPr>
      <w:r w:rsidRPr="00603BDB">
        <w:rPr>
          <w:b/>
          <w:bCs/>
        </w:rPr>
        <w:t>First</w:t>
      </w:r>
      <w:r w:rsidRPr="00A23A46">
        <w:t xml:space="preserve">, </w:t>
      </w:r>
      <w:r>
        <w:t>PLF</w:t>
      </w:r>
      <w:r w:rsidRPr="00A23A46">
        <w:t xml:space="preserve"> must prove both that </w:t>
      </w:r>
      <w:r>
        <w:t>DFT</w:t>
      </w:r>
      <w:r w:rsidRPr="00A23A46">
        <w:t xml:space="preserve"> made a statement and that </w:t>
      </w:r>
      <w:r>
        <w:t>DFT</w:t>
      </w:r>
      <w:r w:rsidRPr="00A23A46">
        <w:t xml:space="preserve"> reasonably expected </w:t>
      </w:r>
      <w:r>
        <w:t>PLF</w:t>
      </w:r>
      <w:r w:rsidRPr="00A23A46">
        <w:t xml:space="preserve"> to rely on the statement.  The statement may be an offer, a promise, or another kind of statement </w:t>
      </w:r>
      <w:proofErr w:type="gramStart"/>
      <w:r w:rsidRPr="00A23A46">
        <w:t>as long as</w:t>
      </w:r>
      <w:proofErr w:type="gramEnd"/>
      <w:r w:rsidRPr="00A23A46">
        <w:t xml:space="preserve"> </w:t>
      </w:r>
      <w:r>
        <w:t>DFT</w:t>
      </w:r>
      <w:r w:rsidRPr="00A23A46">
        <w:t xml:space="preserve"> reasonably expected </w:t>
      </w:r>
      <w:r>
        <w:t>PLF</w:t>
      </w:r>
      <w:r w:rsidRPr="00A23A46">
        <w:t xml:space="preserve"> to take definite and substantial action [or refrain from such action] based upon the statement.  A mere opinion or an invitation to further negotiations is not enough.  Generally, the statement must express a commitment or intention to act in a specific way.</w:t>
      </w:r>
      <w:r>
        <w:rPr>
          <w:rStyle w:val="FootnoteReference"/>
          <w:rFonts w:ascii="Arial" w:hAnsi="Arial" w:cs="Arial"/>
        </w:rPr>
        <w:footnoteReference w:id="3"/>
      </w:r>
    </w:p>
    <w:p w14:paraId="38728A95" w14:textId="77777777" w:rsidR="004F686C" w:rsidRPr="00A23A46" w:rsidRDefault="004F686C" w:rsidP="004F686C">
      <w:pPr>
        <w:pStyle w:val="JuryInstructionText"/>
      </w:pPr>
      <w:r w:rsidRPr="00603BDB">
        <w:rPr>
          <w:b/>
          <w:bCs/>
        </w:rPr>
        <w:t>Second</w:t>
      </w:r>
      <w:r w:rsidRPr="00A23A46">
        <w:t xml:space="preserve">, </w:t>
      </w:r>
      <w:r>
        <w:t>PLF</w:t>
      </w:r>
      <w:r w:rsidRPr="00A23A46">
        <w:t xml:space="preserve"> must show that, it </w:t>
      </w:r>
      <w:proofErr w:type="gramStart"/>
      <w:r w:rsidRPr="00A23A46">
        <w:t>actually relied</w:t>
      </w:r>
      <w:proofErr w:type="gramEnd"/>
      <w:r w:rsidRPr="00A23A46">
        <w:t xml:space="preserve"> on the statement.  It must show that it acted [or refrained from acting] because of the statement.</w:t>
      </w:r>
      <w:r>
        <w:rPr>
          <w:rStyle w:val="FootnoteReference"/>
          <w:rFonts w:ascii="Arial" w:hAnsi="Arial" w:cs="Arial"/>
        </w:rPr>
        <w:footnoteReference w:id="4"/>
      </w:r>
      <w:r w:rsidRPr="00A23A46">
        <w:t xml:space="preserve">  </w:t>
      </w:r>
    </w:p>
    <w:p w14:paraId="1D3B4781" w14:textId="77777777" w:rsidR="004F686C" w:rsidRPr="00A23A46" w:rsidRDefault="004F686C" w:rsidP="004F686C">
      <w:pPr>
        <w:pStyle w:val="JuryInstructionText"/>
      </w:pPr>
      <w:r w:rsidRPr="00603BDB">
        <w:rPr>
          <w:b/>
          <w:bCs/>
        </w:rPr>
        <w:t>Third</w:t>
      </w:r>
      <w:r w:rsidRPr="00A23A46">
        <w:t xml:space="preserve">, </w:t>
      </w:r>
      <w:r>
        <w:t>PLF</w:t>
      </w:r>
      <w:r w:rsidRPr="00A23A46">
        <w:t xml:space="preserve"> must show that its reliance was reasonable</w:t>
      </w:r>
      <w:r>
        <w:t>.  You evaluate this based upon the facts that existed at the time PLF acted [refrained from acting]</w:t>
      </w:r>
      <w:r w:rsidRPr="00A23A46">
        <w:t xml:space="preserve">.  As the jury, you should decide whether a reasonable person would have relied on the statement in acting as </w:t>
      </w:r>
      <w:r>
        <w:t>PLF</w:t>
      </w:r>
      <w:r w:rsidRPr="00A23A46">
        <w:t xml:space="preserve"> did [or in refraining from acting].  You may consider all the circumstances in deciding whether reliance was reasonable.  </w:t>
      </w:r>
    </w:p>
    <w:p w14:paraId="0632DD62" w14:textId="77777777" w:rsidR="004F686C" w:rsidRPr="00A23A46" w:rsidRDefault="004F686C" w:rsidP="004F686C">
      <w:pPr>
        <w:pStyle w:val="JuryInstructionText"/>
      </w:pPr>
      <w:r w:rsidRPr="00A23A46">
        <w:t>Among other things, you may ask yourselves whether the statement itself made reliance reasonable or unreasonable.  For instance:</w:t>
      </w:r>
    </w:p>
    <w:p w14:paraId="6863B0F2" w14:textId="77777777" w:rsidR="004F686C" w:rsidRPr="00A23A46" w:rsidRDefault="004F686C" w:rsidP="004F686C">
      <w:pPr>
        <w:pStyle w:val="JuryInstructionBullets"/>
      </w:pPr>
      <w:r w:rsidRPr="00A23A46">
        <w:t xml:space="preserve">Was the statement a clear-cut commitment, or did it </w:t>
      </w:r>
      <w:r>
        <w:t>reflect</w:t>
      </w:r>
      <w:r w:rsidRPr="00A23A46">
        <w:t xml:space="preserve"> some doubt or uncertainty?</w:t>
      </w:r>
      <w:r>
        <w:rPr>
          <w:rStyle w:val="FootnoteReference"/>
          <w:rFonts w:ascii="Arial" w:hAnsi="Arial" w:cs="Arial"/>
        </w:rPr>
        <w:footnoteReference w:id="5"/>
      </w:r>
    </w:p>
    <w:p w14:paraId="53882488" w14:textId="77777777" w:rsidR="004F686C" w:rsidRPr="00A23A46" w:rsidRDefault="004F686C" w:rsidP="004F686C">
      <w:pPr>
        <w:pStyle w:val="JuryInstructionBullets"/>
      </w:pPr>
      <w:r w:rsidRPr="00A23A46">
        <w:lastRenderedPageBreak/>
        <w:t xml:space="preserve">Was the statement definite, or was it vague? For instance, did it just express a hope, </w:t>
      </w:r>
      <w:proofErr w:type="gramStart"/>
      <w:r w:rsidRPr="00A23A46">
        <w:t>opinion</w:t>
      </w:r>
      <w:proofErr w:type="gramEnd"/>
      <w:r w:rsidRPr="00A23A46">
        <w:t xml:space="preserve"> or expectation</w:t>
      </w:r>
      <w:r>
        <w:rPr>
          <w:rStyle w:val="FootnoteReference"/>
          <w:rFonts w:ascii="Arial" w:hAnsi="Arial" w:cs="Arial"/>
        </w:rPr>
        <w:footnoteReference w:id="6"/>
      </w:r>
      <w:r w:rsidRPr="00A23A46">
        <w:t xml:space="preserve"> - or was it more definite than that?</w:t>
      </w:r>
    </w:p>
    <w:p w14:paraId="28EE4F79" w14:textId="77777777" w:rsidR="004F686C" w:rsidRPr="00A23A46" w:rsidRDefault="004F686C" w:rsidP="004F686C">
      <w:pPr>
        <w:pStyle w:val="JuryInstructionBullets"/>
      </w:pPr>
      <w:r w:rsidRPr="00A23A46">
        <w:t>Did the statement include any unmet conditions or limitations?</w:t>
      </w:r>
    </w:p>
    <w:p w14:paraId="596B952B" w14:textId="77777777" w:rsidR="004F686C" w:rsidRPr="00A23A46" w:rsidRDefault="004F686C" w:rsidP="004F686C">
      <w:pPr>
        <w:pStyle w:val="JuryInstructionText"/>
      </w:pPr>
      <w:r w:rsidRPr="00A23A46">
        <w:t>In addition, consider the context of the parties’ negotiations</w:t>
      </w:r>
      <w:r>
        <w:t xml:space="preserve"> up until PLF acted in reliance on the statement</w:t>
      </w:r>
      <w:r w:rsidRPr="00A23A46">
        <w:t xml:space="preserve">.  Did something about those negotiations make it reasonable or unreasonable for </w:t>
      </w:r>
      <w:r>
        <w:t>PLF</w:t>
      </w:r>
      <w:r w:rsidRPr="00A23A46">
        <w:t xml:space="preserve"> to rely on the statement? </w:t>
      </w:r>
    </w:p>
    <w:p w14:paraId="0F468604" w14:textId="77777777" w:rsidR="004F686C" w:rsidRPr="00A23A46" w:rsidRDefault="004F686C" w:rsidP="004F686C">
      <w:pPr>
        <w:pStyle w:val="JuryInstructionText"/>
      </w:pPr>
      <w:r w:rsidRPr="00A23A46">
        <w:t>Asking other questions may also help you decide the question of reasonableness, such as:</w:t>
      </w:r>
    </w:p>
    <w:p w14:paraId="1F8FF071" w14:textId="77777777" w:rsidR="004F686C" w:rsidRPr="00A23A46" w:rsidRDefault="004F686C" w:rsidP="004F686C">
      <w:pPr>
        <w:pStyle w:val="JuryInstructionBullets"/>
      </w:pPr>
      <w:r>
        <w:t xml:space="preserve">Before </w:t>
      </w:r>
      <w:bookmarkStart w:id="0" w:name="_Hlk104378596"/>
      <w:r>
        <w:t xml:space="preserve">s/he/it </w:t>
      </w:r>
      <w:bookmarkEnd w:id="0"/>
      <w:r>
        <w:t>acted [declined to act] d</w:t>
      </w:r>
      <w:r w:rsidRPr="00A23A46">
        <w:t xml:space="preserve">id </w:t>
      </w:r>
      <w:r>
        <w:t>PLF</w:t>
      </w:r>
      <w:r w:rsidRPr="00A23A46">
        <w:t xml:space="preserve"> receive other communications from </w:t>
      </w:r>
      <w:r>
        <w:t>DFT</w:t>
      </w:r>
      <w:r w:rsidRPr="00A23A46">
        <w:t xml:space="preserve"> that conflicted with the statement and, if so, did it take reasonable steps to determine which statement, if any, was reliable?</w:t>
      </w:r>
      <w:r>
        <w:rPr>
          <w:rStyle w:val="FootnoteReference"/>
          <w:rFonts w:ascii="Arial" w:hAnsi="Arial" w:cs="Arial"/>
        </w:rPr>
        <w:footnoteReference w:id="7"/>
      </w:r>
    </w:p>
    <w:p w14:paraId="7007E03C" w14:textId="77777777" w:rsidR="004F686C" w:rsidRPr="00A23A46" w:rsidRDefault="004F686C" w:rsidP="004F686C">
      <w:pPr>
        <w:pStyle w:val="JuryInstructionBullets"/>
      </w:pPr>
      <w:r w:rsidRPr="00A23A46">
        <w:t xml:space="preserve">Did </w:t>
      </w:r>
      <w:r>
        <w:t>DFT</w:t>
      </w:r>
      <w:r w:rsidRPr="00A23A46">
        <w:t xml:space="preserve"> need someone else’s approval before it could do what the statement said </w:t>
      </w:r>
      <w:r w:rsidRPr="007B1645">
        <w:t xml:space="preserve">s/he/it </w:t>
      </w:r>
      <w:r w:rsidRPr="00A23A46">
        <w:t xml:space="preserve"> would do?</w:t>
      </w:r>
      <w:r>
        <w:rPr>
          <w:rStyle w:val="FootnoteReference"/>
          <w:rFonts w:ascii="Arial" w:hAnsi="Arial" w:cs="Arial"/>
        </w:rPr>
        <w:footnoteReference w:id="8"/>
      </w:r>
      <w:r w:rsidRPr="00A23A46">
        <w:t xml:space="preserve"> </w:t>
      </w:r>
    </w:p>
    <w:p w14:paraId="79325F0C" w14:textId="77777777" w:rsidR="004F686C" w:rsidRPr="00A23A46" w:rsidRDefault="004F686C" w:rsidP="004F686C">
      <w:pPr>
        <w:pStyle w:val="JuryInstructionBullets"/>
      </w:pPr>
      <w:r w:rsidRPr="00A23A46">
        <w:t>Was there some other reason why</w:t>
      </w:r>
      <w:r>
        <w:t>, at the time</w:t>
      </w:r>
      <w:r w:rsidRPr="00A23A46">
        <w:t xml:space="preserve"> </w:t>
      </w:r>
      <w:r>
        <w:t>PLF acted, s/he/it</w:t>
      </w:r>
      <w:r w:rsidRPr="00A23A46">
        <w:t xml:space="preserve"> should have known that </w:t>
      </w:r>
      <w:r w:rsidRPr="007B1645">
        <w:t xml:space="preserve">s/he/it </w:t>
      </w:r>
      <w:r w:rsidRPr="00A23A46">
        <w:t xml:space="preserve"> could not rely on the statement?</w:t>
      </w:r>
      <w:r>
        <w:rPr>
          <w:rStyle w:val="FootnoteReference"/>
          <w:rFonts w:ascii="Arial" w:hAnsi="Arial" w:cs="Arial"/>
        </w:rPr>
        <w:footnoteReference w:id="9"/>
      </w:r>
    </w:p>
    <w:p w14:paraId="1C7535F0" w14:textId="1C4E911E" w:rsidR="004F686C" w:rsidRPr="00A23A46" w:rsidRDefault="004F686C" w:rsidP="004F686C">
      <w:pPr>
        <w:pStyle w:val="JuryInstructionText"/>
      </w:pPr>
      <w:r w:rsidRPr="00603BDB">
        <w:rPr>
          <w:b/>
          <w:bCs/>
        </w:rPr>
        <w:t>Fourth</w:t>
      </w:r>
      <w:r w:rsidRPr="00A23A46">
        <w:t xml:space="preserve">, </w:t>
      </w:r>
      <w:r>
        <w:t>PLF</w:t>
      </w:r>
      <w:r w:rsidRPr="00A23A46">
        <w:t xml:space="preserve"> must show that </w:t>
      </w:r>
      <w:r w:rsidRPr="007B1645">
        <w:t xml:space="preserve">s/he/it </w:t>
      </w:r>
      <w:r w:rsidRPr="00A23A46">
        <w:t xml:space="preserve"> suffered some loss or disadvantage (in other words, some detriment) because </w:t>
      </w:r>
      <w:r w:rsidRPr="007B1645">
        <w:t xml:space="preserve">s/he/it </w:t>
      </w:r>
      <w:r w:rsidRPr="00A23A46">
        <w:t xml:space="preserve">reasonably relied on </w:t>
      </w:r>
      <w:r>
        <w:t>DFT</w:t>
      </w:r>
      <w:r w:rsidRPr="00A23A46">
        <w:t>’s statement.</w:t>
      </w:r>
      <w:r>
        <w:rPr>
          <w:rStyle w:val="FootnoteReference"/>
          <w:rFonts w:ascii="Arial" w:hAnsi="Arial" w:cs="Arial"/>
        </w:rPr>
        <w:footnoteReference w:id="10"/>
      </w:r>
      <w:r w:rsidRPr="00A23A46">
        <w:t xml:space="preserve">  </w:t>
      </w:r>
    </w:p>
    <w:p w14:paraId="57A3054A" w14:textId="0D21FE06" w:rsidR="004F686C" w:rsidRPr="00A23A46" w:rsidRDefault="004F686C" w:rsidP="004F686C">
      <w:pPr>
        <w:pStyle w:val="JuryInstructionText"/>
      </w:pPr>
      <w:r w:rsidRPr="00A23A46">
        <w:lastRenderedPageBreak/>
        <w:t xml:space="preserve">If </w:t>
      </w:r>
      <w:r>
        <w:t>PLF</w:t>
      </w:r>
      <w:r w:rsidRPr="00A23A46">
        <w:t xml:space="preserve"> has proven all these things are more likely true than not true, then </w:t>
      </w:r>
      <w:r w:rsidRPr="007B1645">
        <w:t xml:space="preserve">s/he/it </w:t>
      </w:r>
      <w:r w:rsidRPr="00A23A46">
        <w:t xml:space="preserve"> has proven its detrimental reliance claim and is entitled to any damages that it has proven.</w:t>
      </w:r>
    </w:p>
    <w:p w14:paraId="240EBE34" w14:textId="2FBE7DD5" w:rsidR="004F686C" w:rsidRPr="00A23A46" w:rsidRDefault="004F686C" w:rsidP="004F686C">
      <w:pPr>
        <w:pStyle w:val="JuryInst3"/>
      </w:pPr>
      <w:r>
        <w:t>Damages</w:t>
      </w:r>
    </w:p>
    <w:p w14:paraId="64A38DF5" w14:textId="02DFD661" w:rsidR="004F686C" w:rsidRPr="004F686C" w:rsidRDefault="004F686C" w:rsidP="004F686C">
      <w:pPr>
        <w:pStyle w:val="JuryInstructionText"/>
      </w:pPr>
      <w:r w:rsidRPr="00A23A46">
        <w:t xml:space="preserve">Finally, if </w:t>
      </w:r>
      <w:r>
        <w:t>PLF</w:t>
      </w:r>
      <w:r w:rsidRPr="00A23A46">
        <w:t xml:space="preserve"> proves d</w:t>
      </w:r>
      <w:r w:rsidRPr="004F686C">
        <w:t xml:space="preserve">etrimental reliance, s/he/it  must prove the </w:t>
      </w:r>
      <w:proofErr w:type="gramStart"/>
      <w:r w:rsidRPr="004F686C">
        <w:t>amount</w:t>
      </w:r>
      <w:proofErr w:type="gramEnd"/>
      <w:r w:rsidRPr="004F686C">
        <w:t xml:space="preserve"> of damages. By instructing you on damages, I am not suggesting anything about your answers to questions 1 to 4</w:t>
      </w:r>
      <w:r>
        <w:t xml:space="preserve"> [question 1]</w:t>
      </w:r>
      <w:r w:rsidRPr="004F686C">
        <w:t>.</w:t>
      </w:r>
    </w:p>
    <w:p w14:paraId="7189CB44" w14:textId="77777777" w:rsidR="004F686C" w:rsidRPr="004F686C" w:rsidRDefault="004F686C" w:rsidP="004F686C">
      <w:pPr>
        <w:pStyle w:val="JuryInstructionText"/>
      </w:pPr>
      <w:r w:rsidRPr="004F686C">
        <w:t xml:space="preserve">The purpose of damages is to award PLF the benefit of the statement on which it relied. You may not award damages for to reward PLF or to punish DFT. </w:t>
      </w:r>
    </w:p>
    <w:p w14:paraId="4E47D2AF" w14:textId="77777777" w:rsidR="004F686C" w:rsidRPr="004F686C" w:rsidRDefault="004F686C" w:rsidP="004F686C">
      <w:pPr>
        <w:pStyle w:val="JuryInstructionText"/>
      </w:pPr>
      <w:r w:rsidRPr="004F686C">
        <w:t xml:space="preserve"> You must determine an amount that will compensate PLF for his/her/</w:t>
      </w:r>
      <w:proofErr w:type="spellStart"/>
      <w:r w:rsidRPr="004F686C">
        <w:t>its</w:t>
      </w:r>
      <w:proofErr w:type="spellEnd"/>
      <w:r w:rsidRPr="004F686C">
        <w:t xml:space="preserve"> reasonable reliance upon the statement. You should ask: “Would PLF have benefited if DFT had [describe substance of statement]?”  If so, you should award money damages to compensate PLF for the dollar value that it lost because it relied on DFT’s statement.  As with the other elements of the claim, PLF must prove that DFT’s conduct more likely than not caused the damages. You should not award damages for any harm that PLF or someone other than DFT caused. </w:t>
      </w:r>
    </w:p>
    <w:p w14:paraId="346A5B77" w14:textId="77777777" w:rsidR="004F686C" w:rsidRPr="00B043E9" w:rsidRDefault="004F686C" w:rsidP="004F686C">
      <w:pPr>
        <w:pStyle w:val="JuryInst4"/>
      </w:pPr>
      <w:r w:rsidRPr="00B043E9">
        <w:t>Mitigation of Damages</w:t>
      </w:r>
    </w:p>
    <w:p w14:paraId="6F43C08A" w14:textId="77777777" w:rsidR="004F686C" w:rsidRPr="004F686C" w:rsidRDefault="004F686C" w:rsidP="004F686C">
      <w:pPr>
        <w:pStyle w:val="JuryInstructionText"/>
      </w:pPr>
      <w:r w:rsidRPr="00B043E9">
        <w:t xml:space="preserve">In addition, </w:t>
      </w:r>
      <w:r>
        <w:t>PLF</w:t>
      </w:r>
      <w:r w:rsidRPr="00B043E9">
        <w:t xml:space="preserve"> had the duty to take all reasonable steps to reduce the damages </w:t>
      </w:r>
      <w:r w:rsidRPr="007B1645">
        <w:t xml:space="preserve">s/he/it </w:t>
      </w:r>
      <w:r w:rsidRPr="00B043E9">
        <w:t xml:space="preserve"> incurr</w:t>
      </w:r>
      <w:r w:rsidRPr="004F686C">
        <w:t>ed because of reasonable reliance on the statement. On this issue —called mitigation of damages—  DFT, and not PLF,  has the burden to prove that, more likely than not, PLF could have prevented or reduced some of the damages by reasonable measures.</w:t>
      </w:r>
    </w:p>
    <w:p w14:paraId="153E65F2" w14:textId="77777777" w:rsidR="004F686C" w:rsidRPr="00A23A46" w:rsidRDefault="004F686C" w:rsidP="004F686C">
      <w:pPr>
        <w:pStyle w:val="JuryInstructionText"/>
      </w:pPr>
      <w:r w:rsidRPr="004F686C">
        <w:t>PLF may not recover damages which it reasonably could have avoided. This rule applies to all types o</w:t>
      </w:r>
      <w:r w:rsidRPr="00B043E9">
        <w:t xml:space="preserve">f damages in this case. You must not include in your damages award any damages you find </w:t>
      </w:r>
      <w:r>
        <w:t>PLF</w:t>
      </w:r>
      <w:r w:rsidRPr="00B043E9">
        <w:t xml:space="preserve"> could have prevented or reduced by reasonable efforts.  </w:t>
      </w:r>
    </w:p>
    <w:p w14:paraId="15D9B97A" w14:textId="34F077EC" w:rsidR="004F686C" w:rsidRPr="00A23A46" w:rsidRDefault="00603BDB" w:rsidP="004F686C">
      <w:pPr>
        <w:pStyle w:val="JuryInst4"/>
      </w:pPr>
      <w:r w:rsidRPr="00A23A46">
        <w:lastRenderedPageBreak/>
        <w:t xml:space="preserve">Concluding Remarks </w:t>
      </w:r>
      <w:r>
        <w:t>o</w:t>
      </w:r>
      <w:r w:rsidRPr="00A23A46">
        <w:t>n Damages</w:t>
      </w:r>
    </w:p>
    <w:p w14:paraId="5CAD3883" w14:textId="77777777" w:rsidR="004F686C" w:rsidRPr="00A23A46" w:rsidRDefault="004F686C" w:rsidP="004F686C">
      <w:pPr>
        <w:pStyle w:val="JuryInstructionText"/>
      </w:pPr>
      <w:r w:rsidRPr="00A23A46">
        <w:t xml:space="preserve">I will conclude with a few words about damages in this case.  </w:t>
      </w:r>
    </w:p>
    <w:p w14:paraId="7C5DE675" w14:textId="77777777" w:rsidR="004F686C" w:rsidRPr="00A23A46" w:rsidRDefault="004F686C" w:rsidP="004F686C">
      <w:pPr>
        <w:pStyle w:val="JuryInstructionText"/>
      </w:pPr>
      <w:r w:rsidRPr="00A23A46">
        <w:t xml:space="preserve">First, some damages are difficult to prove with certainty. Sometimes you have little evidence to work with. But you can still award full and fair </w:t>
      </w:r>
      <w:proofErr w:type="gramStart"/>
      <w:r w:rsidRPr="00A23A46">
        <w:t>compensation, if</w:t>
      </w:r>
      <w:proofErr w:type="gramEnd"/>
      <w:r w:rsidRPr="00A23A46">
        <w:t xml:space="preserve"> the evidence allows you to determine damages in a reasonable way. The important thing is that you cannot determine damages by guessing. You must base your decision on fair and reasonable conclusions based on the evidence. If you decide to award damages, the </w:t>
      </w:r>
      <w:proofErr w:type="gramStart"/>
      <w:r w:rsidRPr="00A23A46">
        <w:t>amount</w:t>
      </w:r>
      <w:proofErr w:type="gramEnd"/>
      <w:r w:rsidRPr="00A23A46">
        <w:t xml:space="preserve"> of damages you award is up to your judgment as jurors.</w:t>
      </w:r>
    </w:p>
    <w:p w14:paraId="21F33DD6" w14:textId="5B7AFEAF" w:rsidR="00B75859" w:rsidRPr="00B75859" w:rsidRDefault="004F686C" w:rsidP="00B75859">
      <w:pPr>
        <w:pStyle w:val="JuryInstructionText"/>
      </w:pPr>
      <w:r w:rsidRPr="00A23A46">
        <w:t xml:space="preserve">Finally, you must not consider the application of any interest upon the </w:t>
      </w:r>
      <w:proofErr w:type="gramStart"/>
      <w:r w:rsidRPr="00A23A46">
        <w:t>amount</w:t>
      </w:r>
      <w:proofErr w:type="gramEnd"/>
      <w:r w:rsidRPr="00A23A46">
        <w:t xml:space="preserve"> of damages that you may find, since this the court’s job. Nor may you consider federal or state income </w:t>
      </w:r>
      <w:proofErr w:type="gramStart"/>
      <w:r w:rsidRPr="00A23A46">
        <w:t>taxes, since</w:t>
      </w:r>
      <w:proofErr w:type="gramEnd"/>
      <w:r w:rsidRPr="00A23A46">
        <w:t xml:space="preserve"> the damages award in this case may or may not be subject to payment of such taxes.  Taxes would need to be determined later – not by the jury.  In other words, just follow my instructions on what issues to consider.  If you go beyond what I have outlined, your verdict may well have unexpected consequences that you did not intend.  When you have made your determination on the </w:t>
      </w:r>
      <w:proofErr w:type="gramStart"/>
      <w:r w:rsidRPr="00A23A46">
        <w:t>amount</w:t>
      </w:r>
      <w:proofErr w:type="gramEnd"/>
      <w:r w:rsidRPr="00A23A46">
        <w:t xml:space="preserve"> of damages, using the rules I have just described, you should write down an amount both in numbers and in words.  </w:t>
      </w:r>
    </w:p>
    <w:sectPr w:rsidR="00B75859" w:rsidRPr="00B75859" w:rsidSect="00F74A90">
      <w:footerReference w:type="default" r:id="rId7"/>
      <w:pgSz w:w="12240" w:h="15840" w:code="1"/>
      <w:pgMar w:top="1440" w:right="1440" w:bottom="1440" w:left="1440" w:header="648" w:footer="648"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693260D" w14:textId="77777777" w:rsidR="00276DF8" w:rsidRDefault="00276DF8" w:rsidP="00F74A90">
      <w:r>
        <w:separator/>
      </w:r>
    </w:p>
  </w:endnote>
  <w:endnote w:type="continuationSeparator" w:id="0">
    <w:p w14:paraId="3BA2F28E" w14:textId="77777777" w:rsidR="00276DF8" w:rsidRDefault="00276DF8" w:rsidP="00F74A9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Arrus BT">
    <w:altName w:val="Cambria"/>
    <w:panose1 w:val="020B0604020202020204"/>
    <w:charset w:val="00"/>
    <w:family w:val="roman"/>
    <w:pitch w:val="variable"/>
  </w:font>
  <w:font w:name="Century">
    <w:panose1 w:val="02040604050505020304"/>
    <w:charset w:val="00"/>
    <w:family w:val="roman"/>
    <w:pitch w:val="variable"/>
    <w:sig w:usb0="00000287" w:usb1="00000000" w:usb2="00000000" w:usb3="00000000" w:csb0="0000009F" w:csb1="00000000"/>
  </w:font>
  <w:font w:name="Segoe UI Historic">
    <w:panose1 w:val="020B0502040204020203"/>
    <w:charset w:val="00"/>
    <w:family w:val="swiss"/>
    <w:pitch w:val="variable"/>
    <w:sig w:usb0="800001EF" w:usb1="02000002" w:usb2="0060C080" w:usb3="00000000" w:csb0="00000001"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F42F6D" w14:textId="2BA91F15" w:rsidR="00037D40" w:rsidRDefault="00992410" w:rsidP="003511A1">
    <w:pPr>
      <w:tabs>
        <w:tab w:val="right" w:pos="9360"/>
      </w:tabs>
      <w:jc w:val="center"/>
    </w:pPr>
    <w:r>
      <w:t xml:space="preserve">- </w:t>
    </w:r>
    <w:r>
      <w:fldChar w:fldCharType="begin"/>
    </w:r>
    <w:r>
      <w:instrText xml:space="preserve"> PAGE  \* MERGEFORMAT </w:instrText>
    </w:r>
    <w:r>
      <w:fldChar w:fldCharType="separate"/>
    </w:r>
    <w:r>
      <w:rPr>
        <w:noProof/>
      </w:rPr>
      <w:t>2</w:t>
    </w:r>
    <w:r>
      <w:fldChar w:fldCharType="end"/>
    </w: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6A9460D" w14:textId="77777777" w:rsidR="00276DF8" w:rsidRDefault="00276DF8" w:rsidP="00F74A90">
      <w:r>
        <w:separator/>
      </w:r>
    </w:p>
  </w:footnote>
  <w:footnote w:type="continuationSeparator" w:id="0">
    <w:p w14:paraId="1DEAC8CD" w14:textId="77777777" w:rsidR="00276DF8" w:rsidRDefault="00276DF8" w:rsidP="00F74A90">
      <w:r>
        <w:continuationSeparator/>
      </w:r>
    </w:p>
  </w:footnote>
  <w:footnote w:id="1">
    <w:p w14:paraId="280E3B13" w14:textId="519D153F" w:rsidR="00603BDB" w:rsidRDefault="00603BDB">
      <w:pPr>
        <w:pStyle w:val="FootnoteText"/>
      </w:pPr>
      <w:r>
        <w:rPr>
          <w:rStyle w:val="FootnoteReference"/>
        </w:rPr>
        <w:footnoteRef/>
      </w:r>
      <w:r>
        <w:t xml:space="preserve"> </w:t>
      </w:r>
      <w:r>
        <w:tab/>
      </w:r>
      <w:r w:rsidRPr="00603BDB">
        <w:t>The Supreme Judicial Court has distinguished “between a claim for equitable estoppel and one for promissory estoppel,” explaining that “ ’under a theory of equitable estoppel, there must be reliance on a misrepresentation of past or present facts, while a theory of promissory estoppel permits reliance on a misrepresentation [or other statement] of future intent.’</w:t>
      </w:r>
      <w:r>
        <w:t> </w:t>
      </w:r>
      <w:r w:rsidRPr="00603BDB">
        <w:t>”</w:t>
      </w:r>
      <w:r>
        <w:t xml:space="preserve"> </w:t>
      </w:r>
      <w:r w:rsidRPr="00603BDB">
        <w:rPr>
          <w:i/>
          <w:iCs/>
        </w:rPr>
        <w:t>Sullivan</w:t>
      </w:r>
      <w:r>
        <w:t xml:space="preserve"> </w:t>
      </w:r>
      <w:r w:rsidRPr="00603BDB">
        <w:t>v.</w:t>
      </w:r>
      <w:r>
        <w:t xml:space="preserve"> </w:t>
      </w:r>
      <w:r w:rsidRPr="00603BDB">
        <w:rPr>
          <w:i/>
          <w:iCs/>
        </w:rPr>
        <w:t>Chief Justice for Administration and Management of the Trial Court</w:t>
      </w:r>
      <w:r w:rsidRPr="00603BDB">
        <w:t>, 448 Mass. 15, 28 n.9 (2006), quoting </w:t>
      </w:r>
      <w:r w:rsidRPr="00603BDB">
        <w:rPr>
          <w:i/>
          <w:iCs/>
        </w:rPr>
        <w:t>Boylston Dev. Group, Inc</w:t>
      </w:r>
      <w:r w:rsidRPr="00603BDB">
        <w:t>. v. </w:t>
      </w:r>
      <w:r w:rsidRPr="00603BDB">
        <w:rPr>
          <w:i/>
          <w:iCs/>
        </w:rPr>
        <w:t>22 Boylston St. Corp</w:t>
      </w:r>
      <w:r w:rsidRPr="00603BDB">
        <w:t>., 412 Mass. 531, 542 n.17 (1992); see also </w:t>
      </w:r>
      <w:r w:rsidRPr="00603BDB">
        <w:rPr>
          <w:i/>
          <w:iCs/>
        </w:rPr>
        <w:t>Loranger</w:t>
      </w:r>
      <w:r w:rsidRPr="00603BDB">
        <w:t> Constr. Corp. v. E.F. Hauserman Co., 6 Mass. App. Ct. 152, 155 (equitable estoppel permits recovery “only where there has been reliance upon the misrepresentation of past or present facts,” while promissory estoppel applies “where reliance has been placed upon statements of future intent”), aff’d, 376 Mass. 757, 760–761 (1978).</w:t>
      </w:r>
    </w:p>
  </w:footnote>
  <w:footnote w:id="2">
    <w:p w14:paraId="0F86D479" w14:textId="7D75F4FA" w:rsidR="004F686C" w:rsidRPr="0061108B" w:rsidRDefault="004F686C" w:rsidP="004F686C">
      <w:pPr>
        <w:pStyle w:val="FootnoteText"/>
        <w:rPr>
          <w:rFonts w:cs="Segoe UI Historic"/>
        </w:rPr>
      </w:pPr>
      <w:r w:rsidRPr="0061108B">
        <w:rPr>
          <w:rStyle w:val="FootnoteReference"/>
          <w:rFonts w:cs="Segoe UI Historic"/>
        </w:rPr>
        <w:footnoteRef/>
      </w:r>
      <w:r>
        <w:rPr>
          <w:rFonts w:cs="Segoe UI Historic"/>
        </w:rPr>
        <w:t xml:space="preserve"> </w:t>
      </w:r>
      <w:r>
        <w:rPr>
          <w:rFonts w:cs="Segoe UI Historic"/>
        </w:rPr>
        <w:tab/>
      </w:r>
      <w:r w:rsidRPr="004F686C">
        <w:rPr>
          <w:rFonts w:cs="Segoe UI Historic"/>
          <w:i/>
          <w:iCs/>
        </w:rPr>
        <w:t>Anzalone</w:t>
      </w:r>
      <w:r w:rsidRPr="004F686C">
        <w:rPr>
          <w:rFonts w:cs="Segoe UI Historic"/>
        </w:rPr>
        <w:t xml:space="preserve"> v. </w:t>
      </w:r>
      <w:r w:rsidRPr="004F686C">
        <w:rPr>
          <w:rFonts w:cs="Segoe UI Historic"/>
          <w:i/>
          <w:iCs/>
        </w:rPr>
        <w:t>Admin. Office of the Trial Court</w:t>
      </w:r>
      <w:r w:rsidRPr="0061108B">
        <w:rPr>
          <w:rFonts w:cs="Segoe UI Historic"/>
        </w:rPr>
        <w:t>, 457 Mass. 647, 661 (2010)</w:t>
      </w:r>
      <w:r>
        <w:rPr>
          <w:rFonts w:cs="Segoe UI Historic"/>
        </w:rPr>
        <w:t>. S</w:t>
      </w:r>
      <w:r>
        <w:rPr>
          <w:rFonts w:cs="Segoe UI Historic"/>
        </w:rPr>
        <w:t>ee also</w:t>
      </w:r>
      <w:r w:rsidRPr="0061108B">
        <w:rPr>
          <w:rFonts w:cs="Segoe UI Historic"/>
        </w:rPr>
        <w:t xml:space="preserve"> </w:t>
      </w:r>
      <w:proofErr w:type="spellStart"/>
      <w:r w:rsidRPr="004F686C">
        <w:rPr>
          <w:rFonts w:cs="Segoe UI Historic"/>
          <w:i/>
          <w:iCs/>
        </w:rPr>
        <w:t>Kanamaru</w:t>
      </w:r>
      <w:proofErr w:type="spellEnd"/>
      <w:r w:rsidRPr="004F686C">
        <w:rPr>
          <w:rFonts w:cs="Segoe UI Historic"/>
        </w:rPr>
        <w:t xml:space="preserve"> v. </w:t>
      </w:r>
      <w:r w:rsidRPr="004F686C">
        <w:rPr>
          <w:rFonts w:cs="Segoe UI Historic"/>
          <w:i/>
          <w:iCs/>
        </w:rPr>
        <w:t>Holyoke Mutual Ins. Co</w:t>
      </w:r>
      <w:r w:rsidRPr="004F686C">
        <w:rPr>
          <w:rFonts w:cs="Segoe UI Historic"/>
        </w:rPr>
        <w:t>.</w:t>
      </w:r>
      <w:r w:rsidRPr="0061108B">
        <w:rPr>
          <w:rFonts w:cs="Segoe UI Historic"/>
        </w:rPr>
        <w:t xml:space="preserve">, 72 Mass. App. Ct. 396, 404-407 (2008), citing </w:t>
      </w:r>
      <w:r w:rsidRPr="004F686C">
        <w:rPr>
          <w:rFonts w:cs="Segoe UI Historic"/>
          <w:i/>
          <w:iCs/>
        </w:rPr>
        <w:t>Sullivan</w:t>
      </w:r>
      <w:r w:rsidRPr="004F686C">
        <w:rPr>
          <w:rFonts w:cs="Segoe UI Historic"/>
        </w:rPr>
        <w:t xml:space="preserve"> v. </w:t>
      </w:r>
      <w:r w:rsidRPr="004F686C">
        <w:rPr>
          <w:rFonts w:cs="Segoe UI Historic"/>
          <w:i/>
          <w:iCs/>
        </w:rPr>
        <w:t xml:space="preserve">Chief Justice of </w:t>
      </w:r>
      <w:proofErr w:type="spellStart"/>
      <w:r w:rsidRPr="004F686C">
        <w:rPr>
          <w:rFonts w:cs="Segoe UI Historic"/>
          <w:i/>
          <w:iCs/>
        </w:rPr>
        <w:t>Admn</w:t>
      </w:r>
      <w:proofErr w:type="spellEnd"/>
      <w:r w:rsidRPr="004F686C">
        <w:rPr>
          <w:rFonts w:cs="Segoe UI Historic"/>
          <w:i/>
          <w:iCs/>
        </w:rPr>
        <w:t>. &amp; Mgmt. of the Trial Court</w:t>
      </w:r>
      <w:r w:rsidRPr="0061108B">
        <w:rPr>
          <w:rFonts w:cs="Segoe UI Historic"/>
        </w:rPr>
        <w:t xml:space="preserve">, 448 Mass. 15, 27-28 (2006); </w:t>
      </w:r>
      <w:proofErr w:type="spellStart"/>
      <w:r w:rsidRPr="004F686C">
        <w:rPr>
          <w:rFonts w:cs="Segoe UI Historic"/>
          <w:i/>
          <w:iCs/>
        </w:rPr>
        <w:t>Bongaards</w:t>
      </w:r>
      <w:proofErr w:type="spellEnd"/>
      <w:r w:rsidRPr="004F686C">
        <w:rPr>
          <w:rFonts w:cs="Segoe UI Historic"/>
        </w:rPr>
        <w:t xml:space="preserve"> v. </w:t>
      </w:r>
      <w:r w:rsidRPr="004F686C">
        <w:rPr>
          <w:rFonts w:cs="Segoe UI Historic"/>
          <w:i/>
          <w:iCs/>
        </w:rPr>
        <w:t>Millen</w:t>
      </w:r>
      <w:r w:rsidRPr="0061108B">
        <w:rPr>
          <w:rFonts w:cs="Segoe UI Historic"/>
        </w:rPr>
        <w:t xml:space="preserve">, 440 Mass. 10, 15 (2003). </w:t>
      </w:r>
    </w:p>
  </w:footnote>
  <w:footnote w:id="3">
    <w:p w14:paraId="4291E040" w14:textId="31441E05" w:rsidR="004F686C" w:rsidRDefault="004F686C" w:rsidP="004F686C">
      <w:pPr>
        <w:pStyle w:val="FootnoteText"/>
      </w:pPr>
      <w:r>
        <w:rPr>
          <w:rStyle w:val="FootnoteReference"/>
        </w:rPr>
        <w:footnoteRef/>
      </w:r>
      <w:r>
        <w:t xml:space="preserve"> </w:t>
      </w:r>
      <w:r>
        <w:tab/>
      </w:r>
      <w:r>
        <w:t xml:space="preserve">See </w:t>
      </w:r>
      <w:r w:rsidRPr="004F686C">
        <w:rPr>
          <w:i/>
          <w:iCs/>
        </w:rPr>
        <w:t>Rhode Island Hosp. Trust Nat’l Bank</w:t>
      </w:r>
      <w:r w:rsidRPr="004F686C">
        <w:t xml:space="preserve"> v. </w:t>
      </w:r>
      <w:r w:rsidRPr="004F686C">
        <w:rPr>
          <w:i/>
          <w:iCs/>
        </w:rPr>
        <w:t>Varadian</w:t>
      </w:r>
      <w:r>
        <w:t xml:space="preserve">, 419 Mass. 841 (1995); </w:t>
      </w:r>
      <w:r w:rsidRPr="004F686C">
        <w:rPr>
          <w:i/>
          <w:iCs/>
        </w:rPr>
        <w:t>Loranger Constr. Corp</w:t>
      </w:r>
      <w:r w:rsidRPr="004F686C">
        <w:t xml:space="preserve">. v. </w:t>
      </w:r>
      <w:r w:rsidRPr="004F686C">
        <w:rPr>
          <w:i/>
          <w:iCs/>
        </w:rPr>
        <w:t>E.F. Hauserman Co</w:t>
      </w:r>
      <w:r>
        <w:t>., 376 Mass. 757 (1978).</w:t>
      </w:r>
    </w:p>
  </w:footnote>
  <w:footnote w:id="4">
    <w:p w14:paraId="7154DD3A" w14:textId="3FFBBF8F" w:rsidR="004F686C" w:rsidRDefault="004F686C" w:rsidP="004F686C">
      <w:pPr>
        <w:pStyle w:val="FootnoteText"/>
      </w:pPr>
      <w:r>
        <w:rPr>
          <w:rStyle w:val="FootnoteReference"/>
        </w:rPr>
        <w:footnoteRef/>
      </w:r>
      <w:r>
        <w:t xml:space="preserve"> </w:t>
      </w:r>
      <w:r>
        <w:tab/>
      </w:r>
      <w:r w:rsidRPr="004F686C">
        <w:rPr>
          <w:i/>
          <w:iCs/>
        </w:rPr>
        <w:t>Loranger Constr. Corp</w:t>
      </w:r>
      <w:r w:rsidRPr="004F686C">
        <w:t xml:space="preserve">. v. </w:t>
      </w:r>
      <w:r w:rsidRPr="004F686C">
        <w:rPr>
          <w:i/>
          <w:iCs/>
        </w:rPr>
        <w:t>E.F. Hauserman Co</w:t>
      </w:r>
      <w:r>
        <w:t xml:space="preserve">., 376 Mass. 757 (1978); </w:t>
      </w:r>
      <w:proofErr w:type="spellStart"/>
      <w:r w:rsidRPr="004F686C">
        <w:rPr>
          <w:rFonts w:cs="Segoe UI Historic"/>
          <w:i/>
          <w:iCs/>
        </w:rPr>
        <w:t>Kanamaru</w:t>
      </w:r>
      <w:proofErr w:type="spellEnd"/>
      <w:r w:rsidRPr="004F686C">
        <w:rPr>
          <w:rFonts w:cs="Segoe UI Historic"/>
        </w:rPr>
        <w:t xml:space="preserve"> v. </w:t>
      </w:r>
      <w:r w:rsidRPr="004F686C">
        <w:rPr>
          <w:rFonts w:cs="Segoe UI Historic"/>
          <w:i/>
          <w:iCs/>
        </w:rPr>
        <w:t>Holyoke Mutual Ins. Co</w:t>
      </w:r>
      <w:r w:rsidRPr="0061108B">
        <w:rPr>
          <w:rFonts w:cs="Segoe UI Historic"/>
        </w:rPr>
        <w:t>., 72 Mass. App. Ct. 396, 404-407 (2008)</w:t>
      </w:r>
      <w:r>
        <w:rPr>
          <w:rFonts w:cs="Segoe UI Historic"/>
        </w:rPr>
        <w:t xml:space="preserve">; </w:t>
      </w:r>
      <w:proofErr w:type="spellStart"/>
      <w:r w:rsidRPr="004F686C">
        <w:rPr>
          <w:rFonts w:cs="Segoe UI Historic"/>
          <w:i/>
          <w:iCs/>
        </w:rPr>
        <w:t>Tull</w:t>
      </w:r>
      <w:proofErr w:type="spellEnd"/>
      <w:r w:rsidRPr="004F686C">
        <w:rPr>
          <w:rFonts w:cs="Segoe UI Historic"/>
        </w:rPr>
        <w:t xml:space="preserve"> v. </w:t>
      </w:r>
      <w:r w:rsidRPr="004F686C">
        <w:rPr>
          <w:rFonts w:cs="Segoe UI Historic"/>
          <w:i/>
          <w:iCs/>
        </w:rPr>
        <w:t>Mister Donut Development Corp</w:t>
      </w:r>
      <w:r>
        <w:rPr>
          <w:rFonts w:cs="Segoe UI Historic"/>
        </w:rPr>
        <w:t>., 7 Mass. App. Ct. 626 (1979).</w:t>
      </w:r>
    </w:p>
  </w:footnote>
  <w:footnote w:id="5">
    <w:p w14:paraId="5FB7DC13" w14:textId="37F0AD30" w:rsidR="004F686C" w:rsidRDefault="004F686C" w:rsidP="004F686C">
      <w:pPr>
        <w:pStyle w:val="FootnoteText"/>
      </w:pPr>
      <w:r>
        <w:rPr>
          <w:rStyle w:val="FootnoteReference"/>
        </w:rPr>
        <w:footnoteRef/>
      </w:r>
      <w:r>
        <w:t xml:space="preserve"> </w:t>
      </w:r>
      <w:r>
        <w:tab/>
      </w:r>
      <w:r>
        <w:t xml:space="preserve">See </w:t>
      </w:r>
      <w:r w:rsidRPr="004F686C">
        <w:rPr>
          <w:i/>
          <w:iCs/>
        </w:rPr>
        <w:t>Cataldo Ambulance Serv</w:t>
      </w:r>
      <w:r w:rsidRPr="004F686C">
        <w:t xml:space="preserve">. v. </w:t>
      </w:r>
      <w:r w:rsidRPr="004F686C">
        <w:rPr>
          <w:i/>
          <w:iCs/>
        </w:rPr>
        <w:t>City of Chelsea</w:t>
      </w:r>
      <w:r>
        <w:t>, 426 Mass. 383 (1998).</w:t>
      </w:r>
    </w:p>
  </w:footnote>
  <w:footnote w:id="6">
    <w:p w14:paraId="2B82B539" w14:textId="2730EBEC" w:rsidR="004F686C" w:rsidRDefault="004F686C" w:rsidP="004F686C">
      <w:pPr>
        <w:pStyle w:val="FootnoteText"/>
      </w:pPr>
      <w:r>
        <w:rPr>
          <w:rStyle w:val="FootnoteReference"/>
        </w:rPr>
        <w:footnoteRef/>
      </w:r>
      <w:r>
        <w:t xml:space="preserve"> </w:t>
      </w:r>
      <w:r>
        <w:tab/>
      </w:r>
      <w:r>
        <w:t xml:space="preserve">See </w:t>
      </w:r>
      <w:r w:rsidRPr="004F686C">
        <w:rPr>
          <w:i/>
          <w:iCs/>
        </w:rPr>
        <w:t>Cambridge Sav. Bank</w:t>
      </w:r>
      <w:r w:rsidRPr="004F686C">
        <w:t xml:space="preserve"> v. </w:t>
      </w:r>
      <w:r w:rsidRPr="004F686C">
        <w:rPr>
          <w:i/>
          <w:iCs/>
        </w:rPr>
        <w:t>Boersner</w:t>
      </w:r>
      <w:r>
        <w:t xml:space="preserve">, 413 Mass. 432 (1992); </w:t>
      </w:r>
      <w:r w:rsidRPr="004F686C">
        <w:rPr>
          <w:i/>
          <w:iCs/>
        </w:rPr>
        <w:t xml:space="preserve">Congregation </w:t>
      </w:r>
      <w:proofErr w:type="spellStart"/>
      <w:r w:rsidRPr="004F686C">
        <w:rPr>
          <w:i/>
          <w:iCs/>
        </w:rPr>
        <w:t>Kadimah</w:t>
      </w:r>
      <w:proofErr w:type="spellEnd"/>
      <w:r w:rsidRPr="004F686C">
        <w:rPr>
          <w:i/>
          <w:iCs/>
        </w:rPr>
        <w:t xml:space="preserve"> </w:t>
      </w:r>
      <w:proofErr w:type="spellStart"/>
      <w:r w:rsidRPr="004F686C">
        <w:rPr>
          <w:i/>
          <w:iCs/>
        </w:rPr>
        <w:t>Toras</w:t>
      </w:r>
      <w:proofErr w:type="spellEnd"/>
      <w:r w:rsidRPr="004F686C">
        <w:rPr>
          <w:i/>
          <w:iCs/>
        </w:rPr>
        <w:t>-Moshe</w:t>
      </w:r>
      <w:r w:rsidRPr="004F686C">
        <w:t xml:space="preserve"> v. </w:t>
      </w:r>
      <w:r w:rsidRPr="004F686C">
        <w:rPr>
          <w:i/>
          <w:iCs/>
        </w:rPr>
        <w:t>DeLeo</w:t>
      </w:r>
      <w:r>
        <w:t xml:space="preserve">, 405 Mass. 365 (1989); </w:t>
      </w:r>
      <w:r w:rsidRPr="004F686C">
        <w:rPr>
          <w:i/>
          <w:iCs/>
        </w:rPr>
        <w:t>Bump</w:t>
      </w:r>
      <w:r w:rsidRPr="004F686C">
        <w:t xml:space="preserve"> v. </w:t>
      </w:r>
      <w:r w:rsidRPr="004F686C">
        <w:rPr>
          <w:i/>
          <w:iCs/>
        </w:rPr>
        <w:t>Robbins</w:t>
      </w:r>
      <w:r>
        <w:t>, 24 Mass. App. Ct. 296 (1987).</w:t>
      </w:r>
    </w:p>
  </w:footnote>
  <w:footnote w:id="7">
    <w:p w14:paraId="506F09E6" w14:textId="39EE2FB8" w:rsidR="004F686C" w:rsidRDefault="004F686C" w:rsidP="004F686C">
      <w:pPr>
        <w:pStyle w:val="FootnoteText"/>
      </w:pPr>
      <w:r>
        <w:rPr>
          <w:rStyle w:val="FootnoteReference"/>
        </w:rPr>
        <w:footnoteRef/>
      </w:r>
      <w:r>
        <w:t xml:space="preserve"> </w:t>
      </w:r>
      <w:r>
        <w:tab/>
      </w:r>
      <w:r w:rsidRPr="004F686C">
        <w:rPr>
          <w:i/>
          <w:iCs/>
        </w:rPr>
        <w:t>McMahon</w:t>
      </w:r>
      <w:r w:rsidRPr="004F686C">
        <w:t xml:space="preserve"> v. </w:t>
      </w:r>
      <w:r w:rsidRPr="004F686C">
        <w:rPr>
          <w:i/>
          <w:iCs/>
        </w:rPr>
        <w:t>Digital Equip. Corp</w:t>
      </w:r>
      <w:r>
        <w:t>., 162 F.3d 28 (1</w:t>
      </w:r>
      <w:r w:rsidRPr="00C2646C">
        <w:rPr>
          <w:vertAlign w:val="superscript"/>
        </w:rPr>
        <w:t>st</w:t>
      </w:r>
      <w:r>
        <w:t xml:space="preserve"> Cir. 1998).</w:t>
      </w:r>
    </w:p>
  </w:footnote>
  <w:footnote w:id="8">
    <w:p w14:paraId="4EDB8D40" w14:textId="01A9696F" w:rsidR="004F686C" w:rsidRDefault="004F686C" w:rsidP="004F686C">
      <w:pPr>
        <w:pStyle w:val="FootnoteText"/>
      </w:pPr>
      <w:r>
        <w:rPr>
          <w:rStyle w:val="FootnoteReference"/>
        </w:rPr>
        <w:footnoteRef/>
      </w:r>
      <w:r>
        <w:t xml:space="preserve"> </w:t>
      </w:r>
      <w:r>
        <w:tab/>
      </w:r>
      <w:r w:rsidRPr="004F686C">
        <w:rPr>
          <w:rFonts w:cs="Segoe UI Historic"/>
          <w:i/>
          <w:iCs/>
        </w:rPr>
        <w:t>Anzalone</w:t>
      </w:r>
      <w:r w:rsidRPr="004F686C">
        <w:rPr>
          <w:rFonts w:cs="Segoe UI Historic"/>
        </w:rPr>
        <w:t xml:space="preserve"> v. </w:t>
      </w:r>
      <w:r w:rsidRPr="004F686C">
        <w:rPr>
          <w:rFonts w:cs="Segoe UI Historic"/>
          <w:i/>
          <w:iCs/>
        </w:rPr>
        <w:t>Admin. Office of the Trial Court</w:t>
      </w:r>
      <w:r w:rsidRPr="0061108B">
        <w:rPr>
          <w:rFonts w:cs="Segoe UI Historic"/>
        </w:rPr>
        <w:t>, 457 Mass. 647, 661 (2010).</w:t>
      </w:r>
    </w:p>
  </w:footnote>
  <w:footnote w:id="9">
    <w:p w14:paraId="57C6C224" w14:textId="060E26C1" w:rsidR="004F686C" w:rsidRDefault="004F686C" w:rsidP="004F686C">
      <w:pPr>
        <w:pStyle w:val="FootnoteText"/>
      </w:pPr>
      <w:r>
        <w:rPr>
          <w:rStyle w:val="FootnoteReference"/>
        </w:rPr>
        <w:footnoteRef/>
      </w:r>
      <w:r>
        <w:t xml:space="preserve"> </w:t>
      </w:r>
      <w:r>
        <w:tab/>
      </w:r>
      <w:r>
        <w:t>See, e.g</w:t>
      </w:r>
      <w:r w:rsidRPr="004F686C">
        <w:t>.</w:t>
      </w:r>
      <w:r>
        <w:t>,</w:t>
      </w:r>
      <w:r w:rsidRPr="004F686C">
        <w:t xml:space="preserve"> </w:t>
      </w:r>
      <w:r w:rsidRPr="004F686C">
        <w:rPr>
          <w:i/>
          <w:iCs/>
        </w:rPr>
        <w:t>I &amp; R Mechanical, Inc</w:t>
      </w:r>
      <w:r w:rsidRPr="004F686C">
        <w:t xml:space="preserve">. v. </w:t>
      </w:r>
      <w:r w:rsidRPr="004F686C">
        <w:rPr>
          <w:i/>
          <w:iCs/>
        </w:rPr>
        <w:t>Hazelton Mfg. Co</w:t>
      </w:r>
      <w:r>
        <w:t>., 62 Mass. App. Ct. 452 (2004).</w:t>
      </w:r>
    </w:p>
  </w:footnote>
  <w:footnote w:id="10">
    <w:p w14:paraId="0CD6DAD7" w14:textId="138E3336" w:rsidR="004F686C" w:rsidRDefault="004F686C" w:rsidP="004F686C">
      <w:pPr>
        <w:pStyle w:val="FootnoteText"/>
      </w:pPr>
      <w:r>
        <w:rPr>
          <w:rStyle w:val="FootnoteReference"/>
        </w:rPr>
        <w:footnoteRef/>
      </w:r>
      <w:r>
        <w:t xml:space="preserve"> </w:t>
      </w:r>
      <w:r>
        <w:tab/>
      </w:r>
      <w:proofErr w:type="spellStart"/>
      <w:r w:rsidRPr="004F686C">
        <w:rPr>
          <w:i/>
          <w:iCs/>
        </w:rPr>
        <w:t>Suominen</w:t>
      </w:r>
      <w:proofErr w:type="spellEnd"/>
      <w:r w:rsidRPr="004F686C">
        <w:t xml:space="preserve"> v. </w:t>
      </w:r>
      <w:r w:rsidRPr="004F686C">
        <w:rPr>
          <w:i/>
          <w:iCs/>
        </w:rPr>
        <w:t>Goodman Indus. Equities Mgmt. Group, LLC</w:t>
      </w:r>
      <w:r>
        <w:t xml:space="preserve">, 78 Mass. App. Ct. 723, rev. denied, 459 Mass. 1109 (2011); </w:t>
      </w:r>
      <w:proofErr w:type="spellStart"/>
      <w:r w:rsidRPr="004F686C">
        <w:rPr>
          <w:i/>
          <w:iCs/>
        </w:rPr>
        <w:t>Transamerican</w:t>
      </w:r>
      <w:proofErr w:type="spellEnd"/>
      <w:r w:rsidRPr="004F686C">
        <w:rPr>
          <w:i/>
          <w:iCs/>
        </w:rPr>
        <w:t xml:space="preserve"> Ins. Group</w:t>
      </w:r>
      <w:r w:rsidRPr="004F686C">
        <w:t xml:space="preserve"> v. </w:t>
      </w:r>
      <w:r w:rsidRPr="004F686C">
        <w:rPr>
          <w:i/>
          <w:iCs/>
        </w:rPr>
        <w:t>Turner Constr. Co</w:t>
      </w:r>
      <w:r>
        <w:t>., 33 Mass. App. Ct. 446 (1992)</w:t>
      </w:r>
      <w:r>
        <w:t xml:space="preserve">. </w:t>
      </w:r>
      <w:r>
        <w:t>See also</w:t>
      </w:r>
      <w:r w:rsidRPr="004F686C">
        <w:rPr>
          <w:rFonts w:cs="Segoe UI Historic"/>
          <w:i/>
          <w:iCs/>
        </w:rPr>
        <w:t xml:space="preserve"> </w:t>
      </w:r>
      <w:proofErr w:type="spellStart"/>
      <w:r w:rsidRPr="004F686C">
        <w:rPr>
          <w:rFonts w:cs="Segoe UI Historic"/>
          <w:i/>
          <w:iCs/>
        </w:rPr>
        <w:t>Kanamaru</w:t>
      </w:r>
      <w:proofErr w:type="spellEnd"/>
      <w:r w:rsidRPr="004F686C">
        <w:rPr>
          <w:rFonts w:cs="Segoe UI Historic"/>
        </w:rPr>
        <w:t xml:space="preserve"> v.</w:t>
      </w:r>
      <w:r w:rsidRPr="004F686C">
        <w:rPr>
          <w:rFonts w:cs="Segoe UI Historic"/>
          <w:i/>
          <w:iCs/>
        </w:rPr>
        <w:t xml:space="preserve"> Holyoke Mutual Ins. Co</w:t>
      </w:r>
      <w:r w:rsidRPr="0061108B">
        <w:rPr>
          <w:rFonts w:cs="Segoe UI Historic"/>
        </w:rPr>
        <w:t>., 72 Mass. App. Ct. 396, 404-407 (2008)</w:t>
      </w:r>
      <w:r>
        <w:t xml:space="preserve"> </w:t>
      </w:r>
      <w:r w:rsidRPr="004F686C">
        <w:rPr>
          <w:i/>
          <w:iCs/>
        </w:rPr>
        <w:t>Bump</w:t>
      </w:r>
      <w:r w:rsidRPr="004F686C">
        <w:t xml:space="preserve"> v. </w:t>
      </w:r>
      <w:r w:rsidRPr="004F686C">
        <w:rPr>
          <w:i/>
          <w:iCs/>
        </w:rPr>
        <w:t>Robbins</w:t>
      </w:r>
      <w:r>
        <w:t xml:space="preserve">, 24 Mass. App. Ct. 296 (1987); </w:t>
      </w:r>
      <w:proofErr w:type="spellStart"/>
      <w:r w:rsidRPr="004F686C">
        <w:rPr>
          <w:i/>
          <w:iCs/>
        </w:rPr>
        <w:t>Cellucci</w:t>
      </w:r>
      <w:proofErr w:type="spellEnd"/>
      <w:r w:rsidRPr="004F686C">
        <w:t xml:space="preserve"> v. </w:t>
      </w:r>
      <w:r w:rsidRPr="004F686C">
        <w:rPr>
          <w:i/>
          <w:iCs/>
        </w:rPr>
        <w:t>Sun Oil Co</w:t>
      </w:r>
      <w:r>
        <w:t>., 2 Mas. App. Ct. 722</w:t>
      </w:r>
      <w:r>
        <w:t xml:space="preserve"> </w:t>
      </w:r>
      <w:r>
        <w:t>(1974).</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C1C4F0B4"/>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A9BE6422"/>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D870FB86"/>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09904684"/>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CB4CA86A"/>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8EC6C712"/>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B60A231E"/>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C17ADCBE"/>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9E5CB50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19FC321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25632C3"/>
    <w:multiLevelType w:val="multilevel"/>
    <w:tmpl w:val="86D633D2"/>
    <w:lvl w:ilvl="0">
      <w:start w:val="1"/>
      <w:numFmt w:val="none"/>
      <w:suff w:val="nothing"/>
      <w:lvlText w:val=""/>
      <w:lvlJc w:val="center"/>
      <w:pPr>
        <w:ind w:left="0" w:firstLine="0"/>
      </w:pPr>
      <w:rPr>
        <w:rFonts w:hint="default"/>
      </w:rPr>
    </w:lvl>
    <w:lvl w:ilvl="1">
      <w:start w:val="1"/>
      <w:numFmt w:val="none"/>
      <w:lvlText w:val=""/>
      <w:lvlJc w:val="left"/>
      <w:pPr>
        <w:ind w:left="0" w:firstLine="0"/>
      </w:pPr>
      <w:rPr>
        <w:rFonts w:hint="default"/>
      </w:rPr>
    </w:lvl>
    <w:lvl w:ilvl="2">
      <w:start w:val="1"/>
      <w:numFmt w:val="lowerLetter"/>
      <w:lvlText w:val="(%3)"/>
      <w:lvlJc w:val="left"/>
      <w:pPr>
        <w:ind w:left="864" w:hanging="432"/>
      </w:pPr>
      <w:rPr>
        <w:rFonts w:hint="default"/>
      </w:rPr>
    </w:lvl>
    <w:lvl w:ilvl="3">
      <w:start w:val="1"/>
      <w:numFmt w:val="decimal"/>
      <w:lvlText w:val="(%4)"/>
      <w:lvlJc w:val="left"/>
      <w:pPr>
        <w:ind w:left="1296" w:hanging="432"/>
      </w:pPr>
      <w:rPr>
        <w:rFonts w:hint="default"/>
      </w:rPr>
    </w:lvl>
    <w:lvl w:ilvl="4">
      <w:start w:val="1"/>
      <w:numFmt w:val="lowerLetter"/>
      <w:lvlText w:val="%5."/>
      <w:lvlJc w:val="left"/>
      <w:pPr>
        <w:ind w:left="1728" w:hanging="432"/>
      </w:pPr>
      <w:rPr>
        <w:rFonts w:hint="default"/>
      </w:rPr>
    </w:lvl>
    <w:lvl w:ilvl="5">
      <w:start w:val="1"/>
      <w:numFmt w:val="lowerRoman"/>
      <w:lvlText w:val="%6."/>
      <w:lvlJc w:val="left"/>
      <w:pPr>
        <w:ind w:left="2160" w:hanging="432"/>
      </w:pPr>
      <w:rPr>
        <w:rFonts w:hint="default"/>
      </w:rPr>
    </w:lvl>
    <w:lvl w:ilvl="6">
      <w:start w:val="1"/>
      <w:numFmt w:val="decimal"/>
      <w:lvlText w:val="%7."/>
      <w:lvlJc w:val="left"/>
      <w:pPr>
        <w:ind w:left="2592" w:hanging="432"/>
      </w:pPr>
      <w:rPr>
        <w:rFonts w:hint="default"/>
      </w:rPr>
    </w:lvl>
    <w:lvl w:ilvl="7">
      <w:start w:val="1"/>
      <w:numFmt w:val="lowerLetter"/>
      <w:lvlText w:val="%8."/>
      <w:lvlJc w:val="left"/>
      <w:pPr>
        <w:ind w:left="3024" w:hanging="173"/>
      </w:pPr>
      <w:rPr>
        <w:rFonts w:hint="default"/>
      </w:rPr>
    </w:lvl>
    <w:lvl w:ilvl="8">
      <w:start w:val="1"/>
      <w:numFmt w:val="lowerRoman"/>
      <w:lvlText w:val="%9."/>
      <w:lvlJc w:val="left"/>
      <w:pPr>
        <w:ind w:left="3456" w:hanging="432"/>
      </w:pPr>
      <w:rPr>
        <w:rFonts w:hint="default"/>
      </w:rPr>
    </w:lvl>
  </w:abstractNum>
  <w:abstractNum w:abstractNumId="11" w15:restartNumberingAfterBreak="0">
    <w:nsid w:val="1B722686"/>
    <w:multiLevelType w:val="multilevel"/>
    <w:tmpl w:val="5218CAB0"/>
    <w:lvl w:ilvl="0">
      <w:start w:val="1"/>
      <w:numFmt w:val="none"/>
      <w:pStyle w:val="JuryInst1"/>
      <w:suff w:val="nothing"/>
      <w:lvlText w:val=""/>
      <w:lvlJc w:val="center"/>
      <w:pPr>
        <w:ind w:left="0" w:firstLine="0"/>
      </w:pPr>
      <w:rPr>
        <w:rFonts w:hint="default"/>
      </w:rPr>
    </w:lvl>
    <w:lvl w:ilvl="1">
      <w:start w:val="1"/>
      <w:numFmt w:val="none"/>
      <w:pStyle w:val="JuryInst2"/>
      <w:lvlText w:val=""/>
      <w:lvlJc w:val="left"/>
      <w:pPr>
        <w:ind w:left="0" w:firstLine="0"/>
      </w:pPr>
      <w:rPr>
        <w:rFonts w:hint="default"/>
      </w:rPr>
    </w:lvl>
    <w:lvl w:ilvl="2">
      <w:start w:val="1"/>
      <w:numFmt w:val="lowerLetter"/>
      <w:pStyle w:val="JuryInst3"/>
      <w:lvlText w:val="(%3)"/>
      <w:lvlJc w:val="left"/>
      <w:pPr>
        <w:ind w:left="864" w:hanging="432"/>
      </w:pPr>
      <w:rPr>
        <w:rFonts w:hint="default"/>
      </w:rPr>
    </w:lvl>
    <w:lvl w:ilvl="3">
      <w:start w:val="1"/>
      <w:numFmt w:val="decimal"/>
      <w:pStyle w:val="JuryInst4"/>
      <w:lvlText w:val="(%4)"/>
      <w:lvlJc w:val="left"/>
      <w:pPr>
        <w:ind w:left="1296" w:hanging="432"/>
      </w:pPr>
      <w:rPr>
        <w:rFonts w:hint="default"/>
      </w:rPr>
    </w:lvl>
    <w:lvl w:ilvl="4">
      <w:start w:val="1"/>
      <w:numFmt w:val="lowerLetter"/>
      <w:pStyle w:val="JuryInst5"/>
      <w:lvlText w:val="%5."/>
      <w:lvlJc w:val="left"/>
      <w:pPr>
        <w:ind w:left="1728" w:hanging="432"/>
      </w:pPr>
      <w:rPr>
        <w:rFonts w:hint="default"/>
      </w:rPr>
    </w:lvl>
    <w:lvl w:ilvl="5">
      <w:start w:val="1"/>
      <w:numFmt w:val="lowerRoman"/>
      <w:pStyle w:val="JuryInst6"/>
      <w:lvlText w:val="%6."/>
      <w:lvlJc w:val="left"/>
      <w:pPr>
        <w:ind w:left="2160" w:hanging="432"/>
      </w:pPr>
      <w:rPr>
        <w:rFonts w:hint="default"/>
      </w:rPr>
    </w:lvl>
    <w:lvl w:ilvl="6">
      <w:start w:val="1"/>
      <w:numFmt w:val="decimal"/>
      <w:lvlText w:val="%7."/>
      <w:lvlJc w:val="left"/>
      <w:pPr>
        <w:ind w:left="2592" w:hanging="432"/>
      </w:pPr>
      <w:rPr>
        <w:rFonts w:hint="default"/>
      </w:rPr>
    </w:lvl>
    <w:lvl w:ilvl="7">
      <w:start w:val="1"/>
      <w:numFmt w:val="lowerLetter"/>
      <w:lvlText w:val="%8."/>
      <w:lvlJc w:val="left"/>
      <w:pPr>
        <w:ind w:left="3024" w:hanging="173"/>
      </w:pPr>
      <w:rPr>
        <w:rFonts w:hint="default"/>
      </w:rPr>
    </w:lvl>
    <w:lvl w:ilvl="8">
      <w:start w:val="1"/>
      <w:numFmt w:val="lowerRoman"/>
      <w:lvlText w:val="%9."/>
      <w:lvlJc w:val="left"/>
      <w:pPr>
        <w:ind w:left="3456" w:hanging="432"/>
      </w:pPr>
      <w:rPr>
        <w:rFonts w:hint="default"/>
      </w:rPr>
    </w:lvl>
  </w:abstractNum>
  <w:abstractNum w:abstractNumId="12" w15:restartNumberingAfterBreak="0">
    <w:nsid w:val="26BD57B2"/>
    <w:multiLevelType w:val="hybridMultilevel"/>
    <w:tmpl w:val="B426CB4E"/>
    <w:lvl w:ilvl="0" w:tplc="507AF2F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3E0C20F8"/>
    <w:multiLevelType w:val="hybridMultilevel"/>
    <w:tmpl w:val="FC8E5BC2"/>
    <w:lvl w:ilvl="0" w:tplc="B6209AF6">
      <w:start w:val="1"/>
      <w:numFmt w:val="bullet"/>
      <w:pStyle w:val="JuryInstructionBullets"/>
      <w:lvlText w:val="o"/>
      <w:lvlJc w:val="left"/>
      <w:pPr>
        <w:ind w:left="1584" w:hanging="360"/>
      </w:pPr>
      <w:rPr>
        <w:rFonts w:ascii="Courier New" w:hAnsi="Courier New" w:hint="default"/>
      </w:rPr>
    </w:lvl>
    <w:lvl w:ilvl="1" w:tplc="04090003" w:tentative="1">
      <w:start w:val="1"/>
      <w:numFmt w:val="bullet"/>
      <w:lvlText w:val="o"/>
      <w:lvlJc w:val="left"/>
      <w:pPr>
        <w:ind w:left="2304" w:hanging="360"/>
      </w:pPr>
      <w:rPr>
        <w:rFonts w:ascii="Courier New" w:hAnsi="Courier New" w:hint="default"/>
      </w:rPr>
    </w:lvl>
    <w:lvl w:ilvl="2" w:tplc="04090005" w:tentative="1">
      <w:start w:val="1"/>
      <w:numFmt w:val="bullet"/>
      <w:lvlText w:val=""/>
      <w:lvlJc w:val="left"/>
      <w:pPr>
        <w:ind w:left="3024" w:hanging="360"/>
      </w:pPr>
      <w:rPr>
        <w:rFonts w:ascii="Wingdings" w:hAnsi="Wingdings" w:hint="default"/>
      </w:rPr>
    </w:lvl>
    <w:lvl w:ilvl="3" w:tplc="04090001" w:tentative="1">
      <w:start w:val="1"/>
      <w:numFmt w:val="bullet"/>
      <w:lvlText w:val=""/>
      <w:lvlJc w:val="left"/>
      <w:pPr>
        <w:ind w:left="3744" w:hanging="360"/>
      </w:pPr>
      <w:rPr>
        <w:rFonts w:ascii="Symbol" w:hAnsi="Symbol" w:hint="default"/>
      </w:rPr>
    </w:lvl>
    <w:lvl w:ilvl="4" w:tplc="04090003" w:tentative="1">
      <w:start w:val="1"/>
      <w:numFmt w:val="bullet"/>
      <w:lvlText w:val="o"/>
      <w:lvlJc w:val="left"/>
      <w:pPr>
        <w:ind w:left="4464" w:hanging="360"/>
      </w:pPr>
      <w:rPr>
        <w:rFonts w:ascii="Courier New" w:hAnsi="Courier New" w:hint="default"/>
      </w:rPr>
    </w:lvl>
    <w:lvl w:ilvl="5" w:tplc="04090005" w:tentative="1">
      <w:start w:val="1"/>
      <w:numFmt w:val="bullet"/>
      <w:lvlText w:val=""/>
      <w:lvlJc w:val="left"/>
      <w:pPr>
        <w:ind w:left="5184" w:hanging="360"/>
      </w:pPr>
      <w:rPr>
        <w:rFonts w:ascii="Wingdings" w:hAnsi="Wingdings" w:hint="default"/>
      </w:rPr>
    </w:lvl>
    <w:lvl w:ilvl="6" w:tplc="04090001" w:tentative="1">
      <w:start w:val="1"/>
      <w:numFmt w:val="bullet"/>
      <w:lvlText w:val=""/>
      <w:lvlJc w:val="left"/>
      <w:pPr>
        <w:ind w:left="5904" w:hanging="360"/>
      </w:pPr>
      <w:rPr>
        <w:rFonts w:ascii="Symbol" w:hAnsi="Symbol" w:hint="default"/>
      </w:rPr>
    </w:lvl>
    <w:lvl w:ilvl="7" w:tplc="04090003" w:tentative="1">
      <w:start w:val="1"/>
      <w:numFmt w:val="bullet"/>
      <w:lvlText w:val="o"/>
      <w:lvlJc w:val="left"/>
      <w:pPr>
        <w:ind w:left="6624" w:hanging="360"/>
      </w:pPr>
      <w:rPr>
        <w:rFonts w:ascii="Courier New" w:hAnsi="Courier New" w:hint="default"/>
      </w:rPr>
    </w:lvl>
    <w:lvl w:ilvl="8" w:tplc="04090005" w:tentative="1">
      <w:start w:val="1"/>
      <w:numFmt w:val="bullet"/>
      <w:lvlText w:val=""/>
      <w:lvlJc w:val="left"/>
      <w:pPr>
        <w:ind w:left="7344" w:hanging="360"/>
      </w:pPr>
      <w:rPr>
        <w:rFonts w:ascii="Wingdings" w:hAnsi="Wingdings" w:hint="default"/>
      </w:rPr>
    </w:lvl>
  </w:abstractNum>
  <w:abstractNum w:abstractNumId="14" w15:restartNumberingAfterBreak="0">
    <w:nsid w:val="73B47E52"/>
    <w:multiLevelType w:val="hybridMultilevel"/>
    <w:tmpl w:val="CC161DA4"/>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16cid:durableId="1105731475">
    <w:abstractNumId w:val="13"/>
  </w:num>
  <w:num w:numId="2" w16cid:durableId="476728594">
    <w:abstractNumId w:val="11"/>
  </w:num>
  <w:num w:numId="3" w16cid:durableId="1376469921">
    <w:abstractNumId w:val="0"/>
  </w:num>
  <w:num w:numId="4" w16cid:durableId="1472021680">
    <w:abstractNumId w:val="1"/>
  </w:num>
  <w:num w:numId="5" w16cid:durableId="819076326">
    <w:abstractNumId w:val="2"/>
  </w:num>
  <w:num w:numId="6" w16cid:durableId="1313176394">
    <w:abstractNumId w:val="3"/>
  </w:num>
  <w:num w:numId="7" w16cid:durableId="849681009">
    <w:abstractNumId w:val="8"/>
  </w:num>
  <w:num w:numId="8" w16cid:durableId="232931917">
    <w:abstractNumId w:val="4"/>
  </w:num>
  <w:num w:numId="9" w16cid:durableId="99029652">
    <w:abstractNumId w:val="5"/>
  </w:num>
  <w:num w:numId="10" w16cid:durableId="93016795">
    <w:abstractNumId w:val="6"/>
  </w:num>
  <w:num w:numId="11" w16cid:durableId="955059513">
    <w:abstractNumId w:val="7"/>
  </w:num>
  <w:num w:numId="12" w16cid:durableId="1658919926">
    <w:abstractNumId w:val="9"/>
  </w:num>
  <w:num w:numId="13" w16cid:durableId="260452379">
    <w:abstractNumId w:val="11"/>
  </w:num>
  <w:num w:numId="14" w16cid:durableId="1496526704">
    <w:abstractNumId w:val="10"/>
  </w:num>
  <w:num w:numId="15" w16cid:durableId="75178857">
    <w:abstractNumId w:val="12"/>
  </w:num>
  <w:num w:numId="16" w16cid:durableId="558631716">
    <w:abstractNumId w:val="14"/>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val="bestFit" w:percent="171"/>
  <w:doNotDisplayPageBoundaries/>
  <w:hideSpellingErrors/>
  <w:hideGrammaticalErrors/>
  <w:proofState w:spelling="clean" w:grammar="clean"/>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defaultTabStop w:val="43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74A90"/>
    <w:rsid w:val="000124CA"/>
    <w:rsid w:val="00016CA0"/>
    <w:rsid w:val="00037245"/>
    <w:rsid w:val="000B08DB"/>
    <w:rsid w:val="000B7B9E"/>
    <w:rsid w:val="000D70C6"/>
    <w:rsid w:val="000E7622"/>
    <w:rsid w:val="0010739E"/>
    <w:rsid w:val="00130F23"/>
    <w:rsid w:val="0017397B"/>
    <w:rsid w:val="001B7748"/>
    <w:rsid w:val="001C5FA5"/>
    <w:rsid w:val="001D701D"/>
    <w:rsid w:val="001E2162"/>
    <w:rsid w:val="00221552"/>
    <w:rsid w:val="00257345"/>
    <w:rsid w:val="00276DF8"/>
    <w:rsid w:val="00294F89"/>
    <w:rsid w:val="002A2C60"/>
    <w:rsid w:val="00303039"/>
    <w:rsid w:val="00420329"/>
    <w:rsid w:val="004848CB"/>
    <w:rsid w:val="004859F0"/>
    <w:rsid w:val="004A3BE2"/>
    <w:rsid w:val="004F686C"/>
    <w:rsid w:val="00516C98"/>
    <w:rsid w:val="005446C0"/>
    <w:rsid w:val="00550249"/>
    <w:rsid w:val="00594672"/>
    <w:rsid w:val="00596E5A"/>
    <w:rsid w:val="00603BDB"/>
    <w:rsid w:val="006254D4"/>
    <w:rsid w:val="00664479"/>
    <w:rsid w:val="00676B44"/>
    <w:rsid w:val="007E7B77"/>
    <w:rsid w:val="00834E34"/>
    <w:rsid w:val="008733AA"/>
    <w:rsid w:val="00880AA6"/>
    <w:rsid w:val="0094500B"/>
    <w:rsid w:val="00992410"/>
    <w:rsid w:val="00996339"/>
    <w:rsid w:val="009B481F"/>
    <w:rsid w:val="00A05B86"/>
    <w:rsid w:val="00A164C0"/>
    <w:rsid w:val="00A2789E"/>
    <w:rsid w:val="00A55E4E"/>
    <w:rsid w:val="00A56498"/>
    <w:rsid w:val="00A679E4"/>
    <w:rsid w:val="00A76145"/>
    <w:rsid w:val="00A917A4"/>
    <w:rsid w:val="00A95EAD"/>
    <w:rsid w:val="00AB61DA"/>
    <w:rsid w:val="00AF6831"/>
    <w:rsid w:val="00B02468"/>
    <w:rsid w:val="00B2579A"/>
    <w:rsid w:val="00B520AB"/>
    <w:rsid w:val="00B75859"/>
    <w:rsid w:val="00BE7335"/>
    <w:rsid w:val="00BF0717"/>
    <w:rsid w:val="00BF08B5"/>
    <w:rsid w:val="00C43AEF"/>
    <w:rsid w:val="00C5670C"/>
    <w:rsid w:val="00CD7576"/>
    <w:rsid w:val="00D71FE5"/>
    <w:rsid w:val="00D8732A"/>
    <w:rsid w:val="00D9196F"/>
    <w:rsid w:val="00DB6604"/>
    <w:rsid w:val="00DC61A7"/>
    <w:rsid w:val="00E174B0"/>
    <w:rsid w:val="00F10AE9"/>
    <w:rsid w:val="00F11C6F"/>
    <w:rsid w:val="00F74A90"/>
    <w:rsid w:val="00F83046"/>
    <w:rsid w:val="00FD68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72AF33E3"/>
  <w15:chartTrackingRefBased/>
  <w15:docId w15:val="{F0DCD95B-F6BC-7E4C-A645-37CF44BDD2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Calibr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qFormat="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0" w:unhideWhenUsed="1" w:qFormat="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848CB"/>
    <w:rPr>
      <w:rFonts w:ascii="Palatino Linotype" w:eastAsia="Times New Roman" w:hAnsi="Palatino Linotype" w:cs="Times New Roman"/>
      <w:kern w:val="20"/>
    </w:rPr>
  </w:style>
  <w:style w:type="paragraph" w:styleId="Heading5">
    <w:name w:val="heading 5"/>
    <w:basedOn w:val="Normal"/>
    <w:next w:val="Normal"/>
    <w:link w:val="Heading5Char"/>
    <w:qFormat/>
    <w:rsid w:val="004F686C"/>
    <w:pPr>
      <w:keepNext/>
      <w:widowControl w:val="0"/>
      <w:suppressAutoHyphens/>
      <w:spacing w:line="480" w:lineRule="auto"/>
      <w:ind w:left="720" w:right="1170"/>
      <w:outlineLvl w:val="4"/>
    </w:pPr>
    <w:rPr>
      <w:rFonts w:ascii="Arrus BT" w:eastAsia="Arrus BT" w:hAnsi="Arrus BT"/>
      <w:color w:val="000000"/>
      <w:kern w:val="1"/>
      <w:sz w:val="28"/>
      <w:szCs w:val="2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99"/>
    <w:unhideWhenUsed/>
    <w:qFormat/>
    <w:rsid w:val="00F10AE9"/>
    <w:pPr>
      <w:spacing w:line="480" w:lineRule="exact"/>
      <w:ind w:firstLine="720"/>
    </w:pPr>
  </w:style>
  <w:style w:type="character" w:customStyle="1" w:styleId="BodyTextChar">
    <w:name w:val="Body Text Char"/>
    <w:link w:val="BodyText"/>
    <w:uiPriority w:val="99"/>
    <w:rsid w:val="00F10AE9"/>
    <w:rPr>
      <w:rFonts w:ascii="Century" w:eastAsia="Calibri" w:hAnsi="Century" w:cs="Times New Roman"/>
    </w:rPr>
  </w:style>
  <w:style w:type="paragraph" w:customStyle="1" w:styleId="CenterBold">
    <w:name w:val="Center Bold"/>
    <w:basedOn w:val="Normal"/>
    <w:qFormat/>
    <w:rsid w:val="00F83046"/>
    <w:pPr>
      <w:spacing w:after="60"/>
      <w:jc w:val="center"/>
    </w:pPr>
    <w:rPr>
      <w:b/>
    </w:rPr>
  </w:style>
  <w:style w:type="paragraph" w:styleId="FootnoteText">
    <w:name w:val="footnote text"/>
    <w:basedOn w:val="JuryInstructionText"/>
    <w:link w:val="FootnoteTextChar"/>
    <w:uiPriority w:val="99"/>
    <w:unhideWhenUsed/>
    <w:rsid w:val="00257345"/>
    <w:pPr>
      <w:spacing w:before="60" w:after="0" w:line="280" w:lineRule="exact"/>
      <w:ind w:left="288" w:hanging="288"/>
    </w:pPr>
    <w:rPr>
      <w:sz w:val="22"/>
      <w:szCs w:val="20"/>
    </w:rPr>
  </w:style>
  <w:style w:type="character" w:customStyle="1" w:styleId="FootnoteTextChar">
    <w:name w:val="Footnote Text Char"/>
    <w:basedOn w:val="DefaultParagraphFont"/>
    <w:link w:val="FootnoteText"/>
    <w:uiPriority w:val="99"/>
    <w:rsid w:val="00257345"/>
    <w:rPr>
      <w:rFonts w:ascii="Segoe UI Historic" w:hAnsi="Segoe UI Historic" w:cs="Times New Roman"/>
      <w:kern w:val="20"/>
      <w:sz w:val="22"/>
      <w:szCs w:val="20"/>
    </w:rPr>
  </w:style>
  <w:style w:type="paragraph" w:customStyle="1" w:styleId="Notes">
    <w:name w:val="Notes"/>
    <w:basedOn w:val="Normal"/>
    <w:qFormat/>
    <w:rsid w:val="00594672"/>
    <w:pPr>
      <w:spacing w:after="120"/>
    </w:pPr>
  </w:style>
  <w:style w:type="paragraph" w:styleId="TOC1">
    <w:name w:val="toc 1"/>
    <w:basedOn w:val="Normal"/>
    <w:next w:val="Normal"/>
    <w:autoRedefine/>
    <w:uiPriority w:val="39"/>
    <w:qFormat/>
    <w:rsid w:val="008733AA"/>
    <w:pPr>
      <w:tabs>
        <w:tab w:val="right" w:leader="dot" w:pos="9350"/>
      </w:tabs>
      <w:spacing w:after="120"/>
      <w:ind w:right="720"/>
    </w:pPr>
    <w:rPr>
      <w:rFonts w:ascii="Segoe UI Historic" w:hAnsi="Segoe UI Historic"/>
    </w:rPr>
  </w:style>
  <w:style w:type="paragraph" w:styleId="TOC2">
    <w:name w:val="toc 2"/>
    <w:basedOn w:val="Normal"/>
    <w:next w:val="Normal"/>
    <w:autoRedefine/>
    <w:uiPriority w:val="39"/>
    <w:qFormat/>
    <w:rsid w:val="008733AA"/>
    <w:pPr>
      <w:keepNext/>
      <w:tabs>
        <w:tab w:val="left" w:pos="1440"/>
        <w:tab w:val="right" w:leader="dot" w:pos="9350"/>
      </w:tabs>
      <w:spacing w:after="120"/>
      <w:ind w:left="432" w:right="720"/>
    </w:pPr>
    <w:rPr>
      <w:rFonts w:ascii="Segoe UI Historic" w:hAnsi="Segoe UI Historic"/>
    </w:rPr>
  </w:style>
  <w:style w:type="paragraph" w:styleId="TOC3">
    <w:name w:val="toc 3"/>
    <w:basedOn w:val="Normal"/>
    <w:next w:val="Normal"/>
    <w:uiPriority w:val="39"/>
    <w:qFormat/>
    <w:rsid w:val="008733AA"/>
    <w:pPr>
      <w:tabs>
        <w:tab w:val="left" w:pos="1296"/>
        <w:tab w:val="right" w:leader="dot" w:pos="9346"/>
      </w:tabs>
      <w:spacing w:after="120"/>
      <w:ind w:left="864" w:right="720"/>
    </w:pPr>
    <w:rPr>
      <w:rFonts w:ascii="Segoe UI Historic" w:hAnsi="Segoe UI Historic"/>
    </w:rPr>
  </w:style>
  <w:style w:type="paragraph" w:styleId="TOC4">
    <w:name w:val="toc 4"/>
    <w:basedOn w:val="Normal"/>
    <w:next w:val="Normal"/>
    <w:uiPriority w:val="39"/>
    <w:rsid w:val="008733AA"/>
    <w:pPr>
      <w:tabs>
        <w:tab w:val="left" w:pos="1728"/>
        <w:tab w:val="right" w:leader="dot" w:pos="9346"/>
      </w:tabs>
      <w:spacing w:after="120"/>
      <w:ind w:left="1296" w:right="720"/>
    </w:pPr>
    <w:rPr>
      <w:rFonts w:ascii="Segoe UI Historic" w:hAnsi="Segoe UI Historic"/>
    </w:rPr>
  </w:style>
  <w:style w:type="paragraph" w:styleId="TOC9">
    <w:name w:val="toc 9"/>
    <w:basedOn w:val="Normal"/>
    <w:next w:val="Normal"/>
    <w:qFormat/>
    <w:rsid w:val="00F10AE9"/>
    <w:pPr>
      <w:spacing w:after="240"/>
      <w:ind w:left="1440" w:right="720" w:hanging="720"/>
    </w:pPr>
  </w:style>
  <w:style w:type="paragraph" w:styleId="TOC5">
    <w:name w:val="toc 5"/>
    <w:basedOn w:val="Normal"/>
    <w:next w:val="Normal"/>
    <w:autoRedefine/>
    <w:uiPriority w:val="39"/>
    <w:rsid w:val="008733AA"/>
    <w:pPr>
      <w:tabs>
        <w:tab w:val="left" w:pos="2160"/>
        <w:tab w:val="right" w:leader="dot" w:pos="9346"/>
      </w:tabs>
      <w:spacing w:after="120"/>
      <w:ind w:left="1728" w:right="720"/>
    </w:pPr>
    <w:rPr>
      <w:rFonts w:ascii="Segoe UI Historic" w:hAnsi="Segoe UI Historic"/>
    </w:rPr>
  </w:style>
  <w:style w:type="paragraph" w:customStyle="1" w:styleId="Notes-Hanging">
    <w:name w:val="Notes - Hanging"/>
    <w:basedOn w:val="Notes"/>
    <w:next w:val="Notes"/>
    <w:qFormat/>
    <w:rsid w:val="00594672"/>
    <w:pPr>
      <w:ind w:left="432" w:hanging="432"/>
    </w:pPr>
  </w:style>
  <w:style w:type="character" w:styleId="FootnoteReference">
    <w:name w:val="footnote reference"/>
    <w:uiPriority w:val="99"/>
    <w:rsid w:val="00F74A90"/>
    <w:rPr>
      <w:b/>
      <w:vertAlign w:val="superscript"/>
    </w:rPr>
  </w:style>
  <w:style w:type="paragraph" w:customStyle="1" w:styleId="JuryInst2">
    <w:name w:val="JuryInst2"/>
    <w:basedOn w:val="JuryInst1"/>
    <w:next w:val="JuryInstructionText"/>
    <w:rsid w:val="00B75859"/>
    <w:pPr>
      <w:keepLines/>
      <w:numPr>
        <w:ilvl w:val="1"/>
      </w:numPr>
      <w:spacing w:before="0"/>
      <w:jc w:val="left"/>
      <w:outlineLvl w:val="1"/>
    </w:pPr>
    <w:rPr>
      <w:smallCaps w:val="0"/>
      <w:spacing w:val="12"/>
    </w:rPr>
  </w:style>
  <w:style w:type="paragraph" w:customStyle="1" w:styleId="JuryInstructionText">
    <w:name w:val="Jury Instruction Text"/>
    <w:basedOn w:val="Normal"/>
    <w:qFormat/>
    <w:rsid w:val="004848CB"/>
    <w:pPr>
      <w:spacing w:after="160" w:line="400" w:lineRule="exact"/>
    </w:pPr>
    <w:rPr>
      <w:rFonts w:ascii="Segoe UI Historic" w:eastAsia="Calibri" w:hAnsi="Segoe UI Historic"/>
      <w:sz w:val="28"/>
      <w:szCs w:val="28"/>
    </w:rPr>
  </w:style>
  <w:style w:type="paragraph" w:customStyle="1" w:styleId="JuryInstructionElements">
    <w:name w:val="Jury Instruction Elements"/>
    <w:basedOn w:val="JuryInstructionText"/>
    <w:qFormat/>
    <w:rsid w:val="005446C0"/>
    <w:pPr>
      <w:spacing w:after="120" w:line="340" w:lineRule="exact"/>
      <w:ind w:left="864" w:right="432" w:hanging="360"/>
    </w:pPr>
  </w:style>
  <w:style w:type="paragraph" w:customStyle="1" w:styleId="JuryInst1">
    <w:name w:val="JuryInst1"/>
    <w:basedOn w:val="JuryInstructionText"/>
    <w:next w:val="JuryInstructionText"/>
    <w:rsid w:val="00B75859"/>
    <w:pPr>
      <w:keepNext/>
      <w:numPr>
        <w:numId w:val="2"/>
      </w:numPr>
      <w:spacing w:before="80"/>
      <w:jc w:val="center"/>
      <w:outlineLvl w:val="0"/>
    </w:pPr>
    <w:rPr>
      <w:b/>
      <w:smallCaps/>
      <w:spacing w:val="20"/>
      <w:szCs w:val="20"/>
    </w:rPr>
  </w:style>
  <w:style w:type="paragraph" w:customStyle="1" w:styleId="JuryInst3">
    <w:name w:val="JuryInst3"/>
    <w:basedOn w:val="JuryInstructionText"/>
    <w:next w:val="JuryInstructionText"/>
    <w:rsid w:val="00FD6881"/>
    <w:pPr>
      <w:keepNext/>
      <w:keepLines/>
      <w:numPr>
        <w:ilvl w:val="2"/>
        <w:numId w:val="2"/>
      </w:numPr>
      <w:snapToGrid w:val="0"/>
      <w:outlineLvl w:val="2"/>
    </w:pPr>
    <w:rPr>
      <w:b/>
    </w:rPr>
  </w:style>
  <w:style w:type="paragraph" w:customStyle="1" w:styleId="JuryInst4">
    <w:name w:val="JuryInst4"/>
    <w:basedOn w:val="JuryInst3"/>
    <w:next w:val="JuryInstructionText"/>
    <w:rsid w:val="00BF08B5"/>
    <w:pPr>
      <w:numPr>
        <w:ilvl w:val="3"/>
      </w:numPr>
      <w:outlineLvl w:val="3"/>
    </w:pPr>
  </w:style>
  <w:style w:type="paragraph" w:customStyle="1" w:styleId="JuryInst5">
    <w:name w:val="JuryInst5"/>
    <w:basedOn w:val="JuryInst4"/>
    <w:next w:val="JuryInstructionText"/>
    <w:rsid w:val="00BF08B5"/>
    <w:pPr>
      <w:numPr>
        <w:ilvl w:val="4"/>
      </w:numPr>
      <w:spacing w:after="120"/>
      <w:outlineLvl w:val="4"/>
    </w:pPr>
  </w:style>
  <w:style w:type="paragraph" w:customStyle="1" w:styleId="JuryInst6">
    <w:name w:val="JuryInst6"/>
    <w:basedOn w:val="JuryInst5"/>
    <w:next w:val="JuryInstructionText"/>
    <w:rsid w:val="00BF08B5"/>
    <w:pPr>
      <w:numPr>
        <w:ilvl w:val="5"/>
      </w:numPr>
      <w:outlineLvl w:val="5"/>
    </w:pPr>
  </w:style>
  <w:style w:type="paragraph" w:customStyle="1" w:styleId="JuryInstructionBullets">
    <w:name w:val="Jury Instruction Bullets"/>
    <w:basedOn w:val="JuryInstructionElements"/>
    <w:qFormat/>
    <w:rsid w:val="005446C0"/>
    <w:pPr>
      <w:numPr>
        <w:numId w:val="1"/>
      </w:numPr>
      <w:ind w:left="864"/>
    </w:pPr>
  </w:style>
  <w:style w:type="paragraph" w:customStyle="1" w:styleId="JuryInstructionIndent">
    <w:name w:val="Jury Instruction Indent"/>
    <w:basedOn w:val="JuryInstructionText"/>
    <w:next w:val="JuryInstructionText"/>
    <w:qFormat/>
    <w:rsid w:val="00016CA0"/>
    <w:pPr>
      <w:ind w:left="432"/>
    </w:pPr>
  </w:style>
  <w:style w:type="paragraph" w:styleId="TOC6">
    <w:name w:val="toc 6"/>
    <w:basedOn w:val="Normal"/>
    <w:next w:val="Normal"/>
    <w:autoRedefine/>
    <w:uiPriority w:val="39"/>
    <w:unhideWhenUsed/>
    <w:rsid w:val="008733AA"/>
    <w:pPr>
      <w:tabs>
        <w:tab w:val="left" w:pos="2592"/>
        <w:tab w:val="right" w:leader="dot" w:pos="9346"/>
      </w:tabs>
      <w:spacing w:after="120"/>
      <w:ind w:left="2160" w:right="720"/>
    </w:pPr>
    <w:rPr>
      <w:rFonts w:ascii="Segoe UI Historic" w:hAnsi="Segoe UI Historic"/>
    </w:rPr>
  </w:style>
  <w:style w:type="character" w:customStyle="1" w:styleId="Heading5Char">
    <w:name w:val="Heading 5 Char"/>
    <w:basedOn w:val="DefaultParagraphFont"/>
    <w:link w:val="Heading5"/>
    <w:rsid w:val="004F686C"/>
    <w:rPr>
      <w:rFonts w:ascii="Arrus BT" w:eastAsia="Arrus BT" w:hAnsi="Arrus BT" w:cs="Times New Roman"/>
      <w:color w:val="000000"/>
      <w:kern w:val="1"/>
      <w:sz w:val="28"/>
      <w:szCs w:val="28"/>
    </w:rPr>
  </w:style>
  <w:style w:type="paragraph" w:styleId="ListParagraph">
    <w:name w:val="List Paragraph"/>
    <w:basedOn w:val="Normal"/>
    <w:uiPriority w:val="34"/>
    <w:qFormat/>
    <w:rsid w:val="004F686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16</TotalTime>
  <Pages>5</Pages>
  <Words>948</Words>
  <Characters>5405</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6341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KWS</dc:creator>
  <cp:keywords/>
  <dc:description/>
  <cp:lastModifiedBy>Kenneth W Salinger</cp:lastModifiedBy>
  <cp:revision>4</cp:revision>
  <dcterms:created xsi:type="dcterms:W3CDTF">2022-12-12T21:26:00Z</dcterms:created>
  <dcterms:modified xsi:type="dcterms:W3CDTF">2022-12-12T21:42:00Z</dcterms:modified>
</cp:coreProperties>
</file>