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398D" w14:textId="0D8FCCE3" w:rsidR="00410C41" w:rsidRPr="005D4166" w:rsidRDefault="00410C41" w:rsidP="00410C41">
      <w:pPr>
        <w:pStyle w:val="JuryInstructionText"/>
        <w:jc w:val="right"/>
        <w:rPr>
          <w:i/>
          <w:iCs/>
          <w:sz w:val="24"/>
          <w:szCs w:val="24"/>
        </w:rPr>
      </w:pPr>
      <w:r>
        <w:rPr>
          <w:i/>
          <w:iCs/>
          <w:sz w:val="24"/>
          <w:szCs w:val="24"/>
        </w:rPr>
        <w:t xml:space="preserve">Publication Date: </w:t>
      </w:r>
      <w:r w:rsidR="004A3ABB">
        <w:rPr>
          <w:i/>
          <w:iCs/>
          <w:sz w:val="24"/>
          <w:szCs w:val="24"/>
        </w:rPr>
        <w:t>March 28</w:t>
      </w:r>
      <w:r>
        <w:rPr>
          <w:i/>
          <w:iCs/>
          <w:sz w:val="24"/>
          <w:szCs w:val="24"/>
        </w:rPr>
        <w:t>, 2022</w:t>
      </w:r>
    </w:p>
    <w:p w14:paraId="057D6E99" w14:textId="7FCCA82E" w:rsidR="00410C41" w:rsidRPr="004A3ABB" w:rsidRDefault="00410C41" w:rsidP="004A3ABB">
      <w:pPr>
        <w:pStyle w:val="JuryInst1"/>
      </w:pPr>
      <w:r w:rsidRPr="00F12538">
        <w:t>General Civil Definitions</w:t>
      </w:r>
    </w:p>
    <w:p w14:paraId="38089B8E" w14:textId="1891534E" w:rsidR="00410C41" w:rsidRDefault="00924FB8" w:rsidP="00410C41">
      <w:pPr>
        <w:pStyle w:val="JuryInst2"/>
      </w:pPr>
      <w:r w:rsidRPr="00413C45">
        <w:t>State</w:t>
      </w:r>
      <w:r>
        <w:t>s</w:t>
      </w:r>
      <w:r w:rsidRPr="00413C45">
        <w:t xml:space="preserve"> </w:t>
      </w:r>
      <w:r>
        <w:t>o</w:t>
      </w:r>
      <w:r w:rsidRPr="00413C45">
        <w:t xml:space="preserve">f Mind </w:t>
      </w:r>
    </w:p>
    <w:p w14:paraId="03CB0C18" w14:textId="2F68BFB5" w:rsidR="00410C41" w:rsidRDefault="00410C41" w:rsidP="00410C41">
      <w:pPr>
        <w:pStyle w:val="JuryInst3"/>
      </w:pPr>
      <w:r>
        <w:tab/>
      </w:r>
      <w:r w:rsidRPr="001F263F">
        <w:t>States of Mind - Introduction</w:t>
      </w:r>
    </w:p>
    <w:p w14:paraId="33312516" w14:textId="4F3AA355" w:rsidR="00410C41" w:rsidRDefault="00410C41" w:rsidP="00410C41">
      <w:pPr>
        <w:pStyle w:val="JuryInstructionText"/>
      </w:pPr>
      <w:r w:rsidRPr="00413C45">
        <w:t xml:space="preserve">As I’ve said, PLF must prove that DFT acted </w:t>
      </w:r>
      <w:r w:rsidRPr="00413C45">
        <w:rPr>
          <w:i/>
        </w:rPr>
        <w:t>[intentionally, knowingly, maliciously, etc.</w:t>
      </w:r>
      <w:r w:rsidRPr="00413C45">
        <w:t>].</w:t>
      </w:r>
    </w:p>
    <w:p w14:paraId="7F688046" w14:textId="2CEA36A0" w:rsidR="00410C41" w:rsidRDefault="00410C41" w:rsidP="00410C41">
      <w:pPr>
        <w:pStyle w:val="JuryInstructionText"/>
      </w:pPr>
      <w:r w:rsidRPr="00413C45">
        <w:t>&lt;</w:t>
      </w:r>
      <w:r w:rsidRPr="00413C45">
        <w:rPr>
          <w:b/>
          <w:i/>
        </w:rPr>
        <w:t>If defendant is an entity</w:t>
      </w:r>
      <w:r w:rsidRPr="00413C45">
        <w:t xml:space="preserve">&gt; </w:t>
      </w:r>
      <w:r>
        <w:t xml:space="preserve">The DFT in this case is a (corporation, partnership, limited liability company, </w:t>
      </w:r>
      <w:proofErr w:type="spellStart"/>
      <w:r>
        <w:t>ect</w:t>
      </w:r>
      <w:proofErr w:type="spellEnd"/>
      <w:r>
        <w:t>.)</w:t>
      </w:r>
      <w:r w:rsidR="00AB266D">
        <w:t xml:space="preserve">. </w:t>
      </w:r>
      <w:r>
        <w:t xml:space="preserve">For the purpose of determining the state of mind of the (corporation, partnership, limited liability company, </w:t>
      </w:r>
      <w:proofErr w:type="spellStart"/>
      <w:r>
        <w:t>ect</w:t>
      </w:r>
      <w:proofErr w:type="spellEnd"/>
      <w:r>
        <w:t>.),  a</w:t>
      </w:r>
      <w:r w:rsidRPr="00413C45">
        <w:t xml:space="preserve"> [</w:t>
      </w:r>
      <w:r w:rsidRPr="00413C45">
        <w:rPr>
          <w:i/>
        </w:rPr>
        <w:t xml:space="preserve">corporation, </w:t>
      </w:r>
      <w:r>
        <w:rPr>
          <w:i/>
        </w:rPr>
        <w:t xml:space="preserve">partnership, </w:t>
      </w:r>
      <w:r w:rsidRPr="00413C45">
        <w:rPr>
          <w:i/>
        </w:rPr>
        <w:t>limited liability company, etc.</w:t>
      </w:r>
      <w:r w:rsidRPr="00413C45">
        <w:t>] knows all the facts that its [</w:t>
      </w:r>
      <w:r w:rsidRPr="00413C45">
        <w:rPr>
          <w:i/>
        </w:rPr>
        <w:t xml:space="preserve">officers, </w:t>
      </w:r>
      <w:r>
        <w:rPr>
          <w:i/>
        </w:rPr>
        <w:t xml:space="preserve">partners, </w:t>
      </w:r>
      <w:r w:rsidRPr="00413C45">
        <w:rPr>
          <w:i/>
        </w:rPr>
        <w:t>board members, managers, employees</w:t>
      </w:r>
      <w:r>
        <w:rPr>
          <w:i/>
        </w:rPr>
        <w:t xml:space="preserve">, </w:t>
      </w:r>
      <w:r w:rsidRPr="00413C45">
        <w:rPr>
          <w:i/>
        </w:rPr>
        <w:t>agents</w:t>
      </w:r>
      <w:r>
        <w:rPr>
          <w:i/>
        </w:rPr>
        <w:t>, etc.</w:t>
      </w:r>
      <w:r w:rsidRPr="00413C45">
        <w:t>] kn</w:t>
      </w:r>
      <w:r>
        <w:t>o</w:t>
      </w:r>
      <w:r w:rsidRPr="00413C45">
        <w:t xml:space="preserve">w while they </w:t>
      </w:r>
      <w:r>
        <w:t>a</w:t>
      </w:r>
      <w:r w:rsidRPr="00413C45">
        <w:t>re acting in the course of doing their jobs and within the scope of their particular authority for the [</w:t>
      </w:r>
      <w:r w:rsidRPr="00413C45">
        <w:rPr>
          <w:i/>
        </w:rPr>
        <w:t>corporation, LLC, partnership, etc.</w:t>
      </w:r>
      <w:r w:rsidRPr="00413C45">
        <w:t>].</w:t>
      </w:r>
    </w:p>
    <w:p w14:paraId="670E01FA" w14:textId="528C1204" w:rsidR="00410C41" w:rsidRPr="00413C45" w:rsidRDefault="00410C41" w:rsidP="00410C41">
      <w:pPr>
        <w:pStyle w:val="JuryInstructionText"/>
      </w:pPr>
      <w:r w:rsidRPr="00413C45">
        <w:t>&lt;</w:t>
      </w:r>
      <w:r w:rsidRPr="00AB266D">
        <w:rPr>
          <w:b/>
          <w:bCs/>
          <w:i/>
          <w:iCs/>
        </w:rPr>
        <w:t xml:space="preserve">Insert instruction for specific state of mind from § </w:t>
      </w:r>
      <w:r w:rsidR="00AB266D">
        <w:rPr>
          <w:b/>
          <w:bCs/>
          <w:i/>
          <w:iCs/>
        </w:rPr>
        <w:t>(b),</w:t>
      </w:r>
      <w:r w:rsidRPr="00AB266D">
        <w:rPr>
          <w:b/>
          <w:bCs/>
          <w:i/>
          <w:iCs/>
        </w:rPr>
        <w:t xml:space="preserve"> below</w:t>
      </w:r>
      <w:r w:rsidR="00AB266D">
        <w:t>.</w:t>
      </w:r>
      <w:r w:rsidRPr="00413C45">
        <w:t>&gt;</w:t>
      </w:r>
    </w:p>
    <w:p w14:paraId="1F6EBA1A" w14:textId="629C0708" w:rsidR="00410C41" w:rsidRDefault="00410C41" w:rsidP="00410C41">
      <w:pPr>
        <w:pStyle w:val="JuryInstructionText"/>
      </w:pPr>
      <w:r w:rsidRPr="00413C45">
        <w:t>&lt;</w:t>
      </w:r>
      <w:r w:rsidRPr="00AB266D">
        <w:rPr>
          <w:b/>
          <w:i/>
          <w:iCs/>
        </w:rPr>
        <w:t>Insert when there is no direct evidence of state of mind</w:t>
      </w:r>
      <w:r w:rsidR="00AB266D">
        <w:t>.</w:t>
      </w:r>
      <w:r w:rsidRPr="00413C45">
        <w:t>&gt; If there is no direct evidence of DFT’s [intent, state of mind, knowledge, etc.], PLF may prove DFT’s [intent, state of mind, knowledge, etc.] by indirect evidence. It is obviously impossible to look directly into a person’s mind. But, in our everyday activities, we often must decide a person’s state of mind from what they do and don’t do.</w:t>
      </w:r>
      <w:r>
        <w:t xml:space="preserve"> Y</w:t>
      </w:r>
      <w:r w:rsidRPr="00413C45">
        <w:t xml:space="preserve">ou should look at </w:t>
      </w:r>
      <w:proofErr w:type="gramStart"/>
      <w:r w:rsidRPr="00413C45">
        <w:t>all of</w:t>
      </w:r>
      <w:proofErr w:type="gramEnd"/>
      <w:r w:rsidRPr="00413C45">
        <w:t xml:space="preserve"> the circumstances including what DFT did and said at the time, as well as what DFT did and said before and after the event. You may also consider what DFT did </w:t>
      </w:r>
      <w:r w:rsidRPr="00413C45">
        <w:rPr>
          <w:u w:val="single"/>
        </w:rPr>
        <w:t>not</w:t>
      </w:r>
      <w:r w:rsidRPr="00413C45">
        <w:t xml:space="preserve"> do and </w:t>
      </w:r>
      <w:proofErr w:type="gramStart"/>
      <w:r w:rsidRPr="00413C45">
        <w:t>say</w:t>
      </w:r>
      <w:proofErr w:type="gramEnd"/>
      <w:r w:rsidR="00AB266D">
        <w:t xml:space="preserve">. </w:t>
      </w:r>
      <w:r w:rsidRPr="00EE1477">
        <w:t>Keep in mind, however, that you must determine what DFT actually [intended, did or did not know, etc.] at the time</w:t>
      </w:r>
      <w:r>
        <w:t>,</w:t>
      </w:r>
      <w:r w:rsidRPr="00EE1477">
        <w:t xml:space="preserve"> and not what a reasonable person would have </w:t>
      </w:r>
      <w:r>
        <w:t>[</w:t>
      </w:r>
      <w:r w:rsidRPr="00D74863">
        <w:t>intended, known</w:t>
      </w:r>
      <w:r>
        <w:t>] at the time</w:t>
      </w:r>
      <w:r w:rsidRPr="00EE1477">
        <w:t>.</w:t>
      </w:r>
    </w:p>
    <w:p w14:paraId="75E62898" w14:textId="44421FC8" w:rsidR="00410C41" w:rsidRPr="001F263F" w:rsidRDefault="00410C41" w:rsidP="00410C41">
      <w:pPr>
        <w:pStyle w:val="JuryInst3"/>
      </w:pPr>
      <w:r>
        <w:lastRenderedPageBreak/>
        <w:tab/>
      </w:r>
      <w:r w:rsidRPr="001F263F">
        <w:t>Specific States of Mind</w:t>
      </w:r>
    </w:p>
    <w:p w14:paraId="19B0556B" w14:textId="1DD42B34" w:rsidR="00410C41" w:rsidRPr="001F263F" w:rsidRDefault="00410C41" w:rsidP="00410C41">
      <w:pPr>
        <w:pStyle w:val="JuryInst4"/>
      </w:pPr>
      <w:r>
        <w:tab/>
      </w:r>
      <w:r w:rsidRPr="001F263F">
        <w:t>Intent / Intentionally</w:t>
      </w:r>
    </w:p>
    <w:p w14:paraId="7F7D9BCA" w14:textId="16C6A71C" w:rsidR="00410C41" w:rsidRDefault="00410C41" w:rsidP="00410C41">
      <w:pPr>
        <w:pStyle w:val="JuryInstructionText"/>
      </w:pPr>
      <w:r w:rsidRPr="0013146C">
        <w:t>“Intent” means a person’s purpose or goal. A person acts “intentionally” when s/he</w:t>
      </w:r>
      <w:r>
        <w:t>/it</w:t>
      </w:r>
      <w:r w:rsidRPr="0013146C">
        <w:t xml:space="preserve"> acts purposely, not by mistake or by accident, and wants the </w:t>
      </w:r>
      <w:r>
        <w:t xml:space="preserve">general type of the </w:t>
      </w:r>
      <w:r w:rsidRPr="0013146C">
        <w:t xml:space="preserve">result to happen or knows that the </w:t>
      </w:r>
      <w:r>
        <w:t>result</w:t>
      </w:r>
      <w:r w:rsidRPr="0013146C">
        <w:t xml:space="preserve"> is </w:t>
      </w:r>
      <w:r w:rsidRPr="008C4515">
        <w:t>very</w:t>
      </w:r>
      <w:r>
        <w:t xml:space="preserve"> likely</w:t>
      </w:r>
      <w:r w:rsidRPr="0013146C">
        <w:t xml:space="preserve"> to happen.</w:t>
      </w:r>
      <w:r>
        <w:rPr>
          <w:rStyle w:val="FootnoteReference"/>
          <w:rFonts w:cs="Segoe UI Historic"/>
        </w:rPr>
        <w:footnoteReference w:id="1"/>
      </w:r>
    </w:p>
    <w:p w14:paraId="10CEA2D3" w14:textId="495E3451" w:rsidR="00410C41" w:rsidRDefault="00410C41" w:rsidP="00410C41">
      <w:pPr>
        <w:pStyle w:val="JuryInstructionText"/>
      </w:pPr>
      <w:r w:rsidRPr="00804470">
        <w:t xml:space="preserve">In general, </w:t>
      </w:r>
      <w:r>
        <w:t xml:space="preserve">you may decide that </w:t>
      </w:r>
      <w:r w:rsidRPr="00804470">
        <w:t>a person who does an act on purpose ordinarily intends the usual and likely result of the act.</w:t>
      </w:r>
    </w:p>
    <w:p w14:paraId="624937AA" w14:textId="5E05918C" w:rsidR="00410C41" w:rsidRDefault="00410C41" w:rsidP="00410C41">
      <w:pPr>
        <w:pStyle w:val="JuryInstructionText"/>
      </w:pPr>
      <w:r w:rsidRPr="00413C45">
        <w:t>&lt;</w:t>
      </w:r>
      <w:r w:rsidRPr="00AB266D">
        <w:rPr>
          <w:b/>
          <w:i/>
          <w:iCs/>
        </w:rPr>
        <w:t>Add if defendant is an entity</w:t>
      </w:r>
      <w:r w:rsidR="00AB266D">
        <w:t>.</w:t>
      </w:r>
      <w:r>
        <w:t xml:space="preserve">&gt; </w:t>
      </w:r>
      <w:r w:rsidRPr="00413C45">
        <w:t xml:space="preserve">As I’ve said, a [corporation, </w:t>
      </w:r>
      <w:r>
        <w:t xml:space="preserve">partnership, </w:t>
      </w:r>
      <w:r w:rsidRPr="00413C45">
        <w:t xml:space="preserve">limited liability company, etc.] knows all the facts that its [officers, </w:t>
      </w:r>
      <w:r>
        <w:t xml:space="preserve">partners, </w:t>
      </w:r>
      <w:r w:rsidRPr="00413C45">
        <w:t>board members, managers, employees</w:t>
      </w:r>
      <w:r>
        <w:t xml:space="preserve">, </w:t>
      </w:r>
      <w:r w:rsidRPr="00413C45">
        <w:t>agents</w:t>
      </w:r>
      <w:r>
        <w:t>, etc.</w:t>
      </w:r>
      <w:r w:rsidRPr="00413C45">
        <w:t>]</w:t>
      </w:r>
      <w:r>
        <w:t xml:space="preserve"> </w:t>
      </w:r>
      <w:r w:rsidRPr="00413C45">
        <w:t>kn</w:t>
      </w:r>
      <w:r>
        <w:t>o</w:t>
      </w:r>
      <w:r w:rsidRPr="00413C45">
        <w:t xml:space="preserve">w while they </w:t>
      </w:r>
      <w:r>
        <w:t>a</w:t>
      </w:r>
      <w:r w:rsidRPr="00413C45">
        <w:t xml:space="preserve">re acting </w:t>
      </w:r>
      <w:proofErr w:type="gramStart"/>
      <w:r w:rsidRPr="00413C45">
        <w:t>in the course of</w:t>
      </w:r>
      <w:proofErr w:type="gramEnd"/>
      <w:r w:rsidRPr="00413C45">
        <w:t xml:space="preserve"> doing their jobs and within the scope of their particular authority for the [corporation, LLC, partnership, etc.]. But, in order to prove DFT acted with the intent to [induce reliance, interfere with someone’s rights, cause injury, etc.], PLF must show that at least one of DFT’s [officers, </w:t>
      </w:r>
      <w:r>
        <w:t xml:space="preserve">partners, </w:t>
      </w:r>
      <w:r w:rsidRPr="00413C45">
        <w:t xml:space="preserve">board members, managers, employees, agents, etc.] </w:t>
      </w:r>
      <w:r>
        <w:t>intended</w:t>
      </w:r>
      <w:r w:rsidRPr="008E204C">
        <w:t xml:space="preserve"> to [</w:t>
      </w:r>
      <w:r w:rsidRPr="00BE06E2">
        <w:t xml:space="preserve">insert conduct at </w:t>
      </w:r>
      <w:proofErr w:type="gramStart"/>
      <w:r w:rsidRPr="00BE06E2">
        <w:t>issue;</w:t>
      </w:r>
      <w:proofErr w:type="gramEnd"/>
      <w:r w:rsidRPr="00BE06E2">
        <w:t xml:space="preserve"> e.g.,</w:t>
      </w:r>
      <w:r>
        <w:t xml:space="preserve"> </w:t>
      </w:r>
      <w:r w:rsidRPr="008E204C">
        <w:t>induce reliance, interfere with someone’s rights, cause injury, etc.]</w:t>
      </w:r>
      <w:r w:rsidRPr="00413C45">
        <w:t>.</w:t>
      </w:r>
      <w:r w:rsidRPr="00413C45">
        <w:rPr>
          <w:rStyle w:val="FootnoteReference"/>
          <w:rFonts w:cs="Segoe UI Historic"/>
        </w:rPr>
        <w:footnoteReference w:id="2"/>
      </w:r>
    </w:p>
    <w:p w14:paraId="6ED742F2" w14:textId="3E09ECF4" w:rsidR="00410C41" w:rsidRPr="00413C45" w:rsidRDefault="00410C41" w:rsidP="00410C41">
      <w:pPr>
        <w:pStyle w:val="JuryInst4"/>
      </w:pPr>
      <w:r w:rsidRPr="00413C45">
        <w:lastRenderedPageBreak/>
        <w:t>Knowingly</w:t>
      </w:r>
    </w:p>
    <w:p w14:paraId="53301F78" w14:textId="675C48A6" w:rsidR="00410C41" w:rsidRPr="00413C45" w:rsidRDefault="00410C41" w:rsidP="00410C41">
      <w:pPr>
        <w:pStyle w:val="JuryInstructionText"/>
      </w:pPr>
      <w:r>
        <w:t>A person acts “k</w:t>
      </w:r>
      <w:r w:rsidRPr="00413C45">
        <w:t xml:space="preserve">nowingly” </w:t>
      </w:r>
      <w:r>
        <w:t>when s/he/it</w:t>
      </w:r>
      <w:r w:rsidRPr="00413C45">
        <w:t xml:space="preserve"> act</w:t>
      </w:r>
      <w:r>
        <w:t>s</w:t>
      </w:r>
      <w:r w:rsidRPr="00413C45">
        <w:t xml:space="preserve"> </w:t>
      </w:r>
      <w:r>
        <w:t xml:space="preserve">intentionally </w:t>
      </w:r>
      <w:r w:rsidRPr="00413C45">
        <w:t xml:space="preserve">while being aware </w:t>
      </w:r>
      <w:r>
        <w:t>of the likely consequences of her/his/its conduct.</w:t>
      </w:r>
      <w:r>
        <w:rPr>
          <w:rStyle w:val="FootnoteReference"/>
          <w:rFonts w:cs="Segoe UI Historic"/>
        </w:rPr>
        <w:footnoteReference w:id="3"/>
      </w:r>
      <w:r w:rsidR="00AB266D">
        <w:t xml:space="preserve"> </w:t>
      </w:r>
      <w:r>
        <w:rPr>
          <w:rStyle w:val="FootnoteReference"/>
          <w:rFonts w:cs="Segoe UI Historic"/>
        </w:rPr>
        <w:footnoteReference w:id="4"/>
      </w:r>
      <w:r>
        <w:t xml:space="preserve"> So, for PLF to prove DFT knowingly [</w:t>
      </w:r>
      <w:r w:rsidRPr="00191B8A">
        <w:rPr>
          <w:i/>
        </w:rPr>
        <w:t>insert conduct at issue</w:t>
      </w:r>
      <w:r>
        <w:t>], PLF must show DFT acted intentionally, not by mistake or by accident, and DFT was aware what would likely happen as a result.</w:t>
      </w:r>
    </w:p>
    <w:p w14:paraId="78342B9C" w14:textId="77777777" w:rsidR="00410C41" w:rsidRPr="00413C45" w:rsidRDefault="00410C41" w:rsidP="00410C41">
      <w:pPr>
        <w:pStyle w:val="JuryInstructionText"/>
      </w:pPr>
      <w:r w:rsidRPr="00413C45">
        <w:t>&lt;</w:t>
      </w:r>
      <w:r w:rsidRPr="00413C45">
        <w:rPr>
          <w:b/>
          <w:i/>
        </w:rPr>
        <w:t>If applicable: ignorance of the law</w:t>
      </w:r>
      <w:r w:rsidRPr="00413C45">
        <w:t xml:space="preserve">&gt; However, PLF does not have to prove that DFT knew that his/her/its </w:t>
      </w:r>
      <w:r>
        <w:t xml:space="preserve">conduct was </w:t>
      </w:r>
      <w:r w:rsidRPr="00413C45">
        <w:t>unlawful, because ignorance of the law is not an excuse for violating the law.</w:t>
      </w:r>
    </w:p>
    <w:p w14:paraId="047A0AE5" w14:textId="77777777" w:rsidR="00410C41" w:rsidRDefault="00410C41" w:rsidP="00410C41">
      <w:pPr>
        <w:pStyle w:val="JuryInstructionText"/>
      </w:pPr>
      <w:r w:rsidRPr="00413C45">
        <w:t>&lt;</w:t>
      </w:r>
      <w:r w:rsidRPr="00A15DC9">
        <w:rPr>
          <w:b/>
          <w:i/>
        </w:rPr>
        <w:t>Add if defendant is an entity</w:t>
      </w:r>
      <w:r>
        <w:t xml:space="preserve">&gt; </w:t>
      </w:r>
      <w:r w:rsidRPr="00413C45">
        <w:t>As I’ve said, a [</w:t>
      </w:r>
      <w:r w:rsidRPr="00413C45">
        <w:rPr>
          <w:i/>
        </w:rPr>
        <w:t xml:space="preserve">corporation, </w:t>
      </w:r>
      <w:r>
        <w:rPr>
          <w:i/>
        </w:rPr>
        <w:t xml:space="preserve">partnership, </w:t>
      </w:r>
      <w:r w:rsidRPr="00413C45">
        <w:rPr>
          <w:i/>
        </w:rPr>
        <w:t>limited liability company, etc.</w:t>
      </w:r>
      <w:r w:rsidRPr="00413C45">
        <w:t>] knows all the facts that its [</w:t>
      </w:r>
      <w:r w:rsidRPr="00413C45">
        <w:rPr>
          <w:i/>
        </w:rPr>
        <w:t xml:space="preserve">officers, </w:t>
      </w:r>
      <w:r>
        <w:rPr>
          <w:i/>
        </w:rPr>
        <w:t xml:space="preserve">partners, </w:t>
      </w:r>
      <w:r w:rsidRPr="00413C45">
        <w:rPr>
          <w:i/>
        </w:rPr>
        <w:t>board members, managers, employees</w:t>
      </w:r>
      <w:r>
        <w:rPr>
          <w:i/>
        </w:rPr>
        <w:t xml:space="preserve">, </w:t>
      </w:r>
      <w:r w:rsidRPr="00413C45">
        <w:rPr>
          <w:i/>
        </w:rPr>
        <w:t>agents</w:t>
      </w:r>
      <w:r>
        <w:rPr>
          <w:i/>
        </w:rPr>
        <w:t>, etc.</w:t>
      </w:r>
      <w:r w:rsidRPr="00413C45">
        <w:t>]</w:t>
      </w:r>
      <w:r>
        <w:t xml:space="preserve"> </w:t>
      </w:r>
      <w:r w:rsidRPr="00413C45">
        <w:t>kn</w:t>
      </w:r>
      <w:r>
        <w:t>o</w:t>
      </w:r>
      <w:r w:rsidRPr="00413C45">
        <w:t xml:space="preserve">w while they </w:t>
      </w:r>
      <w:r>
        <w:t>a</w:t>
      </w:r>
      <w:r w:rsidRPr="00413C45">
        <w:t xml:space="preserve">re acting </w:t>
      </w:r>
      <w:proofErr w:type="gramStart"/>
      <w:r w:rsidRPr="00413C45">
        <w:t>in the course of</w:t>
      </w:r>
      <w:proofErr w:type="gramEnd"/>
      <w:r w:rsidRPr="00413C45">
        <w:t xml:space="preserve"> doing their jobs and within the scope of their particular authority for the [</w:t>
      </w:r>
      <w:r w:rsidRPr="00413C45">
        <w:rPr>
          <w:i/>
        </w:rPr>
        <w:t>corporation, LLC, partnership, etc.</w:t>
      </w:r>
      <w:r w:rsidRPr="00413C45">
        <w:t xml:space="preserve">]. But, </w:t>
      </w:r>
      <w:proofErr w:type="gramStart"/>
      <w:r w:rsidRPr="00413C45">
        <w:t>in order to</w:t>
      </w:r>
      <w:proofErr w:type="gramEnd"/>
      <w:r w:rsidRPr="00413C45">
        <w:t xml:space="preserve"> prove DFT </w:t>
      </w:r>
      <w:r>
        <w:t>knowingly [</w:t>
      </w:r>
      <w:r w:rsidRPr="00191B8A">
        <w:rPr>
          <w:i/>
        </w:rPr>
        <w:t>insert conduct at issue</w:t>
      </w:r>
      <w:r>
        <w:t>]</w:t>
      </w:r>
      <w:r w:rsidRPr="00413C45">
        <w:t>, PLF must show that at least one of DFT’s [</w:t>
      </w:r>
      <w:r w:rsidRPr="00413C45">
        <w:rPr>
          <w:i/>
        </w:rPr>
        <w:t xml:space="preserve">officers, </w:t>
      </w:r>
      <w:r>
        <w:rPr>
          <w:i/>
        </w:rPr>
        <w:t xml:space="preserve">partners, </w:t>
      </w:r>
      <w:r w:rsidRPr="00413C45">
        <w:rPr>
          <w:i/>
        </w:rPr>
        <w:t>board members, managers, employees, agents, etc.</w:t>
      </w:r>
      <w:r w:rsidRPr="00413C45">
        <w:t xml:space="preserve">] </w:t>
      </w:r>
      <w:r>
        <w:t>acted</w:t>
      </w:r>
      <w:r w:rsidRPr="00F47EDC">
        <w:t xml:space="preserve"> intentionally</w:t>
      </w:r>
      <w:r>
        <w:t>, not by mistake or by accident,</w:t>
      </w:r>
      <w:r w:rsidRPr="00F47EDC">
        <w:t xml:space="preserve"> while being aware of the likely consequences of </w:t>
      </w:r>
      <w:r>
        <w:t>his/her</w:t>
      </w:r>
      <w:r w:rsidRPr="00F47EDC">
        <w:t xml:space="preserve"> conduct</w:t>
      </w:r>
      <w:r w:rsidRPr="00413C45">
        <w:t>.</w:t>
      </w:r>
      <w:r w:rsidRPr="00413C45">
        <w:rPr>
          <w:rStyle w:val="FootnoteReference"/>
          <w:rFonts w:cs="Segoe UI Historic"/>
        </w:rPr>
        <w:footnoteReference w:id="5"/>
      </w:r>
    </w:p>
    <w:p w14:paraId="5900932F" w14:textId="67AD47EE" w:rsidR="00410C41" w:rsidRPr="00597135" w:rsidRDefault="00410C41" w:rsidP="00410C41">
      <w:pPr>
        <w:pStyle w:val="JuryInst4"/>
      </w:pPr>
      <w:r>
        <w:lastRenderedPageBreak/>
        <w:tab/>
      </w:r>
      <w:r w:rsidRPr="00525E51">
        <w:t>Knowing Violation</w:t>
      </w:r>
    </w:p>
    <w:p w14:paraId="061B616C" w14:textId="5A2538EF" w:rsidR="00410C41" w:rsidRDefault="00410C41" w:rsidP="00924FB8">
      <w:pPr>
        <w:pStyle w:val="JuryInstructionText"/>
      </w:pPr>
      <w:r>
        <w:t>A person commits a “k</w:t>
      </w:r>
      <w:r w:rsidRPr="00D2585B">
        <w:t>nowing violation</w:t>
      </w:r>
      <w:r>
        <w:t>”</w:t>
      </w:r>
      <w:r w:rsidRPr="00D2585B">
        <w:t xml:space="preserve"> </w:t>
      </w:r>
      <w:r>
        <w:t>when s/he/it</w:t>
      </w:r>
      <w:r w:rsidRPr="006B70D9">
        <w:t xml:space="preserve"> </w:t>
      </w:r>
      <w:r w:rsidRPr="00547220">
        <w:t xml:space="preserve">acts intentionally while being aware </w:t>
      </w:r>
      <w:r w:rsidRPr="006B70D9">
        <w:t xml:space="preserve">that </w:t>
      </w:r>
      <w:r>
        <w:t xml:space="preserve">her/his/its actions </w:t>
      </w:r>
      <w:r w:rsidRPr="006B70D9">
        <w:t xml:space="preserve">violate </w:t>
      </w:r>
      <w:r>
        <w:t>[</w:t>
      </w:r>
      <w:r w:rsidRPr="00BE06E2">
        <w:rPr>
          <w:i/>
        </w:rPr>
        <w:t>insert</w:t>
      </w:r>
      <w:r>
        <w:t xml:space="preserve"> </w:t>
      </w:r>
      <w:r w:rsidRPr="006B70D9">
        <w:rPr>
          <w:i/>
        </w:rPr>
        <w:t xml:space="preserve">the rule </w:t>
      </w:r>
      <w:proofErr w:type="spellStart"/>
      <w:r w:rsidRPr="006B70D9">
        <w:rPr>
          <w:i/>
        </w:rPr>
        <w:t>or</w:t>
      </w:r>
      <w:proofErr w:type="spellEnd"/>
      <w:r w:rsidRPr="006B70D9">
        <w:rPr>
          <w:i/>
        </w:rPr>
        <w:t xml:space="preserve"> law at issue</w:t>
      </w:r>
      <w:r>
        <w:t>].</w:t>
      </w:r>
      <w:r>
        <w:rPr>
          <w:rStyle w:val="FootnoteReference"/>
          <w:rFonts w:cs="Segoe UI Historic"/>
        </w:rPr>
        <w:footnoteReference w:id="6"/>
      </w:r>
      <w:r>
        <w:t xml:space="preserve"> So, for PLF to prove DFT knowingly violated [</w:t>
      </w:r>
      <w:r w:rsidRPr="002C0232">
        <w:rPr>
          <w:i/>
        </w:rPr>
        <w:t>insert</w:t>
      </w:r>
      <w:r>
        <w:t xml:space="preserve"> </w:t>
      </w:r>
      <w:r w:rsidRPr="006B70D9">
        <w:rPr>
          <w:i/>
        </w:rPr>
        <w:t xml:space="preserve">the rule </w:t>
      </w:r>
      <w:proofErr w:type="spellStart"/>
      <w:r w:rsidRPr="006B70D9">
        <w:rPr>
          <w:i/>
        </w:rPr>
        <w:t>or</w:t>
      </w:r>
      <w:proofErr w:type="spellEnd"/>
      <w:r w:rsidRPr="006B70D9">
        <w:rPr>
          <w:i/>
        </w:rPr>
        <w:t xml:space="preserve"> law at issue</w:t>
      </w:r>
      <w:r>
        <w:t xml:space="preserve">], PLF must show DFT acted intentionally, not by mistake or by accident, </w:t>
      </w:r>
      <w:r w:rsidRPr="00FF4964">
        <w:t xml:space="preserve">while being </w:t>
      </w:r>
      <w:r>
        <w:t xml:space="preserve">aware his/her/its conduct </w:t>
      </w:r>
      <w:r w:rsidRPr="006B70D9">
        <w:t>violate</w:t>
      </w:r>
      <w:r>
        <w:t>d</w:t>
      </w:r>
      <w:r w:rsidRPr="006B70D9">
        <w:t xml:space="preserve"> </w:t>
      </w:r>
      <w:r>
        <w:t>[</w:t>
      </w:r>
      <w:r w:rsidRPr="002C0232">
        <w:rPr>
          <w:i/>
        </w:rPr>
        <w:t>insert</w:t>
      </w:r>
      <w:r>
        <w:t xml:space="preserve"> </w:t>
      </w:r>
      <w:r w:rsidRPr="006B70D9">
        <w:rPr>
          <w:i/>
        </w:rPr>
        <w:t xml:space="preserve">the rule </w:t>
      </w:r>
      <w:proofErr w:type="spellStart"/>
      <w:r w:rsidRPr="006B70D9">
        <w:rPr>
          <w:i/>
        </w:rPr>
        <w:t>or</w:t>
      </w:r>
      <w:proofErr w:type="spellEnd"/>
      <w:r w:rsidRPr="006B70D9">
        <w:rPr>
          <w:i/>
        </w:rPr>
        <w:t xml:space="preserve"> law at issue</w:t>
      </w:r>
      <w:r>
        <w:t>].</w:t>
      </w:r>
    </w:p>
    <w:p w14:paraId="63751C90" w14:textId="77777777" w:rsidR="00410C41" w:rsidRDefault="00410C41" w:rsidP="00924FB8">
      <w:pPr>
        <w:pStyle w:val="JuryInstructionText"/>
      </w:pPr>
      <w:r w:rsidRPr="00413C45">
        <w:t>&lt;</w:t>
      </w:r>
      <w:r w:rsidRPr="00762BE0">
        <w:rPr>
          <w:b/>
          <w:i/>
          <w:iCs/>
        </w:rPr>
        <w:t>Add if defendant is an entity</w:t>
      </w:r>
      <w:r w:rsidRPr="00413C45">
        <w:t xml:space="preserve">&gt; As I’ve said, a [corporation, </w:t>
      </w:r>
      <w:r>
        <w:t xml:space="preserve">partnership, </w:t>
      </w:r>
      <w:r w:rsidRPr="00413C45">
        <w:t xml:space="preserve">limited liability company, etc.] knows all the facts that its [officers, </w:t>
      </w:r>
      <w:r>
        <w:t xml:space="preserve">partners, </w:t>
      </w:r>
      <w:r w:rsidRPr="00413C45">
        <w:t>board members, managers, employees</w:t>
      </w:r>
      <w:r>
        <w:t xml:space="preserve">, </w:t>
      </w:r>
      <w:r w:rsidRPr="00413C45">
        <w:t>agents</w:t>
      </w:r>
      <w:r>
        <w:t>, etc.</w:t>
      </w:r>
      <w:r w:rsidRPr="00413C45">
        <w:t>]</w:t>
      </w:r>
      <w:r>
        <w:t xml:space="preserve"> </w:t>
      </w:r>
      <w:r w:rsidRPr="00413C45">
        <w:t>kn</w:t>
      </w:r>
      <w:r>
        <w:t>o</w:t>
      </w:r>
      <w:r w:rsidRPr="00413C45">
        <w:t xml:space="preserve">w while they </w:t>
      </w:r>
      <w:r>
        <w:t>a</w:t>
      </w:r>
      <w:r w:rsidRPr="00413C45">
        <w:t xml:space="preserve">re acting </w:t>
      </w:r>
      <w:proofErr w:type="gramStart"/>
      <w:r w:rsidRPr="00413C45">
        <w:t>in the course of</w:t>
      </w:r>
      <w:proofErr w:type="gramEnd"/>
      <w:r w:rsidRPr="00413C45">
        <w:t xml:space="preserve"> doing their jobs and within the scope of their particular authority for the [corporation, LLC, partnership, etc.].</w:t>
      </w:r>
      <w:r>
        <w:t xml:space="preserve"> </w:t>
      </w:r>
      <w:r w:rsidRPr="00413C45">
        <w:t xml:space="preserve">But, </w:t>
      </w:r>
      <w:proofErr w:type="gramStart"/>
      <w:r w:rsidRPr="00413C45">
        <w:t>in order to</w:t>
      </w:r>
      <w:proofErr w:type="gramEnd"/>
      <w:r w:rsidRPr="00413C45">
        <w:t xml:space="preserve"> prove DFT </w:t>
      </w:r>
      <w:r>
        <w:t>knowingly violated [</w:t>
      </w:r>
      <w:r w:rsidRPr="002C0232">
        <w:t>insert</w:t>
      </w:r>
      <w:r>
        <w:t xml:space="preserve"> </w:t>
      </w:r>
      <w:r w:rsidRPr="006B70D9">
        <w:t xml:space="preserve">the rule </w:t>
      </w:r>
      <w:proofErr w:type="spellStart"/>
      <w:r w:rsidRPr="006B70D9">
        <w:t>or</w:t>
      </w:r>
      <w:proofErr w:type="spellEnd"/>
      <w:r w:rsidRPr="006B70D9">
        <w:t xml:space="preserve"> law at issue</w:t>
      </w:r>
      <w:r>
        <w:t>]</w:t>
      </w:r>
      <w:r w:rsidRPr="00413C45">
        <w:t xml:space="preserve">, PLF must show that at least one of DFT’s [officers, </w:t>
      </w:r>
      <w:r>
        <w:t xml:space="preserve">partners, </w:t>
      </w:r>
      <w:r w:rsidRPr="00413C45">
        <w:t xml:space="preserve">board members, managers, employees, agents, etc.] </w:t>
      </w:r>
      <w:r>
        <w:t>acted</w:t>
      </w:r>
      <w:r w:rsidRPr="00F47EDC">
        <w:t xml:space="preserve"> </w:t>
      </w:r>
      <w:r>
        <w:t xml:space="preserve">intentionally, not by mistake or by accident, </w:t>
      </w:r>
      <w:r w:rsidRPr="00FF4964">
        <w:t>while being</w:t>
      </w:r>
      <w:r>
        <w:t xml:space="preserve"> aware his/her conduct </w:t>
      </w:r>
      <w:r w:rsidRPr="006B70D9">
        <w:t>violate</w:t>
      </w:r>
      <w:r>
        <w:t>d</w:t>
      </w:r>
      <w:r w:rsidRPr="006B70D9">
        <w:t xml:space="preserve"> </w:t>
      </w:r>
      <w:r>
        <w:t>[</w:t>
      </w:r>
      <w:r w:rsidRPr="002C0232">
        <w:t>insert</w:t>
      </w:r>
      <w:r>
        <w:t xml:space="preserve"> </w:t>
      </w:r>
      <w:r w:rsidRPr="006B70D9">
        <w:t xml:space="preserve">the rule </w:t>
      </w:r>
      <w:proofErr w:type="spellStart"/>
      <w:r w:rsidRPr="006B70D9">
        <w:t>or</w:t>
      </w:r>
      <w:proofErr w:type="spellEnd"/>
      <w:r w:rsidRPr="006B70D9">
        <w:t xml:space="preserve"> law at issue</w:t>
      </w:r>
      <w:r>
        <w:t>].</w:t>
      </w:r>
      <w:r w:rsidRPr="00413C45">
        <w:rPr>
          <w:rStyle w:val="FootnoteReference"/>
          <w:rFonts w:cs="Segoe UI Historic"/>
        </w:rPr>
        <w:footnoteReference w:id="7"/>
      </w:r>
    </w:p>
    <w:p w14:paraId="1ED5A039" w14:textId="1FCC2863" w:rsidR="00410C41" w:rsidRDefault="00410C41" w:rsidP="00410C41">
      <w:pPr>
        <w:pStyle w:val="JuryInst4"/>
      </w:pPr>
      <w:r>
        <w:tab/>
      </w:r>
      <w:r w:rsidRPr="00F47EDC">
        <w:t>Knowledge</w:t>
      </w:r>
    </w:p>
    <w:p w14:paraId="0470715E" w14:textId="763633FB" w:rsidR="00410C41" w:rsidRPr="00413C45" w:rsidRDefault="00410C41" w:rsidP="00924FB8">
      <w:pPr>
        <w:pStyle w:val="JuryInstructionText"/>
      </w:pPr>
      <w:r w:rsidRPr="00413C45">
        <w:t>“Know</w:t>
      </w:r>
      <w:r>
        <w:t>ledge</w:t>
      </w:r>
      <w:r w:rsidRPr="00413C45">
        <w:t xml:space="preserve">” means </w:t>
      </w:r>
      <w:r>
        <w:t xml:space="preserve">the </w:t>
      </w:r>
      <w:r w:rsidRPr="00413C45">
        <w:t>aware</w:t>
      </w:r>
      <w:r>
        <w:t>ness</w:t>
      </w:r>
      <w:r w:rsidRPr="00413C45">
        <w:t xml:space="preserve"> of something. </w:t>
      </w:r>
      <w:r>
        <w:t>A</w:t>
      </w:r>
      <w:r w:rsidRPr="00413C45">
        <w:t xml:space="preserve"> person acts </w:t>
      </w:r>
      <w:r>
        <w:t xml:space="preserve">with </w:t>
      </w:r>
      <w:r w:rsidRPr="00413C45">
        <w:t>“knowl</w:t>
      </w:r>
      <w:r>
        <w:t>edge</w:t>
      </w:r>
      <w:r w:rsidRPr="00413C45">
        <w:t>” when s/he</w:t>
      </w:r>
      <w:r>
        <w:t>/it</w:t>
      </w:r>
      <w:r w:rsidRPr="00413C45">
        <w:t xml:space="preserve"> </w:t>
      </w:r>
      <w:r>
        <w:t xml:space="preserve">is aware of </w:t>
      </w:r>
      <w:r w:rsidRPr="00413C45">
        <w:t>what s/he</w:t>
      </w:r>
      <w:r>
        <w:t>/it</w:t>
      </w:r>
      <w:r w:rsidRPr="00413C45">
        <w:t xml:space="preserve"> is doing.</w:t>
      </w:r>
    </w:p>
    <w:p w14:paraId="68B9E1A3" w14:textId="77777777" w:rsidR="00410C41" w:rsidRPr="00413C45" w:rsidRDefault="00410C41" w:rsidP="00924FB8">
      <w:pPr>
        <w:pStyle w:val="JuryInstructionText"/>
      </w:pPr>
      <w:r w:rsidRPr="00413C45">
        <w:t>&lt;</w:t>
      </w:r>
      <w:r w:rsidRPr="00413C45">
        <w:rPr>
          <w:b/>
          <w:i/>
        </w:rPr>
        <w:t>If applicable: ignorance of the law</w:t>
      </w:r>
      <w:r w:rsidRPr="00413C45">
        <w:t>&gt; However, PLF does not have to prove that DFT knew that his/her/its actions were unlawful, because ignorance of the law is not an excuse for violating the law.</w:t>
      </w:r>
    </w:p>
    <w:p w14:paraId="3E1216C9" w14:textId="77777777" w:rsidR="00410C41" w:rsidRDefault="00410C41" w:rsidP="00924FB8">
      <w:pPr>
        <w:pStyle w:val="JuryInstructionText"/>
      </w:pPr>
      <w:r w:rsidRPr="00413C45">
        <w:lastRenderedPageBreak/>
        <w:t>&lt;</w:t>
      </w:r>
      <w:r w:rsidRPr="00762BE0">
        <w:rPr>
          <w:b/>
          <w:i/>
          <w:iCs/>
        </w:rPr>
        <w:t>If applicable: Collective Knowledge of an entity</w:t>
      </w:r>
      <w:r w:rsidRPr="00413C45">
        <w:t xml:space="preserve">&gt; A [corporation, </w:t>
      </w:r>
      <w:r>
        <w:t xml:space="preserve">partnership, </w:t>
      </w:r>
      <w:r w:rsidRPr="00413C45">
        <w:t xml:space="preserve">limited liability company, </w:t>
      </w:r>
      <w:r>
        <w:t xml:space="preserve">partnership, </w:t>
      </w:r>
      <w:r w:rsidRPr="00413C45">
        <w:t xml:space="preserve">etc.], such as DFT, </w:t>
      </w:r>
      <w:r>
        <w:t xml:space="preserve">has the </w:t>
      </w:r>
      <w:r w:rsidRPr="00413C45">
        <w:t xml:space="preserve">collective knowledge of </w:t>
      </w:r>
      <w:proofErr w:type="gramStart"/>
      <w:r>
        <w:t>all of</w:t>
      </w:r>
      <w:proofErr w:type="gramEnd"/>
      <w:r>
        <w:t xml:space="preserve"> </w:t>
      </w:r>
      <w:r w:rsidRPr="00413C45">
        <w:t xml:space="preserve">its [officers, board members, </w:t>
      </w:r>
      <w:r>
        <w:t xml:space="preserve">partners, managers, employees, </w:t>
      </w:r>
      <w:r w:rsidRPr="00413C45">
        <w:t>agents</w:t>
      </w:r>
      <w:r>
        <w:t xml:space="preserve">, </w:t>
      </w:r>
      <w:proofErr w:type="spellStart"/>
      <w:r>
        <w:t>etc</w:t>
      </w:r>
      <w:proofErr w:type="spellEnd"/>
      <w:r w:rsidRPr="00413C45">
        <w:t>]. So, PLF may show DFT</w:t>
      </w:r>
      <w:r>
        <w:t xml:space="preserve">’s knowledge </w:t>
      </w:r>
      <w:r w:rsidRPr="00413C45">
        <w:t xml:space="preserve">by adding together things that its [officers, board members, </w:t>
      </w:r>
      <w:r>
        <w:t>partners, managers, employees, a</w:t>
      </w:r>
      <w:r w:rsidRPr="00413C45">
        <w:t>gents</w:t>
      </w:r>
      <w:r>
        <w:t>, etc.</w:t>
      </w:r>
      <w:r w:rsidRPr="00413C45">
        <w:t xml:space="preserve">] knew while they were acting </w:t>
      </w:r>
      <w:proofErr w:type="gramStart"/>
      <w:r w:rsidRPr="00413C45">
        <w:t>in the course of</w:t>
      </w:r>
      <w:proofErr w:type="gramEnd"/>
      <w:r w:rsidRPr="00413C45">
        <w:t xml:space="preserve"> doing their jobs and within the scope of their particular authority for the [corporation, LLC, partnership, etc.].</w:t>
      </w:r>
      <w:r w:rsidRPr="00413C45">
        <w:rPr>
          <w:rStyle w:val="FootnoteReference"/>
          <w:rFonts w:cs="Segoe UI Historic"/>
        </w:rPr>
        <w:footnoteReference w:id="8"/>
      </w:r>
    </w:p>
    <w:p w14:paraId="5700FE6D" w14:textId="2C847E8E" w:rsidR="00410C41" w:rsidRPr="00413C45" w:rsidRDefault="00410C41" w:rsidP="00410C41">
      <w:pPr>
        <w:pStyle w:val="JuryInst4"/>
      </w:pPr>
      <w:r w:rsidRPr="00413C45">
        <w:tab/>
        <w:t>Willful</w:t>
      </w:r>
      <w:r>
        <w:t xml:space="preserve"> / Willfully</w:t>
      </w:r>
    </w:p>
    <w:p w14:paraId="57C29290" w14:textId="7179E2C3" w:rsidR="00410C41" w:rsidRDefault="00410C41" w:rsidP="00924FB8">
      <w:pPr>
        <w:pStyle w:val="JuryInstructionText"/>
      </w:pPr>
      <w:r>
        <w:t xml:space="preserve">The word </w:t>
      </w:r>
      <w:r w:rsidRPr="00413C45">
        <w:t>“</w:t>
      </w:r>
      <w:r>
        <w:t>w</w:t>
      </w:r>
      <w:r w:rsidRPr="00413C45">
        <w:t xml:space="preserve">illful” means intentional. </w:t>
      </w:r>
      <w:r>
        <w:t>A</w:t>
      </w:r>
      <w:r w:rsidRPr="00413C45">
        <w:t xml:space="preserve"> person acts </w:t>
      </w:r>
      <w:r>
        <w:t>“</w:t>
      </w:r>
      <w:r w:rsidRPr="00413C45">
        <w:t>willfully</w:t>
      </w:r>
      <w:r>
        <w:t>”</w:t>
      </w:r>
      <w:r w:rsidRPr="00413C45">
        <w:t xml:space="preserve"> when s/he</w:t>
      </w:r>
      <w:r>
        <w:t>/it</w:t>
      </w:r>
      <w:r w:rsidRPr="00413C45">
        <w:t xml:space="preserve"> acts intentionally, rather than </w:t>
      </w:r>
      <w:r>
        <w:t xml:space="preserve">by </w:t>
      </w:r>
      <w:r w:rsidRPr="00413C45">
        <w:t>accident</w:t>
      </w:r>
      <w:r>
        <w:t xml:space="preserve"> or by mistake</w:t>
      </w:r>
      <w:r w:rsidRPr="00413C45">
        <w:t xml:space="preserve">. </w:t>
      </w:r>
      <w:r>
        <w:t>W</w:t>
      </w:r>
      <w:r w:rsidRPr="00413C45">
        <w:t xml:space="preserve">illful conduct does not require </w:t>
      </w:r>
      <w:r>
        <w:t xml:space="preserve">the actor to have </w:t>
      </w:r>
      <w:r w:rsidRPr="00413C45">
        <w:t xml:space="preserve">an evil intent or </w:t>
      </w:r>
      <w:r>
        <w:t>cruel purpose</w:t>
      </w:r>
      <w:r w:rsidRPr="00413C45">
        <w:t>.</w:t>
      </w:r>
      <w:r w:rsidRPr="00413C45">
        <w:rPr>
          <w:rStyle w:val="FootnoteReference"/>
          <w:rFonts w:cs="Segoe UI Historic"/>
        </w:rPr>
        <w:footnoteReference w:id="9"/>
      </w:r>
      <w:r>
        <w:t xml:space="preserve"> </w:t>
      </w:r>
      <w:r w:rsidRPr="00413C45">
        <w:t>&lt;</w:t>
      </w:r>
      <w:r w:rsidRPr="00EC1E22">
        <w:rPr>
          <w:b/>
          <w:i/>
        </w:rPr>
        <w:t>The</w:t>
      </w:r>
      <w:r w:rsidR="00924FB8">
        <w:rPr>
          <w:b/>
          <w:i/>
        </w:rPr>
        <w:t> </w:t>
      </w:r>
      <w:r w:rsidRPr="00EC1E22">
        <w:rPr>
          <w:b/>
          <w:i/>
        </w:rPr>
        <w:t>judge may elaborate by adding the definition of “intentional”</w:t>
      </w:r>
      <w:r w:rsidRPr="00413C45">
        <w:t>&gt;</w:t>
      </w:r>
    </w:p>
    <w:p w14:paraId="12655494" w14:textId="2990E9F3" w:rsidR="00410C41" w:rsidRPr="00413C45" w:rsidRDefault="00410C41" w:rsidP="00410C41">
      <w:pPr>
        <w:pStyle w:val="JuryInst4"/>
      </w:pPr>
      <w:r w:rsidRPr="00413C45">
        <w:tab/>
      </w:r>
      <w:r>
        <w:t xml:space="preserve">Reckless / </w:t>
      </w:r>
      <w:r w:rsidRPr="00413C45">
        <w:t>Recklessly</w:t>
      </w:r>
      <w:r w:rsidRPr="00525E51">
        <w:rPr>
          <w:rStyle w:val="FootnoteReference"/>
          <w:rFonts w:cs="Segoe UI Historic"/>
        </w:rPr>
        <w:footnoteReference w:id="10"/>
      </w:r>
    </w:p>
    <w:p w14:paraId="546A743A" w14:textId="48E5F7D1" w:rsidR="00410C41" w:rsidRDefault="00410C41" w:rsidP="00924FB8">
      <w:pPr>
        <w:pStyle w:val="JuryInstructionText"/>
      </w:pPr>
      <w:r>
        <w:t xml:space="preserve">“Reckless” conduct is intentional conduct </w:t>
      </w:r>
      <w:r w:rsidRPr="00413C45">
        <w:t xml:space="preserve">that involves a high risk that </w:t>
      </w:r>
      <w:r w:rsidRPr="006B39A3">
        <w:t>significant harm to [</w:t>
      </w:r>
      <w:r w:rsidRPr="006B39A3">
        <w:rPr>
          <w:i/>
        </w:rPr>
        <w:t>others, property, etc</w:t>
      </w:r>
      <w:r w:rsidRPr="006B39A3">
        <w:t xml:space="preserve">.] will </w:t>
      </w:r>
      <w:r>
        <w:t>happen</w:t>
      </w:r>
      <w:r w:rsidRPr="006B39A3">
        <w:t xml:space="preserve">, which the actor </w:t>
      </w:r>
      <w:r w:rsidRPr="006B39A3">
        <w:lastRenderedPageBreak/>
        <w:t>ignores.</w:t>
      </w:r>
      <w:r w:rsidRPr="006B39A3">
        <w:rPr>
          <w:rStyle w:val="FootnoteReference"/>
          <w:rFonts w:cs="Segoe UI Historic"/>
        </w:rPr>
        <w:footnoteReference w:id="11"/>
      </w:r>
      <w:r w:rsidRPr="006B39A3">
        <w:t xml:space="preserve"> </w:t>
      </w:r>
      <w:r>
        <w:t xml:space="preserve">It </w:t>
      </w:r>
      <w:r w:rsidRPr="006B39A3">
        <w:t xml:space="preserve">involves </w:t>
      </w:r>
      <w:r>
        <w:t xml:space="preserve">acting or failing to act while </w:t>
      </w:r>
      <w:r w:rsidRPr="006B39A3">
        <w:t>intentiona</w:t>
      </w:r>
      <w:r>
        <w:t xml:space="preserve">lly </w:t>
      </w:r>
      <w:r w:rsidRPr="006B39A3">
        <w:t>or unreasonabl</w:t>
      </w:r>
      <w:r>
        <w:t>y</w:t>
      </w:r>
      <w:r w:rsidRPr="006B39A3">
        <w:t xml:space="preserve"> </w:t>
      </w:r>
      <w:r>
        <w:t xml:space="preserve">ignoring </w:t>
      </w:r>
      <w:r w:rsidRPr="006B39A3">
        <w:t xml:space="preserve">a high risk that </w:t>
      </w:r>
      <w:r>
        <w:t xml:space="preserve">significant </w:t>
      </w:r>
      <w:r w:rsidRPr="006B39A3">
        <w:t>harm to [</w:t>
      </w:r>
      <w:r w:rsidRPr="006B39A3">
        <w:rPr>
          <w:i/>
        </w:rPr>
        <w:t>others, property, etc.</w:t>
      </w:r>
      <w:r w:rsidRPr="006B39A3">
        <w:t>] will happen</w:t>
      </w:r>
      <w:r>
        <w:t>.</w:t>
      </w:r>
    </w:p>
    <w:p w14:paraId="12F9B355" w14:textId="3960DDB3" w:rsidR="00410C41" w:rsidRDefault="00410C41" w:rsidP="00924FB8">
      <w:pPr>
        <w:pStyle w:val="JuryInstructionText"/>
      </w:pPr>
      <w:r>
        <w:t>A</w:t>
      </w:r>
      <w:r w:rsidRPr="00413C45">
        <w:t xml:space="preserve"> person acts </w:t>
      </w:r>
      <w:r>
        <w:t>“</w:t>
      </w:r>
      <w:r w:rsidRPr="00413C45">
        <w:t>recklessly</w:t>
      </w:r>
      <w:r>
        <w:t>”</w:t>
      </w:r>
      <w:r w:rsidRPr="00413C45">
        <w:t xml:space="preserve"> when s/he </w:t>
      </w:r>
      <w:r w:rsidRPr="00071DEB">
        <w:t xml:space="preserve">intentionally </w:t>
      </w:r>
      <w:r>
        <w:t>acts</w:t>
      </w:r>
      <w:r w:rsidRPr="00071DEB">
        <w:t xml:space="preserve">, or fails to </w:t>
      </w:r>
      <w:r>
        <w:t>act</w:t>
      </w:r>
      <w:r w:rsidRPr="00071DEB">
        <w:t>,</w:t>
      </w:r>
      <w:r>
        <w:t xml:space="preserve"> </w:t>
      </w:r>
      <w:r w:rsidRPr="00413C45">
        <w:t xml:space="preserve">and knows or should know </w:t>
      </w:r>
      <w:r>
        <w:t xml:space="preserve">that </w:t>
      </w:r>
      <w:r w:rsidRPr="00413C45">
        <w:t xml:space="preserve">a high risk </w:t>
      </w:r>
      <w:r>
        <w:t>of</w:t>
      </w:r>
      <w:r w:rsidRPr="00413C45">
        <w:t xml:space="preserve"> </w:t>
      </w:r>
      <w:r w:rsidRPr="006B39A3">
        <w:t>significant harm to [</w:t>
      </w:r>
      <w:r w:rsidRPr="006B39A3">
        <w:rPr>
          <w:i/>
        </w:rPr>
        <w:t>others, property, etc</w:t>
      </w:r>
      <w:r w:rsidRPr="006B39A3">
        <w:t xml:space="preserve">.] will </w:t>
      </w:r>
      <w:r>
        <w:t>happen</w:t>
      </w:r>
      <w:r w:rsidRPr="00413C45">
        <w:t>.</w:t>
      </w:r>
      <w:r w:rsidRPr="00ED1CC3">
        <w:rPr>
          <w:rStyle w:val="FootnoteReference"/>
          <w:rFonts w:cs="Segoe UI Historic"/>
        </w:rPr>
        <w:t xml:space="preserve"> </w:t>
      </w:r>
      <w:r w:rsidRPr="00413C45">
        <w:rPr>
          <w:rStyle w:val="FootnoteReference"/>
          <w:rFonts w:cs="Segoe UI Historic"/>
        </w:rPr>
        <w:footnoteReference w:id="12"/>
      </w:r>
    </w:p>
    <w:p w14:paraId="05E56A32" w14:textId="6DC3C510" w:rsidR="00410C41" w:rsidRPr="00413C45" w:rsidRDefault="00410C41" w:rsidP="00410C41">
      <w:pPr>
        <w:pStyle w:val="JuryInst4"/>
      </w:pPr>
      <w:r w:rsidRPr="00413C45">
        <w:tab/>
        <w:t>Wanton</w:t>
      </w:r>
      <w:r>
        <w:t xml:space="preserve"> / Wantonly</w:t>
      </w:r>
    </w:p>
    <w:p w14:paraId="078247FC" w14:textId="24E32F68" w:rsidR="00410C41" w:rsidRDefault="00410C41" w:rsidP="00924FB8">
      <w:pPr>
        <w:pStyle w:val="JuryInstructionText"/>
      </w:pPr>
      <w:r w:rsidRPr="00413C45">
        <w:t xml:space="preserve">“Wanton” conduct is intentional </w:t>
      </w:r>
      <w:r>
        <w:t xml:space="preserve">conduct by a person who does not care </w:t>
      </w:r>
      <w:r w:rsidRPr="00413C45">
        <w:t>about</w:t>
      </w:r>
      <w:r>
        <w:t xml:space="preserve">, or ignores, </w:t>
      </w:r>
      <w:r w:rsidRPr="00413C45">
        <w:t>the likely consequence</w:t>
      </w:r>
      <w:r>
        <w:t>s</w:t>
      </w:r>
      <w:r w:rsidRPr="00413C45">
        <w:t xml:space="preserve"> of </w:t>
      </w:r>
      <w:r>
        <w:t xml:space="preserve">the </w:t>
      </w:r>
      <w:r w:rsidRPr="00413C45">
        <w:t>conduct</w:t>
      </w:r>
      <w:r>
        <w:t>.</w:t>
      </w:r>
      <w:r w:rsidRPr="00EA05BD">
        <w:rPr>
          <w:rStyle w:val="FootnoteReference"/>
          <w:rFonts w:cs="Segoe UI Historic"/>
        </w:rPr>
        <w:t xml:space="preserve"> </w:t>
      </w:r>
      <w:r w:rsidRPr="00413C45">
        <w:rPr>
          <w:rStyle w:val="FootnoteReference"/>
          <w:rFonts w:cs="Segoe UI Historic"/>
        </w:rPr>
        <w:footnoteReference w:id="13"/>
      </w:r>
      <w:r w:rsidR="00762BE0">
        <w:rPr>
          <w:rFonts w:cs="Segoe UI Historic"/>
        </w:rPr>
        <w:t xml:space="preserve"> </w:t>
      </w:r>
      <w:r w:rsidRPr="00ED1CC3">
        <w:t xml:space="preserve">A person acts </w:t>
      </w:r>
      <w:r>
        <w:t>“w</w:t>
      </w:r>
      <w:r w:rsidRPr="00ED1CC3">
        <w:t>anton</w:t>
      </w:r>
      <w:r>
        <w:t>ly</w:t>
      </w:r>
      <w:r w:rsidRPr="00ED1CC3">
        <w:t xml:space="preserve">” </w:t>
      </w:r>
      <w:r>
        <w:t xml:space="preserve">when s/he </w:t>
      </w:r>
      <w:r w:rsidRPr="00ED1CC3">
        <w:t>intentional</w:t>
      </w:r>
      <w:r>
        <w:t xml:space="preserve">ly acts while ignoring, or not caring </w:t>
      </w:r>
      <w:r w:rsidRPr="00ED1CC3">
        <w:t>about</w:t>
      </w:r>
      <w:r>
        <w:t xml:space="preserve">, </w:t>
      </w:r>
      <w:r w:rsidRPr="00ED1CC3">
        <w:t>the likely consequences of his/her conduct</w:t>
      </w:r>
      <w:r>
        <w:t>.</w:t>
      </w:r>
    </w:p>
    <w:p w14:paraId="2C105308" w14:textId="7A89BBCB" w:rsidR="00410C41" w:rsidRPr="00413C45" w:rsidRDefault="00410C41" w:rsidP="00410C41">
      <w:pPr>
        <w:pStyle w:val="JuryInst4"/>
      </w:pPr>
      <w:r w:rsidRPr="00413C45">
        <w:tab/>
      </w:r>
      <w:r w:rsidRPr="00413C45">
        <w:tab/>
        <w:t>Maliciously</w:t>
      </w:r>
    </w:p>
    <w:p w14:paraId="094E3480" w14:textId="3A9E7655" w:rsidR="00410C41" w:rsidRDefault="00410C41" w:rsidP="00924FB8">
      <w:pPr>
        <w:pStyle w:val="JuryInstructionText"/>
      </w:pPr>
      <w:r w:rsidRPr="00413C45">
        <w:t>A person acts “maliciously” when s/he acts intentionally and out of cruelty, hostility, or revenge</w:t>
      </w:r>
      <w:r>
        <w:t>.</w:t>
      </w:r>
      <w:r w:rsidRPr="00413C45">
        <w:rPr>
          <w:rStyle w:val="FootnoteReference"/>
          <w:rFonts w:cs="Segoe UI Historic"/>
        </w:rPr>
        <w:footnoteReference w:id="14"/>
      </w:r>
    </w:p>
    <w:p w14:paraId="038BC772" w14:textId="7CA353B5" w:rsidR="00410C41" w:rsidRPr="00413C45" w:rsidRDefault="00924FB8" w:rsidP="004A3ABB">
      <w:pPr>
        <w:pStyle w:val="JuryInst2"/>
      </w:pPr>
      <w:r w:rsidRPr="00413C45">
        <w:lastRenderedPageBreak/>
        <w:t xml:space="preserve">Other </w:t>
      </w:r>
      <w:r>
        <w:t xml:space="preserve">General </w:t>
      </w:r>
      <w:r w:rsidRPr="00413C45">
        <w:t>Definitions</w:t>
      </w:r>
    </w:p>
    <w:p w14:paraId="246F1E4F" w14:textId="3A78B19B" w:rsidR="00410C41" w:rsidRPr="00413C45" w:rsidRDefault="00410C41" w:rsidP="004A3ABB">
      <w:pPr>
        <w:pStyle w:val="JuryInst3"/>
      </w:pPr>
      <w:r w:rsidRPr="00413C45">
        <w:tab/>
      </w:r>
      <w:r>
        <w:t>Du</w:t>
      </w:r>
      <w:r w:rsidRPr="00413C45">
        <w:t>ress</w:t>
      </w:r>
    </w:p>
    <w:p w14:paraId="55EA7186" w14:textId="228CA163" w:rsidR="00410C41" w:rsidRPr="003E3043" w:rsidRDefault="00410C41" w:rsidP="00924FB8">
      <w:pPr>
        <w:pStyle w:val="JuryInstructionText"/>
      </w:pPr>
      <w:r w:rsidRPr="003E3043">
        <w:t>“Duress” is misconduct, such as threats of violence, done to make another person [</w:t>
      </w:r>
      <w:r w:rsidRPr="00DA57FE">
        <w:rPr>
          <w:i/>
        </w:rPr>
        <w:t xml:space="preserve">insert conduct at issue, e.g., </w:t>
      </w:r>
      <w:r w:rsidRPr="00545985">
        <w:rPr>
          <w:i/>
        </w:rPr>
        <w:t>do something, refrain from doing something</w:t>
      </w:r>
      <w:r>
        <w:rPr>
          <w:i/>
        </w:rPr>
        <w:t>, etc.</w:t>
      </w:r>
      <w:r w:rsidRPr="003E3043">
        <w:t>] against his or her will.</w:t>
      </w:r>
    </w:p>
    <w:p w14:paraId="1E11FDB2" w14:textId="77777777" w:rsidR="00410C41" w:rsidRPr="003E3043" w:rsidRDefault="00410C41" w:rsidP="00924FB8">
      <w:pPr>
        <w:pStyle w:val="JuryInstructionText"/>
      </w:pPr>
      <w:r w:rsidRPr="003E3043">
        <w:t>&lt;</w:t>
      </w:r>
      <w:r>
        <w:rPr>
          <w:b/>
          <w:i/>
        </w:rPr>
        <w:t>I</w:t>
      </w:r>
      <w:r w:rsidRPr="00EC1E22">
        <w:rPr>
          <w:b/>
          <w:i/>
        </w:rPr>
        <w:t>f duress is a claim or defense</w:t>
      </w:r>
      <w:r w:rsidRPr="003E3043">
        <w:t>&gt; To prove duress, [PLF] [DFT] must show, more likely than not, two things are true:</w:t>
      </w:r>
    </w:p>
    <w:p w14:paraId="333E4B3D" w14:textId="3F133765" w:rsidR="00410C41" w:rsidRPr="003E3043" w:rsidRDefault="00924FB8" w:rsidP="00924FB8">
      <w:pPr>
        <w:pStyle w:val="JuryInstructionElements"/>
      </w:pPr>
      <w:r>
        <w:t>1.</w:t>
      </w:r>
      <w:r>
        <w:tab/>
      </w:r>
      <w:r w:rsidR="00410C41">
        <w:t xml:space="preserve">That </w:t>
      </w:r>
      <w:r w:rsidR="00410C41" w:rsidRPr="003E3043">
        <w:t xml:space="preserve">[DFT] [PLF] committed </w:t>
      </w:r>
      <w:r w:rsidR="00410C41" w:rsidRPr="004377FF">
        <w:t>coercive</w:t>
      </w:r>
      <w:r w:rsidR="00410C41" w:rsidRPr="003E3043">
        <w:t xml:space="preserve"> acts or made threats; and </w:t>
      </w:r>
    </w:p>
    <w:p w14:paraId="77D93820" w14:textId="6008F172" w:rsidR="00410C41" w:rsidRPr="003E3043" w:rsidRDefault="00924FB8" w:rsidP="00924FB8">
      <w:pPr>
        <w:pStyle w:val="JuryInstructionElements"/>
      </w:pPr>
      <w:r>
        <w:t>2.</w:t>
      </w:r>
      <w:r>
        <w:tab/>
      </w:r>
      <w:r w:rsidR="00410C41">
        <w:t>That t</w:t>
      </w:r>
      <w:r w:rsidR="00410C41" w:rsidRPr="003E3043">
        <w:t>he effect</w:t>
      </w:r>
      <w:r w:rsidR="00410C41">
        <w:t xml:space="preserve"> of those acts or threats</w:t>
      </w:r>
      <w:r w:rsidR="00410C41" w:rsidRPr="003E3043">
        <w:t xml:space="preserve"> on [PLF’s] [DFT’s] mind</w:t>
      </w:r>
      <w:r w:rsidR="00410C41">
        <w:t xml:space="preserve"> </w:t>
      </w:r>
      <w:r w:rsidR="00410C41" w:rsidRPr="003E3043">
        <w:t>was so severe that it overcame his/her own free will to [</w:t>
      </w:r>
      <w:r w:rsidR="00410C41" w:rsidRPr="00DA57FE">
        <w:rPr>
          <w:i/>
        </w:rPr>
        <w:t xml:space="preserve">insert conduct at issue, e.g., </w:t>
      </w:r>
      <w:r w:rsidR="00410C41" w:rsidRPr="00545985">
        <w:rPr>
          <w:i/>
        </w:rPr>
        <w:t>file a lawsuit by limitations date</w:t>
      </w:r>
      <w:r w:rsidR="00410C41">
        <w:rPr>
          <w:i/>
        </w:rPr>
        <w:t>;</w:t>
      </w:r>
      <w:r w:rsidR="00410C41" w:rsidRPr="00545985">
        <w:rPr>
          <w:i/>
        </w:rPr>
        <w:t xml:space="preserve"> describe other alleged action or inaction</w:t>
      </w:r>
      <w:r w:rsidR="00410C41">
        <w:rPr>
          <w:i/>
        </w:rPr>
        <w:t>, etc.</w:t>
      </w:r>
      <w:r w:rsidR="00410C41" w:rsidRPr="003E3043">
        <w:t>]</w:t>
      </w:r>
      <w:r w:rsidR="00AB266D">
        <w:t xml:space="preserve">. </w:t>
      </w:r>
    </w:p>
    <w:p w14:paraId="634B2314" w14:textId="51E8C2B2" w:rsidR="00410C41" w:rsidRPr="003E3043" w:rsidRDefault="00410C41" w:rsidP="00924FB8">
      <w:pPr>
        <w:pStyle w:val="JuryInstructionText"/>
      </w:pPr>
      <w:r w:rsidRPr="003E3043">
        <w:t xml:space="preserve">Let me explain these two </w:t>
      </w:r>
      <w:r>
        <w:t xml:space="preserve">things </w:t>
      </w:r>
      <w:r w:rsidRPr="003E3043">
        <w:t>in more detail.</w:t>
      </w:r>
    </w:p>
    <w:p w14:paraId="548D8F0E" w14:textId="38624444" w:rsidR="00410C41" w:rsidRDefault="00410C41" w:rsidP="00924FB8">
      <w:pPr>
        <w:pStyle w:val="JuryInstructionText"/>
      </w:pPr>
      <w:r w:rsidRPr="003E3043">
        <w:t xml:space="preserve">First, [PLF] [DFT] must prove [DFT’s] [PLF’s] </w:t>
      </w:r>
      <w:r w:rsidRPr="004377FF">
        <w:t>coercive</w:t>
      </w:r>
      <w:r w:rsidRPr="003E3043">
        <w:t xml:space="preserve"> acts</w:t>
      </w:r>
      <w:r>
        <w:t xml:space="preserve">, such as acts of bullying or intimidation, </w:t>
      </w:r>
      <w:r w:rsidRPr="003E3043">
        <w:t>or threats</w:t>
      </w:r>
      <w:r w:rsidR="00AB266D">
        <w:t xml:space="preserve">. </w:t>
      </w:r>
      <w:r w:rsidRPr="003E3043">
        <w:t xml:space="preserve">S/he does not, however, have to prove </w:t>
      </w:r>
      <w:r>
        <w:t xml:space="preserve">[PLF] [DFT] made </w:t>
      </w:r>
      <w:r w:rsidRPr="003E3043">
        <w:t xml:space="preserve">an </w:t>
      </w:r>
      <w:r w:rsidRPr="003E3043">
        <w:rPr>
          <w:u w:val="single"/>
        </w:rPr>
        <w:t>explicit</w:t>
      </w:r>
      <w:r w:rsidRPr="003E3043">
        <w:t xml:space="preserve"> threat relating to the [</w:t>
      </w:r>
      <w:r w:rsidRPr="00DA57FE">
        <w:rPr>
          <w:i/>
        </w:rPr>
        <w:t xml:space="preserve">insert conduct at issue, e.g., </w:t>
      </w:r>
      <w:r w:rsidRPr="001C2660">
        <w:rPr>
          <w:i/>
        </w:rPr>
        <w:t>filing of a lawsuit, other alleged action or inaction</w:t>
      </w:r>
      <w:r>
        <w:rPr>
          <w:i/>
        </w:rPr>
        <w:t>, etc.</w:t>
      </w:r>
      <w:r w:rsidRPr="003E3043">
        <w:t>].</w:t>
      </w:r>
      <w:r w:rsidRPr="003E3043">
        <w:rPr>
          <w:rStyle w:val="FootnoteReference"/>
          <w:rFonts w:cs="Segoe UI Historic"/>
        </w:rPr>
        <w:footnoteReference w:id="15"/>
      </w:r>
      <w:r w:rsidRPr="003E3043">
        <w:t xml:space="preserve"> [PLF] [DFT] only has to show that, considering all the circumstances, [DFT’s] [PLF’s] acts and statements amounted to </w:t>
      </w:r>
      <w:r w:rsidRPr="004377FF">
        <w:t>coercion</w:t>
      </w:r>
      <w:r w:rsidRPr="003E3043">
        <w:t xml:space="preserve"> or a threat against [PLF] [DFT] if s/he [</w:t>
      </w:r>
      <w:r w:rsidRPr="00DA57FE">
        <w:rPr>
          <w:i/>
        </w:rPr>
        <w:t xml:space="preserve">insert conduct at issue, e.g., </w:t>
      </w:r>
      <w:r w:rsidRPr="001C2660">
        <w:rPr>
          <w:i/>
        </w:rPr>
        <w:t>filed a lawsuit, other alleged action or inaction</w:t>
      </w:r>
      <w:r>
        <w:rPr>
          <w:i/>
        </w:rPr>
        <w:t>, etc.</w:t>
      </w:r>
      <w:r w:rsidRPr="003E3043">
        <w:t>].</w:t>
      </w:r>
    </w:p>
    <w:p w14:paraId="55B5EF4A" w14:textId="6A9434F6" w:rsidR="00410C41" w:rsidRPr="003E3043" w:rsidRDefault="00410C41" w:rsidP="00924FB8">
      <w:pPr>
        <w:pStyle w:val="JuryInstructionText"/>
      </w:pPr>
      <w:r w:rsidRPr="003E3043">
        <w:t>Second, [PLF] [DFT] must show that [DFT’s] [PLF’s] actions</w:t>
      </w:r>
      <w:r>
        <w:t xml:space="preserve"> or </w:t>
      </w:r>
      <w:r w:rsidRPr="003E3043">
        <w:t>threats in fact overcame his/her will</w:t>
      </w:r>
      <w:r w:rsidR="00AB266D">
        <w:t xml:space="preserve">. </w:t>
      </w:r>
      <w:r w:rsidRPr="003E3043">
        <w:t xml:space="preserve">S/he does not have to show </w:t>
      </w:r>
      <w:r w:rsidRPr="003E3043">
        <w:rPr>
          <w:u w:val="single"/>
        </w:rPr>
        <w:t>how</w:t>
      </w:r>
      <w:r w:rsidRPr="003E3043">
        <w:t xml:space="preserve"> </w:t>
      </w:r>
      <w:r>
        <w:t xml:space="preserve">s/he </w:t>
      </w:r>
      <w:r w:rsidRPr="003E3043">
        <w:t xml:space="preserve">overcame </w:t>
      </w:r>
      <w:r>
        <w:t>[PLF’s] [DFT’s]</w:t>
      </w:r>
      <w:r w:rsidRPr="003E3043">
        <w:t xml:space="preserve"> will, </w:t>
      </w:r>
      <w:proofErr w:type="gramStart"/>
      <w:r w:rsidRPr="003E3043">
        <w:t>as long as</w:t>
      </w:r>
      <w:proofErr w:type="gramEnd"/>
      <w:r w:rsidRPr="003E3043">
        <w:t xml:space="preserve"> [DFT’s] [PLF’s] conduct actually overcame [PLF’s] [DFT’s] will.</w:t>
      </w:r>
      <w:r w:rsidRPr="00A15DC9">
        <w:rPr>
          <w:vertAlign w:val="superscript"/>
        </w:rPr>
        <w:footnoteReference w:id="16"/>
      </w:r>
      <w:r>
        <w:t xml:space="preserve"> </w:t>
      </w:r>
      <w:r w:rsidRPr="003E3043">
        <w:t xml:space="preserve">On this question, you must consider [PLF’s] [DFT’s] mind and will in the condition in which [DFT] [PLF] found </w:t>
      </w:r>
      <w:r>
        <w:t>him/</w:t>
      </w:r>
      <w:r w:rsidRPr="003E3043">
        <w:t xml:space="preserve">her. It does </w:t>
      </w:r>
      <w:r w:rsidRPr="003E3043">
        <w:lastRenderedPageBreak/>
        <w:t xml:space="preserve">not matter whether [DFT’s] [PLF’s] acts or threats would have overcome the will of a person of ordinary courage and firmness. You must determine whether the </w:t>
      </w:r>
      <w:r>
        <w:t xml:space="preserve">acts or </w:t>
      </w:r>
      <w:r w:rsidRPr="003E3043">
        <w:t>threats were sufficient to overcome the will of this particular [PLF] [DFT].</w:t>
      </w:r>
      <w:r w:rsidRPr="003E3043">
        <w:rPr>
          <w:rStyle w:val="FootnoteReference"/>
          <w:rFonts w:cs="Segoe UI Historic"/>
        </w:rPr>
        <w:footnoteReference w:id="17"/>
      </w:r>
    </w:p>
    <w:p w14:paraId="3FA9D69B" w14:textId="126E3F0B" w:rsidR="00410C41" w:rsidRPr="003E3043" w:rsidRDefault="00410C41" w:rsidP="00924FB8">
      <w:pPr>
        <w:pStyle w:val="JuryInstructionText"/>
      </w:pPr>
      <w:r w:rsidRPr="003E3043">
        <w:t>&lt;</w:t>
      </w:r>
      <w:r w:rsidRPr="00762BE0">
        <w:rPr>
          <w:b/>
          <w:i/>
          <w:iCs/>
        </w:rPr>
        <w:t>If alleged inaction or action resulting from the duress was continuous</w:t>
      </w:r>
      <w:r w:rsidRPr="003E3043">
        <w:t>&gt; You must also consider how long the duress continued. In order to excuse the [</w:t>
      </w:r>
      <w:r w:rsidRPr="00DA57FE">
        <w:t xml:space="preserve">insert conduct at issue, e.g., </w:t>
      </w:r>
      <w:r w:rsidRPr="008C6431">
        <w:t>filing of a complaint more than x years after discovery of PLF’s claims</w:t>
      </w:r>
      <w:r>
        <w:t>, other inaction, etc.</w:t>
      </w:r>
      <w:r w:rsidRPr="003E3043">
        <w:t>], the duress must have operated continuously upon [PLF’s] [DFT’s] mind.</w:t>
      </w:r>
      <w:r>
        <w:rPr>
          <w:rStyle w:val="FootnoteReference"/>
          <w:rFonts w:cs="Segoe UI Historic"/>
        </w:rPr>
        <w:footnoteReference w:id="18"/>
      </w:r>
      <w:r w:rsidRPr="003E3043">
        <w:t xml:space="preserve"> That is, it must have started some time before [</w:t>
      </w:r>
      <w:r w:rsidRPr="00DA57FE">
        <w:t xml:space="preserve">insert </w:t>
      </w:r>
      <w:r>
        <w:t xml:space="preserve">event </w:t>
      </w:r>
      <w:r w:rsidRPr="00DA57FE">
        <w:t xml:space="preserve">at issue, e.g., </w:t>
      </w:r>
      <w:r w:rsidRPr="008C6431">
        <w:t>cause of action accrued</w:t>
      </w:r>
      <w:r>
        <w:t>, or describe other relevant time period, etc.</w:t>
      </w:r>
      <w:r w:rsidRPr="003E3043">
        <w:t xml:space="preserve">] </w:t>
      </w:r>
      <w:r>
        <w:t xml:space="preserve">and </w:t>
      </w:r>
      <w:r w:rsidRPr="003E3043">
        <w:t>operated continuously from that time until at least [</w:t>
      </w:r>
      <w:r w:rsidRPr="00DA57FE">
        <w:t xml:space="preserve">insert </w:t>
      </w:r>
      <w:r>
        <w:t>event</w:t>
      </w:r>
      <w:r w:rsidRPr="00DA57FE">
        <w:t xml:space="preserve"> at issue, e.g., </w:t>
      </w:r>
      <w:r w:rsidRPr="008C6431">
        <w:t>commencement of the limitations period</w:t>
      </w:r>
      <w:r>
        <w:t xml:space="preserve">, </w:t>
      </w:r>
      <w:r w:rsidRPr="008C6431">
        <w:t>other date</w:t>
      </w:r>
      <w:r>
        <w:t>, etc.].</w:t>
      </w:r>
    </w:p>
    <w:p w14:paraId="719AC149" w14:textId="3B39C511" w:rsidR="00410C41" w:rsidRDefault="00410C41" w:rsidP="00924FB8">
      <w:pPr>
        <w:pStyle w:val="JuryInstructionText"/>
      </w:pPr>
      <w:r w:rsidRPr="003E3043">
        <w:t>&lt;</w:t>
      </w:r>
      <w:r>
        <w:rPr>
          <w:b/>
          <w:i/>
        </w:rPr>
        <w:t>Ve</w:t>
      </w:r>
      <w:r w:rsidRPr="00EC1E22">
        <w:rPr>
          <w:b/>
          <w:i/>
        </w:rPr>
        <w:t>rdict slip</w:t>
      </w:r>
      <w:r w:rsidRPr="003E3043">
        <w:t xml:space="preserve">&gt; </w:t>
      </w:r>
      <w:r>
        <w:t>I</w:t>
      </w:r>
      <w:r w:rsidRPr="003E3043">
        <w:t xml:space="preserve">f you find that, more likely than not, [DFT’s] [PLF’s] </w:t>
      </w:r>
      <w:r>
        <w:t xml:space="preserve">threats or </w:t>
      </w:r>
      <w:r w:rsidRPr="003E3043">
        <w:t>acts overcame [PLF’s] [DFT’s] mind and will to the point where s/he co</w:t>
      </w:r>
      <w:r>
        <w:t>uld not [</w:t>
      </w:r>
      <w:r w:rsidRPr="00DA57FE">
        <w:rPr>
          <w:i/>
        </w:rPr>
        <w:t xml:space="preserve">insert conduct at issue, e.g., </w:t>
      </w:r>
      <w:r w:rsidRPr="006873A8">
        <w:rPr>
          <w:i/>
        </w:rPr>
        <w:t>file a lawsuit before limitations date</w:t>
      </w:r>
      <w:r>
        <w:rPr>
          <w:i/>
        </w:rPr>
        <w:t xml:space="preserve">; </w:t>
      </w:r>
      <w:r w:rsidRPr="006873A8">
        <w:rPr>
          <w:i/>
        </w:rPr>
        <w:t>describe act</w:t>
      </w:r>
      <w:r>
        <w:rPr>
          <w:i/>
        </w:rPr>
        <w:t>, etc.</w:t>
      </w:r>
      <w:r w:rsidRPr="003E3043">
        <w:t xml:space="preserve">], then you would answer question 1 “yes” </w:t>
      </w:r>
      <w:r>
        <w:t xml:space="preserve">on the Verdict Slip </w:t>
      </w:r>
      <w:r w:rsidRPr="003E3043">
        <w:t xml:space="preserve">and </w:t>
      </w:r>
      <w:r>
        <w:t xml:space="preserve">then you </w:t>
      </w:r>
      <w:r w:rsidRPr="003E3043">
        <w:t>move on to question 2</w:t>
      </w:r>
      <w:r w:rsidR="00AB266D">
        <w:t xml:space="preserve">. </w:t>
      </w:r>
      <w:r w:rsidRPr="003E3043">
        <w:t xml:space="preserve">If you do not so find, you answer question 1 “no” </w:t>
      </w:r>
      <w:r>
        <w:t xml:space="preserve">on the verdict slip </w:t>
      </w:r>
      <w:r w:rsidRPr="003E3043">
        <w:t xml:space="preserve">and follow the instructions </w:t>
      </w:r>
      <w:r>
        <w:t>after question</w:t>
      </w:r>
      <w:r w:rsidR="00762BE0">
        <w:t> </w:t>
      </w:r>
      <w:r>
        <w:t>1</w:t>
      </w:r>
      <w:r w:rsidRPr="003E3043">
        <w:t>.</w:t>
      </w:r>
      <w:r>
        <w:t xml:space="preserve"> </w:t>
      </w:r>
    </w:p>
    <w:p w14:paraId="58F60A93" w14:textId="0993D670" w:rsidR="00410C41" w:rsidRDefault="00410C41" w:rsidP="004A3ABB">
      <w:pPr>
        <w:pStyle w:val="JuryInst3"/>
      </w:pPr>
      <w:r>
        <w:tab/>
      </w:r>
      <w:r w:rsidRPr="00EC1E22">
        <w:t>Economic Duress</w:t>
      </w:r>
      <w:r w:rsidRPr="009F2D6B">
        <w:rPr>
          <w:rStyle w:val="FootnoteReference"/>
          <w:rFonts w:cs="Segoe UI Historic"/>
        </w:rPr>
        <w:footnoteReference w:id="19"/>
      </w:r>
      <w:r w:rsidRPr="009F2D6B">
        <w:t xml:space="preserve"> </w:t>
      </w:r>
    </w:p>
    <w:p w14:paraId="72008962" w14:textId="07963526" w:rsidR="00410C41" w:rsidRPr="00956F99" w:rsidRDefault="00410C41" w:rsidP="00924FB8">
      <w:pPr>
        <w:pStyle w:val="JuryInstructionText"/>
      </w:pPr>
      <w:r w:rsidRPr="00956F99">
        <w:t>DFT claims that s/he/it did not [</w:t>
      </w:r>
      <w:r w:rsidRPr="00956F99">
        <w:rPr>
          <w:i/>
        </w:rPr>
        <w:t>insert conduct at issue, e.g., agree, waive, etc.</w:t>
      </w:r>
      <w:r w:rsidRPr="00956F99">
        <w:t>] because PLF forced DFT to [</w:t>
      </w:r>
      <w:r w:rsidRPr="00956F99">
        <w:rPr>
          <w:i/>
        </w:rPr>
        <w:t>insert conduct at issue,</w:t>
      </w:r>
      <w:r w:rsidRPr="00956F99">
        <w:t xml:space="preserve">] through what we call “economic duress.”  </w:t>
      </w:r>
    </w:p>
    <w:p w14:paraId="19A36898" w14:textId="2158F6D4" w:rsidR="00410C41" w:rsidRPr="00956F99" w:rsidRDefault="00410C41" w:rsidP="00924FB8">
      <w:pPr>
        <w:pStyle w:val="JuryInstructionText"/>
      </w:pPr>
      <w:r w:rsidRPr="00956F99">
        <w:lastRenderedPageBreak/>
        <w:t>To prove this defense, DFT must prove</w:t>
      </w:r>
      <w:r w:rsidR="00762BE0">
        <w:t xml:space="preserve"> that</w:t>
      </w:r>
      <w:r w:rsidRPr="00956F99">
        <w:t>, more likely than not, three things are true:</w:t>
      </w:r>
    </w:p>
    <w:p w14:paraId="2CF04997" w14:textId="6D01D4FE" w:rsidR="00410C41" w:rsidRPr="00956F99" w:rsidRDefault="00410C41" w:rsidP="00924FB8">
      <w:pPr>
        <w:pStyle w:val="JuryInstructionElements"/>
      </w:pPr>
      <w:r w:rsidRPr="00956F99">
        <w:t>1.</w:t>
      </w:r>
      <w:r w:rsidR="00924FB8">
        <w:tab/>
      </w:r>
      <w:r w:rsidRPr="00956F99">
        <w:t>DFT did not voluntarily [</w:t>
      </w:r>
      <w:r w:rsidRPr="00956F99">
        <w:rPr>
          <w:i/>
        </w:rPr>
        <w:t>insert action</w:t>
      </w:r>
      <w:r w:rsidRPr="00956F99">
        <w:t>].</w:t>
      </w:r>
    </w:p>
    <w:p w14:paraId="1943EC71" w14:textId="7A54F407" w:rsidR="00410C41" w:rsidRPr="00A843AE" w:rsidRDefault="00410C41" w:rsidP="00924FB8">
      <w:pPr>
        <w:pStyle w:val="JuryInstructionElements"/>
      </w:pPr>
      <w:r w:rsidRPr="00A843AE">
        <w:t>2.</w:t>
      </w:r>
      <w:r w:rsidR="00924FB8">
        <w:tab/>
      </w:r>
      <w:r w:rsidRPr="00A843AE">
        <w:t xml:space="preserve">DFT </w:t>
      </w:r>
      <w:r>
        <w:t>[</w:t>
      </w:r>
      <w:r w:rsidRPr="00EC1E22">
        <w:rPr>
          <w:i/>
        </w:rPr>
        <w:t>insert action</w:t>
      </w:r>
      <w:r>
        <w:t>]</w:t>
      </w:r>
      <w:r w:rsidRPr="00A843AE">
        <w:t xml:space="preserve"> because the circumstances left him/her/it no other </w:t>
      </w:r>
      <w:r>
        <w:t xml:space="preserve">feasible </w:t>
      </w:r>
      <w:r w:rsidRPr="00A843AE">
        <w:t>alternative.</w:t>
      </w:r>
    </w:p>
    <w:p w14:paraId="5DD26292" w14:textId="2822B624" w:rsidR="00410C41" w:rsidRPr="00A843AE" w:rsidRDefault="00410C41" w:rsidP="00924FB8">
      <w:pPr>
        <w:pStyle w:val="JuryInstructionElements"/>
      </w:pPr>
      <w:r w:rsidRPr="00A843AE">
        <w:t>3.</w:t>
      </w:r>
      <w:r w:rsidR="00924FB8">
        <w:tab/>
      </w:r>
      <w:r w:rsidRPr="00A843AE">
        <w:t>PLF acted unfairly and through coercion to create those circumstances.</w:t>
      </w:r>
      <w:r w:rsidRPr="00A843AE">
        <w:rPr>
          <w:rStyle w:val="FootnoteReference"/>
        </w:rPr>
        <w:footnoteReference w:id="20"/>
      </w:r>
    </w:p>
    <w:p w14:paraId="6B1C6BBB" w14:textId="4497AA0D" w:rsidR="00410C41" w:rsidRPr="00A843AE" w:rsidRDefault="00410C41" w:rsidP="00924FB8">
      <w:pPr>
        <w:pStyle w:val="JuryInstructionText"/>
      </w:pPr>
      <w:r>
        <w:t>Hard bargaining, using unequal bargaining power, or</w:t>
      </w:r>
      <w:r w:rsidRPr="00A843AE">
        <w:t xml:space="preserve"> </w:t>
      </w:r>
      <w:r>
        <w:t xml:space="preserve">taking advantage of </w:t>
      </w:r>
      <w:r w:rsidRPr="00A843AE">
        <w:t>DFT’s financial difficulty is not duress</w:t>
      </w:r>
      <w:r w:rsidR="00AB266D">
        <w:t xml:space="preserve">. </w:t>
      </w:r>
      <w:r w:rsidRPr="00A843AE">
        <w:t xml:space="preserve">Nor is it enough for DFT to prove economic necessity or other difficulty resulting from mismanagement or poor business judgment. Rather, DFT must prove that </w:t>
      </w:r>
      <w:r>
        <w:t xml:space="preserve">her/his/its </w:t>
      </w:r>
      <w:r w:rsidRPr="00A843AE">
        <w:t>financial difficulty resulted from PLF’s</w:t>
      </w:r>
      <w:r>
        <w:t xml:space="preserve"> </w:t>
      </w:r>
      <w:r w:rsidRPr="00A843AE">
        <w:t>unfair and coercive conduct</w:t>
      </w:r>
      <w:r>
        <w:t>, which left DFT no feasible alternative but to [</w:t>
      </w:r>
      <w:r w:rsidRPr="004657A0">
        <w:rPr>
          <w:i/>
        </w:rPr>
        <w:t>insert action</w:t>
      </w:r>
      <w:r>
        <w:t>]</w:t>
      </w:r>
      <w:r w:rsidRPr="00A843AE">
        <w:t xml:space="preserve">. </w:t>
      </w:r>
    </w:p>
    <w:p w14:paraId="3C5DC5F7" w14:textId="70E62E97" w:rsidR="00410C41" w:rsidRPr="003E3043" w:rsidRDefault="00410C41" w:rsidP="004A3ABB">
      <w:pPr>
        <w:pStyle w:val="JuryInst3"/>
      </w:pPr>
      <w:r>
        <w:tab/>
      </w:r>
      <w:r w:rsidRPr="00EC1E22">
        <w:t>Should Have Known</w:t>
      </w:r>
    </w:p>
    <w:p w14:paraId="74807742" w14:textId="499654F6" w:rsidR="00410C41" w:rsidRPr="003E3043" w:rsidRDefault="00410C41" w:rsidP="00924FB8">
      <w:pPr>
        <w:pStyle w:val="JuryInstructionText"/>
      </w:pPr>
      <w:r w:rsidRPr="003E3043">
        <w:t xml:space="preserve">[PLF][DFT] should have known a fact if a reasonable person in </w:t>
      </w:r>
      <w:r>
        <w:t xml:space="preserve">her/his/its </w:t>
      </w:r>
      <w:r w:rsidRPr="003E3043">
        <w:t xml:space="preserve">position would have known that fact in the circumstances </w:t>
      </w:r>
      <w:r>
        <w:t>s/he/it</w:t>
      </w:r>
      <w:r w:rsidRPr="003E3043">
        <w:t xml:space="preserve"> experienced</w:t>
      </w:r>
      <w:r>
        <w:t xml:space="preserve"> </w:t>
      </w:r>
      <w:r w:rsidRPr="00AC53A8">
        <w:t>at the time</w:t>
      </w:r>
      <w:r w:rsidRPr="003E3043">
        <w:t xml:space="preserve">. You must consider any impact that the events in this case would normally have had on someone. Your decision on </w:t>
      </w:r>
      <w:r w:rsidRPr="00AC53A8">
        <w:t xml:space="preserve">the issue of whether a reasonable person would have known the fact </w:t>
      </w:r>
      <w:r w:rsidRPr="003E3043">
        <w:t xml:space="preserve">does not depend upon [PLF’s] [DFT’s] own capabilities or </w:t>
      </w:r>
      <w:r>
        <w:t xml:space="preserve">character </w:t>
      </w:r>
      <w:r w:rsidRPr="003E3043">
        <w:t>at the time.</w:t>
      </w:r>
      <w:r w:rsidRPr="003E3043">
        <w:rPr>
          <w:rStyle w:val="FootnoteReference"/>
          <w:rFonts w:cs="Segoe UI Historic"/>
        </w:rPr>
        <w:footnoteReference w:id="21"/>
      </w:r>
      <w:r w:rsidRPr="003E3043">
        <w:t xml:space="preserve">   </w:t>
      </w:r>
    </w:p>
    <w:p w14:paraId="7F6C19B5" w14:textId="416B4B1B" w:rsidR="00410C41" w:rsidRPr="003E3043" w:rsidRDefault="00410C41" w:rsidP="004A3ABB">
      <w:pPr>
        <w:pStyle w:val="JuryInst3"/>
      </w:pPr>
      <w:r>
        <w:tab/>
      </w:r>
      <w:r w:rsidRPr="00EC1E22">
        <w:t>On Notice</w:t>
      </w:r>
    </w:p>
    <w:p w14:paraId="712322F9" w14:textId="4C2D2CD0" w:rsidR="00410C41" w:rsidRDefault="00410C41" w:rsidP="00924FB8">
      <w:pPr>
        <w:pStyle w:val="JuryInstructionText"/>
      </w:pPr>
      <w:r w:rsidRPr="003E3043">
        <w:t>A person is on notice of a [</w:t>
      </w:r>
      <w:r w:rsidRPr="002F1568">
        <w:t xml:space="preserve">insert </w:t>
      </w:r>
      <w:r w:rsidRPr="003E3043">
        <w:t>particular fact, claim, right, etc.</w:t>
      </w:r>
      <w:r>
        <w:t>, at issue</w:t>
      </w:r>
      <w:r w:rsidRPr="003E3043">
        <w:t>] if s/he knew or should have known about the [</w:t>
      </w:r>
      <w:r w:rsidRPr="002F1568">
        <w:t xml:space="preserve">insert particular fact, claim, </w:t>
      </w:r>
      <w:r w:rsidRPr="002F1568">
        <w:lastRenderedPageBreak/>
        <w:t>right, etc., at issue</w:t>
      </w:r>
      <w:r>
        <w:t>]</w:t>
      </w:r>
      <w:r w:rsidRPr="003E3043">
        <w:t>.</w:t>
      </w:r>
      <w:r>
        <w:rPr>
          <w:rStyle w:val="FootnoteReference"/>
          <w:rFonts w:cs="Segoe UI Historic"/>
        </w:rPr>
        <w:footnoteReference w:id="22"/>
      </w:r>
      <w:r w:rsidRPr="003E3043">
        <w:t xml:space="preserve"> A person is also on notice of a [</w:t>
      </w:r>
      <w:r w:rsidRPr="002F1568">
        <w:t xml:space="preserve">insert </w:t>
      </w:r>
      <w:r w:rsidRPr="003E3043">
        <w:t>particular fact, claim, right, etc.</w:t>
      </w:r>
      <w:r>
        <w:t>, at issue</w:t>
      </w:r>
      <w:r w:rsidRPr="003E3043">
        <w:t>] if the events made it reasonably likely that s/he would become aware of his/her [</w:t>
      </w:r>
      <w:r w:rsidRPr="002F1568">
        <w:t xml:space="preserve">insert </w:t>
      </w:r>
      <w:r w:rsidRPr="003E3043">
        <w:t>particular fact, claim, right, etc.</w:t>
      </w:r>
      <w:r>
        <w:t>, at issue</w:t>
      </w:r>
      <w:r w:rsidRPr="003E3043">
        <w:t>] and could investigate the matter.</w:t>
      </w:r>
      <w:r w:rsidRPr="003E3043">
        <w:rPr>
          <w:rStyle w:val="FootnoteReference"/>
          <w:rFonts w:cs="Segoe UI Historic"/>
        </w:rPr>
        <w:footnoteReference w:id="23"/>
      </w:r>
    </w:p>
    <w:p w14:paraId="6C018BC9" w14:textId="7C00C917" w:rsidR="00410C41" w:rsidRPr="000A0C7E" w:rsidRDefault="00410C41" w:rsidP="004A3ABB">
      <w:pPr>
        <w:pStyle w:val="JuryInst3"/>
      </w:pPr>
      <w:r>
        <w:tab/>
      </w:r>
      <w:r w:rsidRPr="00F755D7">
        <w:t>Discovery Rule</w:t>
      </w:r>
      <w:r>
        <w:t xml:space="preserve"> - Statute of Limitations</w:t>
      </w:r>
      <w:r w:rsidRPr="005D06F7">
        <w:rPr>
          <w:rStyle w:val="FootnoteReference"/>
          <w:rFonts w:cs="Segoe UI Historic"/>
        </w:rPr>
        <w:footnoteReference w:id="24"/>
      </w:r>
    </w:p>
    <w:p w14:paraId="125C9C6D" w14:textId="452F772F" w:rsidR="00410C41" w:rsidRDefault="00410C41" w:rsidP="00924FB8">
      <w:pPr>
        <w:pStyle w:val="JuryInstructionText"/>
      </w:pPr>
      <w:r>
        <w:t>[</w:t>
      </w:r>
      <w:r w:rsidRPr="006B2935">
        <w:t>Insert applicable Statute of Limitations jury instruction pertaining to tort at issue</w:t>
      </w:r>
      <w:r>
        <w:t>].</w:t>
      </w:r>
      <w:r>
        <w:rPr>
          <w:rStyle w:val="FootnoteReference"/>
          <w:rFonts w:cs="Segoe UI Historic"/>
        </w:rPr>
        <w:footnoteReference w:id="25"/>
      </w:r>
    </w:p>
    <w:p w14:paraId="05E9C590" w14:textId="4A9D84C7" w:rsidR="00410C41" w:rsidRPr="00F755D7" w:rsidRDefault="00410C41" w:rsidP="00924FB8">
      <w:pPr>
        <w:pStyle w:val="JuryInstructionText"/>
      </w:pPr>
      <w:r>
        <w:t>A</w:t>
      </w:r>
      <w:r w:rsidRPr="00F755D7">
        <w:t>s a defense in this action, DFT contends that PLF</w:t>
      </w:r>
      <w:r>
        <w:t xml:space="preserve"> did not file his/her/its</w:t>
      </w:r>
      <w:r w:rsidRPr="00F755D7">
        <w:t xml:space="preserve"> lawsuit within the time set by law</w:t>
      </w:r>
      <w:r w:rsidR="00AB266D">
        <w:t xml:space="preserve">. </w:t>
      </w:r>
      <w:r w:rsidRPr="00F755D7">
        <w:t>DFT must prove</w:t>
      </w:r>
      <w:r>
        <w:t>,</w:t>
      </w:r>
      <w:r w:rsidRPr="00F755D7">
        <w:t xml:space="preserve"> more likely than not</w:t>
      </w:r>
      <w:r>
        <w:t>,</w:t>
      </w:r>
      <w:r w:rsidRPr="00F755D7">
        <w:t xml:space="preserve"> that the </w:t>
      </w:r>
      <w:r>
        <w:t xml:space="preserve">PLF’s </w:t>
      </w:r>
      <w:r w:rsidRPr="00F755D7">
        <w:t xml:space="preserve">harm occurred before [insert applicable date]. </w:t>
      </w:r>
    </w:p>
    <w:p w14:paraId="744CCF1F" w14:textId="0E2445DE" w:rsidR="00410C41" w:rsidRPr="00F755D7" w:rsidRDefault="00410C41" w:rsidP="00924FB8">
      <w:pPr>
        <w:pStyle w:val="JuryInstructionText"/>
      </w:pPr>
      <w:r w:rsidRPr="00F755D7">
        <w:t>But, even if DFT proves that PLF’s harm occurred before [insert applicable date], PLF</w:t>
      </w:r>
      <w:r>
        <w:t xml:space="preserve"> still filed this</w:t>
      </w:r>
      <w:r w:rsidRPr="00F755D7">
        <w:t xml:space="preserve"> lawsuit  on time if PLF proves</w:t>
      </w:r>
      <w:r>
        <w:t>,</w:t>
      </w:r>
      <w:r w:rsidRPr="00F755D7">
        <w:t xml:space="preserve"> more likely than not</w:t>
      </w:r>
      <w:r>
        <w:t>,</w:t>
      </w:r>
      <w:r w:rsidRPr="00F755D7">
        <w:t xml:space="preserve"> that before [insert applicable date three/six years, etc., before action was filed] two things</w:t>
      </w:r>
      <w:r>
        <w:t xml:space="preserve"> were true</w:t>
      </w:r>
      <w:r w:rsidRPr="00F755D7">
        <w:t>:</w:t>
      </w:r>
    </w:p>
    <w:p w14:paraId="41B2BFBD" w14:textId="5FE4C539" w:rsidR="00410C41" w:rsidRPr="00F755D7" w:rsidRDefault="00410C41" w:rsidP="00924FB8">
      <w:pPr>
        <w:pStyle w:val="JuryInstructionElements"/>
      </w:pPr>
      <w:r w:rsidRPr="00F755D7">
        <w:t>1.</w:t>
      </w:r>
      <w:r w:rsidR="00924FB8">
        <w:tab/>
      </w:r>
      <w:r>
        <w:t xml:space="preserve">PLF </w:t>
      </w:r>
      <w:r w:rsidRPr="006B2935">
        <w:t>did not know, and could not reasonably have known</w:t>
      </w:r>
      <w:r>
        <w:t>, t</w:t>
      </w:r>
      <w:r w:rsidRPr="00F755D7">
        <w:t>hat s/he had been harmed; and</w:t>
      </w:r>
      <w:r>
        <w:t>,</w:t>
      </w:r>
    </w:p>
    <w:p w14:paraId="017289A9" w14:textId="6B960AF4" w:rsidR="00410C41" w:rsidRPr="00F755D7" w:rsidRDefault="00410C41" w:rsidP="00924FB8">
      <w:pPr>
        <w:pStyle w:val="JuryInstructionElements"/>
      </w:pPr>
      <w:r w:rsidRPr="00F755D7">
        <w:t>2.</w:t>
      </w:r>
      <w:r w:rsidR="00924FB8">
        <w:tab/>
      </w:r>
      <w:r w:rsidRPr="006B2935">
        <w:t>PLF did not know, and could not reasonably have known, that</w:t>
      </w:r>
      <w:r w:rsidRPr="00F755D7">
        <w:t xml:space="preserve"> DFT</w:t>
      </w:r>
      <w:r>
        <w:t>’s conduct may have caused the harm</w:t>
      </w:r>
      <w:r w:rsidRPr="00F755D7">
        <w:t>.</w:t>
      </w:r>
    </w:p>
    <w:p w14:paraId="2217BD43" w14:textId="32A2BD8C" w:rsidR="00410C41" w:rsidRDefault="00410C41" w:rsidP="00924FB8">
      <w:pPr>
        <w:pStyle w:val="JuryInstructionText"/>
      </w:pPr>
      <w:r>
        <w:lastRenderedPageBreak/>
        <w:t xml:space="preserve">With respect to the first thing, it is not enough for PLF to prove that s/he/it did not </w:t>
      </w:r>
      <w:r w:rsidRPr="00450D3E">
        <w:t xml:space="preserve">know the full extent of </w:t>
      </w:r>
      <w:r>
        <w:t xml:space="preserve">the harm s/he suffered </w:t>
      </w:r>
      <w:r w:rsidRPr="00450D3E">
        <w:t xml:space="preserve">before </w:t>
      </w:r>
      <w:r w:rsidRPr="00F755D7">
        <w:t>[</w:t>
      </w:r>
      <w:r w:rsidRPr="00F755D7">
        <w:rPr>
          <w:i/>
        </w:rPr>
        <w:t>insert applicable date</w:t>
      </w:r>
      <w:r w:rsidRPr="00F755D7">
        <w:t>]</w:t>
      </w:r>
      <w:r>
        <w:t>. But, PLF must prove that, at the time, s/he could not have reasonably known that she suffered enough harm to put her/him on notice to investigate the cause of her/his harm.</w:t>
      </w:r>
      <w:r w:rsidR="00674DDB">
        <w:rPr>
          <w:rStyle w:val="FootnoteReference"/>
        </w:rPr>
        <w:footnoteReference w:id="26"/>
      </w:r>
    </w:p>
    <w:sectPr w:rsidR="00410C41"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7839" w14:textId="77777777" w:rsidR="00100921" w:rsidRDefault="00100921" w:rsidP="00F74A90">
      <w:r>
        <w:separator/>
      </w:r>
    </w:p>
  </w:endnote>
  <w:endnote w:type="continuationSeparator" w:id="0">
    <w:p w14:paraId="53C49DE8" w14:textId="77777777" w:rsidR="00100921" w:rsidRDefault="00100921"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8B45" w14:textId="77777777" w:rsidR="00100921" w:rsidRDefault="00100921" w:rsidP="00F74A90">
      <w:r>
        <w:separator/>
      </w:r>
    </w:p>
  </w:footnote>
  <w:footnote w:type="continuationSeparator" w:id="0">
    <w:p w14:paraId="7E6A4C3D" w14:textId="77777777" w:rsidR="00100921" w:rsidRDefault="00100921" w:rsidP="00F74A90">
      <w:r>
        <w:continuationSeparator/>
      </w:r>
    </w:p>
  </w:footnote>
  <w:footnote w:id="1">
    <w:p w14:paraId="03C474E8" w14:textId="1924A3E7" w:rsidR="00410C41" w:rsidRPr="0013146C" w:rsidRDefault="00410C41" w:rsidP="00410C41">
      <w:pPr>
        <w:pStyle w:val="FootnoteText"/>
        <w:rPr>
          <w:rFonts w:cs="Segoe UI Historic"/>
        </w:rPr>
      </w:pPr>
      <w:r w:rsidRPr="0013146C">
        <w:rPr>
          <w:rStyle w:val="FootnoteReference"/>
          <w:rFonts w:cs="Segoe UI Historic"/>
        </w:rPr>
        <w:footnoteRef/>
      </w:r>
      <w:r w:rsidRPr="0013146C">
        <w:rPr>
          <w:rFonts w:cs="Segoe UI Historic"/>
        </w:rPr>
        <w:t xml:space="preserve"> </w:t>
      </w:r>
      <w:r w:rsidR="009801CB">
        <w:rPr>
          <w:rFonts w:cs="Segoe UI Historic"/>
        </w:rPr>
        <w:tab/>
      </w:r>
      <w:r w:rsidRPr="0013146C">
        <w:rPr>
          <w:rFonts w:cs="Segoe UI Historic"/>
        </w:rPr>
        <w:t xml:space="preserve">Restatement of the Law, Torts 2d, § 8A; </w:t>
      </w:r>
      <w:r w:rsidRPr="009801CB">
        <w:rPr>
          <w:rFonts w:cs="Segoe UI Historic"/>
        </w:rPr>
        <w:t>see also</w:t>
      </w:r>
      <w:r w:rsidRPr="0013146C">
        <w:rPr>
          <w:rFonts w:cs="Segoe UI Historic"/>
        </w:rPr>
        <w:t xml:space="preserve"> </w:t>
      </w:r>
      <w:r w:rsidRPr="009801CB">
        <w:rPr>
          <w:rFonts w:cs="Segoe UI Historic"/>
          <w:i/>
        </w:rPr>
        <w:t>Still</w:t>
      </w:r>
      <w:r w:rsidR="009801CB" w:rsidRPr="009801CB">
        <w:rPr>
          <w:rFonts w:cs="Segoe UI Historic"/>
        </w:rPr>
        <w:t xml:space="preserve"> v. </w:t>
      </w:r>
      <w:r w:rsidRPr="009801CB">
        <w:rPr>
          <w:rFonts w:cs="Segoe UI Historic"/>
          <w:i/>
        </w:rPr>
        <w:t xml:space="preserve">Commissioner of </w:t>
      </w:r>
      <w:proofErr w:type="spellStart"/>
      <w:r w:rsidRPr="009801CB">
        <w:rPr>
          <w:rFonts w:cs="Segoe UI Historic"/>
          <w:i/>
        </w:rPr>
        <w:t>Empl</w:t>
      </w:r>
      <w:proofErr w:type="spellEnd"/>
      <w:r w:rsidRPr="009801CB">
        <w:rPr>
          <w:rFonts w:cs="Segoe UI Historic"/>
          <w:i/>
        </w:rPr>
        <w:t>. &amp; Training</w:t>
      </w:r>
      <w:r w:rsidRPr="0013146C">
        <w:rPr>
          <w:rFonts w:cs="Segoe UI Historic"/>
        </w:rPr>
        <w:t>, 423</w:t>
      </w:r>
      <w:r w:rsidR="00AB266D">
        <w:rPr>
          <w:rFonts w:cs="Segoe UI Historic"/>
        </w:rPr>
        <w:t> </w:t>
      </w:r>
      <w:r w:rsidRPr="0013146C">
        <w:rPr>
          <w:rFonts w:cs="Segoe UI Historic"/>
        </w:rPr>
        <w:t xml:space="preserve">Mass. 805, 812 n.7 (1996) </w:t>
      </w:r>
      <w:r>
        <w:rPr>
          <w:rFonts w:cs="Segoe UI Historic"/>
        </w:rPr>
        <w:t>(</w:t>
      </w:r>
      <w:r w:rsidRPr="00D74863">
        <w:rPr>
          <w:rFonts w:cs="Segoe UI Historic"/>
        </w:rPr>
        <w:t>“</w:t>
      </w:r>
      <w:r>
        <w:rPr>
          <w:rFonts w:cs="Segoe UI Historic"/>
        </w:rPr>
        <w:t>’</w:t>
      </w:r>
      <w:r w:rsidRPr="00D74863">
        <w:rPr>
          <w:rFonts w:cs="Segoe UI Historic"/>
        </w:rPr>
        <w:t>The word ‘intent’ is used . . . to denote that the actor desires to cause consequences of his act, or that he believes that the consequences are substantially certain to result from it.’”) (quoting Restatement of Torts (Second) § 8A)</w:t>
      </w:r>
      <w:r w:rsidRPr="0013146C">
        <w:rPr>
          <w:rFonts w:cs="Segoe UI Historic"/>
        </w:rPr>
        <w:t xml:space="preserve">; </w:t>
      </w:r>
      <w:r w:rsidRPr="009801CB">
        <w:rPr>
          <w:rFonts w:cs="Segoe UI Historic"/>
          <w:i/>
        </w:rPr>
        <w:t>Breault</w:t>
      </w:r>
      <w:r w:rsidR="009801CB" w:rsidRPr="009801CB">
        <w:rPr>
          <w:rFonts w:cs="Segoe UI Historic"/>
        </w:rPr>
        <w:t xml:space="preserve"> v. </w:t>
      </w:r>
      <w:r w:rsidRPr="009801CB">
        <w:rPr>
          <w:rFonts w:cs="Segoe UI Historic"/>
          <w:i/>
        </w:rPr>
        <w:t>Chairman of Bd. of Fire Comm'rs</w:t>
      </w:r>
      <w:r w:rsidRPr="0013146C">
        <w:rPr>
          <w:rFonts w:cs="Segoe UI Historic"/>
        </w:rPr>
        <w:t xml:space="preserve">, </w:t>
      </w:r>
      <w:r>
        <w:rPr>
          <w:rFonts w:cs="Segoe UI Historic"/>
        </w:rPr>
        <w:t>401 Mass. 26, 36 n.12 (1987) (“‘</w:t>
      </w:r>
      <w:r w:rsidRPr="0013146C">
        <w:rPr>
          <w:rFonts w:cs="Segoe UI Historic"/>
        </w:rPr>
        <w:t>intentional’ in the tort sense [is when] ‘the actor desires to cause consequences of his act, or that he believes that the consequences are substantially certain to result from it.’”)</w:t>
      </w:r>
      <w:r>
        <w:rPr>
          <w:rFonts w:cs="Segoe UI Historic"/>
        </w:rPr>
        <w:t xml:space="preserve">; </w:t>
      </w:r>
      <w:r w:rsidRPr="009801CB">
        <w:rPr>
          <w:rFonts w:cs="Segoe UI Historic"/>
          <w:i/>
        </w:rPr>
        <w:t>Guzman</w:t>
      </w:r>
      <w:r w:rsidR="009801CB" w:rsidRPr="009801CB">
        <w:rPr>
          <w:rFonts w:cs="Segoe UI Historic"/>
        </w:rPr>
        <w:t xml:space="preserve"> v. </w:t>
      </w:r>
      <w:r w:rsidRPr="009801CB">
        <w:rPr>
          <w:rFonts w:cs="Segoe UI Historic"/>
          <w:i/>
        </w:rPr>
        <w:t>Pring-Wilson</w:t>
      </w:r>
      <w:r w:rsidRPr="00D21D9B">
        <w:rPr>
          <w:rFonts w:cs="Segoe UI Historic"/>
        </w:rPr>
        <w:t>, 81 Mass. App. Ct. 430, 435 – 436 (2012)</w:t>
      </w:r>
      <w:r>
        <w:rPr>
          <w:rFonts w:cs="Segoe UI Historic"/>
        </w:rPr>
        <w:t xml:space="preserve"> (noting that, when comparing negligence and intentional conduct, “</w:t>
      </w:r>
      <w:r w:rsidRPr="00A43D77">
        <w:rPr>
          <w:rFonts w:cs="Segoe UI Historic"/>
        </w:rPr>
        <w:t>If the actor intended the act, and the consequences, although unintended, were reasonably foreseeable, then liability for negligent conduct results.</w:t>
      </w:r>
      <w:r>
        <w:rPr>
          <w:rFonts w:cs="Segoe UI Historic"/>
        </w:rPr>
        <w:t xml:space="preserve"> . . . I</w:t>
      </w:r>
      <w:r w:rsidRPr="00D21D9B">
        <w:rPr>
          <w:rFonts w:cs="Segoe UI Historic"/>
        </w:rPr>
        <w:t xml:space="preserve">f the actor intended the act </w:t>
      </w:r>
      <w:proofErr w:type="gramStart"/>
      <w:r w:rsidRPr="00D21D9B">
        <w:rPr>
          <w:rFonts w:cs="Segoe UI Historic"/>
        </w:rPr>
        <w:t>and also</w:t>
      </w:r>
      <w:proofErr w:type="gramEnd"/>
      <w:r w:rsidRPr="00D21D9B">
        <w:rPr>
          <w:rFonts w:cs="Segoe UI Historic"/>
        </w:rPr>
        <w:t xml:space="preserve"> intended consequences of at least the general type that followed, then liability for intentional, not negligent, conduct will follow.</w:t>
      </w:r>
      <w:r>
        <w:rPr>
          <w:rFonts w:cs="Segoe UI Historic"/>
        </w:rPr>
        <w:t>”) (citations omitted)</w:t>
      </w:r>
      <w:r w:rsidRPr="00D21D9B">
        <w:rPr>
          <w:rFonts w:cs="Segoe UI Historic"/>
        </w:rPr>
        <w:t>.</w:t>
      </w:r>
    </w:p>
  </w:footnote>
  <w:footnote w:id="2">
    <w:p w14:paraId="22C5A4CA" w14:textId="16C01495" w:rsidR="00410C41" w:rsidRPr="00910B17" w:rsidRDefault="00410C41" w:rsidP="00410C41">
      <w:pPr>
        <w:pStyle w:val="FootnoteText"/>
        <w:rPr>
          <w:rFonts w:cs="Segoe UI Historic"/>
        </w:rPr>
      </w:pPr>
      <w:r w:rsidRPr="00597135">
        <w:rPr>
          <w:rStyle w:val="FootnoteReference"/>
          <w:rFonts w:cs="Segoe UI Historic"/>
        </w:rPr>
        <w:footnoteRef/>
      </w:r>
      <w:r w:rsidRPr="00597135">
        <w:rPr>
          <w:rFonts w:cs="Segoe UI Historic"/>
        </w:rPr>
        <w:t xml:space="preserve"> </w:t>
      </w:r>
      <w:r w:rsidR="009801CB">
        <w:rPr>
          <w:rFonts w:cs="Segoe UI Historic"/>
        </w:rPr>
        <w:tab/>
      </w:r>
      <w:r w:rsidRPr="00597135">
        <w:rPr>
          <w:rFonts w:cs="Segoe UI Historic"/>
        </w:rPr>
        <w:t xml:space="preserve">See </w:t>
      </w:r>
      <w:r w:rsidRPr="009801CB">
        <w:rPr>
          <w:rFonts w:cs="Segoe UI Historic"/>
          <w:i/>
        </w:rPr>
        <w:t>Commonwealth</w:t>
      </w:r>
      <w:r w:rsidR="009801CB" w:rsidRPr="009801CB">
        <w:rPr>
          <w:rFonts w:cs="Segoe UI Historic"/>
        </w:rPr>
        <w:t xml:space="preserve"> v. </w:t>
      </w:r>
      <w:r w:rsidRPr="009801CB">
        <w:rPr>
          <w:rFonts w:cs="Segoe UI Historic"/>
          <w:i/>
        </w:rPr>
        <w:t xml:space="preserve">Life Care </w:t>
      </w:r>
      <w:proofErr w:type="spellStart"/>
      <w:r w:rsidRPr="009801CB">
        <w:rPr>
          <w:rFonts w:cs="Segoe UI Historic"/>
          <w:i/>
        </w:rPr>
        <w:t>Ctrs</w:t>
      </w:r>
      <w:proofErr w:type="spellEnd"/>
      <w:r w:rsidRPr="009801CB">
        <w:rPr>
          <w:rFonts w:cs="Segoe UI Historic"/>
          <w:i/>
        </w:rPr>
        <w:t>. of Am., Inc.</w:t>
      </w:r>
      <w:r w:rsidRPr="00D2585B">
        <w:rPr>
          <w:rFonts w:cs="Segoe UI Historic"/>
        </w:rPr>
        <w:t>, 456 Mass. 826, 835 (2010) (“reject[</w:t>
      </w:r>
      <w:proofErr w:type="spellStart"/>
      <w:r w:rsidRPr="00D2585B">
        <w:rPr>
          <w:rFonts w:cs="Segoe UI Historic"/>
        </w:rPr>
        <w:t>ing</w:t>
      </w:r>
      <w:proofErr w:type="spellEnd"/>
      <w:r w:rsidRPr="00D2585B">
        <w:rPr>
          <w:rFonts w:cs="Segoe UI Historic"/>
        </w:rPr>
        <w:t xml:space="preserve">] the proposition that a mental state may be imputed to a corporation by aggregating the actions of employees where no one employee possessed that mental state.”); </w:t>
      </w:r>
      <w:r w:rsidRPr="009801CB">
        <w:rPr>
          <w:rFonts w:cs="Segoe UI Historic"/>
          <w:i/>
        </w:rPr>
        <w:t>Commonwealth</w:t>
      </w:r>
      <w:r w:rsidR="009801CB" w:rsidRPr="009801CB">
        <w:rPr>
          <w:rFonts w:cs="Segoe UI Historic"/>
        </w:rPr>
        <w:t xml:space="preserve"> v. </w:t>
      </w:r>
      <w:r w:rsidRPr="009801CB">
        <w:rPr>
          <w:rFonts w:cs="Segoe UI Historic"/>
          <w:i/>
        </w:rPr>
        <w:t>Springfield Terminal Ry. Co.</w:t>
      </w:r>
      <w:r w:rsidRPr="00597135">
        <w:rPr>
          <w:rFonts w:cs="Segoe UI Historic"/>
        </w:rPr>
        <w:t xml:space="preserve">, 80 Mass. App. Ct. 22, 33 (2011) (“where civil liability requires a showing of specific intent or another </w:t>
      </w:r>
      <w:proofErr w:type="spellStart"/>
      <w:r w:rsidRPr="00597135">
        <w:rPr>
          <w:rFonts w:cs="Segoe UI Historic"/>
        </w:rPr>
        <w:t>mens</w:t>
      </w:r>
      <w:proofErr w:type="spellEnd"/>
      <w:r w:rsidRPr="00597135">
        <w:rPr>
          <w:rFonts w:cs="Segoe UI Historic"/>
        </w:rPr>
        <w:t xml:space="preserve"> rea other than mere knowledge, the plaintiff cannot meet its burden by aggregating the intent of the corporate defendant's agents or employees.”).</w:t>
      </w:r>
    </w:p>
  </w:footnote>
  <w:footnote w:id="3">
    <w:p w14:paraId="6EDCEA04" w14:textId="43332590" w:rsidR="00410C41" w:rsidRPr="005D5199" w:rsidRDefault="00410C41" w:rsidP="00410C41">
      <w:pPr>
        <w:pStyle w:val="FootnoteText"/>
        <w:rPr>
          <w:rFonts w:cs="Segoe UI Historic"/>
        </w:rPr>
      </w:pPr>
      <w:r w:rsidRPr="00597135">
        <w:rPr>
          <w:rStyle w:val="FootnoteReference"/>
          <w:rFonts w:cs="Segoe UI Historic"/>
        </w:rPr>
        <w:footnoteRef/>
      </w:r>
      <w:r w:rsidRPr="00597135">
        <w:rPr>
          <w:rFonts w:cs="Segoe UI Historic"/>
        </w:rPr>
        <w:t xml:space="preserve"> </w:t>
      </w:r>
      <w:r w:rsidR="009801CB">
        <w:rPr>
          <w:rFonts w:cs="Segoe UI Historic"/>
        </w:rPr>
        <w:tab/>
      </w:r>
      <w:r w:rsidRPr="009801CB">
        <w:rPr>
          <w:rFonts w:cs="Segoe UI Historic"/>
          <w:i/>
        </w:rPr>
        <w:t>Still</w:t>
      </w:r>
      <w:r w:rsidR="009801CB" w:rsidRPr="009801CB">
        <w:rPr>
          <w:rFonts w:cs="Segoe UI Historic"/>
        </w:rPr>
        <w:t xml:space="preserve"> v. </w:t>
      </w:r>
      <w:r w:rsidRPr="009801CB">
        <w:rPr>
          <w:rFonts w:cs="Segoe UI Historic"/>
          <w:i/>
        </w:rPr>
        <w:t xml:space="preserve">Commissioner of </w:t>
      </w:r>
      <w:proofErr w:type="spellStart"/>
      <w:r w:rsidRPr="009801CB">
        <w:rPr>
          <w:rFonts w:cs="Segoe UI Historic"/>
          <w:i/>
        </w:rPr>
        <w:t>Empl</w:t>
      </w:r>
      <w:proofErr w:type="spellEnd"/>
      <w:r w:rsidRPr="009801CB">
        <w:rPr>
          <w:rFonts w:cs="Segoe UI Historic"/>
          <w:i/>
        </w:rPr>
        <w:t>. &amp; Training</w:t>
      </w:r>
      <w:r w:rsidRPr="00597135">
        <w:rPr>
          <w:rFonts w:cs="Segoe UI Historic"/>
        </w:rPr>
        <w:t>, 423 Mass. 805, 812 – 813 (1996) (citations omitted).</w:t>
      </w:r>
    </w:p>
  </w:footnote>
  <w:footnote w:id="4">
    <w:p w14:paraId="2C0A96D3" w14:textId="1C34D111" w:rsidR="00410C41" w:rsidRPr="005D5199" w:rsidRDefault="00410C41" w:rsidP="00410C41">
      <w:pPr>
        <w:pStyle w:val="FootnoteText"/>
        <w:rPr>
          <w:rFonts w:cs="Segoe UI Historic"/>
        </w:rPr>
      </w:pPr>
      <w:r w:rsidRPr="005D5199">
        <w:rPr>
          <w:rStyle w:val="FootnoteReference"/>
          <w:rFonts w:cs="Segoe UI Historic"/>
        </w:rPr>
        <w:footnoteRef/>
      </w:r>
      <w:r w:rsidRPr="005D5199">
        <w:rPr>
          <w:rFonts w:cs="Segoe UI Historic"/>
        </w:rPr>
        <w:t xml:space="preserve"> </w:t>
      </w:r>
      <w:r w:rsidR="009801CB">
        <w:rPr>
          <w:rFonts w:cs="Segoe UI Historic"/>
        </w:rPr>
        <w:tab/>
      </w:r>
      <w:r>
        <w:rPr>
          <w:rFonts w:cs="Segoe UI Historic"/>
        </w:rPr>
        <w:t>The word “knowingly” is used differently in the criminal context. “</w:t>
      </w:r>
      <w:r w:rsidRPr="005D5199">
        <w:rPr>
          <w:rFonts w:cs="Segoe UI Historic"/>
        </w:rPr>
        <w:t xml:space="preserve">When the word ‘knowingly’ is used in a criminal statute, it ‘commonly imports a perception of the facts requisite to make up the crime.’” </w:t>
      </w:r>
      <w:r w:rsidRPr="009801CB">
        <w:rPr>
          <w:rFonts w:cs="Segoe UI Historic"/>
          <w:i/>
        </w:rPr>
        <w:t>Commonwealth</w:t>
      </w:r>
      <w:r w:rsidR="009801CB" w:rsidRPr="009801CB">
        <w:rPr>
          <w:rFonts w:cs="Segoe UI Historic"/>
        </w:rPr>
        <w:t xml:space="preserve"> v. </w:t>
      </w:r>
      <w:proofErr w:type="spellStart"/>
      <w:r w:rsidRPr="009801CB">
        <w:rPr>
          <w:rFonts w:cs="Segoe UI Historic"/>
          <w:i/>
        </w:rPr>
        <w:t>Fondakowski</w:t>
      </w:r>
      <w:proofErr w:type="spellEnd"/>
      <w:r w:rsidRPr="005D5199">
        <w:rPr>
          <w:rFonts w:cs="Segoe UI Historic"/>
        </w:rPr>
        <w:t>, 62 Mass. App. Ct. 939</w:t>
      </w:r>
      <w:r>
        <w:rPr>
          <w:rFonts w:cs="Segoe UI Historic"/>
        </w:rPr>
        <w:t>, 940 (2005) (citation omitted).</w:t>
      </w:r>
    </w:p>
  </w:footnote>
  <w:footnote w:id="5">
    <w:p w14:paraId="60B26DA3" w14:textId="497ACA0D" w:rsidR="00410C41" w:rsidRPr="00597135" w:rsidRDefault="00410C41" w:rsidP="00410C41">
      <w:pPr>
        <w:pStyle w:val="FootnoteText"/>
        <w:rPr>
          <w:rFonts w:cs="Segoe UI Historic"/>
        </w:rPr>
      </w:pPr>
      <w:r w:rsidRPr="00597135">
        <w:rPr>
          <w:rStyle w:val="FootnoteReference"/>
          <w:rFonts w:cs="Segoe UI Historic"/>
        </w:rPr>
        <w:footnoteRef/>
      </w:r>
      <w:r w:rsidRPr="00597135">
        <w:rPr>
          <w:rFonts w:cs="Segoe UI Historic"/>
        </w:rPr>
        <w:t xml:space="preserve"> </w:t>
      </w:r>
      <w:r w:rsidR="009801CB">
        <w:rPr>
          <w:rFonts w:cs="Segoe UI Historic"/>
        </w:rPr>
        <w:tab/>
      </w:r>
      <w:r w:rsidRPr="00597135">
        <w:rPr>
          <w:rFonts w:cs="Segoe UI Historic"/>
        </w:rPr>
        <w:t xml:space="preserve">See </w:t>
      </w:r>
      <w:r w:rsidRPr="009801CB">
        <w:rPr>
          <w:rFonts w:cs="Segoe UI Historic"/>
          <w:i/>
        </w:rPr>
        <w:t>Commonwealth</w:t>
      </w:r>
      <w:r w:rsidR="009801CB" w:rsidRPr="009801CB">
        <w:rPr>
          <w:rFonts w:cs="Segoe UI Historic"/>
        </w:rPr>
        <w:t xml:space="preserve"> v. </w:t>
      </w:r>
      <w:r w:rsidRPr="009801CB">
        <w:rPr>
          <w:rFonts w:cs="Segoe UI Historic"/>
          <w:i/>
        </w:rPr>
        <w:t xml:space="preserve">Life Care </w:t>
      </w:r>
      <w:proofErr w:type="spellStart"/>
      <w:r w:rsidRPr="009801CB">
        <w:rPr>
          <w:rFonts w:cs="Segoe UI Historic"/>
          <w:i/>
        </w:rPr>
        <w:t>Ctrs</w:t>
      </w:r>
      <w:proofErr w:type="spellEnd"/>
      <w:r w:rsidRPr="009801CB">
        <w:rPr>
          <w:rFonts w:cs="Segoe UI Historic"/>
          <w:i/>
        </w:rPr>
        <w:t>. of Am., Inc.</w:t>
      </w:r>
      <w:r w:rsidRPr="00D2585B">
        <w:rPr>
          <w:rFonts w:cs="Segoe UI Historic"/>
        </w:rPr>
        <w:t>, 456 Mass. 826, 835 (2010) (“reject[</w:t>
      </w:r>
      <w:proofErr w:type="spellStart"/>
      <w:r w:rsidRPr="00D2585B">
        <w:rPr>
          <w:rFonts w:cs="Segoe UI Historic"/>
        </w:rPr>
        <w:t>ing</w:t>
      </w:r>
      <w:proofErr w:type="spellEnd"/>
      <w:r w:rsidRPr="00D2585B">
        <w:rPr>
          <w:rFonts w:cs="Segoe UI Historic"/>
        </w:rPr>
        <w:t xml:space="preserve">] the proposition that a mental state may be imputed to a corporation by aggregating the actions of employees where no one employee possessed that mental state.”); </w:t>
      </w:r>
      <w:r w:rsidRPr="009801CB">
        <w:rPr>
          <w:rFonts w:cs="Segoe UI Historic"/>
          <w:i/>
        </w:rPr>
        <w:t>Commonwealth</w:t>
      </w:r>
      <w:r w:rsidR="009801CB" w:rsidRPr="009801CB">
        <w:rPr>
          <w:rFonts w:cs="Segoe UI Historic"/>
        </w:rPr>
        <w:t xml:space="preserve"> v. </w:t>
      </w:r>
      <w:r w:rsidRPr="009801CB">
        <w:rPr>
          <w:rFonts w:cs="Segoe UI Historic"/>
          <w:i/>
        </w:rPr>
        <w:t>Springfield Terminal Ry. Co.</w:t>
      </w:r>
      <w:r w:rsidRPr="00597135">
        <w:rPr>
          <w:rFonts w:cs="Segoe UI Historic"/>
        </w:rPr>
        <w:t xml:space="preserve">, 80 Mass. App. Ct. 22, 33 (2011) (“where civil liability requires a showing of specific intent or another </w:t>
      </w:r>
      <w:proofErr w:type="spellStart"/>
      <w:r w:rsidRPr="00597135">
        <w:rPr>
          <w:rFonts w:cs="Segoe UI Historic"/>
        </w:rPr>
        <w:t>mens</w:t>
      </w:r>
      <w:proofErr w:type="spellEnd"/>
      <w:r w:rsidRPr="00597135">
        <w:rPr>
          <w:rFonts w:cs="Segoe UI Historic"/>
        </w:rPr>
        <w:t xml:space="preserve"> rea other than mere knowledge, the plaintiff cannot meet its burden by aggregating the intent of the corporate defendant's agents or employees.”)</w:t>
      </w:r>
      <w:r>
        <w:rPr>
          <w:rFonts w:cs="Segoe UI Historic"/>
        </w:rPr>
        <w:t>.</w:t>
      </w:r>
    </w:p>
  </w:footnote>
  <w:footnote w:id="6">
    <w:p w14:paraId="3824EFA4" w14:textId="06A6293F" w:rsidR="00410C41" w:rsidRPr="00597135" w:rsidRDefault="00410C41" w:rsidP="00410C41">
      <w:pPr>
        <w:pStyle w:val="FootnoteText"/>
        <w:rPr>
          <w:rFonts w:cs="Segoe UI Historic"/>
        </w:rPr>
      </w:pPr>
      <w:r w:rsidRPr="00597135">
        <w:rPr>
          <w:rStyle w:val="FootnoteReference"/>
          <w:rFonts w:cs="Segoe UI Historic"/>
        </w:rPr>
        <w:footnoteRef/>
      </w:r>
      <w:r w:rsidRPr="00597135">
        <w:rPr>
          <w:rFonts w:cs="Segoe UI Historic"/>
        </w:rPr>
        <w:t xml:space="preserve"> </w:t>
      </w:r>
      <w:r w:rsidR="009801CB">
        <w:rPr>
          <w:rFonts w:cs="Segoe UI Historic"/>
        </w:rPr>
        <w:tab/>
      </w:r>
      <w:r w:rsidRPr="009801CB">
        <w:rPr>
          <w:rFonts w:cs="Segoe UI Historic"/>
          <w:i/>
        </w:rPr>
        <w:t>Still</w:t>
      </w:r>
      <w:r w:rsidR="009801CB" w:rsidRPr="009801CB">
        <w:rPr>
          <w:rFonts w:cs="Segoe UI Historic"/>
        </w:rPr>
        <w:t xml:space="preserve"> v. </w:t>
      </w:r>
      <w:r w:rsidRPr="009801CB">
        <w:rPr>
          <w:rFonts w:cs="Segoe UI Historic"/>
          <w:i/>
        </w:rPr>
        <w:t xml:space="preserve">Commissioner of </w:t>
      </w:r>
      <w:proofErr w:type="spellStart"/>
      <w:r w:rsidRPr="009801CB">
        <w:rPr>
          <w:rFonts w:cs="Segoe UI Historic"/>
          <w:i/>
        </w:rPr>
        <w:t>Empl</w:t>
      </w:r>
      <w:proofErr w:type="spellEnd"/>
      <w:r w:rsidRPr="009801CB">
        <w:rPr>
          <w:rFonts w:cs="Segoe UI Historic"/>
          <w:i/>
        </w:rPr>
        <w:t>. &amp; Training</w:t>
      </w:r>
      <w:r w:rsidRPr="00597135">
        <w:rPr>
          <w:rFonts w:cs="Segoe UI Historic"/>
        </w:rPr>
        <w:t>, 423 Mass. 805, 812 – 81</w:t>
      </w:r>
      <w:r>
        <w:rPr>
          <w:rFonts w:cs="Segoe UI Historic"/>
        </w:rPr>
        <w:t>4</w:t>
      </w:r>
      <w:r w:rsidRPr="00597135">
        <w:rPr>
          <w:rFonts w:cs="Segoe UI Historic"/>
        </w:rPr>
        <w:t xml:space="preserve"> (1996) (citations omitted).</w:t>
      </w:r>
    </w:p>
  </w:footnote>
  <w:footnote w:id="7">
    <w:p w14:paraId="7C0A2FDB" w14:textId="2F89052B" w:rsidR="00410C41" w:rsidRPr="00597135" w:rsidRDefault="00410C41" w:rsidP="00410C41">
      <w:pPr>
        <w:pStyle w:val="FootnoteText"/>
        <w:rPr>
          <w:rFonts w:cs="Segoe UI Historic"/>
        </w:rPr>
      </w:pPr>
      <w:r w:rsidRPr="00597135">
        <w:rPr>
          <w:rStyle w:val="FootnoteReference"/>
          <w:rFonts w:cs="Segoe UI Historic"/>
        </w:rPr>
        <w:footnoteRef/>
      </w:r>
      <w:r w:rsidRPr="00597135">
        <w:rPr>
          <w:rFonts w:cs="Segoe UI Historic"/>
        </w:rPr>
        <w:t xml:space="preserve"> </w:t>
      </w:r>
      <w:r w:rsidR="009801CB">
        <w:rPr>
          <w:rFonts w:cs="Segoe UI Historic"/>
        </w:rPr>
        <w:tab/>
      </w:r>
      <w:r w:rsidRPr="00597135">
        <w:rPr>
          <w:rFonts w:cs="Segoe UI Historic"/>
        </w:rPr>
        <w:t xml:space="preserve">See </w:t>
      </w:r>
      <w:r w:rsidRPr="009801CB">
        <w:rPr>
          <w:rFonts w:cs="Segoe UI Historic"/>
          <w:i/>
        </w:rPr>
        <w:t>Commonwealth</w:t>
      </w:r>
      <w:r w:rsidR="009801CB" w:rsidRPr="009801CB">
        <w:rPr>
          <w:rFonts w:cs="Segoe UI Historic"/>
        </w:rPr>
        <w:t xml:space="preserve"> v. </w:t>
      </w:r>
      <w:r w:rsidRPr="009801CB">
        <w:rPr>
          <w:rFonts w:cs="Segoe UI Historic"/>
          <w:i/>
        </w:rPr>
        <w:t xml:space="preserve">Life Care </w:t>
      </w:r>
      <w:proofErr w:type="spellStart"/>
      <w:r w:rsidRPr="009801CB">
        <w:rPr>
          <w:rFonts w:cs="Segoe UI Historic"/>
          <w:i/>
        </w:rPr>
        <w:t>Ctrs</w:t>
      </w:r>
      <w:proofErr w:type="spellEnd"/>
      <w:r w:rsidRPr="009801CB">
        <w:rPr>
          <w:rFonts w:cs="Segoe UI Historic"/>
          <w:i/>
        </w:rPr>
        <w:t>. of Am., Inc.</w:t>
      </w:r>
      <w:r w:rsidRPr="00D2585B">
        <w:rPr>
          <w:rFonts w:cs="Segoe UI Historic"/>
        </w:rPr>
        <w:t>, 456 Mass. 826, 835 (2010) (“reject[</w:t>
      </w:r>
      <w:proofErr w:type="spellStart"/>
      <w:r w:rsidRPr="00D2585B">
        <w:rPr>
          <w:rFonts w:cs="Segoe UI Historic"/>
        </w:rPr>
        <w:t>ing</w:t>
      </w:r>
      <w:proofErr w:type="spellEnd"/>
      <w:r w:rsidRPr="00D2585B">
        <w:rPr>
          <w:rFonts w:cs="Segoe UI Historic"/>
        </w:rPr>
        <w:t xml:space="preserve">] the proposition that a mental state may be imputed to a corporation by aggregating the actions of employees where no one employee possessed that mental state.”); </w:t>
      </w:r>
      <w:r w:rsidRPr="009801CB">
        <w:rPr>
          <w:rFonts w:cs="Segoe UI Historic"/>
          <w:i/>
        </w:rPr>
        <w:t>Commonwealth</w:t>
      </w:r>
      <w:r w:rsidR="009801CB" w:rsidRPr="009801CB">
        <w:rPr>
          <w:rFonts w:cs="Segoe UI Historic"/>
        </w:rPr>
        <w:t xml:space="preserve"> v. </w:t>
      </w:r>
      <w:r w:rsidRPr="009801CB">
        <w:rPr>
          <w:rFonts w:cs="Segoe UI Historic"/>
          <w:i/>
        </w:rPr>
        <w:t>Springfield Terminal Ry. Co.</w:t>
      </w:r>
      <w:r w:rsidRPr="00597135">
        <w:rPr>
          <w:rFonts w:cs="Segoe UI Historic"/>
        </w:rPr>
        <w:t xml:space="preserve">, 80 Mass. App. Ct. 22, 33 (2011) (“where civil liability requires a showing of specific intent or another </w:t>
      </w:r>
      <w:proofErr w:type="spellStart"/>
      <w:r w:rsidRPr="00597135">
        <w:rPr>
          <w:rFonts w:cs="Segoe UI Historic"/>
        </w:rPr>
        <w:t>mens</w:t>
      </w:r>
      <w:proofErr w:type="spellEnd"/>
      <w:r w:rsidRPr="00597135">
        <w:rPr>
          <w:rFonts w:cs="Segoe UI Historic"/>
        </w:rPr>
        <w:t xml:space="preserve"> rea other than mere knowledge, the plaintiff cannot meet its burden by aggregating the intent of the corporate defendant's agents or employees.”).</w:t>
      </w:r>
    </w:p>
  </w:footnote>
  <w:footnote w:id="8">
    <w:p w14:paraId="3F7BB620" w14:textId="02526605" w:rsidR="00410C41" w:rsidRPr="00413C45" w:rsidRDefault="00410C41" w:rsidP="00410C41">
      <w:pPr>
        <w:pStyle w:val="FootnoteText"/>
        <w:rPr>
          <w:rFonts w:cs="Segoe UI Historic"/>
        </w:rPr>
      </w:pPr>
      <w:r w:rsidRPr="00413C45">
        <w:rPr>
          <w:rStyle w:val="FootnoteReference"/>
          <w:rFonts w:cs="Segoe UI Historic"/>
        </w:rPr>
        <w:footnoteRef/>
      </w:r>
      <w:r w:rsidRPr="00413C45">
        <w:rPr>
          <w:rFonts w:cs="Segoe UI Historic"/>
        </w:rPr>
        <w:t xml:space="preserve"> </w:t>
      </w:r>
      <w:r w:rsidR="009801CB">
        <w:rPr>
          <w:rFonts w:cs="Segoe UI Historic"/>
        </w:rPr>
        <w:tab/>
      </w:r>
      <w:r w:rsidRPr="00413C45">
        <w:rPr>
          <w:rFonts w:cs="Segoe UI Historic"/>
        </w:rPr>
        <w:t xml:space="preserve">“It is well established that, for purposes of civil liability that requires a plaintiff to show a corporation's mere knowledge, a plaintiff can make such a showing based on the collective knowledge of the corporation's agents or employees.” </w:t>
      </w:r>
      <w:r w:rsidRPr="009801CB">
        <w:rPr>
          <w:rFonts w:cs="Segoe UI Historic"/>
          <w:i/>
        </w:rPr>
        <w:t>Commonwealth</w:t>
      </w:r>
      <w:r w:rsidR="009801CB" w:rsidRPr="009801CB">
        <w:rPr>
          <w:rFonts w:cs="Segoe UI Historic"/>
        </w:rPr>
        <w:t xml:space="preserve"> v. </w:t>
      </w:r>
      <w:r w:rsidRPr="009801CB">
        <w:rPr>
          <w:rFonts w:cs="Segoe UI Historic"/>
          <w:i/>
        </w:rPr>
        <w:t>Springfield Terminal Ry. Co.</w:t>
      </w:r>
      <w:r w:rsidRPr="00413C45">
        <w:rPr>
          <w:rFonts w:cs="Segoe UI Historic"/>
        </w:rPr>
        <w:t>, 80 Mass. App. Ct. 22, 33 (2011) (citations omitted).</w:t>
      </w:r>
    </w:p>
  </w:footnote>
  <w:footnote w:id="9">
    <w:p w14:paraId="04EA7066" w14:textId="30EA41F7" w:rsidR="00410C41" w:rsidRPr="00413C45" w:rsidRDefault="00410C41" w:rsidP="00410C41">
      <w:pPr>
        <w:pStyle w:val="FootnoteText"/>
        <w:rPr>
          <w:rFonts w:cs="Segoe UI Historic"/>
        </w:rPr>
      </w:pPr>
      <w:r w:rsidRPr="00413C45">
        <w:rPr>
          <w:rStyle w:val="FootnoteReference"/>
          <w:rFonts w:cs="Segoe UI Historic"/>
        </w:rPr>
        <w:footnoteRef/>
      </w:r>
      <w:r w:rsidRPr="00413C45">
        <w:rPr>
          <w:rFonts w:cs="Segoe UI Historic"/>
        </w:rPr>
        <w:t xml:space="preserve"> </w:t>
      </w:r>
      <w:r w:rsidR="009801CB">
        <w:rPr>
          <w:rFonts w:cs="Segoe UI Historic"/>
        </w:rPr>
        <w:tab/>
      </w:r>
      <w:r w:rsidRPr="00413C45">
        <w:rPr>
          <w:rFonts w:cs="Segoe UI Historic"/>
        </w:rPr>
        <w:t xml:space="preserve">The modern definition of willful conduct means intentional conduct (as opposed to accidental), without any reference to any improper motive. </w:t>
      </w:r>
      <w:r w:rsidRPr="009801CB">
        <w:rPr>
          <w:rFonts w:cs="Segoe UI Historic"/>
          <w:i/>
        </w:rPr>
        <w:t>Commonwealth</w:t>
      </w:r>
      <w:r w:rsidR="009801CB" w:rsidRPr="009801CB">
        <w:rPr>
          <w:rFonts w:cs="Segoe UI Historic"/>
        </w:rPr>
        <w:t xml:space="preserve"> v. </w:t>
      </w:r>
      <w:r w:rsidRPr="009801CB">
        <w:rPr>
          <w:rFonts w:cs="Segoe UI Historic"/>
          <w:i/>
        </w:rPr>
        <w:t>Luna</w:t>
      </w:r>
      <w:r w:rsidRPr="00413C45">
        <w:rPr>
          <w:rFonts w:cs="Segoe UI Historic"/>
        </w:rPr>
        <w:t xml:space="preserve">, 418 Mass. 749, 753 (1994); </w:t>
      </w:r>
      <w:r w:rsidRPr="00413C45">
        <w:rPr>
          <w:rFonts w:cs="Segoe UI Historic"/>
          <w:u w:val="words"/>
        </w:rPr>
        <w:t>see also</w:t>
      </w:r>
      <w:r w:rsidRPr="00413C45">
        <w:rPr>
          <w:rFonts w:cs="Segoe UI Historic"/>
        </w:rPr>
        <w:t xml:space="preserve"> </w:t>
      </w:r>
      <w:r w:rsidRPr="009801CB">
        <w:rPr>
          <w:rFonts w:cs="Segoe UI Historic"/>
          <w:i/>
        </w:rPr>
        <w:t>Commonwealth</w:t>
      </w:r>
      <w:r w:rsidR="009801CB" w:rsidRPr="009801CB">
        <w:rPr>
          <w:rFonts w:cs="Segoe UI Historic"/>
        </w:rPr>
        <w:t xml:space="preserve"> v. </w:t>
      </w:r>
      <w:r w:rsidRPr="009801CB">
        <w:rPr>
          <w:rFonts w:cs="Segoe UI Historic"/>
          <w:i/>
        </w:rPr>
        <w:t>Pfeiffer</w:t>
      </w:r>
      <w:r w:rsidRPr="00413C45">
        <w:rPr>
          <w:rFonts w:cs="Segoe UI Historic"/>
        </w:rPr>
        <w:t>, 482 Mass. 110, 116 (2019) (“At its core, [willful] ‘means intentional and by design in contrast to that which is thoughtless or accidental.’”)</w:t>
      </w:r>
      <w:r w:rsidRPr="00413C45">
        <w:rPr>
          <w:rFonts w:cs="Segoe UI Historic"/>
          <w:sz w:val="24"/>
          <w:szCs w:val="24"/>
        </w:rPr>
        <w:t xml:space="preserve"> </w:t>
      </w:r>
      <w:r w:rsidRPr="00413C45">
        <w:rPr>
          <w:rFonts w:cs="Segoe UI Historic"/>
        </w:rPr>
        <w:t xml:space="preserve">(citation omitted); </w:t>
      </w:r>
      <w:r w:rsidRPr="009801CB">
        <w:rPr>
          <w:rFonts w:cs="Segoe UI Historic"/>
          <w:i/>
        </w:rPr>
        <w:t>Commonwealth</w:t>
      </w:r>
      <w:r w:rsidR="009801CB" w:rsidRPr="009801CB">
        <w:rPr>
          <w:rFonts w:cs="Segoe UI Historic"/>
        </w:rPr>
        <w:t xml:space="preserve"> v. </w:t>
      </w:r>
      <w:r w:rsidRPr="009801CB">
        <w:rPr>
          <w:rFonts w:cs="Segoe UI Historic"/>
          <w:i/>
        </w:rPr>
        <w:t>Brennan</w:t>
      </w:r>
      <w:r w:rsidRPr="00413C45">
        <w:rPr>
          <w:rFonts w:cs="Segoe UI Historic"/>
        </w:rPr>
        <w:t>, 481 Mass. 146, 154 (2018) (“‘</w:t>
      </w:r>
      <w:proofErr w:type="spellStart"/>
      <w:r w:rsidRPr="00413C45">
        <w:rPr>
          <w:rFonts w:cs="Segoe UI Historic"/>
        </w:rPr>
        <w:t>Wilful</w:t>
      </w:r>
      <w:proofErr w:type="spellEnd"/>
      <w:r w:rsidRPr="00413C45">
        <w:rPr>
          <w:rFonts w:cs="Segoe UI Historic"/>
        </w:rPr>
        <w:t xml:space="preserve"> conduct is that which is intentional rather than accidental; it requires no evil intent, ill will, or malevolence.’”) (quotations and citations omitted); </w:t>
      </w:r>
      <w:r w:rsidRPr="009801CB">
        <w:rPr>
          <w:rFonts w:cs="Segoe UI Historic"/>
          <w:i/>
        </w:rPr>
        <w:t>Commonwealth</w:t>
      </w:r>
      <w:r w:rsidR="009801CB" w:rsidRPr="009801CB">
        <w:rPr>
          <w:rFonts w:cs="Segoe UI Historic"/>
        </w:rPr>
        <w:t xml:space="preserve"> v. </w:t>
      </w:r>
      <w:proofErr w:type="spellStart"/>
      <w:r w:rsidRPr="009801CB">
        <w:rPr>
          <w:rFonts w:cs="Segoe UI Historic"/>
          <w:i/>
        </w:rPr>
        <w:t>Welansky</w:t>
      </w:r>
      <w:proofErr w:type="spellEnd"/>
      <w:r w:rsidRPr="00413C45">
        <w:rPr>
          <w:rFonts w:cs="Segoe UI Historic"/>
        </w:rPr>
        <w:t>, 316 Mass. 383, 397 (1944</w:t>
      </w:r>
      <w:r>
        <w:rPr>
          <w:rFonts w:cs="Segoe UI Historic"/>
        </w:rPr>
        <w:t>) (“</w:t>
      </w:r>
      <w:proofErr w:type="spellStart"/>
      <w:r>
        <w:rPr>
          <w:rFonts w:cs="Segoe UI Historic"/>
        </w:rPr>
        <w:t>Wilful</w:t>
      </w:r>
      <w:proofErr w:type="spellEnd"/>
      <w:r>
        <w:rPr>
          <w:rFonts w:cs="Segoe UI Historic"/>
        </w:rPr>
        <w:t xml:space="preserve"> means intentional.”); </w:t>
      </w:r>
      <w:r w:rsidRPr="005A3280">
        <w:rPr>
          <w:rFonts w:cs="Segoe UI Historic"/>
          <w:u w:val="words"/>
        </w:rPr>
        <w:t>but see</w:t>
      </w:r>
      <w:r>
        <w:rPr>
          <w:rFonts w:cs="Segoe UI Historic"/>
        </w:rPr>
        <w:t xml:space="preserve"> </w:t>
      </w:r>
      <w:r w:rsidRPr="009801CB">
        <w:rPr>
          <w:rFonts w:cs="Segoe UI Historic"/>
          <w:i/>
        </w:rPr>
        <w:t>Still</w:t>
      </w:r>
      <w:r w:rsidR="009801CB" w:rsidRPr="009801CB">
        <w:rPr>
          <w:rFonts w:cs="Segoe UI Historic"/>
        </w:rPr>
        <w:t xml:space="preserve"> v. </w:t>
      </w:r>
      <w:r w:rsidRPr="009801CB">
        <w:rPr>
          <w:rFonts w:cs="Segoe UI Historic"/>
          <w:i/>
        </w:rPr>
        <w:t xml:space="preserve">Commissioner of </w:t>
      </w:r>
      <w:proofErr w:type="spellStart"/>
      <w:r w:rsidRPr="009801CB">
        <w:rPr>
          <w:rFonts w:cs="Segoe UI Historic"/>
          <w:i/>
        </w:rPr>
        <w:t>Empl</w:t>
      </w:r>
      <w:proofErr w:type="spellEnd"/>
      <w:r w:rsidRPr="009801CB">
        <w:rPr>
          <w:rFonts w:cs="Segoe UI Historic"/>
          <w:i/>
        </w:rPr>
        <w:t>. &amp; Training</w:t>
      </w:r>
      <w:r w:rsidRPr="0024489D">
        <w:rPr>
          <w:rFonts w:cs="Segoe UI Historic"/>
        </w:rPr>
        <w:t>, 423 Mass. 805, 812 – 813 (1996)</w:t>
      </w:r>
      <w:r>
        <w:rPr>
          <w:rFonts w:cs="Segoe UI Historic"/>
        </w:rPr>
        <w:t xml:space="preserve"> (observing that </w:t>
      </w:r>
      <w:r w:rsidRPr="0024489D">
        <w:rPr>
          <w:rFonts w:cs="Segoe UI Historic"/>
        </w:rPr>
        <w:t>“decisions construing the multiple damages provisions of G. L. c. 93A [ ] have imposed such damages for ‘</w:t>
      </w:r>
      <w:proofErr w:type="spellStart"/>
      <w:r w:rsidRPr="0024489D">
        <w:rPr>
          <w:rFonts w:cs="Segoe UI Historic"/>
        </w:rPr>
        <w:t>wilful</w:t>
      </w:r>
      <w:proofErr w:type="spellEnd"/>
      <w:r w:rsidRPr="0024489D">
        <w:rPr>
          <w:rFonts w:cs="Segoe UI Historic"/>
        </w:rPr>
        <w:t>’ or ‘knowing’ violations, equating the former with reckless conduct</w:t>
      </w:r>
      <w:r w:rsidRPr="0024489D">
        <w:rPr>
          <w:rFonts w:cs="Segoe UI Historic"/>
          <w:b/>
        </w:rPr>
        <w:t xml:space="preserve"> </w:t>
      </w:r>
      <w:r w:rsidRPr="0024489D">
        <w:rPr>
          <w:rFonts w:cs="Segoe UI Historic"/>
        </w:rPr>
        <w:t>and the latter with intentional acts.”</w:t>
      </w:r>
      <w:r>
        <w:rPr>
          <w:rFonts w:cs="Segoe UI Historic"/>
        </w:rPr>
        <w:t>).</w:t>
      </w:r>
    </w:p>
  </w:footnote>
  <w:footnote w:id="10">
    <w:p w14:paraId="1E7837EE" w14:textId="7E82BABA" w:rsidR="00410C41" w:rsidRPr="00886924" w:rsidRDefault="00410C41" w:rsidP="00410C41">
      <w:pPr>
        <w:pStyle w:val="FootnoteText"/>
        <w:rPr>
          <w:rFonts w:cs="Segoe UI Historic"/>
        </w:rPr>
      </w:pPr>
      <w:r w:rsidRPr="008F6E69">
        <w:rPr>
          <w:rStyle w:val="FootnoteReference"/>
          <w:rFonts w:ascii="Segoe UI" w:hAnsi="Segoe UI" w:cs="Segoe UI"/>
        </w:rPr>
        <w:footnoteRef/>
      </w:r>
      <w:r w:rsidR="00762BE0">
        <w:rPr>
          <w:rFonts w:ascii="Segoe UI" w:hAnsi="Segoe UI" w:cs="Segoe UI"/>
        </w:rPr>
        <w:tab/>
      </w:r>
      <w:r w:rsidRPr="008F6E69">
        <w:rPr>
          <w:rFonts w:ascii="Segoe UI" w:hAnsi="Segoe UI" w:cs="Segoe UI"/>
        </w:rPr>
        <w:t>A more comprehensive</w:t>
      </w:r>
      <w:r w:rsidRPr="005631C5">
        <w:rPr>
          <w:rFonts w:cs="Segoe UI Historic"/>
        </w:rPr>
        <w:t xml:space="preserve"> instruction for “recklessness” is </w:t>
      </w:r>
      <w:r w:rsidR="009801CB">
        <w:rPr>
          <w:rFonts w:cs="Segoe UI Historic"/>
        </w:rPr>
        <w:t xml:space="preserve">available in the separate model instruction for Recklessness, </w:t>
      </w:r>
      <w:r>
        <w:rPr>
          <w:rFonts w:cs="Segoe UI Historic"/>
        </w:rPr>
        <w:t xml:space="preserve">which </w:t>
      </w:r>
      <w:r w:rsidRPr="005631C5">
        <w:rPr>
          <w:rFonts w:cs="Segoe UI Historic"/>
        </w:rPr>
        <w:t>may be warranted in certain cases</w:t>
      </w:r>
      <w:r w:rsidR="009801CB">
        <w:rPr>
          <w:rFonts w:cs="Segoe UI Historic"/>
        </w:rPr>
        <w:t xml:space="preserve">, such as: </w:t>
      </w:r>
      <w:r w:rsidRPr="005631C5">
        <w:rPr>
          <w:rFonts w:cs="Segoe UI Historic"/>
        </w:rPr>
        <w:t>wrongful death cases under G.L. c. 229, § 2; cases applying the Recreational Use Statute at G.L. c. 21, §</w:t>
      </w:r>
      <w:r w:rsidR="009801CB">
        <w:rPr>
          <w:rFonts w:cs="Segoe UI Historic"/>
        </w:rPr>
        <w:t> </w:t>
      </w:r>
      <w:r w:rsidRPr="005631C5">
        <w:rPr>
          <w:rFonts w:cs="Segoe UI Historic"/>
        </w:rPr>
        <w:t>17C; cases against landowners by adult trespassers</w:t>
      </w:r>
      <w:r w:rsidR="009801CB">
        <w:rPr>
          <w:rFonts w:cs="Segoe UI Historic"/>
        </w:rPr>
        <w:t>.</w:t>
      </w:r>
    </w:p>
  </w:footnote>
  <w:footnote w:id="11">
    <w:p w14:paraId="63ECEE8D" w14:textId="2348F41C" w:rsidR="00410C41" w:rsidRPr="002D6EF1" w:rsidRDefault="00410C41" w:rsidP="00410C41">
      <w:pPr>
        <w:pStyle w:val="FootnoteText"/>
        <w:rPr>
          <w:rFonts w:cs="Segoe UI Historic"/>
        </w:rPr>
      </w:pPr>
      <w:r w:rsidRPr="002D6EF1">
        <w:rPr>
          <w:rStyle w:val="FootnoteReference"/>
          <w:rFonts w:cs="Segoe UI Historic"/>
        </w:rPr>
        <w:footnoteRef/>
      </w:r>
      <w:r w:rsidR="009801CB">
        <w:rPr>
          <w:rFonts w:cs="Segoe UI Historic"/>
        </w:rPr>
        <w:tab/>
      </w:r>
      <w:r w:rsidRPr="009801CB">
        <w:rPr>
          <w:rFonts w:cs="Segoe UI Historic"/>
          <w:i/>
        </w:rPr>
        <w:t>Rafferty</w:t>
      </w:r>
      <w:r w:rsidR="009801CB" w:rsidRPr="009801CB">
        <w:rPr>
          <w:rFonts w:cs="Segoe UI Historic"/>
        </w:rPr>
        <w:t xml:space="preserve"> v. </w:t>
      </w:r>
      <w:r w:rsidRPr="009801CB">
        <w:rPr>
          <w:rFonts w:cs="Segoe UI Historic"/>
          <w:i/>
        </w:rPr>
        <w:t>Merck &amp; Co..</w:t>
      </w:r>
      <w:r w:rsidRPr="002D6EF1">
        <w:rPr>
          <w:rFonts w:cs="Segoe UI Historic"/>
        </w:rPr>
        <w:t xml:space="preserve">, 479 Mass. 141, </w:t>
      </w:r>
      <w:r>
        <w:rPr>
          <w:rFonts w:cs="Segoe UI Historic"/>
        </w:rPr>
        <w:t xml:space="preserve">157 - </w:t>
      </w:r>
      <w:r w:rsidRPr="002D6EF1">
        <w:rPr>
          <w:rFonts w:cs="Segoe UI Historic"/>
        </w:rPr>
        <w:t>158 (2018)</w:t>
      </w:r>
      <w:r>
        <w:rPr>
          <w:rFonts w:cs="Segoe UI Historic"/>
        </w:rPr>
        <w:t>.</w:t>
      </w:r>
    </w:p>
  </w:footnote>
  <w:footnote w:id="12">
    <w:p w14:paraId="758E5729" w14:textId="0FFA283D" w:rsidR="00410C41" w:rsidRPr="00413C45" w:rsidRDefault="00410C41" w:rsidP="00410C41">
      <w:pPr>
        <w:pStyle w:val="FootnoteText"/>
        <w:rPr>
          <w:rFonts w:cs="Segoe UI Historic"/>
        </w:rPr>
      </w:pPr>
      <w:r w:rsidRPr="00413C45">
        <w:rPr>
          <w:rStyle w:val="FootnoteReference"/>
          <w:rFonts w:cs="Segoe UI Historic"/>
        </w:rPr>
        <w:footnoteRef/>
      </w:r>
      <w:r w:rsidRPr="00413C45">
        <w:rPr>
          <w:rFonts w:cs="Segoe UI Historic"/>
        </w:rPr>
        <w:t xml:space="preserve"> </w:t>
      </w:r>
      <w:r w:rsidRPr="009801CB">
        <w:rPr>
          <w:rFonts w:cs="Segoe UI Historic"/>
          <w:i/>
        </w:rPr>
        <w:t>R</w:t>
      </w:r>
      <w:r w:rsidR="009801CB">
        <w:rPr>
          <w:rFonts w:cs="Segoe UI Historic"/>
          <w:i/>
        </w:rPr>
        <w:tab/>
      </w:r>
      <w:proofErr w:type="spellStart"/>
      <w:r w:rsidRPr="009801CB">
        <w:rPr>
          <w:rFonts w:cs="Segoe UI Historic"/>
          <w:i/>
        </w:rPr>
        <w:t>afferty</w:t>
      </w:r>
      <w:proofErr w:type="spellEnd"/>
      <w:r w:rsidR="009801CB" w:rsidRPr="009801CB">
        <w:rPr>
          <w:rFonts w:cs="Segoe UI Historic"/>
        </w:rPr>
        <w:t xml:space="preserve"> v. </w:t>
      </w:r>
      <w:r w:rsidRPr="009801CB">
        <w:rPr>
          <w:rFonts w:cs="Segoe UI Historic"/>
          <w:i/>
        </w:rPr>
        <w:t>Merck &amp; Co.</w:t>
      </w:r>
      <w:r w:rsidRPr="00B74405">
        <w:rPr>
          <w:rFonts w:cs="Segoe UI Historic"/>
        </w:rPr>
        <w:t xml:space="preserve">, 479 Mass. 141, 157 - 158 (2018); </w:t>
      </w:r>
      <w:r w:rsidRPr="009801CB">
        <w:rPr>
          <w:rFonts w:cs="Segoe UI Historic"/>
          <w:i/>
        </w:rPr>
        <w:t>Commonwealth</w:t>
      </w:r>
      <w:r w:rsidR="009801CB" w:rsidRPr="009801CB">
        <w:rPr>
          <w:rFonts w:cs="Segoe UI Historic"/>
        </w:rPr>
        <w:t xml:space="preserve"> v. </w:t>
      </w:r>
      <w:r w:rsidRPr="009801CB">
        <w:rPr>
          <w:rFonts w:cs="Segoe UI Historic"/>
          <w:i/>
        </w:rPr>
        <w:t>Pugh</w:t>
      </w:r>
      <w:r w:rsidRPr="00413C45">
        <w:rPr>
          <w:rFonts w:cs="Segoe UI Historic"/>
        </w:rPr>
        <w:t>, 462 Mass. 482, 496 (2012) (citations omitted)</w:t>
      </w:r>
      <w:r>
        <w:rPr>
          <w:rFonts w:cs="Segoe UI Historic"/>
        </w:rPr>
        <w:t>.</w:t>
      </w:r>
    </w:p>
  </w:footnote>
  <w:footnote w:id="13">
    <w:p w14:paraId="141035CD" w14:textId="417452F5" w:rsidR="00410C41" w:rsidRPr="00413C45" w:rsidRDefault="00410C41" w:rsidP="00410C41">
      <w:pPr>
        <w:pStyle w:val="FootnoteText"/>
        <w:rPr>
          <w:rFonts w:cs="Segoe UI Historic"/>
        </w:rPr>
      </w:pPr>
      <w:r w:rsidRPr="00413C45">
        <w:rPr>
          <w:rStyle w:val="FootnoteReference"/>
          <w:rFonts w:cs="Segoe UI Historic"/>
        </w:rPr>
        <w:footnoteRef/>
      </w:r>
      <w:r w:rsidRPr="00413C45">
        <w:rPr>
          <w:rFonts w:cs="Segoe UI Historic"/>
        </w:rPr>
        <w:t xml:space="preserve"> </w:t>
      </w:r>
      <w:r w:rsidR="009801CB">
        <w:rPr>
          <w:rFonts w:cs="Segoe UI Historic"/>
        </w:rPr>
        <w:tab/>
      </w:r>
      <w:r w:rsidRPr="00413C45">
        <w:rPr>
          <w:rFonts w:cs="Segoe UI Historic"/>
        </w:rPr>
        <w:t xml:space="preserve">“The words ‘wanton’ and ‘reckless’ are practically synonymous in this connection, although the word ‘wanton’ may contain a suggestion of arrogance or insolence or heartlessness that is lacking in the word ‘reckless.’” </w:t>
      </w:r>
      <w:r w:rsidRPr="009801CB">
        <w:rPr>
          <w:rFonts w:cs="Segoe UI Historic"/>
          <w:i/>
        </w:rPr>
        <w:t>Commonwealth</w:t>
      </w:r>
      <w:r w:rsidR="009801CB" w:rsidRPr="009801CB">
        <w:rPr>
          <w:rFonts w:cs="Segoe UI Historic"/>
        </w:rPr>
        <w:t xml:space="preserve"> v. </w:t>
      </w:r>
      <w:proofErr w:type="spellStart"/>
      <w:r w:rsidRPr="009801CB">
        <w:rPr>
          <w:rFonts w:cs="Segoe UI Historic"/>
          <w:i/>
        </w:rPr>
        <w:t>Welansky</w:t>
      </w:r>
      <w:proofErr w:type="spellEnd"/>
      <w:r w:rsidRPr="00413C45">
        <w:rPr>
          <w:rFonts w:cs="Segoe UI Historic"/>
        </w:rPr>
        <w:t xml:space="preserve">, 316 Mass. 383, 398 (1944); </w:t>
      </w:r>
      <w:r w:rsidRPr="00413C45">
        <w:rPr>
          <w:rFonts w:cs="Segoe UI Historic"/>
          <w:u w:val="words"/>
        </w:rPr>
        <w:t>see also</w:t>
      </w:r>
      <w:r w:rsidRPr="00413C45">
        <w:rPr>
          <w:rFonts w:cs="Segoe UI Historic"/>
        </w:rPr>
        <w:t xml:space="preserve"> </w:t>
      </w:r>
      <w:r w:rsidRPr="009801CB">
        <w:rPr>
          <w:rFonts w:cs="Segoe UI Historic"/>
          <w:i/>
        </w:rPr>
        <w:t>Commonwealth</w:t>
      </w:r>
      <w:r w:rsidR="009801CB" w:rsidRPr="009801CB">
        <w:rPr>
          <w:rFonts w:cs="Segoe UI Historic"/>
        </w:rPr>
        <w:t xml:space="preserve"> v. </w:t>
      </w:r>
      <w:r w:rsidRPr="009801CB">
        <w:rPr>
          <w:rFonts w:cs="Segoe UI Historic"/>
          <w:i/>
        </w:rPr>
        <w:t>Armand</w:t>
      </w:r>
      <w:r w:rsidRPr="00413C45">
        <w:rPr>
          <w:rFonts w:cs="Segoe UI Historic"/>
        </w:rPr>
        <w:t>, 411 Mass. 167, 171 (1991) (“[W]</w:t>
      </w:r>
      <w:proofErr w:type="spellStart"/>
      <w:r w:rsidRPr="00413C45">
        <w:rPr>
          <w:rFonts w:cs="Segoe UI Historic"/>
        </w:rPr>
        <w:t>anton</w:t>
      </w:r>
      <w:proofErr w:type="spellEnd"/>
      <w:r w:rsidRPr="00413C45">
        <w:rPr>
          <w:rFonts w:cs="Segoe UI Historic"/>
        </w:rPr>
        <w:t xml:space="preserve"> destruction [of property] requires only a showing that the actor’s conduct was indifferent to, or in disregard of, probable consequences.”).</w:t>
      </w:r>
    </w:p>
  </w:footnote>
  <w:footnote w:id="14">
    <w:p w14:paraId="4CECB3D7" w14:textId="0EC428EE" w:rsidR="00410C41" w:rsidRPr="00413C45" w:rsidRDefault="00410C41" w:rsidP="00410C41">
      <w:pPr>
        <w:pStyle w:val="FootnoteText"/>
        <w:rPr>
          <w:rFonts w:cs="Segoe UI Historic"/>
        </w:rPr>
      </w:pPr>
      <w:r w:rsidRPr="00413C45">
        <w:rPr>
          <w:rStyle w:val="FootnoteReference"/>
          <w:rFonts w:cs="Segoe UI Historic"/>
        </w:rPr>
        <w:footnoteRef/>
      </w:r>
      <w:r w:rsidRPr="00413C45">
        <w:rPr>
          <w:rFonts w:cs="Segoe UI Historic"/>
        </w:rPr>
        <w:t xml:space="preserve"> </w:t>
      </w:r>
      <w:r w:rsidR="009801CB">
        <w:rPr>
          <w:rFonts w:cs="Segoe UI Historic"/>
        </w:rPr>
        <w:tab/>
      </w:r>
      <w:r w:rsidRPr="009801CB">
        <w:rPr>
          <w:rFonts w:cs="Segoe UI Historic"/>
          <w:iCs/>
        </w:rPr>
        <w:t>See</w:t>
      </w:r>
      <w:r w:rsidR="009801CB">
        <w:rPr>
          <w:rFonts w:cs="Segoe UI Historic"/>
        </w:rPr>
        <w:t>,</w:t>
      </w:r>
      <w:r w:rsidRPr="00413C45">
        <w:rPr>
          <w:rFonts w:cs="Segoe UI Historic"/>
        </w:rPr>
        <w:t xml:space="preserve"> e.g., </w:t>
      </w:r>
      <w:r w:rsidRPr="009801CB">
        <w:rPr>
          <w:rFonts w:cs="Segoe UI Historic"/>
          <w:i/>
        </w:rPr>
        <w:t>Commonwealth</w:t>
      </w:r>
      <w:r w:rsidR="009801CB" w:rsidRPr="009801CB">
        <w:rPr>
          <w:rFonts w:cs="Segoe UI Historic"/>
        </w:rPr>
        <w:t xml:space="preserve"> v. </w:t>
      </w:r>
      <w:r w:rsidRPr="009801CB">
        <w:rPr>
          <w:rFonts w:cs="Segoe UI Historic"/>
          <w:i/>
        </w:rPr>
        <w:t>Chambers</w:t>
      </w:r>
      <w:r w:rsidRPr="00413C45">
        <w:rPr>
          <w:rFonts w:cs="Segoe UI Historic"/>
        </w:rPr>
        <w:t>, 90 Mass. App. Ct. 137, 143 (2016) (for the crime of malicious destruction of property “[u]</w:t>
      </w:r>
      <w:proofErr w:type="spellStart"/>
      <w:r w:rsidRPr="00413C45">
        <w:rPr>
          <w:rFonts w:cs="Segoe UI Historic"/>
        </w:rPr>
        <w:t>nder</w:t>
      </w:r>
      <w:proofErr w:type="spellEnd"/>
      <w:r w:rsidRPr="00413C45">
        <w:rPr>
          <w:rFonts w:cs="Segoe UI Historic"/>
        </w:rPr>
        <w:t xml:space="preserve"> G.L. c. 266, § 127, the Commonwealth must prove that the act was done with malice, that is, in ‘a state of mind of cruelty, hostility or revenge.’”) (citations omitted).</w:t>
      </w:r>
    </w:p>
  </w:footnote>
  <w:footnote w:id="15">
    <w:p w14:paraId="2FBC2C0D" w14:textId="6D4F6082" w:rsidR="00410C41" w:rsidRPr="00DD30F4" w:rsidRDefault="00410C41" w:rsidP="00410C41">
      <w:pPr>
        <w:pStyle w:val="FootnoteText"/>
        <w:rPr>
          <w:rFonts w:cs="Segoe UI Historic"/>
          <w:szCs w:val="22"/>
        </w:rPr>
      </w:pPr>
      <w:r w:rsidRPr="00DD30F4">
        <w:rPr>
          <w:rStyle w:val="FootnoteReference"/>
          <w:rFonts w:cs="Segoe UI Historic"/>
          <w:szCs w:val="22"/>
        </w:rPr>
        <w:footnoteRef/>
      </w:r>
      <w:r w:rsidR="009801CB">
        <w:rPr>
          <w:rFonts w:cs="Segoe UI Historic"/>
          <w:szCs w:val="22"/>
        </w:rPr>
        <w:tab/>
      </w:r>
      <w:r w:rsidRPr="009801CB">
        <w:rPr>
          <w:rFonts w:cs="Segoe UI Historic"/>
          <w:i/>
          <w:szCs w:val="22"/>
        </w:rPr>
        <w:t>Pahlavi</w:t>
      </w:r>
      <w:r w:rsidR="009801CB" w:rsidRPr="009801CB">
        <w:rPr>
          <w:rFonts w:cs="Segoe UI Historic"/>
          <w:szCs w:val="22"/>
        </w:rPr>
        <w:t xml:space="preserve"> v. </w:t>
      </w:r>
      <w:r w:rsidRPr="009801CB">
        <w:rPr>
          <w:rFonts w:cs="Segoe UI Historic"/>
          <w:i/>
          <w:szCs w:val="22"/>
        </w:rPr>
        <w:t>Palandjian</w:t>
      </w:r>
      <w:r w:rsidRPr="00DD30F4">
        <w:rPr>
          <w:rFonts w:cs="Segoe UI Historic"/>
          <w:szCs w:val="22"/>
        </w:rPr>
        <w:t>, 809 F.2d 938, 942 (1</w:t>
      </w:r>
      <w:r w:rsidRPr="00DD30F4">
        <w:rPr>
          <w:rFonts w:cs="Segoe UI Historic"/>
          <w:szCs w:val="22"/>
          <w:vertAlign w:val="superscript"/>
        </w:rPr>
        <w:t>st</w:t>
      </w:r>
      <w:r w:rsidRPr="00DD30F4">
        <w:rPr>
          <w:rFonts w:cs="Segoe UI Historic"/>
          <w:szCs w:val="22"/>
        </w:rPr>
        <w:t xml:space="preserve"> Cir. 1987), citing </w:t>
      </w:r>
      <w:r w:rsidRPr="009801CB">
        <w:rPr>
          <w:rFonts w:cs="Segoe UI Historic"/>
          <w:i/>
          <w:szCs w:val="22"/>
        </w:rPr>
        <w:t>Ross</w:t>
      </w:r>
      <w:r w:rsidR="009801CB" w:rsidRPr="009801CB">
        <w:rPr>
          <w:rFonts w:cs="Segoe UI Historic"/>
          <w:szCs w:val="22"/>
        </w:rPr>
        <w:t xml:space="preserve"> v. </w:t>
      </w:r>
      <w:r w:rsidRPr="009801CB">
        <w:rPr>
          <w:rFonts w:cs="Segoe UI Historic"/>
          <w:i/>
          <w:szCs w:val="22"/>
        </w:rPr>
        <w:t>United States</w:t>
      </w:r>
      <w:r w:rsidRPr="00DD30F4">
        <w:rPr>
          <w:rFonts w:cs="Segoe UI Historic"/>
          <w:szCs w:val="22"/>
        </w:rPr>
        <w:t>, 574 F. Supp. 536 (S.D.N.Y. 1983).</w:t>
      </w:r>
    </w:p>
  </w:footnote>
  <w:footnote w:id="16">
    <w:p w14:paraId="5DA04700" w14:textId="7A0654C7" w:rsidR="00410C41" w:rsidRPr="009801CB" w:rsidRDefault="00410C41" w:rsidP="009801CB">
      <w:pPr>
        <w:pStyle w:val="FootnoteText"/>
        <w:rPr>
          <w:rFonts w:cs="Segoe UI Historic"/>
          <w:i/>
          <w:szCs w:val="22"/>
        </w:rPr>
      </w:pPr>
      <w:r w:rsidRPr="00DD30F4">
        <w:rPr>
          <w:rStyle w:val="FootnoteReference"/>
          <w:rFonts w:cs="Segoe UI Historic"/>
          <w:sz w:val="20"/>
          <w:szCs w:val="22"/>
        </w:rPr>
        <w:footnoteRef/>
      </w:r>
      <w:r w:rsidR="009801CB">
        <w:rPr>
          <w:rFonts w:cs="Segoe UI Historic"/>
          <w:sz w:val="20"/>
          <w:szCs w:val="22"/>
        </w:rPr>
        <w:t xml:space="preserve"> </w:t>
      </w:r>
      <w:r w:rsidR="009801CB">
        <w:rPr>
          <w:rFonts w:cs="Segoe UI Historic"/>
          <w:sz w:val="20"/>
          <w:szCs w:val="22"/>
        </w:rPr>
        <w:tab/>
      </w:r>
      <w:r w:rsidRPr="009801CB">
        <w:rPr>
          <w:rFonts w:cs="Segoe UI Historic"/>
          <w:i/>
          <w:szCs w:val="22"/>
        </w:rPr>
        <w:t>Allen</w:t>
      </w:r>
      <w:r w:rsidR="009801CB" w:rsidRPr="009801CB">
        <w:rPr>
          <w:rFonts w:cs="Segoe UI Historic"/>
          <w:iCs/>
          <w:szCs w:val="22"/>
        </w:rPr>
        <w:t xml:space="preserve"> v.</w:t>
      </w:r>
      <w:r w:rsidR="009801CB" w:rsidRPr="009801CB">
        <w:rPr>
          <w:rFonts w:cs="Segoe UI Historic"/>
          <w:i/>
          <w:szCs w:val="22"/>
        </w:rPr>
        <w:t xml:space="preserve"> </w:t>
      </w:r>
      <w:r w:rsidRPr="009801CB">
        <w:rPr>
          <w:rFonts w:cs="Segoe UI Historic"/>
          <w:i/>
          <w:szCs w:val="22"/>
        </w:rPr>
        <w:t>Plymouth</w:t>
      </w:r>
      <w:r w:rsidRPr="009801CB">
        <w:rPr>
          <w:rFonts w:cs="Segoe UI Historic"/>
          <w:iCs/>
          <w:szCs w:val="22"/>
        </w:rPr>
        <w:t>, 313 Mass. 356, 360 (1943)</w:t>
      </w:r>
      <w:r w:rsidRPr="009801CB">
        <w:rPr>
          <w:rFonts w:cs="Segoe UI Historic"/>
          <w:i/>
          <w:szCs w:val="22"/>
        </w:rPr>
        <w:t>.</w:t>
      </w:r>
    </w:p>
  </w:footnote>
  <w:footnote w:id="17">
    <w:p w14:paraId="2864915D" w14:textId="68C61FE7" w:rsidR="00410C41" w:rsidRPr="0079177A" w:rsidRDefault="00410C41" w:rsidP="00410C41">
      <w:pPr>
        <w:pStyle w:val="FootnoteText"/>
        <w:rPr>
          <w:rFonts w:cs="Segoe UI Historic"/>
          <w:szCs w:val="22"/>
        </w:rPr>
      </w:pPr>
      <w:r w:rsidRPr="0079177A">
        <w:rPr>
          <w:rStyle w:val="FootnoteReference"/>
          <w:rFonts w:cs="Segoe UI Historic"/>
          <w:szCs w:val="22"/>
        </w:rPr>
        <w:footnoteRef/>
      </w:r>
      <w:r w:rsidR="009801CB">
        <w:rPr>
          <w:rFonts w:cs="Segoe UI Historic"/>
          <w:szCs w:val="22"/>
        </w:rPr>
        <w:tab/>
      </w:r>
      <w:proofErr w:type="spellStart"/>
      <w:r w:rsidRPr="009801CB">
        <w:rPr>
          <w:rFonts w:cs="Segoe UI Historic"/>
          <w:i/>
          <w:szCs w:val="22"/>
        </w:rPr>
        <w:t>Omansky</w:t>
      </w:r>
      <w:proofErr w:type="spellEnd"/>
      <w:r w:rsidR="009801CB" w:rsidRPr="009801CB">
        <w:rPr>
          <w:rFonts w:cs="Segoe UI Historic"/>
          <w:szCs w:val="22"/>
        </w:rPr>
        <w:t xml:space="preserve"> v. </w:t>
      </w:r>
      <w:proofErr w:type="spellStart"/>
      <w:r w:rsidRPr="009801CB">
        <w:rPr>
          <w:rFonts w:cs="Segoe UI Historic"/>
          <w:i/>
          <w:szCs w:val="22"/>
        </w:rPr>
        <w:t>Shain</w:t>
      </w:r>
      <w:proofErr w:type="spellEnd"/>
      <w:r w:rsidRPr="0079177A">
        <w:rPr>
          <w:rFonts w:cs="Segoe UI Historic"/>
          <w:szCs w:val="22"/>
        </w:rPr>
        <w:t>, 313 Mass. 129, 130 (1943).</w:t>
      </w:r>
    </w:p>
  </w:footnote>
  <w:footnote w:id="18">
    <w:p w14:paraId="35296A30" w14:textId="57A129CC" w:rsidR="00410C41" w:rsidRPr="0079177A" w:rsidRDefault="00410C41" w:rsidP="00410C41">
      <w:pPr>
        <w:pStyle w:val="FootnoteText"/>
        <w:rPr>
          <w:rFonts w:cs="Segoe UI Historic"/>
        </w:rPr>
      </w:pPr>
      <w:r w:rsidRPr="0079177A">
        <w:rPr>
          <w:rStyle w:val="FootnoteReference"/>
          <w:rFonts w:cs="Segoe UI Historic"/>
        </w:rPr>
        <w:footnoteRef/>
      </w:r>
      <w:r w:rsidR="009801CB">
        <w:rPr>
          <w:rFonts w:cs="Segoe UI Historic"/>
        </w:rPr>
        <w:tab/>
      </w:r>
      <w:r w:rsidRPr="0079177A">
        <w:rPr>
          <w:rFonts w:cs="Segoe UI Historic"/>
        </w:rPr>
        <w:t xml:space="preserve">See e.g., </w:t>
      </w:r>
      <w:r w:rsidRPr="009801CB">
        <w:rPr>
          <w:rFonts w:cs="Segoe UI Historic"/>
          <w:i/>
        </w:rPr>
        <w:t>Ford</w:t>
      </w:r>
      <w:r w:rsidR="009801CB" w:rsidRPr="009801CB">
        <w:rPr>
          <w:rFonts w:cs="Segoe UI Historic"/>
        </w:rPr>
        <w:t xml:space="preserve"> v. </w:t>
      </w:r>
      <w:r w:rsidRPr="009801CB">
        <w:rPr>
          <w:rFonts w:cs="Segoe UI Historic"/>
          <w:i/>
        </w:rPr>
        <w:t>Retirement Bd. of Lawrence</w:t>
      </w:r>
      <w:r w:rsidRPr="0079177A">
        <w:rPr>
          <w:rFonts w:cs="Segoe UI Historic"/>
        </w:rPr>
        <w:t>, 315 Mass. 492, 496 (1944)</w:t>
      </w:r>
      <w:r>
        <w:rPr>
          <w:rFonts w:cs="Segoe UI Historic"/>
        </w:rPr>
        <w:t xml:space="preserve"> (</w:t>
      </w:r>
      <w:r w:rsidRPr="0079177A">
        <w:rPr>
          <w:rFonts w:cs="Segoe UI Historic"/>
        </w:rPr>
        <w:t>"If the plaintiffs were victims of coercion, then it was their duty to act seasonably as soon as t</w:t>
      </w:r>
      <w:r>
        <w:rPr>
          <w:rFonts w:cs="Segoe UI Historic"/>
        </w:rPr>
        <w:t xml:space="preserve">hey were freed of constraint[.]”); </w:t>
      </w:r>
      <w:r w:rsidRPr="009801CB">
        <w:rPr>
          <w:rFonts w:cs="Segoe UI Historic"/>
          <w:i/>
        </w:rPr>
        <w:t>Howe</w:t>
      </w:r>
      <w:r w:rsidR="009801CB" w:rsidRPr="009801CB">
        <w:rPr>
          <w:rFonts w:cs="Segoe UI Historic"/>
        </w:rPr>
        <w:t xml:space="preserve"> v. </w:t>
      </w:r>
      <w:r w:rsidRPr="009801CB">
        <w:rPr>
          <w:rFonts w:cs="Segoe UI Historic"/>
          <w:i/>
        </w:rPr>
        <w:t>Palmer</w:t>
      </w:r>
      <w:r w:rsidRPr="0079177A">
        <w:rPr>
          <w:rFonts w:cs="Segoe UI Historic"/>
        </w:rPr>
        <w:t>, 80 Mass. App. Ct. 736, 743 (2011)</w:t>
      </w:r>
      <w:r>
        <w:rPr>
          <w:rFonts w:cs="Segoe UI Historic"/>
        </w:rPr>
        <w:t>.</w:t>
      </w:r>
    </w:p>
  </w:footnote>
  <w:footnote w:id="19">
    <w:p w14:paraId="4FAE26A6" w14:textId="2A9FC2DC" w:rsidR="00410C41" w:rsidRPr="00674DDB" w:rsidRDefault="00410C41" w:rsidP="00410C41">
      <w:pPr>
        <w:pStyle w:val="FootnoteText"/>
        <w:rPr>
          <w:iCs/>
        </w:rPr>
      </w:pPr>
      <w:r>
        <w:rPr>
          <w:rStyle w:val="FootnoteReference"/>
        </w:rPr>
        <w:footnoteRef/>
      </w:r>
      <w:r w:rsidR="009801CB">
        <w:tab/>
      </w:r>
      <w:r w:rsidR="00674DDB">
        <w:rPr>
          <w:iCs/>
        </w:rPr>
        <w:t>See also model instructions for Contracts – Defenses.</w:t>
      </w:r>
    </w:p>
  </w:footnote>
  <w:footnote w:id="20">
    <w:p w14:paraId="0D9CE013" w14:textId="1EFFB9B1" w:rsidR="00410C41" w:rsidRPr="00DD30F4" w:rsidRDefault="00410C41" w:rsidP="00410C41">
      <w:pPr>
        <w:pStyle w:val="FootnoteText"/>
        <w:rPr>
          <w:rFonts w:cs="Segoe UI Historic"/>
          <w:sz w:val="18"/>
        </w:rPr>
      </w:pPr>
      <w:r w:rsidRPr="00DD30F4">
        <w:rPr>
          <w:rStyle w:val="FootnoteReference"/>
          <w:rFonts w:cs="Segoe UI Historic"/>
        </w:rPr>
        <w:footnoteRef/>
      </w:r>
      <w:r w:rsidR="00674DDB">
        <w:rPr>
          <w:rFonts w:cs="Segoe UI Historic"/>
        </w:rPr>
        <w:tab/>
      </w:r>
      <w:r>
        <w:rPr>
          <w:rFonts w:cs="Segoe UI Historic"/>
        </w:rPr>
        <w:t>”</w:t>
      </w:r>
      <w:r w:rsidRPr="009C23B3">
        <w:rPr>
          <w:rFonts w:cs="Segoe UI Historic"/>
        </w:rPr>
        <w:t xml:space="preserve">The elements of economic duress have </w:t>
      </w:r>
      <w:r>
        <w:rPr>
          <w:rFonts w:cs="Segoe UI Historic"/>
        </w:rPr>
        <w:t xml:space="preserve">[ ] </w:t>
      </w:r>
      <w:r w:rsidRPr="009C23B3">
        <w:rPr>
          <w:rFonts w:cs="Segoe UI Historic"/>
        </w:rPr>
        <w:t xml:space="preserve">been described as follows: </w:t>
      </w:r>
      <w:r>
        <w:rPr>
          <w:rFonts w:cs="Segoe UI Historic"/>
        </w:rPr>
        <w:t>‘</w:t>
      </w:r>
      <w:r w:rsidRPr="009C23B3">
        <w:rPr>
          <w:rFonts w:cs="Segoe UI Historic"/>
        </w:rPr>
        <w:t>(1) that one side involuntarily accepted the terms of another; (2) that circumstances permitted no other alternative; and (3) that said circumstances were the result of coercive acts of the opposite party.</w:t>
      </w:r>
      <w:r>
        <w:rPr>
          <w:rFonts w:cs="Segoe UI Historic"/>
        </w:rPr>
        <w:t xml:space="preserve">’” </w:t>
      </w:r>
      <w:r w:rsidRPr="009801CB">
        <w:rPr>
          <w:rFonts w:cs="Segoe UI Historic"/>
          <w:i/>
        </w:rPr>
        <w:t>Cabot Corp</w:t>
      </w:r>
      <w:r w:rsidR="009801CB" w:rsidRPr="009801CB">
        <w:rPr>
          <w:rFonts w:cs="Segoe UI Historic"/>
        </w:rPr>
        <w:t xml:space="preserve"> v. </w:t>
      </w:r>
      <w:r w:rsidRPr="009801CB">
        <w:rPr>
          <w:rFonts w:cs="Segoe UI Historic"/>
          <w:i/>
        </w:rPr>
        <w:t>AVX Corp</w:t>
      </w:r>
      <w:r w:rsidRPr="00DD30F4">
        <w:rPr>
          <w:rFonts w:cs="Segoe UI Historic"/>
        </w:rPr>
        <w:t>., 448 Mass. 629, 637-638 (2007</w:t>
      </w:r>
      <w:r>
        <w:rPr>
          <w:rFonts w:cs="Segoe UI Historic"/>
        </w:rPr>
        <w:t xml:space="preserve">). </w:t>
      </w:r>
      <w:r w:rsidRPr="00DD30F4">
        <w:rPr>
          <w:rFonts w:cs="Segoe UI Historic"/>
        </w:rPr>
        <w:t xml:space="preserve">The following </w:t>
      </w:r>
      <w:r>
        <w:rPr>
          <w:rFonts w:cs="Segoe UI Historic"/>
        </w:rPr>
        <w:t xml:space="preserve">additional </w:t>
      </w:r>
      <w:r w:rsidRPr="00DD30F4">
        <w:rPr>
          <w:rFonts w:cs="Segoe UI Historic"/>
        </w:rPr>
        <w:t xml:space="preserve">cases </w:t>
      </w:r>
      <w:r>
        <w:rPr>
          <w:rFonts w:cs="Segoe UI Historic"/>
        </w:rPr>
        <w:t xml:space="preserve">also </w:t>
      </w:r>
      <w:r w:rsidRPr="00DD30F4">
        <w:rPr>
          <w:rFonts w:cs="Segoe UI Historic"/>
        </w:rPr>
        <w:t xml:space="preserve">discuss economic duress in the contract context:  </w:t>
      </w:r>
      <w:r w:rsidRPr="009801CB">
        <w:rPr>
          <w:rFonts w:cs="Segoe UI Historic"/>
          <w:i/>
        </w:rPr>
        <w:t>Boston Med. Ctr. Corp.</w:t>
      </w:r>
      <w:r w:rsidR="009801CB" w:rsidRPr="009801CB">
        <w:rPr>
          <w:rFonts w:cs="Segoe UI Historic"/>
        </w:rPr>
        <w:t xml:space="preserve"> v. </w:t>
      </w:r>
      <w:r w:rsidRPr="009801CB">
        <w:rPr>
          <w:rFonts w:cs="Segoe UI Historic"/>
          <w:i/>
        </w:rPr>
        <w:t>Sec’y of the Executive Office of Health &amp; Human Servs</w:t>
      </w:r>
      <w:r w:rsidRPr="00DD30F4">
        <w:rPr>
          <w:rFonts w:cs="Segoe UI Historic"/>
        </w:rPr>
        <w:t xml:space="preserve">., 463 Mass. 447, 468-69 (2012); </w:t>
      </w:r>
      <w:r w:rsidRPr="009801CB">
        <w:rPr>
          <w:rFonts w:cs="Segoe UI Historic"/>
          <w:i/>
        </w:rPr>
        <w:t>Int’l Underwater Contractors, Inc.</w:t>
      </w:r>
      <w:r w:rsidR="009801CB" w:rsidRPr="009801CB">
        <w:rPr>
          <w:rFonts w:cs="Segoe UI Historic"/>
        </w:rPr>
        <w:t xml:space="preserve"> v. </w:t>
      </w:r>
      <w:r w:rsidRPr="009801CB">
        <w:rPr>
          <w:rFonts w:cs="Segoe UI Historic"/>
          <w:i/>
        </w:rPr>
        <w:t>New Eng. Tel. &amp; Tel. Co</w:t>
      </w:r>
      <w:r w:rsidRPr="00DD30F4">
        <w:rPr>
          <w:rFonts w:cs="Segoe UI Historic"/>
        </w:rPr>
        <w:t xml:space="preserve">., 8 </w:t>
      </w:r>
      <w:r>
        <w:rPr>
          <w:rFonts w:cs="Segoe UI Historic"/>
        </w:rPr>
        <w:t>Mass. App. Ct. 340, 342 (1979).</w:t>
      </w:r>
    </w:p>
  </w:footnote>
  <w:footnote w:id="21">
    <w:p w14:paraId="5EED043B" w14:textId="17C8B7F0" w:rsidR="00410C41" w:rsidRPr="00DD30F4" w:rsidRDefault="00410C41" w:rsidP="00410C41">
      <w:pPr>
        <w:pStyle w:val="FootnoteText"/>
        <w:rPr>
          <w:rFonts w:cs="Segoe UI Historic"/>
        </w:rPr>
      </w:pPr>
      <w:r w:rsidRPr="00DD30F4">
        <w:rPr>
          <w:rStyle w:val="FootnoteReference"/>
          <w:rFonts w:cs="Segoe UI Historic"/>
        </w:rPr>
        <w:footnoteRef/>
      </w:r>
      <w:r w:rsidR="00674DDB">
        <w:rPr>
          <w:rFonts w:cs="Segoe UI Historic"/>
        </w:rPr>
        <w:tab/>
      </w:r>
      <w:r w:rsidRPr="009801CB">
        <w:rPr>
          <w:rFonts w:cs="Segoe UI Historic"/>
          <w:i/>
        </w:rPr>
        <w:t xml:space="preserve">Riley v </w:t>
      </w:r>
      <w:proofErr w:type="spellStart"/>
      <w:r w:rsidRPr="009801CB">
        <w:rPr>
          <w:rFonts w:cs="Segoe UI Historic"/>
          <w:i/>
        </w:rPr>
        <w:t>Presnell</w:t>
      </w:r>
      <w:proofErr w:type="spellEnd"/>
      <w:r w:rsidRPr="00DD30F4">
        <w:rPr>
          <w:rFonts w:cs="Segoe UI Historic"/>
        </w:rPr>
        <w:t>, 409 Mass. 239, 245 (1991) (discovery rule for statute of limitations).</w:t>
      </w:r>
    </w:p>
  </w:footnote>
  <w:footnote w:id="22">
    <w:p w14:paraId="2A985C9D" w14:textId="1927836A" w:rsidR="00410C41" w:rsidRPr="00DC485A" w:rsidRDefault="00410C41" w:rsidP="00410C41">
      <w:pPr>
        <w:pStyle w:val="FootnoteText"/>
        <w:rPr>
          <w:rFonts w:cs="Segoe UI Historic"/>
        </w:rPr>
      </w:pPr>
      <w:r w:rsidRPr="00DC485A">
        <w:rPr>
          <w:rStyle w:val="FootnoteReference"/>
          <w:rFonts w:cs="Segoe UI Historic"/>
        </w:rPr>
        <w:footnoteRef/>
      </w:r>
      <w:r w:rsidRPr="00DC485A">
        <w:rPr>
          <w:rFonts w:cs="Segoe UI Historic"/>
        </w:rPr>
        <w:t xml:space="preserve"> </w:t>
      </w:r>
      <w:r w:rsidR="00674DDB">
        <w:rPr>
          <w:rFonts w:cs="Segoe UI Historic"/>
        </w:rPr>
        <w:tab/>
      </w:r>
      <w:r w:rsidRPr="00DC485A">
        <w:rPr>
          <w:rFonts w:cs="Segoe UI Historic"/>
        </w:rPr>
        <w:t>Notice for purposes of the statute of limitations “is simple knowledge that an injury has occurred.” White v. Peabody Constr. Co., 386 Mass. 121, 130 (1982).</w:t>
      </w:r>
    </w:p>
  </w:footnote>
  <w:footnote w:id="23">
    <w:p w14:paraId="69F31B71" w14:textId="5FF8DCF8" w:rsidR="00410C41" w:rsidRPr="000A0C7E" w:rsidRDefault="00410C41" w:rsidP="00410C41">
      <w:pPr>
        <w:pStyle w:val="FootnoteText"/>
        <w:rPr>
          <w:rFonts w:cs="Segoe UI Historic"/>
        </w:rPr>
      </w:pPr>
      <w:r w:rsidRPr="004577C6">
        <w:rPr>
          <w:rStyle w:val="FootnoteReference"/>
          <w:rFonts w:cs="Segoe UI Historic"/>
        </w:rPr>
        <w:footnoteRef/>
      </w:r>
      <w:r w:rsidRPr="004577C6">
        <w:rPr>
          <w:rFonts w:cs="Segoe UI Historic"/>
        </w:rPr>
        <w:t xml:space="preserve"> </w:t>
      </w:r>
      <w:r w:rsidR="00674DDB">
        <w:rPr>
          <w:rFonts w:cs="Segoe UI Historic"/>
        </w:rPr>
        <w:tab/>
      </w:r>
      <w:r w:rsidRPr="009801CB">
        <w:rPr>
          <w:rFonts w:cs="Segoe UI Historic"/>
          <w:i/>
        </w:rPr>
        <w:t>Bowen</w:t>
      </w:r>
      <w:r w:rsidR="009801CB" w:rsidRPr="009801CB">
        <w:rPr>
          <w:rFonts w:cs="Segoe UI Historic"/>
        </w:rPr>
        <w:t xml:space="preserve"> v. </w:t>
      </w:r>
      <w:r w:rsidRPr="009801CB">
        <w:rPr>
          <w:rFonts w:cs="Segoe UI Historic"/>
          <w:i/>
        </w:rPr>
        <w:t>Eli Lilly &amp; Co., Inc</w:t>
      </w:r>
      <w:r w:rsidRPr="004577C6">
        <w:rPr>
          <w:rFonts w:cs="Segoe UI Historic"/>
        </w:rPr>
        <w:t xml:space="preserve">., 408 Mass. 204, 208 (1990) (plaintiff on notice for statute of limitations </w:t>
      </w:r>
      <w:r w:rsidRPr="000A0C7E">
        <w:rPr>
          <w:rFonts w:cs="Segoe UI Historic"/>
        </w:rPr>
        <w:t>purposes).</w:t>
      </w:r>
    </w:p>
  </w:footnote>
  <w:footnote w:id="24">
    <w:p w14:paraId="2E709DCF" w14:textId="25028E71" w:rsidR="00410C41" w:rsidRPr="000A0C7E" w:rsidRDefault="00410C41" w:rsidP="00410C41">
      <w:pPr>
        <w:pStyle w:val="FootnoteText"/>
        <w:rPr>
          <w:rFonts w:cs="Segoe UI Historic"/>
        </w:rPr>
      </w:pPr>
      <w:r w:rsidRPr="000A0C7E">
        <w:rPr>
          <w:rStyle w:val="FootnoteReference"/>
          <w:rFonts w:cs="Segoe UI Historic"/>
        </w:rPr>
        <w:footnoteRef/>
      </w:r>
      <w:r w:rsidR="00674DDB">
        <w:rPr>
          <w:rFonts w:cs="Segoe UI Historic"/>
        </w:rPr>
        <w:tab/>
      </w:r>
      <w:r w:rsidRPr="000A0C7E">
        <w:rPr>
          <w:rFonts w:cs="Segoe UI Historic"/>
        </w:rPr>
        <w:t>“[R]</w:t>
      </w:r>
      <w:proofErr w:type="spellStart"/>
      <w:r w:rsidRPr="000A0C7E">
        <w:rPr>
          <w:rFonts w:cs="Segoe UI Historic"/>
        </w:rPr>
        <w:t>ecognizing</w:t>
      </w:r>
      <w:proofErr w:type="spellEnd"/>
      <w:r w:rsidRPr="000A0C7E">
        <w:rPr>
          <w:rFonts w:cs="Segoe UI Historic"/>
        </w:rPr>
        <w:t xml:space="preserve"> the unfairness of a rule that allows statutes of limitation to run even before a plaintiff knew or reasonably should have known that it may have been harmed, the Supreme Judicial Court has adopted ‘a discovery rule for the purpose of determining when a cause of action accrues, and thus when the statute of limitations starts to run.’” </w:t>
      </w:r>
      <w:r w:rsidRPr="006F5104">
        <w:rPr>
          <w:rFonts w:cs="Segoe UI Historic"/>
          <w:i/>
        </w:rPr>
        <w:t>Commonwealth</w:t>
      </w:r>
      <w:r w:rsidR="009801CB" w:rsidRPr="009801CB">
        <w:rPr>
          <w:rFonts w:cs="Segoe UI Historic"/>
        </w:rPr>
        <w:t xml:space="preserve"> v. </w:t>
      </w:r>
      <w:r w:rsidRPr="006F5104">
        <w:rPr>
          <w:rFonts w:cs="Segoe UI Historic"/>
          <w:i/>
        </w:rPr>
        <w:t>Tradition (North America) Inc.</w:t>
      </w:r>
      <w:r w:rsidRPr="000A0C7E">
        <w:rPr>
          <w:rFonts w:cs="Segoe UI Historic"/>
        </w:rPr>
        <w:t xml:space="preserve">, 91 Mass. App. Ct. 63, 70 – 71 (2017) (quoting </w:t>
      </w:r>
      <w:r w:rsidRPr="009801CB">
        <w:rPr>
          <w:rFonts w:cs="Segoe UI Historic"/>
          <w:i/>
        </w:rPr>
        <w:t>Bowen</w:t>
      </w:r>
      <w:r w:rsidR="009801CB" w:rsidRPr="009801CB">
        <w:rPr>
          <w:rFonts w:cs="Segoe UI Historic"/>
        </w:rPr>
        <w:t xml:space="preserve"> v. </w:t>
      </w:r>
      <w:r w:rsidRPr="009801CB">
        <w:rPr>
          <w:rFonts w:cs="Segoe UI Historic"/>
          <w:i/>
        </w:rPr>
        <w:t>Eli Lilly &amp;   Co.</w:t>
      </w:r>
      <w:r w:rsidRPr="000A0C7E">
        <w:rPr>
          <w:rFonts w:cs="Segoe UI Historic"/>
        </w:rPr>
        <w:t>, 408 Mass. 204, 205 (1990)).</w:t>
      </w:r>
    </w:p>
  </w:footnote>
  <w:footnote w:id="25">
    <w:p w14:paraId="3B35D041" w14:textId="41ED4081" w:rsidR="00410C41" w:rsidRPr="00450D3E" w:rsidRDefault="00410C41" w:rsidP="00410C41">
      <w:pPr>
        <w:pStyle w:val="FootnoteText"/>
        <w:rPr>
          <w:rFonts w:cs="Segoe UI Historic"/>
        </w:rPr>
      </w:pPr>
      <w:r w:rsidRPr="000A0C7E">
        <w:rPr>
          <w:rStyle w:val="FootnoteReference"/>
          <w:rFonts w:cs="Segoe UI Historic"/>
        </w:rPr>
        <w:footnoteRef/>
      </w:r>
      <w:r w:rsidR="00674DDB">
        <w:rPr>
          <w:rFonts w:cs="Segoe UI Historic"/>
        </w:rPr>
        <w:tab/>
      </w:r>
      <w:r w:rsidRPr="000A0C7E">
        <w:rPr>
          <w:rFonts w:cs="Segoe UI Historic"/>
        </w:rPr>
        <w:t xml:space="preserve">“If a defendant pleads the statute of limitations and demonstrates that the action was commenced more than three years after the date of the plaintiff's injury, the plaintiff has the burden of proving that the facts take the case outside of the statute of limitations.” </w:t>
      </w:r>
      <w:r w:rsidRPr="009801CB">
        <w:rPr>
          <w:rFonts w:cs="Segoe UI Historic"/>
          <w:i/>
        </w:rPr>
        <w:t>Williams</w:t>
      </w:r>
      <w:r w:rsidR="009801CB" w:rsidRPr="009801CB">
        <w:rPr>
          <w:rFonts w:cs="Segoe UI Historic"/>
        </w:rPr>
        <w:t xml:space="preserve"> v. </w:t>
      </w:r>
      <w:r w:rsidRPr="009801CB">
        <w:rPr>
          <w:rFonts w:cs="Segoe UI Historic"/>
          <w:i/>
        </w:rPr>
        <w:t>Ely</w:t>
      </w:r>
      <w:r w:rsidRPr="000A0C7E">
        <w:rPr>
          <w:rFonts w:cs="Segoe UI Historic"/>
        </w:rPr>
        <w:t>, 423 Mass. 467, 474 (1996).</w:t>
      </w:r>
    </w:p>
  </w:footnote>
  <w:footnote w:id="26">
    <w:p w14:paraId="10F8CB1E" w14:textId="65EEEAAD" w:rsidR="00674DDB" w:rsidRDefault="00674DDB">
      <w:pPr>
        <w:pStyle w:val="FootnoteText"/>
      </w:pPr>
      <w:r>
        <w:rPr>
          <w:rStyle w:val="FootnoteReference"/>
        </w:rPr>
        <w:footnoteRef/>
      </w:r>
      <w:r>
        <w:tab/>
      </w:r>
      <w:r w:rsidRPr="009801CB">
        <w:rPr>
          <w:i/>
        </w:rPr>
        <w:t>Bowen</w:t>
      </w:r>
      <w:r w:rsidRPr="009801CB">
        <w:t xml:space="preserve"> v. </w:t>
      </w:r>
      <w:r w:rsidRPr="009801CB">
        <w:rPr>
          <w:i/>
        </w:rPr>
        <w:t>Eli Lilly &amp; Co.</w:t>
      </w:r>
      <w:r w:rsidRPr="00CF76EC">
        <w:t>, 408 Mass. 204, 207 (1990) (citation omitted)</w:t>
      </w:r>
      <w:r w:rsidR="00AB266D">
        <w:t xml:space="preserve">. </w:t>
      </w:r>
      <w:r>
        <w:t xml:space="preserve">See also </w:t>
      </w:r>
      <w:r w:rsidRPr="009801CB">
        <w:rPr>
          <w:i/>
        </w:rPr>
        <w:t>Harrington</w:t>
      </w:r>
      <w:r w:rsidRPr="009801CB">
        <w:t xml:space="preserve"> v. </w:t>
      </w:r>
      <w:r w:rsidRPr="009801CB">
        <w:rPr>
          <w:i/>
        </w:rPr>
        <w:t>Costello</w:t>
      </w:r>
      <w:r w:rsidRPr="00BA52ED">
        <w:t>, </w:t>
      </w:r>
      <w:bookmarkStart w:id="0" w:name="cite_467mass720"/>
      <w:r w:rsidRPr="00BA52ED">
        <w:t>467 Mass. 720</w:t>
      </w:r>
      <w:bookmarkEnd w:id="0"/>
      <w:r w:rsidRPr="00BA52ED">
        <w:t xml:space="preserve">, 724 (2014); </w:t>
      </w:r>
      <w:r w:rsidRPr="009801CB">
        <w:rPr>
          <w:i/>
        </w:rPr>
        <w:t>AA&amp;D Masonry, LLC</w:t>
      </w:r>
      <w:r w:rsidRPr="009801CB">
        <w:t xml:space="preserve"> v. </w:t>
      </w:r>
      <w:r w:rsidRPr="009801CB">
        <w:rPr>
          <w:i/>
        </w:rPr>
        <w:t>South Street Business Park, LLC</w:t>
      </w:r>
      <w:r w:rsidRPr="00BA52ED">
        <w:t>, 93</w:t>
      </w:r>
      <w:r>
        <w:t> </w:t>
      </w:r>
      <w:r w:rsidRPr="00BA52ED">
        <w:t>Mass. App. Ct. 693, 698-699 (2018)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BEFF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96E0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EC19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6A1B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4649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185D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9400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E02C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42D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B88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7B9E"/>
    <w:rsid w:val="000D70C6"/>
    <w:rsid w:val="000E7622"/>
    <w:rsid w:val="00100921"/>
    <w:rsid w:val="0010739E"/>
    <w:rsid w:val="00130F23"/>
    <w:rsid w:val="0017397B"/>
    <w:rsid w:val="001B7748"/>
    <w:rsid w:val="001C5FA5"/>
    <w:rsid w:val="001D701D"/>
    <w:rsid w:val="001E2162"/>
    <w:rsid w:val="00221552"/>
    <w:rsid w:val="00257345"/>
    <w:rsid w:val="00294F89"/>
    <w:rsid w:val="002A2C60"/>
    <w:rsid w:val="00303039"/>
    <w:rsid w:val="00410C41"/>
    <w:rsid w:val="00420329"/>
    <w:rsid w:val="004848CB"/>
    <w:rsid w:val="004A3ABB"/>
    <w:rsid w:val="004A3BE2"/>
    <w:rsid w:val="00507FB8"/>
    <w:rsid w:val="00516C98"/>
    <w:rsid w:val="005446C0"/>
    <w:rsid w:val="00550249"/>
    <w:rsid w:val="0056097A"/>
    <w:rsid w:val="00594672"/>
    <w:rsid w:val="00596E5A"/>
    <w:rsid w:val="00674DDB"/>
    <w:rsid w:val="00676B44"/>
    <w:rsid w:val="006F5104"/>
    <w:rsid w:val="00721F08"/>
    <w:rsid w:val="00762BE0"/>
    <w:rsid w:val="007B3448"/>
    <w:rsid w:val="007E7B77"/>
    <w:rsid w:val="00834E34"/>
    <w:rsid w:val="008733AA"/>
    <w:rsid w:val="00880AA6"/>
    <w:rsid w:val="0088302E"/>
    <w:rsid w:val="00924FB8"/>
    <w:rsid w:val="0094500B"/>
    <w:rsid w:val="009801CB"/>
    <w:rsid w:val="00992410"/>
    <w:rsid w:val="009B481F"/>
    <w:rsid w:val="00A05B86"/>
    <w:rsid w:val="00A164C0"/>
    <w:rsid w:val="00A2789E"/>
    <w:rsid w:val="00A55E4E"/>
    <w:rsid w:val="00A56498"/>
    <w:rsid w:val="00A76145"/>
    <w:rsid w:val="00A917A4"/>
    <w:rsid w:val="00A95EAD"/>
    <w:rsid w:val="00AB266D"/>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E45322"/>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odyTextIndent">
    <w:name w:val="Body Text Indent"/>
    <w:basedOn w:val="Normal"/>
    <w:link w:val="BodyTextIndentChar"/>
    <w:uiPriority w:val="99"/>
    <w:semiHidden/>
    <w:unhideWhenUsed/>
    <w:rsid w:val="00410C41"/>
    <w:pPr>
      <w:spacing w:after="120"/>
      <w:ind w:left="360"/>
    </w:pPr>
  </w:style>
  <w:style w:type="character" w:customStyle="1" w:styleId="BodyTextIndentChar">
    <w:name w:val="Body Text Indent Char"/>
    <w:basedOn w:val="DefaultParagraphFont"/>
    <w:link w:val="BodyTextIndent"/>
    <w:uiPriority w:val="99"/>
    <w:semiHidden/>
    <w:rsid w:val="00410C41"/>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William Burke</cp:lastModifiedBy>
  <cp:revision>2</cp:revision>
  <dcterms:created xsi:type="dcterms:W3CDTF">2022-03-28T19:31:00Z</dcterms:created>
  <dcterms:modified xsi:type="dcterms:W3CDTF">2022-03-28T19:31:00Z</dcterms:modified>
</cp:coreProperties>
</file>