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195A" w14:textId="77777777" w:rsidR="0026097C" w:rsidRPr="00720E2B" w:rsidRDefault="0026097C" w:rsidP="0026097C">
      <w:pPr>
        <w:pStyle w:val="JuryInstructionText"/>
        <w:jc w:val="right"/>
        <w:rPr>
          <w:i/>
          <w:iCs/>
        </w:rPr>
      </w:pPr>
      <w:r w:rsidRPr="00720E2B">
        <w:rPr>
          <w:i/>
          <w:iCs/>
        </w:rPr>
        <w:t xml:space="preserve">Publication Date: </w:t>
      </w:r>
      <w:r>
        <w:rPr>
          <w:i/>
          <w:iCs/>
        </w:rPr>
        <w:t>November 13, 2023</w:t>
      </w:r>
    </w:p>
    <w:p w14:paraId="11BE460C" w14:textId="4A4C4320" w:rsidR="008B11E6" w:rsidRPr="004834BE" w:rsidRDefault="00BF743A" w:rsidP="00BF743A">
      <w:pPr>
        <w:pStyle w:val="JuryInst2"/>
      </w:pPr>
      <w:r w:rsidRPr="004834BE">
        <w:t>Gross Negligence</w:t>
      </w:r>
      <w:r w:rsidR="008B11E6" w:rsidRPr="004834BE">
        <w:rPr>
          <w:rStyle w:val="FootnoteReference"/>
          <w:rFonts w:cs="Segoe UI Historic"/>
        </w:rPr>
        <w:footnoteReference w:id="1"/>
      </w:r>
    </w:p>
    <w:p w14:paraId="4B91F0D5" w14:textId="3038EFFE" w:rsidR="008B11E6" w:rsidRPr="00C23B42" w:rsidRDefault="008B11E6" w:rsidP="008B11E6">
      <w:pPr>
        <w:pStyle w:val="JuryInstructionText"/>
      </w:pPr>
      <w:r w:rsidRPr="00C23B42">
        <w:t xml:space="preserve">PLF has also brought </w:t>
      </w:r>
      <w:r w:rsidR="00BF743A">
        <w:t xml:space="preserve">a </w:t>
      </w:r>
      <w:r w:rsidRPr="00C23B42">
        <w:t>claim against DFT for gross negligence</w:t>
      </w:r>
      <w:r w:rsidR="00BF743A">
        <w:t xml:space="preserve">. </w:t>
      </w:r>
      <w:r w:rsidRPr="00C23B42">
        <w:t>PLF claims that DFT’s gross negligence caused DCD’s [decedent</w:t>
      </w:r>
      <w:r>
        <w:t>’s</w:t>
      </w:r>
      <w:r w:rsidRPr="00C23B42">
        <w:t>] death by [describe alleged acts or omissions]</w:t>
      </w:r>
      <w:r w:rsidR="00BF743A">
        <w:t xml:space="preserve">. </w:t>
      </w:r>
      <w:r w:rsidRPr="00C23B42">
        <w:t>A person/company can be grossly negligent by acting or by failing to act</w:t>
      </w:r>
      <w:r w:rsidR="00BF743A">
        <w:t xml:space="preserve">. </w:t>
      </w:r>
      <w:r w:rsidRPr="00C23B42">
        <w:t>PLF must prove that, more likely than not, DFT was grossly negligen</w:t>
      </w:r>
      <w:r>
        <w:t>t</w:t>
      </w:r>
      <w:r w:rsidRPr="00C23B42">
        <w:t xml:space="preserve">. </w:t>
      </w:r>
    </w:p>
    <w:p w14:paraId="38D0F73E" w14:textId="4582C401" w:rsidR="008B11E6" w:rsidRPr="00C23B42" w:rsidRDefault="008B11E6" w:rsidP="008B11E6">
      <w:pPr>
        <w:pStyle w:val="JuryInstructionText"/>
      </w:pPr>
      <w:r w:rsidRPr="00C23B42">
        <w:t>Gross negligence is the failure to use even slight care to avoid creating an unreasonable risk of harm</w:t>
      </w:r>
      <w:r w:rsidR="00BF743A">
        <w:t xml:space="preserve">. </w:t>
      </w:r>
      <w:r>
        <w:t>It means</w:t>
      </w:r>
      <w:r w:rsidRPr="00C23B42">
        <w:t xml:space="preserve"> indifference to DFT’s duty to use reasonable care to avoid harm</w:t>
      </w:r>
      <w:r w:rsidR="00BF743A">
        <w:t xml:space="preserve">. </w:t>
      </w:r>
      <w:r>
        <w:t>Gross negligence is</w:t>
      </w:r>
      <w:r w:rsidRPr="00C23B42">
        <w:t xml:space="preserve"> an extreme departure from what a reasonably careful [person/company] would do under similar circumstances.</w:t>
      </w:r>
      <w:r w:rsidRPr="00C23B42">
        <w:rPr>
          <w:rStyle w:val="FootnoteReference"/>
          <w:rFonts w:cs="Segoe UI Historic"/>
        </w:rPr>
        <w:footnoteReference w:id="2"/>
      </w:r>
      <w:r w:rsidRPr="00C23B42">
        <w:t xml:space="preserve">  The difference between negligence and gross negligence is a matter of degree</w:t>
      </w:r>
      <w:r w:rsidR="00BF743A">
        <w:t xml:space="preserve">. </w:t>
      </w:r>
      <w:r w:rsidRPr="00C23B42">
        <w:t xml:space="preserve">Gross negligence </w:t>
      </w:r>
      <w:r>
        <w:t>i</w:t>
      </w:r>
      <w:r w:rsidRPr="00C23B42">
        <w:t>s very great negligence and goes significantly beyond the mere failure to use reasonable care</w:t>
      </w:r>
      <w:r w:rsidR="00BF743A">
        <w:t xml:space="preserve">. </w:t>
      </w:r>
    </w:p>
    <w:p w14:paraId="43A9D386" w14:textId="3786B9D1" w:rsidR="008B11E6" w:rsidRPr="00C23B42" w:rsidRDefault="008B11E6" w:rsidP="008B11E6">
      <w:pPr>
        <w:pStyle w:val="JuryInstructionText"/>
      </w:pPr>
      <w:r w:rsidRPr="00C23B42">
        <w:lastRenderedPageBreak/>
        <w:t xml:space="preserve">To prove gross negligence, however, PLF does </w:t>
      </w:r>
      <w:r w:rsidRPr="00BF3CC4">
        <w:rPr>
          <w:b/>
          <w:bCs/>
          <w:iCs/>
        </w:rPr>
        <w:t>not</w:t>
      </w:r>
      <w:r w:rsidRPr="00C23B42">
        <w:rPr>
          <w:i/>
        </w:rPr>
        <w:t xml:space="preserve"> </w:t>
      </w:r>
      <w:r w:rsidRPr="00C23B42">
        <w:t>have to prove that DFT intentionally or recklessly engaged in misconduct or wrongdoing.</w:t>
      </w:r>
      <w:r w:rsidRPr="00C23B42">
        <w:rPr>
          <w:rStyle w:val="FootnoteReference"/>
          <w:rFonts w:cs="Segoe UI Historic"/>
        </w:rPr>
        <w:footnoteReference w:id="3"/>
      </w:r>
    </w:p>
    <w:p w14:paraId="652498E3" w14:textId="35E27984" w:rsidR="008B11E6" w:rsidRDefault="008B11E6" w:rsidP="008B11E6">
      <w:pPr>
        <w:pStyle w:val="JuryInstructionText"/>
      </w:pPr>
      <w:r w:rsidRPr="00C23B42">
        <w:t>You should consider DFT’s conduct as a whole and consider the likely consequences of the act or failure to act</w:t>
      </w:r>
      <w:r w:rsidR="00BF743A">
        <w:t xml:space="preserve">. </w:t>
      </w:r>
      <w:r>
        <w:t>You should also c</w:t>
      </w:r>
      <w:r w:rsidRPr="00C23B42">
        <w:t>onsider that the necessary degree of care increases as the potential for harm increases.</w:t>
      </w:r>
      <w:r w:rsidRPr="00C23B42">
        <w:rPr>
          <w:rStyle w:val="FootnoteReference"/>
          <w:rFonts w:cs="Segoe UI Historic"/>
        </w:rPr>
        <w:footnoteReference w:id="4"/>
      </w:r>
      <w:r w:rsidRPr="00C23B42">
        <w:t xml:space="preserve"> </w:t>
      </w:r>
      <w:r w:rsidR="0026097C">
        <w:t xml:space="preserve">That is, the greater the danger, the more careful DFT must be. </w:t>
      </w:r>
      <w:r w:rsidRPr="00C23B42">
        <w:t>If</w:t>
      </w:r>
      <w:r w:rsidR="00BF3CC4">
        <w:t> </w:t>
      </w:r>
      <w:r w:rsidRPr="00C23B42">
        <w:t>DFT’s act [failure to act] was likely to cause death or very serious injury</w:t>
      </w:r>
      <w:r>
        <w:t>,</w:t>
      </w:r>
      <w:r w:rsidRPr="00C23B42">
        <w:t xml:space="preserve"> then you may find gross negligence, even if the act [failure to act] would otherwise be a simple lack of reasonable care, i.e., negligence</w:t>
      </w:r>
      <w:r w:rsidRPr="00C23B42">
        <w:rPr>
          <w:rStyle w:val="sssh"/>
          <w:rFonts w:cs="Segoe UI Historic"/>
          <w:bCs/>
        </w:rPr>
        <w:t>.</w:t>
      </w:r>
      <w:r w:rsidRPr="00C23B42">
        <w:rPr>
          <w:rStyle w:val="FootnoteReference"/>
          <w:rFonts w:cs="Segoe UI Historic"/>
          <w:bCs/>
        </w:rPr>
        <w:footnoteReference w:id="5"/>
      </w:r>
      <w:r w:rsidRPr="00C23B42">
        <w:rPr>
          <w:rStyle w:val="sssh"/>
          <w:rFonts w:cs="Segoe UI Historic"/>
          <w:b/>
          <w:bCs/>
        </w:rPr>
        <w:t xml:space="preserve"> </w:t>
      </w:r>
      <w:r w:rsidRPr="00C23B42">
        <w:t xml:space="preserve">You may consider the combined effect of multiple failures to use reasonable care in determining </w:t>
      </w:r>
      <w:r>
        <w:t xml:space="preserve">whether </w:t>
      </w:r>
      <w:r w:rsidRPr="00C23B42">
        <w:t>DFT was grossly negligent.</w:t>
      </w:r>
      <w:r w:rsidRPr="00C23B42">
        <w:rPr>
          <w:rStyle w:val="FootnoteReference"/>
          <w:rFonts w:cs="Segoe UI Historic"/>
        </w:rPr>
        <w:footnoteReference w:id="6"/>
      </w:r>
      <w:r w:rsidRPr="00C23B42">
        <w:t xml:space="preserve"> Whether or not an alleged act or failure to act is grossly negligent depends heavily on the facts as you find them to be. </w:t>
      </w:r>
    </w:p>
    <w:p w14:paraId="480A3B2B" w14:textId="77777777" w:rsidR="008B11E6" w:rsidRPr="00C23B42" w:rsidRDefault="008B11E6" w:rsidP="008B11E6">
      <w:pPr>
        <w:pStyle w:val="JuryInstructionText"/>
      </w:pPr>
      <w:r>
        <w:t>To help as you consider the evidence, y</w:t>
      </w:r>
      <w:r w:rsidRPr="00C23B42">
        <w:t>ou should ask yourselves the following questions:</w:t>
      </w:r>
    </w:p>
    <w:p w14:paraId="4B8CC061" w14:textId="77777777" w:rsidR="008B11E6" w:rsidRDefault="008B11E6" w:rsidP="008B11E6">
      <w:pPr>
        <w:pStyle w:val="JuryInstructionBullets"/>
      </w:pPr>
      <w:r w:rsidRPr="00C23B42">
        <w:t>Did the DFT voluntarily take an obvious risk in circumstances where failure to use reasonable care could be fatal or cause very serious injury?</w:t>
      </w:r>
      <w:r w:rsidRPr="00C23B42">
        <w:rPr>
          <w:rStyle w:val="FootnoteReference"/>
          <w:rFonts w:cs="Segoe UI Historic"/>
        </w:rPr>
        <w:footnoteReference w:id="7"/>
      </w:r>
      <w:r w:rsidRPr="00C23B42">
        <w:t xml:space="preserve"> </w:t>
      </w:r>
    </w:p>
    <w:p w14:paraId="71BD2852" w14:textId="77777777" w:rsidR="008B11E6" w:rsidRDefault="008B11E6" w:rsidP="008B11E6">
      <w:pPr>
        <w:pStyle w:val="JuryInstructionBullets"/>
      </w:pPr>
      <w:r w:rsidRPr="00C23B42">
        <w:t>Did the DFT persist in a clearly negligent course of conduct over a noticeable period of time?</w:t>
      </w:r>
      <w:r w:rsidRPr="00C23B42">
        <w:rPr>
          <w:rStyle w:val="FootnoteReference"/>
          <w:rFonts w:cs="Segoe UI Historic"/>
        </w:rPr>
        <w:footnoteReference w:id="8"/>
      </w:r>
      <w:r w:rsidRPr="00C23B42">
        <w:t xml:space="preserve"> </w:t>
      </w:r>
    </w:p>
    <w:p w14:paraId="00C0BEE4" w14:textId="77777777" w:rsidR="008B11E6" w:rsidRPr="00574C68" w:rsidRDefault="008B11E6" w:rsidP="008B11E6">
      <w:pPr>
        <w:pStyle w:val="JuryInstructionBullets"/>
      </w:pPr>
      <w:r w:rsidRPr="001B729A">
        <w:t>Was DFT impatient with reasonable precautions?</w:t>
      </w:r>
    </w:p>
    <w:p w14:paraId="7D67CFEC" w14:textId="5930609E" w:rsidR="008B11E6" w:rsidRDefault="008B11E6" w:rsidP="008B11E6">
      <w:pPr>
        <w:pStyle w:val="JuryInstructionBullets"/>
      </w:pPr>
      <w:r w:rsidRPr="00C23B42">
        <w:t>Was DFT deliberately inattentive?</w:t>
      </w:r>
      <w:r w:rsidRPr="00C23B42">
        <w:rPr>
          <w:rStyle w:val="FootnoteReference"/>
          <w:rFonts w:cs="Segoe UI Historic"/>
        </w:rPr>
        <w:footnoteReference w:id="9"/>
      </w:r>
    </w:p>
    <w:p w14:paraId="12A07930" w14:textId="77777777" w:rsidR="008B11E6" w:rsidRPr="00C23B42" w:rsidRDefault="008B11E6" w:rsidP="008B11E6">
      <w:pPr>
        <w:pStyle w:val="JuryInstructionBullets"/>
      </w:pPr>
      <w:r w:rsidRPr="00C23B42">
        <w:lastRenderedPageBreak/>
        <w:t>If DFT was inattentive</w:t>
      </w:r>
      <w:r>
        <w:t xml:space="preserve"> for just a moment</w:t>
      </w:r>
      <w:r w:rsidRPr="00C23B42">
        <w:t>, did s/he do so at a time when there was a risk of great and immediate danger?</w:t>
      </w:r>
      <w:r w:rsidRPr="00E54759">
        <w:rPr>
          <w:rStyle w:val="FootnoteReference"/>
          <w:rFonts w:cs="Segoe UI Historic"/>
        </w:rPr>
        <w:footnoteReference w:id="10"/>
      </w:r>
    </w:p>
    <w:p w14:paraId="3155ED65" w14:textId="4543800E" w:rsidR="008B11E6" w:rsidRPr="00C23B42" w:rsidRDefault="008B11E6" w:rsidP="008B11E6">
      <w:pPr>
        <w:pStyle w:val="JuryInstructionText"/>
      </w:pPr>
      <w:r w:rsidRPr="00C23B42">
        <w:t>If the answer is “yes” to one or more of these questions, you may find DFT</w:t>
      </w:r>
      <w:r>
        <w:t xml:space="preserve">’s conduct was </w:t>
      </w:r>
      <w:r w:rsidRPr="00C23B42">
        <w:t>grossly negligent</w:t>
      </w:r>
      <w:r w:rsidR="00BF743A">
        <w:t xml:space="preserve">. </w:t>
      </w:r>
      <w:r>
        <w:t xml:space="preserve">It is for you to decide whether the DFT’s conduct was grossly </w:t>
      </w:r>
      <w:proofErr w:type="gramStart"/>
      <w:r>
        <w:t>negligent, once</w:t>
      </w:r>
      <w:proofErr w:type="gramEnd"/>
      <w:r>
        <w:t xml:space="preserve"> you have considered all of the circumstances and all of my instructions</w:t>
      </w:r>
      <w:r w:rsidR="00BF743A">
        <w:t xml:space="preserve">. </w:t>
      </w:r>
    </w:p>
    <w:p w14:paraId="21F33DD6" w14:textId="7B266D6C" w:rsidR="00B75859" w:rsidRPr="008B11E6" w:rsidRDefault="008B11E6" w:rsidP="00BF743A">
      <w:pPr>
        <w:pStyle w:val="JuryInstructionText"/>
      </w:pPr>
      <w:r w:rsidRPr="00C23B42">
        <w:t>Question ___ asks: “Was DFT grossly negligent?”</w:t>
      </w:r>
      <w:r>
        <w:t xml:space="preserve"> </w:t>
      </w:r>
      <w:r w:rsidRPr="00C23B42">
        <w:t>If you answer “yes</w:t>
      </w:r>
      <w:r>
        <w:t>,</w:t>
      </w:r>
      <w:r w:rsidRPr="00C23B42">
        <w:t xml:space="preserve">” then you will go to question ___, which asks whether the DFT’s gross negligence was a </w:t>
      </w:r>
      <w:r>
        <w:t>cause of</w:t>
      </w:r>
      <w:r w:rsidRPr="00C23B42">
        <w:t xml:space="preserve"> DCD’s death.</w:t>
      </w:r>
    </w:p>
    <w:sectPr w:rsidR="00B75859" w:rsidRPr="008B11E6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6010" w14:textId="77777777" w:rsidR="00715B45" w:rsidRDefault="00715B45" w:rsidP="00F74A90">
      <w:r>
        <w:separator/>
      </w:r>
    </w:p>
  </w:endnote>
  <w:endnote w:type="continuationSeparator" w:id="0">
    <w:p w14:paraId="294C548C" w14:textId="77777777" w:rsidR="00715B45" w:rsidRDefault="00715B45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5547DA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FF8A" w14:textId="77777777" w:rsidR="00715B45" w:rsidRDefault="00715B45" w:rsidP="00F74A90">
      <w:r>
        <w:separator/>
      </w:r>
    </w:p>
  </w:footnote>
  <w:footnote w:type="continuationSeparator" w:id="0">
    <w:p w14:paraId="37988960" w14:textId="77777777" w:rsidR="00715B45" w:rsidRDefault="00715B45" w:rsidP="00F74A90">
      <w:r>
        <w:continuationSeparator/>
      </w:r>
    </w:p>
  </w:footnote>
  <w:footnote w:id="1">
    <w:p w14:paraId="1B37F32D" w14:textId="08E1C016" w:rsidR="008B11E6" w:rsidRPr="009D2906" w:rsidRDefault="008B11E6" w:rsidP="008B11E6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tab/>
      </w:r>
      <w:r w:rsidRPr="009D2906">
        <w:t>Gross negligence and recklessness instructions apply most often in wrongful death cases</w:t>
      </w:r>
      <w:r w:rsidR="00BF743A">
        <w:t xml:space="preserve">. </w:t>
      </w:r>
      <w:r w:rsidRPr="009D2906">
        <w:t>They do not apply to personal injury cases, unless there is a particular exception, such as where the plaintiff has signed a liability waiver, waiving claims for negligence</w:t>
      </w:r>
      <w:r w:rsidR="00BF743A">
        <w:t xml:space="preserve">. </w:t>
      </w:r>
      <w:r w:rsidRPr="009D2906">
        <w:t>Gross negligence and recklessness typically are not subject to liability waivers</w:t>
      </w:r>
      <w:r w:rsidR="00BF743A">
        <w:t xml:space="preserve">. </w:t>
      </w:r>
    </w:p>
  </w:footnote>
  <w:footnote w:id="2">
    <w:p w14:paraId="4C78C1E4" w14:textId="77777777" w:rsidR="008B11E6" w:rsidRPr="009D2906" w:rsidRDefault="008B11E6" w:rsidP="008B11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D2906">
        <w:t xml:space="preserve">“The long-standing definition of gross negligence in Massachusetts was set forth in </w:t>
      </w:r>
      <w:r w:rsidRPr="009D2906">
        <w:rPr>
          <w:i/>
          <w:iCs/>
        </w:rPr>
        <w:t>Altman</w:t>
      </w:r>
      <w:r w:rsidRPr="009D2906">
        <w:t xml:space="preserve"> v. </w:t>
      </w:r>
      <w:r w:rsidRPr="009D2906">
        <w:rPr>
          <w:i/>
          <w:iCs/>
        </w:rPr>
        <w:t>Aronson,</w:t>
      </w:r>
      <w:r w:rsidRPr="009D2906">
        <w:t xml:space="preserve"> 231 Mass. 588, 591-592 (1919): </w:t>
      </w:r>
    </w:p>
    <w:p w14:paraId="4FB318AD" w14:textId="64CC9D47" w:rsidR="008B11E6" w:rsidRPr="009D2906" w:rsidRDefault="008B11E6" w:rsidP="00BF743A">
      <w:pPr>
        <w:pStyle w:val="FootnoteText"/>
        <w:ind w:left="864" w:firstLine="0"/>
      </w:pPr>
      <w:r w:rsidRPr="009D2906">
        <w:t>‘Gross negligence is substantially and appreciably higher in magnitude than ordinary negligence</w:t>
      </w:r>
      <w:r w:rsidR="00BF743A">
        <w:t xml:space="preserve">. </w:t>
      </w:r>
      <w:r w:rsidRPr="009D2906">
        <w:t>It is materially more want of care than constitutes simple inadvertence</w:t>
      </w:r>
      <w:r w:rsidR="00BF743A">
        <w:t xml:space="preserve">. </w:t>
      </w:r>
      <w:r w:rsidRPr="009D2906">
        <w:t>It is an act or omission respecting legal duty of an aggravated character as distinguished from a mere failure to exercise ordinary care</w:t>
      </w:r>
      <w:r w:rsidR="00BF743A">
        <w:t xml:space="preserve">. </w:t>
      </w:r>
      <w:r w:rsidRPr="009D2906">
        <w:t>It is very great negligence, or the absence of slight diligence, or the want of even scant care</w:t>
      </w:r>
      <w:r w:rsidR="00BF743A">
        <w:t xml:space="preserve">. </w:t>
      </w:r>
      <w:r w:rsidRPr="009D2906">
        <w:t>It amounts to indifference to present legal duty and to utter forgetfulness of legal obligations so far as other persons may be affected</w:t>
      </w:r>
      <w:r w:rsidR="00BF743A">
        <w:t xml:space="preserve">. </w:t>
      </w:r>
      <w:r w:rsidRPr="009D2906">
        <w:t>It is a heedless and palpable violation of legal duty respecting the rights of others</w:t>
      </w:r>
      <w:r w:rsidR="00BF743A">
        <w:t xml:space="preserve">. </w:t>
      </w:r>
      <w:r w:rsidRPr="009D2906">
        <w:t>The element of culpability which characterizes all negligence is in gross negligence magnified to a high degree as compared with that present in ordinary negligence</w:t>
      </w:r>
      <w:r w:rsidR="00BF743A">
        <w:t xml:space="preserve">. </w:t>
      </w:r>
      <w:r w:rsidRPr="009D2906">
        <w:t>Gross negligence is a manifestly smaller amount of watchfulness and circumspection than the circumstances require of a person of ordinary prudence.’</w:t>
      </w:r>
      <w:r w:rsidR="00BF743A">
        <w:t> </w:t>
      </w:r>
      <w:r w:rsidRPr="009D2906">
        <w:t>”</w:t>
      </w:r>
    </w:p>
    <w:p w14:paraId="6DE89841" w14:textId="33B90C95" w:rsidR="008B11E6" w:rsidRDefault="00BF743A" w:rsidP="008B11E6">
      <w:pPr>
        <w:pStyle w:val="FootnoteText"/>
      </w:pPr>
      <w:r>
        <w:rPr>
          <w:i/>
          <w:iCs/>
        </w:rPr>
        <w:tab/>
      </w:r>
      <w:r w:rsidR="008B11E6" w:rsidRPr="009D2906">
        <w:rPr>
          <w:i/>
          <w:iCs/>
        </w:rPr>
        <w:t xml:space="preserve">Aleo </w:t>
      </w:r>
      <w:r w:rsidR="008B11E6" w:rsidRPr="009D2906">
        <w:t xml:space="preserve">v. </w:t>
      </w:r>
      <w:r w:rsidR="008B11E6" w:rsidRPr="009D2906">
        <w:rPr>
          <w:i/>
          <w:iCs/>
        </w:rPr>
        <w:t>Toys R Us,</w:t>
      </w:r>
      <w:r w:rsidR="008B11E6" w:rsidRPr="009D2906">
        <w:t xml:space="preserve"> 466 Mass. 398, 410 (2013).</w:t>
      </w:r>
    </w:p>
  </w:footnote>
  <w:footnote w:id="3">
    <w:p w14:paraId="0F25E39C" w14:textId="77777777" w:rsidR="008B11E6" w:rsidRPr="00F92978" w:rsidRDefault="008B11E6" w:rsidP="008B11E6">
      <w:pPr>
        <w:pStyle w:val="FootnoteText"/>
        <w:rPr>
          <w:rFonts w:cs="Segoe UI Historic"/>
          <w:i/>
        </w:rPr>
      </w:pPr>
      <w:r w:rsidRPr="008B39A0">
        <w:rPr>
          <w:rStyle w:val="FootnoteReference"/>
          <w:rFonts w:cs="Segoe UI Historic"/>
        </w:rPr>
        <w:footnoteRef/>
      </w:r>
      <w:r w:rsidRPr="008B39A0">
        <w:rPr>
          <w:rFonts w:cs="Segoe UI Historic"/>
        </w:rPr>
        <w:t xml:space="preserve">  </w:t>
      </w:r>
      <w:r>
        <w:rPr>
          <w:rFonts w:cs="Segoe UI Historic"/>
        </w:rPr>
        <w:tab/>
      </w:r>
      <w:r w:rsidRPr="00B32B5E">
        <w:rPr>
          <w:i/>
          <w:iCs/>
        </w:rPr>
        <w:t>Maryland Casualty Company</w:t>
      </w:r>
      <w:r w:rsidRPr="00B32B5E">
        <w:t xml:space="preserve"> v. </w:t>
      </w:r>
      <w:r w:rsidRPr="00B32B5E">
        <w:rPr>
          <w:i/>
          <w:iCs/>
        </w:rPr>
        <w:t>NSTAR Electric Company</w:t>
      </w:r>
      <w:r w:rsidRPr="00B32B5E">
        <w:t>, 471 Mass. 416, 427 (2015) (citations omitted).</w:t>
      </w:r>
    </w:p>
  </w:footnote>
  <w:footnote w:id="4">
    <w:p w14:paraId="3B99A406" w14:textId="77777777" w:rsidR="008B11E6" w:rsidRPr="00B32B5E" w:rsidRDefault="008B11E6" w:rsidP="008B11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2B5E">
        <w:rPr>
          <w:i/>
          <w:iCs/>
        </w:rPr>
        <w:tab/>
        <w:t>Lane</w:t>
      </w:r>
      <w:r w:rsidRPr="00B32B5E">
        <w:t xml:space="preserve"> v. </w:t>
      </w:r>
      <w:r w:rsidRPr="00B32B5E">
        <w:rPr>
          <w:i/>
          <w:iCs/>
        </w:rPr>
        <w:t>Meserve,</w:t>
      </w:r>
      <w:r w:rsidRPr="00B32B5E">
        <w:t xml:space="preserve"> 20 Mass. App. Ct. 659, 664 (1985).</w:t>
      </w:r>
    </w:p>
  </w:footnote>
  <w:footnote w:id="5">
    <w:p w14:paraId="1036578B" w14:textId="77777777" w:rsidR="008B11E6" w:rsidRPr="00B32B5E" w:rsidRDefault="008B11E6" w:rsidP="008B11E6">
      <w:pPr>
        <w:pStyle w:val="FootnoteText"/>
      </w:pPr>
      <w:r w:rsidRPr="00AB3C77">
        <w:rPr>
          <w:rStyle w:val="FootnoteReference"/>
          <w:rFonts w:cs="Segoe UI Historic"/>
        </w:rPr>
        <w:footnoteRef/>
      </w:r>
      <w:r w:rsidRPr="00AB3C77">
        <w:rPr>
          <w:rFonts w:cs="Segoe UI Historic"/>
        </w:rPr>
        <w:t xml:space="preserve"> </w:t>
      </w:r>
      <w:r>
        <w:rPr>
          <w:rFonts w:cs="Segoe UI Historic"/>
        </w:rPr>
        <w:tab/>
      </w:r>
      <w:r w:rsidRPr="00B32B5E">
        <w:rPr>
          <w:i/>
          <w:iCs/>
        </w:rPr>
        <w:t>Parsons</w:t>
      </w:r>
      <w:r w:rsidRPr="00B32B5E">
        <w:t xml:space="preserve"> v. </w:t>
      </w:r>
      <w:r w:rsidRPr="00B32B5E">
        <w:rPr>
          <w:i/>
          <w:iCs/>
        </w:rPr>
        <w:t xml:space="preserve">Ameri, </w:t>
      </w:r>
      <w:r w:rsidRPr="00B32B5E">
        <w:t>97 Mass. App. Ct. 96, 106 (2020) (citations omitted).</w:t>
      </w:r>
    </w:p>
  </w:footnote>
  <w:footnote w:id="6">
    <w:p w14:paraId="0FC92F6A" w14:textId="77777777" w:rsidR="008B11E6" w:rsidRPr="00B32B5E" w:rsidRDefault="008B11E6" w:rsidP="008B11E6">
      <w:pPr>
        <w:pStyle w:val="FootnoteText"/>
      </w:pPr>
      <w:r w:rsidRPr="00AB3C77">
        <w:rPr>
          <w:rStyle w:val="FootnoteReference"/>
          <w:rFonts w:cs="Segoe UI Historic"/>
        </w:rPr>
        <w:footnoteRef/>
      </w:r>
      <w:r w:rsidRPr="00AB3C77">
        <w:rPr>
          <w:rFonts w:cs="Segoe UI Historic"/>
        </w:rPr>
        <w:t xml:space="preserve">  </w:t>
      </w:r>
      <w:r>
        <w:rPr>
          <w:rFonts w:cs="Segoe UI Historic"/>
        </w:rPr>
        <w:tab/>
      </w:r>
      <w:r w:rsidRPr="00B32B5E">
        <w:rPr>
          <w:i/>
          <w:iCs/>
        </w:rPr>
        <w:t>Williamson-Green</w:t>
      </w:r>
      <w:r w:rsidRPr="00B32B5E">
        <w:t xml:space="preserve"> v. </w:t>
      </w:r>
      <w:r w:rsidRPr="00B32B5E">
        <w:rPr>
          <w:i/>
          <w:iCs/>
        </w:rPr>
        <w:t>Equip. 4 Rent, Inc.,</w:t>
      </w:r>
      <w:r w:rsidRPr="00B32B5E">
        <w:t xml:space="preserve"> 89 Mass. App. Ct. 153, 157 (2016) (citations omitted). </w:t>
      </w:r>
    </w:p>
  </w:footnote>
  <w:footnote w:id="7">
    <w:p w14:paraId="342CA6A9" w14:textId="5582A1C0" w:rsidR="008B11E6" w:rsidRPr="00B32B5E" w:rsidRDefault="008B11E6" w:rsidP="008B11E6">
      <w:pPr>
        <w:pStyle w:val="FootnoteText"/>
      </w:pPr>
      <w:r w:rsidRPr="00AB3C77">
        <w:rPr>
          <w:rStyle w:val="FootnoteReference"/>
          <w:rFonts w:cs="Segoe UI Historic"/>
        </w:rPr>
        <w:footnoteRef/>
      </w:r>
      <w:r w:rsidRPr="00AB3C77">
        <w:rPr>
          <w:rFonts w:cs="Segoe UI Historic"/>
        </w:rPr>
        <w:t xml:space="preserve"> </w:t>
      </w:r>
      <w:r>
        <w:rPr>
          <w:rFonts w:cs="Segoe UI Historic"/>
        </w:rPr>
        <w:tab/>
      </w:r>
      <w:r w:rsidRPr="00B32B5E">
        <w:rPr>
          <w:i/>
          <w:iCs/>
        </w:rPr>
        <w:t>Parsons,</w:t>
      </w:r>
      <w:r w:rsidRPr="00B32B5E">
        <w:t xml:space="preserve"> 97 Mass. App. Ct. at 107.</w:t>
      </w:r>
    </w:p>
  </w:footnote>
  <w:footnote w:id="8">
    <w:p w14:paraId="3002813B" w14:textId="0F84353E" w:rsidR="008B11E6" w:rsidRDefault="008B11E6" w:rsidP="008B11E6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tab/>
      </w:r>
      <w:r w:rsidRPr="00B32B5E">
        <w:rPr>
          <w:i/>
          <w:iCs/>
        </w:rPr>
        <w:t>Parsons,</w:t>
      </w:r>
      <w:r w:rsidRPr="00B32B5E">
        <w:t xml:space="preserve"> 97 Mass. App. Ct. at 106, 109.</w:t>
      </w:r>
    </w:p>
  </w:footnote>
  <w:footnote w:id="9">
    <w:p w14:paraId="7087B23C" w14:textId="5DFB53FA" w:rsidR="008B11E6" w:rsidRPr="00E96919" w:rsidRDefault="008B11E6" w:rsidP="008B11E6">
      <w:pPr>
        <w:pStyle w:val="FootnoteText"/>
        <w:rPr>
          <w:i/>
        </w:rPr>
      </w:pPr>
      <w:r w:rsidRPr="00E96919">
        <w:rPr>
          <w:rStyle w:val="FootnoteReference"/>
          <w:rFonts w:cs="Segoe UI Historic"/>
        </w:rPr>
        <w:footnoteRef/>
      </w:r>
      <w:r w:rsidRPr="00E96919">
        <w:rPr>
          <w:rFonts w:cs="Segoe UI Historic"/>
        </w:rPr>
        <w:t xml:space="preserve"> </w:t>
      </w:r>
      <w:r>
        <w:rPr>
          <w:rFonts w:cs="Segoe UI Historic"/>
        </w:rPr>
        <w:tab/>
      </w:r>
      <w:r w:rsidRPr="00B32B5E">
        <w:rPr>
          <w:i/>
          <w:iCs/>
        </w:rPr>
        <w:t>Parsons,</w:t>
      </w:r>
      <w:r w:rsidRPr="00B32B5E">
        <w:t xml:space="preserve"> 97 Mass. App. Ct. at 109.</w:t>
      </w:r>
    </w:p>
  </w:footnote>
  <w:footnote w:id="10">
    <w:p w14:paraId="20CD9412" w14:textId="570A118D" w:rsidR="008B11E6" w:rsidRPr="00E54759" w:rsidRDefault="008B11E6" w:rsidP="008B11E6">
      <w:pPr>
        <w:pStyle w:val="FootnoteText"/>
      </w:pPr>
      <w:r w:rsidRPr="00AB3C77">
        <w:rPr>
          <w:rStyle w:val="FootnoteReference"/>
          <w:rFonts w:cs="Segoe UI Historic"/>
        </w:rPr>
        <w:footnoteRef/>
      </w:r>
      <w:r w:rsidRPr="00AB3C77">
        <w:rPr>
          <w:rFonts w:cs="Segoe UI Historic"/>
        </w:rPr>
        <w:t xml:space="preserve"> </w:t>
      </w:r>
      <w:r w:rsidR="007D4AA7">
        <w:rPr>
          <w:rFonts w:cs="Segoe UI Historic"/>
        </w:rPr>
        <w:tab/>
      </w:r>
      <w:r w:rsidRPr="00E54759">
        <w:rPr>
          <w:i/>
          <w:iCs/>
        </w:rPr>
        <w:t xml:space="preserve">Christopher </w:t>
      </w:r>
      <w:r w:rsidRPr="00E54759">
        <w:t xml:space="preserve">v. </w:t>
      </w:r>
      <w:r w:rsidRPr="00E54759">
        <w:rPr>
          <w:i/>
          <w:iCs/>
        </w:rPr>
        <w:t>Father’s Huddle Café, Inc.,</w:t>
      </w:r>
      <w:r w:rsidRPr="00E54759">
        <w:t xml:space="preserve"> 57 Mass. App. 217 (2003) (citations omitted)</w:t>
      </w:r>
      <w:r w:rsidR="00BF743A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5271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D268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F49E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24F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9E50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C00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BCC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30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186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A89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239897443">
    <w:abstractNumId w:val="12"/>
  </w:num>
  <w:num w:numId="2" w16cid:durableId="616061619">
    <w:abstractNumId w:val="11"/>
  </w:num>
  <w:num w:numId="3" w16cid:durableId="248734024">
    <w:abstractNumId w:val="0"/>
  </w:num>
  <w:num w:numId="4" w16cid:durableId="392705587">
    <w:abstractNumId w:val="1"/>
  </w:num>
  <w:num w:numId="5" w16cid:durableId="1535072400">
    <w:abstractNumId w:val="2"/>
  </w:num>
  <w:num w:numId="6" w16cid:durableId="970941955">
    <w:abstractNumId w:val="3"/>
  </w:num>
  <w:num w:numId="7" w16cid:durableId="1745373590">
    <w:abstractNumId w:val="8"/>
  </w:num>
  <w:num w:numId="8" w16cid:durableId="2044206136">
    <w:abstractNumId w:val="4"/>
  </w:num>
  <w:num w:numId="9" w16cid:durableId="230311284">
    <w:abstractNumId w:val="5"/>
  </w:num>
  <w:num w:numId="10" w16cid:durableId="415522039">
    <w:abstractNumId w:val="6"/>
  </w:num>
  <w:num w:numId="11" w16cid:durableId="669262382">
    <w:abstractNumId w:val="7"/>
  </w:num>
  <w:num w:numId="12" w16cid:durableId="610085987">
    <w:abstractNumId w:val="9"/>
  </w:num>
  <w:num w:numId="13" w16cid:durableId="138114004">
    <w:abstractNumId w:val="11"/>
  </w:num>
  <w:num w:numId="14" w16cid:durableId="180056768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7B9E"/>
    <w:rsid w:val="000D70C6"/>
    <w:rsid w:val="000E7622"/>
    <w:rsid w:val="0010739E"/>
    <w:rsid w:val="00130F23"/>
    <w:rsid w:val="0017397B"/>
    <w:rsid w:val="001B7748"/>
    <w:rsid w:val="001C5FA5"/>
    <w:rsid w:val="001D701D"/>
    <w:rsid w:val="001E2162"/>
    <w:rsid w:val="00221552"/>
    <w:rsid w:val="00257345"/>
    <w:rsid w:val="0026097C"/>
    <w:rsid w:val="00294F89"/>
    <w:rsid w:val="002A2C60"/>
    <w:rsid w:val="00303039"/>
    <w:rsid w:val="00420329"/>
    <w:rsid w:val="004848CB"/>
    <w:rsid w:val="004A3BE2"/>
    <w:rsid w:val="00516C98"/>
    <w:rsid w:val="0052086D"/>
    <w:rsid w:val="005446C0"/>
    <w:rsid w:val="00550249"/>
    <w:rsid w:val="005547DA"/>
    <w:rsid w:val="00594672"/>
    <w:rsid w:val="00596E5A"/>
    <w:rsid w:val="00676B44"/>
    <w:rsid w:val="00715B45"/>
    <w:rsid w:val="007D4AA7"/>
    <w:rsid w:val="007E7B77"/>
    <w:rsid w:val="00834E34"/>
    <w:rsid w:val="008733AA"/>
    <w:rsid w:val="00880AA6"/>
    <w:rsid w:val="008B11E6"/>
    <w:rsid w:val="0094500B"/>
    <w:rsid w:val="00992410"/>
    <w:rsid w:val="009B481F"/>
    <w:rsid w:val="00A05B86"/>
    <w:rsid w:val="00A164C0"/>
    <w:rsid w:val="00A2789E"/>
    <w:rsid w:val="00A558EE"/>
    <w:rsid w:val="00A55E4E"/>
    <w:rsid w:val="00A56498"/>
    <w:rsid w:val="00A76145"/>
    <w:rsid w:val="00A917A4"/>
    <w:rsid w:val="00A95EAD"/>
    <w:rsid w:val="00AF6831"/>
    <w:rsid w:val="00B02468"/>
    <w:rsid w:val="00B2579A"/>
    <w:rsid w:val="00B520AB"/>
    <w:rsid w:val="00B75859"/>
    <w:rsid w:val="00BE7335"/>
    <w:rsid w:val="00BF0717"/>
    <w:rsid w:val="00BF08B5"/>
    <w:rsid w:val="00BF3CC4"/>
    <w:rsid w:val="00BF743A"/>
    <w:rsid w:val="00C43AEF"/>
    <w:rsid w:val="00C5670C"/>
    <w:rsid w:val="00CD7576"/>
    <w:rsid w:val="00D71FE5"/>
    <w:rsid w:val="00D8732A"/>
    <w:rsid w:val="00D9196F"/>
    <w:rsid w:val="00DA4F8A"/>
    <w:rsid w:val="00DB6604"/>
    <w:rsid w:val="00DC61A7"/>
    <w:rsid w:val="00E174B0"/>
    <w:rsid w:val="00E57ED4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iPriority w:val="99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  <w:style w:type="character" w:customStyle="1" w:styleId="sssh">
    <w:name w:val="ss_sh"/>
    <w:basedOn w:val="DefaultParagraphFont"/>
    <w:rsid w:val="008B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Karmen Chong</cp:lastModifiedBy>
  <cp:revision>2</cp:revision>
  <dcterms:created xsi:type="dcterms:W3CDTF">2023-11-13T18:32:00Z</dcterms:created>
  <dcterms:modified xsi:type="dcterms:W3CDTF">2023-11-13T18:32:00Z</dcterms:modified>
</cp:coreProperties>
</file>