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9BEB9" w14:textId="3081DD6C" w:rsidR="00B97373" w:rsidRPr="00720E2B" w:rsidRDefault="00B97373" w:rsidP="00B97373">
      <w:pPr>
        <w:pStyle w:val="JuryInstructionText"/>
        <w:jc w:val="right"/>
        <w:rPr>
          <w:i/>
          <w:iCs/>
        </w:rPr>
      </w:pPr>
      <w:r w:rsidRPr="00720E2B">
        <w:rPr>
          <w:i/>
          <w:iCs/>
        </w:rPr>
        <w:t xml:space="preserve">Publication Date: </w:t>
      </w:r>
      <w:r>
        <w:rPr>
          <w:i/>
          <w:iCs/>
        </w:rPr>
        <w:t xml:space="preserve">August </w:t>
      </w:r>
      <w:r w:rsidR="001F1D49">
        <w:rPr>
          <w:i/>
          <w:iCs/>
        </w:rPr>
        <w:t>12</w:t>
      </w:r>
      <w:r>
        <w:rPr>
          <w:i/>
          <w:iCs/>
        </w:rPr>
        <w:t>, 2022</w:t>
      </w:r>
    </w:p>
    <w:p w14:paraId="72DB06F1" w14:textId="77777777" w:rsidR="00470D73" w:rsidRPr="00784A8A" w:rsidRDefault="00470D73" w:rsidP="00A630D6">
      <w:pPr>
        <w:pStyle w:val="JuryInst2"/>
      </w:pPr>
      <w:r w:rsidRPr="00784A8A">
        <w:t>Loss of Chance</w:t>
      </w:r>
    </w:p>
    <w:p w14:paraId="7DF7422D" w14:textId="77777777" w:rsidR="00BC1621" w:rsidRDefault="00470D73" w:rsidP="002A3C7C">
      <w:pPr>
        <w:pStyle w:val="JuryInstructionText"/>
      </w:pPr>
      <w:r w:rsidRPr="00784A8A">
        <w:t xml:space="preserve">PLF also claims that DFT’s negligence harmed him/her/DCD by reducing his/her chances for a more favorable medical outcome, namely </w:t>
      </w:r>
      <w:r w:rsidR="00B97373">
        <w:t>[</w:t>
      </w:r>
      <w:r w:rsidRPr="00784A8A">
        <w:t>to live longer</w:t>
      </w:r>
      <w:r w:rsidR="00B97373">
        <w:t xml:space="preserve"> / </w:t>
      </w:r>
      <w:r>
        <w:t>experience a better quality of li</w:t>
      </w:r>
      <w:r w:rsidR="00B97373">
        <w:t>f</w:t>
      </w:r>
      <w:r>
        <w:t>e</w:t>
      </w:r>
      <w:r w:rsidRPr="00784A8A">
        <w:t xml:space="preserve"> </w:t>
      </w:r>
      <w:r w:rsidR="00B97373">
        <w:t xml:space="preserve">/ </w:t>
      </w:r>
      <w:r w:rsidRPr="00784A8A">
        <w:t>or give other description of injury].</w:t>
      </w:r>
      <w:r w:rsidRPr="00784A8A">
        <w:rPr>
          <w:rStyle w:val="FootnoteReference"/>
          <w:rFonts w:cs="Segoe UI Historic"/>
        </w:rPr>
        <w:footnoteReference w:id="1"/>
      </w:r>
      <w:r w:rsidRPr="00784A8A">
        <w:t xml:space="preserve"> We call this a “loss of chance” claim.</w:t>
      </w:r>
      <w:r w:rsidRPr="00784A8A">
        <w:rPr>
          <w:rStyle w:val="FootnoteReference"/>
          <w:rFonts w:cs="Segoe UI Historic"/>
        </w:rPr>
        <w:footnoteReference w:id="2"/>
      </w:r>
      <w:r w:rsidRPr="00784A8A">
        <w:t xml:space="preserve"> </w:t>
      </w:r>
    </w:p>
    <w:p w14:paraId="1FB273F0" w14:textId="011846EA" w:rsidR="00470D73" w:rsidRPr="002A3C7C" w:rsidRDefault="00470D73" w:rsidP="002A3C7C">
      <w:pPr>
        <w:pStyle w:val="JuryInstructionText"/>
        <w:rPr>
          <w:rFonts w:cs="Segoe UI Historic"/>
          <w:color w:val="000000"/>
        </w:rPr>
      </w:pPr>
      <w:r w:rsidRPr="00784A8A">
        <w:t xml:space="preserve">You will not reach this claim if you already awarded damages in response to question __, because </w:t>
      </w:r>
      <w:r>
        <w:t>a doctor [other medical professional] can be</w:t>
      </w:r>
      <w:r w:rsidRPr="00784A8A">
        <w:t xml:space="preserve"> liable either for causing the patient’s [injury; death] or for causing the patient’s loss of a chance [to survive; for a better outcome], but not both. In other words, you will decide the “loss of chance” claim only if you decide that DFT was negligent, but the negligence was not a cause of [DCD’s death] [describe injury]</w:t>
      </w:r>
      <w:r w:rsidR="00BC1621">
        <w:t xml:space="preserve">. </w:t>
      </w:r>
    </w:p>
    <w:p w14:paraId="1C1679FC" w14:textId="77777777" w:rsidR="00470D73" w:rsidRDefault="00470D73" w:rsidP="002A3C7C">
      <w:pPr>
        <w:pStyle w:val="JuryInstructionText"/>
      </w:pPr>
      <w:r w:rsidRPr="00784A8A">
        <w:t xml:space="preserve">The law recognizes that, when a doctor’s negligence </w:t>
      </w:r>
      <w:r>
        <w:t>reduces</w:t>
      </w:r>
      <w:r w:rsidRPr="00784A8A">
        <w:t xml:space="preserve"> a patient’s chance [of survival OR of a better medical outcome], the patient has lost something of value, and this counts as a real injury.</w:t>
      </w:r>
      <w:r w:rsidRPr="00784A8A">
        <w:rPr>
          <w:rStyle w:val="FootnoteReference"/>
          <w:rFonts w:cs="Segoe UI Historic"/>
          <w:color w:val="000000"/>
        </w:rPr>
        <w:footnoteReference w:id="3"/>
      </w:r>
      <w:r w:rsidRPr="00784A8A">
        <w:t xml:space="preserve"> </w:t>
      </w:r>
      <w:r w:rsidRPr="00784A8A">
        <w:rPr>
          <w:rStyle w:val="FootnoteReference"/>
          <w:rFonts w:cs="Segoe UI Historic"/>
          <w:color w:val="000000"/>
        </w:rPr>
        <w:footnoteReference w:id="4"/>
      </w:r>
      <w:r w:rsidRPr="00784A8A">
        <w:t xml:space="preserve">  </w:t>
      </w:r>
    </w:p>
    <w:p w14:paraId="25526A14" w14:textId="4FE57656" w:rsidR="00470D73" w:rsidRDefault="00470D73" w:rsidP="002A3C7C">
      <w:pPr>
        <w:pStyle w:val="JuryInstructionText"/>
      </w:pPr>
      <w:r>
        <w:t>&lt;</w:t>
      </w:r>
      <w:r w:rsidRPr="00BC1621">
        <w:rPr>
          <w:b/>
          <w:bCs/>
          <w:i/>
        </w:rPr>
        <w:t>if plaintiff’s chances were indisputably below 50%</w:t>
      </w:r>
      <w:r>
        <w:t xml:space="preserve">&gt; PLF can recover for loss of chance </w:t>
      </w:r>
      <w:r w:rsidRPr="00784A8A">
        <w:t xml:space="preserve">even if </w:t>
      </w:r>
      <w:r>
        <w:t>his/her</w:t>
      </w:r>
      <w:r w:rsidRPr="00784A8A">
        <w:t xml:space="preserve"> odds</w:t>
      </w:r>
      <w:r>
        <w:t xml:space="preserve"> of a better outcome</w:t>
      </w:r>
      <w:r w:rsidRPr="00784A8A">
        <w:t xml:space="preserve"> were less than 50-50</w:t>
      </w:r>
      <w:r>
        <w:t xml:space="preserve"> as long as PLF proves that DFT</w:t>
      </w:r>
      <w:r w:rsidRPr="00784A8A">
        <w:t xml:space="preserve">’s negligence </w:t>
      </w:r>
      <w:r w:rsidRPr="0094608B">
        <w:t>reduced</w:t>
      </w:r>
      <w:r w:rsidRPr="00784A8A">
        <w:t xml:space="preserve"> those odds even further</w:t>
      </w:r>
      <w:r>
        <w:t>.</w:t>
      </w:r>
    </w:p>
    <w:p w14:paraId="65BC3736" w14:textId="120751E5" w:rsidR="00470D73" w:rsidRDefault="00470D73" w:rsidP="002A3C7C">
      <w:pPr>
        <w:pStyle w:val="JuryInstructionText"/>
      </w:pPr>
      <w:r>
        <w:lastRenderedPageBreak/>
        <w:t>&lt;</w:t>
      </w:r>
      <w:r w:rsidRPr="00BC1621">
        <w:rPr>
          <w:b/>
          <w:bCs/>
          <w:i/>
        </w:rPr>
        <w:t>if plaintiff’s chances may have exceeded 50%</w:t>
      </w:r>
      <w:r>
        <w:t>&gt;</w:t>
      </w:r>
      <w:r w:rsidRPr="0094608B">
        <w:t xml:space="preserve"> </w:t>
      </w:r>
      <w:r>
        <w:t>PLF can recover for loss of chance</w:t>
      </w:r>
      <w:r w:rsidRPr="00784A8A">
        <w:t xml:space="preserve">, for example, </w:t>
      </w:r>
      <w:r>
        <w:t>if a doctor’s negligence reduced his/her</w:t>
      </w:r>
      <w:r w:rsidRPr="00784A8A">
        <w:t xml:space="preserve">  survival rate from 90% to 60%, from 60% to 40% or from 40% to 10%</w:t>
      </w:r>
      <w:r w:rsidR="00BC1621">
        <w:t xml:space="preserve">. </w:t>
      </w:r>
    </w:p>
    <w:p w14:paraId="009F0A6F" w14:textId="77777777" w:rsidR="00470D73" w:rsidRPr="00784A8A" w:rsidRDefault="00470D73" w:rsidP="002A3C7C">
      <w:pPr>
        <w:pStyle w:val="JuryInstructionText"/>
      </w:pPr>
      <w:r w:rsidRPr="00784A8A">
        <w:t>To prove damages for loss of chance, the plaintiff must prove that, more likely than not, the following two things are true:</w:t>
      </w:r>
    </w:p>
    <w:p w14:paraId="705FE271" w14:textId="4A1AFF67" w:rsidR="00470D73" w:rsidRPr="00784A8A" w:rsidRDefault="00470D73" w:rsidP="00BC1621">
      <w:pPr>
        <w:pStyle w:val="JuryInstructionElements"/>
      </w:pPr>
      <w:r w:rsidRPr="00784A8A">
        <w:t>1.</w:t>
      </w:r>
      <w:r w:rsidR="00BC1621">
        <w:tab/>
      </w:r>
      <w:r w:rsidRPr="00784A8A">
        <w:t>PLF/DCD lost at least some of his/her chance [to survive] [for a cure] [for a better medical outcome]</w:t>
      </w:r>
      <w:r w:rsidR="00BC1621">
        <w:t>; and</w:t>
      </w:r>
    </w:p>
    <w:p w14:paraId="297F0A01" w14:textId="16C52645" w:rsidR="00470D73" w:rsidRPr="00784A8A" w:rsidRDefault="00470D73" w:rsidP="00BC1621">
      <w:pPr>
        <w:pStyle w:val="JuryInstructionElements"/>
      </w:pPr>
      <w:r w:rsidRPr="00784A8A">
        <w:t>2.</w:t>
      </w:r>
      <w:r w:rsidR="00BC1621">
        <w:tab/>
      </w:r>
      <w:r w:rsidRPr="00784A8A">
        <w:t>DFT’s negligence caused that loss of chance.</w:t>
      </w:r>
      <w:r>
        <w:rPr>
          <w:rStyle w:val="FootnoteReference"/>
          <w:rFonts w:cs="Segoe UI Historic"/>
          <w:color w:val="000000"/>
          <w:spacing w:val="-2"/>
        </w:rPr>
        <w:footnoteReference w:id="5"/>
      </w:r>
    </w:p>
    <w:p w14:paraId="09AF9E9C" w14:textId="635E0C04" w:rsidR="00470D73" w:rsidRPr="00784A8A" w:rsidRDefault="00470D73" w:rsidP="002A3C7C">
      <w:pPr>
        <w:pStyle w:val="JuryInstructionText"/>
      </w:pPr>
      <w:r w:rsidRPr="00784A8A">
        <w:t xml:space="preserve">PLF must prove </w:t>
      </w:r>
      <w:r>
        <w:t>these two things</w:t>
      </w:r>
      <w:r w:rsidRPr="00784A8A">
        <w:t xml:space="preserve"> through expert testimony, because they</w:t>
      </w:r>
      <w:r>
        <w:t xml:space="preserve"> both</w:t>
      </w:r>
      <w:r w:rsidRPr="00784A8A">
        <w:t xml:space="preserve"> involve medical issues</w:t>
      </w:r>
      <w:r w:rsidR="00BC1621">
        <w:t xml:space="preserve">. </w:t>
      </w:r>
      <w:r>
        <w:t>In particular, you must decide what the relevant [survival rates/chances for a better outcome] were</w:t>
      </w:r>
      <w:r w:rsidR="00BC1621">
        <w:t xml:space="preserve">. </w:t>
      </w:r>
      <w:r>
        <w:t>To do that</w:t>
      </w:r>
      <w:r w:rsidRPr="00784A8A">
        <w:t xml:space="preserve">, </w:t>
      </w:r>
      <w:r>
        <w:t>you must rely upon</w:t>
      </w:r>
      <w:r w:rsidRPr="00784A8A">
        <w:t xml:space="preserve"> expert testimony that you find to be believable about</w:t>
      </w:r>
      <w:r>
        <w:t xml:space="preserve"> those</w:t>
      </w:r>
      <w:r w:rsidRPr="00784A8A">
        <w:t xml:space="preserve"> [survival rates/statistics concerning medical outcome]</w:t>
      </w:r>
      <w:r w:rsidRPr="00784A8A">
        <w:rPr>
          <w:rStyle w:val="FootnoteReference"/>
          <w:rFonts w:cs="Segoe UI Historic"/>
          <w:color w:val="000000"/>
        </w:rPr>
        <w:footnoteReference w:id="6"/>
      </w:r>
      <w:r w:rsidRPr="00784A8A">
        <w:t xml:space="preserve">  </w:t>
      </w:r>
      <w:r>
        <w:t>The expert testimony must be based on</w:t>
      </w:r>
      <w:r w:rsidRPr="00784A8A">
        <w:t xml:space="preserve"> data </w:t>
      </w:r>
      <w:r>
        <w:t xml:space="preserve">that the relevant medical community has </w:t>
      </w:r>
      <w:r w:rsidRPr="00784A8A">
        <w:t>obtained</w:t>
      </w:r>
      <w:r>
        <w:t>,</w:t>
      </w:r>
      <w:r w:rsidRPr="00784A8A">
        <w:t xml:space="preserve"> analyzed scientifically and accepted</w:t>
      </w:r>
      <w:r w:rsidR="00BC1621">
        <w:t xml:space="preserve">. </w:t>
      </w:r>
      <w:r>
        <w:t>Y</w:t>
      </w:r>
      <w:r w:rsidRPr="00784A8A">
        <w:t>ou cannot base your decision</w:t>
      </w:r>
      <w:r>
        <w:t xml:space="preserve"> about [survival rates/chances for a better outcome]</w:t>
      </w:r>
      <w:r w:rsidRPr="00784A8A">
        <w:t xml:space="preserve"> upon your own lay opinion or knowledge.</w:t>
      </w:r>
    </w:p>
    <w:p w14:paraId="31647CC5" w14:textId="235DE992" w:rsidR="00470D73" w:rsidRPr="00784A8A" w:rsidRDefault="00470D73" w:rsidP="002A3C7C">
      <w:pPr>
        <w:pStyle w:val="JuryInstructionText"/>
      </w:pPr>
      <w:r w:rsidRPr="00784A8A">
        <w:t>If you decide that PLF has proven these two things, you must decide what amount of damages to award</w:t>
      </w:r>
      <w:r w:rsidR="00BC1621">
        <w:t xml:space="preserve">. </w:t>
      </w:r>
      <w:r w:rsidRPr="00784A8A">
        <w:t>To do this, you determine or calculate several numbers, which the verdict slip describes</w:t>
      </w:r>
      <w:r w:rsidR="00BC1621">
        <w:t xml:space="preserve">. </w:t>
      </w:r>
      <w:r w:rsidRPr="00784A8A">
        <w:t>I will explain these numbers right now, but rest assured that loss of chance damages are not as complicated as some of you may think on first listening</w:t>
      </w:r>
      <w:r w:rsidR="00BC1621">
        <w:t xml:space="preserve">. </w:t>
      </w:r>
      <w:r w:rsidRPr="00784A8A">
        <w:t>Usually, the jury finds it easier to follow each question on the verdict slip along my written instructions during deliberations</w:t>
      </w:r>
      <w:r w:rsidR="00BC1621">
        <w:t xml:space="preserve">. </w:t>
      </w:r>
      <w:r w:rsidRPr="00784A8A">
        <w:t xml:space="preserve">My advice is just to take each question one at a time. </w:t>
      </w:r>
      <w:r w:rsidRPr="00784A8A">
        <w:lastRenderedPageBreak/>
        <w:t>[</w:t>
      </w:r>
      <w:r w:rsidRPr="00BC1621">
        <w:rPr>
          <w:b/>
          <w:bCs/>
        </w:rPr>
        <w:t>NOTE TO JUDGE: It may be easiest for the jury to follow this instruction if it can see the verdict slip</w:t>
      </w:r>
      <w:r w:rsidR="00BC1621">
        <w:t>.</w:t>
      </w:r>
      <w:r w:rsidRPr="00784A8A">
        <w:t>]</w:t>
      </w:r>
    </w:p>
    <w:p w14:paraId="771370F2" w14:textId="52F69489" w:rsidR="00470D73" w:rsidRPr="00784A8A" w:rsidRDefault="00BC1621" w:rsidP="00BC1621">
      <w:pPr>
        <w:pStyle w:val="JuryInstructionBullets"/>
      </w:pPr>
      <w:r>
        <w:rPr>
          <w:b/>
          <w:bCs/>
        </w:rPr>
        <w:t>Step 1</w:t>
      </w:r>
      <w:r>
        <w:t xml:space="preserve">: </w:t>
      </w:r>
      <w:r w:rsidR="00470D73" w:rsidRPr="00784A8A">
        <w:t>First, determine the total amount of damages for [wrongful death] [harm to PLF] and write the number in response to question __(a)</w:t>
      </w:r>
      <w:r>
        <w:t xml:space="preserve">. </w:t>
      </w:r>
      <w:r w:rsidR="00470D73" w:rsidRPr="00784A8A">
        <w:t>Here, you should use the same basic rules of damages that I explained to you earlier</w:t>
      </w:r>
      <w:r>
        <w:t xml:space="preserve">. </w:t>
      </w:r>
      <w:r w:rsidR="00470D73" w:rsidRPr="00784A8A">
        <w:t>This number should reflect the full amount that PLF would recover if s/he had proven that DFT’s negligence caused [DCD’s death] [PLF’s harm].</w:t>
      </w:r>
    </w:p>
    <w:p w14:paraId="3FE0FCE2" w14:textId="21989D4E" w:rsidR="00470D73" w:rsidRPr="00784A8A" w:rsidRDefault="00BC1621" w:rsidP="00BC1621">
      <w:pPr>
        <w:pStyle w:val="JuryInstructionBullets"/>
      </w:pPr>
      <w:r>
        <w:rPr>
          <w:b/>
          <w:bCs/>
        </w:rPr>
        <w:t>Step 2</w:t>
      </w:r>
      <w:r>
        <w:t xml:space="preserve">. </w:t>
      </w:r>
      <w:r w:rsidR="00470D73" w:rsidRPr="00784A8A">
        <w:t>Next, you write down a percentage. This is [DCD’s percentage chance of survival] [PLF’s percentage chance for cure/ a better outcome] if no medical malpractice had occurred</w:t>
      </w:r>
      <w:r>
        <w:t xml:space="preserve">. </w:t>
      </w:r>
      <w:r w:rsidR="00470D73" w:rsidRPr="00784A8A">
        <w:t>You must rely on expert testimony to determine this percentage, which you will write down in response to question __ (b)</w:t>
      </w:r>
      <w:r>
        <w:t xml:space="preserve">. </w:t>
      </w:r>
    </w:p>
    <w:p w14:paraId="35524571" w14:textId="34E19383" w:rsidR="00470D73" w:rsidRPr="00784A8A" w:rsidRDefault="00BC1621" w:rsidP="00BC1621">
      <w:pPr>
        <w:pStyle w:val="JuryInstructionBullets"/>
      </w:pPr>
      <w:r>
        <w:rPr>
          <w:b/>
          <w:bCs/>
        </w:rPr>
        <w:t>Step 3</w:t>
      </w:r>
      <w:r>
        <w:t xml:space="preserve">. </w:t>
      </w:r>
      <w:r w:rsidR="00470D73" w:rsidRPr="00784A8A">
        <w:t>Then you write down a second percentage, based upon the medical evidence</w:t>
      </w:r>
      <w:r>
        <w:t xml:space="preserve">. </w:t>
      </w:r>
      <w:r w:rsidR="00470D73" w:rsidRPr="00784A8A">
        <w:t>This is the percentage chance of [survival] [cure/ a better outcome] that DCD/PLF had as a result of the medical malpractice</w:t>
      </w:r>
      <w:r>
        <w:t xml:space="preserve">. </w:t>
      </w:r>
      <w:r w:rsidR="00470D73" w:rsidRPr="00784A8A">
        <w:t>You will write that percentage in response to question __ (c),</w:t>
      </w:r>
    </w:p>
    <w:p w14:paraId="303EC3A3" w14:textId="676D3767" w:rsidR="00470D73" w:rsidRPr="00784A8A" w:rsidRDefault="00BC1621" w:rsidP="00BC1621">
      <w:pPr>
        <w:pStyle w:val="JuryInstructionBullets"/>
      </w:pPr>
      <w:r>
        <w:rPr>
          <w:b/>
          <w:bCs/>
        </w:rPr>
        <w:t>Step 4</w:t>
      </w:r>
      <w:r>
        <w:t xml:space="preserve">. </w:t>
      </w:r>
      <w:r w:rsidR="00470D73" w:rsidRPr="00784A8A">
        <w:t>Then you do two calculations, based on the numbers you already determined</w:t>
      </w:r>
      <w:r>
        <w:t xml:space="preserve">. </w:t>
      </w:r>
      <w:r w:rsidR="00470D73" w:rsidRPr="00784A8A">
        <w:t>First, you subtract the amount derived in Step 3 from the amount derived in Step 2 and write the answer in response to question __ (d).</w:t>
      </w:r>
    </w:p>
    <w:p w14:paraId="72E417E8" w14:textId="04890A4D" w:rsidR="00470D73" w:rsidRPr="00784A8A" w:rsidRDefault="00BC1621" w:rsidP="00BC1621">
      <w:pPr>
        <w:pStyle w:val="JuryInstructionBullets"/>
      </w:pPr>
      <w:r>
        <w:rPr>
          <w:b/>
          <w:bCs/>
        </w:rPr>
        <w:t>Step 5</w:t>
      </w:r>
      <w:r>
        <w:t xml:space="preserve">. </w:t>
      </w:r>
      <w:r w:rsidR="00470D73" w:rsidRPr="00784A8A">
        <w:t>Finally, you multiply the amount determined in Step 1 by the percentage calculated in Step 4</w:t>
      </w:r>
      <w:r>
        <w:t xml:space="preserve">. </w:t>
      </w:r>
      <w:r w:rsidR="00470D73" w:rsidRPr="00784A8A">
        <w:t>This gives you the amount of damages for loss of chance</w:t>
      </w:r>
      <w:r>
        <w:t xml:space="preserve">. </w:t>
      </w:r>
      <w:r w:rsidR="00470D73" w:rsidRPr="00784A8A">
        <w:t>You should write that amount on the verdict slip, both in numbers and in words, in response to question __(e), which asks: “What amount will fully and fairly compensate PLF for loss of chance?”</w:t>
      </w:r>
    </w:p>
    <w:p w14:paraId="21F33DD6" w14:textId="77777777" w:rsidR="00B75859" w:rsidRPr="00470D73" w:rsidRDefault="00B75859" w:rsidP="00BC1621">
      <w:pPr>
        <w:pStyle w:val="JuryInstructionText"/>
      </w:pPr>
    </w:p>
    <w:sectPr w:rsidR="00B75859" w:rsidRPr="00470D73" w:rsidSect="00F74A90">
      <w:footerReference w:type="default" r:id="rId7"/>
      <w:pgSz w:w="12240" w:h="15840" w:code="1"/>
      <w:pgMar w:top="1440" w:right="1440" w:bottom="1440" w:left="1440" w:header="648" w:footer="6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09DE6" w14:textId="77777777" w:rsidR="007E728F" w:rsidRDefault="007E728F" w:rsidP="00F74A90">
      <w:r>
        <w:separator/>
      </w:r>
    </w:p>
  </w:endnote>
  <w:endnote w:type="continuationSeparator" w:id="0">
    <w:p w14:paraId="78FE682C" w14:textId="77777777" w:rsidR="007E728F" w:rsidRDefault="007E728F" w:rsidP="00F7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42F6D" w14:textId="2BA91F15" w:rsidR="00037D40" w:rsidRDefault="00992410" w:rsidP="003511A1">
    <w:pPr>
      <w:tabs>
        <w:tab w:val="right" w:pos="9360"/>
      </w:tabs>
      <w:jc w:val="cent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9E761" w14:textId="77777777" w:rsidR="007E728F" w:rsidRDefault="007E728F" w:rsidP="00F74A90">
      <w:r>
        <w:separator/>
      </w:r>
    </w:p>
  </w:footnote>
  <w:footnote w:type="continuationSeparator" w:id="0">
    <w:p w14:paraId="47667DF5" w14:textId="77777777" w:rsidR="007E728F" w:rsidRDefault="007E728F" w:rsidP="00F74A90">
      <w:r>
        <w:continuationSeparator/>
      </w:r>
    </w:p>
  </w:footnote>
  <w:footnote w:id="1">
    <w:p w14:paraId="550490D5" w14:textId="75048C98" w:rsidR="00470D73" w:rsidRPr="00784A8A" w:rsidRDefault="00470D73" w:rsidP="00470D73">
      <w:pPr>
        <w:pStyle w:val="FootnoteText"/>
        <w:rPr>
          <w:rFonts w:cs="Segoe UI Historic"/>
        </w:rPr>
      </w:pPr>
      <w:r>
        <w:rPr>
          <w:rStyle w:val="FootnoteReference"/>
        </w:rPr>
        <w:footnoteRef/>
      </w:r>
      <w:r>
        <w:t xml:space="preserve"> </w:t>
      </w:r>
      <w:r w:rsidR="002A3C7C">
        <w:tab/>
      </w:r>
      <w:r w:rsidRPr="00784A8A">
        <w:rPr>
          <w:rFonts w:cs="Segoe UI Historic"/>
          <w:i/>
        </w:rPr>
        <w:t>Matsuyama v. Birnbaum,</w:t>
      </w:r>
      <w:r w:rsidRPr="00784A8A">
        <w:rPr>
          <w:rFonts w:cs="Segoe UI Historic"/>
        </w:rPr>
        <w:t xml:space="preserve"> 452 Mass. 1, 2 (2008) (“Where a physician's negligence reduces or eliminates the patient's prospects for achieving a more favorable medical outcome, the physician has harmed the patient and is liable for damages.”)</w:t>
      </w:r>
    </w:p>
  </w:footnote>
  <w:footnote w:id="2">
    <w:p w14:paraId="2B351140" w14:textId="5A664C60" w:rsidR="00470D73" w:rsidRPr="002E59E7" w:rsidRDefault="00470D73" w:rsidP="00470D7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A3C7C">
        <w:tab/>
      </w:r>
      <w:r>
        <w:t>“The claim that a defendant caused the decedent’s death is not the same as the claim that the defendant caused her a loss of chance to survive</w:t>
      </w:r>
      <w:r w:rsidR="00BC1621">
        <w:t xml:space="preserve">. </w:t>
      </w:r>
      <w:r>
        <w:t xml:space="preserve">The two theories of injury are distinct…. A jury may find the defendant liable </w:t>
      </w:r>
      <w:r>
        <w:rPr>
          <w:i/>
        </w:rPr>
        <w:t>either</w:t>
      </w:r>
      <w:r>
        <w:t xml:space="preserve"> for causing the patient’s wrongful death </w:t>
      </w:r>
      <w:r>
        <w:rPr>
          <w:i/>
        </w:rPr>
        <w:t xml:space="preserve">or </w:t>
      </w:r>
      <w:r>
        <w:t xml:space="preserve"> for causing the patient’s loss of a chance to survive, but not for both.”  </w:t>
      </w:r>
      <w:r>
        <w:rPr>
          <w:i/>
        </w:rPr>
        <w:t xml:space="preserve">Renzi v. Paredes, </w:t>
      </w:r>
      <w:r>
        <w:t>452 Mass., 38, 45. 46 (2008) (emphasis in original).</w:t>
      </w:r>
    </w:p>
  </w:footnote>
  <w:footnote w:id="3">
    <w:p w14:paraId="2DE37DDF" w14:textId="720ECEA2" w:rsidR="00470D73" w:rsidRPr="00784A8A" w:rsidRDefault="00470D73" w:rsidP="00470D73">
      <w:pPr>
        <w:pStyle w:val="FootnoteText"/>
        <w:rPr>
          <w:rFonts w:cs="Segoe UI Historic"/>
        </w:rPr>
      </w:pPr>
      <w:r w:rsidRPr="00784A8A">
        <w:rPr>
          <w:rStyle w:val="FootnoteReference"/>
          <w:rFonts w:cs="Segoe UI Historic"/>
        </w:rPr>
        <w:footnoteRef/>
      </w:r>
      <w:r w:rsidRPr="00784A8A">
        <w:rPr>
          <w:rFonts w:cs="Segoe UI Historic"/>
        </w:rPr>
        <w:t xml:space="preserve"> </w:t>
      </w:r>
      <w:r w:rsidR="002A3C7C">
        <w:rPr>
          <w:rFonts w:cs="Segoe UI Historic"/>
        </w:rPr>
        <w:tab/>
      </w:r>
      <w:r w:rsidRPr="00784A8A">
        <w:rPr>
          <w:rFonts w:cs="Segoe UI Historic"/>
          <w:i/>
        </w:rPr>
        <w:t>Matsuyama v. Birnbaum,</w:t>
      </w:r>
      <w:r w:rsidRPr="00784A8A">
        <w:rPr>
          <w:rFonts w:cs="Segoe UI Historic"/>
        </w:rPr>
        <w:t xml:space="preserve"> 452 Mass at 16.</w:t>
      </w:r>
    </w:p>
  </w:footnote>
  <w:footnote w:id="4">
    <w:p w14:paraId="0B60A1A4" w14:textId="3D1A218D" w:rsidR="00470D73" w:rsidRPr="00784A8A" w:rsidRDefault="00470D73" w:rsidP="002A3C7C">
      <w:pPr>
        <w:pStyle w:val="FootnoteText"/>
        <w:rPr>
          <w:rFonts w:cs="Segoe UI Historic"/>
        </w:rPr>
      </w:pPr>
      <w:r w:rsidRPr="00784A8A">
        <w:rPr>
          <w:rStyle w:val="FootnoteReference"/>
          <w:rFonts w:cs="Segoe UI Historic"/>
          <w:sz w:val="20"/>
        </w:rPr>
        <w:footnoteRef/>
      </w:r>
      <w:r w:rsidRPr="00784A8A">
        <w:rPr>
          <w:rFonts w:cs="Segoe UI Historic"/>
          <w:sz w:val="20"/>
        </w:rPr>
        <w:t xml:space="preserve"> </w:t>
      </w:r>
      <w:r w:rsidR="002A3C7C">
        <w:rPr>
          <w:rFonts w:cs="Segoe UI Historic"/>
          <w:sz w:val="20"/>
        </w:rPr>
        <w:tab/>
      </w:r>
      <w:r w:rsidRPr="00784A8A">
        <w:rPr>
          <w:rFonts w:cs="Segoe UI Historic"/>
          <w:i/>
          <w:sz w:val="20"/>
        </w:rPr>
        <w:t>Matsuyama v. Birnbaum,</w:t>
      </w:r>
      <w:r w:rsidRPr="00784A8A">
        <w:rPr>
          <w:rFonts w:cs="Segoe UI Historic"/>
          <w:sz w:val="20"/>
        </w:rPr>
        <w:t xml:space="preserve"> 452 Mass at 16  (“</w:t>
      </w:r>
      <w:r>
        <w:rPr>
          <w:rFonts w:cs="Segoe UI Historic"/>
          <w:sz w:val="20"/>
        </w:rPr>
        <w:t>[W]</w:t>
      </w:r>
      <w:r w:rsidRPr="00784A8A">
        <w:rPr>
          <w:rFonts w:cs="Segoe UI Historic"/>
          <w:sz w:val="20"/>
        </w:rPr>
        <w:t>e recognize loss of chance not as a theory of causation,”) but as a theory of injury.</w:t>
      </w:r>
    </w:p>
  </w:footnote>
  <w:footnote w:id="5">
    <w:p w14:paraId="1525CAF3" w14:textId="20C424B5" w:rsidR="00470D73" w:rsidRPr="00BE4E4E" w:rsidRDefault="00470D73" w:rsidP="00470D7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A3C7C">
        <w:tab/>
      </w:r>
      <w:r>
        <w:t>A patient failing to attend a routine follow-up visit does not break the chain of causation because it is foreseeable that a patient may do so</w:t>
      </w:r>
      <w:r w:rsidR="00BC1621">
        <w:t xml:space="preserve">. </w:t>
      </w:r>
      <w:r>
        <w:t>The original negligence remains the legal cause</w:t>
      </w:r>
      <w:r w:rsidR="00BC1621">
        <w:t xml:space="preserve">. </w:t>
      </w:r>
      <w:r>
        <w:rPr>
          <w:i/>
        </w:rPr>
        <w:t xml:space="preserve">Goudreault v. Nine, </w:t>
      </w:r>
      <w:r>
        <w:t>87 Mass. App. Ct. 304, 311 (2015).</w:t>
      </w:r>
    </w:p>
  </w:footnote>
  <w:footnote w:id="6">
    <w:p w14:paraId="300BD288" w14:textId="48BDF9B9" w:rsidR="00470D73" w:rsidRPr="00BE4E4E" w:rsidRDefault="00470D73" w:rsidP="002A3C7C">
      <w:pPr>
        <w:pStyle w:val="FootnoteText"/>
      </w:pPr>
      <w:r w:rsidRPr="00784A8A">
        <w:rPr>
          <w:rStyle w:val="FootnoteReference"/>
          <w:rFonts w:cs="Segoe UI Historic"/>
          <w:sz w:val="20"/>
        </w:rPr>
        <w:footnoteRef/>
      </w:r>
      <w:r w:rsidR="002A3C7C">
        <w:rPr>
          <w:rFonts w:cs="Segoe UI Historic"/>
          <w:sz w:val="20"/>
        </w:rPr>
        <w:tab/>
      </w:r>
      <w:r w:rsidRPr="00784A8A">
        <w:rPr>
          <w:rFonts w:cs="Segoe UI Historic"/>
          <w:i/>
          <w:sz w:val="20"/>
        </w:rPr>
        <w:t>Matsuyama v. Birnbaum,</w:t>
      </w:r>
      <w:r w:rsidRPr="00784A8A">
        <w:rPr>
          <w:rFonts w:cs="Segoe UI Historic"/>
          <w:sz w:val="20"/>
        </w:rPr>
        <w:t xml:space="preserve"> 452 Mass at 17</w:t>
      </w:r>
      <w:r w:rsidR="00BC1621">
        <w:rPr>
          <w:rFonts w:cs="Segoe UI Historic"/>
          <w:sz w:val="20"/>
        </w:rPr>
        <w:t xml:space="preserve">. </w:t>
      </w:r>
      <w:r>
        <w:rPr>
          <w:rFonts w:cs="Segoe UI Historic"/>
        </w:rPr>
        <w:t xml:space="preserve">See also </w:t>
      </w:r>
      <w:r>
        <w:rPr>
          <w:rFonts w:cs="Segoe UI Historic"/>
          <w:i/>
        </w:rPr>
        <w:t xml:space="preserve">Curreri v. Isihara, </w:t>
      </w:r>
      <w:r>
        <w:rPr>
          <w:rFonts w:cs="Segoe UI Historic"/>
        </w:rPr>
        <w:t xml:space="preserve"> 80 Mass. App. Ct. 193, 202 (2011) (“</w:t>
      </w:r>
      <w:r>
        <w:rPr>
          <w:rFonts w:ascii="Helvetica" w:hAnsi="Helvetica" w:cs="Helvetica"/>
          <w:sz w:val="20"/>
        </w:rPr>
        <w:t>Without probability of survival evidence, the jury does not have the information that it needs</w:t>
      </w:r>
      <w:r w:rsidR="002A3C7C">
        <w:rPr>
          <w:rFonts w:ascii="Helvetica" w:hAnsi="Helvetica" w:cs="Helvetica"/>
          <w:sz w:val="20"/>
        </w:rPr>
        <w:t xml:space="preserve"> </w:t>
      </w:r>
      <w:r>
        <w:rPr>
          <w:rFonts w:ascii="Helvetica" w:hAnsi="Helvetica" w:cs="Helvetica"/>
          <w:sz w:val="20"/>
        </w:rPr>
        <w:t xml:space="preserve">to properly conduct the loss of chance damages calculation. ...Thus, testimony that the </w:t>
      </w:r>
      <w:r w:rsidRPr="002A3C7C">
        <w:t>tumor</w:t>
      </w:r>
      <w:r w:rsidR="002A3C7C">
        <w:t xml:space="preserve"> </w:t>
      </w:r>
      <w:r>
        <w:rPr>
          <w:rFonts w:ascii="Helvetica" w:hAnsi="Helvetica" w:cs="Helvetica"/>
          <w:sz w:val="20"/>
        </w:rPr>
        <w:t xml:space="preserve">was smaller and therefore more susceptible to treatment does not adequately establish </w:t>
      </w:r>
      <w:r w:rsidRPr="002A3C7C">
        <w:t>the</w:t>
      </w:r>
      <w:r>
        <w:rPr>
          <w:rFonts w:ascii="Helvetica" w:hAnsi="Helvetica" w:cs="Helvetica"/>
          <w:sz w:val="20"/>
        </w:rPr>
        <w:t xml:space="preserve"> statistical evidence that is required by </w:t>
      </w:r>
      <w:r w:rsidRPr="00784A8A">
        <w:rPr>
          <w:rFonts w:ascii="Helvetica" w:hAnsi="Helvetica" w:cs="Helvetica"/>
          <w:i/>
          <w:sz w:val="20"/>
        </w:rPr>
        <w:t>Matsuyama</w:t>
      </w:r>
      <w:r>
        <w:rPr>
          <w:rFonts w:ascii="Helvetica" w:hAnsi="Helvetica" w:cs="Helvetica"/>
          <w:sz w:val="20"/>
        </w:rPr>
        <w:t>.”</w:t>
      </w:r>
      <w:r>
        <w:rPr>
          <w:rFonts w:cs="Segoe UI Historic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09850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CC479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C64D8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50A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DEF58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040B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44D6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D2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6E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2420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5632C3"/>
    <w:multiLevelType w:val="multilevel"/>
    <w:tmpl w:val="86D633D2"/>
    <w:lvl w:ilvl="0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864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96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28" w:hanging="432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60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9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4" w:hanging="17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56" w:hanging="432"/>
      </w:pPr>
      <w:rPr>
        <w:rFonts w:hint="default"/>
      </w:rPr>
    </w:lvl>
  </w:abstractNum>
  <w:abstractNum w:abstractNumId="11" w15:restartNumberingAfterBreak="0">
    <w:nsid w:val="1B722686"/>
    <w:multiLevelType w:val="multilevel"/>
    <w:tmpl w:val="5218CAB0"/>
    <w:lvl w:ilvl="0">
      <w:start w:val="1"/>
      <w:numFmt w:val="none"/>
      <w:pStyle w:val="JuryInst1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JuryInst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JuryInst3"/>
      <w:lvlText w:val="(%3)"/>
      <w:lvlJc w:val="left"/>
      <w:pPr>
        <w:ind w:left="864" w:hanging="432"/>
      </w:pPr>
      <w:rPr>
        <w:rFonts w:hint="default"/>
      </w:rPr>
    </w:lvl>
    <w:lvl w:ilvl="3">
      <w:start w:val="1"/>
      <w:numFmt w:val="decimal"/>
      <w:pStyle w:val="JuryInst4"/>
      <w:lvlText w:val="(%4)"/>
      <w:lvlJc w:val="left"/>
      <w:pPr>
        <w:ind w:left="1296" w:hanging="432"/>
      </w:pPr>
      <w:rPr>
        <w:rFonts w:hint="default"/>
      </w:rPr>
    </w:lvl>
    <w:lvl w:ilvl="4">
      <w:start w:val="1"/>
      <w:numFmt w:val="lowerLetter"/>
      <w:pStyle w:val="JuryInst5"/>
      <w:lvlText w:val="%5."/>
      <w:lvlJc w:val="left"/>
      <w:pPr>
        <w:ind w:left="1728" w:hanging="432"/>
      </w:pPr>
      <w:rPr>
        <w:rFonts w:hint="default"/>
      </w:rPr>
    </w:lvl>
    <w:lvl w:ilvl="5">
      <w:start w:val="1"/>
      <w:numFmt w:val="lowerRoman"/>
      <w:pStyle w:val="JuryInst6"/>
      <w:lvlText w:val="%6."/>
      <w:lvlJc w:val="left"/>
      <w:pPr>
        <w:ind w:left="2160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9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4" w:hanging="17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56" w:hanging="432"/>
      </w:pPr>
      <w:rPr>
        <w:rFonts w:hint="default"/>
      </w:rPr>
    </w:lvl>
  </w:abstractNum>
  <w:abstractNum w:abstractNumId="12" w15:restartNumberingAfterBreak="0">
    <w:nsid w:val="3E0C20F8"/>
    <w:multiLevelType w:val="hybridMultilevel"/>
    <w:tmpl w:val="FC8E5BC2"/>
    <w:lvl w:ilvl="0" w:tplc="B6209AF6">
      <w:start w:val="1"/>
      <w:numFmt w:val="bullet"/>
      <w:pStyle w:val="JuryInstructionBullets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1"/>
  </w:num>
  <w:num w:numId="1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90"/>
    <w:rsid w:val="000124CA"/>
    <w:rsid w:val="00016CA0"/>
    <w:rsid w:val="00037245"/>
    <w:rsid w:val="000B7B9E"/>
    <w:rsid w:val="000D70C6"/>
    <w:rsid w:val="000E7622"/>
    <w:rsid w:val="0010739E"/>
    <w:rsid w:val="00130F23"/>
    <w:rsid w:val="0017397B"/>
    <w:rsid w:val="00191A9F"/>
    <w:rsid w:val="001B7748"/>
    <w:rsid w:val="001C5FA5"/>
    <w:rsid w:val="001D701D"/>
    <w:rsid w:val="001E2162"/>
    <w:rsid w:val="001F1D49"/>
    <w:rsid w:val="00221552"/>
    <w:rsid w:val="00257345"/>
    <w:rsid w:val="00294F89"/>
    <w:rsid w:val="002A2C60"/>
    <w:rsid w:val="002A3C7C"/>
    <w:rsid w:val="00303039"/>
    <w:rsid w:val="00420329"/>
    <w:rsid w:val="00470D73"/>
    <w:rsid w:val="004848CB"/>
    <w:rsid w:val="004A3BE2"/>
    <w:rsid w:val="00516C98"/>
    <w:rsid w:val="005446C0"/>
    <w:rsid w:val="00550249"/>
    <w:rsid w:val="00594672"/>
    <w:rsid w:val="00596E5A"/>
    <w:rsid w:val="00676B44"/>
    <w:rsid w:val="007E728F"/>
    <w:rsid w:val="007E7B77"/>
    <w:rsid w:val="00834E34"/>
    <w:rsid w:val="008733AA"/>
    <w:rsid w:val="00880AA6"/>
    <w:rsid w:val="0094500B"/>
    <w:rsid w:val="00992410"/>
    <w:rsid w:val="009B481F"/>
    <w:rsid w:val="00A05B86"/>
    <w:rsid w:val="00A164C0"/>
    <w:rsid w:val="00A2789E"/>
    <w:rsid w:val="00A55E4E"/>
    <w:rsid w:val="00A56498"/>
    <w:rsid w:val="00A630D6"/>
    <w:rsid w:val="00A76145"/>
    <w:rsid w:val="00A917A4"/>
    <w:rsid w:val="00A95EAD"/>
    <w:rsid w:val="00AF6831"/>
    <w:rsid w:val="00B02468"/>
    <w:rsid w:val="00B2579A"/>
    <w:rsid w:val="00B520AB"/>
    <w:rsid w:val="00B63450"/>
    <w:rsid w:val="00B75859"/>
    <w:rsid w:val="00B97373"/>
    <w:rsid w:val="00BC1621"/>
    <w:rsid w:val="00BE7335"/>
    <w:rsid w:val="00BF0717"/>
    <w:rsid w:val="00BF08B5"/>
    <w:rsid w:val="00C43AEF"/>
    <w:rsid w:val="00C5670C"/>
    <w:rsid w:val="00CD7576"/>
    <w:rsid w:val="00D717C9"/>
    <w:rsid w:val="00D71FE5"/>
    <w:rsid w:val="00D8732A"/>
    <w:rsid w:val="00D9196F"/>
    <w:rsid w:val="00DB6604"/>
    <w:rsid w:val="00DC61A7"/>
    <w:rsid w:val="00E174B0"/>
    <w:rsid w:val="00E3278E"/>
    <w:rsid w:val="00F10AE9"/>
    <w:rsid w:val="00F11C6F"/>
    <w:rsid w:val="00F74A90"/>
    <w:rsid w:val="00F83046"/>
    <w:rsid w:val="00FD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F33E3"/>
  <w15:chartTrackingRefBased/>
  <w15:docId w15:val="{F0DCD95B-F6BC-7E4C-A645-37CF44BD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73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F10AE9"/>
    <w:pPr>
      <w:spacing w:after="0" w:line="480" w:lineRule="exact"/>
      <w:ind w:firstLine="720"/>
    </w:pPr>
    <w:rPr>
      <w:rFonts w:ascii="Palatino Linotype" w:eastAsia="Times New Roman" w:hAnsi="Palatino Linotype" w:cs="Times New Roman"/>
      <w:kern w:val="20"/>
      <w:sz w:val="24"/>
      <w:szCs w:val="24"/>
    </w:rPr>
  </w:style>
  <w:style w:type="character" w:customStyle="1" w:styleId="BodyTextChar">
    <w:name w:val="Body Text Char"/>
    <w:link w:val="BodyText"/>
    <w:uiPriority w:val="99"/>
    <w:rsid w:val="00F10AE9"/>
    <w:rPr>
      <w:rFonts w:ascii="Century" w:eastAsia="Calibri" w:hAnsi="Century" w:cs="Times New Roman"/>
    </w:rPr>
  </w:style>
  <w:style w:type="paragraph" w:customStyle="1" w:styleId="CenterBold">
    <w:name w:val="Center Bold"/>
    <w:basedOn w:val="Normal"/>
    <w:qFormat/>
    <w:rsid w:val="00F83046"/>
    <w:pPr>
      <w:spacing w:after="60" w:line="240" w:lineRule="auto"/>
      <w:jc w:val="center"/>
    </w:pPr>
    <w:rPr>
      <w:rFonts w:ascii="Palatino Linotype" w:eastAsia="Times New Roman" w:hAnsi="Palatino Linotype" w:cs="Times New Roman"/>
      <w:b/>
      <w:kern w:val="20"/>
      <w:sz w:val="24"/>
      <w:szCs w:val="24"/>
    </w:rPr>
  </w:style>
  <w:style w:type="paragraph" w:styleId="FootnoteText">
    <w:name w:val="footnote text"/>
    <w:basedOn w:val="JuryInstructionText"/>
    <w:link w:val="FootnoteTextChar"/>
    <w:uiPriority w:val="99"/>
    <w:unhideWhenUsed/>
    <w:rsid w:val="00257345"/>
    <w:pPr>
      <w:spacing w:before="60" w:after="0" w:line="280" w:lineRule="exact"/>
      <w:ind w:left="288" w:hanging="288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57345"/>
    <w:rPr>
      <w:rFonts w:ascii="Segoe UI Historic" w:hAnsi="Segoe UI Historic" w:cs="Times New Roman"/>
      <w:kern w:val="20"/>
      <w:sz w:val="22"/>
      <w:szCs w:val="20"/>
    </w:rPr>
  </w:style>
  <w:style w:type="paragraph" w:customStyle="1" w:styleId="Notes">
    <w:name w:val="Notes"/>
    <w:basedOn w:val="Normal"/>
    <w:qFormat/>
    <w:rsid w:val="00594672"/>
    <w:pPr>
      <w:spacing w:after="120" w:line="240" w:lineRule="auto"/>
    </w:pPr>
    <w:rPr>
      <w:rFonts w:ascii="Palatino Linotype" w:eastAsia="Times New Roman" w:hAnsi="Palatino Linotype" w:cs="Times New Roman"/>
      <w:kern w:val="2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qFormat/>
    <w:rsid w:val="008733AA"/>
    <w:pPr>
      <w:tabs>
        <w:tab w:val="right" w:leader="dot" w:pos="9350"/>
      </w:tabs>
      <w:spacing w:after="120" w:line="240" w:lineRule="auto"/>
      <w:ind w:right="720"/>
    </w:pPr>
    <w:rPr>
      <w:rFonts w:ascii="Segoe UI Historic" w:eastAsia="Times New Roman" w:hAnsi="Segoe UI Historic" w:cs="Times New Roman"/>
      <w:kern w:val="20"/>
      <w:sz w:val="24"/>
      <w:szCs w:val="24"/>
    </w:rPr>
  </w:style>
  <w:style w:type="paragraph" w:styleId="TOC2">
    <w:name w:val="toc 2"/>
    <w:basedOn w:val="Normal"/>
    <w:next w:val="Normal"/>
    <w:autoRedefine/>
    <w:uiPriority w:val="39"/>
    <w:qFormat/>
    <w:rsid w:val="008733AA"/>
    <w:pPr>
      <w:keepNext/>
      <w:tabs>
        <w:tab w:val="left" w:pos="1440"/>
        <w:tab w:val="right" w:leader="dot" w:pos="9350"/>
      </w:tabs>
      <w:spacing w:after="120" w:line="240" w:lineRule="auto"/>
      <w:ind w:left="432" w:right="720"/>
    </w:pPr>
    <w:rPr>
      <w:rFonts w:ascii="Segoe UI Historic" w:eastAsia="Times New Roman" w:hAnsi="Segoe UI Historic" w:cs="Times New Roman"/>
      <w:kern w:val="20"/>
      <w:sz w:val="24"/>
      <w:szCs w:val="24"/>
    </w:rPr>
  </w:style>
  <w:style w:type="paragraph" w:styleId="TOC3">
    <w:name w:val="toc 3"/>
    <w:basedOn w:val="Normal"/>
    <w:next w:val="Normal"/>
    <w:uiPriority w:val="39"/>
    <w:qFormat/>
    <w:rsid w:val="008733AA"/>
    <w:pPr>
      <w:tabs>
        <w:tab w:val="left" w:pos="1296"/>
        <w:tab w:val="right" w:leader="dot" w:pos="9346"/>
      </w:tabs>
      <w:spacing w:after="120" w:line="240" w:lineRule="auto"/>
      <w:ind w:left="864" w:right="720"/>
    </w:pPr>
    <w:rPr>
      <w:rFonts w:ascii="Segoe UI Historic" w:eastAsia="Times New Roman" w:hAnsi="Segoe UI Historic" w:cs="Times New Roman"/>
      <w:kern w:val="20"/>
      <w:sz w:val="24"/>
      <w:szCs w:val="24"/>
    </w:rPr>
  </w:style>
  <w:style w:type="paragraph" w:styleId="TOC4">
    <w:name w:val="toc 4"/>
    <w:basedOn w:val="Normal"/>
    <w:next w:val="Normal"/>
    <w:uiPriority w:val="39"/>
    <w:rsid w:val="008733AA"/>
    <w:pPr>
      <w:tabs>
        <w:tab w:val="left" w:pos="1728"/>
        <w:tab w:val="right" w:leader="dot" w:pos="9346"/>
      </w:tabs>
      <w:spacing w:after="120"/>
      <w:ind w:left="1296" w:right="720"/>
    </w:pPr>
    <w:rPr>
      <w:rFonts w:ascii="Segoe UI Historic" w:hAnsi="Segoe UI Historic"/>
    </w:rPr>
  </w:style>
  <w:style w:type="paragraph" w:styleId="TOC9">
    <w:name w:val="toc 9"/>
    <w:basedOn w:val="Normal"/>
    <w:next w:val="Normal"/>
    <w:qFormat/>
    <w:rsid w:val="00F10AE9"/>
    <w:pPr>
      <w:spacing w:after="240" w:line="240" w:lineRule="auto"/>
      <w:ind w:left="1440" w:right="720" w:hanging="720"/>
    </w:pPr>
    <w:rPr>
      <w:rFonts w:ascii="Palatino Linotype" w:eastAsia="Times New Roman" w:hAnsi="Palatino Linotype" w:cs="Times New Roman"/>
      <w:kern w:val="20"/>
      <w:sz w:val="24"/>
      <w:szCs w:val="24"/>
    </w:rPr>
  </w:style>
  <w:style w:type="paragraph" w:styleId="TOC5">
    <w:name w:val="toc 5"/>
    <w:basedOn w:val="Normal"/>
    <w:next w:val="Normal"/>
    <w:autoRedefine/>
    <w:uiPriority w:val="39"/>
    <w:rsid w:val="008733AA"/>
    <w:pPr>
      <w:tabs>
        <w:tab w:val="left" w:pos="2160"/>
        <w:tab w:val="right" w:leader="dot" w:pos="9346"/>
      </w:tabs>
      <w:spacing w:after="120"/>
      <w:ind w:left="1728" w:right="720"/>
    </w:pPr>
    <w:rPr>
      <w:rFonts w:ascii="Segoe UI Historic" w:hAnsi="Segoe UI Historic"/>
    </w:rPr>
  </w:style>
  <w:style w:type="paragraph" w:customStyle="1" w:styleId="Notes-Hanging">
    <w:name w:val="Notes - Hanging"/>
    <w:basedOn w:val="Notes"/>
    <w:next w:val="Notes"/>
    <w:qFormat/>
    <w:rsid w:val="00594672"/>
    <w:pPr>
      <w:ind w:left="432" w:hanging="432"/>
    </w:pPr>
  </w:style>
  <w:style w:type="character" w:styleId="FootnoteReference">
    <w:name w:val="footnote reference"/>
    <w:uiPriority w:val="99"/>
    <w:rsid w:val="00F74A90"/>
    <w:rPr>
      <w:b/>
      <w:vertAlign w:val="superscript"/>
    </w:rPr>
  </w:style>
  <w:style w:type="paragraph" w:customStyle="1" w:styleId="JuryInst2">
    <w:name w:val="JuryInst2"/>
    <w:basedOn w:val="JuryInst1"/>
    <w:next w:val="JuryInstructionText"/>
    <w:rsid w:val="00B75859"/>
    <w:pPr>
      <w:keepLines/>
      <w:numPr>
        <w:ilvl w:val="1"/>
      </w:numPr>
      <w:spacing w:before="0"/>
      <w:jc w:val="left"/>
      <w:outlineLvl w:val="1"/>
    </w:pPr>
    <w:rPr>
      <w:smallCaps w:val="0"/>
      <w:spacing w:val="12"/>
    </w:rPr>
  </w:style>
  <w:style w:type="paragraph" w:customStyle="1" w:styleId="JuryInstructionText">
    <w:name w:val="Jury Instruction Text"/>
    <w:basedOn w:val="Normal"/>
    <w:qFormat/>
    <w:rsid w:val="004848CB"/>
    <w:pPr>
      <w:spacing w:line="400" w:lineRule="exact"/>
    </w:pPr>
    <w:rPr>
      <w:rFonts w:ascii="Segoe UI Historic" w:eastAsia="Calibri" w:hAnsi="Segoe UI Historic" w:cs="Times New Roman"/>
      <w:kern w:val="20"/>
      <w:sz w:val="28"/>
      <w:szCs w:val="28"/>
    </w:rPr>
  </w:style>
  <w:style w:type="paragraph" w:customStyle="1" w:styleId="JuryInstructionElements">
    <w:name w:val="Jury Instruction Elements"/>
    <w:basedOn w:val="JuryInstructionText"/>
    <w:qFormat/>
    <w:rsid w:val="005446C0"/>
    <w:pPr>
      <w:spacing w:after="120" w:line="340" w:lineRule="exact"/>
      <w:ind w:left="864" w:right="432" w:hanging="360"/>
    </w:pPr>
  </w:style>
  <w:style w:type="paragraph" w:customStyle="1" w:styleId="JuryInst1">
    <w:name w:val="JuryInst1"/>
    <w:basedOn w:val="JuryInstructionText"/>
    <w:next w:val="JuryInstructionText"/>
    <w:rsid w:val="00B75859"/>
    <w:pPr>
      <w:keepNext/>
      <w:numPr>
        <w:numId w:val="2"/>
      </w:numPr>
      <w:spacing w:before="80"/>
      <w:jc w:val="center"/>
      <w:outlineLvl w:val="0"/>
    </w:pPr>
    <w:rPr>
      <w:b/>
      <w:smallCaps/>
      <w:spacing w:val="20"/>
      <w:szCs w:val="20"/>
    </w:rPr>
  </w:style>
  <w:style w:type="paragraph" w:customStyle="1" w:styleId="JuryInst3">
    <w:name w:val="JuryInst3"/>
    <w:basedOn w:val="JuryInstructionText"/>
    <w:next w:val="JuryInstructionText"/>
    <w:rsid w:val="00FD6881"/>
    <w:pPr>
      <w:keepNext/>
      <w:keepLines/>
      <w:numPr>
        <w:ilvl w:val="2"/>
        <w:numId w:val="2"/>
      </w:numPr>
      <w:snapToGrid w:val="0"/>
      <w:outlineLvl w:val="2"/>
    </w:pPr>
    <w:rPr>
      <w:b/>
    </w:rPr>
  </w:style>
  <w:style w:type="paragraph" w:customStyle="1" w:styleId="JuryInst4">
    <w:name w:val="JuryInst4"/>
    <w:basedOn w:val="JuryInst3"/>
    <w:next w:val="JuryInstructionText"/>
    <w:rsid w:val="00BF08B5"/>
    <w:pPr>
      <w:numPr>
        <w:ilvl w:val="3"/>
      </w:numPr>
      <w:outlineLvl w:val="3"/>
    </w:pPr>
  </w:style>
  <w:style w:type="paragraph" w:customStyle="1" w:styleId="JuryInst5">
    <w:name w:val="JuryInst5"/>
    <w:basedOn w:val="JuryInst4"/>
    <w:next w:val="JuryInstructionText"/>
    <w:rsid w:val="00BF08B5"/>
    <w:pPr>
      <w:numPr>
        <w:ilvl w:val="4"/>
      </w:numPr>
      <w:spacing w:after="120"/>
      <w:outlineLvl w:val="4"/>
    </w:pPr>
  </w:style>
  <w:style w:type="paragraph" w:customStyle="1" w:styleId="JuryInst6">
    <w:name w:val="JuryInst6"/>
    <w:basedOn w:val="JuryInst5"/>
    <w:next w:val="JuryInstructionText"/>
    <w:rsid w:val="00BF08B5"/>
    <w:pPr>
      <w:numPr>
        <w:ilvl w:val="5"/>
      </w:numPr>
      <w:outlineLvl w:val="5"/>
    </w:pPr>
  </w:style>
  <w:style w:type="paragraph" w:customStyle="1" w:styleId="JuryInstructionBullets">
    <w:name w:val="Jury Instruction Bullets"/>
    <w:basedOn w:val="JuryInstructionElements"/>
    <w:qFormat/>
    <w:rsid w:val="005446C0"/>
    <w:pPr>
      <w:numPr>
        <w:numId w:val="1"/>
      </w:numPr>
      <w:ind w:left="864"/>
    </w:pPr>
  </w:style>
  <w:style w:type="paragraph" w:customStyle="1" w:styleId="JuryInstructionIndent">
    <w:name w:val="Jury Instruction Indent"/>
    <w:basedOn w:val="JuryInstructionText"/>
    <w:next w:val="JuryInstructionText"/>
    <w:qFormat/>
    <w:rsid w:val="00016CA0"/>
    <w:pPr>
      <w:ind w:left="432"/>
    </w:pPr>
  </w:style>
  <w:style w:type="paragraph" w:styleId="TOC6">
    <w:name w:val="toc 6"/>
    <w:basedOn w:val="Normal"/>
    <w:next w:val="Normal"/>
    <w:autoRedefine/>
    <w:uiPriority w:val="39"/>
    <w:unhideWhenUsed/>
    <w:rsid w:val="008733AA"/>
    <w:pPr>
      <w:tabs>
        <w:tab w:val="left" w:pos="2592"/>
        <w:tab w:val="right" w:leader="dot" w:pos="9346"/>
      </w:tabs>
      <w:spacing w:after="120"/>
      <w:ind w:left="2160" w:right="720"/>
    </w:pPr>
    <w:rPr>
      <w:rFonts w:ascii="Segoe UI Historic" w:hAnsi="Segoe UI Historic"/>
    </w:rPr>
  </w:style>
  <w:style w:type="paragraph" w:styleId="NormalWeb">
    <w:name w:val="Normal (Web)"/>
    <w:basedOn w:val="Normal"/>
    <w:uiPriority w:val="99"/>
    <w:unhideWhenUsed/>
    <w:rsid w:val="00470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KWS</dc:creator>
  <cp:keywords/>
  <dc:description/>
  <cp:lastModifiedBy>William Burke</cp:lastModifiedBy>
  <cp:revision>2</cp:revision>
  <dcterms:created xsi:type="dcterms:W3CDTF">2022-08-12T18:41:00Z</dcterms:created>
  <dcterms:modified xsi:type="dcterms:W3CDTF">2022-08-12T18:41:00Z</dcterms:modified>
</cp:coreProperties>
</file>