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E62C" w14:textId="5A85A297" w:rsidR="00A62DD5" w:rsidRPr="00720E2B" w:rsidRDefault="00A62DD5" w:rsidP="00A62DD5">
      <w:pPr>
        <w:pStyle w:val="JuryInstructionText"/>
        <w:jc w:val="right"/>
        <w:rPr>
          <w:i/>
          <w:iCs/>
        </w:rPr>
      </w:pPr>
      <w:r w:rsidRPr="00720E2B">
        <w:rPr>
          <w:i/>
          <w:iCs/>
        </w:rPr>
        <w:t xml:space="preserve">Publication Date: </w:t>
      </w:r>
      <w:r w:rsidR="00960B42">
        <w:rPr>
          <w:i/>
          <w:iCs/>
        </w:rPr>
        <w:t>March 11, 2025</w:t>
      </w:r>
    </w:p>
    <w:p w14:paraId="493CDFF3" w14:textId="77777777" w:rsidR="00AC0CF8" w:rsidRDefault="00AC0CF8" w:rsidP="00AC0CF8">
      <w:pPr>
        <w:pStyle w:val="JuryInst2"/>
      </w:pPr>
      <w:r>
        <w:t>Medical Malpractice</w:t>
      </w:r>
    </w:p>
    <w:p w14:paraId="3F68386E" w14:textId="77777777" w:rsidR="00AC0CF8" w:rsidRPr="00E0195A" w:rsidRDefault="00AC0CF8" w:rsidP="00AC0CF8">
      <w:pPr>
        <w:pStyle w:val="JuryInstructionText"/>
      </w:pPr>
      <w:r>
        <w:t>As I explained before the</w:t>
      </w:r>
      <w:r w:rsidRPr="00E0195A">
        <w:t xml:space="preserve"> trial</w:t>
      </w:r>
      <w:r>
        <w:t xml:space="preserve"> began,</w:t>
      </w:r>
      <w:r w:rsidRPr="00E0195A">
        <w:t xml:space="preserve"> </w:t>
      </w:r>
      <w:bookmarkStart w:id="0" w:name="_Hlk71203769"/>
      <w:r w:rsidRPr="00E0195A">
        <w:t>the term “medical malpractice” is the same thing as “medical negligence.”</w:t>
      </w:r>
      <w:bookmarkEnd w:id="0"/>
      <w:r>
        <w:t xml:space="preserve">  </w:t>
      </w:r>
      <w:r w:rsidRPr="0065203C">
        <w:t>“</w:t>
      </w:r>
      <w:r>
        <w:t>M</w:t>
      </w:r>
      <w:r w:rsidRPr="007F69CE">
        <w:t>edical malpractice</w:t>
      </w:r>
      <w:r w:rsidRPr="0065203C">
        <w:t xml:space="preserve">” refers to </w:t>
      </w:r>
      <w:r>
        <w:t xml:space="preserve">medical </w:t>
      </w:r>
      <w:r w:rsidRPr="0065203C">
        <w:t>negligence by a physician or other health care professional in providing medical care to a patient.</w:t>
      </w:r>
    </w:p>
    <w:p w14:paraId="1C49B4EC" w14:textId="77777777" w:rsidR="00AC0CF8" w:rsidRPr="00E0195A" w:rsidRDefault="00AC0CF8" w:rsidP="00AC0CF8">
      <w:pPr>
        <w:pStyle w:val="JuryInstructionText"/>
      </w:pPr>
      <w:r w:rsidRPr="00E0195A">
        <w:t>In order to prove medical negligence, PLF must show that the following [four</w:t>
      </w:r>
      <w:r>
        <w:t>/five</w:t>
      </w:r>
      <w:r w:rsidRPr="00E0195A">
        <w:t>] things</w:t>
      </w:r>
      <w:r>
        <w:t xml:space="preserve"> are </w:t>
      </w:r>
      <w:r w:rsidRPr="00E0195A">
        <w:t>more likely true than not true:</w:t>
      </w:r>
    </w:p>
    <w:p w14:paraId="52AE76DC" w14:textId="5A75C4A3" w:rsidR="00AC0CF8" w:rsidRPr="00E0195A" w:rsidRDefault="00AC0CF8" w:rsidP="00AC0CF8">
      <w:pPr>
        <w:pStyle w:val="JuryInstructionElements"/>
      </w:pPr>
      <w:r w:rsidRPr="00E0195A">
        <w:t xml:space="preserve">0. </w:t>
      </w:r>
      <w:r w:rsidRPr="00E0195A">
        <w:tab/>
      </w:r>
      <w:r w:rsidR="00A046BD">
        <w:t>&lt;</w:t>
      </w:r>
      <w:r w:rsidRPr="006244C2">
        <w:rPr>
          <w:i/>
          <w:iCs/>
        </w:rPr>
        <w:t>If a doctor-patient relationship is contested</w:t>
      </w:r>
      <w:r w:rsidR="00A046BD">
        <w:t>&gt;</w:t>
      </w:r>
      <w:r w:rsidRPr="00E0195A">
        <w:t xml:space="preserve"> </w:t>
      </w:r>
      <w:r w:rsidR="00A046BD">
        <w:br/>
      </w:r>
      <w:r>
        <w:t>t</w:t>
      </w:r>
      <w:r w:rsidRPr="00E0195A">
        <w:t xml:space="preserve">hat a </w:t>
      </w:r>
      <w:r w:rsidRPr="002F07CD">
        <w:rPr>
          <w:b/>
        </w:rPr>
        <w:t>doctor-patient relationship</w:t>
      </w:r>
      <w:r w:rsidRPr="00E0195A">
        <w:t xml:space="preserve"> existed;</w:t>
      </w:r>
    </w:p>
    <w:p w14:paraId="0A12A773" w14:textId="77777777" w:rsidR="00AC0CF8" w:rsidRPr="00E0195A" w:rsidRDefault="00AC0CF8" w:rsidP="00AC0CF8">
      <w:pPr>
        <w:pStyle w:val="JuryInstructionElements"/>
      </w:pPr>
      <w:r w:rsidRPr="00E0195A">
        <w:t>1.</w:t>
      </w:r>
      <w:r w:rsidRPr="00E0195A">
        <w:tab/>
      </w:r>
      <w:r>
        <w:t xml:space="preserve">what the medical </w:t>
      </w:r>
      <w:r w:rsidRPr="002F07CD">
        <w:rPr>
          <w:b/>
        </w:rPr>
        <w:t>standard of care</w:t>
      </w:r>
      <w:r>
        <w:t xml:space="preserve"> was</w:t>
      </w:r>
      <w:r w:rsidRPr="00E0195A">
        <w:t xml:space="preserve"> in the circum</w:t>
      </w:r>
      <w:r>
        <w:t>stances of this case -</w:t>
      </w:r>
      <w:r w:rsidRPr="00E0195A">
        <w:t xml:space="preserve"> in other words, what </w:t>
      </w:r>
      <w:r>
        <w:t>DFT</w:t>
      </w:r>
      <w:r w:rsidRPr="00E0195A">
        <w:t xml:space="preserve"> should have done;</w:t>
      </w:r>
    </w:p>
    <w:p w14:paraId="08AE8BDF" w14:textId="77777777" w:rsidR="00AC0CF8" w:rsidRPr="00E0195A" w:rsidRDefault="00AC0CF8" w:rsidP="00AC0CF8">
      <w:pPr>
        <w:pStyle w:val="JuryInstructionElements"/>
      </w:pPr>
      <w:r w:rsidRPr="00E0195A">
        <w:t>2.</w:t>
      </w:r>
      <w:r w:rsidRPr="00E0195A">
        <w:tab/>
        <w:t xml:space="preserve">that </w:t>
      </w:r>
      <w:r>
        <w:t>DFT’s medical treatment</w:t>
      </w:r>
      <w:r w:rsidRPr="00E0195A">
        <w:t xml:space="preserve"> </w:t>
      </w:r>
      <w:r w:rsidRPr="002F07CD">
        <w:rPr>
          <w:b/>
        </w:rPr>
        <w:t>fell below that standard of care</w:t>
      </w:r>
      <w:r>
        <w:t xml:space="preserve"> -</w:t>
      </w:r>
      <w:r w:rsidRPr="00E0195A">
        <w:t xml:space="preserve"> in other words, </w:t>
      </w:r>
      <w:r>
        <w:t xml:space="preserve">that DFT </w:t>
      </w:r>
      <w:r w:rsidRPr="00E0195A">
        <w:t>was negligent;</w:t>
      </w:r>
      <w:r>
        <w:rPr>
          <w:rStyle w:val="FootnoteReference"/>
          <w:rFonts w:cs="Segoe UI Historic"/>
        </w:rPr>
        <w:footnoteReference w:id="1"/>
      </w:r>
    </w:p>
    <w:p w14:paraId="2B389A1E" w14:textId="77777777" w:rsidR="00AC0CF8" w:rsidRPr="00E0195A" w:rsidRDefault="00AC0CF8" w:rsidP="00AC0CF8">
      <w:pPr>
        <w:pStyle w:val="JuryInstructionElements"/>
        <w:rPr>
          <w:spacing w:val="-2"/>
        </w:rPr>
      </w:pPr>
      <w:r w:rsidRPr="00E0195A">
        <w:t>3.</w:t>
      </w:r>
      <w:r w:rsidRPr="00E0195A">
        <w:tab/>
      </w:r>
      <w:r w:rsidRPr="00E0195A">
        <w:tab/>
        <w:t xml:space="preserve">that </w:t>
      </w:r>
      <w:r>
        <w:rPr>
          <w:spacing w:val="-2"/>
        </w:rPr>
        <w:t>DFT’s</w:t>
      </w:r>
      <w:r w:rsidRPr="00E0195A">
        <w:rPr>
          <w:spacing w:val="-2"/>
        </w:rPr>
        <w:t xml:space="preserve"> negligence </w:t>
      </w:r>
      <w:r>
        <w:rPr>
          <w:spacing w:val="-2"/>
        </w:rPr>
        <w:t xml:space="preserve">was a </w:t>
      </w:r>
      <w:r w:rsidRPr="002F07CD">
        <w:rPr>
          <w:b/>
          <w:spacing w:val="-2"/>
        </w:rPr>
        <w:t>cause</w:t>
      </w:r>
      <w:r>
        <w:rPr>
          <w:spacing w:val="-2"/>
        </w:rPr>
        <w:t xml:space="preserve"> of </w:t>
      </w:r>
      <w:r w:rsidRPr="00E0195A">
        <w:rPr>
          <w:spacing w:val="-2"/>
        </w:rPr>
        <w:t>PLF’s inju</w:t>
      </w:r>
      <w:r>
        <w:rPr>
          <w:spacing w:val="-2"/>
        </w:rPr>
        <w:t>ry or harm</w:t>
      </w:r>
      <w:r w:rsidRPr="00E0195A">
        <w:rPr>
          <w:spacing w:val="-2"/>
        </w:rPr>
        <w:t>;</w:t>
      </w:r>
    </w:p>
    <w:p w14:paraId="357D3BE7" w14:textId="77777777" w:rsidR="00AC0CF8" w:rsidRPr="00E0195A" w:rsidRDefault="00AC0CF8" w:rsidP="00AC0CF8">
      <w:pPr>
        <w:pStyle w:val="JuryInstructionElements"/>
      </w:pPr>
      <w:r w:rsidRPr="00E0195A">
        <w:t>4.</w:t>
      </w:r>
      <w:r w:rsidRPr="00E0195A">
        <w:tab/>
      </w:r>
      <w:r w:rsidRPr="00036E79">
        <w:tab/>
      </w:r>
      <w:r w:rsidRPr="00E0195A">
        <w:t>the extent of</w:t>
      </w:r>
      <w:r>
        <w:t xml:space="preserve"> the alleged</w:t>
      </w:r>
      <w:r w:rsidRPr="00E0195A">
        <w:t xml:space="preserve"> </w:t>
      </w:r>
      <w:r w:rsidRPr="002F07CD">
        <w:rPr>
          <w:b/>
          <w:spacing w:val="-2"/>
        </w:rPr>
        <w:t>injuries/harm</w:t>
      </w:r>
      <w:r w:rsidRPr="00E0195A">
        <w:rPr>
          <w:spacing w:val="-2"/>
        </w:rPr>
        <w:t>, which we call “damages.”</w:t>
      </w:r>
    </w:p>
    <w:p w14:paraId="206FDFF1" w14:textId="77777777" w:rsidR="00AC0CF8" w:rsidRPr="00E0195A" w:rsidRDefault="00AC0CF8" w:rsidP="00AC0CF8">
      <w:pPr>
        <w:pStyle w:val="JuryInstructionText"/>
        <w:rPr>
          <w:b/>
        </w:rPr>
      </w:pPr>
      <w:r w:rsidRPr="00E0195A">
        <w:t xml:space="preserve">I will now explain each of these </w:t>
      </w:r>
      <w:r>
        <w:t xml:space="preserve">things </w:t>
      </w:r>
      <w:r w:rsidRPr="00E0195A">
        <w:t>in more detail.</w:t>
      </w:r>
    </w:p>
    <w:p w14:paraId="7EEEDDEA" w14:textId="77777777" w:rsidR="00AC0CF8" w:rsidRPr="00E0195A" w:rsidRDefault="00AC0CF8" w:rsidP="00A046BD">
      <w:pPr>
        <w:pStyle w:val="JuryInst3"/>
      </w:pPr>
      <w:r>
        <w:t>Doctor-</w:t>
      </w:r>
      <w:r w:rsidRPr="00E0195A">
        <w:t>Patient Relationship</w:t>
      </w:r>
    </w:p>
    <w:p w14:paraId="2CC45125" w14:textId="2FD41628" w:rsidR="00AC0CF8" w:rsidRDefault="00A046BD" w:rsidP="00AC0CF8">
      <w:pPr>
        <w:pStyle w:val="JuryInstructionText"/>
      </w:pPr>
      <w:r>
        <w:t>&lt;</w:t>
      </w:r>
      <w:r w:rsidR="00AC0CF8" w:rsidRPr="00A046BD">
        <w:rPr>
          <w:b/>
          <w:bCs/>
          <w:i/>
          <w:iCs/>
        </w:rPr>
        <w:t>omit this section if this is uncontested</w:t>
      </w:r>
      <w:r>
        <w:t>&gt;</w:t>
      </w:r>
    </w:p>
    <w:p w14:paraId="0269CB17" w14:textId="00FBF5B6" w:rsidR="00AC0CF8" w:rsidRDefault="00AC0CF8" w:rsidP="00AC0CF8">
      <w:pPr>
        <w:pStyle w:val="JuryInstructionText"/>
      </w:pPr>
      <w:r w:rsidRPr="00E0195A">
        <w:t>First, PLF must prove</w:t>
      </w:r>
      <w:r>
        <w:t xml:space="preserve"> that</w:t>
      </w:r>
      <w:r w:rsidRPr="00E0195A">
        <w:t xml:space="preserve">, more likely than not, </w:t>
      </w:r>
      <w:r>
        <w:t xml:space="preserve">DFT and PLF had a doctor-patient relationship </w:t>
      </w:r>
      <w:r w:rsidRPr="00E0195A">
        <w:t>at the time of the alleged negligence</w:t>
      </w:r>
      <w:r w:rsidR="00A046BD">
        <w:t xml:space="preserve">. </w:t>
      </w:r>
      <w:r w:rsidRPr="00E0195A">
        <w:t>A doctor-patient relationship exists when the doctor participates in the evaluation, care</w:t>
      </w:r>
      <w:r>
        <w:t>,</w:t>
      </w:r>
      <w:r w:rsidRPr="00E0195A">
        <w:t xml:space="preserve"> or treatment of the patient</w:t>
      </w:r>
      <w:r w:rsidR="00A046BD">
        <w:t xml:space="preserve">. </w:t>
      </w:r>
    </w:p>
    <w:p w14:paraId="2FA0F23F" w14:textId="25622BFE" w:rsidR="00AC0CF8" w:rsidRPr="00A15256" w:rsidRDefault="00AC0CF8" w:rsidP="00AC0CF8">
      <w:pPr>
        <w:pStyle w:val="JuryInstructionText"/>
        <w:rPr>
          <w:b/>
        </w:rPr>
      </w:pPr>
      <w:r w:rsidRPr="00A15256">
        <w:t xml:space="preserve">The doctor’s relationship with the patient must </w:t>
      </w:r>
      <w:r>
        <w:t>involve</w:t>
      </w:r>
      <w:r w:rsidRPr="00A15256">
        <w:t xml:space="preserve"> more than a casual or informal conversation</w:t>
      </w:r>
      <w:r w:rsidR="00A046BD">
        <w:t xml:space="preserve">. </w:t>
      </w:r>
      <w:r w:rsidRPr="00A15256">
        <w:t xml:space="preserve">For example, if I mention to a doctor at a neighborhood gathering that I am having some medical </w:t>
      </w:r>
      <w:r>
        <w:t xml:space="preserve">symptoms, </w:t>
      </w:r>
      <w:r w:rsidRPr="00A15256">
        <w:t>that is not enough to establish a doctor-patient relationship</w:t>
      </w:r>
      <w:r w:rsidR="00A046BD">
        <w:t xml:space="preserve">. </w:t>
      </w:r>
      <w:r w:rsidRPr="00A15256">
        <w:t xml:space="preserve">However, if a </w:t>
      </w:r>
      <w:r w:rsidRPr="00A15256">
        <w:lastRenderedPageBreak/>
        <w:t xml:space="preserve">radiologist interpreted my x-ray in the medical records, then a doctor-patient relationship existed, even if I never met </w:t>
      </w:r>
      <w:r>
        <w:t xml:space="preserve">or spoke with </w:t>
      </w:r>
      <w:r w:rsidRPr="00A15256">
        <w:t>that doctor.</w:t>
      </w:r>
      <w:r>
        <w:rPr>
          <w:rStyle w:val="FootnoteReference"/>
          <w:rFonts w:cs="Segoe UI Historic"/>
        </w:rPr>
        <w:footnoteReference w:id="2"/>
      </w:r>
      <w:r>
        <w:t xml:space="preserve">  A doctor-patient relationship may be formed by a virtual visit (such as a phone call or videoconference appointment) or an in-person visit, and the same principles I just outlined will apply.</w:t>
      </w:r>
    </w:p>
    <w:p w14:paraId="4C7A19E7" w14:textId="1185CF22" w:rsidR="00AC0CF8" w:rsidRPr="00E0195A" w:rsidRDefault="00A046BD" w:rsidP="00AC0CF8">
      <w:pPr>
        <w:pStyle w:val="JuryInstructionText"/>
      </w:pPr>
      <w:r>
        <w:t>&lt;</w:t>
      </w:r>
      <w:r w:rsidR="00AC0CF8" w:rsidRPr="00A046BD">
        <w:rPr>
          <w:b/>
          <w:bCs/>
          <w:i/>
          <w:iCs/>
        </w:rPr>
        <w:t>For a claim against a medical provider based on his/her position in an organizational structure for failure to make appropriate policies and procedures</w:t>
      </w:r>
      <w:r w:rsidRPr="00A046BD">
        <w:rPr>
          <w:b/>
          <w:bCs/>
          <w:i/>
          <w:iCs/>
        </w:rPr>
        <w:t>:</w:t>
      </w:r>
      <w:r w:rsidRPr="00A046BD">
        <w:t>&gt;</w:t>
      </w:r>
      <w:r w:rsidR="00AC0CF8">
        <w:t xml:space="preserve"> PLF claims that DFT had a duty to make appropriate policies and procedures and violated that duty. PLF cannot prevail on this claim based </w:t>
      </w:r>
      <w:r w:rsidR="00AC0CF8" w:rsidRPr="00E770D7">
        <w:rPr>
          <w:b/>
        </w:rPr>
        <w:t>only</w:t>
      </w:r>
      <w:r w:rsidR="00AC0CF8">
        <w:t xml:space="preserve"> on DFT’s position in an organization</w:t>
      </w:r>
      <w:r>
        <w:t xml:space="preserve">. </w:t>
      </w:r>
      <w:r w:rsidR="00AC0CF8">
        <w:t>Rather, you must decide whether DFT owed a duty personally to the patient.</w:t>
      </w:r>
      <w:r w:rsidR="00AC0CF8">
        <w:rPr>
          <w:rStyle w:val="FootnoteReference"/>
          <w:rFonts w:cs="Segoe UI Historic"/>
        </w:rPr>
        <w:footnoteReference w:id="3"/>
      </w:r>
      <w:r w:rsidR="00AC0CF8">
        <w:t xml:space="preserve">  It is for you to decide whether DFT owed a duty to make appropriate policies and procedures and whether DFT owed this duty to PLF</w:t>
      </w:r>
      <w:r>
        <w:t xml:space="preserve">. </w:t>
      </w:r>
      <w:r w:rsidR="00AC0CF8">
        <w:t>You must make this decision based upon the facts as you find them to be and the expert evidence in this case</w:t>
      </w:r>
      <w:r>
        <w:t xml:space="preserve">. </w:t>
      </w:r>
      <w:r w:rsidR="00AC0CF8">
        <w:t>For example, the chief of medicine of a hospital does not have a doctor-patient relationship with every patient admitted to that hospital, simply because of his or her position</w:t>
      </w:r>
      <w:r>
        <w:t xml:space="preserve">. </w:t>
      </w:r>
      <w:r w:rsidR="00AC0CF8">
        <w:t>However, the laboratory director who is personally involved with the allegedly negligent policies and procedures in a laboratory may have a doctor-patient relationship with a patient, depending on the facts of the case.</w:t>
      </w:r>
      <w:r w:rsidR="00AC0CF8">
        <w:rPr>
          <w:rStyle w:val="FootnoteReference"/>
          <w:rFonts w:cs="Segoe UI Historic"/>
        </w:rPr>
        <w:footnoteReference w:id="4"/>
      </w:r>
      <w:r w:rsidR="00AC0CF8">
        <w:t xml:space="preserve">  </w:t>
      </w:r>
    </w:p>
    <w:p w14:paraId="03409A8C" w14:textId="77777777" w:rsidR="00AC0CF8" w:rsidRPr="00E0195A" w:rsidRDefault="00AC0CF8" w:rsidP="00A046BD">
      <w:pPr>
        <w:pStyle w:val="JuryInst3"/>
      </w:pPr>
      <w:r w:rsidRPr="00E0195A">
        <w:rPr>
          <w:snapToGrid w:val="0"/>
        </w:rPr>
        <w:t>Standard of Care</w:t>
      </w:r>
    </w:p>
    <w:p w14:paraId="6075A85A" w14:textId="77777777" w:rsidR="00AC0CF8" w:rsidRDefault="00AC0CF8" w:rsidP="00AC0CF8">
      <w:pPr>
        <w:pStyle w:val="JuryInstructionText"/>
      </w:pPr>
      <w:r w:rsidRPr="00E0195A">
        <w:t>First</w:t>
      </w:r>
      <w:r>
        <w:t xml:space="preserve"> [Next]</w:t>
      </w:r>
      <w:r w:rsidRPr="00E0195A">
        <w:t xml:space="preserve">, PLF must prove what standard of care DFT </w:t>
      </w:r>
      <w:r>
        <w:t>should have provided</w:t>
      </w:r>
      <w:r w:rsidRPr="00E0195A">
        <w:t xml:space="preserve"> to PLF in this case.</w:t>
      </w:r>
      <w:r>
        <w:rPr>
          <w:rStyle w:val="FootnoteReference"/>
          <w:rFonts w:cs="Segoe UI Historic"/>
        </w:rPr>
        <w:footnoteReference w:id="5"/>
      </w:r>
      <w:r w:rsidRPr="00E0195A">
        <w:t xml:space="preserve"> </w:t>
      </w:r>
    </w:p>
    <w:p w14:paraId="1CC86715" w14:textId="1B336CF4" w:rsidR="00AC0CF8" w:rsidRDefault="00AC0CF8" w:rsidP="00AC0CF8">
      <w:pPr>
        <w:pStyle w:val="JuryInstructionText"/>
      </w:pPr>
      <w:r w:rsidRPr="00E0195A">
        <w:t>DFT owed a duty to treat PLF according to the “standard of care.” “Standard of care” means the degree of skill and care of the average doctor</w:t>
      </w:r>
      <w:r>
        <w:t xml:space="preserve"> [provider]</w:t>
      </w:r>
      <w:r w:rsidRPr="00E0195A">
        <w:t xml:space="preserve"> </w:t>
      </w:r>
      <w:r w:rsidRPr="00E0195A">
        <w:lastRenderedPageBreak/>
        <w:t>practicing in the defendant’s area of specialty, taking into account the advances in the profession and the medical resources available to the doctor</w:t>
      </w:r>
      <w:r>
        <w:t xml:space="preserve"> [provider]</w:t>
      </w:r>
      <w:r w:rsidRPr="00E0195A">
        <w:t>.</w:t>
      </w:r>
      <w:r>
        <w:rPr>
          <w:rStyle w:val="FootnoteReference"/>
          <w:rFonts w:cs="Segoe UI Historic"/>
        </w:rPr>
        <w:footnoteReference w:id="6"/>
      </w:r>
      <w:r w:rsidRPr="00E0195A">
        <w:t xml:space="preserve">  T</w:t>
      </w:r>
      <w:r>
        <w:t>his standard of care required</w:t>
      </w:r>
      <w:r w:rsidRPr="00E0195A">
        <w:t xml:space="preserve"> DFT</w:t>
      </w:r>
      <w:r>
        <w:t xml:space="preserve"> </w:t>
      </w:r>
      <w:r w:rsidRPr="00E0195A">
        <w:t>to use the degree and skill and care of the average [</w:t>
      </w:r>
      <w:r w:rsidRPr="00DE30C8">
        <w:rPr>
          <w:i/>
          <w:iCs/>
        </w:rPr>
        <w:t>type of specialist</w:t>
      </w:r>
      <w:r w:rsidRPr="00E0195A">
        <w:t>] practicing between [</w:t>
      </w:r>
      <w:r w:rsidRPr="00DE30C8">
        <w:rPr>
          <w:i/>
          <w:iCs/>
        </w:rPr>
        <w:t>dates – usually given in years</w:t>
      </w:r>
      <w:r>
        <w:t>.]</w:t>
      </w:r>
      <w:r w:rsidR="00A046BD">
        <w:t xml:space="preserve">. </w:t>
      </w:r>
      <w:r w:rsidRPr="00E0195A">
        <w:t>You measure the standard of care as of the time of the events [e.g. - from 2016 to 2017]</w:t>
      </w:r>
      <w:r w:rsidR="00A046BD">
        <w:t xml:space="preserve">. </w:t>
      </w:r>
    </w:p>
    <w:p w14:paraId="4F2747B3" w14:textId="77777777" w:rsidR="00AC0CF8" w:rsidRDefault="00AC0CF8" w:rsidP="00AC0CF8">
      <w:pPr>
        <w:pStyle w:val="JuryInstructionText"/>
      </w:pPr>
      <w:r>
        <w:t>This standard does not require doctors [providers] to provide the best care possible.</w:t>
      </w:r>
      <w:r>
        <w:rPr>
          <w:rStyle w:val="FootnoteReference"/>
        </w:rPr>
        <w:footnoteReference w:id="7"/>
      </w:r>
      <w:r>
        <w:t xml:space="preserve">  But a</w:t>
      </w:r>
      <w:r w:rsidRPr="00D76955">
        <w:t xml:space="preserve"> </w:t>
      </w:r>
      <w:r>
        <w:t xml:space="preserve">doctor [provider] must </w:t>
      </w:r>
      <w:r w:rsidRPr="00D76955">
        <w:t xml:space="preserve">have and exercise the </w:t>
      </w:r>
      <w:r>
        <w:t xml:space="preserve">skill and expertise </w:t>
      </w:r>
      <w:r w:rsidRPr="00D76955">
        <w:t xml:space="preserve">ordinarily possessed by </w:t>
      </w:r>
      <w:r>
        <w:t>other doctors [providers]</w:t>
      </w:r>
      <w:r w:rsidRPr="00D76955">
        <w:t xml:space="preserve"> </w:t>
      </w:r>
      <w:r>
        <w:t>in the same specialty.</w:t>
      </w:r>
    </w:p>
    <w:p w14:paraId="30F68B46" w14:textId="2EE4FA0D" w:rsidR="00AC0CF8" w:rsidRDefault="00AC0CF8" w:rsidP="00AC0CF8">
      <w:pPr>
        <w:pStyle w:val="JuryInstructionText"/>
      </w:pPr>
      <w:r>
        <w:t>PLF has the burden to prove what standard of care would have been provided by the average qualified [</w:t>
      </w:r>
      <w:r>
        <w:rPr>
          <w:i/>
          <w:iCs/>
        </w:rPr>
        <w:t>insert specialty</w:t>
      </w:r>
      <w:r>
        <w:t>] providing similar care in [</w:t>
      </w:r>
      <w:r>
        <w:rPr>
          <w:i/>
          <w:iCs/>
        </w:rPr>
        <w:t>insert year or years of alleged negligence</w:t>
      </w:r>
      <w:r>
        <w:t>] under similar circumstances</w:t>
      </w:r>
      <w:r w:rsidR="00A046BD">
        <w:t xml:space="preserve">. </w:t>
      </w:r>
      <w:r>
        <w:t>You may not hold DFT to some other standard of care. For example, what a different individual doctor did or would have done is not enough to show what care the average qualified doctor would provide.</w:t>
      </w:r>
      <w:r>
        <w:rPr>
          <w:rStyle w:val="FootnoteReference"/>
        </w:rPr>
        <w:footnoteReference w:id="8"/>
      </w:r>
      <w:r>
        <w:t xml:space="preserve">  </w:t>
      </w:r>
    </w:p>
    <w:p w14:paraId="7D49CFD2" w14:textId="25A29FC0" w:rsidR="00AC0CF8" w:rsidRDefault="00AC0CF8" w:rsidP="00AC0CF8">
      <w:pPr>
        <w:pStyle w:val="JuryInstructionText"/>
      </w:pPr>
      <w:r w:rsidRPr="00E0195A">
        <w:t>You must determine this standard of care from the testimony</w:t>
      </w:r>
      <w:r>
        <w:t xml:space="preserve"> presented by medical experts </w:t>
      </w:r>
      <w:r w:rsidRPr="00E0195A">
        <w:t>during the trial of this case.</w:t>
      </w:r>
      <w:r>
        <w:rPr>
          <w:rStyle w:val="FootnoteReference"/>
          <w:rFonts w:cs="Segoe UI Historic"/>
        </w:rPr>
        <w:footnoteReference w:id="9"/>
      </w:r>
      <w:r w:rsidRPr="00E0195A">
        <w:t xml:space="preserve"> </w:t>
      </w:r>
      <w:r>
        <w:t>[</w:t>
      </w:r>
      <w:r w:rsidR="00A046BD">
        <w:t>&lt;</w:t>
      </w:r>
      <w:r w:rsidRPr="00A046BD">
        <w:rPr>
          <w:b/>
          <w:bCs/>
          <w:i/>
          <w:iCs/>
        </w:rPr>
        <w:t>If medical treatises were admitted substantively, and not just for impeachment, add to the end of the last sentence:</w:t>
      </w:r>
      <w:r w:rsidR="00A046BD">
        <w:t>&gt;</w:t>
      </w:r>
      <w:r>
        <w:t xml:space="preserve"> “as well as the contents of any medical treatises that were admitted in evidence.”] </w:t>
      </w:r>
      <w:r w:rsidRPr="00E0195A">
        <w:t xml:space="preserve">The standard of care does </w:t>
      </w:r>
      <w:r w:rsidRPr="002F07CD">
        <w:rPr>
          <w:b/>
        </w:rPr>
        <w:t xml:space="preserve">not </w:t>
      </w:r>
      <w:r w:rsidRPr="00E0195A">
        <w:t xml:space="preserve">need to be </w:t>
      </w:r>
      <w:r>
        <w:t>in writing</w:t>
      </w:r>
      <w:r w:rsidR="00A046BD">
        <w:t xml:space="preserve">. </w:t>
      </w:r>
      <w:r w:rsidRPr="00E0195A">
        <w:t>If the experts disagree about the standard of care, you will have to resolve the conflict to determine the degree of care and skill of the average qualified [specialty] at the time and in th</w:t>
      </w:r>
      <w:r>
        <w:t xml:space="preserve">e circumstances of </w:t>
      </w:r>
      <w:r w:rsidRPr="00E0195A">
        <w:t xml:space="preserve">PLF’s </w:t>
      </w:r>
      <w:r>
        <w:t>medical treatment</w:t>
      </w:r>
      <w:r w:rsidR="00A046BD">
        <w:t xml:space="preserve">. </w:t>
      </w:r>
    </w:p>
    <w:p w14:paraId="13B6B1DD" w14:textId="16C00623" w:rsidR="00AC0CF8" w:rsidRPr="00E0195A" w:rsidRDefault="00AC0CF8" w:rsidP="00AC0CF8">
      <w:pPr>
        <w:pStyle w:val="JuryInstructionText"/>
        <w:rPr>
          <w:b/>
        </w:rPr>
      </w:pPr>
      <w:r>
        <w:lastRenderedPageBreak/>
        <w:t xml:space="preserve">In deciding the standard of care </w:t>
      </w:r>
      <w:r>
        <w:rPr>
          <w:szCs w:val="26"/>
        </w:rPr>
        <w:t>for an average qualified [</w:t>
      </w:r>
      <w:r>
        <w:rPr>
          <w:i/>
          <w:iCs/>
          <w:szCs w:val="26"/>
        </w:rPr>
        <w:t>insert specialty</w:t>
      </w:r>
      <w:r>
        <w:rPr>
          <w:szCs w:val="26"/>
        </w:rPr>
        <w:t xml:space="preserve">] </w:t>
      </w:r>
      <w:r>
        <w:t>at that time</w:t>
      </w:r>
      <w:r>
        <w:rPr>
          <w:szCs w:val="26"/>
        </w:rPr>
        <w:t xml:space="preserve">, </w:t>
      </w:r>
      <w:r w:rsidRPr="00C86049">
        <w:rPr>
          <w:szCs w:val="26"/>
        </w:rPr>
        <w:t xml:space="preserve">you may consider only testimony by witnesses whose education, training, and experience give them sufficient knowledge of </w:t>
      </w:r>
      <w:r>
        <w:rPr>
          <w:szCs w:val="26"/>
        </w:rPr>
        <w:t>what other doctors [providers] in that specialty typically did at that time.</w:t>
      </w:r>
      <w:r>
        <w:rPr>
          <w:rStyle w:val="FootnoteReference"/>
        </w:rPr>
        <w:footnoteReference w:id="10"/>
      </w:r>
      <w:r>
        <w:rPr>
          <w:szCs w:val="26"/>
        </w:rPr>
        <w:t xml:space="preserve"> That may include testimony by </w:t>
      </w:r>
      <w:r w:rsidRPr="00E0195A">
        <w:t>the parties’ outside experts</w:t>
      </w:r>
      <w:r>
        <w:t xml:space="preserve">, </w:t>
      </w:r>
      <w:r w:rsidRPr="00E0195A">
        <w:t>as well as the testimony and statements of the defendant</w:t>
      </w:r>
      <w:r>
        <w:t>[</w:t>
      </w:r>
      <w:r w:rsidRPr="00E0195A">
        <w:t>s</w:t>
      </w:r>
      <w:r>
        <w:t>]</w:t>
      </w:r>
      <w:r w:rsidRPr="00E0195A">
        <w:t xml:space="preserve"> [and other treating physicians].</w:t>
      </w:r>
      <w:r>
        <w:rPr>
          <w:rStyle w:val="FootnoteReference"/>
          <w:rFonts w:cs="Segoe UI Historic"/>
        </w:rPr>
        <w:footnoteReference w:id="11"/>
      </w:r>
      <w:r w:rsidRPr="00E0195A">
        <w:t xml:space="preserve"> </w:t>
      </w:r>
      <w:r>
        <w:t xml:space="preserve">An </w:t>
      </w:r>
      <w:r w:rsidRPr="00E0195A">
        <w:t>expert must be familiar with the standard of care through education, training, experience and familiarity with the subject matter</w:t>
      </w:r>
      <w:r>
        <w:t>,</w:t>
      </w:r>
      <w:r>
        <w:rPr>
          <w:rStyle w:val="FootnoteReference"/>
        </w:rPr>
        <w:footnoteReference w:id="12"/>
      </w:r>
      <w:r w:rsidRPr="00E0195A">
        <w:t xml:space="preserve"> </w:t>
      </w:r>
      <w:r>
        <w:t xml:space="preserve">but </w:t>
      </w:r>
      <w:r w:rsidRPr="00E0195A">
        <w:t xml:space="preserve">does not have to </w:t>
      </w:r>
      <w:r>
        <w:t xml:space="preserve">be </w:t>
      </w:r>
      <w:r w:rsidRPr="00E0195A">
        <w:t xml:space="preserve">a specialist in </w:t>
      </w:r>
      <w:r>
        <w:t>DFT</w:t>
      </w:r>
      <w:r w:rsidRPr="00E0195A">
        <w:t>’s area of practice.</w:t>
      </w:r>
      <w:r>
        <w:rPr>
          <w:rStyle w:val="FootnoteReference"/>
        </w:rPr>
        <w:footnoteReference w:id="13"/>
      </w:r>
      <w:r w:rsidRPr="00E0195A">
        <w:t xml:space="preserve"> </w:t>
      </w:r>
      <w:r>
        <w:t xml:space="preserve"> Similarly, an</w:t>
      </w:r>
      <w:r w:rsidRPr="00E0195A">
        <w:t xml:space="preserve"> expert does not have to practice in the same state or geographic area.</w:t>
      </w:r>
      <w:r>
        <w:rPr>
          <w:rStyle w:val="FootnoteReference"/>
          <w:rFonts w:cs="Segoe UI Historic"/>
        </w:rPr>
        <w:footnoteReference w:id="14"/>
      </w:r>
      <w:r w:rsidRPr="00E0195A">
        <w:t xml:space="preserve">  </w:t>
      </w:r>
    </w:p>
    <w:p w14:paraId="62D22773" w14:textId="57D2F5DB" w:rsidR="00AC0CF8" w:rsidRPr="00E0195A" w:rsidRDefault="00AC0CF8" w:rsidP="00AC0CF8">
      <w:pPr>
        <w:pStyle w:val="JuryInstructionText"/>
      </w:pPr>
      <w:r w:rsidRPr="00E2346D">
        <w:t>You may not guess or speculate as to the applicable standard of care, or substitute your belief of</w:t>
      </w:r>
      <w:r>
        <w:t xml:space="preserve"> what the</w:t>
      </w:r>
      <w:r w:rsidRPr="00E0195A">
        <w:t xml:space="preserve"> standard of care</w:t>
      </w:r>
      <w:r>
        <w:t xml:space="preserve"> should be</w:t>
      </w:r>
      <w:r w:rsidR="00A046BD">
        <w:t xml:space="preserve">. </w:t>
      </w:r>
      <w:r>
        <w:t>You may not do your own medical research, on the Internet or somewhere else, to try to understand the standard of care</w:t>
      </w:r>
      <w:r w:rsidR="00A046BD">
        <w:t xml:space="preserve">. </w:t>
      </w:r>
      <w:r>
        <w:t>Instead, you must base your decision solely on the evidence presented here in the courtroom.</w:t>
      </w:r>
    </w:p>
    <w:p w14:paraId="33406183" w14:textId="43C33242" w:rsidR="00AC0CF8" w:rsidRPr="00E0195A" w:rsidRDefault="00AC0CF8" w:rsidP="00AC0CF8">
      <w:pPr>
        <w:pStyle w:val="JuryInstructionText"/>
        <w:rPr>
          <w:b/>
        </w:rPr>
      </w:pPr>
      <w:r w:rsidRPr="00E0195A">
        <w:t>PLF must show</w:t>
      </w:r>
      <w:r>
        <w:t>,</w:t>
      </w:r>
      <w:r w:rsidRPr="00E0195A">
        <w:t xml:space="preserve"> by expert medical testimony, </w:t>
      </w:r>
      <w:r>
        <w:t xml:space="preserve">what </w:t>
      </w:r>
      <w:r w:rsidRPr="00E0195A">
        <w:t xml:space="preserve">standard of care </w:t>
      </w:r>
      <w:r>
        <w:t xml:space="preserve">DFT should have followed </w:t>
      </w:r>
      <w:r w:rsidRPr="00E0195A">
        <w:t>on [</w:t>
      </w:r>
      <w:r w:rsidRPr="00F53CB6">
        <w:rPr>
          <w:i/>
          <w:iCs/>
        </w:rPr>
        <w:t>dates</w:t>
      </w:r>
      <w:r w:rsidRPr="00E0195A">
        <w:t>]</w:t>
      </w:r>
      <w:r w:rsidR="00A046BD">
        <w:t xml:space="preserve">. </w:t>
      </w:r>
      <w:r w:rsidRPr="00E0195A">
        <w:t>If the standard of care has changed between th</w:t>
      </w:r>
      <w:r>
        <w:t xml:space="preserve">at time </w:t>
      </w:r>
      <w:r w:rsidRPr="00E0195A">
        <w:t xml:space="preserve">and now, then you need to </w:t>
      </w:r>
      <w:r>
        <w:t xml:space="preserve">consider </w:t>
      </w:r>
      <w:r w:rsidRPr="00E0195A">
        <w:t>the standard of care that applied at the time</w:t>
      </w:r>
      <w:r>
        <w:t xml:space="preserve"> DFT treated PLF</w:t>
      </w:r>
      <w:r w:rsidRPr="00E0195A">
        <w:t>.</w:t>
      </w:r>
    </w:p>
    <w:p w14:paraId="47E9A64C" w14:textId="77777777" w:rsidR="00AC0CF8" w:rsidRPr="00E0195A" w:rsidRDefault="00AC0CF8" w:rsidP="00A046BD">
      <w:pPr>
        <w:pStyle w:val="JuryInst3"/>
      </w:pPr>
      <w:r w:rsidRPr="00E0195A">
        <w:rPr>
          <w:snapToGrid w:val="0"/>
        </w:rPr>
        <w:t>Falling Below the Standard of Care</w:t>
      </w:r>
    </w:p>
    <w:p w14:paraId="699D84ED" w14:textId="353F25E9" w:rsidR="00AC0CF8" w:rsidRPr="00E0195A" w:rsidRDefault="00AC0CF8" w:rsidP="00AC0CF8">
      <w:pPr>
        <w:pStyle w:val="JuryInstructionText"/>
        <w:rPr>
          <w:b/>
        </w:rPr>
      </w:pPr>
      <w:r>
        <w:t>Second [Next],</w:t>
      </w:r>
      <w:r w:rsidRPr="00E0195A">
        <w:t xml:space="preserve"> PLF must prove</w:t>
      </w:r>
      <w:r>
        <w:t xml:space="preserve"> that</w:t>
      </w:r>
      <w:r w:rsidRPr="00E0195A">
        <w:t>, more likely than not,</w:t>
      </w:r>
      <w:r w:rsidRPr="00E0195A">
        <w:rPr>
          <w:spacing w:val="2"/>
        </w:rPr>
        <w:t xml:space="preserve"> DFT</w:t>
      </w:r>
      <w:r>
        <w:rPr>
          <w:spacing w:val="2"/>
        </w:rPr>
        <w:t xml:space="preserve"> was negligent, which means that PLF must prove that DFT provided medical care that</w:t>
      </w:r>
      <w:r w:rsidRPr="00E0195A">
        <w:t xml:space="preserve"> fell below</w:t>
      </w:r>
      <w:r>
        <w:t xml:space="preserve"> the </w:t>
      </w:r>
      <w:r w:rsidRPr="00E0195A">
        <w:t xml:space="preserve">standard of care </w:t>
      </w:r>
      <w:r>
        <w:t>that the average qualified doctor [provider] would have provided</w:t>
      </w:r>
      <w:r w:rsidR="00A046BD">
        <w:t xml:space="preserve">. </w:t>
      </w:r>
      <w:r>
        <w:t xml:space="preserve">Negligence might consist of doing </w:t>
      </w:r>
      <w:r>
        <w:lastRenderedPageBreak/>
        <w:t>something inconsistent with the standard of care, or failing to do something required by the standard of care.</w:t>
      </w:r>
    </w:p>
    <w:p w14:paraId="5B0177B3" w14:textId="163AF87A" w:rsidR="00AC0CF8" w:rsidRPr="00E0195A" w:rsidRDefault="00AC0CF8" w:rsidP="00AC0CF8">
      <w:pPr>
        <w:pStyle w:val="JuryInstructionText"/>
        <w:rPr>
          <w:b/>
        </w:rPr>
      </w:pPr>
      <w:r w:rsidRPr="00E0195A">
        <w:t xml:space="preserve">You must decide whether or not DFT met the standard of care in light of the facts that </w:t>
      </w:r>
      <w:r>
        <w:t>DFT</w:t>
      </w:r>
      <w:r w:rsidRPr="00E0195A">
        <w:t xml:space="preserve"> knew or reasonably should have known under the circumstances, at the time of the alleged negligence</w:t>
      </w:r>
      <w:r w:rsidR="00A046BD">
        <w:t xml:space="preserve">. </w:t>
      </w:r>
      <w:r w:rsidRPr="00E0195A">
        <w:t xml:space="preserve">  </w:t>
      </w:r>
    </w:p>
    <w:p w14:paraId="6259F4AD" w14:textId="40CCE0F2" w:rsidR="00AC0CF8" w:rsidRPr="00E0195A" w:rsidRDefault="00AC0CF8" w:rsidP="00AC0CF8">
      <w:pPr>
        <w:pStyle w:val="JuryInstructionText"/>
        <w:rPr>
          <w:b/>
        </w:rPr>
      </w:pPr>
      <w:r w:rsidRPr="00E0195A">
        <w:t>Even if DFT did not know some information, you must consider what s/he should have known at the time, if s/he had complied with the standard of care</w:t>
      </w:r>
      <w:r w:rsidR="00A046BD">
        <w:t xml:space="preserve">. </w:t>
      </w:r>
      <w:r w:rsidRPr="00E0195A">
        <w:t xml:space="preserve">Doctors </w:t>
      </w:r>
      <w:r>
        <w:t>cannot</w:t>
      </w:r>
      <w:r w:rsidRPr="00E0195A">
        <w:t xml:space="preserve"> predict everything accurately, but they do need to comply with the standard of care in </w:t>
      </w:r>
      <w:r>
        <w:t>deciding</w:t>
      </w:r>
      <w:r w:rsidRPr="00E0195A">
        <w:t xml:space="preserve"> whether to get more information through additional communication, testing or other means</w:t>
      </w:r>
      <w:r w:rsidR="00A046BD">
        <w:t xml:space="preserve">. </w:t>
      </w:r>
    </w:p>
    <w:p w14:paraId="300C8B35" w14:textId="3A8591ED" w:rsidR="00AC0CF8" w:rsidRPr="00E0195A" w:rsidRDefault="00AC0CF8" w:rsidP="00A046BD">
      <w:pPr>
        <w:pStyle w:val="JuryInst4"/>
      </w:pPr>
      <w:r w:rsidRPr="00E0195A">
        <w:t>Doctor’s Judgment</w:t>
      </w:r>
    </w:p>
    <w:p w14:paraId="6C453B7B" w14:textId="06A27CC6" w:rsidR="00AC0CF8" w:rsidRDefault="00AC0CF8" w:rsidP="00AC0CF8">
      <w:pPr>
        <w:pStyle w:val="JuryInstructionText"/>
      </w:pPr>
      <w:r w:rsidRPr="00E0195A">
        <w:t xml:space="preserve">Doctors </w:t>
      </w:r>
      <w:r>
        <w:t>are expected to</w:t>
      </w:r>
      <w:r w:rsidRPr="00E0195A">
        <w:t xml:space="preserve"> use their judgment as long as </w:t>
      </w:r>
      <w:r>
        <w:t xml:space="preserve">that judgment </w:t>
      </w:r>
      <w:r w:rsidRPr="00E0195A">
        <w:t>do</w:t>
      </w:r>
      <w:r>
        <w:t>es</w:t>
      </w:r>
      <w:r w:rsidRPr="00E0195A">
        <w:t xml:space="preserve"> not fall below the standard of care</w:t>
      </w:r>
      <w:r w:rsidR="00A046BD">
        <w:t xml:space="preserve">. </w:t>
      </w:r>
    </w:p>
    <w:p w14:paraId="3707C59C" w14:textId="6BF5AEA8" w:rsidR="00AC0CF8" w:rsidRPr="00E0195A" w:rsidRDefault="00AC0CF8" w:rsidP="00AC0CF8">
      <w:pPr>
        <w:pStyle w:val="JuryInstructionText"/>
        <w:rPr>
          <w:b/>
        </w:rPr>
      </w:pPr>
      <w:r>
        <w:t xml:space="preserve">Sometimes </w:t>
      </w:r>
      <w:r w:rsidRPr="00812A25">
        <w:t xml:space="preserve">more than </w:t>
      </w:r>
      <w:r>
        <w:t>one course of action or conclusion may be</w:t>
      </w:r>
      <w:r w:rsidRPr="00812A25">
        <w:t xml:space="preserve"> consistent with the </w:t>
      </w:r>
      <w:r>
        <w:t>required standard of care</w:t>
      </w:r>
      <w:r w:rsidR="00A046BD">
        <w:t xml:space="preserve">. </w:t>
      </w:r>
      <w:r>
        <w:t>If so, then a doctor [provider] may exercise his or her best judgment as to the appropriate steps to take, and doing so is not negligence</w:t>
      </w:r>
      <w:r w:rsidR="00A046BD">
        <w:t xml:space="preserve">. </w:t>
      </w:r>
      <w:r>
        <w:t>However, a doctor is negligent and may be held liable for an error of judgment if that judgment represents a departure from the standard of care.</w:t>
      </w:r>
    </w:p>
    <w:p w14:paraId="4034C91D" w14:textId="1A5CA234" w:rsidR="00AC0CF8" w:rsidRDefault="00AC0CF8" w:rsidP="00AC0CF8">
      <w:pPr>
        <w:pStyle w:val="JuryInstructionText"/>
      </w:pPr>
      <w:r w:rsidRPr="00E0195A">
        <w:t xml:space="preserve">Evidence that another doctor might have treated the patient differently is not, by itself, evidence that </w:t>
      </w:r>
      <w:r>
        <w:t>DFT</w:t>
      </w:r>
      <w:r w:rsidRPr="00E0195A">
        <w:t xml:space="preserve"> was negligent, because doctors are entitled to </w:t>
      </w:r>
      <w:r>
        <w:t xml:space="preserve">act within a </w:t>
      </w:r>
      <w:r w:rsidRPr="00E0195A">
        <w:t>range of medical judgmen</w:t>
      </w:r>
      <w:r>
        <w:t xml:space="preserve">t - </w:t>
      </w:r>
      <w:r w:rsidRPr="00E0195A">
        <w:t xml:space="preserve">as long as </w:t>
      </w:r>
      <w:r>
        <w:t>the judgment</w:t>
      </w:r>
      <w:r w:rsidRPr="00E0195A">
        <w:t xml:space="preserve"> falls within the standard of care</w:t>
      </w:r>
      <w:r w:rsidR="00A046BD">
        <w:t xml:space="preserve">. </w:t>
      </w:r>
    </w:p>
    <w:p w14:paraId="44143666" w14:textId="394300FE" w:rsidR="00AC0CF8" w:rsidRPr="00E0195A" w:rsidRDefault="00A046BD" w:rsidP="00A046BD">
      <w:pPr>
        <w:pStyle w:val="JuryInst4"/>
      </w:pPr>
      <w:r>
        <w:t>No Guarantee</w:t>
      </w:r>
    </w:p>
    <w:p w14:paraId="5677D13A" w14:textId="5A89DD86" w:rsidR="00AC0CF8" w:rsidRDefault="00AC0CF8" w:rsidP="00AC0CF8">
      <w:pPr>
        <w:pStyle w:val="JuryInstructionText"/>
      </w:pPr>
      <w:r w:rsidRPr="00E0195A">
        <w:t>Doctors do not guarantee a cure or a particular outcome.</w:t>
      </w:r>
      <w:r w:rsidRPr="00E0195A">
        <w:rPr>
          <w:rStyle w:val="FootnoteReference"/>
          <w:rFonts w:cs="Segoe UI Historic"/>
        </w:rPr>
        <w:footnoteReference w:id="15"/>
      </w:r>
      <w:r w:rsidRPr="00E0195A">
        <w:t xml:space="preserve"> They do not guarantee that</w:t>
      </w:r>
      <w:r>
        <w:t xml:space="preserve"> treatment will improve</w:t>
      </w:r>
      <w:r w:rsidRPr="00E0195A">
        <w:t xml:space="preserve"> the patient’s condition, or that the </w:t>
      </w:r>
      <w:r w:rsidRPr="00E0195A">
        <w:lastRenderedPageBreak/>
        <w:t>patient’s condition will not get worse, either by natural causes or even as a result of the treatment itself</w:t>
      </w:r>
      <w:r w:rsidR="00A046BD">
        <w:t xml:space="preserve">. </w:t>
      </w:r>
      <w:r w:rsidRPr="00E0195A">
        <w:t>A bad result or unfortunate medical outcome, standing alone, is not evidence of negligence</w:t>
      </w:r>
      <w:r w:rsidR="00A046BD">
        <w:t xml:space="preserve">. </w:t>
      </w:r>
      <w:r w:rsidRPr="00E0195A">
        <w:t xml:space="preserve">Doctors </w:t>
      </w:r>
      <w:r>
        <w:t>do not have</w:t>
      </w:r>
      <w:r w:rsidRPr="00E0195A">
        <w:t xml:space="preserve"> to be perfect, but they </w:t>
      </w:r>
      <w:r>
        <w:t>must meet</w:t>
      </w:r>
      <w:r w:rsidRPr="00E0195A">
        <w:t xml:space="preserve"> the standard of care</w:t>
      </w:r>
      <w:r w:rsidR="00A046BD">
        <w:t xml:space="preserve">. </w:t>
      </w:r>
    </w:p>
    <w:p w14:paraId="4DA286AB" w14:textId="77777777" w:rsidR="00AC0CF8" w:rsidRPr="00E0195A" w:rsidRDefault="00AC0CF8" w:rsidP="00A046BD">
      <w:pPr>
        <w:pStyle w:val="JuryInst4"/>
      </w:pPr>
      <w:r>
        <w:t>Effect of admissions</w:t>
      </w:r>
    </w:p>
    <w:p w14:paraId="6F153DD6" w14:textId="3D034C30" w:rsidR="00AC0CF8" w:rsidRPr="00E0195A" w:rsidRDefault="00A046BD" w:rsidP="00AC0CF8">
      <w:pPr>
        <w:pStyle w:val="JuryInstructionText"/>
        <w:rPr>
          <w:b/>
        </w:rPr>
      </w:pPr>
      <w:r>
        <w:t>&lt;</w:t>
      </w:r>
      <w:r w:rsidRPr="00A046BD">
        <w:rPr>
          <w:b/>
          <w:bCs/>
          <w:i/>
          <w:iCs/>
        </w:rPr>
        <w:t>G</w:t>
      </w:r>
      <w:r w:rsidR="00AC0CF8" w:rsidRPr="00A046BD">
        <w:rPr>
          <w:b/>
          <w:bCs/>
          <w:i/>
          <w:iCs/>
        </w:rPr>
        <w:t xml:space="preserve">ive this instruction </w:t>
      </w:r>
      <w:r w:rsidRPr="00A046BD">
        <w:rPr>
          <w:b/>
          <w:bCs/>
          <w:i/>
          <w:iCs/>
        </w:rPr>
        <w:t xml:space="preserve">only </w:t>
      </w:r>
      <w:r w:rsidR="00AC0CF8" w:rsidRPr="00A046BD">
        <w:rPr>
          <w:b/>
          <w:bCs/>
          <w:i/>
          <w:iCs/>
        </w:rPr>
        <w:t>if there is evidence of admissions by the defendant</w:t>
      </w:r>
      <w:r w:rsidR="00AC0CF8">
        <w:rPr>
          <w:i/>
          <w:iCs/>
        </w:rPr>
        <w:t>:</w:t>
      </w:r>
      <w:r>
        <w:t>&gt;</w:t>
      </w:r>
      <w:r w:rsidR="00AC0CF8">
        <w:t xml:space="preserve"> </w:t>
      </w:r>
      <w:r w:rsidR="00AC0CF8" w:rsidRPr="00E0195A">
        <w:t xml:space="preserve">You have heard evidence of statements allegedly made by DFT concerning his/her treatment of </w:t>
      </w:r>
      <w:r w:rsidR="00AC0CF8">
        <w:t>PLF</w:t>
      </w:r>
      <w:r>
        <w:t xml:space="preserve">. </w:t>
      </w:r>
      <w:r w:rsidR="00AC0CF8" w:rsidRPr="00E0195A">
        <w:t>If you find that DFT made these statements and that DFT admitted s/he was negligent</w:t>
      </w:r>
      <w:r w:rsidR="00AC0CF8">
        <w:t xml:space="preserve"> in these statements</w:t>
      </w:r>
      <w:r w:rsidR="00AC0CF8" w:rsidRPr="00E0195A">
        <w:t>, then you may determine that DFT was negligent without any other expert medical opinion.</w:t>
      </w:r>
    </w:p>
    <w:p w14:paraId="1CF23447" w14:textId="4AD8059F" w:rsidR="00AC0CF8" w:rsidRDefault="00AC0CF8" w:rsidP="00AC0CF8">
      <w:pPr>
        <w:pStyle w:val="JuryInstructionText"/>
      </w:pPr>
      <w:r w:rsidRPr="00E0195A">
        <w:t>Similarly, you have heard evidence of statements</w:t>
      </w:r>
      <w:r>
        <w:t xml:space="preserve"> allegedly</w:t>
      </w:r>
      <w:r w:rsidRPr="00E0195A">
        <w:t xml:space="preserve"> made by DFT concerning the cause of PLF’s injuries</w:t>
      </w:r>
      <w:r w:rsidR="00A046BD">
        <w:t xml:space="preserve">. </w:t>
      </w:r>
      <w:r w:rsidRPr="00E0195A">
        <w:t xml:space="preserve">If you find that DFT made these statements and that DFT admitted that his/her actions or inactions caused </w:t>
      </w:r>
      <w:r>
        <w:t>PLF</w:t>
      </w:r>
      <w:r w:rsidRPr="00E0195A">
        <w:t>’s injuries</w:t>
      </w:r>
      <w:r>
        <w:t xml:space="preserve"> in these statements</w:t>
      </w:r>
      <w:r w:rsidRPr="00E0195A">
        <w:t>, then you may determine that DFT caused the injuries without any other expert medical opinion.</w:t>
      </w:r>
    </w:p>
    <w:p w14:paraId="5C5C8B56" w14:textId="5747A423" w:rsidR="00A046BD" w:rsidRDefault="00A046BD" w:rsidP="00A046BD">
      <w:pPr>
        <w:pStyle w:val="JuryInst4"/>
      </w:pPr>
      <w:r>
        <w:t>Verdict Slip—Negligence</w:t>
      </w:r>
    </w:p>
    <w:p w14:paraId="43A26E5B" w14:textId="61F96BFC" w:rsidR="00AC0CF8" w:rsidRDefault="00AC0CF8" w:rsidP="00AC0CF8">
      <w:pPr>
        <w:pStyle w:val="JuryInstructionText"/>
      </w:pPr>
      <w:r>
        <w:t xml:space="preserve">On the verdict slip, the first question is </w:t>
      </w:r>
      <w:r w:rsidR="006F143E">
        <w:t>“</w:t>
      </w:r>
      <w:r>
        <w:t>Was DFT negligent in his/her treatment of PLF.</w:t>
      </w:r>
      <w:r w:rsidR="006F143E">
        <w:t>”</w:t>
      </w:r>
      <w:r>
        <w:t xml:space="preserve"> If you find that DFT was negligent</w:t>
      </w:r>
      <w:r w:rsidR="006F143E">
        <w:t xml:space="preserve">—meaning you find that </w:t>
      </w:r>
      <w:r w:rsidR="006F143E">
        <w:rPr>
          <w:spacing w:val="2"/>
        </w:rPr>
        <w:t>DFT provided medical care that</w:t>
      </w:r>
      <w:r w:rsidR="006F143E" w:rsidRPr="00E0195A">
        <w:t xml:space="preserve"> fell below</w:t>
      </w:r>
      <w:r w:rsidR="006F143E">
        <w:t xml:space="preserve"> the </w:t>
      </w:r>
      <w:r w:rsidR="006F143E" w:rsidRPr="00E0195A">
        <w:t xml:space="preserve">standard of care </w:t>
      </w:r>
      <w:r w:rsidR="006F143E">
        <w:t>that the average qualified doctor [provider] would have provided—</w:t>
      </w:r>
      <w:r>
        <w:t xml:space="preserve">then you </w:t>
      </w:r>
      <w:r w:rsidR="006F143E">
        <w:t xml:space="preserve">should </w:t>
      </w:r>
      <w:r>
        <w:t>answer ‘YES’ and go to the next question on the slip</w:t>
      </w:r>
      <w:r w:rsidR="00A046BD">
        <w:t xml:space="preserve">. </w:t>
      </w:r>
      <w:r>
        <w:t>Otherwise, answer ‘NO’ and go no further.</w:t>
      </w:r>
    </w:p>
    <w:p w14:paraId="77BB8CD4" w14:textId="77777777" w:rsidR="00AC0CF8" w:rsidRPr="00E0195A" w:rsidRDefault="00AC0CF8" w:rsidP="00A046BD">
      <w:pPr>
        <w:pStyle w:val="JuryInst3"/>
      </w:pPr>
      <w:r>
        <w:t>Causation</w:t>
      </w:r>
    </w:p>
    <w:p w14:paraId="7116AB1B" w14:textId="1A51C203" w:rsidR="00AC0CF8" w:rsidRDefault="00476FC7" w:rsidP="00476FC7">
      <w:pPr>
        <w:pStyle w:val="JuryInstructionText"/>
      </w:pPr>
      <w:r>
        <w:t xml:space="preserve">If you find that DFT was negligent, then you must decide whether PLF proved </w:t>
      </w:r>
      <w:r w:rsidR="00AC0CF8">
        <w:t>that</w:t>
      </w:r>
      <w:r w:rsidR="00AC0CF8" w:rsidRPr="00E0195A">
        <w:t xml:space="preserve">, more likely than not, DFT’s </w:t>
      </w:r>
      <w:r w:rsidR="00AC0CF8" w:rsidRPr="00255A3F">
        <w:t>negligence caused PLF’s injuries</w:t>
      </w:r>
      <w:r w:rsidR="00AC0CF8">
        <w:t xml:space="preserve"> </w:t>
      </w:r>
      <w:r w:rsidR="00AC0CF8">
        <w:lastRenderedPageBreak/>
        <w:t>[caused PLF’s injuries to get worse]</w:t>
      </w:r>
      <w:r w:rsidR="00AC0CF8" w:rsidRPr="00255A3F">
        <w:t>.</w:t>
      </w:r>
      <w:r w:rsidR="00AC0CF8" w:rsidRPr="001E4234">
        <w:rPr>
          <w:rStyle w:val="FootnoteReference"/>
          <w:rFonts w:cs="Segoe UI Historic"/>
        </w:rPr>
        <w:t xml:space="preserve"> </w:t>
      </w:r>
      <w:r w:rsidR="00AC0CF8">
        <w:rPr>
          <w:rStyle w:val="FootnoteReference"/>
          <w:rFonts w:cs="Segoe UI Historic"/>
        </w:rPr>
        <w:footnoteReference w:id="16"/>
      </w:r>
      <w:r w:rsidR="00AC0CF8" w:rsidRPr="00E0195A">
        <w:t xml:space="preserve"> </w:t>
      </w:r>
      <w:r w:rsidR="00AC0CF8">
        <w:rPr>
          <w:rStyle w:val="FootnoteReference"/>
          <w:rFonts w:cs="Segoe UI Historic"/>
        </w:rPr>
        <w:footnoteReference w:id="17"/>
      </w:r>
      <w:r w:rsidR="00AC0CF8">
        <w:t xml:space="preserve"> Y</w:t>
      </w:r>
      <w:r w:rsidR="00AC0CF8" w:rsidRPr="00255A3F">
        <w:t xml:space="preserve">ou </w:t>
      </w:r>
      <w:r w:rsidR="00AC0CF8">
        <w:t>must</w:t>
      </w:r>
      <w:r w:rsidR="00AC0CF8" w:rsidRPr="00255A3F">
        <w:t xml:space="preserve"> ask: “Would the </w:t>
      </w:r>
      <w:r w:rsidR="00AC0CF8">
        <w:t xml:space="preserve">same </w:t>
      </w:r>
      <w:r w:rsidR="00AC0CF8" w:rsidRPr="00255A3F">
        <w:t xml:space="preserve">harm have happened </w:t>
      </w:r>
      <w:r w:rsidR="00AC0CF8">
        <w:t>without DFT’s negligence</w:t>
      </w:r>
      <w:r w:rsidR="00AC0CF8" w:rsidRPr="00255A3F">
        <w:t xml:space="preserve">?” In other words, did </w:t>
      </w:r>
      <w:r w:rsidR="00AC0CF8">
        <w:t xml:space="preserve">the negligence </w:t>
      </w:r>
      <w:r w:rsidR="00AC0CF8" w:rsidRPr="00255A3F">
        <w:t>make</w:t>
      </w:r>
      <w:r w:rsidR="00AC0CF8">
        <w:t xml:space="preserve"> a difference</w:t>
      </w:r>
      <w:r w:rsidR="00863B75">
        <w:t xml:space="preserve"> to the outcome</w:t>
      </w:r>
      <w:r w:rsidR="00AC0CF8">
        <w:t>? If DFT’s negligence had an impact on PLF’s injuries</w:t>
      </w:r>
      <w:r w:rsidR="00863B75">
        <w:t xml:space="preserve"> (by causing them or worsening them)</w:t>
      </w:r>
      <w:r w:rsidR="00AC0CF8">
        <w:t xml:space="preserve">, then </w:t>
      </w:r>
      <w:r w:rsidR="00960B42">
        <w:t>the defendant[s]</w:t>
      </w:r>
      <w:r w:rsidR="00AC0CF8">
        <w:t xml:space="preserve"> caused those injuries. But if the negligence</w:t>
      </w:r>
      <w:r w:rsidR="00AC0CF8" w:rsidRPr="00D046A4">
        <w:t xml:space="preserve"> had no impact on PLF’s injuries</w:t>
      </w:r>
      <w:r w:rsidR="00960B42">
        <w:t>,</w:t>
      </w:r>
      <w:r w:rsidR="00AC0CF8">
        <w:rPr>
          <w:rStyle w:val="FootnoteReference"/>
          <w:rFonts w:cs="Segoe UI Historic"/>
        </w:rPr>
        <w:footnoteReference w:id="18"/>
      </w:r>
      <w:r w:rsidR="00AC0CF8" w:rsidRPr="00D046A4">
        <w:t xml:space="preserve"> </w:t>
      </w:r>
      <w:r w:rsidR="00960B42">
        <w:t>meaning that</w:t>
      </w:r>
      <w:r w:rsidR="00960B42">
        <w:rPr>
          <w:rStyle w:val="FootnoteReference"/>
        </w:rPr>
        <w:footnoteReference w:id="19"/>
      </w:r>
      <w:r w:rsidR="00AC0CF8" w:rsidRPr="00255A3F">
        <w:t xml:space="preserve"> the </w:t>
      </w:r>
      <w:r w:rsidR="00AC0CF8">
        <w:t xml:space="preserve">same </w:t>
      </w:r>
      <w:r w:rsidR="00AC0CF8" w:rsidRPr="00255A3F">
        <w:t>harm would have happened anyway, then DFT did not cause the injur</w:t>
      </w:r>
      <w:r w:rsidR="00AC0CF8">
        <w:t>ies</w:t>
      </w:r>
      <w:r w:rsidR="00AC0CF8" w:rsidRPr="00255A3F">
        <w:t>.</w:t>
      </w:r>
      <w:r w:rsidR="00AC0CF8">
        <w:rPr>
          <w:rStyle w:val="FootnoteReference"/>
          <w:rFonts w:cs="Segoe UI Historic"/>
        </w:rPr>
        <w:footnoteReference w:id="20"/>
      </w:r>
    </w:p>
    <w:p w14:paraId="0DAF2206" w14:textId="4F2D77B7" w:rsidR="00AC0CF8" w:rsidRPr="00666081" w:rsidRDefault="00AC0CF8" w:rsidP="00AC0CF8">
      <w:pPr>
        <w:pStyle w:val="JuryInstructionText"/>
      </w:pPr>
      <w:r>
        <w:t>Often, an injury has more than one cause.</w:t>
      </w:r>
      <w:r>
        <w:rPr>
          <w:rStyle w:val="FootnoteReference"/>
          <w:rFonts w:cs="Segoe UI Historic"/>
        </w:rPr>
        <w:footnoteReference w:id="21"/>
      </w:r>
      <w:r>
        <w:t xml:space="preserve"> If </w:t>
      </w:r>
      <w:r w:rsidR="00863B75">
        <w:t>the defendant’s</w:t>
      </w:r>
      <w:r>
        <w:t xml:space="preserve"> negligence was one of those causes, that is enough. </w:t>
      </w:r>
      <w:r w:rsidR="00863B75">
        <w:t>The plaintiff</w:t>
      </w:r>
      <w:r>
        <w:t xml:space="preserve"> does not have </w:t>
      </w:r>
      <w:r w:rsidRPr="00666081">
        <w:t xml:space="preserve">to </w:t>
      </w:r>
      <w:r w:rsidRPr="00666081">
        <w:lastRenderedPageBreak/>
        <w:t xml:space="preserve">show that </w:t>
      </w:r>
      <w:r w:rsidR="00EF6245">
        <w:t>the defendant’s</w:t>
      </w:r>
      <w:r w:rsidRPr="00666081">
        <w:t xml:space="preserve"> negligence was the </w:t>
      </w:r>
      <w:r>
        <w:t xml:space="preserve">only cause of the injuries. Nor does s/he have to show that the negligence was the </w:t>
      </w:r>
      <w:r w:rsidRPr="00666081">
        <w:t xml:space="preserve">largest or main cause of the injuries, as long as the injuries would not </w:t>
      </w:r>
      <w:r>
        <w:t xml:space="preserve">have </w:t>
      </w:r>
      <w:r w:rsidRPr="00666081">
        <w:t>occ</w:t>
      </w:r>
      <w:r>
        <w:t>urred without DFT’s negligence</w:t>
      </w:r>
      <w:r w:rsidR="00A046BD">
        <w:t xml:space="preserve">. </w:t>
      </w:r>
      <w:r w:rsidRPr="00666081">
        <w:t xml:space="preserve"> </w:t>
      </w:r>
    </w:p>
    <w:p w14:paraId="12B8F35C" w14:textId="1E569900" w:rsidR="00AC0CF8" w:rsidRDefault="00AC0CF8" w:rsidP="00AC0CF8">
      <w:pPr>
        <w:pStyle w:val="JuryInstructionText"/>
      </w:pPr>
      <w:r>
        <w:t>Here, again PLF must prove c</w:t>
      </w:r>
      <w:r w:rsidRPr="00E0195A">
        <w:t>ausation by expert medical evidence.</w:t>
      </w:r>
      <w:r>
        <w:rPr>
          <w:rStyle w:val="FootnoteReference"/>
          <w:rFonts w:cs="Segoe UI Historic"/>
        </w:rPr>
        <w:footnoteReference w:id="22"/>
      </w:r>
      <w:r w:rsidRPr="00E0195A">
        <w:t xml:space="preserve">  This evidence may be in the form of testimony or in the form of medical records.</w:t>
      </w:r>
      <w:r w:rsidR="00EF6245">
        <w:rPr>
          <w:rStyle w:val="FootnoteReference"/>
        </w:rPr>
        <w:footnoteReference w:id="23"/>
      </w:r>
    </w:p>
    <w:p w14:paraId="5C5CC638" w14:textId="77777777" w:rsidR="00AC0CF8" w:rsidRDefault="00AC0CF8" w:rsidP="00AC0CF8">
      <w:pPr>
        <w:pStyle w:val="JuryInstructionText"/>
      </w:pPr>
      <w:r>
        <w:t>[</w:t>
      </w:r>
      <w:r w:rsidRPr="00666081">
        <w:t>&lt;</w:t>
      </w:r>
      <w:r w:rsidRPr="006D705D">
        <w:rPr>
          <w:b/>
          <w:bCs/>
          <w:i/>
        </w:rPr>
        <w:t>if foreseeable risk (“legal cause”) is at issue</w:t>
      </w:r>
      <w:r>
        <w:rPr>
          <w:b/>
          <w:bCs/>
          <w:i/>
        </w:rPr>
        <w:t xml:space="preserve"> </w:t>
      </w:r>
      <w:r>
        <w:rPr>
          <w:rStyle w:val="FootnoteReference"/>
          <w:rFonts w:cs="Segoe UI Historic"/>
          <w:i/>
        </w:rPr>
        <w:footnoteReference w:id="24"/>
      </w:r>
      <w:r w:rsidRPr="00666081">
        <w:t>&gt;</w:t>
      </w:r>
      <w:r>
        <w:t xml:space="preserve"> In addition, PLF must prove</w:t>
      </w:r>
      <w:r w:rsidRPr="00666081">
        <w:t xml:space="preserve"> that his/her injury was, more likely than not,</w:t>
      </w:r>
      <w:r>
        <w:t xml:space="preserve"> a predictable</w:t>
      </w:r>
      <w:r>
        <w:rPr>
          <w:rStyle w:val="FootnoteReference"/>
          <w:rFonts w:cs="Segoe UI Historic"/>
        </w:rPr>
        <w:footnoteReference w:id="25"/>
      </w:r>
      <w:r>
        <w:t xml:space="preserve"> result of DFT’s negligence. You must ask: “Did DFT’s negligence create a foreseeable </w:t>
      </w:r>
      <w:r>
        <w:lastRenderedPageBreak/>
        <w:t xml:space="preserve">risk of the type of injury that PLF suffered?” </w:t>
      </w:r>
      <w:r w:rsidRPr="00666081">
        <w:t xml:space="preserve"> </w:t>
      </w:r>
      <w:r>
        <w:t xml:space="preserve">The risk was foreseeable if </w:t>
      </w:r>
      <w:r w:rsidRPr="00666081">
        <w:t>a reasonable person in DFT’s position</w:t>
      </w:r>
      <w:r>
        <w:t xml:space="preserve"> should have known that the negligence created a risk of this type of harm. </w:t>
      </w:r>
      <w:r w:rsidRPr="00666081">
        <w:t>PLF does not have to prove that DFT could or should have predicted the precise way in which the injury occurred</w:t>
      </w:r>
      <w:r>
        <w:t>,</w:t>
      </w:r>
      <w:r w:rsidRPr="00666081">
        <w:t xml:space="preserve"> but s/he must show that his/her injury was a natural result of DFT’s negligence.</w:t>
      </w:r>
      <w:r>
        <w:t>]</w:t>
      </w:r>
    </w:p>
    <w:p w14:paraId="6E2D3C37" w14:textId="1467822B" w:rsidR="00AC0CF8" w:rsidRDefault="00AC0CF8" w:rsidP="00AC0CF8">
      <w:pPr>
        <w:pStyle w:val="JuryInstructionText"/>
      </w:pPr>
      <w:r>
        <w:t xml:space="preserve">On the verdict slip, Question __ asks: “Was DFT’s negligence a cause of PLF’s injuries?” If you find that DFT’s negligence was a cause of PLF’s injuries [and that the injuries were a predictable result of that negligence], then you </w:t>
      </w:r>
      <w:r w:rsidR="00476FC7">
        <w:t xml:space="preserve">should </w:t>
      </w:r>
      <w:r>
        <w:t>answer “Yes.” Otherwise, answer “No.”</w:t>
      </w:r>
    </w:p>
    <w:p w14:paraId="586BFD12" w14:textId="5CB958BB" w:rsidR="00AC0CF8" w:rsidRDefault="00AC0CF8" w:rsidP="000D5051">
      <w:pPr>
        <w:pStyle w:val="JuryInst3"/>
        <w:rPr>
          <w:u w:val="single"/>
        </w:rPr>
      </w:pPr>
      <w:r w:rsidRPr="001E4234">
        <w:t>Comparative negligenc</w:t>
      </w:r>
      <w:r>
        <w:t>e &lt;</w:t>
      </w:r>
      <w:r w:rsidRPr="00E41395">
        <w:rPr>
          <w:i/>
        </w:rPr>
        <w:t>if asserted</w:t>
      </w:r>
      <w:r>
        <w:t>&gt;</w:t>
      </w:r>
      <w:r>
        <w:rPr>
          <w:u w:val="single"/>
        </w:rPr>
        <w:t xml:space="preserve"> </w:t>
      </w:r>
    </w:p>
    <w:p w14:paraId="41D87561" w14:textId="77777777" w:rsidR="00AC0CF8" w:rsidRPr="00CD1FA5" w:rsidRDefault="00AC0CF8" w:rsidP="00AC0CF8">
      <w:pPr>
        <w:pStyle w:val="JuryInstructionText"/>
      </w:pPr>
      <w:r w:rsidRPr="00CD1FA5">
        <w:t>As part of his/her/its defense, DFT claims that PLF was him</w:t>
      </w:r>
      <w:r>
        <w:t>self</w:t>
      </w:r>
      <w:r w:rsidRPr="00CD1FA5">
        <w:t xml:space="preserve">/herself negligent, and that PLF’s own negligence caused his/her injuries. The verdict slip covers this issue in </w:t>
      </w:r>
      <w:r>
        <w:t>Q</w:t>
      </w:r>
      <w:r w:rsidRPr="00CD1FA5">
        <w:t xml:space="preserve">uestions __ and __. You will reach these questions only if you find that DFT was negligent and that his/her/its negligence was a </w:t>
      </w:r>
      <w:r>
        <w:t>cause of</w:t>
      </w:r>
      <w:r w:rsidRPr="00CD1FA5">
        <w:t xml:space="preserve"> PLF’s injuries</w:t>
      </w:r>
      <w:r>
        <w:t xml:space="preserve">. </w:t>
      </w:r>
    </w:p>
    <w:p w14:paraId="281BDBE9" w14:textId="7449F0C2" w:rsidR="00AC0CF8" w:rsidRDefault="00AC0CF8" w:rsidP="00AC0CF8">
      <w:pPr>
        <w:pStyle w:val="JuryInstructionText"/>
      </w:pPr>
      <w:r w:rsidRPr="00CD1FA5">
        <w:t xml:space="preserve">Please note that </w:t>
      </w:r>
      <w:r>
        <w:t>these two q</w:t>
      </w:r>
      <w:r w:rsidRPr="00CD1FA5">
        <w:t xml:space="preserve">uestions are exceptions to my previous instructions, in which I told you that PLF had the burden of proof. On </w:t>
      </w:r>
      <w:r>
        <w:t xml:space="preserve">Questions __ and __, </w:t>
      </w:r>
      <w:r w:rsidRPr="00CD1FA5">
        <w:t>DFT has the burden of proof</w:t>
      </w:r>
      <w:r>
        <w:t xml:space="preserve">. </w:t>
      </w:r>
      <w:r w:rsidRPr="00CD1FA5">
        <w:t>PLF has no burden to prove anything on these questions</w:t>
      </w:r>
      <w:r>
        <w:t>.</w:t>
      </w:r>
      <w:r w:rsidRPr="00CD1FA5">
        <w:t xml:space="preserve"> </w:t>
      </w:r>
    </w:p>
    <w:p w14:paraId="4FD05309" w14:textId="77777777" w:rsidR="00AC0CF8" w:rsidRPr="00CD1FA5" w:rsidRDefault="00AC0CF8" w:rsidP="00667EC7">
      <w:pPr>
        <w:pStyle w:val="JuryInst4"/>
      </w:pPr>
      <w:r>
        <w:t>Reasonable Care—for Comparative Negligence</w:t>
      </w:r>
    </w:p>
    <w:p w14:paraId="02A121AA" w14:textId="7F67028C" w:rsidR="0003668A" w:rsidRPr="00CD1FA5" w:rsidRDefault="00AC0CF8" w:rsidP="0003668A">
      <w:pPr>
        <w:pStyle w:val="JuryInstructionText"/>
      </w:pPr>
      <w:r w:rsidRPr="00CD1FA5">
        <w:t xml:space="preserve">Under the law, PLF must </w:t>
      </w:r>
      <w:r>
        <w:t xml:space="preserve">have </w:t>
      </w:r>
      <w:r w:rsidRPr="00CD1FA5">
        <w:t>use</w:t>
      </w:r>
      <w:r>
        <w:t>d</w:t>
      </w:r>
      <w:r w:rsidRPr="00CD1FA5">
        <w:t xml:space="preserve"> reasonable care to prevent harm to him/herself under the circumstances of this case. If s/he failed to do so, s/he was negligent. </w:t>
      </w:r>
      <w:r w:rsidR="0003668A" w:rsidRPr="00CD1FA5">
        <w:t>That failure might have occurred through action or inaction. You must consider all the evidence and then make a judgment about what a reasonably careful person would have done.</w:t>
      </w:r>
    </w:p>
    <w:p w14:paraId="7A951866" w14:textId="37D38443" w:rsidR="0003668A" w:rsidRPr="00CD1FA5" w:rsidRDefault="0003668A" w:rsidP="0003668A">
      <w:pPr>
        <w:pStyle w:val="JuryInstructionText"/>
      </w:pPr>
      <w:r w:rsidRPr="00CD1FA5">
        <w:t xml:space="preserve">You should consider what </w:t>
      </w:r>
      <w:r>
        <w:t>PLF</w:t>
      </w:r>
      <w:r w:rsidRPr="00CD1FA5">
        <w:t xml:space="preserve"> did or failed to do</w:t>
      </w:r>
      <w:r>
        <w:t xml:space="preserve"> to prevent harm to him/herself</w:t>
      </w:r>
      <w:r w:rsidRPr="00CD1FA5">
        <w:t>. Then you should consider all of the relevant circumstances</w:t>
      </w:r>
      <w:r>
        <w:t xml:space="preserve">. </w:t>
      </w:r>
      <w:r w:rsidRPr="00CD1FA5">
        <w:t>For example, you may ask the following questions:</w:t>
      </w:r>
    </w:p>
    <w:p w14:paraId="44D5F040" w14:textId="77777777" w:rsidR="0003668A" w:rsidRPr="002D7B7E" w:rsidRDefault="0003668A" w:rsidP="00122DBD">
      <w:pPr>
        <w:pStyle w:val="JuryInstructionBullets"/>
        <w:keepNext/>
      </w:pPr>
      <w:r w:rsidRPr="002D7B7E">
        <w:lastRenderedPageBreak/>
        <w:t>Where, when and how did the incident occur?</w:t>
      </w:r>
    </w:p>
    <w:p w14:paraId="5E6EA715" w14:textId="77777777" w:rsidR="0003668A" w:rsidRPr="002D7B7E" w:rsidRDefault="0003668A" w:rsidP="0003668A">
      <w:pPr>
        <w:pStyle w:val="JuryInstructionBullets"/>
      </w:pPr>
      <w:r w:rsidRPr="002D7B7E">
        <w:t>How likely was it that people could be injured?</w:t>
      </w:r>
    </w:p>
    <w:p w14:paraId="560CB6AE" w14:textId="77777777" w:rsidR="0003668A" w:rsidRPr="002D7B7E" w:rsidRDefault="0003668A" w:rsidP="0003668A">
      <w:pPr>
        <w:pStyle w:val="JuryInstructionBullets"/>
      </w:pPr>
      <w:r w:rsidRPr="002D7B7E">
        <w:t>How serious was the potential injury?</w:t>
      </w:r>
    </w:p>
    <w:p w14:paraId="40C91A30" w14:textId="29790C39" w:rsidR="0003668A" w:rsidRPr="002D7B7E" w:rsidRDefault="0003668A" w:rsidP="0003668A">
      <w:pPr>
        <w:pStyle w:val="JuryInstructionBullets"/>
      </w:pPr>
      <w:r w:rsidRPr="002D7B7E">
        <w:t xml:space="preserve">How obvious should the risk have been to </w:t>
      </w:r>
      <w:r>
        <w:t>PLF</w:t>
      </w:r>
      <w:r w:rsidRPr="002D7B7E">
        <w:t>?</w:t>
      </w:r>
    </w:p>
    <w:p w14:paraId="7DFE6944" w14:textId="77777777" w:rsidR="0003668A" w:rsidRPr="002D7B7E" w:rsidRDefault="0003668A" w:rsidP="0003668A">
      <w:pPr>
        <w:pStyle w:val="JuryInstructionBullets"/>
      </w:pPr>
      <w:r w:rsidRPr="002D7B7E">
        <w:t>[</w:t>
      </w:r>
      <w:r>
        <w:t>&lt;</w:t>
      </w:r>
      <w:r>
        <w:rPr>
          <w:b/>
          <w:bCs/>
          <w:i/>
          <w:iCs/>
        </w:rPr>
        <w:t xml:space="preserve">if </w:t>
      </w:r>
      <w:r w:rsidRPr="006D705D">
        <w:rPr>
          <w:b/>
          <w:bCs/>
          <w:i/>
          <w:iCs/>
        </w:rPr>
        <w:t>applicable</w:t>
      </w:r>
      <w:r>
        <w:t>&gt;</w:t>
      </w:r>
      <w:r w:rsidRPr="002D7B7E">
        <w:t xml:space="preserve"> Was there any emergency?]</w:t>
      </w:r>
    </w:p>
    <w:p w14:paraId="241960FF" w14:textId="77777777" w:rsidR="0003668A" w:rsidRPr="002D7B7E" w:rsidRDefault="0003668A" w:rsidP="0003668A">
      <w:pPr>
        <w:pStyle w:val="JuryInstructionBullets"/>
      </w:pPr>
      <w:r w:rsidRPr="002D7B7E">
        <w:t xml:space="preserve">How much [would it have cost] [of a burden would it have been] to avoid the injury? </w:t>
      </w:r>
    </w:p>
    <w:p w14:paraId="7CAAE3E2" w14:textId="45D5E676" w:rsidR="0003668A" w:rsidRDefault="0003668A" w:rsidP="0003668A">
      <w:pPr>
        <w:pStyle w:val="JuryInstructionText"/>
      </w:pPr>
      <w:r w:rsidRPr="00CD1FA5">
        <w:t xml:space="preserve">Then you make a judgment. The law requires a person to use reasonable care to avoid </w:t>
      </w:r>
      <w:r>
        <w:t xml:space="preserve">suffering </w:t>
      </w:r>
      <w:r w:rsidRPr="00CD1FA5">
        <w:t xml:space="preserve">predictable </w:t>
      </w:r>
      <w:r>
        <w:t>injuries.</w:t>
      </w:r>
      <w:r w:rsidRPr="00CD1FA5">
        <w:rPr>
          <w:b/>
          <w:vertAlign w:val="superscript"/>
        </w:rPr>
        <w:footnoteReference w:id="26"/>
      </w:r>
      <w:r w:rsidRPr="00CD1FA5">
        <w:t xml:space="preserve"> We ask you, the jury, to consider what a reasonable and careful person would have done under these circumstances. What you consider reasonable may vary depending on the circumstances of this case. </w:t>
      </w:r>
      <w:r>
        <w:t>A person should take greater precautions</w:t>
      </w:r>
      <w:r w:rsidRPr="00CD1FA5">
        <w:t xml:space="preserve"> as the risk of harm increases. You should </w:t>
      </w:r>
      <w:r>
        <w:t xml:space="preserve">also </w:t>
      </w:r>
      <w:r w:rsidRPr="00CD1FA5">
        <w:t>ask yourself</w:t>
      </w:r>
      <w:r>
        <w:t>: “Did PLF actually know about any risks?” And, if not: “</w:t>
      </w:r>
      <w:r w:rsidRPr="00CD1FA5">
        <w:t>Should s/he have known about them?</w:t>
      </w:r>
      <w:r>
        <w:t>”</w:t>
      </w:r>
      <w:r w:rsidRPr="00CD1FA5">
        <w:t xml:space="preserve">   </w:t>
      </w:r>
    </w:p>
    <w:p w14:paraId="6DE629E3" w14:textId="14C78F19" w:rsidR="00AC0CF8" w:rsidRDefault="0003668A" w:rsidP="00AC0CF8">
      <w:pPr>
        <w:pStyle w:val="JuryInstructionText"/>
      </w:pPr>
      <w:r>
        <w:t>On the verdict slip, q</w:t>
      </w:r>
      <w:r w:rsidR="00AC0CF8" w:rsidRPr="00CD1FA5">
        <w:t>uestion</w:t>
      </w:r>
      <w:r w:rsidR="00AC0CF8">
        <w:t xml:space="preserve"> </w:t>
      </w:r>
      <w:r w:rsidR="00AC0CF8" w:rsidRPr="00CD1FA5">
        <w:t>__</w:t>
      </w:r>
      <w:r w:rsidR="00AC0CF8">
        <w:t xml:space="preserve"> </w:t>
      </w:r>
      <w:r w:rsidR="00AC0CF8" w:rsidRPr="00CD1FA5">
        <w:t xml:space="preserve">asks “Was PLF negligent?” If you decide that </w:t>
      </w:r>
      <w:r w:rsidR="00AC0CF8">
        <w:t>PLF</w:t>
      </w:r>
      <w:r w:rsidR="00AC0CF8" w:rsidRPr="00CD1FA5">
        <w:t xml:space="preserve"> more likely than not failed to use reasonable care, then you answer “</w:t>
      </w:r>
      <w:r w:rsidR="00AC0CF8">
        <w:t>Yes,</w:t>
      </w:r>
      <w:r w:rsidR="00AC0CF8" w:rsidRPr="00CD1FA5">
        <w:t xml:space="preserve">” </w:t>
      </w:r>
      <w:r w:rsidR="00AC0CF8">
        <w:t xml:space="preserve">and go on to answer the next question. </w:t>
      </w:r>
      <w:r w:rsidR="00AC0CF8" w:rsidRPr="00CD1FA5">
        <w:t>Otherwise, you answer “</w:t>
      </w:r>
      <w:r w:rsidR="00AC0CF8">
        <w:t>No</w:t>
      </w:r>
      <w:r w:rsidR="00AC0CF8" w:rsidRPr="00CD1FA5">
        <w:t>”</w:t>
      </w:r>
      <w:r w:rsidR="00AC0CF8">
        <w:t xml:space="preserve"> and then skip Question __.</w:t>
      </w:r>
    </w:p>
    <w:p w14:paraId="31E1DBCE" w14:textId="77777777" w:rsidR="00AC0CF8" w:rsidRDefault="00AC0CF8" w:rsidP="00667EC7">
      <w:pPr>
        <w:pStyle w:val="JuryInst4"/>
      </w:pPr>
      <w:r>
        <w:t>Causation—for Comparative Negligence</w:t>
      </w:r>
    </w:p>
    <w:p w14:paraId="40BA4EDE" w14:textId="77777777" w:rsidR="00AC0CF8" w:rsidRPr="00CD1FA5" w:rsidRDefault="00AC0CF8" w:rsidP="00AC0CF8">
      <w:pPr>
        <w:pStyle w:val="JuryInstructionText"/>
      </w:pPr>
      <w:r>
        <w:t>DFT must also prove that</w:t>
      </w:r>
      <w:r w:rsidRPr="00CD1FA5">
        <w:t xml:space="preserve"> PLF’s own negligence was a cause of his/her injuries. </w:t>
      </w:r>
      <w:r>
        <w:t>T</w:t>
      </w:r>
      <w:r w:rsidRPr="00CD1FA5">
        <w:t xml:space="preserve">o determine this, you must apply the same definition of cause that I gave you in connection with </w:t>
      </w:r>
      <w:r>
        <w:t>Q</w:t>
      </w:r>
      <w:r w:rsidRPr="00CD1FA5">
        <w:t>uestion __</w:t>
      </w:r>
      <w:r>
        <w:t xml:space="preserve">. </w:t>
      </w:r>
    </w:p>
    <w:p w14:paraId="46707D1B" w14:textId="77777777" w:rsidR="00AC0CF8" w:rsidRPr="00CD1FA5" w:rsidRDefault="00AC0CF8" w:rsidP="00AC0CF8">
      <w:pPr>
        <w:pStyle w:val="JuryInstructionText"/>
      </w:pPr>
      <w:r w:rsidRPr="00CD1FA5">
        <w:lastRenderedPageBreak/>
        <w:t xml:space="preserve">If you </w:t>
      </w:r>
      <w:r>
        <w:t xml:space="preserve">find that PLF was negligent, and therefore </w:t>
      </w:r>
      <w:r w:rsidRPr="00CD1FA5">
        <w:t>answer “</w:t>
      </w:r>
      <w:r>
        <w:t>Yes</w:t>
      </w:r>
      <w:r w:rsidRPr="00CD1FA5">
        <w:t xml:space="preserve">” to </w:t>
      </w:r>
      <w:r>
        <w:t>Q</w:t>
      </w:r>
      <w:r w:rsidRPr="00CD1FA5">
        <w:t>uestion</w:t>
      </w:r>
      <w:r>
        <w:t> </w:t>
      </w:r>
      <w:r w:rsidRPr="00CD1FA5">
        <w:t>__</w:t>
      </w:r>
      <w:r>
        <w:t>,</w:t>
      </w:r>
      <w:r w:rsidRPr="00CD1FA5">
        <w:t xml:space="preserve"> </w:t>
      </w:r>
      <w:r>
        <w:t xml:space="preserve">then </w:t>
      </w:r>
      <w:r w:rsidRPr="00CD1FA5">
        <w:t xml:space="preserve">you </w:t>
      </w:r>
      <w:r>
        <w:t>must</w:t>
      </w:r>
      <w:r w:rsidRPr="00CD1FA5">
        <w:t xml:space="preserve"> compare </w:t>
      </w:r>
      <w:r>
        <w:t>the negligence of</w:t>
      </w:r>
      <w:r w:rsidRPr="00CD1FA5">
        <w:t xml:space="preserve"> each party. You do this by determining the degree of negligence of each party. You express that</w:t>
      </w:r>
      <w:r>
        <w:t xml:space="preserve"> comparison</w:t>
      </w:r>
      <w:r w:rsidRPr="00CD1FA5">
        <w:t xml:space="preserve"> in percentages of negligence </w:t>
      </w:r>
      <w:r>
        <w:t>which</w:t>
      </w:r>
      <w:r w:rsidRPr="00CD1FA5">
        <w:t>, when added together, equal 100%. This is Question __</w:t>
      </w:r>
      <w:r>
        <w:t xml:space="preserve">. </w:t>
      </w:r>
    </w:p>
    <w:p w14:paraId="647C4235" w14:textId="77777777" w:rsidR="00AC0CF8" w:rsidRDefault="00AC0CF8" w:rsidP="00AC0CF8">
      <w:pPr>
        <w:pStyle w:val="JuryInstructionText"/>
      </w:pPr>
      <w:r w:rsidRPr="00CD1FA5">
        <w:t xml:space="preserve">PLF may recover against DFT only if you find that PLF’s own negligence was less than or equal to DFT’s negligence. But if you find that </w:t>
      </w:r>
      <w:r>
        <w:t xml:space="preserve">PLF was more negligent than </w:t>
      </w:r>
      <w:r w:rsidRPr="00CD1FA5">
        <w:t>DFT, then PLF cannot recover anything in this case</w:t>
      </w:r>
      <w:r>
        <w:t xml:space="preserve">. </w:t>
      </w:r>
    </w:p>
    <w:p w14:paraId="0E04DD73" w14:textId="77777777" w:rsidR="00AC0CF8" w:rsidRDefault="00AC0CF8" w:rsidP="00AC0CF8">
      <w:pPr>
        <w:pStyle w:val="JuryInstructionText"/>
      </w:pPr>
      <w:r w:rsidRPr="00CD1FA5">
        <w:t xml:space="preserve">Please note that I am asking you to determine the negligence, if any, of each side only so that the clerk can calculate damages based upon your decision. If you find that PLF was negligent by some percentage, you must </w:t>
      </w:r>
      <w:r w:rsidRPr="00C83730">
        <w:rPr>
          <w:b/>
          <w:bCs/>
        </w:rPr>
        <w:t>not</w:t>
      </w:r>
      <w:r w:rsidRPr="00CD1FA5">
        <w:t xml:space="preserve"> reduce the amount of damages you find on </w:t>
      </w:r>
      <w:r>
        <w:t>Q</w:t>
      </w:r>
      <w:r w:rsidRPr="00CD1FA5">
        <w:t>uestion __. Any reduction due to PLF’s comparative negligence is the job of the clerk, not the jury.</w:t>
      </w:r>
    </w:p>
    <w:p w14:paraId="6BB0315B" w14:textId="1F2CD0AA" w:rsidR="00AC0CF8" w:rsidRPr="00E0195A" w:rsidRDefault="002E3F8E" w:rsidP="00C3692A">
      <w:pPr>
        <w:pStyle w:val="JuryInst3"/>
      </w:pPr>
      <w:r>
        <w:t xml:space="preserve">Compensation for </w:t>
      </w:r>
      <w:r w:rsidR="00AC0CF8" w:rsidRPr="00E0195A">
        <w:t xml:space="preserve">Damages </w:t>
      </w:r>
    </w:p>
    <w:p w14:paraId="6162732E" w14:textId="34C697EF" w:rsidR="00AC0CF8" w:rsidRPr="00E0195A" w:rsidRDefault="00AC0CF8" w:rsidP="00AC0CF8">
      <w:pPr>
        <w:pStyle w:val="JuryInstructionText"/>
        <w:rPr>
          <w:b/>
        </w:rPr>
      </w:pPr>
      <w:r>
        <w:t>Finally, PLF</w:t>
      </w:r>
      <w:r w:rsidRPr="00E0195A">
        <w:t xml:space="preserve"> must prove, more likely than not, </w:t>
      </w:r>
      <w:r>
        <w:t>the amount of damages</w:t>
      </w:r>
      <w:r w:rsidRPr="00E0195A">
        <w:t xml:space="preserve"> caused by </w:t>
      </w:r>
      <w:r>
        <w:t>DFT’s</w:t>
      </w:r>
      <w:r w:rsidRPr="00E0195A">
        <w:t xml:space="preserve"> negligence</w:t>
      </w:r>
      <w:r w:rsidR="00A046BD">
        <w:t xml:space="preserve">. </w:t>
      </w:r>
      <w:r w:rsidRPr="00E0195A">
        <w:t xml:space="preserve">In this case, the parties agree that </w:t>
      </w:r>
      <w:r>
        <w:t>PLF</w:t>
      </w:r>
      <w:r w:rsidRPr="00E0195A">
        <w:t xml:space="preserve"> is seeking damages that relate to [clarify </w:t>
      </w:r>
      <w:r w:rsidR="002E3F8E">
        <w:t>as</w:t>
      </w:r>
      <w:r w:rsidRPr="00E0195A">
        <w:t xml:space="preserve"> necessary</w:t>
      </w:r>
      <w:r w:rsidR="002E3F8E">
        <w:t xml:space="preserve">, </w:t>
      </w:r>
      <w:r w:rsidRPr="002E3F8E">
        <w:rPr>
          <w:i/>
          <w:iCs/>
        </w:rPr>
        <w:t>such as chemotherapy for the plaintiff’s second primary colon cancer, which was diagnosed in 2011 and was treated by chemotherapy over a period of several months in 2011 and 2012.</w:t>
      </w:r>
      <w:r w:rsidRPr="00E0195A">
        <w:t>]</w:t>
      </w:r>
    </w:p>
    <w:p w14:paraId="1925F0B8" w14:textId="77777777" w:rsidR="00891F37" w:rsidRDefault="00AC0CF8" w:rsidP="00891F37">
      <w:pPr>
        <w:pStyle w:val="JuryInstructionText"/>
      </w:pPr>
      <w:r>
        <w:t>PLF</w:t>
      </w:r>
      <w:r w:rsidRPr="00E0195A">
        <w:t xml:space="preserve"> is entitled to receive compensation for the following, if you reach the issue of damages:</w:t>
      </w:r>
      <w:r w:rsidR="00077A68">
        <w:t xml:space="preserve"> &lt;</w:t>
      </w:r>
      <w:r w:rsidRPr="00077A68">
        <w:rPr>
          <w:b/>
          <w:bCs/>
          <w:i/>
          <w:iCs/>
        </w:rPr>
        <w:t>See general instruction on personal injury or wrongful death damages.</w:t>
      </w:r>
      <w:r w:rsidR="00077A68">
        <w:t>&gt;</w:t>
      </w:r>
      <w:r w:rsidR="00891F37">
        <w:t xml:space="preserve"> </w:t>
      </w:r>
    </w:p>
    <w:p w14:paraId="3B8830F7" w14:textId="4922E76F" w:rsidR="00891F37" w:rsidRPr="00891F37" w:rsidRDefault="00891F37" w:rsidP="00891F37">
      <w:pPr>
        <w:pStyle w:val="JuryInstructionText"/>
      </w:pPr>
      <w:r>
        <w:t>[</w:t>
      </w:r>
      <w:r w:rsidRPr="00891F37">
        <w:t>&lt;</w:t>
      </w:r>
      <w:r w:rsidRPr="00891F37">
        <w:rPr>
          <w:b/>
          <w:bCs/>
          <w:i/>
          <w:iCs/>
        </w:rPr>
        <w:t>Insert th</w:t>
      </w:r>
      <w:r>
        <w:rPr>
          <w:b/>
          <w:bCs/>
          <w:i/>
          <w:iCs/>
        </w:rPr>
        <w:t>is sentence</w:t>
      </w:r>
      <w:r w:rsidRPr="00891F37">
        <w:rPr>
          <w:b/>
          <w:bCs/>
          <w:i/>
          <w:iCs/>
        </w:rPr>
        <w:t xml:space="preserve"> after the</w:t>
      </w:r>
      <w:r>
        <w:rPr>
          <w:b/>
          <w:bCs/>
          <w:i/>
          <w:iCs/>
        </w:rPr>
        <w:t xml:space="preserve"> </w:t>
      </w:r>
      <w:r w:rsidRPr="00891F37">
        <w:rPr>
          <w:b/>
          <w:bCs/>
          <w:i/>
          <w:iCs/>
        </w:rPr>
        <w:t>instruction on “Future Damages</w:t>
      </w:r>
      <w:r>
        <w:rPr>
          <w:b/>
          <w:bCs/>
          <w:i/>
          <w:iCs/>
        </w:rPr>
        <w:t>,</w:t>
      </w:r>
      <w:r w:rsidRPr="00891F37">
        <w:rPr>
          <w:b/>
          <w:bCs/>
          <w:i/>
          <w:iCs/>
        </w:rPr>
        <w:t xml:space="preserve">” </w:t>
      </w:r>
      <w:r>
        <w:rPr>
          <w:b/>
          <w:bCs/>
          <w:i/>
          <w:iCs/>
        </w:rPr>
        <w:t>in § (a)(5)(d) of the model instruction for “Wrongful Death Damages,”</w:t>
      </w:r>
      <w:r w:rsidRPr="00891F37">
        <w:rPr>
          <w:b/>
          <w:bCs/>
          <w:i/>
          <w:iCs/>
        </w:rPr>
        <w:t xml:space="preserve"> </w:t>
      </w:r>
      <w:r>
        <w:rPr>
          <w:b/>
          <w:bCs/>
          <w:i/>
          <w:iCs/>
        </w:rPr>
        <w:t>f</w:t>
      </w:r>
      <w:r w:rsidRPr="00891F37">
        <w:rPr>
          <w:b/>
          <w:bCs/>
          <w:i/>
          <w:iCs/>
        </w:rPr>
        <w:t xml:space="preserve">or medical malpractice cases only.  See G.L c. </w:t>
      </w:r>
      <w:r w:rsidRPr="00891F37">
        <w:rPr>
          <w:b/>
          <w:bCs/>
          <w:i/>
          <w:iCs/>
          <w:lang w:val="en"/>
        </w:rPr>
        <w:t>G.L. c. 231, § 60F</w:t>
      </w:r>
      <w:r w:rsidRPr="00891F37">
        <w:rPr>
          <w:b/>
          <w:bCs/>
          <w:i/>
          <w:iCs/>
        </w:rPr>
        <w:t>.</w:t>
      </w:r>
      <w:r w:rsidRPr="00891F37">
        <w:t>&gt;</w:t>
      </w:r>
      <w:r>
        <w:br/>
      </w:r>
      <w:r w:rsidRPr="00891F37">
        <w:t xml:space="preserve">If you award future damages, then you must also set forth the period of </w:t>
      </w:r>
      <w:r w:rsidRPr="00891F37">
        <w:lastRenderedPageBreak/>
        <w:t>weeks, months, or years over which the future damages are intended to provide compensation.</w:t>
      </w:r>
      <w:r>
        <w:rPr>
          <w:rStyle w:val="FootnoteReference"/>
        </w:rPr>
        <w:footnoteReference w:id="27"/>
      </w:r>
      <w:r>
        <w:t>]</w:t>
      </w:r>
    </w:p>
    <w:p w14:paraId="2D33D099" w14:textId="43BC06B5" w:rsidR="00AC0CF8" w:rsidRDefault="002E3F8E" w:rsidP="00AC0CF8">
      <w:pPr>
        <w:pStyle w:val="JuryInstructionText"/>
      </w:pPr>
      <w:r>
        <w:t>&lt;</w:t>
      </w:r>
      <w:r w:rsidR="00AC0CF8" w:rsidRPr="002E3F8E">
        <w:rPr>
          <w:b/>
          <w:bCs/>
          <w:i/>
          <w:iCs/>
        </w:rPr>
        <w:t>instruction on pre-existing condition, if relevant:</w:t>
      </w:r>
      <w:r>
        <w:t>&gt;</w:t>
      </w:r>
      <w:r w:rsidR="00AC0CF8">
        <w:t xml:space="preserve"> Sometimes a doctor is accused of negligently doing something that makes a patient’s </w:t>
      </w:r>
      <w:r w:rsidR="00AC0CF8" w:rsidRPr="00226604">
        <w:t>preexisting condition or disease</w:t>
      </w:r>
      <w:r w:rsidR="00AC0CF8">
        <w:t xml:space="preserve"> worse, or of negligently failing to do something that would have kept the preexisting condition or disease from getting as bad as it did. </w:t>
      </w:r>
    </w:p>
    <w:p w14:paraId="37D65A32" w14:textId="77777777" w:rsidR="00AC0CF8" w:rsidRDefault="00AC0CF8" w:rsidP="00AC0CF8">
      <w:pPr>
        <w:pStyle w:val="JuryInstructionText"/>
      </w:pPr>
      <w:r>
        <w:t xml:space="preserve">If you find that is what happened in this case, then (a) DFT </w:t>
      </w:r>
      <w:r w:rsidRPr="000E0239">
        <w:rPr>
          <w:b/>
        </w:rPr>
        <w:t>is not liable</w:t>
      </w:r>
      <w:r>
        <w:t xml:space="preserve"> for the preexisting condition or disease that DFT did not cause, but (b) he/she </w:t>
      </w:r>
      <w:r w:rsidRPr="000E0239">
        <w:rPr>
          <w:b/>
        </w:rPr>
        <w:t>is liable</w:t>
      </w:r>
      <w:r>
        <w:t xml:space="preserve"> for the results of any additional injury or harm that </w:t>
      </w:r>
      <w:r w:rsidRPr="000E0239">
        <w:t>would</w:t>
      </w:r>
      <w:r>
        <w:t xml:space="preserve"> have been prevented if DFT had acted within the appropriate standard of care, even if those results were more severe than they would have been if PLF had been perfectly healthy and had not been suffering from the preexisting condition.</w:t>
      </w:r>
      <w:r>
        <w:rPr>
          <w:rStyle w:val="FootnoteReference"/>
        </w:rPr>
        <w:footnoteReference w:id="28"/>
      </w:r>
    </w:p>
    <w:p w14:paraId="354EF71F" w14:textId="77777777" w:rsidR="00AC0CF8" w:rsidRDefault="00AC0CF8" w:rsidP="00AC0CF8">
      <w:pPr>
        <w:pStyle w:val="JuryInstructionText"/>
      </w:pPr>
      <w:r>
        <w:t>In other words, a doctor [medical provider] takes each patient as that patient is, and is liable for any worsening of the patient’s condition that was caused by the doctor’s [provider’s] negligence.</w:t>
      </w:r>
    </w:p>
    <w:p w14:paraId="316B3AA0" w14:textId="77777777" w:rsidR="00AC0CF8" w:rsidRDefault="00AC0CF8" w:rsidP="00AC0CF8">
      <w:pPr>
        <w:pStyle w:val="JuryInstructionText"/>
      </w:pPr>
      <w:r>
        <w:t>PLF must prove through expert testimony by medical professional(s) that, more likely than not, the injuries for which PLF seeks compensation were caused or made worse by DFT’s negligence.</w:t>
      </w:r>
      <w:r>
        <w:rPr>
          <w:rStyle w:val="FootnoteReference"/>
        </w:rPr>
        <w:footnoteReference w:id="29"/>
      </w:r>
      <w:r>
        <w:t xml:space="preserve">  In the absence of credible testimony by a qualified medical expert, you may not speculate as to whether any negligence by DFT caused some part or all of the injuries suffered by PLF.</w:t>
      </w:r>
    </w:p>
    <w:p w14:paraId="79B4E835" w14:textId="25926A0D" w:rsidR="00AC0CF8" w:rsidRDefault="002E3F8E" w:rsidP="00AC0CF8">
      <w:pPr>
        <w:pStyle w:val="JuryInstructionText"/>
      </w:pPr>
      <w:r>
        <w:t>&lt;</w:t>
      </w:r>
      <w:r w:rsidR="00AC0CF8" w:rsidRPr="002E3F8E">
        <w:rPr>
          <w:b/>
          <w:bCs/>
          <w:i/>
        </w:rPr>
        <w:t>Optional instruction to disregard insurance:</w:t>
      </w:r>
      <w:r>
        <w:rPr>
          <w:iCs/>
        </w:rPr>
        <w:t>&gt;</w:t>
      </w:r>
      <w:r w:rsidR="00AC0CF8">
        <w:rPr>
          <w:i/>
        </w:rPr>
        <w:t xml:space="preserve">  </w:t>
      </w:r>
      <w:r w:rsidR="00AC0CF8">
        <w:t xml:space="preserve">Although the use of health insurance and other reimbursement programs is widespread, that fact should not enter into your calculation. It is not relevant whether PLF paid </w:t>
      </w:r>
      <w:r w:rsidR="00AC0CF8">
        <w:lastRenderedPageBreak/>
        <w:t>his/her own medical expenses, or whether s/he was covered by insurance, or otherwise received reimbursement</w:t>
      </w:r>
      <w:r w:rsidR="00A046BD">
        <w:t xml:space="preserve">. </w:t>
      </w:r>
      <w:r w:rsidR="00AC0CF8">
        <w:t>If necessary, someone else will consider those matters, perhaps with information that is not even in evidence here</w:t>
      </w:r>
      <w:r w:rsidR="00A046BD">
        <w:t xml:space="preserve">. </w:t>
      </w:r>
      <w:r w:rsidR="00AC0CF8">
        <w:t>It would be unfair for you to speculate about such matters, because if you start guessing, you could easily guess wrong and do an injustice</w:t>
      </w:r>
      <w:r w:rsidR="00A046BD">
        <w:t xml:space="preserve">. </w:t>
      </w:r>
    </w:p>
    <w:p w14:paraId="3F5839EF" w14:textId="1003EB17" w:rsidR="004325D5" w:rsidRDefault="002E3F8E" w:rsidP="004325D5">
      <w:pPr>
        <w:pStyle w:val="JuryInstructionText"/>
        <w:rPr>
          <w:b/>
          <w:bCs/>
          <w:i/>
          <w:iCs/>
          <w:lang w:val="en"/>
        </w:rPr>
      </w:pPr>
      <w:r>
        <w:rPr>
          <w:lang w:val="en"/>
        </w:rPr>
        <w:t>&lt;</w:t>
      </w:r>
      <w:r w:rsidR="00AC0CF8" w:rsidRPr="002E3F8E">
        <w:rPr>
          <w:b/>
          <w:bCs/>
          <w:i/>
          <w:iCs/>
          <w:lang w:val="en"/>
        </w:rPr>
        <w:t xml:space="preserve">Note: </w:t>
      </w:r>
      <w:r w:rsidR="004325D5">
        <w:rPr>
          <w:b/>
          <w:bCs/>
          <w:i/>
          <w:iCs/>
          <w:lang w:val="en"/>
        </w:rPr>
        <w:t>I</w:t>
      </w:r>
      <w:r w:rsidR="00AC0CF8" w:rsidRPr="002E3F8E">
        <w:rPr>
          <w:b/>
          <w:bCs/>
          <w:i/>
          <w:iCs/>
          <w:lang w:val="en"/>
        </w:rPr>
        <w:t>n medical malpractice cases, G.L. c. 231, § 60F requires that the verdict slip itemize the damages.</w:t>
      </w:r>
      <w:r w:rsidR="004325D5">
        <w:rPr>
          <w:lang w:val="en"/>
        </w:rPr>
        <w:t xml:space="preserve"> </w:t>
      </w:r>
      <w:r w:rsidR="004325D5">
        <w:rPr>
          <w:b/>
          <w:bCs/>
          <w:i/>
          <w:iCs/>
          <w:lang w:val="en"/>
        </w:rPr>
        <w:t xml:space="preserve">Damages must be separated: </w:t>
      </w:r>
    </w:p>
    <w:p w14:paraId="36B34EF5" w14:textId="77777777" w:rsidR="004325D5" w:rsidRPr="004325D5" w:rsidRDefault="004325D5" w:rsidP="004325D5">
      <w:pPr>
        <w:pStyle w:val="JuryInstructionIndent"/>
        <w:rPr>
          <w:b/>
          <w:bCs/>
          <w:i/>
          <w:iCs/>
          <w:lang w:val="en"/>
        </w:rPr>
      </w:pPr>
      <w:r w:rsidRPr="004325D5">
        <w:rPr>
          <w:b/>
          <w:bCs/>
          <w:i/>
          <w:iCs/>
          <w:lang w:val="en"/>
        </w:rPr>
        <w:t>1) by category: a) medical expenses, b) loss of earning capacity, and c) pain and suffering/</w:t>
      </w:r>
      <w:r w:rsidRPr="004325D5">
        <w:rPr>
          <w:b/>
          <w:bCs/>
          <w:i/>
          <w:iCs/>
          <w:sz w:val="21"/>
          <w:szCs w:val="21"/>
        </w:rPr>
        <w:t xml:space="preserve"> </w:t>
      </w:r>
      <w:r w:rsidRPr="004325D5">
        <w:rPr>
          <w:b/>
          <w:bCs/>
          <w:i/>
          <w:iCs/>
        </w:rPr>
        <w:t>loss of companionship, loss or impairment of bodily function/embarrassment, disfigurement/other items of general damages</w:t>
      </w:r>
      <w:r w:rsidRPr="004325D5">
        <w:rPr>
          <w:b/>
          <w:bCs/>
          <w:i/>
          <w:iCs/>
          <w:lang w:val="en"/>
        </w:rPr>
        <w:t xml:space="preserve">, and </w:t>
      </w:r>
    </w:p>
    <w:p w14:paraId="17E8CB46" w14:textId="6B1BFC6D" w:rsidR="004325D5" w:rsidRPr="004325D5" w:rsidRDefault="004325D5" w:rsidP="004325D5">
      <w:pPr>
        <w:pStyle w:val="JuryInstructionIndent"/>
        <w:rPr>
          <w:lang w:val="en"/>
        </w:rPr>
      </w:pPr>
      <w:r w:rsidRPr="004325D5">
        <w:rPr>
          <w:b/>
          <w:bCs/>
          <w:i/>
          <w:iCs/>
          <w:lang w:val="en"/>
        </w:rPr>
        <w:t>2) by whether they are for past or future damages.  For any future damages, the jury must state the period of time that the future damages are intended to cover, by stating the time in weeks, months, or years.</w:t>
      </w:r>
      <w:r>
        <w:rPr>
          <w:lang w:val="en"/>
        </w:rPr>
        <w:t>&gt;</w:t>
      </w:r>
    </w:p>
    <w:p w14:paraId="58CAEDBB" w14:textId="2C630F5B" w:rsidR="004325D5" w:rsidRPr="00524D03" w:rsidRDefault="004325D5" w:rsidP="004325D5">
      <w:pPr>
        <w:pStyle w:val="JuryInstructionText"/>
      </w:pPr>
      <w:bookmarkStart w:id="1" w:name="_Hlk184027684"/>
      <w:r w:rsidRPr="00524D03">
        <w:rPr>
          <w:lang w:val="en"/>
        </w:rPr>
        <w:t>&lt;</w:t>
      </w:r>
      <w:r w:rsidRPr="004325D5">
        <w:rPr>
          <w:b/>
          <w:bCs/>
          <w:i/>
          <w:iCs/>
          <w:lang w:val="en"/>
        </w:rPr>
        <w:t>Note:  If the defendants have not waived the $500,000 cap on damages on a medical malpractice claim for pain and suffering/</w:t>
      </w:r>
      <w:r w:rsidRPr="004325D5">
        <w:rPr>
          <w:b/>
          <w:bCs/>
          <w:i/>
          <w:iCs/>
          <w:color w:val="333333"/>
        </w:rPr>
        <w:t>loss of companionship, impairment of bodily function/embarrassment, disfigurement/other items of general damages</w:t>
      </w:r>
      <w:r w:rsidRPr="004325D5">
        <w:rPr>
          <w:b/>
          <w:bCs/>
          <w:i/>
          <w:iCs/>
          <w:lang w:val="en"/>
        </w:rPr>
        <w:t xml:space="preserve">, the jury verdict should include a question asking whether there is a substantial or permanent loss or impairment of a bodily function or substantial disfigurement, or other special circumstances in the case such that this $500,000 limitation would deprive the plaintiff of just compensation.  G.L. c. 231, § 60H. </w:t>
      </w:r>
      <w:r>
        <w:rPr>
          <w:lang w:val="en"/>
        </w:rPr>
        <w:t>&gt;</w:t>
      </w:r>
    </w:p>
    <w:bookmarkEnd w:id="1"/>
    <w:p w14:paraId="21F33DD6" w14:textId="77777777" w:rsidR="00B75859" w:rsidRPr="00AC0CF8" w:rsidRDefault="00B75859" w:rsidP="00AC0CF8"/>
    <w:sectPr w:rsidR="00B75859" w:rsidRPr="00AC0CF8"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6DB1" w14:textId="77777777" w:rsidR="00EE1AAD" w:rsidRDefault="00EE1AAD" w:rsidP="00F74A90">
      <w:r>
        <w:separator/>
      </w:r>
    </w:p>
  </w:endnote>
  <w:endnote w:type="continuationSeparator" w:id="0">
    <w:p w14:paraId="142D7417" w14:textId="77777777" w:rsidR="00EE1AAD" w:rsidRDefault="00EE1AAD"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Quattrocento Sans">
    <w:altName w:val="Times New Roman"/>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A0FFE"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E5A1" w14:textId="77777777" w:rsidR="00EE1AAD" w:rsidRDefault="00EE1AAD" w:rsidP="00F74A90">
      <w:r>
        <w:separator/>
      </w:r>
    </w:p>
  </w:footnote>
  <w:footnote w:type="continuationSeparator" w:id="0">
    <w:p w14:paraId="0F79C9FB" w14:textId="77777777" w:rsidR="00EE1AAD" w:rsidRDefault="00EE1AAD" w:rsidP="00F74A90">
      <w:r>
        <w:continuationSeparator/>
      </w:r>
    </w:p>
  </w:footnote>
  <w:footnote w:id="1">
    <w:p w14:paraId="452DDF87" w14:textId="77777777" w:rsidR="00AC0CF8" w:rsidRPr="00335A73" w:rsidRDefault="00AC0CF8" w:rsidP="00AC0CF8">
      <w:pPr>
        <w:pStyle w:val="FootnoteText"/>
      </w:pPr>
      <w:r>
        <w:rPr>
          <w:rStyle w:val="FootnoteReference"/>
        </w:rPr>
        <w:footnoteRef/>
      </w:r>
      <w:r>
        <w:t xml:space="preserve"> </w:t>
      </w:r>
      <w:r w:rsidRPr="00335A73">
        <w:tab/>
      </w:r>
      <w:proofErr w:type="spellStart"/>
      <w:r w:rsidRPr="00335A73">
        <w:rPr>
          <w:i/>
          <w:iCs/>
        </w:rPr>
        <w:t>Stepakoff</w:t>
      </w:r>
      <w:proofErr w:type="spellEnd"/>
      <w:r w:rsidRPr="00335A73">
        <w:rPr>
          <w:i/>
          <w:iCs/>
        </w:rPr>
        <w:t xml:space="preserve"> </w:t>
      </w:r>
      <w:r w:rsidRPr="00335A73">
        <w:t xml:space="preserve">v. </w:t>
      </w:r>
      <w:r w:rsidRPr="00335A73">
        <w:rPr>
          <w:i/>
          <w:iCs/>
        </w:rPr>
        <w:t>Kantar</w:t>
      </w:r>
      <w:r w:rsidRPr="00335A73">
        <w:t>, 393 Mass. 836, 840-841 (1985).</w:t>
      </w:r>
    </w:p>
  </w:footnote>
  <w:footnote w:id="2">
    <w:p w14:paraId="0BE51783" w14:textId="77777777" w:rsidR="00AC0CF8" w:rsidRPr="00A3583E" w:rsidRDefault="00AC0CF8" w:rsidP="00AC0CF8">
      <w:pPr>
        <w:pStyle w:val="FootnoteText"/>
        <w:rPr>
          <w:rFonts w:cs="Segoe UI Historic"/>
        </w:rPr>
      </w:pPr>
      <w:r w:rsidRPr="00A3583E">
        <w:rPr>
          <w:rStyle w:val="FootnoteReference"/>
          <w:rFonts w:cs="Segoe UI Historic"/>
        </w:rPr>
        <w:footnoteRef/>
      </w:r>
      <w:r w:rsidRPr="00A3583E">
        <w:rPr>
          <w:rFonts w:cs="Segoe UI Historic"/>
        </w:rPr>
        <w:t xml:space="preserve">  </w:t>
      </w:r>
      <w:r w:rsidRPr="00335A73">
        <w:tab/>
        <w:t>If the case involves a radiologist, it is better to give an example in a different specialty, such as: “However, if a pathologist interpreted the results of a tissue biopsy in my medical records, a doctor-patient relationship existed, even if I never met that doctor.”</w:t>
      </w:r>
    </w:p>
  </w:footnote>
  <w:footnote w:id="3">
    <w:p w14:paraId="6EC3AB6B" w14:textId="77777777" w:rsidR="00AC0CF8" w:rsidRPr="00A3583E" w:rsidRDefault="00AC0CF8" w:rsidP="00AC0CF8">
      <w:pPr>
        <w:pStyle w:val="FootnoteText"/>
        <w:rPr>
          <w:rFonts w:cs="Segoe UI Historic"/>
        </w:rPr>
      </w:pPr>
      <w:r w:rsidRPr="00A3583E">
        <w:rPr>
          <w:rStyle w:val="FootnoteReference"/>
          <w:rFonts w:cs="Segoe UI Historic"/>
        </w:rPr>
        <w:footnoteRef/>
      </w:r>
      <w:r w:rsidRPr="00A3583E">
        <w:rPr>
          <w:rFonts w:cs="Segoe UI Historic"/>
        </w:rPr>
        <w:t xml:space="preserve"> </w:t>
      </w:r>
      <w:r>
        <w:rPr>
          <w:rFonts w:cs="Segoe UI Historic"/>
        </w:rPr>
        <w:tab/>
      </w:r>
      <w:r w:rsidRPr="00335A73">
        <w:rPr>
          <w:i/>
          <w:iCs/>
        </w:rPr>
        <w:t xml:space="preserve">Santos </w:t>
      </w:r>
      <w:r w:rsidRPr="00335A73">
        <w:t xml:space="preserve">v. </w:t>
      </w:r>
      <w:r w:rsidRPr="00335A73">
        <w:rPr>
          <w:i/>
          <w:iCs/>
        </w:rPr>
        <w:t>Kim,</w:t>
      </w:r>
      <w:r w:rsidRPr="00335A73">
        <w:t xml:space="preserve"> 429 Mass. 130 (1999).</w:t>
      </w:r>
    </w:p>
  </w:footnote>
  <w:footnote w:id="4">
    <w:p w14:paraId="639415DD" w14:textId="77777777" w:rsidR="00AC0CF8" w:rsidRDefault="00AC0CF8" w:rsidP="00AC0CF8">
      <w:pPr>
        <w:pStyle w:val="FootnoteText"/>
      </w:pPr>
      <w:r w:rsidRPr="00A3583E">
        <w:rPr>
          <w:rStyle w:val="FootnoteReference"/>
          <w:rFonts w:cs="Segoe UI Historic"/>
        </w:rPr>
        <w:footnoteRef/>
      </w:r>
      <w:r w:rsidRPr="00A3583E">
        <w:rPr>
          <w:rFonts w:cs="Segoe UI Historic"/>
        </w:rPr>
        <w:t xml:space="preserve"> </w:t>
      </w:r>
      <w:r>
        <w:rPr>
          <w:rFonts w:cs="Segoe UI Historic"/>
        </w:rPr>
        <w:tab/>
      </w:r>
      <w:r w:rsidRPr="00335A73">
        <w:t>Id.</w:t>
      </w:r>
    </w:p>
  </w:footnote>
  <w:footnote w:id="5">
    <w:p w14:paraId="4317B200" w14:textId="74E78CA5" w:rsidR="00AC0CF8" w:rsidRDefault="00AC0CF8" w:rsidP="00AC0CF8">
      <w:pPr>
        <w:pStyle w:val="FootnoteText"/>
      </w:pPr>
      <w:r>
        <w:rPr>
          <w:rStyle w:val="FootnoteReference"/>
        </w:rPr>
        <w:footnoteRef/>
      </w:r>
      <w:r>
        <w:t xml:space="preserve"> </w:t>
      </w:r>
      <w:r>
        <w:tab/>
      </w:r>
      <w:r w:rsidRPr="00335A73">
        <w:rPr>
          <w:i/>
          <w:iCs/>
        </w:rPr>
        <w:t>Palandjian</w:t>
      </w:r>
      <w:r w:rsidRPr="00335A73">
        <w:t xml:space="preserve"> v. </w:t>
      </w:r>
      <w:r w:rsidRPr="00335A73">
        <w:rPr>
          <w:i/>
          <w:iCs/>
        </w:rPr>
        <w:t>Foster,</w:t>
      </w:r>
      <w:r w:rsidRPr="00335A73">
        <w:t xml:space="preserve"> 446 Mass. 100, 104 (2006).</w:t>
      </w:r>
    </w:p>
  </w:footnote>
  <w:footnote w:id="6">
    <w:p w14:paraId="7F14875B" w14:textId="77777777" w:rsidR="00AC0CF8" w:rsidRPr="00335A73" w:rsidRDefault="00AC0CF8" w:rsidP="00AC0CF8">
      <w:pPr>
        <w:pStyle w:val="FootnoteText"/>
      </w:pPr>
      <w:r>
        <w:rPr>
          <w:rStyle w:val="FootnoteReference"/>
        </w:rPr>
        <w:footnoteRef/>
      </w:r>
      <w:r>
        <w:t xml:space="preserve"> </w:t>
      </w:r>
      <w:r>
        <w:tab/>
      </w:r>
      <w:r w:rsidRPr="00335A73">
        <w:rPr>
          <w:i/>
          <w:iCs/>
        </w:rPr>
        <w:t>Palandjian</w:t>
      </w:r>
      <w:r w:rsidRPr="00335A73">
        <w:t xml:space="preserve"> v. </w:t>
      </w:r>
      <w:r w:rsidRPr="00335A73">
        <w:rPr>
          <w:i/>
          <w:iCs/>
        </w:rPr>
        <w:t>Foster,</w:t>
      </w:r>
      <w:r w:rsidRPr="00335A73">
        <w:t xml:space="preserve"> 446 Mass. 100, 112 (2006); </w:t>
      </w:r>
      <w:r w:rsidRPr="00335A73">
        <w:rPr>
          <w:i/>
          <w:iCs/>
        </w:rPr>
        <w:t>McCarthy</w:t>
      </w:r>
      <w:r w:rsidRPr="00335A73">
        <w:t xml:space="preserve"> v. </w:t>
      </w:r>
      <w:r w:rsidRPr="00335A73">
        <w:rPr>
          <w:i/>
          <w:iCs/>
        </w:rPr>
        <w:t>Boston City Hospital</w:t>
      </w:r>
      <w:r w:rsidRPr="00335A73">
        <w:t xml:space="preserve">, 358 Mass. 639, 643 (1971); </w:t>
      </w:r>
      <w:r w:rsidRPr="00335A73">
        <w:rPr>
          <w:i/>
          <w:iCs/>
        </w:rPr>
        <w:t>Brune</w:t>
      </w:r>
      <w:r w:rsidRPr="00335A73">
        <w:t xml:space="preserve"> v. </w:t>
      </w:r>
      <w:proofErr w:type="spellStart"/>
      <w:r w:rsidRPr="00335A73">
        <w:rPr>
          <w:i/>
          <w:iCs/>
        </w:rPr>
        <w:t>Belinkoff</w:t>
      </w:r>
      <w:proofErr w:type="spellEnd"/>
      <w:r w:rsidRPr="00335A73">
        <w:t>, 354 Mass. 102 (1968).</w:t>
      </w:r>
    </w:p>
  </w:footnote>
  <w:footnote w:id="7">
    <w:p w14:paraId="5199BAB3" w14:textId="77777777" w:rsidR="00AC0CF8" w:rsidRPr="00360A14" w:rsidRDefault="00AC0CF8" w:rsidP="00AC0CF8">
      <w:pPr>
        <w:pStyle w:val="FootnoteText"/>
      </w:pPr>
      <w:r>
        <w:rPr>
          <w:rStyle w:val="FootnoteReference"/>
        </w:rPr>
        <w:footnoteRef/>
      </w:r>
      <w:r>
        <w:t xml:space="preserve"> </w:t>
      </w:r>
      <w:r>
        <w:tab/>
      </w:r>
      <w:r w:rsidRPr="00335A73">
        <w:rPr>
          <w:i/>
          <w:iCs/>
        </w:rPr>
        <w:t xml:space="preserve">Palandjian </w:t>
      </w:r>
      <w:r w:rsidRPr="00335A73">
        <w:t xml:space="preserve">v. </w:t>
      </w:r>
      <w:r w:rsidRPr="00335A73">
        <w:rPr>
          <w:i/>
          <w:iCs/>
        </w:rPr>
        <w:t>Foster</w:t>
      </w:r>
      <w:r w:rsidRPr="00335A73">
        <w:t>, 446 Mass. 100, 105 (2006).</w:t>
      </w:r>
    </w:p>
  </w:footnote>
  <w:footnote w:id="8">
    <w:p w14:paraId="119C3C9F" w14:textId="77777777" w:rsidR="00AC0CF8" w:rsidRPr="00210C6D" w:rsidRDefault="00AC0CF8" w:rsidP="00AC0CF8">
      <w:pPr>
        <w:pStyle w:val="FootnoteText"/>
        <w:rPr>
          <w:i/>
        </w:rPr>
      </w:pPr>
      <w:r>
        <w:rPr>
          <w:rStyle w:val="FootnoteReference"/>
        </w:rPr>
        <w:footnoteRef/>
      </w:r>
      <w:r>
        <w:t xml:space="preserve"> </w:t>
      </w:r>
      <w:r>
        <w:tab/>
      </w:r>
      <w:r w:rsidRPr="00335A73">
        <w:rPr>
          <w:i/>
          <w:iCs/>
        </w:rPr>
        <w:t>Palandjian</w:t>
      </w:r>
      <w:r w:rsidRPr="00335A73">
        <w:t xml:space="preserve"> v. </w:t>
      </w:r>
      <w:r w:rsidRPr="00335A73">
        <w:rPr>
          <w:i/>
          <w:iCs/>
        </w:rPr>
        <w:t>Foster,</w:t>
      </w:r>
      <w:r w:rsidRPr="00335A73">
        <w:t xml:space="preserve"> 446 Mass. 100, 104-105</w:t>
      </w:r>
      <w:r>
        <w:t xml:space="preserve"> &amp; n.7</w:t>
      </w:r>
      <w:r w:rsidRPr="00335A73">
        <w:t xml:space="preserve"> (2006).</w:t>
      </w:r>
    </w:p>
  </w:footnote>
  <w:footnote w:id="9">
    <w:p w14:paraId="31CE6034" w14:textId="77777777" w:rsidR="00AC0CF8" w:rsidRPr="00335A73" w:rsidRDefault="00AC0CF8" w:rsidP="00AC0CF8">
      <w:pPr>
        <w:pStyle w:val="FootnoteText"/>
      </w:pPr>
      <w:r>
        <w:rPr>
          <w:rStyle w:val="FootnoteReference"/>
        </w:rPr>
        <w:footnoteRef/>
      </w:r>
      <w:r>
        <w:t xml:space="preserve"> </w:t>
      </w:r>
      <w:r>
        <w:tab/>
      </w:r>
      <w:r w:rsidRPr="00335A73">
        <w:t>In the rare case that expert medical testimony is not required, this sentence should be omitted or modified.</w:t>
      </w:r>
    </w:p>
  </w:footnote>
  <w:footnote w:id="10">
    <w:p w14:paraId="554D6675" w14:textId="77777777" w:rsidR="00AC0CF8" w:rsidRPr="00335A73" w:rsidRDefault="00AC0CF8" w:rsidP="00AC0CF8">
      <w:pPr>
        <w:pStyle w:val="FootnoteText"/>
      </w:pPr>
      <w:r>
        <w:rPr>
          <w:rStyle w:val="FootnoteReference"/>
        </w:rPr>
        <w:footnoteRef/>
      </w:r>
      <w:r>
        <w:t xml:space="preserve"> </w:t>
      </w:r>
      <w:r>
        <w:tab/>
      </w:r>
      <w:r w:rsidRPr="00335A73">
        <w:rPr>
          <w:i/>
          <w:iCs/>
        </w:rPr>
        <w:t xml:space="preserve">Palandjian </w:t>
      </w:r>
      <w:r w:rsidRPr="00335A73">
        <w:t xml:space="preserve">v. </w:t>
      </w:r>
      <w:r w:rsidRPr="00335A73">
        <w:rPr>
          <w:i/>
          <w:iCs/>
        </w:rPr>
        <w:t>Foster,</w:t>
      </w:r>
      <w:r w:rsidRPr="00335A73">
        <w:t xml:space="preserve"> 446 Mass. 100, 106 (2006).</w:t>
      </w:r>
    </w:p>
  </w:footnote>
  <w:footnote w:id="11">
    <w:p w14:paraId="15607FDB" w14:textId="7A262B1F" w:rsidR="00AC0CF8" w:rsidRPr="00335A73" w:rsidRDefault="00AC0CF8" w:rsidP="00AC0CF8">
      <w:pPr>
        <w:pStyle w:val="FootnoteText"/>
      </w:pPr>
      <w:r>
        <w:rPr>
          <w:rStyle w:val="FootnoteReference"/>
        </w:rPr>
        <w:footnoteRef/>
      </w:r>
      <w:r>
        <w:t xml:space="preserve"> </w:t>
      </w:r>
      <w:r>
        <w:tab/>
      </w:r>
      <w:r w:rsidRPr="00335A73">
        <w:t>If applicable, add in any other source of expert testimony in the case</w:t>
      </w:r>
      <w:r w:rsidR="00A046BD">
        <w:t xml:space="preserve">. </w:t>
      </w:r>
      <w:r w:rsidRPr="00335A73">
        <w:t xml:space="preserve"> For example, there may be rare cases where a part of the standard of care comes by way of stipulation of the parties</w:t>
      </w:r>
      <w:r w:rsidR="00A046BD">
        <w:t xml:space="preserve">. </w:t>
      </w:r>
      <w:r w:rsidRPr="00335A73">
        <w:t>If so, the instruction should include “or a stipulation of the parties.”</w:t>
      </w:r>
    </w:p>
  </w:footnote>
  <w:footnote w:id="12">
    <w:p w14:paraId="3215B6DF" w14:textId="77777777" w:rsidR="00AC0CF8" w:rsidRDefault="00AC0CF8" w:rsidP="00AC0CF8">
      <w:pPr>
        <w:pStyle w:val="FootnoteText"/>
      </w:pPr>
      <w:r>
        <w:rPr>
          <w:rStyle w:val="FootnoteReference"/>
        </w:rPr>
        <w:footnoteRef/>
      </w:r>
      <w:r>
        <w:t xml:space="preserve"> </w:t>
      </w:r>
      <w:r>
        <w:tab/>
      </w:r>
      <w:r w:rsidRPr="00EF5A01">
        <w:rPr>
          <w:i/>
          <w:iCs/>
        </w:rPr>
        <w:t>Letch</w:t>
      </w:r>
      <w:r w:rsidRPr="00EF5A01">
        <w:t xml:space="preserve"> v. </w:t>
      </w:r>
      <w:r w:rsidRPr="00EF5A01">
        <w:rPr>
          <w:i/>
          <w:iCs/>
        </w:rPr>
        <w:t>Daniels,</w:t>
      </w:r>
      <w:r w:rsidRPr="00EF5A01">
        <w:t xml:space="preserve"> 401 Mass. 65, 68 (1987).</w:t>
      </w:r>
    </w:p>
  </w:footnote>
  <w:footnote w:id="13">
    <w:p w14:paraId="06155957" w14:textId="77777777" w:rsidR="00AC0CF8" w:rsidRDefault="00AC0CF8" w:rsidP="00AC0CF8">
      <w:pPr>
        <w:pStyle w:val="FootnoteText"/>
      </w:pPr>
      <w:r>
        <w:rPr>
          <w:rStyle w:val="FootnoteReference"/>
        </w:rPr>
        <w:footnoteRef/>
      </w:r>
      <w:r>
        <w:t xml:space="preserve"> </w:t>
      </w:r>
      <w:r w:rsidRPr="00EF5A01">
        <w:rPr>
          <w:i/>
          <w:iCs/>
        </w:rPr>
        <w:tab/>
        <w:t>Letch</w:t>
      </w:r>
      <w:r>
        <w:t xml:space="preserve"> v. </w:t>
      </w:r>
      <w:r w:rsidRPr="00EF5A01">
        <w:rPr>
          <w:i/>
          <w:iCs/>
        </w:rPr>
        <w:t>Daniels,</w:t>
      </w:r>
      <w:r>
        <w:t xml:space="preserve"> 401 Mass. 65, 68 (1987).</w:t>
      </w:r>
    </w:p>
  </w:footnote>
  <w:footnote w:id="14">
    <w:p w14:paraId="7C11074A" w14:textId="77777777" w:rsidR="00AC0CF8" w:rsidRPr="00EF5A01" w:rsidRDefault="00AC0CF8" w:rsidP="00AC0CF8">
      <w:pPr>
        <w:pStyle w:val="FootnoteText"/>
      </w:pPr>
      <w:r>
        <w:rPr>
          <w:rStyle w:val="FootnoteReference"/>
        </w:rPr>
        <w:footnoteRef/>
      </w:r>
      <w:r>
        <w:t xml:space="preserve"> </w:t>
      </w:r>
      <w:r w:rsidRPr="00EF5A01">
        <w:rPr>
          <w:i/>
          <w:iCs/>
        </w:rPr>
        <w:tab/>
        <w:t>Brune</w:t>
      </w:r>
      <w:r w:rsidRPr="00EF5A01">
        <w:t xml:space="preserve"> v. </w:t>
      </w:r>
      <w:proofErr w:type="spellStart"/>
      <w:r w:rsidRPr="00EF5A01">
        <w:rPr>
          <w:i/>
          <w:iCs/>
        </w:rPr>
        <w:t>Belinkoff</w:t>
      </w:r>
      <w:proofErr w:type="spellEnd"/>
      <w:r w:rsidRPr="00EF5A01">
        <w:t>, 354 Mass. at 108.</w:t>
      </w:r>
    </w:p>
  </w:footnote>
  <w:footnote w:id="15">
    <w:p w14:paraId="345193ED" w14:textId="77777777" w:rsidR="00AC0CF8" w:rsidRPr="007144A1" w:rsidRDefault="00AC0CF8" w:rsidP="00AC0CF8">
      <w:pPr>
        <w:pStyle w:val="FootnoteText"/>
      </w:pPr>
      <w:r>
        <w:rPr>
          <w:rStyle w:val="FootnoteReference"/>
        </w:rPr>
        <w:footnoteRef/>
      </w:r>
      <w:r>
        <w:t xml:space="preserve"> </w:t>
      </w:r>
      <w:r>
        <w:tab/>
      </w:r>
      <w:r w:rsidRPr="007144A1">
        <w:t xml:space="preserve">This paragraph may not be appropriate in certain cases of informed consent or res </w:t>
      </w:r>
      <w:proofErr w:type="spellStart"/>
      <w:r w:rsidRPr="007144A1">
        <w:t>ipsa</w:t>
      </w:r>
      <w:proofErr w:type="spellEnd"/>
      <w:r w:rsidRPr="007144A1">
        <w:t xml:space="preserve"> loquitor.</w:t>
      </w:r>
    </w:p>
  </w:footnote>
  <w:footnote w:id="16">
    <w:p w14:paraId="38A4B042" w14:textId="77777777" w:rsidR="00AC0CF8" w:rsidRPr="007144A1" w:rsidRDefault="00AC0CF8" w:rsidP="00AC0CF8">
      <w:pPr>
        <w:pStyle w:val="FootnoteText"/>
      </w:pPr>
      <w:r>
        <w:rPr>
          <w:rStyle w:val="FootnoteReference"/>
        </w:rPr>
        <w:footnoteRef/>
      </w:r>
      <w:r>
        <w:t xml:space="preserve"> </w:t>
      </w:r>
      <w:r>
        <w:tab/>
      </w:r>
      <w:r w:rsidRPr="007144A1">
        <w:rPr>
          <w:i/>
          <w:iCs/>
        </w:rPr>
        <w:t>Palandjian</w:t>
      </w:r>
      <w:r w:rsidRPr="007144A1">
        <w:t xml:space="preserve"> v. </w:t>
      </w:r>
      <w:r w:rsidRPr="007144A1">
        <w:rPr>
          <w:i/>
          <w:iCs/>
        </w:rPr>
        <w:t>Foster,</w:t>
      </w:r>
      <w:r w:rsidRPr="007144A1">
        <w:t xml:space="preserve"> 446  Mass. 100, 104 (2006).</w:t>
      </w:r>
    </w:p>
  </w:footnote>
  <w:footnote w:id="17">
    <w:p w14:paraId="210AA08E" w14:textId="77777777" w:rsidR="00AC0CF8" w:rsidRPr="00101FC1" w:rsidRDefault="00AC0CF8" w:rsidP="00AC0CF8">
      <w:pPr>
        <w:pStyle w:val="FootnoteText"/>
      </w:pPr>
      <w:r w:rsidRPr="00101FC1">
        <w:rPr>
          <w:rStyle w:val="FootnoteReference"/>
          <w:rFonts w:cs="Segoe UI Historic"/>
        </w:rPr>
        <w:footnoteRef/>
      </w:r>
      <w:r>
        <w:rPr>
          <w:rFonts w:ascii="Times New Roman" w:hAnsi="Times New Roman"/>
        </w:rPr>
        <w:tab/>
      </w:r>
      <w:r w:rsidRPr="00101FC1">
        <w:t xml:space="preserve">A judge who prefers to use the technical legal phrase “but for cause” may do so here by, for instance, saying “DFT caused PLF’s harm if the harm would not have occurred absent, that is but for, DFT’s negligence.” See </w:t>
      </w:r>
      <w:r w:rsidRPr="00101FC1">
        <w:rPr>
          <w:i/>
          <w:iCs/>
        </w:rPr>
        <w:t>Doull,</w:t>
      </w:r>
      <w:r w:rsidRPr="00101FC1">
        <w:t xml:space="preserve"> 487 Mass. at 6, quoting trial judge’s charge. In the pursuit of plain language, however, the above text does not use the phrase “but for,” which is not in common usage among jurors and may raise questions or create confusion.</w:t>
      </w:r>
    </w:p>
  </w:footnote>
  <w:footnote w:id="18">
    <w:p w14:paraId="2FBE337D" w14:textId="77777777" w:rsidR="00AC0CF8" w:rsidRPr="00101FC1" w:rsidRDefault="00AC0CF8" w:rsidP="00AC0CF8">
      <w:pPr>
        <w:pStyle w:val="FootnoteText"/>
      </w:pPr>
      <w:r>
        <w:rPr>
          <w:rStyle w:val="FootnoteReference"/>
        </w:rPr>
        <w:footnoteRef/>
      </w:r>
      <w:r>
        <w:t xml:space="preserve"> </w:t>
      </w:r>
      <w:r>
        <w:tab/>
      </w:r>
      <w:r w:rsidRPr="00101FC1">
        <w:rPr>
          <w:i/>
          <w:iCs/>
        </w:rPr>
        <w:t xml:space="preserve">Doull </w:t>
      </w:r>
      <w:r w:rsidRPr="00101FC1">
        <w:t xml:space="preserve">v. </w:t>
      </w:r>
      <w:r w:rsidRPr="00101FC1">
        <w:rPr>
          <w:i/>
          <w:iCs/>
        </w:rPr>
        <w:t>Foster</w:t>
      </w:r>
      <w:r w:rsidRPr="00101FC1">
        <w:t>, 487 Mass. 1, 11 (2021) (“[T]he purpose of this but-for standard is to separate the</w:t>
      </w:r>
      <w:r>
        <w:t xml:space="preserve"> </w:t>
      </w:r>
      <w:r w:rsidRPr="00101FC1">
        <w:t>conduct that had no impact on the harm from the conduct that caused the harm.”).</w:t>
      </w:r>
    </w:p>
  </w:footnote>
  <w:footnote w:id="19">
    <w:p w14:paraId="4D8CB5C5" w14:textId="1F4AE717" w:rsidR="00960B42" w:rsidRDefault="00960B42">
      <w:pPr>
        <w:pStyle w:val="FootnoteText"/>
      </w:pPr>
      <w:r>
        <w:rPr>
          <w:rStyle w:val="FootnoteReference"/>
        </w:rPr>
        <w:footnoteRef/>
      </w:r>
      <w:r>
        <w:t xml:space="preserve"> </w:t>
      </w:r>
      <w:proofErr w:type="spellStart"/>
      <w:r w:rsidRPr="004E03F8">
        <w:rPr>
          <w:i/>
          <w:iCs/>
        </w:rPr>
        <w:t>Luppold</w:t>
      </w:r>
      <w:proofErr w:type="spellEnd"/>
      <w:r w:rsidRPr="004E03F8">
        <w:rPr>
          <w:i/>
          <w:iCs/>
        </w:rPr>
        <w:t xml:space="preserve"> v. Hanlon</w:t>
      </w:r>
      <w:r>
        <w:t>, 496 Mass. 148, 162 (2025).</w:t>
      </w:r>
    </w:p>
  </w:footnote>
  <w:footnote w:id="20">
    <w:p w14:paraId="2ECA1C53" w14:textId="77777777" w:rsidR="00AC0CF8" w:rsidRPr="00101FC1" w:rsidRDefault="00AC0CF8" w:rsidP="00AC0CF8">
      <w:pPr>
        <w:pStyle w:val="FootnoteText"/>
      </w:pPr>
      <w:r w:rsidRPr="00101FC1">
        <w:rPr>
          <w:rStyle w:val="FootnoteReference"/>
          <w:rFonts w:cs="Segoe UI Historic"/>
        </w:rPr>
        <w:footnoteRef/>
      </w:r>
      <w:r w:rsidRPr="00101FC1">
        <w:rPr>
          <w:rFonts w:cs="Segoe UI Historic"/>
        </w:rPr>
        <w:t xml:space="preserve"> </w:t>
      </w:r>
      <w:r w:rsidRPr="00101FC1">
        <w:rPr>
          <w:rFonts w:ascii="Times New Roman" w:hAnsi="Times New Roman"/>
          <w:i/>
          <w:iCs/>
        </w:rPr>
        <w:tab/>
      </w:r>
      <w:r w:rsidRPr="00101FC1">
        <w:rPr>
          <w:i/>
          <w:iCs/>
        </w:rPr>
        <w:t>Doull</w:t>
      </w:r>
      <w:r w:rsidRPr="00101FC1">
        <w:t xml:space="preserve">, 487 Mass. </w:t>
      </w:r>
      <w:r>
        <w:t>at</w:t>
      </w:r>
      <w:r w:rsidRPr="00101FC1">
        <w:t>12-13 (“[T]he focus instead remains only on whether, in the absence of a defendant's conduct, the harm would have still occurred.”).</w:t>
      </w:r>
    </w:p>
  </w:footnote>
  <w:footnote w:id="21">
    <w:p w14:paraId="1AAD74CC" w14:textId="77777777" w:rsidR="00AC0CF8" w:rsidRPr="006A009B" w:rsidRDefault="00AC0CF8" w:rsidP="00AC0CF8">
      <w:pPr>
        <w:pStyle w:val="FootnoteText"/>
        <w:rPr>
          <w:szCs w:val="22"/>
        </w:rPr>
      </w:pPr>
      <w:r w:rsidRPr="00157237">
        <w:rPr>
          <w:rStyle w:val="FootnoteReference"/>
          <w:rFonts w:ascii="Times New Roman" w:hAnsi="Times New Roman"/>
        </w:rPr>
        <w:footnoteRef/>
      </w:r>
      <w:r w:rsidRPr="00157237">
        <w:t xml:space="preserve"> </w:t>
      </w:r>
      <w:r>
        <w:tab/>
      </w:r>
      <w:r w:rsidRPr="00157237">
        <w:t xml:space="preserve">“Where multiple causes are alleged, it is appropriate to instruct a jury that there can be more than one factual cause of a harm.” </w:t>
      </w:r>
      <w:r w:rsidRPr="00157237">
        <w:rPr>
          <w:i/>
        </w:rPr>
        <w:t>Doull v. Foster</w:t>
      </w:r>
      <w:r w:rsidRPr="00157237">
        <w:t xml:space="preserve">, </w:t>
      </w:r>
      <w:r>
        <w:rPr>
          <w:szCs w:val="22"/>
        </w:rPr>
        <w:t>487</w:t>
      </w:r>
      <w:r w:rsidRPr="00157237">
        <w:t xml:space="preserve"> Mass. </w:t>
      </w:r>
      <w:r>
        <w:rPr>
          <w:szCs w:val="22"/>
        </w:rPr>
        <w:t>1,</w:t>
      </w:r>
      <w:r w:rsidRPr="006A009B">
        <w:rPr>
          <w:szCs w:val="22"/>
        </w:rPr>
        <w:t xml:space="preserve"> </w:t>
      </w:r>
      <w:r>
        <w:rPr>
          <w:szCs w:val="22"/>
        </w:rPr>
        <w:t>13</w:t>
      </w:r>
      <w:r w:rsidRPr="00157237">
        <w:t xml:space="preserve"> n.</w:t>
      </w:r>
      <w:r w:rsidRPr="006A009B">
        <w:rPr>
          <w:szCs w:val="22"/>
        </w:rPr>
        <w:t>1</w:t>
      </w:r>
      <w:r>
        <w:rPr>
          <w:szCs w:val="22"/>
        </w:rPr>
        <w:t>3</w:t>
      </w:r>
      <w:r w:rsidRPr="00157237">
        <w:t xml:space="preserve"> (2021) See also </w:t>
      </w:r>
      <w:r w:rsidRPr="00157237">
        <w:rPr>
          <w:i/>
        </w:rPr>
        <w:t>Id</w:t>
      </w:r>
      <w:r w:rsidRPr="00157237">
        <w:t xml:space="preserve">. at </w:t>
      </w:r>
      <w:r>
        <w:rPr>
          <w:szCs w:val="22"/>
        </w:rPr>
        <w:t>12</w:t>
      </w:r>
      <w:r w:rsidRPr="00157237">
        <w:t xml:space="preserve"> (“[T]here is no requirement that a defendant must be the sole factual cause of a harm.”)</w:t>
      </w:r>
      <w:r>
        <w:t xml:space="preserve">. </w:t>
      </w:r>
      <w:r w:rsidRPr="00157237">
        <w:t>Arguably, “there will always be multiple . . . factual causes of a harm, although most will not be of significance for tort law and many will be unidentified." Restatement of Torts (Third) §</w:t>
      </w:r>
      <w:r>
        <w:t> </w:t>
      </w:r>
      <w:r w:rsidRPr="00157237">
        <w:t>26 comment c</w:t>
      </w:r>
      <w:r w:rsidRPr="006A009B">
        <w:rPr>
          <w:szCs w:val="22"/>
        </w:rPr>
        <w:t xml:space="preserve">, quoted in </w:t>
      </w:r>
      <w:r w:rsidRPr="006A009B">
        <w:rPr>
          <w:i/>
          <w:szCs w:val="22"/>
        </w:rPr>
        <w:t>Doull</w:t>
      </w:r>
      <w:r w:rsidRPr="006A009B">
        <w:rPr>
          <w:szCs w:val="22"/>
        </w:rPr>
        <w:t xml:space="preserve">, </w:t>
      </w:r>
      <w:r>
        <w:rPr>
          <w:szCs w:val="22"/>
        </w:rPr>
        <w:t>487 Mass. at</w:t>
      </w:r>
      <w:r w:rsidRPr="006A009B">
        <w:rPr>
          <w:szCs w:val="22"/>
        </w:rPr>
        <w:t xml:space="preserve"> </w:t>
      </w:r>
      <w:r>
        <w:rPr>
          <w:szCs w:val="22"/>
        </w:rPr>
        <w:t>12</w:t>
      </w:r>
      <w:r w:rsidRPr="006A009B">
        <w:rPr>
          <w:szCs w:val="22"/>
        </w:rPr>
        <w:t>, which also cited</w:t>
      </w:r>
      <w:r w:rsidRPr="00157237">
        <w:t xml:space="preserve"> </w:t>
      </w:r>
      <w:r w:rsidRPr="00157237">
        <w:rPr>
          <w:i/>
        </w:rPr>
        <w:t>June v. Union Carbide Corp</w:t>
      </w:r>
      <w:r w:rsidRPr="00157237">
        <w:t>., 577 F.3d 1234, 1242 (10th Cir. 2009) ("A number of factors [often innocent] generally must coexist for a tortfeasor's conduct to result in injury to the plaintiff. . . . That there are many factors does not mean that the defendant's conduct was not a cause"). Multiple causes appear in many commonly-litigated negligence cases, including those alleging comparative negligence, cases alleging independent negligence by multiple defendants (not based on vicarious liability</w:t>
      </w:r>
      <w:r w:rsidRPr="006A009B">
        <w:rPr>
          <w:szCs w:val="22"/>
        </w:rPr>
        <w:t>)</w:t>
      </w:r>
      <w:r>
        <w:rPr>
          <w:szCs w:val="22"/>
        </w:rPr>
        <w:t>,</w:t>
      </w:r>
      <w:r w:rsidRPr="00157237">
        <w:t xml:space="preserve"> and cases involving environmental or organic causes, such as medical malpractice cases where an organic condition is a necessary cause of the death or injury. </w:t>
      </w:r>
    </w:p>
    <w:p w14:paraId="0B666505" w14:textId="77777777" w:rsidR="00AC0CF8" w:rsidRPr="006A009B" w:rsidRDefault="00AC0CF8" w:rsidP="00AC0CF8">
      <w:pPr>
        <w:pStyle w:val="FootnoteText"/>
        <w:ind w:left="630" w:hanging="360"/>
      </w:pPr>
      <w:r w:rsidRPr="006A009B">
        <w:rPr>
          <w:i/>
        </w:rPr>
        <w:t>Doull</w:t>
      </w:r>
      <w:r w:rsidRPr="006A009B">
        <w:t xml:space="preserve"> quoted further from the Restatement on the multiple cause issue:</w:t>
      </w:r>
    </w:p>
    <w:p w14:paraId="723E190D" w14:textId="77777777" w:rsidR="00AC0CF8" w:rsidRDefault="00AC0CF8" w:rsidP="00AC0CF8">
      <w:pPr>
        <w:pStyle w:val="FootnoteText"/>
        <w:ind w:left="630" w:firstLine="0"/>
      </w:pPr>
      <w:r w:rsidRPr="006A009B">
        <w:t>In fact, there is no limit on how many factual causes there can be of a harm</w:t>
      </w:r>
      <w:r>
        <w:t xml:space="preserve">. </w:t>
      </w:r>
      <w:r w:rsidRPr="006A009B">
        <w:t>. . .The focus instead remains only on whether, in the absence of a defendant's conduct, the harm would have still occurred. See [Restatement (Third</w:t>
      </w:r>
      <w:r>
        <w:t>)</w:t>
      </w:r>
      <w:r w:rsidRPr="006A009B">
        <w:t xml:space="preserve"> § 26 comment c] ("The existence of other causes of the harm does not affect whether specified tortious conduct was a necessary condition for the harm to occur"). This is not a high bar. See </w:t>
      </w:r>
      <w:r w:rsidRPr="006A009B">
        <w:rPr>
          <w:i/>
        </w:rPr>
        <w:t>id</w:t>
      </w:r>
      <w:r w:rsidRPr="006A009B">
        <w:t xml:space="preserve">. at § 26 comment i ("Quite often, each of the alleged acts or omissions is a cause of the harm, i.e., in the absence of any one, the harm would not have occurred"). And acknowledging the potential for multiple but-for causes "obviates any need for substantial factor as a test for causation." Reporters' Note to Restatement (Third) § 26 comment j. </w:t>
      </w:r>
    </w:p>
    <w:p w14:paraId="5353F651" w14:textId="77777777" w:rsidR="00AC0CF8" w:rsidRPr="00157237" w:rsidRDefault="00AC0CF8" w:rsidP="00AC0CF8">
      <w:pPr>
        <w:pStyle w:val="FootnoteText"/>
        <w:spacing w:before="0"/>
        <w:ind w:left="576"/>
        <w:rPr>
          <w:rFonts w:ascii="Times New Roman" w:hAnsi="Times New Roman"/>
        </w:rPr>
      </w:pPr>
      <w:r w:rsidRPr="00C21C16">
        <w:rPr>
          <w:i/>
          <w:iCs/>
        </w:rPr>
        <w:t>Doull</w:t>
      </w:r>
      <w:r>
        <w:t>, 487 Mass. at 12-13.</w:t>
      </w:r>
    </w:p>
  </w:footnote>
  <w:footnote w:id="22">
    <w:p w14:paraId="571D5F29" w14:textId="77777777" w:rsidR="00AC0CF8" w:rsidRPr="007144A1" w:rsidRDefault="00AC0CF8" w:rsidP="00AC0CF8">
      <w:pPr>
        <w:pStyle w:val="FootnoteText"/>
      </w:pPr>
      <w:r w:rsidRPr="00A3583E">
        <w:rPr>
          <w:rStyle w:val="FootnoteReference"/>
          <w:rFonts w:cs="Segoe UI Historic"/>
        </w:rPr>
        <w:footnoteRef/>
      </w:r>
      <w:r w:rsidRPr="00A3583E">
        <w:t xml:space="preserve"> </w:t>
      </w:r>
      <w:r>
        <w:tab/>
      </w:r>
      <w:proofErr w:type="spellStart"/>
      <w:r w:rsidRPr="007144A1">
        <w:rPr>
          <w:i/>
          <w:iCs/>
        </w:rPr>
        <w:t>Zaleskas</w:t>
      </w:r>
      <w:proofErr w:type="spellEnd"/>
      <w:r w:rsidRPr="007144A1">
        <w:rPr>
          <w:i/>
          <w:iCs/>
        </w:rPr>
        <w:t xml:space="preserve"> </w:t>
      </w:r>
      <w:r w:rsidRPr="007144A1">
        <w:t xml:space="preserve">v. </w:t>
      </w:r>
      <w:r w:rsidRPr="007144A1">
        <w:rPr>
          <w:i/>
          <w:iCs/>
        </w:rPr>
        <w:t>Brigham &amp; Women's Hosp.,</w:t>
      </w:r>
      <w:r w:rsidRPr="007144A1">
        <w:t xml:space="preserve"> 97 Mass. App. Ct. 55, 70 (2020) (“if the causation question involves questions of medical science or technology, the jury requires the assistance of expert testimony”). Cf. </w:t>
      </w:r>
      <w:r w:rsidRPr="005F5EB6">
        <w:rPr>
          <w:i/>
          <w:iCs/>
        </w:rPr>
        <w:t>Pitts</w:t>
      </w:r>
      <w:r w:rsidRPr="007144A1">
        <w:t>, 82 Mass. App. Ct. at 290 (“No expert testimony is necessary for lay jurors to appreciate that allowing a nursing home patient to fall to the floor could cause a broken bone”).</w:t>
      </w:r>
    </w:p>
  </w:footnote>
  <w:footnote w:id="23">
    <w:p w14:paraId="5A61FFC6" w14:textId="7B3818A9" w:rsidR="00EF6245" w:rsidRDefault="00EF6245" w:rsidP="00EF6245">
      <w:pPr>
        <w:pStyle w:val="FootnoteText"/>
        <w:rPr>
          <w:rFonts w:cs="Segoe UI Historic"/>
          <w:szCs w:val="22"/>
        </w:rPr>
      </w:pPr>
      <w:r>
        <w:rPr>
          <w:rStyle w:val="FootnoteReference"/>
        </w:rPr>
        <w:footnoteRef/>
      </w:r>
      <w:r>
        <w:t xml:space="preserve"> </w:t>
      </w:r>
      <w:r>
        <w:tab/>
      </w:r>
      <w:r w:rsidRPr="00043CF8">
        <w:rPr>
          <w:szCs w:val="22"/>
        </w:rPr>
        <w:t xml:space="preserve">When proper notice </w:t>
      </w:r>
      <w:r>
        <w:rPr>
          <w:szCs w:val="22"/>
        </w:rPr>
        <w:t xml:space="preserve">and certification </w:t>
      </w:r>
      <w:r w:rsidRPr="00043CF8">
        <w:rPr>
          <w:szCs w:val="22"/>
        </w:rPr>
        <w:t>provisions are met</w:t>
      </w:r>
      <w:r>
        <w:rPr>
          <w:szCs w:val="22"/>
        </w:rPr>
        <w:t>,</w:t>
      </w:r>
      <w:r w:rsidRPr="00043CF8">
        <w:rPr>
          <w:szCs w:val="22"/>
        </w:rPr>
        <w:t xml:space="preserve"> “</w:t>
      </w:r>
      <w:r>
        <w:rPr>
          <w:szCs w:val="22"/>
        </w:rPr>
        <w:t xml:space="preserve">hospital medical records … or </w:t>
      </w:r>
      <w:r w:rsidRPr="00043CF8">
        <w:rPr>
          <w:szCs w:val="22"/>
        </w:rPr>
        <w:t>any report of any examination of said injured person</w:t>
      </w:r>
      <w:r>
        <w:rPr>
          <w:szCs w:val="22"/>
        </w:rPr>
        <w:t xml:space="preserve"> …</w:t>
      </w:r>
      <w:r w:rsidRPr="00043CF8">
        <w:rPr>
          <w:szCs w:val="22"/>
        </w:rPr>
        <w:t xml:space="preserve"> shall be admissible as evidence of the . . . diagnosis of said physician </w:t>
      </w:r>
      <w:r>
        <w:rPr>
          <w:szCs w:val="22"/>
        </w:rPr>
        <w:t>…</w:t>
      </w:r>
      <w:r w:rsidRPr="00043CF8">
        <w:rPr>
          <w:szCs w:val="22"/>
        </w:rPr>
        <w:t xml:space="preserve"> , the prognosis of such physician </w:t>
      </w:r>
      <w:r>
        <w:rPr>
          <w:szCs w:val="22"/>
        </w:rPr>
        <w:t>…</w:t>
      </w:r>
      <w:r w:rsidRPr="00043CF8">
        <w:rPr>
          <w:szCs w:val="22"/>
        </w:rPr>
        <w:t xml:space="preserve"> , </w:t>
      </w:r>
      <w:r w:rsidRPr="000A5272">
        <w:rPr>
          <w:szCs w:val="22"/>
        </w:rPr>
        <w:t xml:space="preserve">the opinion of such physician </w:t>
      </w:r>
      <w:r>
        <w:rPr>
          <w:szCs w:val="22"/>
        </w:rPr>
        <w:t>…</w:t>
      </w:r>
      <w:r w:rsidRPr="000A5272">
        <w:rPr>
          <w:szCs w:val="22"/>
        </w:rPr>
        <w:t xml:space="preserve"> as to proximate cause of the condition so diagnosed</w:t>
      </w:r>
      <w:r>
        <w:rPr>
          <w:rFonts w:cs="Segoe UI Historic"/>
          <w:szCs w:val="22"/>
        </w:rPr>
        <w:t>….</w:t>
      </w:r>
      <w:r w:rsidRPr="009F4895">
        <w:rPr>
          <w:rFonts w:cs="Segoe UI Historic"/>
          <w:szCs w:val="22"/>
        </w:rPr>
        <w:t>” G. L. c. 233, § 79G</w:t>
      </w:r>
      <w:r>
        <w:rPr>
          <w:rFonts w:cs="Segoe UI Historic"/>
          <w:szCs w:val="22"/>
        </w:rPr>
        <w:t>.</w:t>
      </w:r>
    </w:p>
    <w:p w14:paraId="7B384F97" w14:textId="3216F3EC" w:rsidR="00EF6245" w:rsidRDefault="00EF6245" w:rsidP="00EF6245">
      <w:pPr>
        <w:pStyle w:val="FootnoteText"/>
      </w:pPr>
      <w:r>
        <w:tab/>
        <w:t xml:space="preserve">G. L. c. 233, § 79 provides for the admissibility of hospital and clinic records related to treatment and medical history. </w:t>
      </w:r>
      <w:r w:rsidRPr="009F4895">
        <w:t xml:space="preserve">See also </w:t>
      </w:r>
      <w:r w:rsidRPr="00B76E83">
        <w:rPr>
          <w:rFonts w:eastAsia="Times New Roman"/>
          <w:i/>
          <w:iCs/>
          <w:bdr w:val="none" w:sz="0" w:space="0" w:color="auto" w:frame="1"/>
        </w:rPr>
        <w:t>Commonwealth</w:t>
      </w:r>
      <w:r w:rsidRPr="00B76E83">
        <w:rPr>
          <w:rFonts w:eastAsia="Times New Roman"/>
          <w:bdr w:val="none" w:sz="0" w:space="0" w:color="auto" w:frame="1"/>
        </w:rPr>
        <w:t xml:space="preserve"> v. </w:t>
      </w:r>
      <w:r w:rsidRPr="00B76E83">
        <w:rPr>
          <w:rFonts w:eastAsia="Times New Roman"/>
          <w:i/>
          <w:iCs/>
          <w:bdr w:val="none" w:sz="0" w:space="0" w:color="auto" w:frame="1"/>
        </w:rPr>
        <w:t>Torres</w:t>
      </w:r>
      <w:r w:rsidRPr="00B76E83">
        <w:rPr>
          <w:rFonts w:eastAsia="Times New Roman"/>
          <w:bdr w:val="none" w:sz="0" w:space="0" w:color="auto" w:frame="1"/>
        </w:rPr>
        <w:t xml:space="preserve">, 479 Mass. 641, 653-654 (2018) </w:t>
      </w:r>
      <w:r>
        <w:rPr>
          <w:rFonts w:eastAsia="Times New Roman"/>
          <w:bdr w:val="none" w:sz="0" w:space="0" w:color="auto" w:frame="1"/>
        </w:rPr>
        <w:t>(</w:t>
      </w:r>
      <w:r w:rsidRPr="00B76E83">
        <w:rPr>
          <w:rFonts w:eastAsia="Times New Roman"/>
          <w:bdr w:val="none" w:sz="0" w:space="0" w:color="auto" w:frame="1"/>
        </w:rPr>
        <w:t>information that has some bearing on liability</w:t>
      </w:r>
      <w:r>
        <w:rPr>
          <w:rFonts w:eastAsia="Times New Roman"/>
          <w:bdr w:val="none" w:sz="0" w:space="0" w:color="auto" w:frame="1"/>
        </w:rPr>
        <w:t xml:space="preserve">, which is </w:t>
      </w:r>
      <w:r w:rsidRPr="00B76E83">
        <w:rPr>
          <w:rFonts w:eastAsia="Times New Roman"/>
          <w:bdr w:val="none" w:sz="0" w:space="0" w:color="auto" w:frame="1"/>
        </w:rPr>
        <w:t>contained in the medical records but is primarily for the purpose of medical diagnosis and treatment</w:t>
      </w:r>
      <w:r>
        <w:rPr>
          <w:rFonts w:eastAsia="Times New Roman"/>
          <w:bdr w:val="none" w:sz="0" w:space="0" w:color="auto" w:frame="1"/>
        </w:rPr>
        <w:t>, may be properly admitted in evidence)</w:t>
      </w:r>
      <w:r w:rsidRPr="00B76E83">
        <w:rPr>
          <w:rFonts w:eastAsia="Times New Roman"/>
          <w:bdr w:val="none" w:sz="0" w:space="0" w:color="auto" w:frame="1"/>
        </w:rPr>
        <w:t>.</w:t>
      </w:r>
    </w:p>
  </w:footnote>
  <w:footnote w:id="24">
    <w:p w14:paraId="1CD88AA7" w14:textId="7EA6E63E" w:rsidR="00AC0CF8" w:rsidRPr="00A007DB" w:rsidRDefault="00AC0CF8" w:rsidP="00AC0CF8">
      <w:pPr>
        <w:pStyle w:val="FootnoteText"/>
      </w:pPr>
      <w:r>
        <w:rPr>
          <w:rStyle w:val="FootnoteReference"/>
        </w:rPr>
        <w:footnoteRef/>
      </w:r>
      <w:r>
        <w:t xml:space="preserve"> </w:t>
      </w:r>
      <w:r w:rsidRPr="00A007DB">
        <w:tab/>
        <w:t xml:space="preserve">In </w:t>
      </w:r>
      <w:r w:rsidRPr="00A007DB">
        <w:rPr>
          <w:i/>
          <w:iCs/>
        </w:rPr>
        <w:t xml:space="preserve">Doull </w:t>
      </w:r>
      <w:r w:rsidRPr="00A007DB">
        <w:t xml:space="preserve">v. </w:t>
      </w:r>
      <w:r w:rsidRPr="00A007DB">
        <w:rPr>
          <w:i/>
          <w:iCs/>
        </w:rPr>
        <w:t>Foster,</w:t>
      </w:r>
      <w:r w:rsidRPr="00A007DB">
        <w:t xml:space="preserve"> 487 Mass. 1, 8 (2021), the court noted:</w:t>
      </w:r>
    </w:p>
    <w:p w14:paraId="3A4BEB94" w14:textId="77777777" w:rsidR="00AC0CF8" w:rsidRPr="00A007DB" w:rsidRDefault="00AC0CF8" w:rsidP="00EF6245">
      <w:pPr>
        <w:pStyle w:val="FootnoteText"/>
        <w:ind w:left="432" w:firstLine="0"/>
      </w:pPr>
      <w:r w:rsidRPr="00A007DB">
        <w:t xml:space="preserve">Additionally, for the defendant to be liable, the defendant must also have been a legal cause of the harm. This means that the harm must have been “within the scope of the foreseeable risk arising from the negligent conduct.” </w:t>
      </w:r>
      <w:r w:rsidRPr="00A007DB">
        <w:rPr>
          <w:i/>
          <w:iCs/>
        </w:rPr>
        <w:t>Leavitt,</w:t>
      </w:r>
      <w:r w:rsidRPr="00A007DB">
        <w:t xml:space="preserve"> 454 Mass. at 45. This aspect of causation is “based on considerations of policy and pragmatic judgment.” </w:t>
      </w:r>
      <w:r w:rsidRPr="00A007DB">
        <w:rPr>
          <w:i/>
          <w:iCs/>
        </w:rPr>
        <w:t>Kent</w:t>
      </w:r>
      <w:r w:rsidRPr="00A007DB">
        <w:t xml:space="preserve">, 437 Mass. at 320–321, quoting </w:t>
      </w:r>
      <w:proofErr w:type="spellStart"/>
      <w:r w:rsidRPr="00A007DB">
        <w:rPr>
          <w:i/>
          <w:iCs/>
        </w:rPr>
        <w:t>Poskus</w:t>
      </w:r>
      <w:proofErr w:type="spellEnd"/>
      <w:r w:rsidRPr="00A007DB">
        <w:rPr>
          <w:i/>
          <w:iCs/>
        </w:rPr>
        <w:t xml:space="preserve"> </w:t>
      </w:r>
      <w:r w:rsidRPr="00A007DB">
        <w:t xml:space="preserve">v. </w:t>
      </w:r>
      <w:r w:rsidRPr="00A007DB">
        <w:rPr>
          <w:i/>
          <w:iCs/>
        </w:rPr>
        <w:t>Lombardo's of Randolph, Inc.,</w:t>
      </w:r>
      <w:r w:rsidRPr="00A007DB">
        <w:t xml:space="preserve"> 423 Mass. 637, 640 (1996).</w:t>
      </w:r>
    </w:p>
  </w:footnote>
  <w:footnote w:id="25">
    <w:p w14:paraId="0D996E7A" w14:textId="77777777" w:rsidR="00AC0CF8" w:rsidRPr="00A007DB" w:rsidRDefault="00AC0CF8" w:rsidP="00AC0CF8">
      <w:pPr>
        <w:pStyle w:val="FootnoteText"/>
      </w:pPr>
      <w:r w:rsidRPr="00157237">
        <w:rPr>
          <w:rStyle w:val="FootnoteReference"/>
          <w:rFonts w:ascii="Times New Roman" w:hAnsi="Times New Roman"/>
        </w:rPr>
        <w:footnoteRef/>
      </w:r>
      <w:r w:rsidRPr="00157237">
        <w:rPr>
          <w:rFonts w:ascii="Times New Roman" w:hAnsi="Times New Roman"/>
        </w:rPr>
        <w:t xml:space="preserve"> </w:t>
      </w:r>
      <w:r>
        <w:rPr>
          <w:rFonts w:ascii="Times New Roman" w:hAnsi="Times New Roman"/>
        </w:rPr>
        <w:tab/>
      </w:r>
      <w:r w:rsidRPr="00A007DB">
        <w:t>As noted above, n.</w:t>
      </w:r>
      <w:r>
        <w:t xml:space="preserve"> </w:t>
      </w:r>
      <w:r w:rsidRPr="00A007DB">
        <w:t>2, this instruction uses the word “predictable” but the judge may decide to use the more technical term “foreseeable.”</w:t>
      </w:r>
    </w:p>
  </w:footnote>
  <w:footnote w:id="26">
    <w:p w14:paraId="42F55FB8" w14:textId="77777777" w:rsidR="0003668A" w:rsidRDefault="0003668A" w:rsidP="0003668A">
      <w:pPr>
        <w:pStyle w:val="FootnoteText"/>
        <w:rPr>
          <w:rFonts w:ascii="Quattrocento Sans" w:eastAsia="Quattrocento Sans" w:hAnsi="Quattrocento Sans" w:cs="Quattrocento Sans"/>
          <w:color w:val="000000"/>
          <w:szCs w:val="22"/>
        </w:rPr>
      </w:pPr>
      <w:r>
        <w:rPr>
          <w:rStyle w:val="FootnoteReference"/>
        </w:rPr>
        <w:footnoteRef/>
      </w:r>
      <w:r>
        <w:rPr>
          <w:rFonts w:ascii="Quattrocento Sans" w:hAnsi="Quattrocento Sans" w:cs="Quattrocento Sans"/>
        </w:rPr>
        <w:t xml:space="preserve"> </w:t>
      </w:r>
      <w:r>
        <w:rPr>
          <w:rFonts w:ascii="Quattrocento Sans" w:hAnsi="Quattrocento Sans" w:cs="Quattrocento Sans"/>
        </w:rPr>
        <w:tab/>
      </w:r>
      <w:r w:rsidRPr="00B93949">
        <w:t>This instruction reflects a conscious choice to avoid the traditional phrase “ordinary prudent person</w:t>
      </w:r>
      <w:r>
        <w:t>,</w:t>
      </w:r>
      <w:r w:rsidRPr="00B93949">
        <w:t>” because the rarely-used word, “prudent,” may strike some jurors as peculiar, unhelpful or distracting. Following the case law, some judges may prefer to say: “The law requires a [company] [person] to act as an ordinary prudent person would act in the circumstances to avoid foreseeable injury.” See, e.g.</w:t>
      </w:r>
      <w:r>
        <w:t>,</w:t>
      </w:r>
      <w:r w:rsidRPr="00B93949">
        <w:t xml:space="preserve"> </w:t>
      </w:r>
      <w:r w:rsidRPr="0033592F">
        <w:rPr>
          <w:i/>
        </w:rPr>
        <w:t xml:space="preserve">Sheehan </w:t>
      </w:r>
      <w:r w:rsidRPr="0033592F">
        <w:rPr>
          <w:iCs/>
        </w:rPr>
        <w:t xml:space="preserve">v. </w:t>
      </w:r>
      <w:r w:rsidRPr="0033592F">
        <w:rPr>
          <w:i/>
        </w:rPr>
        <w:t>Roche Bros. Supermarkets</w:t>
      </w:r>
      <w:r w:rsidRPr="00B93949">
        <w:t>, 448 Mass. 780, 790-7</w:t>
      </w:r>
      <w:r>
        <w:t>92</w:t>
      </w:r>
      <w:r w:rsidRPr="00B93949">
        <w:t xml:space="preserve"> (2007) (“an ordinarily prudent person in the defendant's position”) (citation omitted); </w:t>
      </w:r>
      <w:proofErr w:type="spellStart"/>
      <w:r w:rsidRPr="0033592F">
        <w:rPr>
          <w:i/>
        </w:rPr>
        <w:t>Toubiana</w:t>
      </w:r>
      <w:proofErr w:type="spellEnd"/>
      <w:r w:rsidRPr="0033592F">
        <w:rPr>
          <w:i/>
        </w:rPr>
        <w:t xml:space="preserve"> </w:t>
      </w:r>
      <w:r w:rsidRPr="0033592F">
        <w:rPr>
          <w:iCs/>
        </w:rPr>
        <w:t>v.</w:t>
      </w:r>
      <w:r w:rsidRPr="0033592F">
        <w:rPr>
          <w:i/>
        </w:rPr>
        <w:t xml:space="preserve"> Priestly</w:t>
      </w:r>
      <w:r w:rsidRPr="00B93949">
        <w:t>, 402 Mass. 84, 88 (1988) (“Ordinarily, where a duty of care is established by law, the standard by which a party</w:t>
      </w:r>
      <w:r>
        <w:t>’</w:t>
      </w:r>
      <w:r w:rsidRPr="00B93949">
        <w:t>s performance is measured is the conduct expected of an ordinarily prudent person in similar circumstances.”).</w:t>
      </w:r>
      <w:r>
        <w:t xml:space="preserve"> </w:t>
      </w:r>
      <w:r w:rsidRPr="00B93949">
        <w:t>If so, corresponding changes will be necessary throughout this instruction.</w:t>
      </w:r>
    </w:p>
  </w:footnote>
  <w:footnote w:id="27">
    <w:p w14:paraId="6E0C2EB4" w14:textId="5656CFEB" w:rsidR="00891F37" w:rsidRDefault="00891F37">
      <w:pPr>
        <w:pStyle w:val="FootnoteText"/>
      </w:pPr>
      <w:r>
        <w:rPr>
          <w:rStyle w:val="FootnoteReference"/>
        </w:rPr>
        <w:footnoteRef/>
      </w:r>
      <w:r>
        <w:t xml:space="preserve"> </w:t>
      </w:r>
      <w:r>
        <w:tab/>
        <w:t>G.L. c. 231, § 60F.</w:t>
      </w:r>
    </w:p>
  </w:footnote>
  <w:footnote w:id="28">
    <w:p w14:paraId="522FEC67" w14:textId="77777777" w:rsidR="00AC0CF8" w:rsidRPr="007144A1" w:rsidRDefault="00AC0CF8" w:rsidP="00AC0CF8">
      <w:pPr>
        <w:pStyle w:val="FootnoteText"/>
      </w:pPr>
      <w:r w:rsidRPr="007144A1">
        <w:rPr>
          <w:rStyle w:val="FootnoteReference"/>
          <w:bCs/>
        </w:rPr>
        <w:footnoteRef/>
      </w:r>
      <w:r w:rsidRPr="007144A1">
        <w:t xml:space="preserve"> </w:t>
      </w:r>
      <w:r w:rsidRPr="007144A1">
        <w:rPr>
          <w:i/>
          <w:iCs/>
        </w:rPr>
        <w:t>Wallace</w:t>
      </w:r>
      <w:r w:rsidRPr="007144A1">
        <w:t xml:space="preserve"> v. </w:t>
      </w:r>
      <w:r w:rsidRPr="007144A1">
        <w:rPr>
          <w:i/>
          <w:iCs/>
        </w:rPr>
        <w:t>Ludwig,</w:t>
      </w:r>
      <w:r w:rsidRPr="007144A1">
        <w:t xml:space="preserve"> 229 Mass. 251, 254-256 (1935); </w:t>
      </w:r>
      <w:r w:rsidRPr="007144A1">
        <w:rPr>
          <w:i/>
          <w:iCs/>
        </w:rPr>
        <w:t>Higgins</w:t>
      </w:r>
      <w:r w:rsidRPr="007144A1">
        <w:t xml:space="preserve"> v. </w:t>
      </w:r>
      <w:r w:rsidRPr="007144A1">
        <w:rPr>
          <w:i/>
          <w:iCs/>
        </w:rPr>
        <w:t>Delta Elevator Service, Corp.,</w:t>
      </w:r>
      <w:r w:rsidRPr="007144A1">
        <w:t xml:space="preserve"> 45 Mass. App. Ct. 643, 649 (1998).</w:t>
      </w:r>
    </w:p>
  </w:footnote>
  <w:footnote w:id="29">
    <w:p w14:paraId="138CFA19" w14:textId="77777777" w:rsidR="00AC0CF8" w:rsidRPr="007144A1" w:rsidRDefault="00AC0CF8" w:rsidP="00AC0CF8">
      <w:pPr>
        <w:pStyle w:val="FootnoteText"/>
      </w:pPr>
      <w:r>
        <w:rPr>
          <w:rStyle w:val="FootnoteReference"/>
        </w:rPr>
        <w:footnoteRef/>
      </w:r>
      <w:r>
        <w:t xml:space="preserve"> </w:t>
      </w:r>
      <w:r>
        <w:tab/>
      </w:r>
      <w:r w:rsidRPr="007144A1">
        <w:rPr>
          <w:i/>
          <w:iCs/>
        </w:rPr>
        <w:t>Weinberg</w:t>
      </w:r>
      <w:r w:rsidRPr="007144A1">
        <w:t xml:space="preserve"> v. </w:t>
      </w:r>
      <w:r w:rsidRPr="007144A1">
        <w:rPr>
          <w:i/>
          <w:iCs/>
        </w:rPr>
        <w:t>Massachusetts Bay Transp. Auth.,</w:t>
      </w:r>
      <w:r w:rsidRPr="007144A1">
        <w:t xml:space="preserve"> 348 Mass. 669, 670-671 (1965).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38EB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56F8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5E70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8849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1E9F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E07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E62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76E9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26C4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0B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641734147">
    <w:abstractNumId w:val="12"/>
  </w:num>
  <w:num w:numId="2" w16cid:durableId="1443694417">
    <w:abstractNumId w:val="11"/>
  </w:num>
  <w:num w:numId="3" w16cid:durableId="475604476">
    <w:abstractNumId w:val="0"/>
  </w:num>
  <w:num w:numId="4" w16cid:durableId="1614706935">
    <w:abstractNumId w:val="1"/>
  </w:num>
  <w:num w:numId="5" w16cid:durableId="83841251">
    <w:abstractNumId w:val="2"/>
  </w:num>
  <w:num w:numId="6" w16cid:durableId="1897817839">
    <w:abstractNumId w:val="3"/>
  </w:num>
  <w:num w:numId="7" w16cid:durableId="1955403904">
    <w:abstractNumId w:val="8"/>
  </w:num>
  <w:num w:numId="8" w16cid:durableId="1766224988">
    <w:abstractNumId w:val="4"/>
  </w:num>
  <w:num w:numId="9" w16cid:durableId="1205676336">
    <w:abstractNumId w:val="5"/>
  </w:num>
  <w:num w:numId="10" w16cid:durableId="416559447">
    <w:abstractNumId w:val="6"/>
  </w:num>
  <w:num w:numId="11" w16cid:durableId="1152721655">
    <w:abstractNumId w:val="7"/>
  </w:num>
  <w:num w:numId="12" w16cid:durableId="1322923136">
    <w:abstractNumId w:val="9"/>
  </w:num>
  <w:num w:numId="13" w16cid:durableId="1990402285">
    <w:abstractNumId w:val="11"/>
  </w:num>
  <w:num w:numId="14" w16cid:durableId="1373262509">
    <w:abstractNumId w:val="10"/>
  </w:num>
  <w:num w:numId="15" w16cid:durableId="10742910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668A"/>
    <w:rsid w:val="00037245"/>
    <w:rsid w:val="00077A68"/>
    <w:rsid w:val="000A0FFE"/>
    <w:rsid w:val="000B7B9E"/>
    <w:rsid w:val="000D5051"/>
    <w:rsid w:val="000D70C6"/>
    <w:rsid w:val="000E7622"/>
    <w:rsid w:val="0010739E"/>
    <w:rsid w:val="00122DBD"/>
    <w:rsid w:val="00130F23"/>
    <w:rsid w:val="0017397B"/>
    <w:rsid w:val="001B7748"/>
    <w:rsid w:val="001C5FA5"/>
    <w:rsid w:val="001D701D"/>
    <w:rsid w:val="001E2162"/>
    <w:rsid w:val="001F2ADE"/>
    <w:rsid w:val="00200BBC"/>
    <w:rsid w:val="00213FDB"/>
    <w:rsid w:val="00221552"/>
    <w:rsid w:val="00257345"/>
    <w:rsid w:val="00294F89"/>
    <w:rsid w:val="002A2C60"/>
    <w:rsid w:val="002E3F8E"/>
    <w:rsid w:val="002E4F66"/>
    <w:rsid w:val="00303039"/>
    <w:rsid w:val="00420329"/>
    <w:rsid w:val="004325D5"/>
    <w:rsid w:val="00476FC7"/>
    <w:rsid w:val="004848CB"/>
    <w:rsid w:val="004A3BE2"/>
    <w:rsid w:val="00516C98"/>
    <w:rsid w:val="005446C0"/>
    <w:rsid w:val="00550249"/>
    <w:rsid w:val="005837CF"/>
    <w:rsid w:val="00594672"/>
    <w:rsid w:val="00596E5A"/>
    <w:rsid w:val="005B1318"/>
    <w:rsid w:val="005E24AD"/>
    <w:rsid w:val="00667EC7"/>
    <w:rsid w:val="00676B44"/>
    <w:rsid w:val="006F143E"/>
    <w:rsid w:val="007B3245"/>
    <w:rsid w:val="007E7B77"/>
    <w:rsid w:val="00834E34"/>
    <w:rsid w:val="00863B75"/>
    <w:rsid w:val="008733AA"/>
    <w:rsid w:val="00873548"/>
    <w:rsid w:val="00880AA6"/>
    <w:rsid w:val="00891F37"/>
    <w:rsid w:val="0094500B"/>
    <w:rsid w:val="00960B42"/>
    <w:rsid w:val="0098173F"/>
    <w:rsid w:val="00992410"/>
    <w:rsid w:val="009A30C4"/>
    <w:rsid w:val="009B481F"/>
    <w:rsid w:val="009D0F13"/>
    <w:rsid w:val="00A046BD"/>
    <w:rsid w:val="00A05B86"/>
    <w:rsid w:val="00A07B0D"/>
    <w:rsid w:val="00A164C0"/>
    <w:rsid w:val="00A2789E"/>
    <w:rsid w:val="00A55E4E"/>
    <w:rsid w:val="00A56498"/>
    <w:rsid w:val="00A62DD5"/>
    <w:rsid w:val="00A76145"/>
    <w:rsid w:val="00A917A4"/>
    <w:rsid w:val="00A95EAD"/>
    <w:rsid w:val="00AC0CF8"/>
    <w:rsid w:val="00AF6831"/>
    <w:rsid w:val="00B02468"/>
    <w:rsid w:val="00B2579A"/>
    <w:rsid w:val="00B520AB"/>
    <w:rsid w:val="00B75859"/>
    <w:rsid w:val="00BD4F3E"/>
    <w:rsid w:val="00BE7335"/>
    <w:rsid w:val="00BF0717"/>
    <w:rsid w:val="00BF08B5"/>
    <w:rsid w:val="00C3692A"/>
    <w:rsid w:val="00C43AEF"/>
    <w:rsid w:val="00C5670C"/>
    <w:rsid w:val="00C57543"/>
    <w:rsid w:val="00CD7576"/>
    <w:rsid w:val="00D55E99"/>
    <w:rsid w:val="00D612DB"/>
    <w:rsid w:val="00D71FE5"/>
    <w:rsid w:val="00D849ED"/>
    <w:rsid w:val="00D8732A"/>
    <w:rsid w:val="00D9196F"/>
    <w:rsid w:val="00DB6604"/>
    <w:rsid w:val="00DC61A7"/>
    <w:rsid w:val="00E174B0"/>
    <w:rsid w:val="00EE0373"/>
    <w:rsid w:val="00EE1AAD"/>
    <w:rsid w:val="00EF6245"/>
    <w:rsid w:val="00F10AE9"/>
    <w:rsid w:val="00F11C6F"/>
    <w:rsid w:val="00F74A90"/>
    <w:rsid w:val="00F83046"/>
    <w:rsid w:val="00FD6881"/>
    <w:rsid w:val="00FF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Steven F Kreager</cp:lastModifiedBy>
  <cp:revision>2</cp:revision>
  <dcterms:created xsi:type="dcterms:W3CDTF">2025-03-11T14:31:00Z</dcterms:created>
  <dcterms:modified xsi:type="dcterms:W3CDTF">2025-03-11T14:31:00Z</dcterms:modified>
</cp:coreProperties>
</file>