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FE21" w14:textId="0E0A2393" w:rsidR="006254D4" w:rsidRPr="006254D4" w:rsidRDefault="006254D4" w:rsidP="006254D4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6664D9">
        <w:rPr>
          <w:i/>
          <w:iCs/>
          <w:sz w:val="24"/>
          <w:szCs w:val="24"/>
        </w:rPr>
        <w:t>October 25, 2022</w:t>
      </w:r>
    </w:p>
    <w:p w14:paraId="15C33E4E" w14:textId="4A21FAC1" w:rsidR="00BF08B5" w:rsidRDefault="006664D9" w:rsidP="00BF08B5">
      <w:pPr>
        <w:pStyle w:val="JuryInst2"/>
      </w:pPr>
      <w:r>
        <w:t>Prescriptive Easement</w:t>
      </w:r>
    </w:p>
    <w:p w14:paraId="36918DF7" w14:textId="77777777" w:rsidR="006664D9" w:rsidRDefault="006664D9" w:rsidP="006664D9">
      <w:pPr>
        <w:pStyle w:val="JuryInstructionText"/>
      </w:pPr>
      <w:r>
        <w:t xml:space="preserve">During this trial, you have heard the term “prescriptive easement.” </w:t>
      </w:r>
      <w:proofErr w:type="gramStart"/>
      <w:r>
        <w:t>In order to</w:t>
      </w:r>
      <w:proofErr w:type="gramEnd"/>
      <w:r>
        <w:t xml:space="preserve"> prove a prescriptive easement, PLF must show that, for a period of at least twenty uninterrupted years, the following things were more likely true than not true:</w:t>
      </w:r>
    </w:p>
    <w:p w14:paraId="09000C9C" w14:textId="66F31934" w:rsidR="006664D9" w:rsidRDefault="006664D9" w:rsidP="006664D9">
      <w:pPr>
        <w:pStyle w:val="JuryInstructionElements"/>
        <w:rPr>
          <w:b/>
        </w:rPr>
      </w:pPr>
      <w:r>
        <w:t>1.</w:t>
      </w:r>
      <w:r>
        <w:tab/>
        <w:t xml:space="preserve">PLF </w:t>
      </w:r>
      <w:proofErr w:type="gramStart"/>
      <w:r>
        <w:t>actually used</w:t>
      </w:r>
      <w:proofErr w:type="gramEnd"/>
      <w:r>
        <w:t xml:space="preserve"> the land for [identify specific purpose];</w:t>
      </w:r>
      <w:r>
        <w:rPr>
          <w:rStyle w:val="FootnoteReference"/>
          <w:rFonts w:cs="Segoe UI Historic"/>
        </w:rPr>
        <w:footnoteReference w:id="1"/>
      </w:r>
    </w:p>
    <w:p w14:paraId="61F061E9" w14:textId="4047AC17" w:rsidR="006664D9" w:rsidRDefault="006664D9" w:rsidP="006664D9">
      <w:pPr>
        <w:pStyle w:val="JuryInstructionElements"/>
        <w:rPr>
          <w:b/>
        </w:rPr>
      </w:pPr>
      <w:r>
        <w:t>2.</w:t>
      </w:r>
      <w:r>
        <w:tab/>
        <w:t>PLF openly and obviously used the land;</w:t>
      </w:r>
    </w:p>
    <w:p w14:paraId="5DE90C0C" w14:textId="046B00DC" w:rsidR="006664D9" w:rsidRDefault="006664D9" w:rsidP="006664D9">
      <w:pPr>
        <w:pStyle w:val="JuryInstructionElements"/>
        <w:rPr>
          <w:b/>
        </w:rPr>
      </w:pPr>
      <w:r>
        <w:t>3.</w:t>
      </w:r>
      <w:r>
        <w:tab/>
        <w:t xml:space="preserve">PLF used the land in a way that was </w:t>
      </w:r>
      <w:proofErr w:type="gramStart"/>
      <w:r>
        <w:t>adverse</w:t>
      </w:r>
      <w:proofErr w:type="gramEnd"/>
      <w:r>
        <w:t xml:space="preserve"> to the DFT; and</w:t>
      </w:r>
    </w:p>
    <w:p w14:paraId="5C2B95D1" w14:textId="3A79C9D2" w:rsidR="006664D9" w:rsidRPr="00200DD0" w:rsidRDefault="006664D9" w:rsidP="006664D9">
      <w:pPr>
        <w:pStyle w:val="JuryInstructionElements"/>
        <w:rPr>
          <w:b/>
        </w:rPr>
      </w:pPr>
      <w:r>
        <w:rPr>
          <w:rFonts w:eastAsia="Quattrocento Sans"/>
          <w:color w:val="000000"/>
        </w:rPr>
        <w:t>4</w:t>
      </w:r>
      <w:r w:rsidRPr="00200DD0">
        <w:rPr>
          <w:rFonts w:eastAsia="Quattrocento Sans"/>
          <w:color w:val="000000"/>
        </w:rPr>
        <w:t>.</w:t>
      </w:r>
      <w:r w:rsidRPr="00200DD0">
        <w:rPr>
          <w:rFonts w:eastAsia="Quattrocento Sans"/>
          <w:color w:val="000000"/>
        </w:rPr>
        <w:tab/>
        <w:t>DFT did not give PLF permission to use the land</w:t>
      </w:r>
      <w:r w:rsidRPr="00200DD0">
        <w:rPr>
          <w:rStyle w:val="Heading8Char"/>
          <w:rFonts w:eastAsia="Calibri" w:cs="Segoe UI Historic"/>
          <w:b w:val="0"/>
        </w:rPr>
        <w:t xml:space="preserve"> </w:t>
      </w:r>
      <w:r w:rsidRPr="00200DD0">
        <w:rPr>
          <w:rStyle w:val="FootnoteReference"/>
          <w:rFonts w:cs="Segoe UI Historic"/>
        </w:rPr>
        <w:footnoteReference w:id="2"/>
      </w:r>
    </w:p>
    <w:p w14:paraId="21F33DD6" w14:textId="059723A8" w:rsidR="00B75859" w:rsidRDefault="006664D9" w:rsidP="00B75859">
      <w:pPr>
        <w:pStyle w:val="JuryInstructionText"/>
      </w:pPr>
      <w:r>
        <w:t>PLF does not have to prove that [his/her/its] use of the property was exclusive or that [he/she/it] claimed a legal right to ownership.</w:t>
      </w:r>
      <w:r>
        <w:rPr>
          <w:rStyle w:val="FootnoteReference"/>
          <w:rFonts w:cs="Segoe UI Historic"/>
        </w:rPr>
        <w:footnoteReference w:id="3"/>
      </w:r>
    </w:p>
    <w:p w14:paraId="1FAC84F7" w14:textId="1CDB6210" w:rsidR="00505FBB" w:rsidRPr="00AB01C5" w:rsidRDefault="00505FBB" w:rsidP="00505FBB">
      <w:pPr>
        <w:pStyle w:val="JuryInstructionText"/>
      </w:pPr>
      <w:r w:rsidRPr="004E0788">
        <w:t xml:space="preserve">I will now explain to you what each of these </w:t>
      </w:r>
      <w:r>
        <w:t xml:space="preserve">four </w:t>
      </w:r>
      <w:r w:rsidRPr="004E0788">
        <w:t>things means.</w:t>
      </w:r>
    </w:p>
    <w:p w14:paraId="615EB280" w14:textId="30509AD3" w:rsidR="006664D9" w:rsidRPr="00505FBB" w:rsidRDefault="00505FBB" w:rsidP="006664D9">
      <w:pPr>
        <w:pStyle w:val="JuryInstructionText"/>
      </w:pPr>
      <w:r>
        <w:t>&lt;</w:t>
      </w:r>
      <w:r w:rsidR="0014209A">
        <w:rPr>
          <w:b/>
          <w:bCs/>
          <w:i/>
          <w:iCs/>
        </w:rPr>
        <w:t>F</w:t>
      </w:r>
      <w:r>
        <w:rPr>
          <w:b/>
          <w:bCs/>
          <w:i/>
          <w:iCs/>
        </w:rPr>
        <w:t xml:space="preserve">rom model instruction on Adverse Possession, </w:t>
      </w:r>
      <w:r w:rsidR="0014209A">
        <w:rPr>
          <w:b/>
          <w:bCs/>
          <w:i/>
          <w:iCs/>
        </w:rPr>
        <w:t xml:space="preserve">copy and insert </w:t>
      </w:r>
      <w:r>
        <w:rPr>
          <w:b/>
          <w:bCs/>
          <w:i/>
          <w:iCs/>
        </w:rPr>
        <w:t>instructions on actual use, open and obvious use, adverse use, and lack of permission</w:t>
      </w:r>
      <w:r>
        <w:t>&gt;</w:t>
      </w:r>
    </w:p>
    <w:sectPr w:rsidR="006664D9" w:rsidRPr="00505FBB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90D8" w14:textId="77777777" w:rsidR="00AE367A" w:rsidRDefault="00AE367A" w:rsidP="00F74A90">
      <w:r>
        <w:separator/>
      </w:r>
    </w:p>
  </w:endnote>
  <w:endnote w:type="continuationSeparator" w:id="0">
    <w:p w14:paraId="0D743064" w14:textId="77777777" w:rsidR="00AE367A" w:rsidRDefault="00AE367A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LT Std">
    <w:altName w:val="Times New Roman"/>
    <w:panose1 w:val="0000050000000002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BED" w14:textId="77777777" w:rsidR="00AE367A" w:rsidRDefault="00AE367A" w:rsidP="00F74A90">
      <w:r>
        <w:separator/>
      </w:r>
    </w:p>
  </w:footnote>
  <w:footnote w:type="continuationSeparator" w:id="0">
    <w:p w14:paraId="651A9F2F" w14:textId="77777777" w:rsidR="00AE367A" w:rsidRDefault="00AE367A" w:rsidP="00F74A90">
      <w:r>
        <w:continuationSeparator/>
      </w:r>
    </w:p>
  </w:footnote>
  <w:footnote w:id="1">
    <w:p w14:paraId="7C0D4A2F" w14:textId="250813EB" w:rsidR="006664D9" w:rsidRDefault="006664D9" w:rsidP="006664D9">
      <w:pPr>
        <w:pStyle w:val="FootnoteText"/>
      </w:pPr>
      <w:r>
        <w:rPr>
          <w:rStyle w:val="FootnoteReference"/>
        </w:rPr>
        <w:footnoteRef/>
      </w:r>
      <w:r>
        <w:tab/>
      </w:r>
      <w:r w:rsidRPr="005E5E24">
        <w:rPr>
          <w:i/>
        </w:rPr>
        <w:t>M.P.M. Builders</w:t>
      </w:r>
      <w:r>
        <w:t xml:space="preserve"> v. </w:t>
      </w:r>
      <w:r w:rsidRPr="005E5E24">
        <w:rPr>
          <w:i/>
        </w:rPr>
        <w:t>Dwyer</w:t>
      </w:r>
      <w:r>
        <w:t>, 442 Mass. 87, 92–93 (2004).</w:t>
      </w:r>
    </w:p>
  </w:footnote>
  <w:footnote w:id="2">
    <w:p w14:paraId="54AB6A37" w14:textId="0B9300A4" w:rsidR="006664D9" w:rsidRDefault="006664D9" w:rsidP="006664D9">
      <w:pPr>
        <w:pStyle w:val="FootnoteText"/>
      </w:pPr>
      <w:r>
        <w:rPr>
          <w:rStyle w:val="FootnoteReference"/>
          <w:rFonts w:cs="Segoe UI Historic"/>
        </w:rPr>
        <w:footnoteRef/>
      </w:r>
      <w:r>
        <w:rPr>
          <w:rFonts w:cs="Segoe UI Historic"/>
        </w:rPr>
        <w:t xml:space="preserve"> </w:t>
      </w:r>
      <w:r>
        <w:rPr>
          <w:rFonts w:cs="Segoe UI Historic"/>
        </w:rPr>
        <w:tab/>
      </w:r>
      <w:r>
        <w:rPr>
          <w:rFonts w:cs="Segoe UI Historic"/>
          <w:snapToGrid w:val="0"/>
        </w:rPr>
        <w:t xml:space="preserve">G.L. c. 187, § 2; </w:t>
      </w:r>
      <w:r>
        <w:rPr>
          <w:rFonts w:cs="Segoe UI Historic"/>
          <w:i/>
          <w:snapToGrid w:val="0"/>
        </w:rPr>
        <w:t>White v. Hartigan</w:t>
      </w:r>
      <w:r>
        <w:rPr>
          <w:rFonts w:cs="Segoe UI Historic"/>
          <w:snapToGrid w:val="0"/>
        </w:rPr>
        <w:t xml:space="preserve">, 464 Mass. 400, 413 (2013); </w:t>
      </w:r>
      <w:r>
        <w:rPr>
          <w:rFonts w:cs="Segoe UI Historic"/>
          <w:i/>
          <w:snapToGrid w:val="0"/>
        </w:rPr>
        <w:t>Ryan v. Stavros</w:t>
      </w:r>
      <w:r>
        <w:rPr>
          <w:rFonts w:cs="Segoe UI Historic"/>
          <w:snapToGrid w:val="0"/>
        </w:rPr>
        <w:t xml:space="preserve">, 348 Mass. 251, 263 (1964); </w:t>
      </w:r>
      <w:r>
        <w:rPr>
          <w:rFonts w:cs="Segoe UI Historic"/>
          <w:i/>
          <w:snapToGrid w:val="0"/>
        </w:rPr>
        <w:t>Holmes v. Johnson</w:t>
      </w:r>
      <w:r>
        <w:rPr>
          <w:rFonts w:cs="Segoe UI Historic"/>
          <w:snapToGrid w:val="0"/>
        </w:rPr>
        <w:t xml:space="preserve">, 324 Mass. 450, 453 (1949); </w:t>
      </w:r>
      <w:proofErr w:type="spellStart"/>
      <w:r>
        <w:rPr>
          <w:rFonts w:cs="Segoe UI Historic"/>
          <w:i/>
        </w:rPr>
        <w:t>Rotman</w:t>
      </w:r>
      <w:proofErr w:type="spellEnd"/>
      <w:r>
        <w:rPr>
          <w:rFonts w:cs="Segoe UI Historic"/>
          <w:i/>
        </w:rPr>
        <w:t xml:space="preserve"> v. White</w:t>
      </w:r>
      <w:r>
        <w:rPr>
          <w:rFonts w:cs="Segoe UI Historic"/>
        </w:rPr>
        <w:t xml:space="preserve">, 74 Mass. App. Ct. 586, 589 (2009); </w:t>
      </w:r>
      <w:r>
        <w:rPr>
          <w:rFonts w:cs="Segoe UI Historic"/>
          <w:i/>
          <w:snapToGrid w:val="0"/>
        </w:rPr>
        <w:t>Houghton v. Johnson</w:t>
      </w:r>
      <w:r>
        <w:rPr>
          <w:rFonts w:cs="Segoe UI Historic"/>
          <w:snapToGrid w:val="0"/>
        </w:rPr>
        <w:t xml:space="preserve">, 71 Mass. </w:t>
      </w:r>
      <w:r w:rsidRPr="006664D9">
        <w:t>App</w:t>
      </w:r>
      <w:r>
        <w:rPr>
          <w:rFonts w:cs="Segoe UI Historic"/>
          <w:snapToGrid w:val="0"/>
        </w:rPr>
        <w:t xml:space="preserve">. Ct. 825, 835–836 (2008); </w:t>
      </w:r>
      <w:r>
        <w:rPr>
          <w:rFonts w:cs="Segoe UI Historic"/>
          <w:i/>
          <w:snapToGrid w:val="0"/>
        </w:rPr>
        <w:t>Stone v. Perkins</w:t>
      </w:r>
      <w:r>
        <w:rPr>
          <w:rFonts w:cs="Segoe UI Historic"/>
          <w:snapToGrid w:val="0"/>
        </w:rPr>
        <w:t>, 59 Mass. App. Ct. 265, 266 (2003);</w:t>
      </w:r>
      <w:r>
        <w:rPr>
          <w:rFonts w:cs="Segoe UI Historic"/>
          <w:i/>
          <w:snapToGrid w:val="0"/>
        </w:rPr>
        <w:t xml:space="preserve"> Boston Seaman’s Friend Soc’y, Inc. v. Rifkin Mgmt., Inc</w:t>
      </w:r>
      <w:r>
        <w:rPr>
          <w:rFonts w:cs="Segoe UI Historic"/>
          <w:snapToGrid w:val="0"/>
        </w:rPr>
        <w:t>., 19 Mass. App. Ct. 248, 251 (1985).</w:t>
      </w:r>
    </w:p>
  </w:footnote>
  <w:footnote w:id="3">
    <w:p w14:paraId="4F169FE3" w14:textId="77777777" w:rsidR="006664D9" w:rsidRDefault="006664D9" w:rsidP="006664D9">
      <w:pPr>
        <w:pStyle w:val="FootnoteText"/>
        <w:rPr>
          <w:rFonts w:cs="Segoe UI Historic"/>
          <w:snapToGrid w:val="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Segoe UI Historic"/>
          <w:i/>
          <w:snapToGrid w:val="0"/>
        </w:rPr>
        <w:t xml:space="preserve">Brooks, Gill &amp; Co. v. Landmark Props., 217 Ltd. </w:t>
      </w:r>
      <w:proofErr w:type="spellStart"/>
      <w:r>
        <w:rPr>
          <w:rFonts w:cs="Segoe UI Historic"/>
          <w:i/>
          <w:snapToGrid w:val="0"/>
        </w:rPr>
        <w:t>P’ship</w:t>
      </w:r>
      <w:proofErr w:type="spellEnd"/>
      <w:r>
        <w:rPr>
          <w:rFonts w:cs="Segoe UI Historic"/>
          <w:snapToGrid w:val="0"/>
        </w:rPr>
        <w:t>, 23 Mass. App. Ct. 528, 531 n.1 (1987).</w:t>
      </w:r>
    </w:p>
    <w:p w14:paraId="3505AD20" w14:textId="0EB97757" w:rsidR="006664D9" w:rsidRDefault="006664D9" w:rsidP="006664D9">
      <w:pPr>
        <w:pStyle w:val="FootnoteText"/>
      </w:pPr>
      <w:r>
        <w:rPr>
          <w:rFonts w:cs="Segoe UI Historic"/>
        </w:rPr>
        <w:tab/>
        <w:t xml:space="preserve">DFT may terminate the easement by explicitly preventing or blocking PLF’s from using the easement. Or DFT may terminate the easement by posting a notice on the </w:t>
      </w:r>
      <w:r w:rsidRPr="006664D9">
        <w:t>property</w:t>
      </w:r>
      <w:r>
        <w:rPr>
          <w:rFonts w:cs="Segoe UI Historic"/>
        </w:rPr>
        <w:t xml:space="preserve"> for six straight days or serving a copy of the notice upon the plaintiff. </w:t>
      </w:r>
      <w:r>
        <w:rPr>
          <w:rFonts w:cs="Segoe UI Historic"/>
          <w:snapToGrid w:val="0"/>
        </w:rPr>
        <w:t xml:space="preserve">G.L. c. 187, § 3; </w:t>
      </w:r>
      <w:r>
        <w:rPr>
          <w:rFonts w:cs="Segoe UI Historic"/>
          <w:i/>
          <w:snapToGrid w:val="0"/>
        </w:rPr>
        <w:t>Ryan v. Stavros</w:t>
      </w:r>
      <w:r>
        <w:rPr>
          <w:rFonts w:cs="Segoe UI Historic"/>
          <w:snapToGrid w:val="0"/>
        </w:rPr>
        <w:t xml:space="preserve">, 348 Mass. 251, 263–64 (1964); </w:t>
      </w:r>
      <w:proofErr w:type="spellStart"/>
      <w:r>
        <w:rPr>
          <w:rFonts w:cs="Segoe UI Historic"/>
          <w:i/>
          <w:snapToGrid w:val="0"/>
        </w:rPr>
        <w:t>Rotman</w:t>
      </w:r>
      <w:proofErr w:type="spellEnd"/>
      <w:r>
        <w:rPr>
          <w:rFonts w:cs="Segoe UI Historic"/>
          <w:i/>
          <w:snapToGrid w:val="0"/>
        </w:rPr>
        <w:t xml:space="preserve"> v. White</w:t>
      </w:r>
      <w:r>
        <w:rPr>
          <w:rFonts w:cs="Segoe UI Historic"/>
          <w:snapToGrid w:val="0"/>
        </w:rPr>
        <w:t xml:space="preserve">, 74 Mass. App. Ct. 586, 589 (2009); </w:t>
      </w:r>
      <w:r>
        <w:rPr>
          <w:rFonts w:cs="Segoe UI Historic"/>
          <w:i/>
          <w:snapToGrid w:val="0"/>
        </w:rPr>
        <w:t>Houghton v. Johnson</w:t>
      </w:r>
      <w:r>
        <w:rPr>
          <w:rFonts w:cs="Segoe UI Historic"/>
          <w:snapToGrid w:val="0"/>
        </w:rPr>
        <w:t xml:space="preserve">, 71 Mass. App. Ct. 825, 842 (2008); </w:t>
      </w:r>
      <w:r>
        <w:rPr>
          <w:rFonts w:cs="Segoe UI Historic"/>
          <w:i/>
          <w:snapToGrid w:val="0"/>
        </w:rPr>
        <w:t xml:space="preserve">Brown v. </w:t>
      </w:r>
      <w:proofErr w:type="spellStart"/>
      <w:r>
        <w:rPr>
          <w:rFonts w:cs="Segoe UI Historic"/>
          <w:i/>
          <w:snapToGrid w:val="0"/>
        </w:rPr>
        <w:t>Sneider</w:t>
      </w:r>
      <w:proofErr w:type="spellEnd"/>
      <w:r>
        <w:rPr>
          <w:rFonts w:cs="Segoe UI Historic"/>
          <w:snapToGrid w:val="0"/>
        </w:rPr>
        <w:t>, 9 Mass. App. Ct. 329, 331–332 (1980).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47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2AF4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80D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86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7209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E5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643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58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E4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781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2BE24B47"/>
    <w:multiLevelType w:val="hybridMultilevel"/>
    <w:tmpl w:val="3D929CF6"/>
    <w:lvl w:ilvl="0" w:tplc="246EEF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47793798"/>
    <w:multiLevelType w:val="multilevel"/>
    <w:tmpl w:val="E37E147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num w:numId="1" w16cid:durableId="2133791042">
    <w:abstractNumId w:val="13"/>
  </w:num>
  <w:num w:numId="2" w16cid:durableId="1044913588">
    <w:abstractNumId w:val="11"/>
  </w:num>
  <w:num w:numId="3" w16cid:durableId="1775326285">
    <w:abstractNumId w:val="0"/>
  </w:num>
  <w:num w:numId="4" w16cid:durableId="1219052537">
    <w:abstractNumId w:val="1"/>
  </w:num>
  <w:num w:numId="5" w16cid:durableId="35473650">
    <w:abstractNumId w:val="2"/>
  </w:num>
  <w:num w:numId="6" w16cid:durableId="1942254035">
    <w:abstractNumId w:val="3"/>
  </w:num>
  <w:num w:numId="7" w16cid:durableId="197282840">
    <w:abstractNumId w:val="8"/>
  </w:num>
  <w:num w:numId="8" w16cid:durableId="805315354">
    <w:abstractNumId w:val="4"/>
  </w:num>
  <w:num w:numId="9" w16cid:durableId="1690832807">
    <w:abstractNumId w:val="5"/>
  </w:num>
  <w:num w:numId="10" w16cid:durableId="1230505134">
    <w:abstractNumId w:val="6"/>
  </w:num>
  <w:num w:numId="11" w16cid:durableId="1419406560">
    <w:abstractNumId w:val="7"/>
  </w:num>
  <w:num w:numId="12" w16cid:durableId="1697651751">
    <w:abstractNumId w:val="9"/>
  </w:num>
  <w:num w:numId="13" w16cid:durableId="922758340">
    <w:abstractNumId w:val="11"/>
  </w:num>
  <w:num w:numId="14" w16cid:durableId="286552348">
    <w:abstractNumId w:val="10"/>
  </w:num>
  <w:num w:numId="15" w16cid:durableId="1120420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43406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4113"/>
    <w:rsid w:val="00037245"/>
    <w:rsid w:val="000B08DB"/>
    <w:rsid w:val="000B7B9E"/>
    <w:rsid w:val="000D70C6"/>
    <w:rsid w:val="000E7622"/>
    <w:rsid w:val="0010739E"/>
    <w:rsid w:val="00130F23"/>
    <w:rsid w:val="0014209A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420329"/>
    <w:rsid w:val="004848CB"/>
    <w:rsid w:val="004859F0"/>
    <w:rsid w:val="004957F8"/>
    <w:rsid w:val="004A3BE2"/>
    <w:rsid w:val="00505FBB"/>
    <w:rsid w:val="00516C98"/>
    <w:rsid w:val="005446C0"/>
    <w:rsid w:val="00550249"/>
    <w:rsid w:val="00594672"/>
    <w:rsid w:val="00596E5A"/>
    <w:rsid w:val="006254D4"/>
    <w:rsid w:val="006664D9"/>
    <w:rsid w:val="00676B44"/>
    <w:rsid w:val="007E7B77"/>
    <w:rsid w:val="00834E34"/>
    <w:rsid w:val="008733AA"/>
    <w:rsid w:val="00880AA6"/>
    <w:rsid w:val="0094500B"/>
    <w:rsid w:val="00992410"/>
    <w:rsid w:val="00996339"/>
    <w:rsid w:val="009B481F"/>
    <w:rsid w:val="00A05B86"/>
    <w:rsid w:val="00A164C0"/>
    <w:rsid w:val="00A2789E"/>
    <w:rsid w:val="00A55E4E"/>
    <w:rsid w:val="00A56498"/>
    <w:rsid w:val="00A679E4"/>
    <w:rsid w:val="00A76145"/>
    <w:rsid w:val="00A917A4"/>
    <w:rsid w:val="00A95EAD"/>
    <w:rsid w:val="00AE367A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01E79"/>
    <w:rsid w:val="00D71FE5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paragraph" w:styleId="Heading1">
    <w:name w:val="heading 1"/>
    <w:aliases w:val="Chapter Number"/>
    <w:basedOn w:val="Normal"/>
    <w:next w:val="Heading2"/>
    <w:link w:val="Heading1Char"/>
    <w:qFormat/>
    <w:rsid w:val="006664D9"/>
    <w:pPr>
      <w:keepNext/>
      <w:pageBreakBefore/>
      <w:widowControl w:val="0"/>
      <w:numPr>
        <w:numId w:val="16"/>
      </w:numPr>
      <w:suppressAutoHyphens/>
      <w:spacing w:after="160" w:line="320" w:lineRule="exact"/>
      <w:outlineLvl w:val="0"/>
    </w:pPr>
    <w:rPr>
      <w:rFonts w:ascii="Times LT Std" w:hAnsi="Times LT Std"/>
      <w:b/>
      <w:kern w:val="28"/>
      <w:sz w:val="32"/>
      <w:szCs w:val="20"/>
    </w:rPr>
  </w:style>
  <w:style w:type="paragraph" w:styleId="Heading2">
    <w:name w:val="heading 2"/>
    <w:aliases w:val="Chapter Title"/>
    <w:basedOn w:val="Normal"/>
    <w:next w:val="Heading3"/>
    <w:link w:val="Heading2Char"/>
    <w:qFormat/>
    <w:rsid w:val="006664D9"/>
    <w:pPr>
      <w:keepNext/>
      <w:numPr>
        <w:ilvl w:val="1"/>
        <w:numId w:val="16"/>
      </w:numPr>
      <w:suppressAutoHyphens/>
      <w:spacing w:after="400" w:line="440" w:lineRule="exact"/>
      <w:outlineLvl w:val="1"/>
    </w:pPr>
    <w:rPr>
      <w:rFonts w:ascii="Times LT Std" w:hAnsi="Times LT Std"/>
      <w:b/>
      <w:caps/>
      <w:sz w:val="40"/>
      <w:szCs w:val="20"/>
    </w:rPr>
  </w:style>
  <w:style w:type="paragraph" w:styleId="Heading3">
    <w:name w:val="heading 3"/>
    <w:aliases w:val="Author Credit"/>
    <w:basedOn w:val="Normal"/>
    <w:next w:val="Heading4"/>
    <w:link w:val="Heading3Char"/>
    <w:qFormat/>
    <w:rsid w:val="006664D9"/>
    <w:pPr>
      <w:keepNext/>
      <w:numPr>
        <w:ilvl w:val="2"/>
        <w:numId w:val="16"/>
      </w:numPr>
      <w:suppressAutoHyphens/>
      <w:spacing w:line="280" w:lineRule="exact"/>
      <w:outlineLvl w:val="2"/>
    </w:pPr>
    <w:rPr>
      <w:rFonts w:ascii="Times LT Std" w:hAnsi="Times LT Std"/>
      <w:sz w:val="20"/>
      <w:szCs w:val="20"/>
    </w:rPr>
  </w:style>
  <w:style w:type="paragraph" w:styleId="Heading4">
    <w:name w:val="heading 4"/>
    <w:aliases w:val="Firm Credit,Firm"/>
    <w:basedOn w:val="Normal"/>
    <w:next w:val="Normal"/>
    <w:link w:val="Heading4Char"/>
    <w:qFormat/>
    <w:rsid w:val="006664D9"/>
    <w:pPr>
      <w:numPr>
        <w:ilvl w:val="3"/>
        <w:numId w:val="16"/>
      </w:numPr>
      <w:suppressAutoHyphens/>
      <w:spacing w:after="240" w:line="280" w:lineRule="exact"/>
      <w:outlineLvl w:val="3"/>
    </w:pPr>
    <w:rPr>
      <w:rFonts w:ascii="Times LT Std" w:hAnsi="Times LT Std"/>
      <w:i/>
      <w:sz w:val="20"/>
      <w:szCs w:val="20"/>
    </w:rPr>
  </w:style>
  <w:style w:type="paragraph" w:styleId="Heading5">
    <w:name w:val="heading 5"/>
    <w:aliases w:val="Level1"/>
    <w:basedOn w:val="Normal"/>
    <w:next w:val="Normal"/>
    <w:link w:val="Heading5Char"/>
    <w:qFormat/>
    <w:rsid w:val="006664D9"/>
    <w:pPr>
      <w:keepNext/>
      <w:keepLines/>
      <w:numPr>
        <w:ilvl w:val="4"/>
        <w:numId w:val="16"/>
      </w:numPr>
      <w:suppressAutoHyphens/>
      <w:spacing w:before="480" w:line="300" w:lineRule="exact"/>
      <w:outlineLvl w:val="4"/>
    </w:pPr>
    <w:rPr>
      <w:rFonts w:ascii="Times LT Std" w:hAnsi="Times LT Std"/>
      <w:b/>
      <w:caps/>
      <w:sz w:val="26"/>
      <w:szCs w:val="20"/>
    </w:rPr>
  </w:style>
  <w:style w:type="paragraph" w:styleId="Heading6">
    <w:name w:val="heading 6"/>
    <w:aliases w:val="Level2"/>
    <w:basedOn w:val="Normal"/>
    <w:next w:val="Normal"/>
    <w:link w:val="Heading6Char"/>
    <w:qFormat/>
    <w:rsid w:val="006664D9"/>
    <w:pPr>
      <w:keepNext/>
      <w:keepLines/>
      <w:numPr>
        <w:ilvl w:val="5"/>
        <w:numId w:val="16"/>
      </w:numPr>
      <w:suppressAutoHyphens/>
      <w:spacing w:before="200" w:line="300" w:lineRule="exact"/>
      <w:outlineLvl w:val="5"/>
    </w:pPr>
    <w:rPr>
      <w:rFonts w:ascii="Times LT Std" w:hAnsi="Times LT Std"/>
      <w:b/>
      <w:sz w:val="26"/>
      <w:szCs w:val="20"/>
    </w:rPr>
  </w:style>
  <w:style w:type="paragraph" w:styleId="Heading7">
    <w:name w:val="heading 7"/>
    <w:aliases w:val="Level3"/>
    <w:basedOn w:val="Normal"/>
    <w:next w:val="Normal"/>
    <w:link w:val="Heading7Char"/>
    <w:qFormat/>
    <w:rsid w:val="006664D9"/>
    <w:pPr>
      <w:keepNext/>
      <w:keepLines/>
      <w:numPr>
        <w:ilvl w:val="6"/>
        <w:numId w:val="16"/>
      </w:numPr>
      <w:suppressAutoHyphens/>
      <w:spacing w:before="320" w:line="280" w:lineRule="exact"/>
      <w:outlineLvl w:val="6"/>
    </w:pPr>
    <w:rPr>
      <w:rFonts w:ascii="Times LT Std" w:hAnsi="Times LT Std"/>
      <w:b/>
      <w:i/>
      <w:sz w:val="20"/>
      <w:szCs w:val="20"/>
    </w:rPr>
  </w:style>
  <w:style w:type="paragraph" w:styleId="Heading8">
    <w:name w:val="heading 8"/>
    <w:aliases w:val="Level4"/>
    <w:basedOn w:val="Normal"/>
    <w:next w:val="Normal"/>
    <w:link w:val="Heading8Char"/>
    <w:qFormat/>
    <w:rsid w:val="006664D9"/>
    <w:pPr>
      <w:keepNext/>
      <w:keepLines/>
      <w:numPr>
        <w:ilvl w:val="7"/>
        <w:numId w:val="16"/>
      </w:numPr>
      <w:suppressAutoHyphens/>
      <w:spacing w:before="280" w:line="260" w:lineRule="exact"/>
      <w:outlineLvl w:val="7"/>
    </w:pPr>
    <w:rPr>
      <w:rFonts w:ascii="Times LT Std" w:hAnsi="Times LT Std"/>
      <w:b/>
      <w:sz w:val="22"/>
      <w:szCs w:val="20"/>
    </w:rPr>
  </w:style>
  <w:style w:type="paragraph" w:styleId="Heading9">
    <w:name w:val="heading 9"/>
    <w:aliases w:val="Level5"/>
    <w:basedOn w:val="Normal"/>
    <w:next w:val="Normal"/>
    <w:link w:val="Heading9Char"/>
    <w:qFormat/>
    <w:rsid w:val="006664D9"/>
    <w:pPr>
      <w:keepNext/>
      <w:keepLines/>
      <w:numPr>
        <w:ilvl w:val="8"/>
        <w:numId w:val="16"/>
      </w:numPr>
      <w:suppressAutoHyphens/>
      <w:spacing w:before="280" w:line="260" w:lineRule="exact"/>
      <w:outlineLvl w:val="8"/>
    </w:pPr>
    <w:rPr>
      <w:rFonts w:ascii="Times LT Std" w:hAnsi="Times LT Std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character" w:customStyle="1" w:styleId="Heading1Char">
    <w:name w:val="Heading 1 Char"/>
    <w:aliases w:val="Chapter Number Char"/>
    <w:basedOn w:val="DefaultParagraphFont"/>
    <w:link w:val="Heading1"/>
    <w:rsid w:val="006664D9"/>
    <w:rPr>
      <w:rFonts w:ascii="Times LT Std" w:eastAsia="Times New Roman" w:hAnsi="Times LT Std" w:cs="Times New Roman"/>
      <w:b/>
      <w:kern w:val="28"/>
      <w:sz w:val="32"/>
      <w:szCs w:val="20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6664D9"/>
    <w:rPr>
      <w:rFonts w:ascii="Times LT Std" w:eastAsia="Times New Roman" w:hAnsi="Times LT Std" w:cs="Times New Roman"/>
      <w:b/>
      <w:caps/>
      <w:kern w:val="20"/>
      <w:sz w:val="40"/>
      <w:szCs w:val="20"/>
    </w:rPr>
  </w:style>
  <w:style w:type="character" w:customStyle="1" w:styleId="Heading3Char">
    <w:name w:val="Heading 3 Char"/>
    <w:aliases w:val="Author Credit Char"/>
    <w:basedOn w:val="DefaultParagraphFont"/>
    <w:link w:val="Heading3"/>
    <w:rsid w:val="006664D9"/>
    <w:rPr>
      <w:rFonts w:ascii="Times LT Std" w:eastAsia="Times New Roman" w:hAnsi="Times LT Std" w:cs="Times New Roman"/>
      <w:kern w:val="20"/>
      <w:sz w:val="20"/>
      <w:szCs w:val="20"/>
    </w:rPr>
  </w:style>
  <w:style w:type="character" w:customStyle="1" w:styleId="Heading4Char">
    <w:name w:val="Heading 4 Char"/>
    <w:aliases w:val="Firm Credit Char,Firm Char"/>
    <w:basedOn w:val="DefaultParagraphFont"/>
    <w:link w:val="Heading4"/>
    <w:rsid w:val="006664D9"/>
    <w:rPr>
      <w:rFonts w:ascii="Times LT Std" w:eastAsia="Times New Roman" w:hAnsi="Times LT Std" w:cs="Times New Roman"/>
      <w:i/>
      <w:kern w:val="20"/>
      <w:sz w:val="20"/>
      <w:szCs w:val="20"/>
    </w:rPr>
  </w:style>
  <w:style w:type="character" w:customStyle="1" w:styleId="Heading5Char">
    <w:name w:val="Heading 5 Char"/>
    <w:aliases w:val="Level1 Char"/>
    <w:basedOn w:val="DefaultParagraphFont"/>
    <w:link w:val="Heading5"/>
    <w:rsid w:val="006664D9"/>
    <w:rPr>
      <w:rFonts w:ascii="Times LT Std" w:eastAsia="Times New Roman" w:hAnsi="Times LT Std" w:cs="Times New Roman"/>
      <w:b/>
      <w:caps/>
      <w:kern w:val="20"/>
      <w:sz w:val="26"/>
      <w:szCs w:val="20"/>
    </w:rPr>
  </w:style>
  <w:style w:type="character" w:customStyle="1" w:styleId="Heading6Char">
    <w:name w:val="Heading 6 Char"/>
    <w:aliases w:val="Level2 Char"/>
    <w:basedOn w:val="DefaultParagraphFont"/>
    <w:link w:val="Heading6"/>
    <w:rsid w:val="006664D9"/>
    <w:rPr>
      <w:rFonts w:ascii="Times LT Std" w:eastAsia="Times New Roman" w:hAnsi="Times LT Std" w:cs="Times New Roman"/>
      <w:b/>
      <w:kern w:val="20"/>
      <w:sz w:val="26"/>
      <w:szCs w:val="20"/>
    </w:rPr>
  </w:style>
  <w:style w:type="character" w:customStyle="1" w:styleId="Heading7Char">
    <w:name w:val="Heading 7 Char"/>
    <w:aliases w:val="Level3 Char"/>
    <w:basedOn w:val="DefaultParagraphFont"/>
    <w:link w:val="Heading7"/>
    <w:rsid w:val="006664D9"/>
    <w:rPr>
      <w:rFonts w:ascii="Times LT Std" w:eastAsia="Times New Roman" w:hAnsi="Times LT Std" w:cs="Times New Roman"/>
      <w:b/>
      <w:i/>
      <w:kern w:val="20"/>
      <w:sz w:val="20"/>
      <w:szCs w:val="20"/>
    </w:rPr>
  </w:style>
  <w:style w:type="character" w:customStyle="1" w:styleId="Heading8Char">
    <w:name w:val="Heading 8 Char"/>
    <w:aliases w:val="Level4 Char"/>
    <w:basedOn w:val="DefaultParagraphFont"/>
    <w:link w:val="Heading8"/>
    <w:rsid w:val="006664D9"/>
    <w:rPr>
      <w:rFonts w:ascii="Times LT Std" w:eastAsia="Times New Roman" w:hAnsi="Times LT Std" w:cs="Times New Roman"/>
      <w:b/>
      <w:kern w:val="20"/>
      <w:sz w:val="22"/>
      <w:szCs w:val="20"/>
    </w:rPr>
  </w:style>
  <w:style w:type="character" w:customStyle="1" w:styleId="Heading9Char">
    <w:name w:val="Heading 9 Char"/>
    <w:aliases w:val="Level5 Char"/>
    <w:basedOn w:val="DefaultParagraphFont"/>
    <w:link w:val="Heading9"/>
    <w:rsid w:val="006664D9"/>
    <w:rPr>
      <w:rFonts w:ascii="Times LT Std" w:eastAsia="Times New Roman" w:hAnsi="Times LT Std" w:cs="Times New Roman"/>
      <w:i/>
      <w:kern w:val="20"/>
      <w:sz w:val="22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6664D9"/>
    <w:pPr>
      <w:spacing w:before="200" w:line="240" w:lineRule="exact"/>
      <w:jc w:val="both"/>
    </w:pPr>
    <w:rPr>
      <w:rFonts w:ascii="Times LT Std" w:hAnsi="Times LT Std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664D9"/>
    <w:rPr>
      <w:rFonts w:ascii="Times LT Std" w:eastAsia="Times New Roman" w:hAnsi="Times LT Std" w:cs="Times New Roman"/>
      <w:sz w:val="20"/>
      <w:szCs w:val="20"/>
    </w:rPr>
  </w:style>
  <w:style w:type="character" w:customStyle="1" w:styleId="TipChar">
    <w:name w:val="Tip Char"/>
    <w:link w:val="Tip"/>
    <w:locked/>
    <w:rsid w:val="006664D9"/>
    <w:rPr>
      <w:rFonts w:ascii="Helvetica" w:eastAsia="Times New Roman" w:hAnsi="Helvetica" w:cs="Times New Roman"/>
      <w:kern w:val="20"/>
      <w:sz w:val="18"/>
      <w:szCs w:val="20"/>
    </w:rPr>
  </w:style>
  <w:style w:type="paragraph" w:customStyle="1" w:styleId="Tip">
    <w:name w:val="Tip"/>
    <w:basedOn w:val="Normal"/>
    <w:link w:val="TipChar"/>
    <w:rsid w:val="006664D9"/>
    <w:pPr>
      <w:spacing w:after="120" w:line="240" w:lineRule="exact"/>
      <w:ind w:left="504" w:right="504"/>
      <w:jc w:val="both"/>
    </w:pPr>
    <w:rPr>
      <w:rFonts w:ascii="Helvetica" w:hAnsi="Helvetica"/>
      <w:sz w:val="18"/>
      <w:szCs w:val="20"/>
    </w:rPr>
  </w:style>
  <w:style w:type="paragraph" w:customStyle="1" w:styleId="Instruction">
    <w:name w:val="Instruction"/>
    <w:basedOn w:val="Normal"/>
    <w:rsid w:val="006664D9"/>
    <w:pPr>
      <w:snapToGrid w:val="0"/>
      <w:spacing w:before="240" w:line="280" w:lineRule="exact"/>
      <w:jc w:val="both"/>
    </w:pPr>
    <w:rPr>
      <w:rFonts w:ascii="Helvetica LT Std" w:hAnsi="Helvetica LT Std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Ken Salinger</cp:lastModifiedBy>
  <cp:revision>5</cp:revision>
  <dcterms:created xsi:type="dcterms:W3CDTF">2022-10-25T14:50:00Z</dcterms:created>
  <dcterms:modified xsi:type="dcterms:W3CDTF">2022-10-25T15:15:00Z</dcterms:modified>
</cp:coreProperties>
</file>