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3789" w14:textId="106DC826" w:rsidR="00134D76" w:rsidRPr="005D4166" w:rsidRDefault="00134D76" w:rsidP="00134D76">
      <w:pPr>
        <w:pStyle w:val="JuryInstructionText"/>
        <w:jc w:val="right"/>
        <w:rPr>
          <w:i/>
          <w:iCs/>
          <w:sz w:val="24"/>
          <w:szCs w:val="24"/>
        </w:rPr>
      </w:pPr>
      <w:r>
        <w:rPr>
          <w:i/>
          <w:iCs/>
          <w:sz w:val="24"/>
          <w:szCs w:val="24"/>
        </w:rPr>
        <w:t>Publication Date: August 9, 2021</w:t>
      </w:r>
    </w:p>
    <w:p w14:paraId="597347D0" w14:textId="639077D3" w:rsidR="00134D76" w:rsidRDefault="00134D76" w:rsidP="00134D76">
      <w:pPr>
        <w:pStyle w:val="JuryInst2"/>
      </w:pPr>
      <w:r>
        <w:t>Professional Negligence</w:t>
      </w:r>
    </w:p>
    <w:p w14:paraId="3696CE01" w14:textId="77777777" w:rsidR="00134D76" w:rsidRDefault="00134D76" w:rsidP="00134D76">
      <w:pPr>
        <w:pStyle w:val="JuryInstructionText"/>
      </w:pPr>
      <w:r>
        <w:t>In this case, PLF has brought a claim for “professional negligence” against DFT, which we sometimes call “malpractice.”</w:t>
      </w:r>
    </w:p>
    <w:p w14:paraId="5269D53A" w14:textId="77777777" w:rsidR="00134D76" w:rsidRDefault="00134D76" w:rsidP="00134D76">
      <w:pPr>
        <w:pStyle w:val="JuryInstructionText"/>
      </w:pPr>
      <w:r>
        <w:t>PLF contends that DFT was negligent in providing [legal, accounting, architectural, engineering, insurance, etc.] services by [failing to adequately settle a legal claim, failing to obtain adequate insurance coverage, failing to account for certain tax deductions on tax returns, etc.].</w:t>
      </w:r>
    </w:p>
    <w:p w14:paraId="4125FC3E" w14:textId="77777777" w:rsidR="00134D76" w:rsidRDefault="00134D76" w:rsidP="00134D76">
      <w:pPr>
        <w:pStyle w:val="JuryInstructionText"/>
        <w:rPr>
          <w:snapToGrid w:val="0"/>
        </w:rPr>
      </w:pPr>
      <w:r>
        <w:rPr>
          <w:snapToGrid w:val="0"/>
        </w:rPr>
        <w:t xml:space="preserve">To prove professional negligence, PLF </w:t>
      </w:r>
      <w:r w:rsidRPr="00B75AEB">
        <w:rPr>
          <w:snapToGrid w:val="0"/>
        </w:rPr>
        <w:t>must prove the following</w:t>
      </w:r>
      <w:r>
        <w:rPr>
          <w:snapToGrid w:val="0"/>
        </w:rPr>
        <w:t xml:space="preserve"> five things a</w:t>
      </w:r>
      <w:r w:rsidRPr="00B75AEB">
        <w:rPr>
          <w:snapToGrid w:val="0"/>
        </w:rPr>
        <w:t>re more likely true</w:t>
      </w:r>
      <w:r>
        <w:rPr>
          <w:snapToGrid w:val="0"/>
        </w:rPr>
        <w:t xml:space="preserve"> than not true:</w:t>
      </w:r>
    </w:p>
    <w:p w14:paraId="694ABF1F" w14:textId="23DB7D9E" w:rsidR="00134D76" w:rsidRPr="00D5131C" w:rsidRDefault="0014300A" w:rsidP="0014300A">
      <w:pPr>
        <w:pStyle w:val="JuryInstructionElements"/>
      </w:pPr>
      <w:r>
        <w:t>1.</w:t>
      </w:r>
      <w:r>
        <w:tab/>
      </w:r>
      <w:r w:rsidR="00134D76" w:rsidRPr="00D5131C">
        <w:t xml:space="preserve"> </w:t>
      </w:r>
      <w:r w:rsidR="008B69C1">
        <w:t>&lt;</w:t>
      </w:r>
      <w:r w:rsidR="00134D76" w:rsidRPr="008B69C1">
        <w:rPr>
          <w:b/>
          <w:bCs/>
          <w:i/>
        </w:rPr>
        <w:t>Only if disputed</w:t>
      </w:r>
      <w:r w:rsidR="00134D76" w:rsidRPr="00D5131C">
        <w:t>:</w:t>
      </w:r>
      <w:r w:rsidR="008B69C1">
        <w:t>&gt;</w:t>
      </w:r>
      <w:r w:rsidR="00134D76" w:rsidRPr="00D5131C">
        <w:t xml:space="preserve"> </w:t>
      </w:r>
      <w:r w:rsidR="008B69C1">
        <w:t xml:space="preserve">That </w:t>
      </w:r>
      <w:r w:rsidR="00134D76" w:rsidRPr="00D5131C">
        <w:t xml:space="preserve">PLF had an </w:t>
      </w:r>
      <w:r w:rsidR="00134D76">
        <w:t>[</w:t>
      </w:r>
      <w:r w:rsidR="00134D76" w:rsidRPr="00D5131C">
        <w:t xml:space="preserve">attorney, </w:t>
      </w:r>
      <w:r w:rsidR="00134D76">
        <w:t>a</w:t>
      </w:r>
      <w:r w:rsidR="00134D76" w:rsidRPr="00D5131C">
        <w:t xml:space="preserve">ccountant, engineer, etc.]-client relationship with DFT [or that DFT otherwise owed </w:t>
      </w:r>
      <w:r w:rsidR="00134D76">
        <w:t>PLF</w:t>
      </w:r>
      <w:r w:rsidR="00134D76" w:rsidRPr="00D5131C">
        <w:t xml:space="preserve"> a duty of care].</w:t>
      </w:r>
    </w:p>
    <w:p w14:paraId="7392F7FA" w14:textId="42A3C930" w:rsidR="00134D76" w:rsidRPr="00FB163E" w:rsidRDefault="008B69C1" w:rsidP="0014300A">
      <w:pPr>
        <w:pStyle w:val="JuryInstructionElements"/>
      </w:pPr>
      <w:r>
        <w:t>2.</w:t>
      </w:r>
      <w:r>
        <w:tab/>
        <w:t>W</w:t>
      </w:r>
      <w:r w:rsidR="00134D76" w:rsidRPr="00FB163E">
        <w:t>hat the standard of professional care was that DFT owed to PLF in the circumstances of this case.</w:t>
      </w:r>
    </w:p>
    <w:p w14:paraId="68402B5A" w14:textId="731286B5" w:rsidR="00134D76" w:rsidRPr="00D5131C" w:rsidRDefault="008B69C1" w:rsidP="0014300A">
      <w:pPr>
        <w:pStyle w:val="JuryInstructionElements"/>
      </w:pPr>
      <w:r>
        <w:t xml:space="preserve">3. </w:t>
      </w:r>
      <w:r>
        <w:tab/>
        <w:t>T</w:t>
      </w:r>
      <w:r w:rsidR="00134D76">
        <w:t xml:space="preserve">hat </w:t>
      </w:r>
      <w:r w:rsidR="00134D76" w:rsidRPr="00D5131C">
        <w:t>DFT’s [legal, accounting, engineering, etc.] services fell below the standard of professional care, that is, DFT was negligent.</w:t>
      </w:r>
    </w:p>
    <w:p w14:paraId="00CC0D84" w14:textId="417D6A20" w:rsidR="00134D76" w:rsidRPr="00D5131C" w:rsidRDefault="008B69C1" w:rsidP="0014300A">
      <w:pPr>
        <w:pStyle w:val="JuryInstructionElements"/>
      </w:pPr>
      <w:r>
        <w:t>4.</w:t>
      </w:r>
      <w:r>
        <w:tab/>
        <w:t>T</w:t>
      </w:r>
      <w:r w:rsidR="00134D76">
        <w:t xml:space="preserve">hat </w:t>
      </w:r>
      <w:r w:rsidR="00134D76" w:rsidRPr="00D5131C">
        <w:t>D</w:t>
      </w:r>
      <w:r w:rsidR="00134D76">
        <w:t>FT</w:t>
      </w:r>
      <w:r w:rsidR="00134D76" w:rsidRPr="00D5131C">
        <w:t xml:space="preserve">’s negligence </w:t>
      </w:r>
      <w:r w:rsidR="00134D76">
        <w:t xml:space="preserve">was a </w:t>
      </w:r>
      <w:r w:rsidR="00134D76" w:rsidRPr="00D5131C">
        <w:t>cause</w:t>
      </w:r>
      <w:r w:rsidR="00134D76">
        <w:t xml:space="preserve"> of</w:t>
      </w:r>
      <w:r w:rsidR="00134D76" w:rsidRPr="00D5131C">
        <w:t xml:space="preserve"> P</w:t>
      </w:r>
      <w:r w:rsidR="00134D76">
        <w:t>LF</w:t>
      </w:r>
      <w:r w:rsidR="00134D76" w:rsidRPr="00D5131C">
        <w:t>’s harm.</w:t>
      </w:r>
    </w:p>
    <w:p w14:paraId="2F2F310F" w14:textId="50476C16" w:rsidR="00134D76" w:rsidRDefault="008B69C1" w:rsidP="0014300A">
      <w:pPr>
        <w:pStyle w:val="JuryInstructionElements"/>
      </w:pPr>
      <w:r>
        <w:t>5.</w:t>
      </w:r>
      <w:r>
        <w:tab/>
        <w:t>T</w:t>
      </w:r>
      <w:r w:rsidR="00134D76" w:rsidRPr="00D5131C">
        <w:t>hat PLF suffered harm.</w:t>
      </w:r>
    </w:p>
    <w:p w14:paraId="4079D774" w14:textId="2C6099AA" w:rsidR="00134D76" w:rsidRDefault="00134D76" w:rsidP="00134D76">
      <w:pPr>
        <w:pStyle w:val="JuryInstructionText"/>
      </w:pPr>
      <w:r w:rsidRPr="00035B86">
        <w:t>I will now provide you with more information abou</w:t>
      </w:r>
      <w:r>
        <w:t>t these things</w:t>
      </w:r>
      <w:r w:rsidRPr="00035B86">
        <w:t>.</w:t>
      </w:r>
    </w:p>
    <w:p w14:paraId="1D4B5BAA" w14:textId="72A0CE67" w:rsidR="00134D76" w:rsidRPr="00501B81" w:rsidRDefault="00134D76" w:rsidP="00CD7D80">
      <w:pPr>
        <w:pStyle w:val="JuryInst3"/>
        <w:rPr>
          <w:snapToGrid w:val="0"/>
        </w:rPr>
      </w:pPr>
      <w:r w:rsidRPr="00501B81">
        <w:rPr>
          <w:snapToGrid w:val="0"/>
        </w:rPr>
        <w:t>Duty Of Care</w:t>
      </w:r>
    </w:p>
    <w:p w14:paraId="6F0854BC" w14:textId="77777777" w:rsidR="00134D76" w:rsidRDefault="00134D76" w:rsidP="00134D76">
      <w:pPr>
        <w:pStyle w:val="JuryInstructionText"/>
        <w:rPr>
          <w:snapToGrid w:val="0"/>
        </w:rPr>
      </w:pPr>
      <w:r>
        <w:rPr>
          <w:snapToGrid w:val="0"/>
        </w:rPr>
        <w:t>&lt;</w:t>
      </w:r>
      <w:r>
        <w:rPr>
          <w:b/>
          <w:bCs/>
          <w:i/>
          <w:iCs/>
          <w:snapToGrid w:val="0"/>
        </w:rPr>
        <w:t>If plaintiff is claiming a client relationship, instruct as follows as to existence of duty:</w:t>
      </w:r>
      <w:r>
        <w:rPr>
          <w:snapToGrid w:val="0"/>
        </w:rPr>
        <w:t>&gt;</w:t>
      </w:r>
    </w:p>
    <w:p w14:paraId="2DA7912E" w14:textId="77777777" w:rsidR="00134D76" w:rsidRDefault="00134D76" w:rsidP="00134D76">
      <w:pPr>
        <w:pStyle w:val="JuryInstructionText"/>
        <w:rPr>
          <w:snapToGrid w:val="0"/>
        </w:rPr>
      </w:pPr>
      <w:r>
        <w:rPr>
          <w:snapToGrid w:val="0"/>
        </w:rPr>
        <w:t>The first thing PLF must prove is that DFT owed PLF a duty of care.</w:t>
      </w:r>
    </w:p>
    <w:p w14:paraId="1079664F" w14:textId="77777777" w:rsidR="00134D76" w:rsidRDefault="00134D76" w:rsidP="00134D76">
      <w:pPr>
        <w:pStyle w:val="JuryInstructionText"/>
        <w:rPr>
          <w:snapToGrid w:val="0"/>
        </w:rPr>
      </w:pPr>
      <w:r>
        <w:rPr>
          <w:snapToGrid w:val="0"/>
        </w:rPr>
        <w:t xml:space="preserve">DFT will have a duty of care if DFT had an </w:t>
      </w:r>
      <w:r w:rsidRPr="003354FF">
        <w:rPr>
          <w:snapToGrid w:val="0"/>
        </w:rPr>
        <w:t>[</w:t>
      </w:r>
      <w:r>
        <w:rPr>
          <w:snapToGrid w:val="0"/>
        </w:rPr>
        <w:t xml:space="preserve">attorney, </w:t>
      </w:r>
      <w:r w:rsidRPr="003354FF">
        <w:rPr>
          <w:snapToGrid w:val="0"/>
        </w:rPr>
        <w:t>accountant, engineer, etc.]-client relationship</w:t>
      </w:r>
      <w:r>
        <w:rPr>
          <w:snapToGrid w:val="0"/>
        </w:rPr>
        <w:t xml:space="preserve"> with PLF. That relationship may arise from an </w:t>
      </w:r>
      <w:r>
        <w:rPr>
          <w:snapToGrid w:val="0"/>
        </w:rPr>
        <w:lastRenderedPageBreak/>
        <w:t>agreement between the parties, and the agreement may be in writing or oral.</w:t>
      </w:r>
    </w:p>
    <w:p w14:paraId="1C569AF3" w14:textId="77777777" w:rsidR="00134D76" w:rsidRDefault="00134D76" w:rsidP="00134D76">
      <w:pPr>
        <w:pStyle w:val="JuryInstructionText"/>
        <w:rPr>
          <w:snapToGrid w:val="0"/>
        </w:rPr>
      </w:pPr>
      <w:r>
        <w:rPr>
          <w:snapToGrid w:val="0"/>
        </w:rPr>
        <w:t xml:space="preserve">The parties’ conduct may also create an </w:t>
      </w:r>
      <w:r w:rsidRPr="003354FF">
        <w:rPr>
          <w:snapToGrid w:val="0"/>
        </w:rPr>
        <w:t>[</w:t>
      </w:r>
      <w:r>
        <w:rPr>
          <w:snapToGrid w:val="0"/>
        </w:rPr>
        <w:t xml:space="preserve">attorney, </w:t>
      </w:r>
      <w:r w:rsidRPr="003354FF">
        <w:rPr>
          <w:snapToGrid w:val="0"/>
        </w:rPr>
        <w:t xml:space="preserve">accountant, engineer, etc.]-client </w:t>
      </w:r>
      <w:r>
        <w:rPr>
          <w:snapToGrid w:val="0"/>
        </w:rPr>
        <w:t xml:space="preserve">relationship. To decide whether an </w:t>
      </w:r>
      <w:r w:rsidRPr="007569D8">
        <w:rPr>
          <w:snapToGrid w:val="0"/>
        </w:rPr>
        <w:t>[</w:t>
      </w:r>
      <w:r>
        <w:rPr>
          <w:snapToGrid w:val="0"/>
        </w:rPr>
        <w:t xml:space="preserve">attorney, </w:t>
      </w:r>
      <w:r w:rsidRPr="007569D8">
        <w:rPr>
          <w:snapToGrid w:val="0"/>
        </w:rPr>
        <w:t>accountant, engineer, etc.]-client relationship</w:t>
      </w:r>
      <w:r>
        <w:rPr>
          <w:snapToGrid w:val="0"/>
        </w:rPr>
        <w:t xml:space="preserve"> existed here, you should look at all of the circumstances, such as the nature and extent of any previous professional relationship between the parties, whether DFT charged PLF for his/her/its services, whether DFT believed PLF was </w:t>
      </w:r>
      <w:r w:rsidRPr="001C09C5">
        <w:rPr>
          <w:snapToGrid w:val="0"/>
        </w:rPr>
        <w:t>his/her/its</w:t>
      </w:r>
      <w:r>
        <w:rPr>
          <w:snapToGrid w:val="0"/>
        </w:rPr>
        <w:t xml:space="preserve"> client, whether DFT told others that PLF was his/her/its client, whether PLF openly requested DFT’s advice or services, and whether DFT agreed to perform services for PLF.</w:t>
      </w:r>
    </w:p>
    <w:p w14:paraId="4183233C" w14:textId="77777777" w:rsidR="00134D76" w:rsidRDefault="00134D76" w:rsidP="00134D76">
      <w:pPr>
        <w:pStyle w:val="JuryInstructionText"/>
        <w:rPr>
          <w:snapToGrid w:val="0"/>
        </w:rPr>
      </w:pPr>
      <w:r>
        <w:rPr>
          <w:snapToGrid w:val="0"/>
        </w:rPr>
        <w:t>&lt;</w:t>
      </w:r>
      <w:r>
        <w:rPr>
          <w:b/>
          <w:bCs/>
          <w:i/>
          <w:iCs/>
          <w:snapToGrid w:val="0"/>
        </w:rPr>
        <w:t>If plaintiff does not claim a client relationship, but alleges defendant owed duty to third parties, instruct as follows as to existence of duty:</w:t>
      </w:r>
      <w:r>
        <w:rPr>
          <w:snapToGrid w:val="0"/>
        </w:rPr>
        <w:t>&gt;</w:t>
      </w:r>
    </w:p>
    <w:p w14:paraId="5EEB8F29" w14:textId="77777777" w:rsidR="00134D76" w:rsidRDefault="00134D76" w:rsidP="00134D76">
      <w:pPr>
        <w:pStyle w:val="JuryInstructionText"/>
        <w:rPr>
          <w:snapToGrid w:val="0"/>
        </w:rPr>
      </w:pPr>
      <w:r>
        <w:rPr>
          <w:snapToGrid w:val="0"/>
        </w:rPr>
        <w:t>The first thing PLF must prove, more likely than not, is that DFT owed PLF a duty of care.</w:t>
      </w:r>
    </w:p>
    <w:p w14:paraId="0DDFF3FC" w14:textId="77777777" w:rsidR="00134D76" w:rsidRDefault="00134D76" w:rsidP="00134D76">
      <w:pPr>
        <w:pStyle w:val="JuryInstructionText"/>
        <w:rPr>
          <w:snapToGrid w:val="0"/>
        </w:rPr>
      </w:pPr>
      <w:r>
        <w:rPr>
          <w:snapToGrid w:val="0"/>
        </w:rPr>
        <w:t>An [attorney, architect</w:t>
      </w:r>
      <w:r w:rsidRPr="008353BB">
        <w:rPr>
          <w:snapToGrid w:val="0"/>
        </w:rPr>
        <w:t>, engineer, etc.]</w:t>
      </w:r>
      <w:r>
        <w:rPr>
          <w:snapToGrid w:val="0"/>
        </w:rPr>
        <w:t xml:space="preserve"> owes a duty of care to people s/he </w:t>
      </w:r>
      <w:r w:rsidRPr="00792EA9">
        <w:rPr>
          <w:snapToGrid w:val="0"/>
        </w:rPr>
        <w:t xml:space="preserve">knew or should have known would rely on </w:t>
      </w:r>
      <w:r>
        <w:rPr>
          <w:snapToGrid w:val="0"/>
        </w:rPr>
        <w:t xml:space="preserve">his/her/its </w:t>
      </w:r>
      <w:r w:rsidRPr="00792EA9">
        <w:rPr>
          <w:snapToGrid w:val="0"/>
        </w:rPr>
        <w:t xml:space="preserve">[services, advice, </w:t>
      </w:r>
      <w:r>
        <w:rPr>
          <w:snapToGrid w:val="0"/>
        </w:rPr>
        <w:t xml:space="preserve">plans, </w:t>
      </w:r>
      <w:r w:rsidRPr="00792EA9">
        <w:rPr>
          <w:snapToGrid w:val="0"/>
        </w:rPr>
        <w:t>etc.]</w:t>
      </w:r>
      <w:r>
        <w:rPr>
          <w:snapToGrid w:val="0"/>
        </w:rPr>
        <w:t xml:space="preserve"> even if they have not entered into an agreement for services.</w:t>
      </w:r>
      <w:r>
        <w:rPr>
          <w:rStyle w:val="FootnoteReference"/>
          <w:rFonts w:ascii="Arial" w:hAnsi="Arial" w:cs="Arial"/>
          <w:snapToGrid w:val="0"/>
        </w:rPr>
        <w:footnoteReference w:id="1"/>
      </w:r>
    </w:p>
    <w:p w14:paraId="639FC716" w14:textId="77777777" w:rsidR="00134D76" w:rsidRDefault="00134D76" w:rsidP="00134D76">
      <w:pPr>
        <w:pStyle w:val="JuryInstructionText"/>
        <w:rPr>
          <w:snapToGrid w:val="0"/>
        </w:rPr>
      </w:pPr>
      <w:r>
        <w:rPr>
          <w:snapToGrid w:val="0"/>
        </w:rPr>
        <w:t>To prove DFT owed PLF a duty of care, PLF must show DFT knew or reasonably should have known that s/he/it would rely on DFT’s [services, advice, plans, etc.].</w:t>
      </w:r>
    </w:p>
    <w:p w14:paraId="03A58E35" w14:textId="77777777" w:rsidR="00134D76" w:rsidRDefault="00134D76" w:rsidP="008B69C1">
      <w:pPr>
        <w:pStyle w:val="JuryInstructionText"/>
        <w:keepNext/>
        <w:rPr>
          <w:snapToGrid w:val="0"/>
        </w:rPr>
      </w:pPr>
      <w:r>
        <w:rPr>
          <w:snapToGrid w:val="0"/>
        </w:rPr>
        <w:lastRenderedPageBreak/>
        <w:t>&lt;</w:t>
      </w:r>
      <w:r>
        <w:rPr>
          <w:b/>
          <w:bCs/>
          <w:i/>
          <w:iCs/>
          <w:snapToGrid w:val="0"/>
        </w:rPr>
        <w:t>If plaintiff claims to have reasonably relied on an accountant’s report or information, instruct as follows as to existence of duty:</w:t>
      </w:r>
      <w:r>
        <w:rPr>
          <w:snapToGrid w:val="0"/>
        </w:rPr>
        <w:t>&gt;</w:t>
      </w:r>
    </w:p>
    <w:p w14:paraId="014D3A5C" w14:textId="77777777" w:rsidR="00134D76" w:rsidRDefault="00134D76" w:rsidP="00134D76">
      <w:pPr>
        <w:pStyle w:val="JuryInstructionText"/>
        <w:rPr>
          <w:snapToGrid w:val="0"/>
        </w:rPr>
      </w:pPr>
      <w:r>
        <w:rPr>
          <w:snapToGrid w:val="0"/>
        </w:rPr>
        <w:t>The first thing PLF must prove, more likely than not, is that DFT owed him/her/it a duty of care.</w:t>
      </w:r>
    </w:p>
    <w:p w14:paraId="0AC48A41" w14:textId="77777777" w:rsidR="00134D76" w:rsidRDefault="00134D76" w:rsidP="00134D76">
      <w:pPr>
        <w:pStyle w:val="JuryInstructionText"/>
        <w:rPr>
          <w:snapToGrid w:val="0"/>
        </w:rPr>
      </w:pPr>
      <w:r>
        <w:rPr>
          <w:snapToGrid w:val="0"/>
        </w:rPr>
        <w:t xml:space="preserve">An accountant who issues [an audit report, a financial statement, an opinion letter, etc.] owes a duty of care to people s/he/it </w:t>
      </w:r>
      <w:r w:rsidRPr="00EC5F4D">
        <w:rPr>
          <w:snapToGrid w:val="0"/>
        </w:rPr>
        <w:t xml:space="preserve">knew at the time </w:t>
      </w:r>
      <w:r>
        <w:rPr>
          <w:snapToGrid w:val="0"/>
        </w:rPr>
        <w:t>s/</w:t>
      </w:r>
      <w:r w:rsidRPr="00EC5F4D">
        <w:rPr>
          <w:snapToGrid w:val="0"/>
        </w:rPr>
        <w:t>he</w:t>
      </w:r>
      <w:r>
        <w:rPr>
          <w:snapToGrid w:val="0"/>
        </w:rPr>
        <w:t>/it</w:t>
      </w:r>
      <w:r w:rsidRPr="00EC5F4D">
        <w:rPr>
          <w:snapToGrid w:val="0"/>
        </w:rPr>
        <w:t xml:space="preserve"> published or distributed the [audit report, financial statement</w:t>
      </w:r>
      <w:r>
        <w:rPr>
          <w:snapToGrid w:val="0"/>
        </w:rPr>
        <w:t>, etc.</w:t>
      </w:r>
      <w:r w:rsidRPr="00EC5F4D">
        <w:rPr>
          <w:snapToGrid w:val="0"/>
        </w:rPr>
        <w:t>] would rely on it</w:t>
      </w:r>
      <w:r>
        <w:rPr>
          <w:snapToGrid w:val="0"/>
        </w:rPr>
        <w:t>.</w:t>
      </w:r>
    </w:p>
    <w:p w14:paraId="30F8A73F" w14:textId="77777777" w:rsidR="00134D76" w:rsidRDefault="00134D76" w:rsidP="00134D76">
      <w:pPr>
        <w:pStyle w:val="JuryInstructionText"/>
        <w:rPr>
          <w:snapToGrid w:val="0"/>
        </w:rPr>
      </w:pPr>
      <w:r>
        <w:rPr>
          <w:snapToGrid w:val="0"/>
        </w:rPr>
        <w:t xml:space="preserve">To prove DFT owed PLF a duty of care, PLF must show DFT </w:t>
      </w:r>
      <w:proofErr w:type="gramStart"/>
      <w:r>
        <w:rPr>
          <w:snapToGrid w:val="0"/>
        </w:rPr>
        <w:t>actually knew</w:t>
      </w:r>
      <w:proofErr w:type="gramEnd"/>
      <w:r>
        <w:rPr>
          <w:snapToGrid w:val="0"/>
        </w:rPr>
        <w:t xml:space="preserve"> two things at the time s/he/it published or distributed the [audit report, financial statement]:</w:t>
      </w:r>
      <w:r>
        <w:rPr>
          <w:rStyle w:val="FootnoteReference"/>
          <w:rFonts w:ascii="Arial" w:hAnsi="Arial" w:cs="Arial"/>
          <w:snapToGrid w:val="0"/>
        </w:rPr>
        <w:footnoteReference w:id="2"/>
      </w:r>
    </w:p>
    <w:p w14:paraId="4E34F3BD" w14:textId="70EFCD22" w:rsidR="00134D76" w:rsidRDefault="008B69C1" w:rsidP="008B69C1">
      <w:pPr>
        <w:pStyle w:val="JuryInstructionBullets"/>
        <w:rPr>
          <w:b/>
          <w:snapToGrid w:val="0"/>
        </w:rPr>
      </w:pPr>
      <w:r>
        <w:rPr>
          <w:snapToGrid w:val="0"/>
        </w:rPr>
        <w:t>t</w:t>
      </w:r>
      <w:r w:rsidR="00134D76">
        <w:rPr>
          <w:snapToGrid w:val="0"/>
        </w:rPr>
        <w:t>hat PLF was among the group of potential people who would rely on the [audit report]; and,</w:t>
      </w:r>
    </w:p>
    <w:p w14:paraId="607785AB" w14:textId="538E214E" w:rsidR="00134D76" w:rsidRPr="00FE6728" w:rsidRDefault="008B69C1" w:rsidP="008B69C1">
      <w:pPr>
        <w:pStyle w:val="JuryInstructionBullets"/>
        <w:rPr>
          <w:rFonts w:cs="Segoe UI Historic"/>
          <w:snapToGrid w:val="0"/>
        </w:rPr>
      </w:pPr>
      <w:r>
        <w:rPr>
          <w:rFonts w:cs="Segoe UI Historic"/>
          <w:snapToGrid w:val="0"/>
        </w:rPr>
        <w:t>t</w:t>
      </w:r>
      <w:r w:rsidR="00134D76" w:rsidRPr="00FE6728">
        <w:rPr>
          <w:rFonts w:cs="Segoe UI Historic"/>
          <w:snapToGrid w:val="0"/>
        </w:rPr>
        <w:t>he specific financial transaction for which the [audit report] was prepared.</w:t>
      </w:r>
    </w:p>
    <w:p w14:paraId="644FD7C5" w14:textId="1E1B4C84" w:rsidR="00134D76" w:rsidRPr="00501B81" w:rsidRDefault="00134D76" w:rsidP="00CD7D80">
      <w:pPr>
        <w:pStyle w:val="JuryInst3"/>
      </w:pPr>
      <w:bookmarkStart w:id="0" w:name="_Toc468694696"/>
      <w:bookmarkStart w:id="1" w:name="_Toc404160060"/>
      <w:r w:rsidRPr="00501B81">
        <w:t>Standard Of Professional Care</w:t>
      </w:r>
      <w:bookmarkEnd w:id="0"/>
      <w:bookmarkEnd w:id="1"/>
    </w:p>
    <w:p w14:paraId="66159AEC" w14:textId="77777777" w:rsidR="00134D76" w:rsidRDefault="00134D76" w:rsidP="00134D76">
      <w:pPr>
        <w:pStyle w:val="JuryInstructionText"/>
      </w:pPr>
      <w:r>
        <w:t xml:space="preserve">[First,] Second, PLF must prove, more likely than not, what </w:t>
      </w:r>
      <w:r w:rsidRPr="001D75B9">
        <w:t xml:space="preserve">standard of professional care </w:t>
      </w:r>
      <w:r>
        <w:t>DFT</w:t>
      </w:r>
      <w:r w:rsidRPr="001D75B9">
        <w:t xml:space="preserve"> owed </w:t>
      </w:r>
      <w:r>
        <w:t xml:space="preserve">PLF in </w:t>
      </w:r>
      <w:r w:rsidRPr="001D75B9">
        <w:t xml:space="preserve">performing </w:t>
      </w:r>
      <w:r>
        <w:t xml:space="preserve">the [legal, </w:t>
      </w:r>
      <w:r w:rsidRPr="001D75B9">
        <w:t>accounting, engineering, etc.] services.</w:t>
      </w:r>
    </w:p>
    <w:p w14:paraId="65E54153" w14:textId="77777777" w:rsidR="00134D76" w:rsidRDefault="00134D76" w:rsidP="00134D76">
      <w:pPr>
        <w:pStyle w:val="JuryInstructionText"/>
      </w:pPr>
      <w:r w:rsidRPr="00C77605">
        <w:t>When</w:t>
      </w:r>
      <w:r>
        <w:t xml:space="preserve"> DFT forms</w:t>
      </w:r>
      <w:r w:rsidRPr="00C77605">
        <w:t xml:space="preserve"> an </w:t>
      </w:r>
      <w:r>
        <w:t>[</w:t>
      </w:r>
      <w:r w:rsidRPr="00C77605">
        <w:t xml:space="preserve">attorney, accountant, engineer, etc.]-client relationship </w:t>
      </w:r>
      <w:r>
        <w:t>s/he/it must serve the client</w:t>
      </w:r>
      <w:r w:rsidRPr="00C77605">
        <w:t xml:space="preserve"> according to the “standard of </w:t>
      </w:r>
      <w:r>
        <w:t xml:space="preserve">professional </w:t>
      </w:r>
      <w:r w:rsidRPr="00C77605">
        <w:t>care.”</w:t>
      </w:r>
    </w:p>
    <w:p w14:paraId="2707F514" w14:textId="77777777" w:rsidR="00134D76" w:rsidRDefault="00134D76" w:rsidP="00134D76">
      <w:pPr>
        <w:pStyle w:val="JuryInstructionText"/>
      </w:pPr>
      <w:r>
        <w:t xml:space="preserve">The standard of professional care is </w:t>
      </w:r>
      <w:r w:rsidRPr="009E5DF3">
        <w:t>the skill, knowledge, and care that an average qualified [</w:t>
      </w:r>
      <w:r>
        <w:t xml:space="preserve">attorney, </w:t>
      </w:r>
      <w:r w:rsidRPr="009E5DF3">
        <w:t>accountant,</w:t>
      </w:r>
      <w:r w:rsidRPr="00A865B8">
        <w:t xml:space="preserve"> architect, etc.] would have used</w:t>
      </w:r>
      <w:r>
        <w:t xml:space="preserve"> at </w:t>
      </w:r>
      <w:r>
        <w:lastRenderedPageBreak/>
        <w:t xml:space="preserve">the time </w:t>
      </w:r>
      <w:r w:rsidRPr="00A865B8">
        <w:t>in similar circumstances</w:t>
      </w:r>
      <w:r>
        <w:t>.</w:t>
      </w:r>
      <w:r>
        <w:rPr>
          <w:rStyle w:val="FootnoteReference"/>
          <w:rFonts w:ascii="Arial" w:hAnsi="Arial" w:cs="Arial"/>
        </w:rPr>
        <w:footnoteReference w:id="3"/>
      </w:r>
      <w:r>
        <w:t xml:space="preserve"> </w:t>
      </w:r>
      <w:r w:rsidRPr="00AA781B">
        <w:t xml:space="preserve">This </w:t>
      </w:r>
      <w:r>
        <w:t xml:space="preserve">is </w:t>
      </w:r>
      <w:r w:rsidRPr="00AA781B">
        <w:t xml:space="preserve">not something </w:t>
      </w:r>
      <w:r>
        <w:t xml:space="preserve">we usually know or </w:t>
      </w:r>
      <w:r w:rsidRPr="00367060">
        <w:t>is a matter of common knowledge</w:t>
      </w:r>
      <w:r>
        <w:t>,</w:t>
      </w:r>
      <w:r w:rsidRPr="00367060">
        <w:t xml:space="preserve"> </w:t>
      </w:r>
      <w:r w:rsidRPr="00AA781B">
        <w:t xml:space="preserve">so it must be </w:t>
      </w:r>
      <w:r>
        <w:t xml:space="preserve">shown </w:t>
      </w:r>
      <w:r w:rsidRPr="00AA781B">
        <w:t>by expert testimony.</w:t>
      </w:r>
    </w:p>
    <w:p w14:paraId="7751D7A1" w14:textId="77777777" w:rsidR="00134D76" w:rsidRDefault="00134D76" w:rsidP="00134D76">
      <w:pPr>
        <w:pStyle w:val="JuryInstructionText"/>
      </w:pPr>
      <w:r>
        <w:t>When determining the standard of professional care, y</w:t>
      </w:r>
      <w:r w:rsidRPr="00963D06">
        <w:t xml:space="preserve">ou may </w:t>
      </w:r>
      <w:r>
        <w:t>consider DFT’s</w:t>
      </w:r>
      <w:r w:rsidRPr="00963D06">
        <w:t xml:space="preserve"> education, training</w:t>
      </w:r>
      <w:r>
        <w:t>,</w:t>
      </w:r>
      <w:r w:rsidRPr="00963D06">
        <w:t xml:space="preserve"> and experience as </w:t>
      </w:r>
      <w:r>
        <w:t>[</w:t>
      </w:r>
      <w:r w:rsidRPr="00963D06">
        <w:t>a lawyer</w:t>
      </w:r>
      <w:r>
        <w:t>, an accountant, etc.]</w:t>
      </w:r>
      <w:r w:rsidRPr="00963D06">
        <w:t xml:space="preserve">. </w:t>
      </w:r>
      <w:proofErr w:type="gramStart"/>
      <w:r>
        <w:t>But,</w:t>
      </w:r>
      <w:proofErr w:type="gramEnd"/>
      <w:r>
        <w:t xml:space="preserve"> y</w:t>
      </w:r>
      <w:r w:rsidRPr="00963D06">
        <w:t xml:space="preserve">ou </w:t>
      </w:r>
      <w:r>
        <w:t xml:space="preserve">must determine </w:t>
      </w:r>
      <w:r w:rsidRPr="00963D06">
        <w:t xml:space="preserve">the standard of care as of the date of </w:t>
      </w:r>
      <w:r>
        <w:t>DFT’s</w:t>
      </w:r>
      <w:r w:rsidRPr="00963D06">
        <w:t xml:space="preserve"> alleged negligence, which </w:t>
      </w:r>
      <w:r>
        <w:t xml:space="preserve">PLF claims occurred </w:t>
      </w:r>
      <w:r w:rsidRPr="00963D06">
        <w:t xml:space="preserve">during </w:t>
      </w:r>
      <w:r>
        <w:t>[add dates]</w:t>
      </w:r>
      <w:r w:rsidRPr="00963D06">
        <w:t>, not the standard of care as it may exist today.</w:t>
      </w:r>
    </w:p>
    <w:p w14:paraId="19CA33C0" w14:textId="77777777" w:rsidR="00134D76" w:rsidRDefault="00134D76" w:rsidP="00134D76">
      <w:pPr>
        <w:pStyle w:val="JuryInstructionText"/>
      </w:pPr>
      <w:r>
        <w:rPr>
          <w:rFonts w:eastAsia="Arrus BT"/>
          <w:color w:val="000000"/>
        </w:rPr>
        <w:t>You must determine the</w:t>
      </w:r>
      <w:r w:rsidRPr="00682063">
        <w:rPr>
          <w:rFonts w:eastAsia="Arrus BT"/>
          <w:color w:val="000000"/>
        </w:rPr>
        <w:t xml:space="preserve"> standard of </w:t>
      </w:r>
      <w:r>
        <w:t xml:space="preserve">professional </w:t>
      </w:r>
      <w:r w:rsidRPr="00682063">
        <w:rPr>
          <w:rFonts w:eastAsia="Arrus BT"/>
          <w:color w:val="000000"/>
        </w:rPr>
        <w:t>care from</w:t>
      </w:r>
      <w:r>
        <w:rPr>
          <w:rFonts w:eastAsia="Arrus BT"/>
          <w:color w:val="000000"/>
        </w:rPr>
        <w:t xml:space="preserve"> the</w:t>
      </w:r>
      <w:r w:rsidRPr="00682063">
        <w:rPr>
          <w:rFonts w:eastAsia="Arrus BT"/>
          <w:color w:val="000000"/>
        </w:rPr>
        <w:t xml:space="preserve"> </w:t>
      </w:r>
      <w:r w:rsidRPr="003F7358">
        <w:rPr>
          <w:rFonts w:eastAsia="Arrus BT"/>
          <w:color w:val="000000"/>
        </w:rPr>
        <w:t>expert</w:t>
      </w:r>
      <w:r w:rsidRPr="00682063">
        <w:rPr>
          <w:rFonts w:eastAsia="Arrus BT"/>
          <w:color w:val="000000"/>
        </w:rPr>
        <w:t xml:space="preserve"> testimony you </w:t>
      </w:r>
      <w:r>
        <w:rPr>
          <w:rFonts w:eastAsia="Arrus BT"/>
          <w:color w:val="000000"/>
        </w:rPr>
        <w:t xml:space="preserve">heard </w:t>
      </w:r>
      <w:r w:rsidRPr="00682063">
        <w:rPr>
          <w:rFonts w:eastAsia="Arrus BT"/>
          <w:color w:val="000000"/>
        </w:rPr>
        <w:t>during the trial of this case</w:t>
      </w:r>
      <w:r>
        <w:rPr>
          <w:rFonts w:eastAsia="Arrus BT"/>
          <w:color w:val="000000"/>
        </w:rPr>
        <w:t>.</w:t>
      </w:r>
      <w:r>
        <w:rPr>
          <w:rStyle w:val="FootnoteReference"/>
          <w:rFonts w:ascii="Arial" w:hAnsi="Arial" w:cs="Arial"/>
        </w:rPr>
        <w:footnoteReference w:id="4"/>
      </w:r>
      <w:r>
        <w:rPr>
          <w:rFonts w:eastAsia="Arrus BT"/>
          <w:color w:val="000000"/>
        </w:rPr>
        <w:t xml:space="preserve"> </w:t>
      </w:r>
      <w:r w:rsidRPr="007E6753">
        <w:t xml:space="preserve">The standard of care does not need to be written anywhere. </w:t>
      </w:r>
    </w:p>
    <w:p w14:paraId="7D3014C1" w14:textId="7BB1F898" w:rsidR="00134D76" w:rsidRPr="00B634FE" w:rsidRDefault="00134D76" w:rsidP="00B634FE">
      <w:pPr>
        <w:pStyle w:val="JuryInstructionText"/>
      </w:pPr>
      <w:r>
        <w:t>If</w:t>
      </w:r>
      <w:r w:rsidRPr="00682063">
        <w:t xml:space="preserve"> the experts</w:t>
      </w:r>
      <w:r>
        <w:t xml:space="preserve"> disagree</w:t>
      </w:r>
      <w:r w:rsidRPr="00682063">
        <w:t xml:space="preserve"> </w:t>
      </w:r>
      <w:r>
        <w:t xml:space="preserve">about </w:t>
      </w:r>
      <w:r w:rsidRPr="00682063">
        <w:t xml:space="preserve">the standard of care, you will have to resolve those conflicts to determine the degree of care and skill of the average qualified </w:t>
      </w:r>
      <w:r>
        <w:t xml:space="preserve">[specialty] </w:t>
      </w:r>
      <w:r w:rsidRPr="00682063">
        <w:t xml:space="preserve">at the time and in the circumstances </w:t>
      </w:r>
      <w:r>
        <w:t>of</w:t>
      </w:r>
      <w:r w:rsidRPr="00682063">
        <w:t xml:space="preserve"> </w:t>
      </w:r>
      <w:r>
        <w:t>PLF</w:t>
      </w:r>
      <w:r w:rsidRPr="00682063">
        <w:t xml:space="preserve">’s </w:t>
      </w:r>
      <w:r>
        <w:t xml:space="preserve">matter or </w:t>
      </w:r>
      <w:r w:rsidRPr="00682063">
        <w:t>case. You may not</w:t>
      </w:r>
      <w:r>
        <w:t>, however,</w:t>
      </w:r>
      <w:r w:rsidRPr="00682063">
        <w:t xml:space="preserve"> guess or speculate </w:t>
      </w:r>
      <w:r>
        <w:t>about</w:t>
      </w:r>
      <w:r w:rsidRPr="00682063">
        <w:t xml:space="preserve"> the applicable standard of care, or apply your own standard of care.</w:t>
      </w:r>
      <w:r>
        <w:t xml:space="preserve"> You must base your decision about the standard of care upon</w:t>
      </w:r>
      <w:r w:rsidRPr="00682063">
        <w:t xml:space="preserve"> t</w:t>
      </w:r>
      <w:r>
        <w:t>he expert</w:t>
      </w:r>
      <w:r w:rsidRPr="00682063">
        <w:t xml:space="preserve"> testimony</w:t>
      </w:r>
      <w:r>
        <w:t xml:space="preserve"> </w:t>
      </w:r>
      <w:r w:rsidRPr="00A4341B">
        <w:t>that you decide is persuasive.</w:t>
      </w:r>
    </w:p>
    <w:p w14:paraId="38991F4F" w14:textId="77777777" w:rsidR="00134D76" w:rsidRDefault="00134D76" w:rsidP="00B634FE">
      <w:pPr>
        <w:pStyle w:val="JuryInstructionText"/>
      </w:pPr>
      <w:r w:rsidRPr="00682063">
        <w:t xml:space="preserve">The </w:t>
      </w:r>
      <w:r w:rsidRPr="00521145">
        <w:t>expert</w:t>
      </w:r>
      <w:r w:rsidRPr="00682063">
        <w:t xml:space="preserve"> testimony does not have to come from a specialist in the </w:t>
      </w:r>
      <w:r>
        <w:t>DFT’s area of</w:t>
      </w:r>
      <w:r w:rsidRPr="00682063">
        <w:t xml:space="preserve"> practice</w:t>
      </w:r>
      <w:r>
        <w:t xml:space="preserve"> or in the same</w:t>
      </w:r>
      <w:r w:rsidRPr="00682063">
        <w:t xml:space="preserve"> geographic area.</w:t>
      </w:r>
      <w:r>
        <w:t xml:space="preserve"> However</w:t>
      </w:r>
      <w:r w:rsidRPr="00682063">
        <w:t xml:space="preserve">, the expert </w:t>
      </w:r>
      <w:r>
        <w:t>must be</w:t>
      </w:r>
      <w:r w:rsidRPr="00682063">
        <w:t xml:space="preserve"> familiar with the standard of </w:t>
      </w:r>
      <w:r>
        <w:t xml:space="preserve">professional </w:t>
      </w:r>
      <w:r w:rsidRPr="00682063">
        <w:t xml:space="preserve">care </w:t>
      </w:r>
      <w:r>
        <w:t>through</w:t>
      </w:r>
      <w:r w:rsidRPr="00682063">
        <w:t xml:space="preserve"> education, </w:t>
      </w:r>
      <w:r w:rsidRPr="00682063">
        <w:lastRenderedPageBreak/>
        <w:t>training, experience</w:t>
      </w:r>
      <w:r>
        <w:t>,</w:t>
      </w:r>
      <w:r w:rsidRPr="00682063">
        <w:t xml:space="preserve"> and </w:t>
      </w:r>
      <w:r>
        <w:t>knowledge of</w:t>
      </w:r>
      <w:r w:rsidRPr="00682063">
        <w:t xml:space="preserve"> the subject matter. Also, whenever I refer to “expert testimony,” I am including both the </w:t>
      </w:r>
      <w:r>
        <w:t xml:space="preserve">parties’ </w:t>
      </w:r>
      <w:r w:rsidRPr="00682063">
        <w:t xml:space="preserve">outside experts, as well as </w:t>
      </w:r>
      <w:r>
        <w:t>DFT’s own</w:t>
      </w:r>
      <w:r w:rsidRPr="00682063">
        <w:t xml:space="preserve"> testimony </w:t>
      </w:r>
      <w:r>
        <w:t>[</w:t>
      </w:r>
      <w:r w:rsidRPr="00682063">
        <w:t xml:space="preserve">and statements of </w:t>
      </w:r>
      <w:r>
        <w:t>other professionals [</w:t>
      </w:r>
      <w:r w:rsidRPr="002E2AB0">
        <w:t>as well as the contents of any treatises that were admitted in evidence]</w:t>
      </w:r>
      <w:r>
        <w:t>.</w:t>
      </w:r>
    </w:p>
    <w:p w14:paraId="6552E274" w14:textId="648AC3C1" w:rsidR="00134D76" w:rsidRPr="00501B81" w:rsidRDefault="00134D76" w:rsidP="00CD7D80">
      <w:pPr>
        <w:pStyle w:val="JuryInst3"/>
      </w:pPr>
      <w:r w:rsidRPr="00501B81">
        <w:t>Negligence / Falling Below Standard Of</w:t>
      </w:r>
      <w:r>
        <w:t xml:space="preserve"> </w:t>
      </w:r>
      <w:r w:rsidRPr="00501B81">
        <w:t>Professional Care</w:t>
      </w:r>
    </w:p>
    <w:p w14:paraId="37C6644B" w14:textId="77777777" w:rsidR="00134D76" w:rsidRDefault="00134D76" w:rsidP="00134D76">
      <w:pPr>
        <w:pStyle w:val="JuryInstructionText"/>
      </w:pPr>
      <w:r>
        <w:t>The [second] t</w:t>
      </w:r>
      <w:r w:rsidRPr="00541701">
        <w:t>hird</w:t>
      </w:r>
      <w:r>
        <w:t xml:space="preserve"> thing</w:t>
      </w:r>
      <w:r w:rsidRPr="00541701">
        <w:t xml:space="preserve"> </w:t>
      </w:r>
      <w:r>
        <w:t>PLF</w:t>
      </w:r>
      <w:r w:rsidRPr="00541701">
        <w:t xml:space="preserve"> must prove</w:t>
      </w:r>
      <w:r>
        <w:t xml:space="preserve">, more likely than not, is that DFT’s [legal, accounting, engineering, insurance, etc.] services </w:t>
      </w:r>
      <w:r w:rsidRPr="00CF22BD">
        <w:t>fell below</w:t>
      </w:r>
      <w:r>
        <w:t xml:space="preserve"> the </w:t>
      </w:r>
      <w:r w:rsidRPr="00541701">
        <w:t xml:space="preserve">standard of </w:t>
      </w:r>
      <w:r>
        <w:t xml:space="preserve">professional </w:t>
      </w:r>
      <w:r w:rsidRPr="00541701">
        <w:t>care</w:t>
      </w:r>
      <w:r>
        <w:t xml:space="preserve">. If so, then DFT was negligent. Like the standard of professional care, you must determine whether DFT’s actions or inaction fell below the standard of care </w:t>
      </w:r>
      <w:r w:rsidRPr="00777DCA">
        <w:t>based only on the testimony of t</w:t>
      </w:r>
      <w:r>
        <w:t>he expert witnesses.</w:t>
      </w:r>
      <w:r>
        <w:rPr>
          <w:rStyle w:val="FootnoteReference"/>
          <w:rFonts w:ascii="Arial" w:hAnsi="Arial" w:cs="Arial"/>
        </w:rPr>
        <w:footnoteReference w:id="5"/>
      </w:r>
    </w:p>
    <w:p w14:paraId="51025727" w14:textId="77777777" w:rsidR="00134D76" w:rsidRDefault="00134D76" w:rsidP="00134D76">
      <w:pPr>
        <w:pStyle w:val="JuryInstructionText"/>
        <w:rPr>
          <w:rFonts w:eastAsia="Arrus BT"/>
          <w:color w:val="000000"/>
        </w:rPr>
      </w:pPr>
      <w:r>
        <w:t>An [attorney, accountant, architect, etc.</w:t>
      </w:r>
      <w:r w:rsidRPr="004B1D25">
        <w:t>]</w:t>
      </w:r>
      <w:r w:rsidRPr="00682063">
        <w:rPr>
          <w:rFonts w:eastAsia="Arrus BT"/>
          <w:color w:val="000000"/>
        </w:rPr>
        <w:t xml:space="preserve"> </w:t>
      </w:r>
      <w:r>
        <w:rPr>
          <w:rFonts w:eastAsia="Arrus BT"/>
          <w:color w:val="000000"/>
        </w:rPr>
        <w:t xml:space="preserve">may exercise a </w:t>
      </w:r>
      <w:r w:rsidRPr="00682063">
        <w:rPr>
          <w:rFonts w:eastAsia="Arrus BT"/>
          <w:color w:val="000000"/>
        </w:rPr>
        <w:t xml:space="preserve">reasonable range </w:t>
      </w:r>
      <w:r>
        <w:rPr>
          <w:rFonts w:eastAsia="Arrus BT"/>
          <w:color w:val="000000"/>
        </w:rPr>
        <w:t>of</w:t>
      </w:r>
      <w:r w:rsidRPr="00682063">
        <w:rPr>
          <w:rFonts w:eastAsia="Arrus BT"/>
          <w:color w:val="000000"/>
        </w:rPr>
        <w:t xml:space="preserve"> professional judgment</w:t>
      </w:r>
      <w:r>
        <w:rPr>
          <w:rFonts w:eastAsia="Arrus BT"/>
          <w:color w:val="000000"/>
        </w:rPr>
        <w:t xml:space="preserve"> about how to meet the standard of professional care. </w:t>
      </w:r>
      <w:r w:rsidRPr="00682063">
        <w:rPr>
          <w:rFonts w:eastAsia="Arrus BT"/>
          <w:color w:val="000000"/>
        </w:rPr>
        <w:t xml:space="preserve">If </w:t>
      </w:r>
      <w:r>
        <w:rPr>
          <w:rFonts w:eastAsia="Arrus BT"/>
          <w:color w:val="000000"/>
        </w:rPr>
        <w:t>more than one</w:t>
      </w:r>
      <w:r w:rsidRPr="00682063">
        <w:rPr>
          <w:rFonts w:eastAsia="Arrus BT"/>
          <w:color w:val="000000"/>
        </w:rPr>
        <w:t xml:space="preserve"> option exists, </w:t>
      </w:r>
      <w:r>
        <w:rPr>
          <w:rFonts w:eastAsia="Arrus BT"/>
          <w:color w:val="000000"/>
        </w:rPr>
        <w:t>you must decide</w:t>
      </w:r>
      <w:r w:rsidRPr="00682063">
        <w:rPr>
          <w:rFonts w:eastAsia="Arrus BT"/>
          <w:color w:val="000000"/>
        </w:rPr>
        <w:t xml:space="preserve"> whether </w:t>
      </w:r>
      <w:r>
        <w:rPr>
          <w:rFonts w:eastAsia="Arrus BT"/>
          <w:color w:val="000000"/>
        </w:rPr>
        <w:t>DFT’s services</w:t>
      </w:r>
      <w:r w:rsidRPr="00682063">
        <w:rPr>
          <w:rFonts w:eastAsia="Arrus BT"/>
          <w:color w:val="000000"/>
        </w:rPr>
        <w:t xml:space="preserve"> fell within the range of what the average skilled </w:t>
      </w:r>
      <w:r>
        <w:rPr>
          <w:rFonts w:eastAsia="Arrus BT"/>
          <w:color w:val="000000"/>
        </w:rPr>
        <w:t>[</w:t>
      </w:r>
      <w:r>
        <w:t>attorney, accountant, architect, etc.</w:t>
      </w:r>
      <w:r>
        <w:rPr>
          <w:rFonts w:eastAsia="Arrus BT"/>
          <w:color w:val="000000"/>
        </w:rPr>
        <w:t xml:space="preserve">] </w:t>
      </w:r>
      <w:r w:rsidRPr="00682063">
        <w:rPr>
          <w:rFonts w:eastAsia="Arrus BT"/>
          <w:color w:val="000000"/>
        </w:rPr>
        <w:t xml:space="preserve">reasonably </w:t>
      </w:r>
      <w:r>
        <w:rPr>
          <w:rFonts w:eastAsia="Arrus BT"/>
          <w:color w:val="000000"/>
        </w:rPr>
        <w:t>would</w:t>
      </w:r>
      <w:r w:rsidRPr="00682063">
        <w:rPr>
          <w:rFonts w:eastAsia="Arrus BT"/>
          <w:color w:val="000000"/>
        </w:rPr>
        <w:t xml:space="preserve"> </w:t>
      </w:r>
      <w:r>
        <w:rPr>
          <w:rFonts w:eastAsia="Arrus BT"/>
          <w:color w:val="000000"/>
        </w:rPr>
        <w:t xml:space="preserve">have done </w:t>
      </w:r>
      <w:r w:rsidRPr="00682063">
        <w:rPr>
          <w:rFonts w:eastAsia="Arrus BT"/>
          <w:color w:val="000000"/>
        </w:rPr>
        <w:t xml:space="preserve">in the circumstances. On the other hand, the fact that </w:t>
      </w:r>
      <w:r>
        <w:t>an [attorney, accountant, architect, etc.</w:t>
      </w:r>
      <w:r w:rsidRPr="004B1D25">
        <w:t>]</w:t>
      </w:r>
      <w:r w:rsidRPr="00682063">
        <w:rPr>
          <w:rFonts w:eastAsia="Arrus BT"/>
          <w:color w:val="000000"/>
        </w:rPr>
        <w:t xml:space="preserve"> used judgment, by itself, is not enough to satisfy the standard of care. </w:t>
      </w:r>
      <w:r>
        <w:rPr>
          <w:rFonts w:eastAsia="Arrus BT"/>
          <w:color w:val="000000"/>
        </w:rPr>
        <w:t>I</w:t>
      </w:r>
      <w:r w:rsidRPr="00682063">
        <w:rPr>
          <w:rFonts w:eastAsia="Arrus BT"/>
          <w:color w:val="000000"/>
        </w:rPr>
        <w:t xml:space="preserve">f you find that </w:t>
      </w:r>
      <w:r>
        <w:rPr>
          <w:rFonts w:eastAsia="Arrus BT"/>
          <w:color w:val="000000"/>
        </w:rPr>
        <w:t>DFT</w:t>
      </w:r>
      <w:r w:rsidRPr="00682063">
        <w:rPr>
          <w:rFonts w:eastAsia="Arrus BT"/>
          <w:color w:val="000000"/>
        </w:rPr>
        <w:t xml:space="preserve">’s judgment </w:t>
      </w:r>
      <w:r>
        <w:rPr>
          <w:rFonts w:eastAsia="Arrus BT"/>
          <w:color w:val="000000"/>
        </w:rPr>
        <w:t xml:space="preserve">departed </w:t>
      </w:r>
      <w:r w:rsidRPr="00682063">
        <w:rPr>
          <w:rFonts w:eastAsia="Arrus BT"/>
          <w:color w:val="000000"/>
        </w:rPr>
        <w:t xml:space="preserve">from the accepted standard of care owed to </w:t>
      </w:r>
      <w:r>
        <w:rPr>
          <w:rFonts w:eastAsia="Arrus BT"/>
          <w:color w:val="000000"/>
        </w:rPr>
        <w:t>PLF</w:t>
      </w:r>
      <w:r w:rsidRPr="00682063">
        <w:rPr>
          <w:rFonts w:eastAsia="Arrus BT"/>
          <w:color w:val="000000"/>
        </w:rPr>
        <w:t>, then you must find h</w:t>
      </w:r>
      <w:r>
        <w:rPr>
          <w:rFonts w:eastAsia="Arrus BT"/>
          <w:color w:val="000000"/>
        </w:rPr>
        <w:t>im/her/it</w:t>
      </w:r>
      <w:r w:rsidRPr="00682063">
        <w:rPr>
          <w:rFonts w:eastAsia="Arrus BT"/>
          <w:color w:val="000000"/>
        </w:rPr>
        <w:t xml:space="preserve"> negligent.</w:t>
      </w:r>
    </w:p>
    <w:p w14:paraId="61D65F10" w14:textId="77777777" w:rsidR="00134D76" w:rsidRDefault="00134D76" w:rsidP="00134D76">
      <w:pPr>
        <w:pStyle w:val="JuryInstructionText"/>
      </w:pPr>
      <w:r>
        <w:t>An [attorney, accountant, architect, etc.</w:t>
      </w:r>
      <w:r w:rsidRPr="004B1D25">
        <w:t>]</w:t>
      </w:r>
      <w:r>
        <w:t xml:space="preserve"> wa</w:t>
      </w:r>
      <w:r w:rsidRPr="004B1D25">
        <w:t>s not necessarily negligent just</w:t>
      </w:r>
      <w:r>
        <w:t xml:space="preserve"> </w:t>
      </w:r>
      <w:r w:rsidRPr="004B1D25">
        <w:t xml:space="preserve">because </w:t>
      </w:r>
      <w:r>
        <w:t xml:space="preserve">the services were unsuccessful, the result reached was not the best available, or he/she/it </w:t>
      </w:r>
      <w:r w:rsidRPr="004B1D25">
        <w:t>ma</w:t>
      </w:r>
      <w:r>
        <w:t>de</w:t>
      </w:r>
      <w:r w:rsidRPr="004B1D25">
        <w:t xml:space="preserve"> an error that</w:t>
      </w:r>
      <w:r>
        <w:t xml:space="preserve"> </w:t>
      </w:r>
      <w:r w:rsidRPr="004B1D25">
        <w:t xml:space="preserve">was reasonable under the circumstances. </w:t>
      </w:r>
      <w:r>
        <w:t>[Attorneys, accountants, architects, etc.</w:t>
      </w:r>
      <w:r w:rsidRPr="004B1D25">
        <w:t>]</w:t>
      </w:r>
      <w:r w:rsidRPr="00883F56">
        <w:t xml:space="preserve"> do not have to be perfect in their work</w:t>
      </w:r>
      <w:r>
        <w:t xml:space="preserve"> and they do not guarantee a particular [result, plan, </w:t>
      </w:r>
      <w:r>
        <w:lastRenderedPageBreak/>
        <w:t>etc.].</w:t>
      </w:r>
      <w:r>
        <w:rPr>
          <w:rStyle w:val="FootnoteReference"/>
          <w:rFonts w:ascii="Arial" w:hAnsi="Arial" w:cs="Arial"/>
        </w:rPr>
        <w:footnoteReference w:id="6"/>
      </w:r>
      <w:r w:rsidRPr="00085169">
        <w:rPr>
          <w:vertAlign w:val="superscript"/>
        </w:rPr>
        <w:t>,</w:t>
      </w:r>
      <w:r>
        <w:rPr>
          <w:vertAlign w:val="superscript"/>
        </w:rPr>
        <w:t xml:space="preserve"> </w:t>
      </w:r>
      <w:r>
        <w:rPr>
          <w:rStyle w:val="FootnoteReference"/>
          <w:rFonts w:ascii="Arial" w:hAnsi="Arial" w:cs="Arial"/>
        </w:rPr>
        <w:footnoteReference w:id="7"/>
      </w:r>
      <w:r>
        <w:t xml:space="preserve"> Instead</w:t>
      </w:r>
      <w:r w:rsidRPr="00520947">
        <w:t xml:space="preserve">, </w:t>
      </w:r>
      <w:r>
        <w:t>DFT</w:t>
      </w:r>
      <w:r w:rsidRPr="00520947">
        <w:t xml:space="preserve"> was expected to use the skill and judgment which can be reasonably expected from an average qualified [attorney, accountant, architect, etc.] </w:t>
      </w:r>
      <w:r>
        <w:t xml:space="preserve">under </w:t>
      </w:r>
      <w:r w:rsidRPr="00520947">
        <w:t>the circumstances.</w:t>
      </w:r>
    </w:p>
    <w:p w14:paraId="7809D83A" w14:textId="77777777" w:rsidR="00134D76" w:rsidRDefault="00134D76" w:rsidP="00134D76">
      <w:pPr>
        <w:pStyle w:val="JuryInstructionText"/>
      </w:pPr>
      <w:r>
        <w:t>Also</w:t>
      </w:r>
      <w:r w:rsidRPr="0096526B">
        <w:t xml:space="preserve">, </w:t>
      </w:r>
      <w:r>
        <w:t>e</w:t>
      </w:r>
      <w:r w:rsidRPr="0096526B">
        <w:t xml:space="preserve">vidence that another </w:t>
      </w:r>
      <w:r>
        <w:t>[attorney, accountant, etc.]</w:t>
      </w:r>
      <w:r w:rsidRPr="0096526B">
        <w:t xml:space="preserve"> might have </w:t>
      </w:r>
      <w:r>
        <w:t>[</w:t>
      </w:r>
      <w:r w:rsidRPr="0096526B">
        <w:t>undertaken a different course of representation</w:t>
      </w:r>
      <w:r>
        <w:t>]</w:t>
      </w:r>
      <w:r w:rsidRPr="0096526B">
        <w:t xml:space="preserve"> from that of </w:t>
      </w:r>
      <w:r>
        <w:t xml:space="preserve">DFT </w:t>
      </w:r>
      <w:r w:rsidRPr="0096526B">
        <w:t xml:space="preserve">is not, by itself, evidence that </w:t>
      </w:r>
      <w:r>
        <w:t xml:space="preserve">DFT </w:t>
      </w:r>
      <w:r w:rsidRPr="0096526B">
        <w:t>was negligent</w:t>
      </w:r>
      <w:r>
        <w:t>.</w:t>
      </w:r>
    </w:p>
    <w:p w14:paraId="2CB92D18" w14:textId="77777777" w:rsidR="00134D76" w:rsidRDefault="00134D76" w:rsidP="00134D76">
      <w:pPr>
        <w:pStyle w:val="JuryInstructionText"/>
      </w:pPr>
      <w:r>
        <w:t>In the end, you may find DFT wa</w:t>
      </w:r>
      <w:r w:rsidRPr="004B1D25">
        <w:t xml:space="preserve">s negligent only if </w:t>
      </w:r>
      <w:r>
        <w:t xml:space="preserve">s/he/it failed to act as </w:t>
      </w:r>
      <w:r w:rsidRPr="004B1D25">
        <w:t>skillfu</w:t>
      </w:r>
      <w:r>
        <w:t>lly</w:t>
      </w:r>
      <w:r w:rsidRPr="004B1D25">
        <w:t>,</w:t>
      </w:r>
      <w:r>
        <w:t xml:space="preserve"> </w:t>
      </w:r>
      <w:r w:rsidRPr="003B55C2">
        <w:t>knowledgeably, or carefully as an average qualified [</w:t>
      </w:r>
      <w:r>
        <w:t xml:space="preserve">attorney, </w:t>
      </w:r>
      <w:r w:rsidRPr="003B55C2">
        <w:t xml:space="preserve">accountant, </w:t>
      </w:r>
      <w:r>
        <w:t>architect, etc.</w:t>
      </w:r>
      <w:r w:rsidRPr="004B1D25">
        <w:t>]</w:t>
      </w:r>
      <w:r>
        <w:t xml:space="preserve"> </w:t>
      </w:r>
      <w:r w:rsidRPr="004B1D25">
        <w:t>would have</w:t>
      </w:r>
      <w:r>
        <w:t xml:space="preserve"> acted at the time </w:t>
      </w:r>
      <w:r w:rsidRPr="004B1D25">
        <w:t>in similar circumstances.</w:t>
      </w:r>
    </w:p>
    <w:p w14:paraId="5703CDA8" w14:textId="77777777" w:rsidR="00134D76" w:rsidRDefault="00134D76" w:rsidP="00134D76">
      <w:pPr>
        <w:pStyle w:val="JuryInstructionText"/>
      </w:pPr>
      <w:r>
        <w:t>&lt;</w:t>
      </w:r>
      <w:r>
        <w:rPr>
          <w:b/>
          <w:bCs/>
          <w:i/>
          <w:iCs/>
        </w:rPr>
        <w:t>If plaintiff claims that defendant violated a rule, statute, or other standard, add the following:</w:t>
      </w:r>
      <w:r>
        <w:t>&gt;</w:t>
      </w:r>
    </w:p>
    <w:p w14:paraId="47F57B00" w14:textId="77777777" w:rsidR="00134D76" w:rsidRDefault="00134D76" w:rsidP="00134D76">
      <w:pPr>
        <w:pStyle w:val="JuryInstructionText"/>
      </w:pPr>
      <w:r>
        <w:t xml:space="preserve">You may consider whether DFT violated a professional rule or regulation in deciding if DFT’s conduct was negligent. </w:t>
      </w:r>
      <w:proofErr w:type="gramStart"/>
      <w:r>
        <w:t>But,</w:t>
      </w:r>
      <w:proofErr w:type="gramEnd"/>
      <w:r>
        <w:t xml:space="preserve"> a violation alone is not </w:t>
      </w:r>
      <w:r w:rsidRPr="00A4341B">
        <w:t>automatically proof of negligence; rather, you may consider it as some evidence of negligence and give it whatever weight you determine to be appropriate.</w:t>
      </w:r>
      <w:r>
        <w:rPr>
          <w:rStyle w:val="FootnoteReference"/>
          <w:rFonts w:ascii="Arial" w:hAnsi="Arial" w:cs="Arial"/>
        </w:rPr>
        <w:footnoteReference w:id="8"/>
      </w:r>
    </w:p>
    <w:p w14:paraId="2F7C8817" w14:textId="77777777" w:rsidR="00134D76" w:rsidRDefault="00134D76" w:rsidP="00B634FE">
      <w:pPr>
        <w:pStyle w:val="JuryInstructionText"/>
        <w:ind w:left="432"/>
      </w:pPr>
      <w:r>
        <w:t>So, in this case, t</w:t>
      </w:r>
      <w:r w:rsidRPr="00ED0306">
        <w:t xml:space="preserve">here is a </w:t>
      </w:r>
      <w:r>
        <w:t>[</w:t>
      </w:r>
      <w:r w:rsidRPr="00ED0306">
        <w:t>rule</w:t>
      </w:r>
      <w:r>
        <w:t>]</w:t>
      </w:r>
      <w:r w:rsidRPr="00ED0306">
        <w:t xml:space="preserve"> that says:</w:t>
      </w:r>
      <w:r>
        <w:t xml:space="preserve"> </w:t>
      </w:r>
      <w:r w:rsidRPr="00ED0306">
        <w:t>[summarize or quote the statute or rule]</w:t>
      </w:r>
      <w:r>
        <w:t>. If DFT violated t</w:t>
      </w:r>
      <w:r w:rsidRPr="00ED0306">
        <w:t>his [rule]</w:t>
      </w:r>
      <w:r>
        <w:t>, it</w:t>
      </w:r>
      <w:r w:rsidRPr="00ED0306">
        <w:t xml:space="preserve"> does not automatically </w:t>
      </w:r>
      <w:r>
        <w:t xml:space="preserve">mean </w:t>
      </w:r>
      <w:r w:rsidRPr="00ED0306">
        <w:t>that</w:t>
      </w:r>
      <w:r>
        <w:t xml:space="preserve"> </w:t>
      </w:r>
      <w:r w:rsidRPr="00ED0306">
        <w:t xml:space="preserve">DFT was negligent. Instead, you should ask two questions. First, “Did DFT violate this [rule]?” </w:t>
      </w:r>
      <w:r w:rsidRPr="00A4341B">
        <w:t>This decision is up to you, as a jury, and not [</w:t>
      </w:r>
      <w:r>
        <w:t>the</w:t>
      </w:r>
      <w:r w:rsidRPr="00A4341B">
        <w:t xml:space="preserve"> regulatory agency].</w:t>
      </w:r>
    </w:p>
    <w:p w14:paraId="577DB312" w14:textId="77777777" w:rsidR="00134D76" w:rsidRDefault="00134D76" w:rsidP="00B634FE">
      <w:pPr>
        <w:pStyle w:val="JuryInstructionText"/>
        <w:ind w:left="432"/>
      </w:pPr>
      <w:r>
        <w:t xml:space="preserve">If DFT violated the rule, </w:t>
      </w:r>
      <w:r w:rsidRPr="00ED0306">
        <w:t xml:space="preserve">then you </w:t>
      </w:r>
      <w:r>
        <w:t xml:space="preserve">should </w:t>
      </w:r>
      <w:r w:rsidRPr="00ED0306">
        <w:t xml:space="preserve">ask the second question: “Was the </w:t>
      </w:r>
      <w:r>
        <w:t>[rule]</w:t>
      </w:r>
      <w:r w:rsidRPr="00ED0306">
        <w:t xml:space="preserve"> designed to prevent </w:t>
      </w:r>
      <w:r>
        <w:t>the harm PLF claims happened here</w:t>
      </w:r>
      <w:r w:rsidRPr="00ED0306">
        <w:t>?”</w:t>
      </w:r>
    </w:p>
    <w:p w14:paraId="0C4B95C7" w14:textId="77777777" w:rsidR="00134D76" w:rsidRDefault="00134D76" w:rsidP="00B634FE">
      <w:pPr>
        <w:pStyle w:val="JuryInstructionText"/>
        <w:ind w:left="432"/>
      </w:pPr>
      <w:r>
        <w:lastRenderedPageBreak/>
        <w:t>I</w:t>
      </w:r>
      <w:r w:rsidRPr="00ED0306">
        <w:t xml:space="preserve">f you answer “yes” to </w:t>
      </w:r>
      <w:proofErr w:type="gramStart"/>
      <w:r w:rsidRPr="00ED0306">
        <w:t>both of these</w:t>
      </w:r>
      <w:proofErr w:type="gramEnd"/>
      <w:r w:rsidRPr="00ED0306">
        <w:t xml:space="preserve"> questions</w:t>
      </w:r>
      <w:r>
        <w:t>,</w:t>
      </w:r>
      <w:r w:rsidRPr="00ED0306">
        <w:t xml:space="preserve"> then you may consider the violation as some evidence that </w:t>
      </w:r>
      <w:r>
        <w:t xml:space="preserve">DFT </w:t>
      </w:r>
      <w:r w:rsidRPr="00ED0306">
        <w:t xml:space="preserve">was negligent. The violation does not automatically prove </w:t>
      </w:r>
      <w:r>
        <w:t xml:space="preserve">DFT was </w:t>
      </w:r>
      <w:r w:rsidRPr="00ED0306">
        <w:t>negligen</w:t>
      </w:r>
      <w:r>
        <w:t>t</w:t>
      </w:r>
      <w:r w:rsidRPr="00ED0306">
        <w:t>, becau</w:t>
      </w:r>
      <w:r>
        <w:t xml:space="preserve">se that decision is up to you. </w:t>
      </w:r>
      <w:r w:rsidRPr="00ED0306">
        <w:t xml:space="preserve">If you find that DFT </w:t>
      </w:r>
      <w:r>
        <w:t xml:space="preserve">violated a [rule] </w:t>
      </w:r>
      <w:r w:rsidRPr="00ED0306">
        <w:t xml:space="preserve">designed to prevent </w:t>
      </w:r>
      <w:r>
        <w:t>the harm that PLF claims happened to her/him/it</w:t>
      </w:r>
      <w:r w:rsidRPr="00ED0306">
        <w:t xml:space="preserve">, then you may consider that fact, together with all the other evidence, in determining whether </w:t>
      </w:r>
      <w:r>
        <w:t xml:space="preserve">DFT </w:t>
      </w:r>
      <w:r w:rsidRPr="00ED0306">
        <w:t>acted negligently.</w:t>
      </w:r>
      <w:r>
        <w:t xml:space="preserve"> </w:t>
      </w:r>
      <w:r w:rsidRPr="00ED0306">
        <w:t xml:space="preserve">And, of course, you </w:t>
      </w:r>
      <w:r>
        <w:t xml:space="preserve">don’t </w:t>
      </w:r>
      <w:r w:rsidRPr="00ED0306">
        <w:t xml:space="preserve">need </w:t>
      </w:r>
      <w:r>
        <w:t>to</w:t>
      </w:r>
      <w:r w:rsidRPr="00ED0306">
        <w:t xml:space="preserve"> find a violation of law </w:t>
      </w:r>
      <w:proofErr w:type="gramStart"/>
      <w:r w:rsidRPr="00ED0306">
        <w:t>in order to</w:t>
      </w:r>
      <w:proofErr w:type="gramEnd"/>
      <w:r w:rsidRPr="00ED0306">
        <w:t xml:space="preserve"> </w:t>
      </w:r>
      <w:r>
        <w:t xml:space="preserve">find </w:t>
      </w:r>
      <w:r w:rsidRPr="00ED0306">
        <w:t xml:space="preserve">DFT or PLF </w:t>
      </w:r>
      <w:r>
        <w:t xml:space="preserve">was </w:t>
      </w:r>
      <w:r w:rsidRPr="00ED0306">
        <w:t>negligent.</w:t>
      </w:r>
    </w:p>
    <w:p w14:paraId="4ABDBDC5" w14:textId="77777777" w:rsidR="00134D76" w:rsidRDefault="00134D76" w:rsidP="00134D76">
      <w:pPr>
        <w:pStyle w:val="JuryInstructionText"/>
      </w:pPr>
      <w:r>
        <w:t>In the end, you may find DFT wa</w:t>
      </w:r>
      <w:r w:rsidRPr="004B1D25">
        <w:t xml:space="preserve">s negligent only if </w:t>
      </w:r>
      <w:r>
        <w:t xml:space="preserve">s/he/it failed to act as </w:t>
      </w:r>
      <w:r w:rsidRPr="004B1D25">
        <w:t>skillfu</w:t>
      </w:r>
      <w:r>
        <w:t>lly</w:t>
      </w:r>
      <w:r w:rsidRPr="004B1D25">
        <w:t>,</w:t>
      </w:r>
      <w:r>
        <w:t xml:space="preserve"> </w:t>
      </w:r>
      <w:r w:rsidRPr="003B55C2">
        <w:t>knowledgeably, or carefully as an average qualified [</w:t>
      </w:r>
      <w:r>
        <w:t xml:space="preserve">attorney, </w:t>
      </w:r>
      <w:r w:rsidRPr="003B55C2">
        <w:t xml:space="preserve">accountant, </w:t>
      </w:r>
      <w:r>
        <w:t>architect, etc.</w:t>
      </w:r>
      <w:r w:rsidRPr="004B1D25">
        <w:t>]</w:t>
      </w:r>
      <w:r>
        <w:t xml:space="preserve"> </w:t>
      </w:r>
      <w:r w:rsidRPr="004B1D25">
        <w:t>would have</w:t>
      </w:r>
      <w:r>
        <w:t xml:space="preserve"> acted at the time </w:t>
      </w:r>
      <w:r w:rsidRPr="004B1D25">
        <w:t>in similar circumstances.</w:t>
      </w:r>
      <w:bookmarkStart w:id="2" w:name="_Toc468694719"/>
      <w:bookmarkStart w:id="3" w:name="_Toc404160083"/>
      <w:bookmarkStart w:id="4" w:name="_Ref512399564"/>
    </w:p>
    <w:bookmarkEnd w:id="2"/>
    <w:bookmarkEnd w:id="3"/>
    <w:bookmarkEnd w:id="4"/>
    <w:p w14:paraId="6C261D88" w14:textId="137F1D83" w:rsidR="00134D76" w:rsidRPr="00CE628D" w:rsidRDefault="00134D76" w:rsidP="00CD7D80">
      <w:pPr>
        <w:pStyle w:val="JuryInst3"/>
      </w:pPr>
      <w:r w:rsidRPr="00CE628D">
        <w:t>Causation</w:t>
      </w:r>
    </w:p>
    <w:p w14:paraId="0D47EAFD" w14:textId="03F3B43C" w:rsidR="00134D76" w:rsidRDefault="00CD7D80" w:rsidP="00134D76">
      <w:pPr>
        <w:pStyle w:val="JuryInstructionText"/>
      </w:pPr>
      <w:r>
        <w:t>&lt;</w:t>
      </w:r>
      <w:r w:rsidR="00134D76" w:rsidRPr="00CD7D80">
        <w:rPr>
          <w:b/>
          <w:bCs/>
          <w:i/>
          <w:iCs/>
        </w:rPr>
        <w:t>Insert causation instruction from General Negligence instruction</w:t>
      </w:r>
      <w:r>
        <w:t>.&gt;</w:t>
      </w:r>
    </w:p>
    <w:p w14:paraId="20CBAB5B" w14:textId="54850E85" w:rsidR="00CD7D80" w:rsidRDefault="00134D76" w:rsidP="00CD7D80">
      <w:pPr>
        <w:pStyle w:val="JuryInst3"/>
      </w:pPr>
      <w:r w:rsidRPr="00CE628D">
        <w:t>Suffering Of Har</w:t>
      </w:r>
      <w:r w:rsidR="00CD7D80">
        <w:t>m</w:t>
      </w:r>
    </w:p>
    <w:p w14:paraId="1944FED0" w14:textId="60145833" w:rsidR="00134D76" w:rsidRPr="00CE628D" w:rsidRDefault="00134D76" w:rsidP="00CD7D80">
      <w:pPr>
        <w:pStyle w:val="JuryInst4"/>
      </w:pPr>
      <w:r w:rsidRPr="00CE628D">
        <w:t>Non-Attorney Negligence</w:t>
      </w:r>
    </w:p>
    <w:p w14:paraId="06F041AA" w14:textId="77777777" w:rsidR="00134D76" w:rsidRPr="00D55AE4" w:rsidRDefault="00134D76" w:rsidP="00134D76">
      <w:pPr>
        <w:pStyle w:val="JuryInstructionText"/>
        <w:rPr>
          <w:rFonts w:cs="Segoe UI Historic"/>
        </w:rPr>
      </w:pPr>
      <w:r>
        <w:t>[Fourth] Fifth</w:t>
      </w:r>
      <w:r w:rsidRPr="00D55AE4">
        <w:t>, PLF must prove that s/he/it suffered harm</w:t>
      </w:r>
      <w:r>
        <w:t xml:space="preserve">. </w:t>
      </w:r>
      <w:r w:rsidRPr="00D55AE4">
        <w:t>Harm simply means that s/he/it suffered a loss.</w:t>
      </w:r>
    </w:p>
    <w:p w14:paraId="4A13D0E7" w14:textId="2240E76D" w:rsidR="00134D76" w:rsidRPr="00CE628D" w:rsidRDefault="00134D76" w:rsidP="00CD7D80">
      <w:pPr>
        <w:pStyle w:val="JuryInst4"/>
      </w:pPr>
      <w:r w:rsidRPr="00CE628D">
        <w:t xml:space="preserve">Attorney Negligence </w:t>
      </w:r>
      <w:r w:rsidR="00B634FE">
        <w:t xml:space="preserve">in Representing </w:t>
      </w:r>
      <w:r w:rsidRPr="00CE628D">
        <w:t xml:space="preserve">Criminal Defendant </w:t>
      </w:r>
    </w:p>
    <w:p w14:paraId="754205F5" w14:textId="77777777" w:rsidR="00134D76" w:rsidRDefault="00134D76" w:rsidP="00134D76">
      <w:pPr>
        <w:pStyle w:val="JuryInstructionText"/>
      </w:pPr>
      <w:r>
        <w:t>[Fourth] Fifth</w:t>
      </w:r>
      <w:r w:rsidRPr="00D55AE4">
        <w:t>, PLF must prove that s/he/it suffered</w:t>
      </w:r>
      <w:r>
        <w:t xml:space="preserve"> harm. </w:t>
      </w:r>
      <w:r w:rsidRPr="00D55AE4">
        <w:t>Harm simply means that s/he/it suffered a loss.</w:t>
      </w:r>
    </w:p>
    <w:p w14:paraId="00EB7242" w14:textId="77777777" w:rsidR="00134D76" w:rsidRPr="00D55AE4" w:rsidRDefault="00134D76" w:rsidP="00134D76">
      <w:pPr>
        <w:pStyle w:val="JuryInstructionText"/>
      </w:pPr>
      <w:r w:rsidRPr="00D55AE4">
        <w:t xml:space="preserve">To do this, PLF must prove that s/he/it was </w:t>
      </w:r>
      <w:proofErr w:type="gramStart"/>
      <w:r w:rsidRPr="00D55AE4">
        <w:t>actually innocent</w:t>
      </w:r>
      <w:proofErr w:type="gramEnd"/>
      <w:r w:rsidRPr="00D55AE4">
        <w:t xml:space="preserve"> of the crimes for which s</w:t>
      </w:r>
      <w:r>
        <w:t>/</w:t>
      </w:r>
      <w:r w:rsidRPr="00D55AE4">
        <w:t>he</w:t>
      </w:r>
      <w:r>
        <w:t>/it</w:t>
      </w:r>
      <w:r w:rsidRPr="00D55AE4">
        <w:t xml:space="preserve"> was charged. So, PLF must prove</w:t>
      </w:r>
      <w:r>
        <w:t xml:space="preserve"> </w:t>
      </w:r>
      <w:r w:rsidRPr="00D55AE4">
        <w:t>s</w:t>
      </w:r>
      <w:r>
        <w:t>/</w:t>
      </w:r>
      <w:r w:rsidRPr="00D55AE4">
        <w:t>he</w:t>
      </w:r>
      <w:r>
        <w:t>/it</w:t>
      </w:r>
      <w:r w:rsidRPr="00D55AE4">
        <w:t xml:space="preserve"> was more likely than not innocent of the crimes for which s</w:t>
      </w:r>
      <w:r>
        <w:t>/</w:t>
      </w:r>
      <w:r w:rsidRPr="00D55AE4">
        <w:t>he</w:t>
      </w:r>
      <w:r>
        <w:t>/it</w:t>
      </w:r>
      <w:r w:rsidRPr="00D55AE4">
        <w:t xml:space="preserve"> was charged in the underlying criminal case against her</w:t>
      </w:r>
      <w:r>
        <w:t>/him/it</w:t>
      </w:r>
      <w:r w:rsidRPr="00D55AE4">
        <w:t>.</w:t>
      </w:r>
      <w:r w:rsidRPr="00D55AE4">
        <w:rPr>
          <w:rStyle w:val="FootnoteReference"/>
          <w:rFonts w:ascii="Arial" w:hAnsi="Arial" w:cs="Arial"/>
        </w:rPr>
        <w:footnoteReference w:id="9"/>
      </w:r>
    </w:p>
    <w:p w14:paraId="638AF0F7" w14:textId="209E8B1D" w:rsidR="00134D76" w:rsidRPr="00CE628D" w:rsidRDefault="00134D76" w:rsidP="00CD7D80">
      <w:pPr>
        <w:pStyle w:val="JuryInst4"/>
      </w:pPr>
      <w:r w:rsidRPr="00CE628D">
        <w:lastRenderedPageBreak/>
        <w:t>Attorney Negligence</w:t>
      </w:r>
      <w:r w:rsidR="00B634FE">
        <w:t xml:space="preserve"> in Representing </w:t>
      </w:r>
      <w:r>
        <w:t>Plaintiff</w:t>
      </w:r>
      <w:r w:rsidRPr="00CE628D">
        <w:t xml:space="preserve"> </w:t>
      </w:r>
      <w:r w:rsidR="00B634FE">
        <w:t>i</w:t>
      </w:r>
      <w:r w:rsidRPr="00CE628D">
        <w:t>n</w:t>
      </w:r>
      <w:r w:rsidR="00B634FE">
        <w:t xml:space="preserve"> a</w:t>
      </w:r>
      <w:r w:rsidRPr="00CE628D">
        <w:t xml:space="preserve"> Civil Trial </w:t>
      </w:r>
    </w:p>
    <w:p w14:paraId="644B2D43" w14:textId="77777777" w:rsidR="00134D76" w:rsidRDefault="00134D76" w:rsidP="00134D76">
      <w:pPr>
        <w:pStyle w:val="JuryInstructionText"/>
      </w:pPr>
      <w:r>
        <w:t>[Fourth] Fifth,</w:t>
      </w:r>
      <w:r w:rsidRPr="00D55AE4" w:rsidDel="00C800B2">
        <w:t xml:space="preserve"> </w:t>
      </w:r>
      <w:r w:rsidRPr="00D55AE4">
        <w:t>PLF must prove that s/he/it suffered</w:t>
      </w:r>
      <w:r>
        <w:t xml:space="preserve"> harm. </w:t>
      </w:r>
      <w:r w:rsidRPr="00D55AE4">
        <w:t>Harm simply means that s/he/it suffered a loss.</w:t>
      </w:r>
    </w:p>
    <w:p w14:paraId="33146079" w14:textId="77777777" w:rsidR="00134D76" w:rsidRPr="00D55AE4" w:rsidRDefault="00134D76" w:rsidP="00134D76">
      <w:pPr>
        <w:pStyle w:val="JuryInstructionText"/>
      </w:pPr>
      <w:proofErr w:type="gramStart"/>
      <w:r w:rsidRPr="00D55AE4">
        <w:t>In order to</w:t>
      </w:r>
      <w:proofErr w:type="gramEnd"/>
      <w:r w:rsidRPr="00D55AE4">
        <w:t xml:space="preserve"> prove she suffered harm, PLF must prove two things are more likely true than not true.</w:t>
      </w:r>
    </w:p>
    <w:p w14:paraId="2FC5C279" w14:textId="1C9BF2FD" w:rsidR="00134D76" w:rsidRPr="00867138" w:rsidRDefault="00134D76" w:rsidP="00B634FE">
      <w:pPr>
        <w:pStyle w:val="JuryInstructionBullets"/>
      </w:pPr>
      <w:r w:rsidRPr="00867138">
        <w:t>PLF must prove s/he/it would have obtained a larger judgment in [the underlying civil trial] had DFT met the standard of professional care; and,</w:t>
      </w:r>
    </w:p>
    <w:p w14:paraId="50C25E7E" w14:textId="25C59001" w:rsidR="00134D76" w:rsidRPr="00D55AE4" w:rsidRDefault="00134D76" w:rsidP="00B634FE">
      <w:pPr>
        <w:pStyle w:val="JuryInstructionBullets"/>
      </w:pPr>
      <w:r w:rsidRPr="00D55AE4">
        <w:t>PLF must prove s</w:t>
      </w:r>
      <w:r>
        <w:t>/</w:t>
      </w:r>
      <w:r w:rsidRPr="00D55AE4">
        <w:t>he</w:t>
      </w:r>
      <w:r>
        <w:t>/it</w:t>
      </w:r>
      <w:r w:rsidRPr="00D55AE4">
        <w:t xml:space="preserve"> would have been able to collect on the judgment s</w:t>
      </w:r>
      <w:r>
        <w:t>/</w:t>
      </w:r>
      <w:r w:rsidRPr="00D55AE4">
        <w:t>he</w:t>
      </w:r>
      <w:r>
        <w:t>/it</w:t>
      </w:r>
      <w:r w:rsidRPr="00D55AE4">
        <w:t xml:space="preserve"> would have obtained in [the underlying trial].</w:t>
      </w:r>
      <w:r>
        <w:rPr>
          <w:rStyle w:val="FootnoteReference"/>
          <w:rFonts w:ascii="Arial" w:hAnsi="Arial" w:cs="Arial"/>
        </w:rPr>
        <w:footnoteReference w:id="10"/>
      </w:r>
    </w:p>
    <w:p w14:paraId="4BAFED00" w14:textId="6D1C317A" w:rsidR="00134D76" w:rsidRPr="00D55AE4" w:rsidRDefault="00134D76" w:rsidP="00CD7D80">
      <w:pPr>
        <w:pStyle w:val="JuryInst4"/>
      </w:pPr>
      <w:r w:rsidRPr="00D55AE4">
        <w:t xml:space="preserve">Attorney Negligence </w:t>
      </w:r>
      <w:r w:rsidR="00B634FE">
        <w:t xml:space="preserve">in Settling an </w:t>
      </w:r>
      <w:r w:rsidRPr="00D55AE4">
        <w:t>Underlying Claim</w:t>
      </w:r>
    </w:p>
    <w:p w14:paraId="3724020D" w14:textId="77777777" w:rsidR="00134D76" w:rsidRDefault="00134D76" w:rsidP="00134D76">
      <w:pPr>
        <w:pStyle w:val="JuryInstructionText"/>
      </w:pPr>
      <w:r>
        <w:t>[Fourth] Fifth</w:t>
      </w:r>
      <w:r w:rsidRPr="00D55AE4">
        <w:t>, PLF must prove that s/he/it suffered</w:t>
      </w:r>
      <w:r>
        <w:t xml:space="preserve"> harm. </w:t>
      </w:r>
      <w:r w:rsidRPr="00D55AE4">
        <w:t>Harm simply means that s/he/it suffered a loss.</w:t>
      </w:r>
    </w:p>
    <w:p w14:paraId="7B6F7985" w14:textId="77777777" w:rsidR="00134D76" w:rsidRPr="00D55AE4" w:rsidRDefault="00134D76" w:rsidP="00134D76">
      <w:pPr>
        <w:pStyle w:val="JuryInstructionText"/>
      </w:pPr>
      <w:proofErr w:type="gramStart"/>
      <w:r w:rsidRPr="00D55AE4">
        <w:t>In order to</w:t>
      </w:r>
      <w:proofErr w:type="gramEnd"/>
      <w:r w:rsidRPr="00D55AE4">
        <w:t xml:space="preserve"> prove she suffered harm, PLF must prove </w:t>
      </w:r>
      <w:r>
        <w:t>four</w:t>
      </w:r>
      <w:r w:rsidRPr="00D55AE4">
        <w:t xml:space="preserve"> things are more likely true than not true.</w:t>
      </w:r>
    </w:p>
    <w:p w14:paraId="7E95EA7C" w14:textId="1EA4DF56" w:rsidR="00134D76" w:rsidRPr="00D55AE4" w:rsidRDefault="00134D76" w:rsidP="00B634FE">
      <w:pPr>
        <w:pStyle w:val="JuryInstructionBullets"/>
      </w:pPr>
      <w:r w:rsidRPr="00D55AE4">
        <w:t xml:space="preserve">PLF must prove she would have obtained a better settlement result in [the underlying dispute] had DFT met the standard of </w:t>
      </w:r>
      <w:r>
        <w:t xml:space="preserve">professional </w:t>
      </w:r>
      <w:proofErr w:type="gramStart"/>
      <w:r w:rsidRPr="00D55AE4">
        <w:t>care;</w:t>
      </w:r>
      <w:proofErr w:type="gramEnd"/>
    </w:p>
    <w:p w14:paraId="58518AF6" w14:textId="3618B79E" w:rsidR="00134D76" w:rsidRPr="00F513A7" w:rsidRDefault="00134D76" w:rsidP="00B634FE">
      <w:pPr>
        <w:pStyle w:val="JuryInstructionBullets"/>
      </w:pPr>
      <w:r w:rsidRPr="00F513A7">
        <w:t xml:space="preserve">PLF must prove the opposing party in [the underlying dispute] actually made a firm settlement </w:t>
      </w:r>
      <w:proofErr w:type="gramStart"/>
      <w:r w:rsidRPr="00F513A7">
        <w:t>offer;</w:t>
      </w:r>
      <w:proofErr w:type="gramEnd"/>
      <w:r w:rsidRPr="00F513A7">
        <w:t xml:space="preserve"> </w:t>
      </w:r>
    </w:p>
    <w:p w14:paraId="4B4CD935" w14:textId="6D48E5EA" w:rsidR="00134D76" w:rsidRPr="00F513A7" w:rsidRDefault="00134D76" w:rsidP="00B634FE">
      <w:pPr>
        <w:pStyle w:val="JuryInstructionBullets"/>
      </w:pPr>
      <w:r w:rsidRPr="00F513A7">
        <w:t>PLF must prove a settlement agreement on those terms would have occurred in [the underlying civil case]</w:t>
      </w:r>
      <w:r>
        <w:t>; and</w:t>
      </w:r>
    </w:p>
    <w:p w14:paraId="5E3597ED" w14:textId="20A920B8" w:rsidR="00134D76" w:rsidRPr="00F513A7" w:rsidRDefault="00134D76" w:rsidP="00B634FE">
      <w:pPr>
        <w:pStyle w:val="JuryInstructionBullets"/>
      </w:pPr>
      <w:r w:rsidRPr="00F513A7">
        <w:t>PLF must prove that s</w:t>
      </w:r>
      <w:r>
        <w:t>/</w:t>
      </w:r>
      <w:r w:rsidRPr="00F513A7">
        <w:t xml:space="preserve">he/it could </w:t>
      </w:r>
      <w:r>
        <w:t xml:space="preserve">have </w:t>
      </w:r>
      <w:r w:rsidRPr="00F513A7">
        <w:t>collect</w:t>
      </w:r>
      <w:r>
        <w:t>ed</w:t>
      </w:r>
      <w:r w:rsidRPr="00F513A7">
        <w:t xml:space="preserve"> on the settlement that would have occurred in [the underlying civil case].</w:t>
      </w:r>
      <w:r w:rsidRPr="003F1E61">
        <w:rPr>
          <w:rStyle w:val="FootnoteReference"/>
          <w:bCs/>
        </w:rPr>
        <w:footnoteReference w:id="11"/>
      </w:r>
    </w:p>
    <w:p w14:paraId="57F28225" w14:textId="4D551A95" w:rsidR="00B634FE" w:rsidRPr="00CE628D" w:rsidRDefault="00134D76" w:rsidP="00B634FE">
      <w:pPr>
        <w:pStyle w:val="JuryInst4"/>
        <w:rPr>
          <w:b w:val="0"/>
          <w:bCs/>
        </w:rPr>
      </w:pPr>
      <w:r w:rsidRPr="00CE628D">
        <w:lastRenderedPageBreak/>
        <w:t xml:space="preserve">Attorney Negligence </w:t>
      </w:r>
      <w:r w:rsidR="00B634FE">
        <w:t>in Representing Defendant in a Civil Case</w:t>
      </w:r>
    </w:p>
    <w:p w14:paraId="3E95F5F8" w14:textId="77777777" w:rsidR="00134D76" w:rsidRDefault="00134D76" w:rsidP="00134D76">
      <w:pPr>
        <w:pStyle w:val="JuryInstructionText"/>
      </w:pPr>
      <w:r>
        <w:t>[Fourth] Fifth</w:t>
      </w:r>
      <w:r w:rsidRPr="00D55AE4">
        <w:t>, PLF must prove that s/he/it suffered</w:t>
      </w:r>
      <w:r>
        <w:t xml:space="preserve"> harm. </w:t>
      </w:r>
      <w:r w:rsidRPr="00D55AE4">
        <w:t>Harm simply means that s/he/it suffered a loss.</w:t>
      </w:r>
    </w:p>
    <w:p w14:paraId="1A09F713" w14:textId="59426D51" w:rsidR="00134D76" w:rsidRPr="00D55AE4" w:rsidRDefault="00134D76" w:rsidP="00134D76">
      <w:pPr>
        <w:pStyle w:val="JuryInstructionText"/>
      </w:pPr>
      <w:r w:rsidRPr="00D55AE4">
        <w:t xml:space="preserve">To do this, PLF must prove </w:t>
      </w:r>
      <w:r w:rsidRPr="00F513A7">
        <w:t>s</w:t>
      </w:r>
      <w:r>
        <w:t>/</w:t>
      </w:r>
      <w:r w:rsidRPr="00F513A7">
        <w:t xml:space="preserve">he/it </w:t>
      </w:r>
      <w:r w:rsidRPr="00D55AE4">
        <w:t xml:space="preserve">would have obtained a better result in [the underlying civil case] </w:t>
      </w:r>
      <w:r w:rsidR="00B634FE">
        <w:t>had</w:t>
      </w:r>
      <w:r w:rsidRPr="00D55AE4">
        <w:t xml:space="preserve"> DFT met the standard of </w:t>
      </w:r>
      <w:r>
        <w:t xml:space="preserve">professional </w:t>
      </w:r>
      <w:r w:rsidRPr="00D55AE4">
        <w:t>care.</w:t>
      </w:r>
      <w:r w:rsidRPr="00D55AE4">
        <w:rPr>
          <w:rStyle w:val="FootnoteReference"/>
          <w:rFonts w:ascii="Arial" w:hAnsi="Arial" w:cs="Arial"/>
        </w:rPr>
        <w:footnoteReference w:id="12"/>
      </w:r>
    </w:p>
    <w:p w14:paraId="0B584E6D" w14:textId="7E449014" w:rsidR="00134D76" w:rsidRPr="00CE628D" w:rsidRDefault="00134D76" w:rsidP="00CD7D80">
      <w:pPr>
        <w:pStyle w:val="JuryInst4"/>
      </w:pPr>
      <w:r w:rsidRPr="00CE628D">
        <w:t xml:space="preserve">Attorney Negligence </w:t>
      </w:r>
      <w:r w:rsidR="00B634FE">
        <w:t xml:space="preserve">in </w:t>
      </w:r>
      <w:r w:rsidRPr="00CE628D">
        <w:t>Representation During</w:t>
      </w:r>
      <w:r>
        <w:t xml:space="preserve"> </w:t>
      </w:r>
      <w:r w:rsidR="00B634FE">
        <w:t xml:space="preserve">a </w:t>
      </w:r>
      <w:r w:rsidRPr="00CE628D">
        <w:t>Transaction</w:t>
      </w:r>
    </w:p>
    <w:p w14:paraId="55C559C1" w14:textId="77777777" w:rsidR="00134D76" w:rsidRDefault="00134D76" w:rsidP="00134D76">
      <w:pPr>
        <w:pStyle w:val="JuryInstructionText"/>
      </w:pPr>
      <w:r>
        <w:t>[Fourth] Fifth</w:t>
      </w:r>
      <w:r w:rsidRPr="00D55AE4">
        <w:t>, PLF must prove that s/he/it suffered</w:t>
      </w:r>
      <w:r>
        <w:t xml:space="preserve"> harm.</w:t>
      </w:r>
      <w:r w:rsidRPr="00D55AE4">
        <w:t xml:space="preserve"> Harm simply means that s/he/it suffered a loss.</w:t>
      </w:r>
    </w:p>
    <w:p w14:paraId="0F1116C2" w14:textId="77777777" w:rsidR="00134D76" w:rsidRDefault="00134D76" w:rsidP="00134D76">
      <w:pPr>
        <w:pStyle w:val="JuryInstructionText"/>
      </w:pPr>
      <w:r w:rsidRPr="00D55AE4">
        <w:t>To do this, PLF must prove s</w:t>
      </w:r>
      <w:r>
        <w:t>/</w:t>
      </w:r>
      <w:r w:rsidRPr="00D55AE4">
        <w:t>he</w:t>
      </w:r>
      <w:r>
        <w:t>/it</w:t>
      </w:r>
      <w:r w:rsidRPr="00D55AE4">
        <w:t xml:space="preserve"> would have obtained a better result in [the underlying transaction] had DFT not been negligent and that the result [would have been collectible].</w:t>
      </w:r>
    </w:p>
    <w:p w14:paraId="14745F3D" w14:textId="65BDDD41" w:rsidR="00134D76" w:rsidRPr="006466BA" w:rsidRDefault="00134D76" w:rsidP="00CD7D80">
      <w:pPr>
        <w:pStyle w:val="JuryInst3"/>
        <w:rPr>
          <w:snapToGrid w:val="0"/>
        </w:rPr>
      </w:pPr>
      <w:r w:rsidRPr="00CE628D">
        <w:rPr>
          <w:snapToGrid w:val="0"/>
        </w:rPr>
        <w:t>Vicarious Liability</w:t>
      </w:r>
      <w:r w:rsidRPr="00B732F3">
        <w:rPr>
          <w:rStyle w:val="FootnoteReference"/>
          <w:rFonts w:ascii="Arial" w:hAnsi="Arial" w:cs="Arial"/>
          <w:snapToGrid w:val="0"/>
        </w:rPr>
        <w:footnoteReference w:id="13"/>
      </w:r>
    </w:p>
    <w:p w14:paraId="4F767635" w14:textId="77777777" w:rsidR="00134D76" w:rsidRDefault="00134D76" w:rsidP="00134D76">
      <w:pPr>
        <w:pStyle w:val="JuryInstructionText"/>
        <w:rPr>
          <w:snapToGrid w:val="0"/>
        </w:rPr>
      </w:pPr>
      <w:r>
        <w:rPr>
          <w:snapToGrid w:val="0"/>
        </w:rPr>
        <w:t>There are two defendants</w:t>
      </w:r>
      <w:r w:rsidRPr="000D0835">
        <w:rPr>
          <w:snapToGrid w:val="0"/>
        </w:rPr>
        <w:t xml:space="preserve"> </w:t>
      </w:r>
      <w:r>
        <w:rPr>
          <w:snapToGrid w:val="0"/>
        </w:rPr>
        <w:t>in this case, [Peter Accountant] and his employer, [Smith &amp; Jones, LLC, LLP, PC], [a limited liability company, a limited liability partnership, a professional corporation].</w:t>
      </w:r>
    </w:p>
    <w:p w14:paraId="0EA1C14C" w14:textId="77777777" w:rsidR="00134D76" w:rsidRDefault="00134D76" w:rsidP="00134D76">
      <w:pPr>
        <w:pStyle w:val="JuryInstructionText"/>
        <w:rPr>
          <w:snapToGrid w:val="0"/>
        </w:rPr>
      </w:pPr>
      <w:r>
        <w:rPr>
          <w:snapToGrid w:val="0"/>
        </w:rPr>
        <w:t>&lt;</w:t>
      </w:r>
      <w:r>
        <w:rPr>
          <w:b/>
          <w:bCs/>
          <w:i/>
          <w:iCs/>
          <w:snapToGrid w:val="0"/>
        </w:rPr>
        <w:t>If there is no dispute about vicarious liability, instruct as follows:</w:t>
      </w:r>
      <w:r>
        <w:rPr>
          <w:snapToGrid w:val="0"/>
        </w:rPr>
        <w:t>&gt;</w:t>
      </w:r>
    </w:p>
    <w:p w14:paraId="6E81459E" w14:textId="77777777" w:rsidR="00134D76" w:rsidRDefault="00134D76" w:rsidP="00134D76">
      <w:pPr>
        <w:pStyle w:val="JuryInstructionText"/>
        <w:rPr>
          <w:snapToGrid w:val="0"/>
        </w:rPr>
      </w:pPr>
      <w:r>
        <w:rPr>
          <w:snapToGrid w:val="0"/>
        </w:rPr>
        <w:t xml:space="preserve">In this case, the parties agree [Smith &amp; Jones, LLC, LLP, PC] </w:t>
      </w:r>
      <w:r w:rsidRPr="00E62399">
        <w:rPr>
          <w:snapToGrid w:val="0"/>
        </w:rPr>
        <w:t xml:space="preserve">is </w:t>
      </w:r>
      <w:r>
        <w:rPr>
          <w:snapToGrid w:val="0"/>
        </w:rPr>
        <w:t>automatically liable if you find that</w:t>
      </w:r>
      <w:r w:rsidRPr="00E62399">
        <w:rPr>
          <w:snapToGrid w:val="0"/>
        </w:rPr>
        <w:t xml:space="preserve"> </w:t>
      </w:r>
      <w:r>
        <w:rPr>
          <w:snapToGrid w:val="0"/>
        </w:rPr>
        <w:t>[Peter Accountant]</w:t>
      </w:r>
      <w:r w:rsidRPr="00E62399">
        <w:rPr>
          <w:snapToGrid w:val="0"/>
        </w:rPr>
        <w:t xml:space="preserve"> </w:t>
      </w:r>
      <w:r>
        <w:rPr>
          <w:snapToGrid w:val="0"/>
        </w:rPr>
        <w:t>was negligent. Otherwise, [Smith &amp; Jones, LLC, LLP, PC] is not liable.</w:t>
      </w:r>
    </w:p>
    <w:p w14:paraId="7058A366" w14:textId="77777777" w:rsidR="00134D76" w:rsidRDefault="00134D76" w:rsidP="00134D76">
      <w:pPr>
        <w:pStyle w:val="JuryInstructionText"/>
        <w:rPr>
          <w:snapToGrid w:val="0"/>
        </w:rPr>
      </w:pPr>
      <w:r>
        <w:rPr>
          <w:snapToGrid w:val="0"/>
        </w:rPr>
        <w:t>&lt;</w:t>
      </w:r>
      <w:r>
        <w:rPr>
          <w:b/>
          <w:bCs/>
          <w:i/>
          <w:iCs/>
          <w:snapToGrid w:val="0"/>
        </w:rPr>
        <w:t>If there is a dispute about vicarious liability, instruct as follows:</w:t>
      </w:r>
      <w:r>
        <w:rPr>
          <w:snapToGrid w:val="0"/>
        </w:rPr>
        <w:t>&gt;</w:t>
      </w:r>
    </w:p>
    <w:p w14:paraId="13817A91" w14:textId="77777777" w:rsidR="00134D76" w:rsidRDefault="00134D76" w:rsidP="00134D76">
      <w:pPr>
        <w:pStyle w:val="JuryInstructionText"/>
        <w:rPr>
          <w:snapToGrid w:val="0"/>
        </w:rPr>
      </w:pPr>
      <w:r>
        <w:rPr>
          <w:snapToGrid w:val="0"/>
        </w:rPr>
        <w:t>A</w:t>
      </w:r>
      <w:r w:rsidRPr="00C314F8">
        <w:rPr>
          <w:snapToGrid w:val="0"/>
        </w:rPr>
        <w:t xml:space="preserve"> limited liability company, limited liability partnersh</w:t>
      </w:r>
      <w:r>
        <w:rPr>
          <w:snapToGrid w:val="0"/>
        </w:rPr>
        <w:t xml:space="preserve">ip, professional corporation], such as </w:t>
      </w:r>
      <w:r w:rsidRPr="00D5199A">
        <w:rPr>
          <w:snapToGrid w:val="0"/>
        </w:rPr>
        <w:t>[Smith &amp; Jones, LLC, LLP, PC]</w:t>
      </w:r>
      <w:r>
        <w:rPr>
          <w:snapToGrid w:val="0"/>
        </w:rPr>
        <w:t xml:space="preserve">, is legally responsible for </w:t>
      </w:r>
      <w:r>
        <w:rPr>
          <w:snapToGrid w:val="0"/>
        </w:rPr>
        <w:lastRenderedPageBreak/>
        <w:t xml:space="preserve">its employee’s negligence if the negligence happened within the scope of the employee’s </w:t>
      </w:r>
      <w:r w:rsidRPr="002E47D4">
        <w:rPr>
          <w:snapToGrid w:val="0"/>
        </w:rPr>
        <w:t>employment</w:t>
      </w:r>
      <w:r>
        <w:rPr>
          <w:snapToGrid w:val="0"/>
        </w:rPr>
        <w:t>.</w:t>
      </w:r>
    </w:p>
    <w:p w14:paraId="6947BF8D" w14:textId="77777777" w:rsidR="00134D76" w:rsidRDefault="00134D76" w:rsidP="00134D76">
      <w:pPr>
        <w:pStyle w:val="JuryInstructionText"/>
        <w:rPr>
          <w:snapToGrid w:val="0"/>
        </w:rPr>
      </w:pPr>
      <w:r>
        <w:rPr>
          <w:snapToGrid w:val="0"/>
        </w:rPr>
        <w:t xml:space="preserve">To prove his/her/its case against [Smith &amp; Jones, LLC, LLP, PC], PLF must prove, more likely than not, that </w:t>
      </w:r>
      <w:r w:rsidRPr="00D5199A">
        <w:rPr>
          <w:snapToGrid w:val="0"/>
        </w:rPr>
        <w:t>[Peter Accountant]</w:t>
      </w:r>
      <w:r>
        <w:rPr>
          <w:snapToGrid w:val="0"/>
        </w:rPr>
        <w:t xml:space="preserve"> was acting within the scope of his employment at the time </w:t>
      </w:r>
      <w:r w:rsidRPr="00F513A7">
        <w:t>s</w:t>
      </w:r>
      <w:r>
        <w:t>/</w:t>
      </w:r>
      <w:r w:rsidRPr="00F513A7">
        <w:t xml:space="preserve">he/it </w:t>
      </w:r>
      <w:r>
        <w:rPr>
          <w:snapToGrid w:val="0"/>
        </w:rPr>
        <w:t>provided the [legal services, accounting services, engineering services, etc.] at issue.</w:t>
      </w:r>
    </w:p>
    <w:p w14:paraId="008C6AE1" w14:textId="77777777" w:rsidR="00134D76" w:rsidRDefault="00134D76" w:rsidP="00134D76">
      <w:pPr>
        <w:pStyle w:val="JuryInstructionText"/>
        <w:rPr>
          <w:snapToGrid w:val="0"/>
        </w:rPr>
      </w:pPr>
      <w:r>
        <w:rPr>
          <w:snapToGrid w:val="0"/>
        </w:rPr>
        <w:t xml:space="preserve">To decide whether [Peter Accountant] was acting within the scope of his/her/its employment with </w:t>
      </w:r>
      <w:r w:rsidRPr="009938CC">
        <w:rPr>
          <w:snapToGrid w:val="0"/>
        </w:rPr>
        <w:t>[Smith &amp; Jones, LLC, LLP, PC]</w:t>
      </w:r>
      <w:r>
        <w:rPr>
          <w:snapToGrid w:val="0"/>
        </w:rPr>
        <w:t>, you may consider the following questions:</w:t>
      </w:r>
      <w:r>
        <w:rPr>
          <w:rStyle w:val="FootnoteReference"/>
          <w:rFonts w:ascii="Arial" w:hAnsi="Arial" w:cs="Arial"/>
          <w:snapToGrid w:val="0"/>
        </w:rPr>
        <w:footnoteReference w:id="14"/>
      </w:r>
    </w:p>
    <w:p w14:paraId="25ECE75F" w14:textId="51F659A0" w:rsidR="00134D76" w:rsidRDefault="00134D76" w:rsidP="00CD7D80">
      <w:pPr>
        <w:pStyle w:val="JuryInstructionBullets"/>
        <w:rPr>
          <w:b/>
          <w:snapToGrid w:val="0"/>
        </w:rPr>
      </w:pPr>
      <w:r>
        <w:rPr>
          <w:snapToGrid w:val="0"/>
        </w:rPr>
        <w:t>Was [Peter Accountant] doing the kind of work that [the firm] hired</w:t>
      </w:r>
      <w:r w:rsidRPr="009938CC">
        <w:rPr>
          <w:snapToGrid w:val="0"/>
        </w:rPr>
        <w:t xml:space="preserve"> </w:t>
      </w:r>
      <w:r>
        <w:rPr>
          <w:snapToGrid w:val="0"/>
        </w:rPr>
        <w:t xml:space="preserve">him </w:t>
      </w:r>
      <w:r w:rsidRPr="009938CC">
        <w:rPr>
          <w:snapToGrid w:val="0"/>
        </w:rPr>
        <w:t>to perform</w:t>
      </w:r>
      <w:r>
        <w:rPr>
          <w:snapToGrid w:val="0"/>
        </w:rPr>
        <w:t>?</w:t>
      </w:r>
    </w:p>
    <w:p w14:paraId="0C74F2BF" w14:textId="29297D05" w:rsidR="00134D76" w:rsidRDefault="00134D76" w:rsidP="00CD7D80">
      <w:pPr>
        <w:pStyle w:val="JuryInstructionBullets"/>
        <w:rPr>
          <w:snapToGrid w:val="0"/>
        </w:rPr>
      </w:pPr>
      <w:r>
        <w:rPr>
          <w:snapToGrid w:val="0"/>
        </w:rPr>
        <w:t xml:space="preserve">Did </w:t>
      </w:r>
      <w:r w:rsidRPr="009938CC">
        <w:rPr>
          <w:snapToGrid w:val="0"/>
        </w:rPr>
        <w:t>[Peter Accountant]</w:t>
      </w:r>
      <w:r>
        <w:rPr>
          <w:snapToGrid w:val="0"/>
        </w:rPr>
        <w:t xml:space="preserve"> do his work mostly</w:t>
      </w:r>
      <w:r w:rsidRPr="009938CC">
        <w:rPr>
          <w:snapToGrid w:val="0"/>
        </w:rPr>
        <w:t xml:space="preserve"> </w:t>
      </w:r>
      <w:r>
        <w:rPr>
          <w:snapToGrid w:val="0"/>
        </w:rPr>
        <w:t>during</w:t>
      </w:r>
      <w:r w:rsidRPr="009938CC">
        <w:rPr>
          <w:snapToGrid w:val="0"/>
        </w:rPr>
        <w:t xml:space="preserve"> the </w:t>
      </w:r>
      <w:r>
        <w:rPr>
          <w:snapToGrid w:val="0"/>
        </w:rPr>
        <w:t>hours when [and at the location where] [the firm] hired him to work?</w:t>
      </w:r>
    </w:p>
    <w:p w14:paraId="7D913015" w14:textId="54C794B2" w:rsidR="00134D76" w:rsidRDefault="00134D76" w:rsidP="00CD7D80">
      <w:pPr>
        <w:pStyle w:val="JuryInstructionBullets"/>
        <w:rPr>
          <w:b/>
          <w:snapToGrid w:val="0"/>
        </w:rPr>
      </w:pPr>
      <w:r>
        <w:rPr>
          <w:snapToGrid w:val="0"/>
        </w:rPr>
        <w:t>Did [Peter Accountant] do the work,</w:t>
      </w:r>
      <w:r w:rsidRPr="009938CC">
        <w:rPr>
          <w:snapToGrid w:val="0"/>
        </w:rPr>
        <w:t xml:space="preserve"> at least in part, </w:t>
      </w:r>
      <w:r>
        <w:rPr>
          <w:snapToGrid w:val="0"/>
        </w:rPr>
        <w:t>for the purpose of serving [the Firm]?</w:t>
      </w:r>
    </w:p>
    <w:p w14:paraId="45EEA202" w14:textId="576BF9D1" w:rsidR="00134D76" w:rsidRPr="00D62AA2" w:rsidRDefault="00134D76" w:rsidP="00CD7D80">
      <w:pPr>
        <w:pStyle w:val="JuryInst3"/>
      </w:pPr>
      <w:r w:rsidRPr="00D62AA2">
        <w:t>Damages</w:t>
      </w:r>
    </w:p>
    <w:p w14:paraId="6EC9F912" w14:textId="5A6AF412" w:rsidR="00134D76" w:rsidRPr="00D62AA2" w:rsidRDefault="00134D76" w:rsidP="00CD7D80">
      <w:pPr>
        <w:pStyle w:val="JuryInst4"/>
      </w:pPr>
      <w:r w:rsidRPr="00D62AA2">
        <w:t>Overview Of Damages</w:t>
      </w:r>
    </w:p>
    <w:p w14:paraId="55651947" w14:textId="77777777" w:rsidR="00134D76" w:rsidRDefault="00134D76" w:rsidP="00134D76">
      <w:pPr>
        <w:pStyle w:val="JuryInstructionText"/>
      </w:pPr>
      <w:r w:rsidRPr="00DB12CB">
        <w:t xml:space="preserve">If you find that </w:t>
      </w:r>
      <w:r>
        <w:t>DFT</w:t>
      </w:r>
      <w:r w:rsidRPr="00DB12CB">
        <w:t xml:space="preserve"> was negligent and that </w:t>
      </w:r>
      <w:r>
        <w:t>DFT</w:t>
      </w:r>
      <w:r w:rsidRPr="00DB12CB">
        <w:t xml:space="preserve">’s negligence caused </w:t>
      </w:r>
      <w:r>
        <w:t>harm</w:t>
      </w:r>
      <w:r w:rsidRPr="00DB12CB">
        <w:t xml:space="preserve"> to </w:t>
      </w:r>
      <w:r>
        <w:t>PLF</w:t>
      </w:r>
      <w:r w:rsidRPr="00DB12CB">
        <w:t xml:space="preserve">, then you must decide </w:t>
      </w:r>
      <w:r>
        <w:t>what amount, if any, of damages, that is, compensation,</w:t>
      </w:r>
      <w:r w:rsidRPr="00DB12CB">
        <w:t xml:space="preserve"> </w:t>
      </w:r>
      <w:r>
        <w:t xml:space="preserve">to award her/him/it </w:t>
      </w:r>
      <w:r w:rsidRPr="00DB12CB">
        <w:t>for the actual financial loss s</w:t>
      </w:r>
      <w:r>
        <w:t>/</w:t>
      </w:r>
      <w:r w:rsidRPr="00DB12CB">
        <w:t>he</w:t>
      </w:r>
      <w:r>
        <w:t>/it</w:t>
      </w:r>
      <w:r w:rsidRPr="00DB12CB">
        <w:t xml:space="preserve"> suffered. </w:t>
      </w:r>
      <w:r w:rsidRPr="00A957F8">
        <w:t>Of course, the fact that I am instructing you on damages does not suggest</w:t>
      </w:r>
      <w:r>
        <w:t xml:space="preserve"> you should find DFT was negligent or that you should award damages.</w:t>
      </w:r>
    </w:p>
    <w:p w14:paraId="2287AECF" w14:textId="77777777" w:rsidR="00134D76" w:rsidRDefault="00134D76" w:rsidP="00134D76">
      <w:pPr>
        <w:pStyle w:val="JuryInstructionText"/>
      </w:pPr>
      <w:r>
        <w:t>An [</w:t>
      </w:r>
      <w:r w:rsidRPr="003C2397">
        <w:t>attorney</w:t>
      </w:r>
      <w:r>
        <w:t>, accountant, etc.]</w:t>
      </w:r>
      <w:r w:rsidRPr="003C2397">
        <w:t xml:space="preserve"> who </w:t>
      </w:r>
      <w:r>
        <w:t xml:space="preserve">acts negligently </w:t>
      </w:r>
      <w:r w:rsidRPr="003C2397">
        <w:t xml:space="preserve">is liable to </w:t>
      </w:r>
      <w:r>
        <w:t>the</w:t>
      </w:r>
      <w:r w:rsidRPr="003C2397">
        <w:t xml:space="preserve"> client </w:t>
      </w:r>
      <w:r>
        <w:t xml:space="preserve">[third party] </w:t>
      </w:r>
      <w:r w:rsidRPr="003C2397">
        <w:t xml:space="preserve">for any reasonably foreseeable loss or </w:t>
      </w:r>
      <w:r>
        <w:t>expense</w:t>
      </w:r>
      <w:r w:rsidRPr="003C2397">
        <w:t xml:space="preserve"> caused by his</w:t>
      </w:r>
      <w:r>
        <w:t>/her/its</w:t>
      </w:r>
      <w:r w:rsidRPr="003C2397">
        <w:t xml:space="preserve"> negligence.</w:t>
      </w:r>
    </w:p>
    <w:p w14:paraId="4A49F1E6" w14:textId="77777777" w:rsidR="00134D76" w:rsidRDefault="00134D76" w:rsidP="00134D76">
      <w:pPr>
        <w:pStyle w:val="JuryInstructionText"/>
      </w:pPr>
      <w:r w:rsidRPr="006565B3">
        <w:lastRenderedPageBreak/>
        <w:t xml:space="preserve">The purpose of your damages award is to compensate </w:t>
      </w:r>
      <w:r>
        <w:t>PLF</w:t>
      </w:r>
      <w:r w:rsidRPr="006565B3">
        <w:t xml:space="preserve"> for the harm </w:t>
      </w:r>
      <w:r>
        <w:t>he/she/it</w:t>
      </w:r>
      <w:r w:rsidRPr="006565B3">
        <w:t xml:space="preserve"> suffere</w:t>
      </w:r>
      <w:r>
        <w:t xml:space="preserve">d because of DFT’s negligence. </w:t>
      </w:r>
      <w:r w:rsidRPr="006565B3">
        <w:t xml:space="preserve">You must not use your damages award to reward </w:t>
      </w:r>
      <w:r>
        <w:t>PLF, or</w:t>
      </w:r>
      <w:r w:rsidRPr="006565B3">
        <w:t xml:space="preserve"> to punish </w:t>
      </w:r>
      <w:r>
        <w:t>DFT</w:t>
      </w:r>
      <w:r w:rsidRPr="006565B3">
        <w:t>.</w:t>
      </w:r>
    </w:p>
    <w:p w14:paraId="11D1CEF6" w14:textId="77777777" w:rsidR="00134D76" w:rsidRDefault="00134D76" w:rsidP="00134D76">
      <w:pPr>
        <w:pStyle w:val="JuryInstructionText"/>
      </w:pPr>
      <w:r w:rsidRPr="006565B3">
        <w:t>The law gives you no special fo</w:t>
      </w:r>
      <w:r>
        <w:t>rmula to calculate PLF’s damages.</w:t>
      </w:r>
      <w:r>
        <w:rPr>
          <w:rStyle w:val="FootnoteReference"/>
          <w:rFonts w:ascii="Arial" w:hAnsi="Arial" w:cs="Arial"/>
        </w:rPr>
        <w:footnoteReference w:id="15"/>
      </w:r>
      <w:r>
        <w:t xml:space="preserve"> </w:t>
      </w:r>
      <w:r w:rsidRPr="006565B3">
        <w:t>So, working together as a jury, you must use your wisdom, judgment</w:t>
      </w:r>
      <w:r>
        <w:t>,</w:t>
      </w:r>
      <w:r w:rsidRPr="006565B3">
        <w:t xml:space="preserve"> and sense of basic justice to translate into dollars an amount that will</w:t>
      </w:r>
      <w:r>
        <w:t xml:space="preserve"> </w:t>
      </w:r>
      <w:r w:rsidRPr="006565B3">
        <w:t xml:space="preserve">fairly and reasonably compensate </w:t>
      </w:r>
      <w:r>
        <w:t>PLF</w:t>
      </w:r>
      <w:r w:rsidRPr="006565B3">
        <w:t xml:space="preserve"> for the </w:t>
      </w:r>
      <w:proofErr w:type="gramStart"/>
      <w:r w:rsidRPr="006565B3">
        <w:t>pa</w:t>
      </w:r>
      <w:r>
        <w:t>rticular harm</w:t>
      </w:r>
      <w:proofErr w:type="gramEnd"/>
      <w:r>
        <w:t xml:space="preserve"> you find he/she/it incurred.</w:t>
      </w:r>
    </w:p>
    <w:p w14:paraId="38FD7501" w14:textId="77777777" w:rsidR="00134D76" w:rsidRDefault="00134D76" w:rsidP="00134D76">
      <w:pPr>
        <w:pStyle w:val="JuryInstructionText"/>
      </w:pPr>
      <w:r>
        <w:t>PLF</w:t>
      </w:r>
      <w:r w:rsidRPr="006565B3">
        <w:t xml:space="preserve"> must show,</w:t>
      </w:r>
      <w:r>
        <w:t xml:space="preserve"> more likely than not, what his/her/its damages are. </w:t>
      </w:r>
      <w:r w:rsidRPr="006565B3">
        <w:t>However, the law does not require any witness to express an opinion ab</w:t>
      </w:r>
      <w:r>
        <w:t>out the amount of such damage. PLF</w:t>
      </w:r>
      <w:r w:rsidRPr="006565B3">
        <w:t xml:space="preserve"> may prove damages by direct evidence, indirect ev</w:t>
      </w:r>
      <w:r>
        <w:t xml:space="preserve">idence, or both. </w:t>
      </w:r>
    </w:p>
    <w:p w14:paraId="6E7E85B2" w14:textId="77777777" w:rsidR="00134D76" w:rsidRDefault="00134D76" w:rsidP="00134D76">
      <w:pPr>
        <w:pStyle w:val="JuryInstructionText"/>
      </w:pPr>
      <w:r>
        <w:t>[</w:t>
      </w:r>
      <w:r w:rsidRPr="00B912AB">
        <w:t>Interest and Taxes</w:t>
      </w:r>
      <w:r>
        <w:t xml:space="preserve">] </w:t>
      </w:r>
      <w:r w:rsidRPr="00B912AB">
        <w:t xml:space="preserve">You must not consider any interest on your damages award. The court will calculate interest on any award. </w:t>
      </w:r>
      <w:r>
        <w:t xml:space="preserve">And, you </w:t>
      </w:r>
      <w:r w:rsidRPr="00B912AB">
        <w:t>may</w:t>
      </w:r>
      <w:r>
        <w:t xml:space="preserve"> not </w:t>
      </w:r>
      <w:r w:rsidRPr="00B912AB">
        <w:t xml:space="preserve">consider </w:t>
      </w:r>
      <w:r>
        <w:t xml:space="preserve">the impact, if any, of </w:t>
      </w:r>
      <w:r w:rsidRPr="00B912AB">
        <w:t>federal or state income taxes because any damages in this case may or may not be subject to taxation. Someone else will have to address any tax considerations, depending upon what you decide. In other words, just follow my instructions on what issues to consider</w:t>
      </w:r>
      <w:r>
        <w:t xml:space="preserve"> in awarding damages</w:t>
      </w:r>
      <w:r w:rsidRPr="00B912AB">
        <w:t>.</w:t>
      </w:r>
    </w:p>
    <w:p w14:paraId="06DBF1CF" w14:textId="77777777" w:rsidR="00134D76" w:rsidRPr="006565B3" w:rsidRDefault="00134D76" w:rsidP="00134D76">
      <w:pPr>
        <w:pStyle w:val="JuryInstructionText"/>
      </w:pPr>
      <w:r w:rsidRPr="006565B3">
        <w:t>Now, let me turn to the specific types of damages that you should consider.</w:t>
      </w:r>
    </w:p>
    <w:p w14:paraId="3ED8344B" w14:textId="08EB4ED1" w:rsidR="00134D76" w:rsidRPr="00044F73" w:rsidRDefault="00B634FE" w:rsidP="00CD7D80">
      <w:pPr>
        <w:pStyle w:val="JuryInst4"/>
      </w:pPr>
      <w:r>
        <w:lastRenderedPageBreak/>
        <w:t>Damages for Attorney Representing Plaintiff in a</w:t>
      </w:r>
      <w:r w:rsidR="00134D76" w:rsidRPr="00044F73">
        <w:t xml:space="preserve"> Civil Case </w:t>
      </w:r>
    </w:p>
    <w:p w14:paraId="075AED87" w14:textId="77777777" w:rsidR="00134D76" w:rsidRDefault="00134D76" w:rsidP="004C071E">
      <w:pPr>
        <w:pStyle w:val="JuryInstructionText"/>
        <w:keepLines/>
      </w:pPr>
      <w:r>
        <w:t xml:space="preserve">In this case, PLF claims DFT was negligent in [failing to adequately settle / litigate the underlying civil case]. Please remember that PLF’s damages are limited to the amount PLF shows she/he/it would have been able to </w:t>
      </w:r>
      <w:proofErr w:type="gramStart"/>
      <w:r>
        <w:t>actually collect</w:t>
      </w:r>
      <w:proofErr w:type="gramEnd"/>
      <w:r>
        <w:t xml:space="preserve"> from the opposing party in the underlying case.</w:t>
      </w:r>
      <w:r>
        <w:rPr>
          <w:rStyle w:val="FootnoteReference"/>
          <w:rFonts w:ascii="Arial" w:hAnsi="Arial" w:cs="Arial"/>
        </w:rPr>
        <w:footnoteReference w:id="16"/>
      </w:r>
    </w:p>
    <w:p w14:paraId="46570412" w14:textId="42F52BC9" w:rsidR="00134D76" w:rsidRPr="00D62AA2" w:rsidRDefault="004C071E" w:rsidP="004C071E">
      <w:pPr>
        <w:pStyle w:val="JuryInst4"/>
      </w:pPr>
      <w:r>
        <w:t xml:space="preserve">Damages for </w:t>
      </w:r>
      <w:r w:rsidR="00134D76" w:rsidRPr="00044F73">
        <w:t>Accountant Negligence</w:t>
      </w:r>
      <w:r w:rsidR="00134D76">
        <w:t xml:space="preserve"> </w:t>
      </w:r>
      <w:r>
        <w:t xml:space="preserve">in </w:t>
      </w:r>
      <w:r w:rsidR="00134D76" w:rsidRPr="00D62AA2">
        <w:t>Tax Preparation</w:t>
      </w:r>
    </w:p>
    <w:p w14:paraId="73ECC08C" w14:textId="03E9CB63" w:rsidR="00CD7D80" w:rsidRDefault="00CD7D80" w:rsidP="00134D76">
      <w:pPr>
        <w:pStyle w:val="JuryInstructionText"/>
      </w:pPr>
      <w:r>
        <w:t>&lt;</w:t>
      </w:r>
      <w:r>
        <w:rPr>
          <w:b/>
          <w:bCs/>
          <w:i/>
          <w:iCs/>
        </w:rPr>
        <w:t>if claim is for Overpayment of Taxes</w:t>
      </w:r>
      <w:r>
        <w:t>&gt;</w:t>
      </w:r>
    </w:p>
    <w:p w14:paraId="354A9E55" w14:textId="3B2C4299" w:rsidR="00134D76" w:rsidRDefault="00134D76" w:rsidP="00134D76">
      <w:pPr>
        <w:pStyle w:val="JuryInstructionText"/>
      </w:pPr>
      <w:r>
        <w:t>I</w:t>
      </w:r>
      <w:r w:rsidRPr="00565BD0">
        <w:t xml:space="preserve">n this case, </w:t>
      </w:r>
      <w:r>
        <w:t>PLF</w:t>
      </w:r>
      <w:r w:rsidRPr="00565BD0">
        <w:t xml:space="preserve"> claims </w:t>
      </w:r>
      <w:r>
        <w:t xml:space="preserve">DFT’s </w:t>
      </w:r>
      <w:r w:rsidRPr="00565BD0">
        <w:t>negligen</w:t>
      </w:r>
      <w:r>
        <w:t xml:space="preserve">ce in </w:t>
      </w:r>
      <w:r w:rsidRPr="00565BD0">
        <w:t>preparing her</w:t>
      </w:r>
      <w:r>
        <w:t>/his/its</w:t>
      </w:r>
      <w:r w:rsidRPr="00565BD0">
        <w:t xml:space="preserve"> tax returns</w:t>
      </w:r>
      <w:r>
        <w:t xml:space="preserve"> resulted in her/him/it paying more taxes than </w:t>
      </w:r>
      <w:r w:rsidRPr="00F513A7">
        <w:t>s</w:t>
      </w:r>
      <w:r>
        <w:t>/</w:t>
      </w:r>
      <w:r w:rsidRPr="00F513A7">
        <w:t xml:space="preserve">he/it </w:t>
      </w:r>
      <w:r>
        <w:t xml:space="preserve">should have. In such a case, </w:t>
      </w:r>
      <w:r w:rsidRPr="00E918EF">
        <w:t xml:space="preserve">the amount of damages </w:t>
      </w:r>
      <w:r>
        <w:t xml:space="preserve">PLF is entitled to </w:t>
      </w:r>
      <w:r w:rsidRPr="00E918EF">
        <w:t xml:space="preserve">is the </w:t>
      </w:r>
      <w:r>
        <w:t>amount of taxes PLF</w:t>
      </w:r>
      <w:r w:rsidRPr="00E918EF">
        <w:t xml:space="preserve"> paid because of the accountant's negligence</w:t>
      </w:r>
      <w:r>
        <w:t>, less the amount of taxes PLF</w:t>
      </w:r>
      <w:r w:rsidRPr="00E918EF">
        <w:t xml:space="preserve"> would have </w:t>
      </w:r>
      <w:r>
        <w:t xml:space="preserve">paid without DFT’s </w:t>
      </w:r>
      <w:r w:rsidRPr="00E918EF">
        <w:t>negligence</w:t>
      </w:r>
      <w:r>
        <w:t>, plus related expenses such as the cost to PLF in amending and correcting the tax return.</w:t>
      </w:r>
      <w:r>
        <w:rPr>
          <w:rStyle w:val="FootnoteReference"/>
          <w:rFonts w:ascii="Arial" w:hAnsi="Arial" w:cs="Arial"/>
        </w:rPr>
        <w:footnoteReference w:id="17"/>
      </w:r>
    </w:p>
    <w:p w14:paraId="2C03B2D0" w14:textId="0AD9E1B8" w:rsidR="00CD7D80" w:rsidRDefault="00CD7D80" w:rsidP="00134D76">
      <w:pPr>
        <w:pStyle w:val="JuryInstructionText"/>
      </w:pPr>
      <w:r>
        <w:t>&lt;</w:t>
      </w:r>
      <w:r>
        <w:rPr>
          <w:b/>
          <w:bCs/>
          <w:i/>
          <w:iCs/>
        </w:rPr>
        <w:t>if claim is for Tax Deficiency Incurred or Assessed</w:t>
      </w:r>
      <w:r>
        <w:t>&gt;</w:t>
      </w:r>
    </w:p>
    <w:p w14:paraId="0BA1424F" w14:textId="77777777" w:rsidR="00134D76" w:rsidRDefault="00134D76" w:rsidP="00134D76">
      <w:pPr>
        <w:pStyle w:val="JuryInstructionText"/>
      </w:pPr>
      <w:r>
        <w:t>In this case, PLF claims DFT’s negligence in preparing her/his/its tax returns resulted in he/she/it owing additional taxes to the Internal Revenue Service or Department of Revenue. We call this a tax deficiency. In such a case, the amount of a tax deficiency is not necessarily the amount of damages you should award.</w:t>
      </w:r>
      <w:r>
        <w:rPr>
          <w:rStyle w:val="FootnoteReference"/>
          <w:rFonts w:ascii="Arial" w:hAnsi="Arial" w:cs="Arial"/>
        </w:rPr>
        <w:t xml:space="preserve"> </w:t>
      </w:r>
      <w:r>
        <w:rPr>
          <w:rStyle w:val="FootnoteReference"/>
          <w:rFonts w:ascii="Arial" w:hAnsi="Arial" w:cs="Arial"/>
        </w:rPr>
        <w:footnoteReference w:id="18"/>
      </w:r>
      <w:r>
        <w:t xml:space="preserve"> Instead, </w:t>
      </w:r>
      <w:r w:rsidRPr="00E918EF">
        <w:t xml:space="preserve">the amount of damages </w:t>
      </w:r>
      <w:r>
        <w:t xml:space="preserve">PLF is entitled to </w:t>
      </w:r>
      <w:r w:rsidRPr="00E918EF">
        <w:t>is</w:t>
      </w:r>
      <w:r>
        <w:t>:</w:t>
      </w:r>
    </w:p>
    <w:p w14:paraId="44799170" w14:textId="7961F527" w:rsidR="00134D76" w:rsidRDefault="00134D76" w:rsidP="00CD7D80">
      <w:pPr>
        <w:pStyle w:val="JuryInstructionBullets"/>
      </w:pPr>
      <w:r>
        <w:tab/>
        <w:t>T</w:t>
      </w:r>
      <w:r w:rsidRPr="00E918EF">
        <w:t xml:space="preserve">he </w:t>
      </w:r>
      <w:r>
        <w:t>amount of taxes PLF</w:t>
      </w:r>
      <w:r w:rsidRPr="00E918EF">
        <w:t xml:space="preserve"> paid because of the accountant's </w:t>
      </w:r>
      <w:proofErr w:type="gramStart"/>
      <w:r w:rsidRPr="00E918EF">
        <w:t>negligence</w:t>
      </w:r>
      <w:r>
        <w:t>;</w:t>
      </w:r>
      <w:proofErr w:type="gramEnd"/>
    </w:p>
    <w:p w14:paraId="06CD4D22" w14:textId="3E06CE35" w:rsidR="00134D76" w:rsidRDefault="00134D76" w:rsidP="00CD7D80">
      <w:pPr>
        <w:pStyle w:val="JuryInstructionBullets"/>
      </w:pPr>
      <w:r w:rsidRPr="00CD7D80">
        <w:rPr>
          <w:b/>
          <w:bCs/>
        </w:rPr>
        <w:t>Minus</w:t>
      </w:r>
      <w:r>
        <w:t xml:space="preserve"> the amount of taxes PLF</w:t>
      </w:r>
      <w:r w:rsidRPr="00E918EF">
        <w:t xml:space="preserve"> would have </w:t>
      </w:r>
      <w:r>
        <w:t xml:space="preserve">paid without DFT’s </w:t>
      </w:r>
      <w:proofErr w:type="gramStart"/>
      <w:r w:rsidRPr="00E918EF">
        <w:t>negligence</w:t>
      </w:r>
      <w:r>
        <w:t>;</w:t>
      </w:r>
      <w:proofErr w:type="gramEnd"/>
    </w:p>
    <w:p w14:paraId="0D14C3DB" w14:textId="2621969B" w:rsidR="00134D76" w:rsidRDefault="00134D76" w:rsidP="00CD7D80">
      <w:pPr>
        <w:pStyle w:val="JuryInstructionBullets"/>
      </w:pPr>
      <w:proofErr w:type="gramStart"/>
      <w:r w:rsidRPr="00CD7D80">
        <w:rPr>
          <w:b/>
          <w:bCs/>
        </w:rPr>
        <w:lastRenderedPageBreak/>
        <w:t>Plus</w:t>
      </w:r>
      <w:proofErr w:type="gramEnd"/>
      <w:r w:rsidRPr="00CA08E9">
        <w:t xml:space="preserve"> the interest and penalties </w:t>
      </w:r>
      <w:r>
        <w:t xml:space="preserve">PLF actually </w:t>
      </w:r>
      <w:r w:rsidRPr="00CA08E9">
        <w:t xml:space="preserve">paid on the portion of the tax deficiency </w:t>
      </w:r>
      <w:r>
        <w:t xml:space="preserve">caused by DFT’s </w:t>
      </w:r>
      <w:r w:rsidRPr="00CA08E9">
        <w:t>negligence</w:t>
      </w:r>
      <w:r>
        <w:t>;</w:t>
      </w:r>
    </w:p>
    <w:p w14:paraId="70AA6C5E" w14:textId="73BC44C1" w:rsidR="00134D76" w:rsidRPr="00B732F3" w:rsidRDefault="00134D76" w:rsidP="00CD7D80">
      <w:pPr>
        <w:pStyle w:val="JuryInstructionBullets"/>
        <w:rPr>
          <w:vertAlign w:val="superscript"/>
        </w:rPr>
      </w:pPr>
      <w:r>
        <w:tab/>
      </w:r>
      <w:proofErr w:type="gramStart"/>
      <w:r w:rsidRPr="00CD7D80">
        <w:rPr>
          <w:b/>
          <w:bCs/>
        </w:rPr>
        <w:t>Plus</w:t>
      </w:r>
      <w:proofErr w:type="gramEnd"/>
      <w:r>
        <w:t xml:space="preserve"> expenses paid by PLF because of DFT’s negligence, such as the cost to PLF in amending and correcting the tax return.</w:t>
      </w:r>
      <w:r>
        <w:rPr>
          <w:rStyle w:val="FootnoteReference"/>
          <w:rFonts w:ascii="Arial" w:hAnsi="Arial" w:cs="Arial"/>
        </w:rPr>
        <w:footnoteReference w:id="19"/>
      </w:r>
      <w:r>
        <w:rPr>
          <w:vertAlign w:val="superscript"/>
        </w:rPr>
        <w:t xml:space="preserve">, </w:t>
      </w:r>
      <w:r>
        <w:rPr>
          <w:rStyle w:val="FootnoteReference"/>
          <w:rFonts w:ascii="Arial" w:hAnsi="Arial" w:cs="Arial"/>
        </w:rPr>
        <w:footnoteReference w:id="20"/>
      </w:r>
    </w:p>
    <w:p w14:paraId="550C3ABF" w14:textId="1B6EF5BB" w:rsidR="00134D76" w:rsidRPr="001514F3" w:rsidRDefault="004C071E" w:rsidP="00CD7D80">
      <w:pPr>
        <w:pStyle w:val="JuryInst4"/>
      </w:pPr>
      <w:r>
        <w:t xml:space="preserve">Damages for </w:t>
      </w:r>
      <w:r w:rsidR="00134D76" w:rsidRPr="00044F73">
        <w:t>Accountant Negligence</w:t>
      </w:r>
      <w:r w:rsidR="00134D76">
        <w:t xml:space="preserve"> </w:t>
      </w:r>
      <w:r>
        <w:t>–If Evidence of Fraud by Plaintiff or Third Party</w:t>
      </w:r>
      <w:r w:rsidR="00134D76" w:rsidRPr="00D431E8">
        <w:rPr>
          <w:rStyle w:val="FootnoteReference"/>
          <w:rFonts w:ascii="Arial" w:hAnsi="Arial" w:cs="Arial"/>
        </w:rPr>
        <w:footnoteReference w:id="21"/>
      </w:r>
    </w:p>
    <w:p w14:paraId="5136A11B" w14:textId="77777777" w:rsidR="00134D76" w:rsidRPr="001514F3" w:rsidRDefault="00134D76" w:rsidP="00134D76">
      <w:pPr>
        <w:pStyle w:val="JuryInstructionText"/>
      </w:pPr>
      <w:r>
        <w:t>As part of its defense, DFT</w:t>
      </w:r>
      <w:r w:rsidRPr="00565BD0">
        <w:t xml:space="preserve"> claims </w:t>
      </w:r>
      <w:r>
        <w:t xml:space="preserve">that PLF [or third party] committed fraud, which caused or worsened PLF’s damages. A licensed public accountant, such as DFT, is liable only for the amount that is due solely to the accountant’s fault. This means that you must use the following method to calculate PLF’s damages: </w:t>
      </w:r>
    </w:p>
    <w:p w14:paraId="37CF5BFB" w14:textId="0AD5CABF" w:rsidR="00134D76" w:rsidRDefault="00134D76" w:rsidP="00134D76">
      <w:pPr>
        <w:pStyle w:val="JuryInstructionText"/>
      </w:pPr>
      <w:r>
        <w:t xml:space="preserve">First, you must calculate the </w:t>
      </w:r>
      <w:proofErr w:type="gramStart"/>
      <w:r>
        <w:t>amount</w:t>
      </w:r>
      <w:proofErr w:type="gramEnd"/>
      <w:r>
        <w:t xml:space="preserve"> of damages PLF has proved and enter that amount on the verdict form in response to Question No. __. </w:t>
      </w:r>
    </w:p>
    <w:p w14:paraId="2908777D" w14:textId="46CFC3A0" w:rsidR="00134D76" w:rsidRDefault="00134D76" w:rsidP="00134D76">
      <w:pPr>
        <w:pStyle w:val="JuryInstructionText"/>
      </w:pPr>
      <w:r>
        <w:t>Second, after doing that, you must decide whether DFT, not PLF, proved the following two things are more likely true than not true:</w:t>
      </w:r>
    </w:p>
    <w:p w14:paraId="44DCBEF1" w14:textId="04317BAA" w:rsidR="00134D76" w:rsidRDefault="00134D76" w:rsidP="004C071E">
      <w:pPr>
        <w:pStyle w:val="JuryInstructionBullets"/>
      </w:pPr>
      <w:r>
        <w:t xml:space="preserve">That </w:t>
      </w:r>
      <w:r w:rsidRPr="005C6234">
        <w:t>P</w:t>
      </w:r>
      <w:r>
        <w:t>LF’s</w:t>
      </w:r>
      <w:r w:rsidRPr="005C6234">
        <w:t xml:space="preserve"> [or third party</w:t>
      </w:r>
      <w:r>
        <w:t>’s</w:t>
      </w:r>
      <w:r w:rsidRPr="005C6234">
        <w:t xml:space="preserve">] </w:t>
      </w:r>
      <w:r>
        <w:t xml:space="preserve">fraud </w:t>
      </w:r>
      <w:r w:rsidRPr="005C6234">
        <w:t>caused or worsened P</w:t>
      </w:r>
      <w:r>
        <w:t>LF</w:t>
      </w:r>
      <w:r w:rsidRPr="005C6234">
        <w:t xml:space="preserve">’s harm </w:t>
      </w:r>
      <w:r>
        <w:t>or</w:t>
      </w:r>
      <w:r w:rsidRPr="005C6234">
        <w:t xml:space="preserve"> damages</w:t>
      </w:r>
      <w:r>
        <w:t>; and,</w:t>
      </w:r>
    </w:p>
    <w:p w14:paraId="6395F6CB" w14:textId="7961D423" w:rsidR="00134D76" w:rsidRDefault="00134D76" w:rsidP="004C071E">
      <w:pPr>
        <w:pStyle w:val="JuryInstructionBullets"/>
      </w:pPr>
      <w:r>
        <w:t xml:space="preserve">That DFT’s own conduct was </w:t>
      </w:r>
      <w:r w:rsidRPr="004C071E">
        <w:rPr>
          <w:b/>
          <w:bCs/>
        </w:rPr>
        <w:t>not</w:t>
      </w:r>
      <w:r>
        <w:t xml:space="preserve"> knowing and willful.</w:t>
      </w:r>
    </w:p>
    <w:p w14:paraId="0B29C262" w14:textId="77777777" w:rsidR="00134D76" w:rsidRDefault="00134D76" w:rsidP="00134D76">
      <w:pPr>
        <w:pStyle w:val="JuryInstructionText"/>
      </w:pPr>
      <w:r>
        <w:tab/>
        <w:t>Knowing and willful conduct is intentional conduct.</w:t>
      </w:r>
      <w:r>
        <w:rPr>
          <w:rStyle w:val="FootnoteReference"/>
          <w:rFonts w:ascii="Arial" w:hAnsi="Arial" w:cs="Arial"/>
        </w:rPr>
        <w:footnoteReference w:id="22"/>
      </w:r>
    </w:p>
    <w:p w14:paraId="5C12EE02" w14:textId="05F300FB" w:rsidR="00134D76" w:rsidRDefault="00134D76" w:rsidP="00134D76">
      <w:pPr>
        <w:pStyle w:val="JuryInstructionText"/>
      </w:pPr>
      <w:r>
        <w:lastRenderedPageBreak/>
        <w:t xml:space="preserve">If DFT failed to prove either of these two things, then PLF is entitled to the full </w:t>
      </w:r>
      <w:proofErr w:type="gramStart"/>
      <w:r>
        <w:t>amount</w:t>
      </w:r>
      <w:proofErr w:type="gramEnd"/>
      <w:r>
        <w:t xml:space="preserve"> of damages you entered on Question No. __ on the verdict form and you don’t need to decide anything else about PLF’s [third party’s] alleged fraud.</w:t>
      </w:r>
      <w:r>
        <w:rPr>
          <w:rStyle w:val="FootnoteReference"/>
          <w:rFonts w:ascii="Arial" w:hAnsi="Arial" w:cs="Arial"/>
        </w:rPr>
        <w:footnoteReference w:id="23"/>
      </w:r>
    </w:p>
    <w:p w14:paraId="5D41BCB5" w14:textId="56793E27" w:rsidR="00134D76" w:rsidRPr="009D01D1" w:rsidRDefault="00134D76" w:rsidP="00134D76">
      <w:pPr>
        <w:pStyle w:val="JuryInstructionText"/>
      </w:pPr>
      <w:r>
        <w:t xml:space="preserve">If DFT proved </w:t>
      </w:r>
      <w:proofErr w:type="gramStart"/>
      <w:r>
        <w:t>both of these</w:t>
      </w:r>
      <w:proofErr w:type="gramEnd"/>
      <w:r>
        <w:t xml:space="preserve"> things, </w:t>
      </w:r>
      <w:r w:rsidRPr="00695D1C">
        <w:t xml:space="preserve">then you must compare </w:t>
      </w:r>
      <w:r>
        <w:t>DFT</w:t>
      </w:r>
      <w:r w:rsidRPr="00695D1C">
        <w:t xml:space="preserve">’s </w:t>
      </w:r>
      <w:r>
        <w:t>fault</w:t>
      </w:r>
      <w:r w:rsidRPr="00695D1C">
        <w:t xml:space="preserve"> to P</w:t>
      </w:r>
      <w:r>
        <w:t>LF’s [or third party’s</w:t>
      </w:r>
      <w:r w:rsidRPr="00695D1C">
        <w:t xml:space="preserve">] </w:t>
      </w:r>
      <w:r>
        <w:t>fault.</w:t>
      </w:r>
      <w:r w:rsidRPr="00CB26B7">
        <w:rPr>
          <w:rStyle w:val="FootnoteReference"/>
          <w:rFonts w:ascii="Arial" w:hAnsi="Arial" w:cs="Arial"/>
        </w:rPr>
        <w:t xml:space="preserve"> </w:t>
      </w:r>
      <w:r>
        <w:rPr>
          <w:rStyle w:val="FootnoteReference"/>
          <w:rFonts w:ascii="Arial" w:hAnsi="Arial" w:cs="Arial"/>
        </w:rPr>
        <w:footnoteReference w:id="24"/>
      </w:r>
      <w:r>
        <w:t xml:space="preserve"> You do this by determining the percentage of fault attributable to PLF’s [or third party’s] </w:t>
      </w:r>
      <w:r w:rsidRPr="009D01D1">
        <w:t xml:space="preserve">fraud in </w:t>
      </w:r>
      <w:r>
        <w:t>causing</w:t>
      </w:r>
      <w:r w:rsidRPr="009D01D1">
        <w:t xml:space="preserve"> P</w:t>
      </w:r>
      <w:r>
        <w:t>LF</w:t>
      </w:r>
      <w:r w:rsidRPr="009D01D1">
        <w:t>’s harm</w:t>
      </w:r>
      <w:r>
        <w:t xml:space="preserve">, and the </w:t>
      </w:r>
      <w:r w:rsidRPr="009D01D1">
        <w:t xml:space="preserve">percentage of fault attributable to </w:t>
      </w:r>
      <w:r>
        <w:t>DFT’s negligence</w:t>
      </w:r>
      <w:r w:rsidRPr="00A653A8">
        <w:t xml:space="preserve"> </w:t>
      </w:r>
      <w:r w:rsidRPr="009D01D1">
        <w:t xml:space="preserve">in </w:t>
      </w:r>
      <w:r>
        <w:t>causing</w:t>
      </w:r>
      <w:r w:rsidRPr="009D01D1">
        <w:t xml:space="preserve"> P</w:t>
      </w:r>
      <w:r>
        <w:t>LF</w:t>
      </w:r>
      <w:r w:rsidRPr="009D01D1">
        <w:t>’s harm</w:t>
      </w:r>
      <w:r>
        <w:t xml:space="preserve">. </w:t>
      </w:r>
      <w:r w:rsidRPr="009D01D1">
        <w:t xml:space="preserve">You express </w:t>
      </w:r>
      <w:r>
        <w:t xml:space="preserve">this </w:t>
      </w:r>
      <w:r w:rsidRPr="009D01D1">
        <w:t xml:space="preserve">in percentages of </w:t>
      </w:r>
      <w:r>
        <w:t>fault</w:t>
      </w:r>
      <w:r w:rsidRPr="009D01D1">
        <w:t xml:space="preserve"> that, when added toge</w:t>
      </w:r>
      <w:r>
        <w:t xml:space="preserve">ther, equal 100%. </w:t>
      </w:r>
      <w:r w:rsidRPr="009D01D1">
        <w:t xml:space="preserve">This is Question </w:t>
      </w:r>
      <w:r>
        <w:t xml:space="preserve">No. __ on the verdict form. </w:t>
      </w:r>
      <w:r w:rsidRPr="009D01D1">
        <w:t xml:space="preserve"> </w:t>
      </w:r>
    </w:p>
    <w:p w14:paraId="3DF160DE" w14:textId="65435B87" w:rsidR="00134D76" w:rsidRPr="00916DD7" w:rsidRDefault="00134D76" w:rsidP="00CD7D80">
      <w:pPr>
        <w:pStyle w:val="JuryInst4"/>
      </w:pPr>
      <w:r w:rsidRPr="00916DD7">
        <w:t>Legal Fees As Element Of Damages</w:t>
      </w:r>
    </w:p>
    <w:p w14:paraId="701DFAD0" w14:textId="77777777" w:rsidR="00134D76" w:rsidRPr="009B47DB" w:rsidRDefault="00134D76" w:rsidP="00134D76">
      <w:pPr>
        <w:pStyle w:val="JuryInstructionText"/>
      </w:pPr>
      <w:r>
        <w:t xml:space="preserve">PLF is entitled to recover the reasonable amount of legal fees and costs </w:t>
      </w:r>
      <w:r w:rsidRPr="00F513A7">
        <w:t>s</w:t>
      </w:r>
      <w:r>
        <w:t>/</w:t>
      </w:r>
      <w:r w:rsidRPr="00F513A7">
        <w:t xml:space="preserve">he/it </w:t>
      </w:r>
      <w:r>
        <w:t xml:space="preserve">paid because </w:t>
      </w:r>
      <w:r w:rsidRPr="00F513A7">
        <w:t>s</w:t>
      </w:r>
      <w:r>
        <w:t>/</w:t>
      </w:r>
      <w:r w:rsidRPr="00F513A7">
        <w:t xml:space="preserve">he/it </w:t>
      </w:r>
      <w:r>
        <w:t xml:space="preserve">had </w:t>
      </w:r>
      <w:r w:rsidRPr="009B47DB">
        <w:t xml:space="preserve">to </w:t>
      </w:r>
      <w:r>
        <w:t>hire [a/</w:t>
      </w:r>
      <w:r w:rsidRPr="009B47DB">
        <w:t>another</w:t>
      </w:r>
      <w:r>
        <w:t>]</w:t>
      </w:r>
      <w:r w:rsidRPr="009B47DB">
        <w:t xml:space="preserve"> lawyer to fix the problem caused by </w:t>
      </w:r>
      <w:r>
        <w:t>DFT’s negligence.</w:t>
      </w:r>
      <w:r>
        <w:rPr>
          <w:rStyle w:val="FootnoteReference"/>
          <w:rFonts w:ascii="Arial" w:hAnsi="Arial" w:cs="Arial"/>
        </w:rPr>
        <w:footnoteReference w:id="25"/>
      </w:r>
      <w:r>
        <w:t xml:space="preserve"> You may consider the legal bills in evidence to decide the amount, if any, to award PLF for the legal fees and costs </w:t>
      </w:r>
      <w:r w:rsidRPr="00F513A7">
        <w:t>s</w:t>
      </w:r>
      <w:r>
        <w:t>/</w:t>
      </w:r>
      <w:r w:rsidRPr="00F513A7">
        <w:t xml:space="preserve">he/it </w:t>
      </w:r>
      <w:r>
        <w:t>paid.</w:t>
      </w:r>
    </w:p>
    <w:p w14:paraId="492BF96B" w14:textId="2C845EA6" w:rsidR="00134D76" w:rsidRPr="00916DD7" w:rsidRDefault="00134D76" w:rsidP="00CD7D80">
      <w:pPr>
        <w:pStyle w:val="JuryInst4"/>
      </w:pPr>
      <w:r w:rsidRPr="00916DD7">
        <w:t>Property Damage As Element Of Damages</w:t>
      </w:r>
    </w:p>
    <w:p w14:paraId="370C6174" w14:textId="77777777" w:rsidR="00134D76" w:rsidRPr="009B47DB" w:rsidRDefault="00134D76" w:rsidP="00134D76">
      <w:pPr>
        <w:pStyle w:val="JuryInstructionText"/>
      </w:pPr>
      <w:r>
        <w:t>PLF is entitled to recover the loss in value of her/his/its property caused by PLF’s negligence.</w:t>
      </w:r>
      <w:r>
        <w:rPr>
          <w:rStyle w:val="FootnoteReference"/>
          <w:rFonts w:ascii="Arial" w:hAnsi="Arial" w:cs="Arial"/>
        </w:rPr>
        <w:footnoteReference w:id="26"/>
      </w:r>
      <w:r>
        <w:t xml:space="preserve"> You will calculate this loss, if any, by comparing the </w:t>
      </w:r>
      <w:r>
        <w:lastRenderedPageBreak/>
        <w:t>market value of the property before DFT’s negligence occurred with the market value of the property after DFT’s negligence.</w:t>
      </w:r>
    </w:p>
    <w:p w14:paraId="710361F9" w14:textId="5AB9BE30" w:rsidR="00134D76" w:rsidRPr="00916DD7" w:rsidRDefault="00134D76" w:rsidP="00CD7D80">
      <w:pPr>
        <w:pStyle w:val="JuryInst4"/>
      </w:pPr>
      <w:r w:rsidRPr="00916DD7">
        <w:t>Mitigation Of Damages</w:t>
      </w:r>
    </w:p>
    <w:p w14:paraId="29D28E8F" w14:textId="77777777" w:rsidR="00134D76" w:rsidRDefault="00134D76" w:rsidP="00134D76">
      <w:pPr>
        <w:pStyle w:val="JuryInstructionText"/>
      </w:pPr>
      <w:r>
        <w:t xml:space="preserve">PLF was </w:t>
      </w:r>
      <w:r w:rsidRPr="002715FE">
        <w:t>required to</w:t>
      </w:r>
      <w:r>
        <w:t xml:space="preserve"> take all reasonable steps to lessen the harm s/he/it suffered because of DFT’s negligence.</w:t>
      </w:r>
      <w:r w:rsidRPr="002715FE">
        <w:t xml:space="preserve"> </w:t>
      </w:r>
      <w:r>
        <w:t xml:space="preserve">PLF </w:t>
      </w:r>
      <w:r w:rsidRPr="002715FE">
        <w:t xml:space="preserve">cannot recover for </w:t>
      </w:r>
      <w:r>
        <w:t xml:space="preserve">harm </w:t>
      </w:r>
      <w:r w:rsidRPr="002715FE">
        <w:t xml:space="preserve">that </w:t>
      </w:r>
      <w:r>
        <w:t xml:space="preserve">s/he/it </w:t>
      </w:r>
      <w:r w:rsidRPr="002715FE">
        <w:t>could have reasonabl</w:t>
      </w:r>
      <w:r>
        <w:t>y prevented</w:t>
      </w:r>
      <w:r w:rsidRPr="002715FE">
        <w:t>.</w:t>
      </w:r>
    </w:p>
    <w:p w14:paraId="0DB3DC98" w14:textId="77777777" w:rsidR="00134D76" w:rsidRDefault="00134D76" w:rsidP="00134D76">
      <w:pPr>
        <w:pStyle w:val="JuryInstructionText"/>
      </w:pPr>
      <w:r>
        <w:t xml:space="preserve">On this issue, </w:t>
      </w:r>
      <w:r w:rsidRPr="00690324">
        <w:t xml:space="preserve">DFT - not the PLF - has the burden to prove that, more likely than not, PLF could have </w:t>
      </w:r>
      <w:r>
        <w:t xml:space="preserve">lessened or </w:t>
      </w:r>
      <w:r w:rsidRPr="00690324">
        <w:t xml:space="preserve">prevented some of </w:t>
      </w:r>
      <w:r>
        <w:t>the</w:t>
      </w:r>
      <w:r w:rsidRPr="00690324">
        <w:t xml:space="preserve"> damages by </w:t>
      </w:r>
      <w:r>
        <w:t xml:space="preserve">taking </w:t>
      </w:r>
      <w:r w:rsidRPr="00690324">
        <w:t>reasonable</w:t>
      </w:r>
      <w:r>
        <w:t xml:space="preserve"> steps</w:t>
      </w:r>
      <w:r w:rsidRPr="00690324">
        <w:t>.</w:t>
      </w:r>
    </w:p>
    <w:p w14:paraId="48226220" w14:textId="77777777" w:rsidR="00134D76" w:rsidRDefault="00134D76" w:rsidP="00134D76">
      <w:pPr>
        <w:pStyle w:val="JuryInstructionText"/>
      </w:pPr>
      <w:r w:rsidRPr="00690324">
        <w:t xml:space="preserve">If you find that DFT has proved more likely than not PLF failed to mitigate </w:t>
      </w:r>
      <w:r>
        <w:t>the</w:t>
      </w:r>
      <w:r w:rsidRPr="00690324">
        <w:t xml:space="preserve"> damages, then you should reduce any damage award by the amount of damage</w:t>
      </w:r>
      <w:r>
        <w:t>s</w:t>
      </w:r>
      <w:r w:rsidRPr="00690324">
        <w:t xml:space="preserve"> that PLF could have avoided.</w:t>
      </w:r>
    </w:p>
    <w:p w14:paraId="6A1B3439" w14:textId="18E34EF3" w:rsidR="00134D76" w:rsidRPr="00827806" w:rsidRDefault="00134D76" w:rsidP="00CD7D80">
      <w:pPr>
        <w:pStyle w:val="JuryInst3"/>
      </w:pPr>
      <w:r w:rsidRPr="00827806">
        <w:t>Defenses</w:t>
      </w:r>
    </w:p>
    <w:p w14:paraId="30AF5D4D" w14:textId="74588802" w:rsidR="00134D76" w:rsidRPr="00291B6C" w:rsidRDefault="00134D76" w:rsidP="00CD7D80">
      <w:pPr>
        <w:pStyle w:val="JuryInst4"/>
      </w:pPr>
      <w:r w:rsidRPr="00827806">
        <w:t>Comparative Negligence</w:t>
      </w:r>
      <w:r w:rsidRPr="004858E1">
        <w:rPr>
          <w:rStyle w:val="FootnoteReference"/>
          <w:rFonts w:ascii="Arial" w:hAnsi="Arial" w:cs="Arial"/>
        </w:rPr>
        <w:footnoteReference w:id="27"/>
      </w:r>
      <w:r w:rsidRPr="004858E1">
        <w:rPr>
          <w:vertAlign w:val="superscript"/>
        </w:rPr>
        <w:t>,</w:t>
      </w:r>
      <w:r>
        <w:rPr>
          <w:vertAlign w:val="superscript"/>
        </w:rPr>
        <w:t xml:space="preserve"> </w:t>
      </w:r>
      <w:r w:rsidRPr="004858E1">
        <w:rPr>
          <w:rStyle w:val="FootnoteReference"/>
          <w:rFonts w:ascii="Arial" w:hAnsi="Arial" w:cs="Arial"/>
        </w:rPr>
        <w:footnoteReference w:id="28"/>
      </w:r>
    </w:p>
    <w:p w14:paraId="529B30B5" w14:textId="77777777" w:rsidR="00134D76" w:rsidRDefault="00134D76" w:rsidP="00134D76">
      <w:pPr>
        <w:pStyle w:val="JuryInstructionText"/>
      </w:pPr>
      <w:r w:rsidRPr="0071607F">
        <w:t xml:space="preserve">As part of </w:t>
      </w:r>
      <w:r>
        <w:t>the</w:t>
      </w:r>
      <w:r w:rsidRPr="0071607F">
        <w:t xml:space="preserve"> defense, </w:t>
      </w:r>
      <w:r>
        <w:t>DFT</w:t>
      </w:r>
      <w:r w:rsidRPr="0071607F">
        <w:t xml:space="preserve"> claims that </w:t>
      </w:r>
      <w:r>
        <w:t>PLF</w:t>
      </w:r>
      <w:r w:rsidRPr="0071607F">
        <w:t xml:space="preserve"> was </w:t>
      </w:r>
      <w:r>
        <w:t>himself/h</w:t>
      </w:r>
      <w:r w:rsidRPr="0071607F">
        <w:t>erself</w:t>
      </w:r>
      <w:r>
        <w:t>/itself</w:t>
      </w:r>
      <w:r w:rsidRPr="0071607F">
        <w:t xml:space="preserve"> negligent, and that </w:t>
      </w:r>
      <w:r>
        <w:t>his/</w:t>
      </w:r>
      <w:r w:rsidRPr="0071607F">
        <w:t>her</w:t>
      </w:r>
      <w:r>
        <w:t>/its</w:t>
      </w:r>
      <w:r w:rsidRPr="0071607F">
        <w:t xml:space="preserve"> own negligence caused </w:t>
      </w:r>
      <w:r>
        <w:t xml:space="preserve">his/her/its injuries. </w:t>
      </w:r>
      <w:r w:rsidRPr="0071607F">
        <w:t xml:space="preserve">You will reach </w:t>
      </w:r>
      <w:r>
        <w:t>this defense only</w:t>
      </w:r>
      <w:r w:rsidRPr="0071607F">
        <w:t xml:space="preserve"> if you find that </w:t>
      </w:r>
      <w:r>
        <w:t>DFT</w:t>
      </w:r>
      <w:r w:rsidRPr="0071607F">
        <w:t xml:space="preserve"> was negligent and that its negligence was a </w:t>
      </w:r>
      <w:r>
        <w:t xml:space="preserve">cause of PLF’s injuries. </w:t>
      </w:r>
    </w:p>
    <w:p w14:paraId="26A87283" w14:textId="77777777" w:rsidR="00134D76" w:rsidRDefault="00134D76" w:rsidP="00134D76">
      <w:pPr>
        <w:pStyle w:val="JuryInstructionText"/>
      </w:pPr>
      <w:r>
        <w:t>For this defense, DFT, not PLF,</w:t>
      </w:r>
      <w:r w:rsidRPr="0071607F">
        <w:t xml:space="preserve"> has the burden of proving</w:t>
      </w:r>
      <w:r>
        <w:t>,</w:t>
      </w:r>
      <w:r w:rsidRPr="0071607F">
        <w:t xml:space="preserve"> </w:t>
      </w:r>
      <w:r>
        <w:t xml:space="preserve">more likely than </w:t>
      </w:r>
      <w:r w:rsidRPr="0071607F">
        <w:t>not</w:t>
      </w:r>
      <w:r>
        <w:t>,</w:t>
      </w:r>
      <w:r w:rsidRPr="0071607F">
        <w:t xml:space="preserve"> </w:t>
      </w:r>
      <w:r>
        <w:t>that</w:t>
      </w:r>
      <w:r w:rsidRPr="0071607F">
        <w:t xml:space="preserve"> </w:t>
      </w:r>
      <w:r>
        <w:t>PLF</w:t>
      </w:r>
      <w:r w:rsidRPr="0071607F">
        <w:t xml:space="preserve"> was negligent an</w:t>
      </w:r>
      <w:r>
        <w:t>d contributed to cause his/her/its own harm.</w:t>
      </w:r>
    </w:p>
    <w:p w14:paraId="273DCE81" w14:textId="77777777" w:rsidR="00134D76" w:rsidRDefault="00134D76" w:rsidP="00134D76">
      <w:pPr>
        <w:pStyle w:val="JuryInstructionText"/>
      </w:pPr>
      <w:r w:rsidRPr="0071607F">
        <w:t xml:space="preserve">Under the law, </w:t>
      </w:r>
      <w:r>
        <w:t>PLF</w:t>
      </w:r>
      <w:r w:rsidRPr="0071607F">
        <w:t xml:space="preserve"> must use reasonable care in the circumstances t</w:t>
      </w:r>
      <w:r>
        <w:t>o prevent harm to himself/herself/itself. If s</w:t>
      </w:r>
      <w:r w:rsidRPr="0071607F">
        <w:t xml:space="preserve">he failed to do so, </w:t>
      </w:r>
      <w:r w:rsidRPr="00F513A7">
        <w:t>s</w:t>
      </w:r>
      <w:r>
        <w:t>/</w:t>
      </w:r>
      <w:r w:rsidRPr="00F513A7">
        <w:t xml:space="preserve">he/it </w:t>
      </w:r>
      <w:r>
        <w:t>was negligent.</w:t>
      </w:r>
    </w:p>
    <w:p w14:paraId="0927E636" w14:textId="77777777" w:rsidR="00134D76" w:rsidRDefault="00134D76" w:rsidP="00134D76">
      <w:pPr>
        <w:pStyle w:val="JuryInstructionText"/>
      </w:pPr>
      <w:r>
        <w:lastRenderedPageBreak/>
        <w:t>DFT</w:t>
      </w:r>
      <w:r w:rsidRPr="0071607F">
        <w:t xml:space="preserve"> must also prove that, more likely than not, </w:t>
      </w:r>
      <w:r>
        <w:t>PLF</w:t>
      </w:r>
      <w:r w:rsidRPr="0071607F">
        <w:t xml:space="preserve">’s own negligence was a </w:t>
      </w:r>
      <w:r>
        <w:t>cause of his/her/its harm.</w:t>
      </w:r>
      <w:r w:rsidRPr="0071607F">
        <w:t xml:space="preserve"> </w:t>
      </w:r>
      <w:r>
        <w:t>I</w:t>
      </w:r>
      <w:r w:rsidRPr="0071607F">
        <w:t xml:space="preserve">n determining whether </w:t>
      </w:r>
      <w:r>
        <w:t>PLF</w:t>
      </w:r>
      <w:r w:rsidRPr="0071607F">
        <w:t xml:space="preserve">’s own negligence was a cause of </w:t>
      </w:r>
      <w:r>
        <w:t>his/her/its harm</w:t>
      </w:r>
      <w:r w:rsidRPr="0071607F">
        <w:t xml:space="preserve">, you must apply the same definition of </w:t>
      </w:r>
      <w:r>
        <w:t xml:space="preserve">causation </w:t>
      </w:r>
      <w:r w:rsidRPr="0071607F">
        <w:t xml:space="preserve">I gave you </w:t>
      </w:r>
      <w:r>
        <w:t>above.</w:t>
      </w:r>
    </w:p>
    <w:p w14:paraId="5AB753B2" w14:textId="77777777" w:rsidR="00134D76" w:rsidRDefault="00134D76" w:rsidP="00134D76">
      <w:pPr>
        <w:pStyle w:val="JuryInstructionText"/>
      </w:pPr>
      <w:r>
        <w:t>I</w:t>
      </w:r>
      <w:r w:rsidRPr="0071607F">
        <w:t xml:space="preserve">f you </w:t>
      </w:r>
      <w:r>
        <w:t xml:space="preserve">decide DFT proved </w:t>
      </w:r>
      <w:r w:rsidRPr="00732522">
        <w:t xml:space="preserve">that </w:t>
      </w:r>
      <w:r>
        <w:t>PLF</w:t>
      </w:r>
      <w:r w:rsidRPr="00732522">
        <w:t xml:space="preserve"> was negligent and </w:t>
      </w:r>
      <w:r>
        <w:t>was a cause of</w:t>
      </w:r>
      <w:r w:rsidRPr="00732522">
        <w:t xml:space="preserve"> her</w:t>
      </w:r>
      <w:r>
        <w:t>/his/its</w:t>
      </w:r>
      <w:r w:rsidRPr="00732522">
        <w:t xml:space="preserve"> own </w:t>
      </w:r>
      <w:r>
        <w:t xml:space="preserve">harm, </w:t>
      </w:r>
      <w:r w:rsidRPr="0071607F">
        <w:t xml:space="preserve">then you must compare </w:t>
      </w:r>
      <w:r>
        <w:t>DFT</w:t>
      </w:r>
      <w:r w:rsidRPr="0071607F">
        <w:t>’s n</w:t>
      </w:r>
      <w:r>
        <w:t xml:space="preserve">egligence to PLF’s negligence. </w:t>
      </w:r>
      <w:r w:rsidRPr="0071607F">
        <w:t>You do this by determining the degree of negligence of eac</w:t>
      </w:r>
      <w:r>
        <w:t xml:space="preserve">h party. </w:t>
      </w:r>
      <w:r w:rsidRPr="0071607F">
        <w:t>You express that in percentages of negligence that, wh</w:t>
      </w:r>
      <w:r>
        <w:t>en added together, equal 100%.</w:t>
      </w:r>
    </w:p>
    <w:p w14:paraId="4612C8B4" w14:textId="77777777" w:rsidR="00134D76" w:rsidRDefault="00134D76" w:rsidP="00134D76">
      <w:pPr>
        <w:pStyle w:val="JuryInstructionText"/>
      </w:pPr>
      <w:r>
        <w:t>PLF</w:t>
      </w:r>
      <w:r w:rsidRPr="0071607F">
        <w:t xml:space="preserve"> can only recover against </w:t>
      </w:r>
      <w:r>
        <w:t>DFT</w:t>
      </w:r>
      <w:r w:rsidRPr="0071607F">
        <w:t xml:space="preserve"> if you find that her</w:t>
      </w:r>
      <w:r>
        <w:t>/his/its</w:t>
      </w:r>
      <w:r w:rsidRPr="0071607F">
        <w:t xml:space="preserve"> own negligence was equal to </w:t>
      </w:r>
      <w:r>
        <w:t xml:space="preserve">or less than DFT’s negligence. </w:t>
      </w:r>
      <w:r w:rsidRPr="0071607F">
        <w:t xml:space="preserve">If you find that </w:t>
      </w:r>
      <w:r>
        <w:t>PLF</w:t>
      </w:r>
      <w:r w:rsidRPr="0071607F">
        <w:t xml:space="preserve">’s percentage of negligence exceeds </w:t>
      </w:r>
      <w:r>
        <w:t>DFT</w:t>
      </w:r>
      <w:r w:rsidRPr="0071607F">
        <w:t xml:space="preserve">’s percentage of </w:t>
      </w:r>
      <w:r>
        <w:t>DFT</w:t>
      </w:r>
      <w:r w:rsidRPr="0071607F">
        <w:t xml:space="preserve">’s negligence, then </w:t>
      </w:r>
      <w:r>
        <w:t>PLF</w:t>
      </w:r>
      <w:r w:rsidRPr="0071607F">
        <w:t xml:space="preserve"> cannot </w:t>
      </w:r>
      <w:r>
        <w:t xml:space="preserve">recover anything in this case. </w:t>
      </w:r>
      <w:r w:rsidRPr="0071607F">
        <w:t>If</w:t>
      </w:r>
      <w:r>
        <w:t>, on the other hand,</w:t>
      </w:r>
      <w:r w:rsidRPr="0071607F">
        <w:t xml:space="preserve"> you find that </w:t>
      </w:r>
      <w:r>
        <w:t>PLF</w:t>
      </w:r>
      <w:r w:rsidRPr="0071607F">
        <w:t xml:space="preserve"> was negligent by some percentage</w:t>
      </w:r>
      <w:r>
        <w:t xml:space="preserve"> equal to or less than that of DFT</w:t>
      </w:r>
      <w:r w:rsidRPr="0071607F">
        <w:t xml:space="preserve">, you must NOT reduce the </w:t>
      </w:r>
      <w:proofErr w:type="gramStart"/>
      <w:r w:rsidRPr="0071607F">
        <w:t>amount</w:t>
      </w:r>
      <w:proofErr w:type="gramEnd"/>
      <w:r w:rsidRPr="0071607F">
        <w:t xml:space="preserve"> of d</w:t>
      </w:r>
      <w:r>
        <w:t xml:space="preserve">amages you find on Question No. __. </w:t>
      </w:r>
      <w:r w:rsidRPr="0071607F">
        <w:t xml:space="preserve">Any such reduction is the </w:t>
      </w:r>
      <w:r>
        <w:t>job of the clerk, not the jury.</w:t>
      </w:r>
      <w:r w:rsidRPr="0071607F">
        <w:t xml:space="preserve"> </w:t>
      </w:r>
    </w:p>
    <w:p w14:paraId="59AA7097" w14:textId="744AD354" w:rsidR="00134D76" w:rsidRPr="009D1F2C" w:rsidRDefault="00134D76" w:rsidP="00CD7D80">
      <w:pPr>
        <w:pStyle w:val="JuryInst4"/>
      </w:pPr>
      <w:r w:rsidRPr="009D1F2C">
        <w:t>In Pari Delicto (Plaintiff is at Equal Fault)</w:t>
      </w:r>
      <w:r w:rsidRPr="009D1F2C">
        <w:rPr>
          <w:rStyle w:val="FootnoteReference"/>
          <w:rFonts w:cs="Segoe UI Historic"/>
        </w:rPr>
        <w:footnoteReference w:id="29"/>
      </w:r>
      <w:r w:rsidRPr="009D1F2C">
        <w:rPr>
          <w:vertAlign w:val="superscript"/>
        </w:rPr>
        <w:t xml:space="preserve">, </w:t>
      </w:r>
      <w:r w:rsidRPr="009D1F2C">
        <w:rPr>
          <w:rStyle w:val="FootnoteReference"/>
          <w:rFonts w:cs="Segoe UI Historic"/>
          <w:bCs/>
        </w:rPr>
        <w:footnoteReference w:id="30"/>
      </w:r>
    </w:p>
    <w:p w14:paraId="7AAE2A77" w14:textId="77777777" w:rsidR="00134D76" w:rsidRPr="007266AA" w:rsidRDefault="00134D76" w:rsidP="00134D76">
      <w:pPr>
        <w:pStyle w:val="JuryInstructionText"/>
      </w:pPr>
      <w:r w:rsidRPr="0071607F">
        <w:t xml:space="preserve">As part of </w:t>
      </w:r>
      <w:r>
        <w:t>the</w:t>
      </w:r>
      <w:r w:rsidRPr="0071607F">
        <w:t xml:space="preserve"> defense, </w:t>
      </w:r>
      <w:r>
        <w:t>DFT</w:t>
      </w:r>
      <w:r w:rsidRPr="007266AA">
        <w:t xml:space="preserve"> claims that </w:t>
      </w:r>
      <w:r>
        <w:t>PLF</w:t>
      </w:r>
      <w:r w:rsidRPr="007266AA">
        <w:t xml:space="preserve"> engaged in intentional wrongdoing by [perjuring herself</w:t>
      </w:r>
      <w:r>
        <w:t>, etc.</w:t>
      </w:r>
      <w:r w:rsidRPr="007266AA">
        <w:t xml:space="preserve">] and that </w:t>
      </w:r>
      <w:r>
        <w:t xml:space="preserve">the </w:t>
      </w:r>
      <w:r w:rsidRPr="007266AA">
        <w:t xml:space="preserve">wrongdoing was at least equally to </w:t>
      </w:r>
      <w:r>
        <w:t xml:space="preserve">blame as DFT’s negligence in causing PLF’s damages. </w:t>
      </w:r>
    </w:p>
    <w:p w14:paraId="06A020BA" w14:textId="77777777" w:rsidR="00134D76" w:rsidRDefault="00134D76" w:rsidP="00134D76">
      <w:pPr>
        <w:pStyle w:val="JuryInstructionText"/>
      </w:pPr>
      <w:r>
        <w:t>Even if PLF proves that DFT was negligent</w:t>
      </w:r>
      <w:r w:rsidRPr="007266AA">
        <w:t xml:space="preserve">, </w:t>
      </w:r>
      <w:r>
        <w:t xml:space="preserve">an [accountant, attorney, etc.] is not </w:t>
      </w:r>
      <w:r w:rsidRPr="007266AA">
        <w:t xml:space="preserve">responsible to pay any damages to </w:t>
      </w:r>
      <w:r>
        <w:t>PLF</w:t>
      </w:r>
      <w:r w:rsidRPr="007266AA">
        <w:t xml:space="preserve"> if P</w:t>
      </w:r>
      <w:r>
        <w:t>LF</w:t>
      </w:r>
      <w:r w:rsidRPr="007266AA">
        <w:t xml:space="preserve">’s intentional wrongdoing was at least equally to blame for causing </w:t>
      </w:r>
      <w:r>
        <w:t>her/his/its</w:t>
      </w:r>
      <w:r w:rsidRPr="007266AA">
        <w:t xml:space="preserve"> damages.</w:t>
      </w:r>
      <w:r>
        <w:t xml:space="preserve"> </w:t>
      </w:r>
    </w:p>
    <w:p w14:paraId="48143F09" w14:textId="77777777" w:rsidR="00134D76" w:rsidRDefault="00134D76" w:rsidP="00134D76">
      <w:pPr>
        <w:pStyle w:val="JuryInstructionText"/>
      </w:pPr>
      <w:r>
        <w:lastRenderedPageBreak/>
        <w:t>In applying this defense, you must answer two questions (which are on the verdict form):</w:t>
      </w:r>
    </w:p>
    <w:p w14:paraId="4BC31057" w14:textId="759A219E" w:rsidR="00134D76" w:rsidRPr="007266AA" w:rsidRDefault="00134D76" w:rsidP="004C071E">
      <w:pPr>
        <w:pStyle w:val="JuryInstructionBullets"/>
      </w:pPr>
      <w:r w:rsidRPr="007266AA">
        <w:t xml:space="preserve"> </w:t>
      </w:r>
      <w:r>
        <w:t xml:space="preserve">“Did DFT prove more likely than not </w:t>
      </w:r>
      <w:r w:rsidRPr="007266AA">
        <w:t xml:space="preserve">that </w:t>
      </w:r>
      <w:r>
        <w:t>PLF</w:t>
      </w:r>
      <w:r w:rsidRPr="007266AA">
        <w:t xml:space="preserve"> </w:t>
      </w:r>
      <w:r>
        <w:t>[members of PLF’s senior management team]</w:t>
      </w:r>
      <w:r>
        <w:rPr>
          <w:rStyle w:val="FootnoteReference"/>
          <w:rFonts w:ascii="Arial" w:hAnsi="Arial" w:cs="Arial"/>
        </w:rPr>
        <w:footnoteReference w:id="31"/>
      </w:r>
      <w:r>
        <w:t xml:space="preserve"> </w:t>
      </w:r>
      <w:r w:rsidRPr="007266AA">
        <w:t>engaged in intentional wrongdoing by [</w:t>
      </w:r>
      <w:r>
        <w:t xml:space="preserve">stealing, </w:t>
      </w:r>
      <w:r w:rsidRPr="007266AA">
        <w:t>perjuring herself]</w:t>
      </w:r>
      <w:r>
        <w:t>?”</w:t>
      </w:r>
    </w:p>
    <w:p w14:paraId="1556ABCE" w14:textId="3508A98E" w:rsidR="00134D76" w:rsidRDefault="00134D76" w:rsidP="004C071E">
      <w:pPr>
        <w:pStyle w:val="JuryInstructionBullets"/>
      </w:pPr>
      <w:r w:rsidRPr="007266AA">
        <w:tab/>
        <w:t xml:space="preserve"> </w:t>
      </w:r>
      <w:r>
        <w:t xml:space="preserve">“Did DFT prove that </w:t>
      </w:r>
      <w:r w:rsidRPr="007266AA">
        <w:t>P</w:t>
      </w:r>
      <w:r>
        <w:t>LF</w:t>
      </w:r>
      <w:r w:rsidRPr="007266AA">
        <w:t xml:space="preserve">’s wrongdoing </w:t>
      </w:r>
      <w:r>
        <w:t xml:space="preserve">was </w:t>
      </w:r>
      <w:r w:rsidRPr="007266AA">
        <w:t xml:space="preserve">at least </w:t>
      </w:r>
      <w:r w:rsidRPr="002D332A">
        <w:t>[50%] equally</w:t>
      </w:r>
      <w:r w:rsidRPr="007266AA">
        <w:t xml:space="preserve"> to b</w:t>
      </w:r>
      <w:r>
        <w:t>lame for causing PLF’s harm or damages as was DFT’s negligence?”</w:t>
      </w:r>
    </w:p>
    <w:p w14:paraId="21F33DD6" w14:textId="33ECB156" w:rsidR="00B75859" w:rsidRPr="00134D76" w:rsidRDefault="00134D76" w:rsidP="00CD7D80">
      <w:pPr>
        <w:pStyle w:val="JuryInstructionText"/>
      </w:pPr>
      <w:r>
        <w:t>If you answer “Yes” to both questions, then PLF is not entitled to recover anything from DFT.</w:t>
      </w:r>
    </w:p>
    <w:sectPr w:rsidR="00B75859" w:rsidRPr="00134D76"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B02C" w14:textId="77777777" w:rsidR="005F4B8D" w:rsidRDefault="005F4B8D" w:rsidP="00F74A90">
      <w:r>
        <w:separator/>
      </w:r>
    </w:p>
  </w:endnote>
  <w:endnote w:type="continuationSeparator" w:id="0">
    <w:p w14:paraId="47F93C62" w14:textId="77777777" w:rsidR="005F4B8D" w:rsidRDefault="005F4B8D"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Arrus B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FD45" w14:textId="77777777" w:rsidR="005F4B8D" w:rsidRDefault="005F4B8D" w:rsidP="00F74A90">
      <w:r>
        <w:separator/>
      </w:r>
    </w:p>
  </w:footnote>
  <w:footnote w:type="continuationSeparator" w:id="0">
    <w:p w14:paraId="6D1AC903" w14:textId="77777777" w:rsidR="005F4B8D" w:rsidRDefault="005F4B8D" w:rsidP="00F74A90">
      <w:r>
        <w:continuationSeparator/>
      </w:r>
    </w:p>
  </w:footnote>
  <w:footnote w:id="1">
    <w:p w14:paraId="6B9DD824" w14:textId="77777777" w:rsidR="00134D76" w:rsidRPr="001A43E7" w:rsidRDefault="00134D76" w:rsidP="00134D76">
      <w:pPr>
        <w:pStyle w:val="FootnoteText"/>
      </w:pPr>
      <w:r w:rsidRPr="00061F0F">
        <w:rPr>
          <w:rStyle w:val="FootnoteReference"/>
          <w:rFonts w:ascii="Arial" w:hAnsi="Arial" w:cs="Arial"/>
        </w:rPr>
        <w:footnoteRef/>
      </w:r>
      <w:r w:rsidRPr="00061F0F">
        <w:rPr>
          <w:rFonts w:ascii="Arial" w:hAnsi="Arial" w:cs="Arial"/>
        </w:rPr>
        <w:t xml:space="preserve"> </w:t>
      </w:r>
      <w:r>
        <w:rPr>
          <w:rFonts w:ascii="Arial" w:hAnsi="Arial" w:cs="Arial"/>
        </w:rPr>
        <w:tab/>
      </w:r>
      <w:r w:rsidRPr="001A43E7">
        <w:rPr>
          <w:i/>
          <w:iCs/>
        </w:rPr>
        <w:t>LeBlanc</w:t>
      </w:r>
      <w:r w:rsidRPr="001A43E7">
        <w:t xml:space="preserve"> v. </w:t>
      </w:r>
      <w:r w:rsidRPr="001A43E7">
        <w:rPr>
          <w:i/>
          <w:iCs/>
        </w:rPr>
        <w:t>Logan Hilton J.V.,</w:t>
      </w:r>
      <w:r w:rsidRPr="001A43E7">
        <w:t xml:space="preserve"> 463 Mass. 316, 328 (2012) (architect may be liable to third persons not in privity of contract “who are foreseeably exposed to danger and injured as a result of [his] negligent failure to carry out that obligation.”) (citations omitted); </w:t>
      </w:r>
      <w:r w:rsidRPr="001A43E7">
        <w:rPr>
          <w:i/>
          <w:iCs/>
        </w:rPr>
        <w:t>DaRoza</w:t>
      </w:r>
      <w:r w:rsidRPr="001A43E7">
        <w:t xml:space="preserve"> v. </w:t>
      </w:r>
      <w:r w:rsidRPr="001A43E7">
        <w:rPr>
          <w:i/>
          <w:iCs/>
        </w:rPr>
        <w:t>Arter,</w:t>
      </w:r>
      <w:r w:rsidRPr="001A43E7">
        <w:t xml:space="preserve"> 416 Mass. 377, 382 (1993) (“An attorney [ ] may owe a duty to someone who is not his client ‘who the attorney knows will rely on the services rendered[,]’ . . . . only if the attorney reasonably should have foreseen reliance on the part of the third party.”) (citations omitted); </w:t>
      </w:r>
      <w:r w:rsidRPr="001A43E7">
        <w:rPr>
          <w:i/>
          <w:iCs/>
        </w:rPr>
        <w:t>Quigley</w:t>
      </w:r>
      <w:r w:rsidRPr="001A43E7">
        <w:t xml:space="preserve"> v. </w:t>
      </w:r>
      <w:r w:rsidRPr="001A43E7">
        <w:rPr>
          <w:i/>
          <w:iCs/>
        </w:rPr>
        <w:t>Bay State Graphics,</w:t>
      </w:r>
      <w:r w:rsidRPr="001A43E7">
        <w:t xml:space="preserve"> 427 Mass. 455, 459 (1998) (insurance agent may be liable to third party for failure to procure insurance coverage for agent’s insured).</w:t>
      </w:r>
    </w:p>
  </w:footnote>
  <w:footnote w:id="2">
    <w:p w14:paraId="2179DD22" w14:textId="77777777" w:rsidR="00134D76" w:rsidRPr="0077360F" w:rsidRDefault="00134D76" w:rsidP="00134D76">
      <w:pPr>
        <w:pStyle w:val="FootnoteText"/>
      </w:pPr>
      <w:r w:rsidRPr="00A4341B">
        <w:rPr>
          <w:rStyle w:val="FootnoteReference"/>
          <w:rFonts w:ascii="Arial" w:hAnsi="Arial" w:cs="Arial"/>
        </w:rPr>
        <w:footnoteRef/>
      </w:r>
      <w:r w:rsidRPr="00A4341B">
        <w:rPr>
          <w:rFonts w:ascii="Arial" w:hAnsi="Arial" w:cs="Arial"/>
        </w:rPr>
        <w:t xml:space="preserve"> </w:t>
      </w:r>
      <w:r>
        <w:rPr>
          <w:rFonts w:ascii="Arial" w:hAnsi="Arial" w:cs="Arial"/>
        </w:rPr>
        <w:tab/>
      </w:r>
      <w:proofErr w:type="spellStart"/>
      <w:r w:rsidRPr="0077360F">
        <w:rPr>
          <w:i/>
          <w:iCs/>
        </w:rPr>
        <w:t>Nycal</w:t>
      </w:r>
      <w:proofErr w:type="spellEnd"/>
      <w:r w:rsidRPr="0077360F">
        <w:rPr>
          <w:i/>
          <w:iCs/>
        </w:rPr>
        <w:t xml:space="preserve"> Corp.</w:t>
      </w:r>
      <w:r w:rsidRPr="0077360F">
        <w:t xml:space="preserve"> v. </w:t>
      </w:r>
      <w:r w:rsidRPr="0077360F">
        <w:rPr>
          <w:i/>
          <w:iCs/>
        </w:rPr>
        <w:t>KPMG Peat Marwick LLP.,</w:t>
      </w:r>
      <w:r w:rsidRPr="0077360F">
        <w:t xml:space="preserve"> 426 Mass. 491, 496, 498 (1998) (limiting the duty owed to a third party by an accountant issuing a report to instances of “‘actual knowledge on the part of accountants of the limited -- though unnamed -- group of potential [third parties] that will rely upon the [report], as well as actual knowledge of the particular financial transaction that such information is designed to influence.’") (citation omitted).</w:t>
      </w:r>
    </w:p>
  </w:footnote>
  <w:footnote w:id="3">
    <w:p w14:paraId="5B252529" w14:textId="77777777" w:rsidR="00134D76" w:rsidRPr="00A4341B" w:rsidRDefault="00134D76" w:rsidP="00134D76">
      <w:pPr>
        <w:pStyle w:val="FootnoteText"/>
        <w:rPr>
          <w:rFonts w:ascii="Arial" w:hAnsi="Arial" w:cs="Arial"/>
        </w:rPr>
      </w:pPr>
      <w:r w:rsidRPr="00A4341B">
        <w:rPr>
          <w:rStyle w:val="FootnoteReference"/>
          <w:rFonts w:ascii="Arial" w:hAnsi="Arial" w:cs="Arial"/>
        </w:rPr>
        <w:footnoteRef/>
      </w:r>
      <w:r w:rsidRPr="00A4341B">
        <w:rPr>
          <w:rFonts w:ascii="Arial" w:hAnsi="Arial" w:cs="Arial"/>
        </w:rPr>
        <w:t xml:space="preserve"> </w:t>
      </w:r>
      <w:r>
        <w:rPr>
          <w:rFonts w:ascii="Arial" w:hAnsi="Arial" w:cs="Arial"/>
        </w:rPr>
        <w:tab/>
      </w:r>
      <w:r w:rsidRPr="000A104F">
        <w:t xml:space="preserve">“An attorney who has not held himself out as a specialist owes his client a duty to exercise the degree of care and skill of the average qualified practitioner.” </w:t>
      </w:r>
      <w:r w:rsidRPr="000A104F">
        <w:rPr>
          <w:i/>
          <w:iCs/>
        </w:rPr>
        <w:t>Fishman</w:t>
      </w:r>
      <w:r w:rsidRPr="000A104F">
        <w:t xml:space="preserve"> v. </w:t>
      </w:r>
      <w:r w:rsidRPr="000A104F">
        <w:rPr>
          <w:i/>
          <w:iCs/>
        </w:rPr>
        <w:t>Brooks,</w:t>
      </w:r>
      <w:r w:rsidRPr="000A104F">
        <w:t xml:space="preserve"> 396 Mass. 643, 646 (1986) (citations omitted). Massachusetts appellate courts have not addressed whether a specialist owes a heightened standard of care. </w:t>
      </w:r>
      <w:proofErr w:type="spellStart"/>
      <w:r w:rsidRPr="000A104F">
        <w:rPr>
          <w:i/>
          <w:iCs/>
        </w:rPr>
        <w:t>Minkina</w:t>
      </w:r>
      <w:proofErr w:type="spellEnd"/>
      <w:r w:rsidRPr="000A104F">
        <w:t xml:space="preserve"> v. </w:t>
      </w:r>
      <w:r w:rsidRPr="000A104F">
        <w:rPr>
          <w:i/>
          <w:iCs/>
        </w:rPr>
        <w:t>Frankl,</w:t>
      </w:r>
      <w:r w:rsidRPr="000A104F">
        <w:t xml:space="preserve"> 86 Mass. App. Ct. 282, 292 n.5 (2014). However, it may be argued that principles of medical malpractice should be applied to other professionals and that a professional holding herself out as a specialist should be held to the higher standard.</w:t>
      </w:r>
    </w:p>
  </w:footnote>
  <w:footnote w:id="4">
    <w:p w14:paraId="3B0F7E7F" w14:textId="77777777" w:rsidR="00134D76" w:rsidRPr="004C6584" w:rsidRDefault="00134D76" w:rsidP="00134D76">
      <w:pPr>
        <w:pStyle w:val="FootnoteText"/>
        <w:rPr>
          <w:rFonts w:ascii="Arial" w:hAnsi="Arial" w:cs="Arial"/>
        </w:rPr>
      </w:pPr>
      <w:r w:rsidRPr="00974AB7">
        <w:rPr>
          <w:rStyle w:val="FootnoteReference"/>
          <w:rFonts w:ascii="Arial" w:hAnsi="Arial" w:cs="Arial"/>
        </w:rPr>
        <w:footnoteRef/>
      </w:r>
      <w:r w:rsidRPr="00974AB7">
        <w:rPr>
          <w:rFonts w:ascii="Arial" w:hAnsi="Arial" w:cs="Arial"/>
        </w:rPr>
        <w:t xml:space="preserve"> </w:t>
      </w:r>
      <w:r>
        <w:rPr>
          <w:rFonts w:ascii="Arial" w:hAnsi="Arial" w:cs="Arial"/>
        </w:rPr>
        <w:tab/>
      </w:r>
      <w:r w:rsidRPr="000A104F">
        <w:t xml:space="preserve">No expert testimony on the standard of care is necessary “in ‘exceptional cases,’ . . . , where the malpractice ‘is so gross or obvious that laymen can rely on their common knowledge to recognize or infer negligence.’” </w:t>
      </w:r>
      <w:r w:rsidRPr="000A104F">
        <w:rPr>
          <w:i/>
          <w:iCs/>
        </w:rPr>
        <w:t>LeBlanc</w:t>
      </w:r>
      <w:r w:rsidRPr="000A104F">
        <w:t xml:space="preserve"> v. </w:t>
      </w:r>
      <w:r w:rsidRPr="000A104F">
        <w:rPr>
          <w:i/>
          <w:iCs/>
        </w:rPr>
        <w:t>Logan Hilton J.V.,</w:t>
      </w:r>
      <w:r w:rsidRPr="000A104F">
        <w:t xml:space="preserve"> 463 Mass. 316, 329 (2012) (citations omitted).</w:t>
      </w:r>
    </w:p>
  </w:footnote>
  <w:footnote w:id="5">
    <w:p w14:paraId="7FE48FF1" w14:textId="77777777" w:rsidR="00134D76" w:rsidRPr="003F1E61" w:rsidRDefault="00134D76" w:rsidP="00134D76">
      <w:pPr>
        <w:pStyle w:val="FootnoteText"/>
      </w:pPr>
      <w:r w:rsidRPr="00974AB7">
        <w:rPr>
          <w:rStyle w:val="FootnoteReference"/>
          <w:rFonts w:ascii="Arial" w:hAnsi="Arial" w:cs="Arial"/>
        </w:rPr>
        <w:footnoteRef/>
      </w:r>
      <w:r w:rsidRPr="00974AB7">
        <w:rPr>
          <w:rFonts w:ascii="Arial" w:hAnsi="Arial" w:cs="Arial"/>
        </w:rPr>
        <w:t xml:space="preserve"> </w:t>
      </w:r>
      <w:r>
        <w:rPr>
          <w:rFonts w:ascii="Arial" w:hAnsi="Arial" w:cs="Arial"/>
        </w:rPr>
        <w:tab/>
      </w:r>
      <w:r w:rsidRPr="003F1E61">
        <w:t xml:space="preserve">No expert testimony on breach of the standard of care is necessary “where ‘the claimed malpractice is so gross or obvious that laymen can rely on their common knowledge to recognize or infer negligence,’ or where an attorney disobeys the lawful instructions of his </w:t>
      </w:r>
      <w:proofErr w:type="gramStart"/>
      <w:r w:rsidRPr="003F1E61">
        <w:t>client</w:t>
      </w:r>
      <w:proofErr w:type="gramEnd"/>
      <w:r w:rsidRPr="003F1E61">
        <w:t xml:space="preserve"> and a loss ensues for which the attorney is responsible.’” </w:t>
      </w:r>
      <w:r w:rsidRPr="003F1E61">
        <w:rPr>
          <w:i/>
          <w:iCs/>
        </w:rPr>
        <w:t>Kiribati Seafood Company, LLC</w:t>
      </w:r>
      <w:r w:rsidRPr="003F1E61">
        <w:t xml:space="preserve"> v. </w:t>
      </w:r>
      <w:r w:rsidRPr="003F1E61">
        <w:rPr>
          <w:i/>
          <w:iCs/>
        </w:rPr>
        <w:t>Dechert LLP,</w:t>
      </w:r>
      <w:r w:rsidRPr="003F1E61">
        <w:t xml:space="preserve"> 478 Mass. 111, 117 (2017) (citation omitted).</w:t>
      </w:r>
    </w:p>
  </w:footnote>
  <w:footnote w:id="6">
    <w:p w14:paraId="7E730237" w14:textId="77777777" w:rsidR="00134D76" w:rsidRPr="003F1E61" w:rsidRDefault="00134D76" w:rsidP="00134D76">
      <w:pPr>
        <w:pStyle w:val="FootnoteText"/>
      </w:pPr>
      <w:r w:rsidRPr="00974AB7">
        <w:rPr>
          <w:rStyle w:val="FootnoteReference"/>
          <w:rFonts w:ascii="Arial" w:hAnsi="Arial" w:cs="Arial"/>
        </w:rPr>
        <w:footnoteRef/>
      </w:r>
      <w:r w:rsidRPr="00974AB7">
        <w:rPr>
          <w:rFonts w:ascii="Arial" w:hAnsi="Arial" w:cs="Arial"/>
        </w:rPr>
        <w:t xml:space="preserve"> </w:t>
      </w:r>
      <w:r>
        <w:rPr>
          <w:rFonts w:ascii="Arial" w:hAnsi="Arial" w:cs="Arial"/>
        </w:rPr>
        <w:tab/>
      </w:r>
      <w:r w:rsidRPr="00A234D9">
        <w:rPr>
          <w:i/>
          <w:iCs/>
        </w:rPr>
        <w:t>LeBlanc</w:t>
      </w:r>
      <w:r w:rsidRPr="003F1E61">
        <w:t xml:space="preserve"> v. </w:t>
      </w:r>
      <w:r w:rsidRPr="00A234D9">
        <w:rPr>
          <w:i/>
          <w:iCs/>
        </w:rPr>
        <w:t>Logan Hilton J.V.,</w:t>
      </w:r>
      <w:r w:rsidRPr="003F1E61">
        <w:t xml:space="preserve"> 463 Mass. 316, 329 (2012) (citations omitted).</w:t>
      </w:r>
    </w:p>
  </w:footnote>
  <w:footnote w:id="7">
    <w:p w14:paraId="1D28E6F4" w14:textId="77777777" w:rsidR="00134D76" w:rsidRPr="003F1E61" w:rsidRDefault="00134D76" w:rsidP="00134D76">
      <w:pPr>
        <w:pStyle w:val="FootnoteText"/>
      </w:pPr>
      <w:r w:rsidRPr="00D964CA">
        <w:rPr>
          <w:rStyle w:val="FootnoteReference"/>
          <w:rFonts w:ascii="Arial" w:hAnsi="Arial" w:cs="Arial"/>
        </w:rPr>
        <w:footnoteRef/>
      </w:r>
      <w:r w:rsidRPr="00D964CA">
        <w:rPr>
          <w:rFonts w:ascii="Arial" w:hAnsi="Arial" w:cs="Arial"/>
        </w:rPr>
        <w:t xml:space="preserve"> </w:t>
      </w:r>
      <w:r>
        <w:rPr>
          <w:rFonts w:ascii="Arial" w:hAnsi="Arial" w:cs="Arial"/>
        </w:rPr>
        <w:tab/>
      </w:r>
      <w:r w:rsidRPr="003F1E61">
        <w:t>Alter the last portion if D</w:t>
      </w:r>
      <w:r>
        <w:t>FT</w:t>
      </w:r>
      <w:r w:rsidRPr="003F1E61">
        <w:t xml:space="preserve"> agreed to provide a specific result.</w:t>
      </w:r>
    </w:p>
  </w:footnote>
  <w:footnote w:id="8">
    <w:p w14:paraId="4530D291" w14:textId="77777777" w:rsidR="00134D76" w:rsidRPr="003F1E61" w:rsidRDefault="00134D76" w:rsidP="00134D76">
      <w:pPr>
        <w:pStyle w:val="FootnoteText"/>
      </w:pPr>
      <w:r w:rsidRPr="00F26EF1">
        <w:rPr>
          <w:rStyle w:val="FootnoteReference"/>
          <w:rFonts w:ascii="Arial" w:hAnsi="Arial" w:cs="Arial"/>
        </w:rPr>
        <w:footnoteRef/>
      </w:r>
      <w:r w:rsidRPr="00F26EF1">
        <w:rPr>
          <w:rFonts w:ascii="Arial" w:hAnsi="Arial" w:cs="Arial"/>
        </w:rPr>
        <w:t xml:space="preserve"> </w:t>
      </w:r>
      <w:r>
        <w:rPr>
          <w:rFonts w:ascii="Arial" w:hAnsi="Arial" w:cs="Arial"/>
        </w:rPr>
        <w:tab/>
      </w:r>
      <w:r w:rsidRPr="003F1E61">
        <w:rPr>
          <w:i/>
          <w:iCs/>
        </w:rPr>
        <w:t>Rubin</w:t>
      </w:r>
      <w:r w:rsidRPr="003F1E61">
        <w:t xml:space="preserve"> v. </w:t>
      </w:r>
      <w:r w:rsidRPr="003F1E61">
        <w:rPr>
          <w:i/>
          <w:iCs/>
        </w:rPr>
        <w:t>Murray,</w:t>
      </w:r>
      <w:r w:rsidRPr="003F1E61">
        <w:t xml:space="preserve"> 79 Mass. App. Ct. 64, 70 n.8 (2011) (citing </w:t>
      </w:r>
      <w:r w:rsidRPr="003F1E61">
        <w:rPr>
          <w:i/>
          <w:iCs/>
        </w:rPr>
        <w:t>Fishman</w:t>
      </w:r>
      <w:r w:rsidRPr="003F1E61">
        <w:t xml:space="preserve"> v. </w:t>
      </w:r>
      <w:r w:rsidRPr="003F1E61">
        <w:rPr>
          <w:i/>
          <w:iCs/>
        </w:rPr>
        <w:t>Brooks,</w:t>
      </w:r>
      <w:r w:rsidRPr="003F1E61">
        <w:t xml:space="preserve"> 396 Mass. 643, 649-650 (1986)).</w:t>
      </w:r>
    </w:p>
  </w:footnote>
  <w:footnote w:id="9">
    <w:p w14:paraId="7D0AD9CA" w14:textId="77777777" w:rsidR="00134D76" w:rsidRPr="003F1E61" w:rsidRDefault="00134D76" w:rsidP="00134D76">
      <w:pPr>
        <w:pStyle w:val="FootnoteText"/>
      </w:pPr>
      <w:r w:rsidRPr="00F26EF1">
        <w:rPr>
          <w:rStyle w:val="FootnoteReference"/>
          <w:rFonts w:ascii="Arial" w:hAnsi="Arial" w:cs="Arial"/>
        </w:rPr>
        <w:footnoteRef/>
      </w:r>
      <w:r w:rsidRPr="00F26EF1">
        <w:rPr>
          <w:rFonts w:ascii="Arial" w:hAnsi="Arial" w:cs="Arial"/>
        </w:rPr>
        <w:t xml:space="preserve"> </w:t>
      </w:r>
      <w:r w:rsidRPr="009559EA">
        <w:rPr>
          <w:rFonts w:ascii="Arial" w:hAnsi="Arial" w:cs="Arial"/>
          <w:i/>
          <w:iCs/>
        </w:rPr>
        <w:t>Correia v. Fagan</w:t>
      </w:r>
      <w:r w:rsidRPr="009559EA">
        <w:rPr>
          <w:rFonts w:ascii="Arial" w:hAnsi="Arial" w:cs="Arial"/>
        </w:rPr>
        <w:t xml:space="preserve">, 452 Mass. 120, 127 (2008); </w:t>
      </w:r>
      <w:r w:rsidRPr="009559EA">
        <w:rPr>
          <w:rFonts w:ascii="Arial" w:hAnsi="Arial" w:cs="Arial"/>
          <w:i/>
          <w:iCs/>
        </w:rPr>
        <w:t>Glenn v. Aiken</w:t>
      </w:r>
      <w:r w:rsidRPr="009559EA">
        <w:rPr>
          <w:rFonts w:ascii="Arial" w:hAnsi="Arial" w:cs="Arial"/>
        </w:rPr>
        <w:t>, 409 Mass. 699, 704 (1991)</w:t>
      </w:r>
      <w:r>
        <w:rPr>
          <w:rFonts w:ascii="Arial" w:hAnsi="Arial" w:cs="Arial"/>
        </w:rPr>
        <w:t xml:space="preserve">. </w:t>
      </w:r>
      <w:r w:rsidRPr="003F1E61">
        <w:t xml:space="preserve">If the plaintiff pled guilty in the underlying criminal case, she must show that her guilty plea was vacated (for any reason) and she was factually innocent of the charges. </w:t>
      </w:r>
      <w:proofErr w:type="spellStart"/>
      <w:r w:rsidRPr="003F1E61">
        <w:rPr>
          <w:i/>
          <w:iCs/>
        </w:rPr>
        <w:t>Labovitz</w:t>
      </w:r>
      <w:proofErr w:type="spellEnd"/>
      <w:r w:rsidRPr="003F1E61">
        <w:t xml:space="preserve"> v. </w:t>
      </w:r>
      <w:r w:rsidRPr="003F1E61">
        <w:rPr>
          <w:i/>
          <w:iCs/>
        </w:rPr>
        <w:t>Feinberg,</w:t>
      </w:r>
      <w:r w:rsidRPr="003F1E61">
        <w:t xml:space="preserve"> 47 Mass. App. Ct. 306, 313 (1999) (citation omitted)</w:t>
      </w:r>
      <w:r>
        <w:t xml:space="preserve">; see also </w:t>
      </w:r>
    </w:p>
  </w:footnote>
  <w:footnote w:id="10">
    <w:p w14:paraId="245227C6" w14:textId="77777777" w:rsidR="00134D76" w:rsidRPr="003F1E61" w:rsidRDefault="00134D76" w:rsidP="00134D76">
      <w:pPr>
        <w:pStyle w:val="FootnoteText"/>
      </w:pPr>
      <w:r w:rsidRPr="007E4549">
        <w:rPr>
          <w:rStyle w:val="FootnoteReference"/>
          <w:rFonts w:ascii="Arial" w:hAnsi="Arial" w:cs="Arial"/>
        </w:rPr>
        <w:footnoteRef/>
      </w:r>
      <w:r w:rsidRPr="007E4549">
        <w:rPr>
          <w:rFonts w:ascii="Arial" w:hAnsi="Arial" w:cs="Arial"/>
        </w:rPr>
        <w:t xml:space="preserve"> </w:t>
      </w:r>
      <w:r>
        <w:rPr>
          <w:rFonts w:ascii="Arial" w:hAnsi="Arial" w:cs="Arial"/>
        </w:rPr>
        <w:tab/>
      </w:r>
      <w:r w:rsidRPr="003F1E61">
        <w:rPr>
          <w:i/>
          <w:iCs/>
        </w:rPr>
        <w:t>Poly</w:t>
      </w:r>
      <w:r w:rsidRPr="003F1E61">
        <w:t xml:space="preserve"> v. </w:t>
      </w:r>
      <w:r w:rsidRPr="003F1E61">
        <w:rPr>
          <w:i/>
          <w:iCs/>
        </w:rPr>
        <w:t>Moylan,</w:t>
      </w:r>
      <w:r w:rsidRPr="003F1E61">
        <w:t xml:space="preserve"> 423 Mass. 141, 148 (1996) (citations omitted); </w:t>
      </w:r>
      <w:r w:rsidRPr="003F1E61">
        <w:rPr>
          <w:i/>
          <w:iCs/>
        </w:rPr>
        <w:t>Shimer</w:t>
      </w:r>
      <w:r w:rsidRPr="003F1E61">
        <w:t xml:space="preserve"> v. </w:t>
      </w:r>
      <w:r w:rsidRPr="003F1E61">
        <w:rPr>
          <w:i/>
          <w:iCs/>
        </w:rPr>
        <w:t xml:space="preserve">Foley, </w:t>
      </w:r>
      <w:r>
        <w:rPr>
          <w:i/>
          <w:iCs/>
        </w:rPr>
        <w:t>Hoag</w:t>
      </w:r>
      <w:r w:rsidRPr="003F1E61">
        <w:rPr>
          <w:i/>
          <w:iCs/>
        </w:rPr>
        <w:t xml:space="preserve"> &amp; Eliot LLP,</w:t>
      </w:r>
      <w:r w:rsidRPr="003F1E61">
        <w:t xml:space="preserve"> 59 Mass. App. Ct. 302, 313 (2003) (citations omitted).</w:t>
      </w:r>
    </w:p>
  </w:footnote>
  <w:footnote w:id="11">
    <w:p w14:paraId="7ECCA779" w14:textId="77777777" w:rsidR="00134D76" w:rsidRPr="003F1E61" w:rsidRDefault="00134D76" w:rsidP="00134D76">
      <w:pPr>
        <w:pStyle w:val="FootnoteText"/>
      </w:pPr>
      <w:r w:rsidRPr="002E2C58">
        <w:rPr>
          <w:rStyle w:val="FootnoteReference"/>
          <w:rFonts w:ascii="Arial" w:hAnsi="Arial" w:cs="Arial"/>
        </w:rPr>
        <w:footnoteRef/>
      </w:r>
      <w:r w:rsidRPr="002E2C58">
        <w:rPr>
          <w:rFonts w:ascii="Arial" w:hAnsi="Arial" w:cs="Arial"/>
        </w:rPr>
        <w:t xml:space="preserve"> </w:t>
      </w:r>
      <w:r>
        <w:rPr>
          <w:rFonts w:ascii="Arial" w:hAnsi="Arial" w:cs="Arial"/>
        </w:rPr>
        <w:tab/>
      </w:r>
      <w:r w:rsidRPr="003F1E61">
        <w:rPr>
          <w:i/>
          <w:iCs/>
        </w:rPr>
        <w:t>Poly</w:t>
      </w:r>
      <w:r w:rsidRPr="003F1E61">
        <w:t xml:space="preserve"> v. </w:t>
      </w:r>
      <w:r w:rsidRPr="003F1E61">
        <w:rPr>
          <w:i/>
          <w:iCs/>
        </w:rPr>
        <w:t>Moylan,</w:t>
      </w:r>
      <w:r w:rsidRPr="003F1E61">
        <w:t xml:space="preserve"> 423 Mass. 141, 148 (1996) (citations omitted); </w:t>
      </w:r>
      <w:r w:rsidRPr="003F1E61">
        <w:rPr>
          <w:i/>
          <w:iCs/>
        </w:rPr>
        <w:t>Shimer</w:t>
      </w:r>
      <w:r w:rsidRPr="003F1E61">
        <w:t xml:space="preserve"> v. </w:t>
      </w:r>
      <w:r w:rsidRPr="00225907">
        <w:rPr>
          <w:i/>
          <w:iCs/>
        </w:rPr>
        <w:t>Foley, Hoag &amp; Eliot LLP</w:t>
      </w:r>
      <w:r w:rsidRPr="003F1E61">
        <w:t>, 59 Mass. App. Ct. 302, 311 (2003) (citation omitted).</w:t>
      </w:r>
    </w:p>
  </w:footnote>
  <w:footnote w:id="12">
    <w:p w14:paraId="0C41D747" w14:textId="77777777" w:rsidR="00134D76" w:rsidRPr="003F1E61" w:rsidRDefault="00134D76" w:rsidP="00134D76">
      <w:pPr>
        <w:pStyle w:val="FootnoteText"/>
      </w:pPr>
      <w:r w:rsidRPr="00AB1F2D">
        <w:rPr>
          <w:rStyle w:val="FootnoteReference"/>
          <w:rFonts w:ascii="Arial" w:hAnsi="Arial" w:cs="Arial"/>
        </w:rPr>
        <w:footnoteRef/>
      </w:r>
      <w:r w:rsidRPr="00AB1F2D">
        <w:rPr>
          <w:rFonts w:ascii="Arial" w:hAnsi="Arial" w:cs="Arial"/>
        </w:rPr>
        <w:t xml:space="preserve"> </w:t>
      </w:r>
      <w:r>
        <w:rPr>
          <w:rFonts w:ascii="Arial" w:hAnsi="Arial" w:cs="Arial"/>
        </w:rPr>
        <w:tab/>
      </w:r>
      <w:r w:rsidRPr="003F1E61">
        <w:t xml:space="preserve">In a case where [PFL] was a defendant in the underlying civil matter, “the defendant attorney can prevail by proving by a preponderance of the evidence that, even though he may have been negligent, the plaintiff, his former client, would have lost the underlying case anyway.” </w:t>
      </w:r>
      <w:r w:rsidRPr="003F1E61">
        <w:rPr>
          <w:i/>
          <w:iCs/>
        </w:rPr>
        <w:t>Glenn</w:t>
      </w:r>
      <w:r w:rsidRPr="003F1E61">
        <w:t xml:space="preserve"> v. </w:t>
      </w:r>
      <w:r w:rsidRPr="003F1E61">
        <w:rPr>
          <w:i/>
          <w:iCs/>
        </w:rPr>
        <w:t xml:space="preserve">Aiken, </w:t>
      </w:r>
      <w:r w:rsidRPr="003F1E61">
        <w:t>409 Mass. 699, 706 (1991) (citations omitted).</w:t>
      </w:r>
    </w:p>
  </w:footnote>
  <w:footnote w:id="13">
    <w:p w14:paraId="54EC7E42" w14:textId="77777777" w:rsidR="00134D76" w:rsidRPr="00A147AC" w:rsidRDefault="00134D76" w:rsidP="00134D76">
      <w:pPr>
        <w:pStyle w:val="FootnoteText"/>
        <w:rPr>
          <w:rFonts w:ascii="Arial" w:hAnsi="Arial" w:cs="Arial"/>
        </w:rPr>
      </w:pPr>
      <w:r w:rsidRPr="00A147AC">
        <w:rPr>
          <w:rStyle w:val="FootnoteReference"/>
          <w:rFonts w:ascii="Arial" w:hAnsi="Arial" w:cs="Arial"/>
        </w:rPr>
        <w:footnoteRef/>
      </w:r>
      <w:r w:rsidRPr="00A147AC">
        <w:rPr>
          <w:rFonts w:ascii="Arial" w:hAnsi="Arial" w:cs="Arial"/>
        </w:rPr>
        <w:t xml:space="preserve"> </w:t>
      </w:r>
      <w:r>
        <w:rPr>
          <w:rFonts w:ascii="Arial" w:hAnsi="Arial" w:cs="Arial"/>
        </w:rPr>
        <w:tab/>
      </w:r>
      <w:r w:rsidRPr="003F1E61">
        <w:rPr>
          <w:i/>
          <w:iCs/>
        </w:rPr>
        <w:t xml:space="preserve">See </w:t>
      </w:r>
      <w:r w:rsidRPr="003F1E61">
        <w:t xml:space="preserve">also </w:t>
      </w:r>
      <w:r>
        <w:t xml:space="preserve">model </w:t>
      </w:r>
      <w:r w:rsidRPr="003F1E61">
        <w:t>instruction for Vicarious Liability.</w:t>
      </w:r>
    </w:p>
    <w:p w14:paraId="0FB47E0D" w14:textId="77777777" w:rsidR="00134D76" w:rsidRPr="00A147AC" w:rsidRDefault="00134D76" w:rsidP="00134D76">
      <w:pPr>
        <w:pStyle w:val="FootnoteText"/>
        <w:spacing w:before="0"/>
        <w:rPr>
          <w:rFonts w:ascii="Arial" w:hAnsi="Arial" w:cs="Arial"/>
        </w:rPr>
      </w:pPr>
    </w:p>
  </w:footnote>
  <w:footnote w:id="14">
    <w:p w14:paraId="1A54648F" w14:textId="77777777" w:rsidR="00134D76" w:rsidRPr="00CC5439" w:rsidRDefault="00134D76" w:rsidP="00134D76">
      <w:pPr>
        <w:pStyle w:val="FootnoteText"/>
      </w:pPr>
      <w:r w:rsidRPr="009938CC">
        <w:rPr>
          <w:rStyle w:val="FootnoteReference"/>
          <w:rFonts w:ascii="Arial" w:hAnsi="Arial" w:cs="Arial"/>
        </w:rPr>
        <w:footnoteRef/>
      </w:r>
      <w:r w:rsidRPr="009938CC">
        <w:rPr>
          <w:rFonts w:ascii="Arial" w:hAnsi="Arial" w:cs="Arial"/>
        </w:rPr>
        <w:t xml:space="preserve"> </w:t>
      </w:r>
      <w:r>
        <w:rPr>
          <w:rFonts w:ascii="Arial" w:hAnsi="Arial" w:cs="Arial"/>
        </w:rPr>
        <w:tab/>
      </w:r>
      <w:r w:rsidRPr="00CC5439">
        <w:rPr>
          <w:i/>
          <w:iCs/>
        </w:rPr>
        <w:t>Lev</w:t>
      </w:r>
      <w:r w:rsidRPr="00CC5439">
        <w:t xml:space="preserve"> v. </w:t>
      </w:r>
      <w:r w:rsidRPr="00CC5439">
        <w:rPr>
          <w:i/>
          <w:iCs/>
        </w:rPr>
        <w:t>Beverly Enterprises-Massachusetts</w:t>
      </w:r>
      <w:r w:rsidRPr="00CC5439">
        <w:t>, 457 Mass. 234, 238 (2010) (citation omitted).</w:t>
      </w:r>
    </w:p>
  </w:footnote>
  <w:footnote w:id="15">
    <w:p w14:paraId="32A27F64" w14:textId="77777777" w:rsidR="00134D76" w:rsidRPr="00BC4968" w:rsidRDefault="00134D76" w:rsidP="00134D76">
      <w:pPr>
        <w:pStyle w:val="FootnoteText"/>
      </w:pPr>
      <w:r w:rsidRPr="00585825">
        <w:rPr>
          <w:rStyle w:val="FootnoteReference"/>
          <w:rFonts w:ascii="Arial" w:hAnsi="Arial" w:cs="Arial"/>
        </w:rPr>
        <w:footnoteRef/>
      </w:r>
      <w:r w:rsidRPr="00585825">
        <w:rPr>
          <w:rFonts w:ascii="Arial" w:hAnsi="Arial" w:cs="Arial"/>
        </w:rPr>
        <w:t xml:space="preserve"> </w:t>
      </w:r>
      <w:r>
        <w:rPr>
          <w:rFonts w:ascii="Arial" w:hAnsi="Arial" w:cs="Arial"/>
        </w:rPr>
        <w:tab/>
      </w:r>
      <w:r w:rsidRPr="00BC4968">
        <w:t>Remove this sentence in cases involving a claim against a CPA in which the fraud of PLF or a third party contributed to [P</w:t>
      </w:r>
      <w:r>
        <w:t>LF</w:t>
      </w:r>
      <w:r w:rsidRPr="00BC4968">
        <w:t>’s] harm.</w:t>
      </w:r>
      <w:r>
        <w:t xml:space="preserve"> </w:t>
      </w:r>
      <w:r w:rsidRPr="00BC4968">
        <w:t xml:space="preserve">The damages are capped by G.L. c. 112, § 87A¾, in such cases. </w:t>
      </w:r>
      <w:r w:rsidRPr="009863A2">
        <w:rPr>
          <w:i/>
          <w:iCs/>
        </w:rPr>
        <w:t xml:space="preserve">See </w:t>
      </w:r>
      <w:r w:rsidRPr="008870B8">
        <w:t>n. 24</w:t>
      </w:r>
      <w:r w:rsidRPr="00BC4968">
        <w:t xml:space="preserve"> below.</w:t>
      </w:r>
    </w:p>
  </w:footnote>
  <w:footnote w:id="16">
    <w:p w14:paraId="1EFDF712" w14:textId="77777777" w:rsidR="00134D76" w:rsidRPr="00BC4968" w:rsidRDefault="00134D76" w:rsidP="00134D76">
      <w:pPr>
        <w:pStyle w:val="FootnoteText"/>
      </w:pPr>
      <w:r w:rsidRPr="00963D06">
        <w:rPr>
          <w:rStyle w:val="FootnoteReference"/>
          <w:rFonts w:ascii="Arial" w:hAnsi="Arial" w:cs="Arial"/>
        </w:rPr>
        <w:footnoteRef/>
      </w:r>
      <w:r>
        <w:t xml:space="preserve"> </w:t>
      </w:r>
      <w:r>
        <w:tab/>
      </w:r>
      <w:r w:rsidRPr="00BC4968">
        <w:t xml:space="preserve">“It is that portion of the judgment that can actually be collected ‘that determines the financial liability and responsibility of the legal malpractice defendant, assuming professional negligence has been determined.’" </w:t>
      </w:r>
      <w:r w:rsidRPr="00BC4968">
        <w:rPr>
          <w:i/>
          <w:iCs/>
        </w:rPr>
        <w:t>Shimer</w:t>
      </w:r>
      <w:r w:rsidRPr="00BC4968">
        <w:t xml:space="preserve"> v. </w:t>
      </w:r>
      <w:r w:rsidRPr="00BC4968">
        <w:rPr>
          <w:i/>
          <w:iCs/>
        </w:rPr>
        <w:t xml:space="preserve">Foley, </w:t>
      </w:r>
      <w:r>
        <w:rPr>
          <w:i/>
          <w:iCs/>
        </w:rPr>
        <w:t>Hoag</w:t>
      </w:r>
      <w:r w:rsidRPr="00BC4968">
        <w:rPr>
          <w:i/>
          <w:iCs/>
        </w:rPr>
        <w:t xml:space="preserve"> &amp; Eliot LLP,</w:t>
      </w:r>
      <w:r w:rsidRPr="00BC4968">
        <w:t xml:space="preserve"> 59 Mass. App. Ct. 302, 313 (2003) (internal and external citations omitted).</w:t>
      </w:r>
    </w:p>
  </w:footnote>
  <w:footnote w:id="17">
    <w:p w14:paraId="0FFC3BEB" w14:textId="77777777" w:rsidR="00134D76" w:rsidRPr="00585825" w:rsidRDefault="00134D76" w:rsidP="00134D76">
      <w:pPr>
        <w:pStyle w:val="FootnoteText"/>
        <w:rPr>
          <w:rFonts w:ascii="Arial" w:hAnsi="Arial" w:cs="Arial"/>
        </w:rPr>
      </w:pPr>
      <w:r w:rsidRPr="00585825">
        <w:rPr>
          <w:rStyle w:val="FootnoteReference"/>
          <w:rFonts w:ascii="Arial" w:hAnsi="Arial" w:cs="Arial"/>
        </w:rPr>
        <w:footnoteRef/>
      </w:r>
      <w:r w:rsidRPr="00585825">
        <w:rPr>
          <w:rFonts w:ascii="Arial" w:hAnsi="Arial" w:cs="Arial"/>
        </w:rPr>
        <w:t xml:space="preserve"> </w:t>
      </w:r>
      <w:r>
        <w:rPr>
          <w:rFonts w:ascii="Arial" w:hAnsi="Arial" w:cs="Arial"/>
        </w:rPr>
        <w:tab/>
      </w:r>
      <w:r w:rsidRPr="00BC4968">
        <w:rPr>
          <w:i/>
          <w:iCs/>
        </w:rPr>
        <w:t>See O'Bryan</w:t>
      </w:r>
      <w:r w:rsidRPr="00BC4968">
        <w:t xml:space="preserve"> v. </w:t>
      </w:r>
      <w:r w:rsidRPr="00BC4968">
        <w:rPr>
          <w:i/>
          <w:iCs/>
        </w:rPr>
        <w:t>Ashland</w:t>
      </w:r>
      <w:r w:rsidRPr="00BC4968">
        <w:t>, 717 N.W.2d 632, 638 (S.D. 2006) (citation omitted).</w:t>
      </w:r>
    </w:p>
  </w:footnote>
  <w:footnote w:id="18">
    <w:p w14:paraId="5A9359B2" w14:textId="77777777" w:rsidR="00134D76" w:rsidRPr="00BC4968" w:rsidRDefault="00134D76" w:rsidP="00134D76">
      <w:pPr>
        <w:pStyle w:val="FootnoteText"/>
      </w:pPr>
      <w:r>
        <w:rPr>
          <w:rStyle w:val="FootnoteReference"/>
          <w:rFonts w:ascii="Arial" w:hAnsi="Arial" w:cs="Arial"/>
        </w:rPr>
        <w:footnoteRef/>
      </w:r>
      <w:r>
        <w:rPr>
          <w:rFonts w:ascii="Arial" w:hAnsi="Arial" w:cs="Arial"/>
        </w:rPr>
        <w:t xml:space="preserve"> </w:t>
      </w:r>
      <w:r>
        <w:rPr>
          <w:rFonts w:ascii="Arial" w:hAnsi="Arial" w:cs="Arial"/>
        </w:rPr>
        <w:tab/>
      </w:r>
      <w:r w:rsidRPr="00BC4968">
        <w:rPr>
          <w:i/>
          <w:iCs/>
        </w:rPr>
        <w:t>Miller</w:t>
      </w:r>
      <w:r w:rsidRPr="00BC4968">
        <w:t xml:space="preserve"> v. </w:t>
      </w:r>
      <w:r w:rsidRPr="00BC4968">
        <w:rPr>
          <w:i/>
          <w:iCs/>
        </w:rPr>
        <w:t>Volk</w:t>
      </w:r>
      <w:r w:rsidRPr="00BC4968">
        <w:t>, 63 Mass. App. Ct. 303, 305–306 (2005).</w:t>
      </w:r>
    </w:p>
  </w:footnote>
  <w:footnote w:id="19">
    <w:p w14:paraId="61E4EBC3" w14:textId="77777777" w:rsidR="00134D76" w:rsidRPr="00BC4968" w:rsidRDefault="00134D76" w:rsidP="00134D76">
      <w:pPr>
        <w:pStyle w:val="FootnoteText"/>
      </w:pPr>
      <w:r>
        <w:rPr>
          <w:rStyle w:val="FootnoteReference"/>
          <w:rFonts w:ascii="Arial" w:hAnsi="Arial" w:cs="Arial"/>
        </w:rPr>
        <w:footnoteRef/>
      </w:r>
      <w:r>
        <w:rPr>
          <w:rFonts w:ascii="Arial" w:hAnsi="Arial" w:cs="Arial"/>
        </w:rPr>
        <w:t xml:space="preserve"> </w:t>
      </w:r>
      <w:r>
        <w:rPr>
          <w:rFonts w:ascii="Arial" w:hAnsi="Arial" w:cs="Arial"/>
        </w:rPr>
        <w:tab/>
      </w:r>
      <w:r w:rsidRPr="00BC4968">
        <w:rPr>
          <w:i/>
          <w:iCs/>
        </w:rPr>
        <w:t xml:space="preserve">O'Bryan </w:t>
      </w:r>
      <w:r w:rsidRPr="00BC4968">
        <w:t xml:space="preserve">v. </w:t>
      </w:r>
      <w:r w:rsidRPr="00BC4968">
        <w:rPr>
          <w:i/>
          <w:iCs/>
        </w:rPr>
        <w:t>Ashland,</w:t>
      </w:r>
      <w:r w:rsidRPr="00BC4968">
        <w:t xml:space="preserve"> 717 N.W.2d 632, 638 (S.D. 2006) (citation omitted).</w:t>
      </w:r>
    </w:p>
  </w:footnote>
  <w:footnote w:id="20">
    <w:p w14:paraId="26357979" w14:textId="77777777" w:rsidR="00134D76" w:rsidRPr="00BC4968" w:rsidRDefault="00134D76" w:rsidP="00134D76">
      <w:pPr>
        <w:pStyle w:val="FootnoteText"/>
      </w:pPr>
      <w:r>
        <w:rPr>
          <w:rStyle w:val="FootnoteReference"/>
          <w:rFonts w:ascii="Arial" w:hAnsi="Arial" w:cs="Arial"/>
        </w:rPr>
        <w:footnoteRef/>
      </w:r>
      <w:r>
        <w:rPr>
          <w:rFonts w:ascii="Arial" w:hAnsi="Arial" w:cs="Arial"/>
        </w:rPr>
        <w:t xml:space="preserve"> </w:t>
      </w:r>
      <w:r>
        <w:rPr>
          <w:rFonts w:ascii="Arial" w:hAnsi="Arial" w:cs="Arial"/>
        </w:rPr>
        <w:tab/>
      </w:r>
      <w:r w:rsidRPr="00BC4968">
        <w:t xml:space="preserve">The plaintiff may also be entitled to the interest and penalties paid on the portion of the tax deficiency attributed to the defendant’s negligence and consequential damages. </w:t>
      </w:r>
      <w:r w:rsidRPr="00BC4968">
        <w:rPr>
          <w:i/>
          <w:iCs/>
        </w:rPr>
        <w:t>See</w:t>
      </w:r>
      <w:r w:rsidRPr="00BC4968">
        <w:t xml:space="preserve"> </w:t>
      </w:r>
      <w:r w:rsidRPr="00BC4968">
        <w:rPr>
          <w:i/>
          <w:iCs/>
        </w:rPr>
        <w:t>Miller</w:t>
      </w:r>
      <w:r w:rsidRPr="00BC4968">
        <w:t xml:space="preserve"> v. </w:t>
      </w:r>
      <w:r w:rsidRPr="00BC4968">
        <w:rPr>
          <w:i/>
          <w:iCs/>
        </w:rPr>
        <w:t>Volk,</w:t>
      </w:r>
      <w:r w:rsidRPr="00BC4968">
        <w:t xml:space="preserve"> 63 Mass. App. Ct. 303, 305</w:t>
      </w:r>
      <w:r>
        <w:t>-</w:t>
      </w:r>
      <w:r w:rsidRPr="00BC4968">
        <w:t xml:space="preserve">306 (2005); </w:t>
      </w:r>
      <w:r w:rsidRPr="00BC4968">
        <w:rPr>
          <w:i/>
          <w:iCs/>
        </w:rPr>
        <w:t>O'Bryan</w:t>
      </w:r>
      <w:r w:rsidRPr="00BC4968">
        <w:t xml:space="preserve"> v. </w:t>
      </w:r>
      <w:r w:rsidRPr="00BC4968">
        <w:rPr>
          <w:i/>
          <w:iCs/>
        </w:rPr>
        <w:t>Ashland</w:t>
      </w:r>
      <w:r w:rsidRPr="00BC4968">
        <w:t>, 717 N.W.2d 632, 638 (S.D. 2006).</w:t>
      </w:r>
    </w:p>
  </w:footnote>
  <w:footnote w:id="21">
    <w:p w14:paraId="4E25491F" w14:textId="43FAF9B2" w:rsidR="00134D76" w:rsidRPr="00585825" w:rsidRDefault="00134D76" w:rsidP="00134D76">
      <w:pPr>
        <w:pStyle w:val="FootnoteText"/>
        <w:rPr>
          <w:rFonts w:ascii="Arial" w:hAnsi="Arial" w:cs="Arial"/>
        </w:rPr>
      </w:pPr>
      <w:r w:rsidRPr="00585825">
        <w:rPr>
          <w:rStyle w:val="FootnoteReference"/>
          <w:rFonts w:ascii="Arial" w:hAnsi="Arial" w:cs="Arial"/>
        </w:rPr>
        <w:footnoteRef/>
      </w:r>
      <w:r w:rsidRPr="00585825">
        <w:rPr>
          <w:rFonts w:ascii="Arial" w:hAnsi="Arial" w:cs="Arial"/>
        </w:rPr>
        <w:t xml:space="preserve"> </w:t>
      </w:r>
      <w:r>
        <w:rPr>
          <w:rFonts w:ascii="Arial" w:hAnsi="Arial" w:cs="Arial"/>
        </w:rPr>
        <w:tab/>
      </w:r>
      <w:r w:rsidRPr="007D7710">
        <w:rPr>
          <w:i/>
          <w:iCs/>
        </w:rPr>
        <w:t>See</w:t>
      </w:r>
      <w:r w:rsidRPr="00BC4968">
        <w:t xml:space="preserve"> G.L. c. 112, § 87A¾. “By enacting this statute, the Legislature appears to have replaced the common-law doctrine of in </w:t>
      </w:r>
      <w:proofErr w:type="spellStart"/>
      <w:r w:rsidRPr="00BC4968">
        <w:t>pari</w:t>
      </w:r>
      <w:proofErr w:type="spellEnd"/>
      <w:r w:rsidRPr="00BC4968">
        <w:t xml:space="preserve"> delicto in cases where an accounting firm is sued for its failure to detect fraud by a client's employee, with a statutory allocation of damages akin to, but different from, comparative negligence.” </w:t>
      </w:r>
      <w:r w:rsidRPr="00BC4968">
        <w:rPr>
          <w:i/>
          <w:iCs/>
        </w:rPr>
        <w:t>Merrimack College</w:t>
      </w:r>
      <w:r w:rsidRPr="00BC4968">
        <w:t xml:space="preserve"> v. </w:t>
      </w:r>
      <w:r w:rsidRPr="00BC4968">
        <w:rPr>
          <w:i/>
          <w:iCs/>
        </w:rPr>
        <w:t>KPMG LLP,</w:t>
      </w:r>
      <w:r w:rsidRPr="00BC4968">
        <w:t xml:space="preserve"> 480 Mass. 614, 631 (2018).</w:t>
      </w:r>
    </w:p>
  </w:footnote>
  <w:footnote w:id="22">
    <w:p w14:paraId="0772F92A" w14:textId="4833CAAC" w:rsidR="00134D76" w:rsidRPr="00BC4968" w:rsidRDefault="00134D76" w:rsidP="00134D76">
      <w:pPr>
        <w:pStyle w:val="FootnoteText"/>
      </w:pPr>
      <w:r w:rsidRPr="00041EFD">
        <w:rPr>
          <w:rStyle w:val="FootnoteReference"/>
          <w:rFonts w:ascii="Arial" w:hAnsi="Arial" w:cs="Arial"/>
        </w:rPr>
        <w:footnoteRef/>
      </w:r>
      <w:r w:rsidRPr="00041EFD">
        <w:rPr>
          <w:rFonts w:ascii="Arial" w:hAnsi="Arial" w:cs="Arial"/>
        </w:rPr>
        <w:t xml:space="preserve"> </w:t>
      </w:r>
      <w:r>
        <w:rPr>
          <w:rFonts w:ascii="Arial" w:hAnsi="Arial" w:cs="Arial"/>
        </w:rPr>
        <w:tab/>
      </w:r>
      <w:r w:rsidRPr="00BC4968">
        <w:t xml:space="preserve">The modern definition of willful conduct means intentional conduct (as opposed to accidental), without any reference to any improper motive. </w:t>
      </w:r>
      <w:r w:rsidRPr="00BC4968">
        <w:rPr>
          <w:i/>
          <w:iCs/>
        </w:rPr>
        <w:t xml:space="preserve">Commonwealth </w:t>
      </w:r>
      <w:r w:rsidRPr="00BC4968">
        <w:t xml:space="preserve">v. </w:t>
      </w:r>
      <w:r w:rsidRPr="00BC4968">
        <w:rPr>
          <w:i/>
          <w:iCs/>
        </w:rPr>
        <w:t>Adams</w:t>
      </w:r>
      <w:r w:rsidRPr="00BC4968">
        <w:t>, 482</w:t>
      </w:r>
      <w:r w:rsidR="004C071E">
        <w:t> </w:t>
      </w:r>
      <w:r w:rsidRPr="00BC4968">
        <w:t xml:space="preserve">Mass. 514, 526 (2019) (citing </w:t>
      </w:r>
      <w:r w:rsidRPr="00BC4968">
        <w:rPr>
          <w:i/>
          <w:iCs/>
        </w:rPr>
        <w:t xml:space="preserve">Commonwealth </w:t>
      </w:r>
      <w:r w:rsidRPr="00BC4968">
        <w:t xml:space="preserve">v. </w:t>
      </w:r>
      <w:r w:rsidRPr="00BC4968">
        <w:rPr>
          <w:i/>
          <w:iCs/>
        </w:rPr>
        <w:t>Luna</w:t>
      </w:r>
      <w:r w:rsidRPr="00BC4968">
        <w:t>, 418 Mass. 749, 753 (1994)).</w:t>
      </w:r>
    </w:p>
  </w:footnote>
  <w:footnote w:id="23">
    <w:p w14:paraId="60CD7DFF" w14:textId="77777777" w:rsidR="00134D76" w:rsidRPr="00BC4968" w:rsidRDefault="00134D76" w:rsidP="00134D76">
      <w:pPr>
        <w:pStyle w:val="FootnoteText"/>
      </w:pPr>
      <w:r w:rsidRPr="00CB26B7">
        <w:rPr>
          <w:rStyle w:val="FootnoteReference"/>
          <w:rFonts w:ascii="Arial" w:hAnsi="Arial" w:cs="Arial"/>
        </w:rPr>
        <w:footnoteRef/>
      </w:r>
      <w:r w:rsidRPr="00CB26B7">
        <w:rPr>
          <w:rFonts w:ascii="Arial" w:hAnsi="Arial" w:cs="Arial"/>
        </w:rPr>
        <w:t xml:space="preserve"> </w:t>
      </w:r>
      <w:r>
        <w:rPr>
          <w:rFonts w:ascii="Arial" w:hAnsi="Arial" w:cs="Arial"/>
        </w:rPr>
        <w:tab/>
      </w:r>
      <w:r w:rsidRPr="00BC4968">
        <w:t xml:space="preserve">If G.L. c. 112, § 87A¾, does not apply because DFT failed to prove the two required elements, comparative negligence may apply. </w:t>
      </w:r>
      <w:r w:rsidRPr="00BC4968">
        <w:rPr>
          <w:i/>
          <w:iCs/>
        </w:rPr>
        <w:t>See Merrimack College</w:t>
      </w:r>
      <w:r w:rsidRPr="00BC4968">
        <w:t xml:space="preserve"> v. </w:t>
      </w:r>
      <w:r w:rsidRPr="00BC4968">
        <w:rPr>
          <w:i/>
          <w:iCs/>
        </w:rPr>
        <w:t>KPMG LLP,</w:t>
      </w:r>
      <w:r w:rsidRPr="00BC4968">
        <w:t xml:space="preserve"> 480 Mass. 614, 624, 631 n.12 (2018).</w:t>
      </w:r>
    </w:p>
  </w:footnote>
  <w:footnote w:id="24">
    <w:p w14:paraId="46679340" w14:textId="77777777" w:rsidR="00134D76" w:rsidRPr="00CB26B7" w:rsidRDefault="00134D76" w:rsidP="00134D76">
      <w:pPr>
        <w:pStyle w:val="FootnoteText"/>
        <w:rPr>
          <w:rFonts w:ascii="Arial" w:hAnsi="Arial" w:cs="Arial"/>
        </w:rPr>
      </w:pPr>
      <w:r w:rsidRPr="00CB26B7">
        <w:rPr>
          <w:rStyle w:val="FootnoteReference"/>
          <w:rFonts w:ascii="Arial" w:hAnsi="Arial" w:cs="Arial"/>
        </w:rPr>
        <w:footnoteRef/>
      </w:r>
      <w:r w:rsidRPr="00CB26B7">
        <w:rPr>
          <w:rFonts w:ascii="Arial" w:hAnsi="Arial" w:cs="Arial"/>
        </w:rPr>
        <w:t xml:space="preserve"> </w:t>
      </w:r>
      <w:r>
        <w:rPr>
          <w:rFonts w:ascii="Arial" w:hAnsi="Arial" w:cs="Arial"/>
        </w:rPr>
        <w:tab/>
      </w:r>
      <w:r w:rsidRPr="00BC4968">
        <w:t xml:space="preserve">If G.L. c. 112, § 87A¾, applies, comparative negligence likely does not apply. </w:t>
      </w:r>
      <w:r w:rsidRPr="00BC4968">
        <w:rPr>
          <w:i/>
          <w:iCs/>
        </w:rPr>
        <w:t>See Merrimack College</w:t>
      </w:r>
      <w:r w:rsidRPr="00BC4968">
        <w:t xml:space="preserve"> v. </w:t>
      </w:r>
      <w:r w:rsidRPr="00BC4968">
        <w:rPr>
          <w:i/>
          <w:iCs/>
        </w:rPr>
        <w:t>KPMG LLP,</w:t>
      </w:r>
      <w:r w:rsidRPr="00BC4968">
        <w:t xml:space="preserve"> 480 Mass. 614, 624 (2018) (“[T]he comparative negligence statute does not apply where the plaintiff has engaged in intentional wrongdoing; it applies only where the plaintiff and defendant are both found to be negligent.”).</w:t>
      </w:r>
    </w:p>
  </w:footnote>
  <w:footnote w:id="25">
    <w:p w14:paraId="0E88E282" w14:textId="77777777" w:rsidR="00134D76" w:rsidRPr="00585825" w:rsidRDefault="00134D76" w:rsidP="00134D76">
      <w:pPr>
        <w:pStyle w:val="FootnoteText"/>
        <w:rPr>
          <w:rFonts w:ascii="Arial" w:hAnsi="Arial" w:cs="Arial"/>
        </w:rPr>
      </w:pPr>
      <w:r w:rsidRPr="00585825">
        <w:rPr>
          <w:rStyle w:val="FootnoteReference"/>
          <w:rFonts w:ascii="Arial" w:hAnsi="Arial" w:cs="Arial"/>
        </w:rPr>
        <w:footnoteRef/>
      </w:r>
      <w:r w:rsidRPr="00585825">
        <w:rPr>
          <w:rFonts w:ascii="Arial" w:hAnsi="Arial" w:cs="Arial"/>
        </w:rPr>
        <w:t xml:space="preserve"> </w:t>
      </w:r>
      <w:r w:rsidRPr="00BC4968">
        <w:rPr>
          <w:rFonts w:ascii="Arial" w:hAnsi="Arial" w:cs="Arial"/>
          <w:i/>
          <w:iCs/>
        </w:rPr>
        <w:tab/>
      </w:r>
      <w:r w:rsidRPr="00BC4968">
        <w:rPr>
          <w:i/>
          <w:iCs/>
        </w:rPr>
        <w:t>Shimer</w:t>
      </w:r>
      <w:r w:rsidRPr="00BC4968">
        <w:t xml:space="preserve"> v. </w:t>
      </w:r>
      <w:r w:rsidRPr="00BC4968">
        <w:rPr>
          <w:i/>
          <w:iCs/>
        </w:rPr>
        <w:t>Foley, Hoag &amp; Eliot LLP,</w:t>
      </w:r>
      <w:r w:rsidRPr="00BC4968">
        <w:t xml:space="preserve"> 59 Mass. App. Ct. 302, 314</w:t>
      </w:r>
      <w:r>
        <w:t>-3</w:t>
      </w:r>
      <w:r w:rsidRPr="00BC4968">
        <w:t>15 (2003).</w:t>
      </w:r>
    </w:p>
  </w:footnote>
  <w:footnote w:id="26">
    <w:p w14:paraId="34664A0D" w14:textId="6D2FDCC5" w:rsidR="00134D76" w:rsidRPr="00792302" w:rsidRDefault="00134D76" w:rsidP="00134D76">
      <w:pPr>
        <w:pStyle w:val="FootnoteText"/>
      </w:pPr>
      <w:r w:rsidRPr="00585825">
        <w:rPr>
          <w:rStyle w:val="FootnoteReference"/>
          <w:rFonts w:ascii="Arial" w:hAnsi="Arial" w:cs="Arial"/>
        </w:rPr>
        <w:footnoteRef/>
      </w:r>
      <w:r w:rsidRPr="00585825">
        <w:rPr>
          <w:rFonts w:ascii="Arial" w:hAnsi="Arial" w:cs="Arial"/>
        </w:rPr>
        <w:t xml:space="preserve"> </w:t>
      </w:r>
      <w:r>
        <w:rPr>
          <w:rFonts w:ascii="Arial" w:hAnsi="Arial" w:cs="Arial"/>
        </w:rPr>
        <w:tab/>
      </w:r>
      <w:r w:rsidRPr="00792302">
        <w:rPr>
          <w:i/>
          <w:iCs/>
        </w:rPr>
        <w:t>See Wyman</w:t>
      </w:r>
      <w:r w:rsidRPr="00792302">
        <w:t xml:space="preserve"> v. </w:t>
      </w:r>
      <w:r w:rsidRPr="00792302">
        <w:rPr>
          <w:i/>
          <w:iCs/>
        </w:rPr>
        <w:t>Ayer Properties, LLC</w:t>
      </w:r>
      <w:r w:rsidRPr="00792302">
        <w:t>, 469 Mass. 64, 72 (2014) (“The general rule for determining property damage is diminution in market value. . . . However, ‘[r]</w:t>
      </w:r>
      <w:proofErr w:type="spellStart"/>
      <w:r w:rsidRPr="00792302">
        <w:t>eplacement</w:t>
      </w:r>
      <w:proofErr w:type="spellEnd"/>
      <w:r w:rsidRPr="00792302">
        <w:t xml:space="preserve"> or restoration costs have also been allowed as a measure of damages in other contexts where diminution in market value is unavailable or unsatisfactory as a measure of damages.’”) (citations omitted).</w:t>
      </w:r>
    </w:p>
  </w:footnote>
  <w:footnote w:id="27">
    <w:p w14:paraId="5333B0BC" w14:textId="77777777" w:rsidR="00134D76" w:rsidRPr="00792302" w:rsidRDefault="00134D76" w:rsidP="00134D76">
      <w:pPr>
        <w:pStyle w:val="FootnoteText"/>
      </w:pPr>
      <w:r w:rsidRPr="00585825">
        <w:rPr>
          <w:rStyle w:val="FootnoteReference"/>
          <w:rFonts w:ascii="Arial" w:hAnsi="Arial" w:cs="Arial"/>
        </w:rPr>
        <w:footnoteRef/>
      </w:r>
      <w:r w:rsidRPr="00585825">
        <w:rPr>
          <w:rFonts w:ascii="Arial" w:hAnsi="Arial" w:cs="Arial"/>
        </w:rPr>
        <w:t xml:space="preserve"> </w:t>
      </w:r>
      <w:r>
        <w:rPr>
          <w:rFonts w:ascii="Arial" w:hAnsi="Arial" w:cs="Arial"/>
        </w:rPr>
        <w:tab/>
      </w:r>
      <w:r w:rsidRPr="00792302">
        <w:rPr>
          <w:i/>
          <w:iCs/>
        </w:rPr>
        <w:t xml:space="preserve">See </w:t>
      </w:r>
      <w:r w:rsidRPr="00792302">
        <w:t xml:space="preserve">generally </w:t>
      </w:r>
      <w:r w:rsidRPr="00792302">
        <w:rPr>
          <w:i/>
          <w:iCs/>
        </w:rPr>
        <w:t>Lawrence Sav. Bank</w:t>
      </w:r>
      <w:r w:rsidRPr="00792302">
        <w:t xml:space="preserve"> v. </w:t>
      </w:r>
      <w:r w:rsidRPr="00792302">
        <w:rPr>
          <w:i/>
          <w:iCs/>
        </w:rPr>
        <w:t>Levenson</w:t>
      </w:r>
      <w:r w:rsidRPr="00792302">
        <w:t>, 59 Mass. App. Ct. 699, 704 (2003) (comparative negligence applies to a claim of legal malpractice).</w:t>
      </w:r>
    </w:p>
  </w:footnote>
  <w:footnote w:id="28">
    <w:p w14:paraId="010FF83D" w14:textId="77777777" w:rsidR="00134D76" w:rsidRPr="00792302" w:rsidRDefault="00134D76" w:rsidP="00134D76">
      <w:pPr>
        <w:pStyle w:val="FootnoteText"/>
      </w:pPr>
      <w:r w:rsidRPr="00585825">
        <w:rPr>
          <w:rStyle w:val="FootnoteReference"/>
          <w:rFonts w:ascii="Arial" w:hAnsi="Arial" w:cs="Arial"/>
        </w:rPr>
        <w:footnoteRef/>
      </w:r>
      <w:r w:rsidRPr="00585825">
        <w:rPr>
          <w:rFonts w:ascii="Arial" w:hAnsi="Arial" w:cs="Arial"/>
        </w:rPr>
        <w:t xml:space="preserve"> </w:t>
      </w:r>
      <w:r>
        <w:rPr>
          <w:rFonts w:ascii="Arial" w:hAnsi="Arial" w:cs="Arial"/>
        </w:rPr>
        <w:tab/>
      </w:r>
      <w:r w:rsidRPr="00792302">
        <w:t xml:space="preserve">“[T]he comparative negligence statute does not apply where the plaintiff has engaged in intentional wrongdoing [i.e., where the defendant asserts the defense of in </w:t>
      </w:r>
      <w:proofErr w:type="spellStart"/>
      <w:r w:rsidRPr="00792302">
        <w:t>pari</w:t>
      </w:r>
      <w:proofErr w:type="spellEnd"/>
      <w:r w:rsidRPr="00792302">
        <w:t xml:space="preserve"> delicto]; it applies only where the plaintiff and defendant are both found to be negligent.” </w:t>
      </w:r>
      <w:r w:rsidRPr="00792302">
        <w:rPr>
          <w:i/>
          <w:iCs/>
        </w:rPr>
        <w:t>Merrimack College</w:t>
      </w:r>
      <w:r w:rsidRPr="00792302">
        <w:t xml:space="preserve"> v. </w:t>
      </w:r>
      <w:r w:rsidRPr="00792302">
        <w:rPr>
          <w:i/>
          <w:iCs/>
        </w:rPr>
        <w:t>KPMG LLP,</w:t>
      </w:r>
      <w:r w:rsidRPr="00792302">
        <w:t xml:space="preserve"> 480 Mass. 614, 624 (2018) (citation omitted).</w:t>
      </w:r>
    </w:p>
  </w:footnote>
  <w:footnote w:id="29">
    <w:p w14:paraId="5CB2EAC4" w14:textId="77777777" w:rsidR="00134D76" w:rsidRPr="009D1F2C" w:rsidRDefault="00134D76" w:rsidP="00134D76">
      <w:pPr>
        <w:pStyle w:val="FootnoteText"/>
        <w:rPr>
          <w:rFonts w:cs="Segoe UI Historic"/>
        </w:rPr>
      </w:pPr>
      <w:r w:rsidRPr="009D1F2C">
        <w:rPr>
          <w:rStyle w:val="FootnoteReference"/>
          <w:rFonts w:cs="Segoe UI Historic"/>
        </w:rPr>
        <w:footnoteRef/>
      </w:r>
      <w:r w:rsidRPr="009D1F2C">
        <w:rPr>
          <w:rFonts w:cs="Segoe UI Historic"/>
        </w:rPr>
        <w:t xml:space="preserve"> </w:t>
      </w:r>
      <w:r w:rsidRPr="009D1F2C">
        <w:rPr>
          <w:rFonts w:cs="Segoe UI Historic"/>
        </w:rPr>
        <w:tab/>
        <w:t xml:space="preserve">G.L. c. 112, §87A¾, rather than the common law doctrine of in </w:t>
      </w:r>
      <w:proofErr w:type="spellStart"/>
      <w:r w:rsidRPr="009D1F2C">
        <w:rPr>
          <w:rFonts w:cs="Segoe UI Historic"/>
        </w:rPr>
        <w:t>pari</w:t>
      </w:r>
      <w:proofErr w:type="spellEnd"/>
      <w:r w:rsidRPr="009D1F2C">
        <w:rPr>
          <w:rFonts w:cs="Segoe UI Historic"/>
        </w:rPr>
        <w:t xml:space="preserve"> delicto applies in actions against licensed public accountants. </w:t>
      </w:r>
      <w:r w:rsidRPr="009D1F2C">
        <w:rPr>
          <w:rFonts w:cs="Segoe UI Historic"/>
          <w:i/>
          <w:iCs/>
        </w:rPr>
        <w:t>Chelsea Housing Authority</w:t>
      </w:r>
      <w:r w:rsidRPr="009D1F2C">
        <w:rPr>
          <w:rFonts w:cs="Segoe UI Historic"/>
        </w:rPr>
        <w:t xml:space="preserve"> v. </w:t>
      </w:r>
      <w:r w:rsidRPr="009D1F2C">
        <w:rPr>
          <w:rFonts w:cs="Segoe UI Historic"/>
          <w:i/>
          <w:iCs/>
        </w:rPr>
        <w:t>McLaughlin,</w:t>
      </w:r>
      <w:r w:rsidRPr="009D1F2C">
        <w:rPr>
          <w:rFonts w:cs="Segoe UI Historic"/>
        </w:rPr>
        <w:t xml:space="preserve"> 482 Mass. 579, 580 (2019).</w:t>
      </w:r>
    </w:p>
  </w:footnote>
  <w:footnote w:id="30">
    <w:p w14:paraId="56E53A4B" w14:textId="77777777" w:rsidR="00134D76" w:rsidRPr="009D1F2C" w:rsidRDefault="00134D76" w:rsidP="00134D76">
      <w:pPr>
        <w:pStyle w:val="FootnoteText"/>
        <w:rPr>
          <w:rFonts w:cs="Segoe UI Historic"/>
        </w:rPr>
      </w:pPr>
      <w:r w:rsidRPr="009D1F2C">
        <w:rPr>
          <w:rStyle w:val="FootnoteReference"/>
          <w:rFonts w:cs="Segoe UI Historic"/>
        </w:rPr>
        <w:footnoteRef/>
      </w:r>
      <w:r w:rsidRPr="009D1F2C">
        <w:rPr>
          <w:rFonts w:cs="Segoe UI Historic"/>
        </w:rPr>
        <w:t xml:space="preserve"> If relevant, this instruction may be given before the instruction on damages, and the damages and comparative negligence instructions may be modified to point out that the jury need not address these issue</w:t>
      </w:r>
      <w:r>
        <w:rPr>
          <w:rFonts w:cs="Segoe UI Historic"/>
        </w:rPr>
        <w:t>s</w:t>
      </w:r>
      <w:r w:rsidRPr="009D1F2C">
        <w:rPr>
          <w:rFonts w:cs="Segoe UI Historic"/>
        </w:rPr>
        <w:t xml:space="preserve"> if DFT proves </w:t>
      </w:r>
      <w:proofErr w:type="spellStart"/>
      <w:r w:rsidRPr="009D1F2C">
        <w:rPr>
          <w:rFonts w:cs="Segoe UI Historic"/>
        </w:rPr>
        <w:t>its</w:t>
      </w:r>
      <w:proofErr w:type="spellEnd"/>
      <w:r w:rsidRPr="009D1F2C">
        <w:rPr>
          <w:rFonts w:cs="Segoe UI Historic"/>
        </w:rPr>
        <w:t xml:space="preserve"> </w:t>
      </w:r>
      <w:r w:rsidRPr="009D1F2C">
        <w:rPr>
          <w:rFonts w:cs="Segoe UI Historic"/>
          <w:i/>
          <w:iCs/>
        </w:rPr>
        <w:t xml:space="preserve">in </w:t>
      </w:r>
      <w:proofErr w:type="spellStart"/>
      <w:r w:rsidRPr="009D1F2C">
        <w:rPr>
          <w:rFonts w:cs="Segoe UI Historic"/>
          <w:i/>
          <w:iCs/>
        </w:rPr>
        <w:t>pari</w:t>
      </w:r>
      <w:proofErr w:type="spellEnd"/>
      <w:r w:rsidRPr="009D1F2C">
        <w:rPr>
          <w:rFonts w:cs="Segoe UI Historic"/>
          <w:i/>
          <w:iCs/>
        </w:rPr>
        <w:t xml:space="preserve"> delicto</w:t>
      </w:r>
      <w:r w:rsidRPr="009D1F2C">
        <w:rPr>
          <w:rFonts w:cs="Segoe UI Historic"/>
        </w:rPr>
        <w:t xml:space="preserve"> defense.</w:t>
      </w:r>
    </w:p>
  </w:footnote>
  <w:footnote w:id="31">
    <w:p w14:paraId="32FA336D" w14:textId="77777777" w:rsidR="00134D76" w:rsidRPr="00792302" w:rsidRDefault="00134D76" w:rsidP="00134D76">
      <w:pPr>
        <w:pStyle w:val="FootnoteText"/>
      </w:pPr>
      <w:r w:rsidRPr="000E4AED">
        <w:rPr>
          <w:rStyle w:val="FootnoteReference"/>
          <w:rFonts w:ascii="Arial" w:hAnsi="Arial" w:cs="Arial"/>
        </w:rPr>
        <w:footnoteRef/>
      </w:r>
      <w:r w:rsidRPr="000E4AED">
        <w:rPr>
          <w:rFonts w:ascii="Arial" w:hAnsi="Arial" w:cs="Arial"/>
        </w:rPr>
        <w:t xml:space="preserve"> </w:t>
      </w:r>
      <w:r>
        <w:rPr>
          <w:rFonts w:ascii="Arial" w:hAnsi="Arial" w:cs="Arial"/>
        </w:rPr>
        <w:tab/>
      </w:r>
      <w:r w:rsidRPr="00792302">
        <w:t xml:space="preserve">Where the plaintiff is a corporation, the conduct of “senior management — that is, the officers primarily responsible for managing the corporation, the directors, and the controlling shareholders, if any[,]” are imputed to the plaintiff when applying the doctrine of in </w:t>
      </w:r>
      <w:proofErr w:type="spellStart"/>
      <w:r w:rsidRPr="00792302">
        <w:t>pari</w:t>
      </w:r>
      <w:proofErr w:type="spellEnd"/>
      <w:r w:rsidRPr="00792302">
        <w:t xml:space="preserve"> delicto. </w:t>
      </w:r>
      <w:r w:rsidRPr="00792302">
        <w:rPr>
          <w:i/>
          <w:iCs/>
        </w:rPr>
        <w:t>Merrimack College</w:t>
      </w:r>
      <w:r w:rsidRPr="00792302">
        <w:t xml:space="preserve"> v. </w:t>
      </w:r>
      <w:r w:rsidRPr="00792302">
        <w:rPr>
          <w:i/>
          <w:iCs/>
        </w:rPr>
        <w:t>KPMG LLP,</w:t>
      </w:r>
      <w:r w:rsidRPr="00792302">
        <w:t xml:space="preserve"> 480 Mass. 614, 628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26B4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DADE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DAC9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3AB4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15CEC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94D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6AE6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0C48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2C2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8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24C51"/>
    <w:rsid w:val="00130F23"/>
    <w:rsid w:val="00134D76"/>
    <w:rsid w:val="0014300A"/>
    <w:rsid w:val="0017397B"/>
    <w:rsid w:val="001B7748"/>
    <w:rsid w:val="001C5FA5"/>
    <w:rsid w:val="001D701D"/>
    <w:rsid w:val="001E2162"/>
    <w:rsid w:val="00221552"/>
    <w:rsid w:val="00257345"/>
    <w:rsid w:val="00294F89"/>
    <w:rsid w:val="002A2C60"/>
    <w:rsid w:val="00303039"/>
    <w:rsid w:val="00420329"/>
    <w:rsid w:val="004848CB"/>
    <w:rsid w:val="004A3BE2"/>
    <w:rsid w:val="004C071E"/>
    <w:rsid w:val="00516C98"/>
    <w:rsid w:val="005446C0"/>
    <w:rsid w:val="00550249"/>
    <w:rsid w:val="00594672"/>
    <w:rsid w:val="00596E5A"/>
    <w:rsid w:val="005F4B8D"/>
    <w:rsid w:val="00676B44"/>
    <w:rsid w:val="007E7B77"/>
    <w:rsid w:val="00834E34"/>
    <w:rsid w:val="008733AA"/>
    <w:rsid w:val="00880AA6"/>
    <w:rsid w:val="008B69C1"/>
    <w:rsid w:val="0094500B"/>
    <w:rsid w:val="00992410"/>
    <w:rsid w:val="009B481F"/>
    <w:rsid w:val="00A05B86"/>
    <w:rsid w:val="00A164C0"/>
    <w:rsid w:val="00A2789E"/>
    <w:rsid w:val="00A55E4E"/>
    <w:rsid w:val="00A56498"/>
    <w:rsid w:val="00A76145"/>
    <w:rsid w:val="00A917A4"/>
    <w:rsid w:val="00A95EAD"/>
    <w:rsid w:val="00AF6831"/>
    <w:rsid w:val="00B02468"/>
    <w:rsid w:val="00B2579A"/>
    <w:rsid w:val="00B520AB"/>
    <w:rsid w:val="00B634FE"/>
    <w:rsid w:val="00B75859"/>
    <w:rsid w:val="00BE7335"/>
    <w:rsid w:val="00BF0717"/>
    <w:rsid w:val="00BF08B5"/>
    <w:rsid w:val="00C43AEF"/>
    <w:rsid w:val="00C5670C"/>
    <w:rsid w:val="00CB3C9F"/>
    <w:rsid w:val="00CD7576"/>
    <w:rsid w:val="00CD7D80"/>
    <w:rsid w:val="00D71FE5"/>
    <w:rsid w:val="00D8732A"/>
    <w:rsid w:val="00D9196F"/>
    <w:rsid w:val="00DB6604"/>
    <w:rsid w:val="00DC61A7"/>
    <w:rsid w:val="00E174B0"/>
    <w:rsid w:val="00E5555F"/>
    <w:rsid w:val="00EB71AB"/>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3353</Words>
  <Characters>19115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Civil Instructions Professional Negligence</dc:title>
  <dc:subject/>
  <dc:creator>KWS</dc:creator>
  <cp:keywords/>
  <dc:description/>
  <cp:lastModifiedBy>Meg Hayden</cp:lastModifiedBy>
  <cp:revision>2</cp:revision>
  <dcterms:created xsi:type="dcterms:W3CDTF">2021-08-15T19:40:00Z</dcterms:created>
  <dcterms:modified xsi:type="dcterms:W3CDTF">2021-08-15T19:40:00Z</dcterms:modified>
</cp:coreProperties>
</file>