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E061" w14:textId="77777777" w:rsidR="00C355CD" w:rsidRPr="005D4166" w:rsidRDefault="00C355CD" w:rsidP="00C355CD">
      <w:pPr>
        <w:pStyle w:val="JuryInstructionText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Publication Date: January 11, 2022</w:t>
      </w:r>
    </w:p>
    <w:p w14:paraId="6A7AE334" w14:textId="13630C71" w:rsidR="00EC58E7" w:rsidRPr="00B53BA9" w:rsidRDefault="00EC58E7" w:rsidP="00C355CD">
      <w:pPr>
        <w:pStyle w:val="JuryInst2"/>
      </w:pPr>
      <w:r w:rsidRPr="00B53BA9">
        <w:t>Recklessness</w:t>
      </w:r>
      <w:r w:rsidR="00C355CD">
        <w:t>.</w:t>
      </w:r>
      <w:r w:rsidRPr="00B53BA9">
        <w:rPr>
          <w:rStyle w:val="FootnoteReference"/>
          <w:rFonts w:cs="Segoe UI Historic"/>
        </w:rPr>
        <w:footnoteReference w:id="1"/>
      </w:r>
    </w:p>
    <w:p w14:paraId="076B2E2A" w14:textId="313F03ED" w:rsidR="00EC58E7" w:rsidRPr="00B53BA9" w:rsidRDefault="00EC58E7" w:rsidP="00EC58E7">
      <w:pPr>
        <w:pStyle w:val="JuryInstructionText"/>
      </w:pPr>
      <w:r w:rsidRPr="00B53BA9">
        <w:t>In this case, [in addition to claims for negligence/gross negligence, if applicable], PLF claims that DFT was reckless in causing PLF’s [injuries/death]</w:t>
      </w:r>
      <w:r w:rsidR="00C355CD">
        <w:t xml:space="preserve">. </w:t>
      </w:r>
      <w:r w:rsidRPr="00B53BA9">
        <w:t>Like negligence, reckless conduct may arise from an act or</w:t>
      </w:r>
      <w:r>
        <w:t xml:space="preserve"> a failure to act</w:t>
      </w:r>
      <w:r w:rsidRPr="00B53BA9">
        <w:t>.</w:t>
      </w:r>
      <w:r w:rsidRPr="00B53BA9">
        <w:rPr>
          <w:rStyle w:val="FootnoteReference"/>
          <w:rFonts w:cs="Segoe UI Historic"/>
          <w:color w:val="000000"/>
        </w:rPr>
        <w:footnoteReference w:id="2"/>
      </w:r>
      <w:r w:rsidRPr="00B53BA9">
        <w:t xml:space="preserve">  </w:t>
      </w:r>
    </w:p>
    <w:p w14:paraId="35D6C6CB" w14:textId="450AF84F" w:rsidR="00EC58E7" w:rsidRPr="00B53BA9" w:rsidRDefault="00EC58E7" w:rsidP="00EC58E7">
      <w:pPr>
        <w:pStyle w:val="JuryInstructionText"/>
      </w:pPr>
      <w:r w:rsidRPr="00B53BA9">
        <w:t xml:space="preserve">To prove recklessness, PLF must prove, more likely than not, that the following </w:t>
      </w:r>
      <w:r w:rsidR="0033329E">
        <w:t>five</w:t>
      </w:r>
      <w:r w:rsidRPr="00B53BA9">
        <w:t xml:space="preserve"> things are true:</w:t>
      </w:r>
    </w:p>
    <w:p w14:paraId="0B9522CE" w14:textId="6B51CBAC" w:rsidR="00EC58E7" w:rsidRPr="00B53BA9" w:rsidRDefault="00C355CD" w:rsidP="00C355CD">
      <w:pPr>
        <w:pStyle w:val="JuryInstructionElements"/>
      </w:pPr>
      <w:r>
        <w:t>1.</w:t>
      </w:r>
      <w:r>
        <w:tab/>
      </w:r>
      <w:r w:rsidR="00EC58E7" w:rsidRPr="00B53BA9">
        <w:t>DFT intended the reckless conduct</w:t>
      </w:r>
      <w:r>
        <w:t xml:space="preserve">. </w:t>
      </w:r>
      <w:r w:rsidR="00EC58E7" w:rsidRPr="00B53BA9">
        <w:t>If DFT intended to engage in the conduct itself, it does not matter whether s/he/it also intended the resulting harm;</w:t>
      </w:r>
      <w:r w:rsidR="00EC58E7" w:rsidRPr="00B53BA9">
        <w:rPr>
          <w:rStyle w:val="FootnoteReference"/>
          <w:rFonts w:cs="Segoe UI Historic"/>
          <w:color w:val="000000"/>
        </w:rPr>
        <w:footnoteReference w:id="3"/>
      </w:r>
    </w:p>
    <w:p w14:paraId="7364F021" w14:textId="6B3DBCB1" w:rsidR="00EC58E7" w:rsidRPr="00B53BA9" w:rsidRDefault="00C355CD" w:rsidP="00C355CD">
      <w:pPr>
        <w:pStyle w:val="JuryInstructionElements"/>
      </w:pPr>
      <w:r>
        <w:t>2.</w:t>
      </w:r>
      <w:r>
        <w:tab/>
      </w:r>
      <w:r w:rsidR="00EC58E7" w:rsidRPr="00B53BA9">
        <w:t>DFT's conduct made it highly likely that someone would suffer serious injury or die</w:t>
      </w:r>
      <w:r w:rsidR="0033329E">
        <w:t>.</w:t>
      </w:r>
    </w:p>
    <w:p w14:paraId="025D2425" w14:textId="6328EACB" w:rsidR="00EC58E7" w:rsidRPr="00B53BA9" w:rsidRDefault="00C355CD" w:rsidP="00C355CD">
      <w:pPr>
        <w:pStyle w:val="JuryInstructionElements"/>
      </w:pPr>
      <w:r>
        <w:lastRenderedPageBreak/>
        <w:t>3.</w:t>
      </w:r>
      <w:r>
        <w:tab/>
      </w:r>
      <w:r w:rsidR="00EC58E7" w:rsidRPr="00B53BA9">
        <w:t>DFT knew, or had reason to know, the facts that created that risk.</w:t>
      </w:r>
      <w:r w:rsidR="00EC58E7" w:rsidRPr="00B53BA9">
        <w:rPr>
          <w:rStyle w:val="FootnoteReference"/>
          <w:rFonts w:cs="Segoe UI Historic"/>
        </w:rPr>
        <w:footnoteReference w:id="4"/>
      </w:r>
      <w:r w:rsidR="00EC58E7" w:rsidRPr="00B53BA9">
        <w:t xml:space="preserve"> This means that DFT either knew of the risk of grave injury or death </w:t>
      </w:r>
      <w:r w:rsidR="00EC58E7" w:rsidRPr="00B53BA9">
        <w:rPr>
          <w:b/>
          <w:i/>
        </w:rPr>
        <w:t>or</w:t>
      </w:r>
      <w:r w:rsidR="00EC58E7" w:rsidRPr="00B53BA9">
        <w:t xml:space="preserve"> </w:t>
      </w:r>
      <w:r w:rsidR="00EC58E7">
        <w:t xml:space="preserve"> </w:t>
      </w:r>
      <w:r w:rsidR="00EC58E7" w:rsidRPr="00B53BA9">
        <w:t>that risk must have been obvious to a reasonable [person/company]</w:t>
      </w:r>
      <w:r w:rsidR="0033329E">
        <w:t>.</w:t>
      </w:r>
    </w:p>
    <w:p w14:paraId="4A40402F" w14:textId="3A1CA277" w:rsidR="00EC58E7" w:rsidRPr="00B53BA9" w:rsidRDefault="00C355CD" w:rsidP="00C355CD">
      <w:pPr>
        <w:pStyle w:val="JuryInstructionElements"/>
      </w:pPr>
      <w:r>
        <w:t>4.</w:t>
      </w:r>
      <w:r>
        <w:tab/>
      </w:r>
      <w:r w:rsidR="00EC58E7" w:rsidRPr="00B53BA9">
        <w:t>DFT intentionally or unreasonably disregarded that risk</w:t>
      </w:r>
      <w:r w:rsidR="0033329E">
        <w:t>.</w:t>
      </w:r>
      <w:r w:rsidR="0033329E">
        <w:rPr>
          <w:rStyle w:val="FootnoteReference"/>
        </w:rPr>
        <w:footnoteReference w:id="5"/>
      </w:r>
    </w:p>
    <w:p w14:paraId="1DEB3361" w14:textId="4DEA96C6" w:rsidR="00EC58E7" w:rsidRPr="00B53BA9" w:rsidRDefault="00C355CD" w:rsidP="00C355CD">
      <w:pPr>
        <w:pStyle w:val="JuryInstructionElements"/>
      </w:pPr>
      <w:r>
        <w:t>5.</w:t>
      </w:r>
      <w:r>
        <w:tab/>
      </w:r>
      <w:r w:rsidR="00EC58E7" w:rsidRPr="00B53BA9">
        <w:t xml:space="preserve">PLF’s [injuries or death] </w:t>
      </w:r>
      <w:r w:rsidR="00EC58E7">
        <w:t xml:space="preserve">probably resulted from </w:t>
      </w:r>
      <w:r w:rsidR="00EC58E7" w:rsidRPr="00B53BA9">
        <w:t>DFT’s decision to engage in the conduct.</w:t>
      </w:r>
      <w:r w:rsidR="00EC58E7" w:rsidRPr="00B53BA9">
        <w:rPr>
          <w:rStyle w:val="FootnoteReference"/>
          <w:rFonts w:cs="Segoe UI Historic"/>
        </w:rPr>
        <w:footnoteReference w:id="6"/>
      </w:r>
    </w:p>
    <w:p w14:paraId="30D397CC" w14:textId="2A05F256" w:rsidR="00EC58E7" w:rsidRPr="00B53BA9" w:rsidRDefault="00EC58E7" w:rsidP="00EC58E7">
      <w:pPr>
        <w:pStyle w:val="JuryInstructionText"/>
      </w:pPr>
      <w:r w:rsidRPr="00B53BA9">
        <w:t>[</w:t>
      </w:r>
      <w:r w:rsidR="00C355CD">
        <w:t>&lt;</w:t>
      </w:r>
      <w:r w:rsidR="00C355CD" w:rsidRPr="00C355CD">
        <w:rPr>
          <w:b/>
          <w:bCs/>
          <w:i/>
          <w:iCs/>
        </w:rPr>
        <w:t>Insert For Contact Sports Cases</w:t>
      </w:r>
      <w:r w:rsidR="00C355CD">
        <w:t xml:space="preserve">&gt; </w:t>
      </w:r>
      <w:r w:rsidRPr="00B53BA9">
        <w:t xml:space="preserve">To prove that DFT was reckless in playing [sport], PLF must prove that DFT engaged in extreme misconduct outside the range of the ordinary activity </w:t>
      </w:r>
      <w:r>
        <w:t xml:space="preserve">expected as part of </w:t>
      </w:r>
      <w:r w:rsidRPr="00B53BA9">
        <w:t>[the sport]</w:t>
      </w:r>
      <w:r w:rsidR="00C355CD">
        <w:t xml:space="preserve">. </w:t>
      </w:r>
      <w:r w:rsidRPr="00B53BA9">
        <w:t>It is not enough just to show a violation of the rules of [sport</w:t>
      </w:r>
      <w:proofErr w:type="gramStart"/>
      <w:r w:rsidRPr="00B53BA9">
        <w:t>], if</w:t>
      </w:r>
      <w:proofErr w:type="gramEnd"/>
      <w:r w:rsidRPr="00B53BA9">
        <w:t xml:space="preserve"> the conduct was </w:t>
      </w:r>
      <w:r>
        <w:t xml:space="preserve">also </w:t>
      </w:r>
      <w:r w:rsidRPr="00B53BA9">
        <w:t>a fundamental and inevitable part of the sport</w:t>
      </w:r>
      <w:r w:rsidR="00C355CD">
        <w:t xml:space="preserve">. </w:t>
      </w:r>
      <w:proofErr w:type="gramStart"/>
      <w:r w:rsidRPr="00B53BA9">
        <w:t>So</w:t>
      </w:r>
      <w:proofErr w:type="gramEnd"/>
      <w:r w:rsidRPr="00B53BA9">
        <w:t xml:space="preserve"> you must consider the nature of [sport] itself</w:t>
      </w:r>
      <w:r w:rsidR="00C355CD">
        <w:t xml:space="preserve">. </w:t>
      </w:r>
      <w:r w:rsidRPr="00B53BA9">
        <w:t>Intentionally injuring someone is not part of [sport] and is enough to prove liability</w:t>
      </w:r>
      <w:r w:rsidR="00C355CD">
        <w:t xml:space="preserve">. </w:t>
      </w:r>
      <w:r w:rsidRPr="00B53BA9">
        <w:t>If DFT did not intend to cause injury, PLF must show that DFT committed extreme misconduct that was not an ordinary part of [sport].</w:t>
      </w:r>
      <w:r w:rsidRPr="00B53BA9">
        <w:rPr>
          <w:rStyle w:val="FootnoteReference"/>
          <w:rFonts w:cs="Segoe UI Historic"/>
        </w:rPr>
        <w:footnoteReference w:id="7"/>
      </w:r>
      <w:r w:rsidRPr="00B53BA9">
        <w:t xml:space="preserve"> </w:t>
      </w:r>
      <w:r w:rsidR="00C355CD">
        <w:t>]</w:t>
      </w:r>
    </w:p>
    <w:p w14:paraId="2D185818" w14:textId="7151321B" w:rsidR="00C355CD" w:rsidRDefault="00C355CD" w:rsidP="00EC58E7">
      <w:pPr>
        <w:pStyle w:val="JuryInstructionText"/>
      </w:pPr>
      <w:r>
        <w:t>&lt;</w:t>
      </w:r>
      <w:r>
        <w:rPr>
          <w:b/>
          <w:bCs/>
          <w:i/>
          <w:iCs/>
        </w:rPr>
        <w:t>where applicable, insert other case-specific instruction here</w:t>
      </w:r>
      <w:r>
        <w:t>&gt;</w:t>
      </w:r>
    </w:p>
    <w:p w14:paraId="68A0DD2F" w14:textId="342769BD" w:rsidR="00EC58E7" w:rsidRPr="00B53BA9" w:rsidRDefault="00EC58E7" w:rsidP="00C355CD">
      <w:pPr>
        <w:pStyle w:val="JuryInstructionText"/>
        <w:rPr>
          <w:color w:val="000000"/>
        </w:rPr>
      </w:pPr>
      <w:r w:rsidRPr="00B53BA9">
        <w:t>There is an important distinction between negligence [and gross negligence]</w:t>
      </w:r>
      <w:r w:rsidR="00204778">
        <w:t>,</w:t>
      </w:r>
      <w:r>
        <w:t xml:space="preserve"> on</w:t>
      </w:r>
      <w:r w:rsidRPr="00B53BA9">
        <w:t xml:space="preserve"> the one hand, and reckless conduct on the other.</w:t>
      </w:r>
      <w:r>
        <w:rPr>
          <w:rStyle w:val="FootnoteReference"/>
        </w:rPr>
        <w:footnoteReference w:id="8"/>
      </w:r>
      <w:r>
        <w:t xml:space="preserve"> </w:t>
      </w:r>
      <w:r w:rsidRPr="00B53BA9">
        <w:t xml:space="preserve"> </w:t>
      </w:r>
      <w:r w:rsidRPr="00B53BA9">
        <w:rPr>
          <w:color w:val="000000"/>
        </w:rPr>
        <w:t>The difference between recklessness and negligence is not only a difference in degree but also a difference in kind.</w:t>
      </w:r>
      <w:r w:rsidRPr="00B53BA9">
        <w:rPr>
          <w:rStyle w:val="FootnoteReference"/>
          <w:rFonts w:cs="Segoe UI Historic"/>
          <w:color w:val="000000"/>
        </w:rPr>
        <w:footnoteReference w:id="9"/>
      </w:r>
      <w:r w:rsidRPr="00B53BA9">
        <w:rPr>
          <w:color w:val="000000"/>
        </w:rPr>
        <w:t xml:space="preserve"> Recklessness differs from negligence in two </w:t>
      </w:r>
      <w:proofErr w:type="gramStart"/>
      <w:r w:rsidRPr="00B53BA9">
        <w:rPr>
          <w:color w:val="000000"/>
        </w:rPr>
        <w:t>key ways</w:t>
      </w:r>
      <w:proofErr w:type="gramEnd"/>
      <w:r w:rsidR="00AD6AA6">
        <w:rPr>
          <w:color w:val="000000"/>
        </w:rPr>
        <w:t>.</w:t>
      </w:r>
      <w:r w:rsidRPr="00B53BA9">
        <w:rPr>
          <w:rStyle w:val="FootnoteReference"/>
          <w:rFonts w:cs="Segoe UI Historic"/>
          <w:color w:val="000000"/>
        </w:rPr>
        <w:footnoteReference w:id="10"/>
      </w:r>
    </w:p>
    <w:p w14:paraId="7E52382D" w14:textId="1CABC8A0" w:rsidR="00EC58E7" w:rsidRPr="00B53BA9" w:rsidRDefault="00EC58E7" w:rsidP="0033329E">
      <w:pPr>
        <w:pStyle w:val="JuryInstructionText"/>
      </w:pPr>
      <w:r w:rsidRPr="00B53BA9">
        <w:lastRenderedPageBreak/>
        <w:t xml:space="preserve">First, while negligence may result from inadvertence, incompetence, or carelessness, recklessness means consciously choosing a course of action, when DFT knew or should have known of the </w:t>
      </w:r>
      <w:proofErr w:type="gramStart"/>
      <w:r w:rsidRPr="00B53BA9">
        <w:t>serious danger</w:t>
      </w:r>
      <w:proofErr w:type="gramEnd"/>
      <w:r w:rsidRPr="00B53BA9">
        <w:t xml:space="preserve"> to others</w:t>
      </w:r>
      <w:r w:rsidR="00C355CD">
        <w:t xml:space="preserve">. </w:t>
      </w:r>
    </w:p>
    <w:p w14:paraId="334209F7" w14:textId="7AE595FD" w:rsidR="00EC58E7" w:rsidRPr="00B53BA9" w:rsidRDefault="00EC58E7" w:rsidP="0033329E">
      <w:pPr>
        <w:pStyle w:val="JuryInstructionText"/>
      </w:pPr>
      <w:r w:rsidRPr="00B53BA9">
        <w:t>Second, reckless conduct must involve a significantly greater risk than is required for ordinary negligence</w:t>
      </w:r>
      <w:r w:rsidR="00C355CD">
        <w:t xml:space="preserve">. </w:t>
      </w:r>
      <w:r w:rsidRPr="00B53BA9">
        <w:t xml:space="preserve">Also, DFT must have known, or have had reason to know, the facts </w:t>
      </w:r>
      <w:r>
        <w:t>that</w:t>
      </w:r>
      <w:r w:rsidRPr="00B53BA9">
        <w:t xml:space="preserve"> created the risk.</w:t>
      </w:r>
      <w:r w:rsidRPr="00B53BA9">
        <w:rPr>
          <w:rStyle w:val="FootnoteReference"/>
          <w:rFonts w:cs="Segoe UI Historic"/>
        </w:rPr>
        <w:footnoteReference w:id="11"/>
      </w:r>
    </w:p>
    <w:p w14:paraId="21F33DD6" w14:textId="09565207" w:rsidR="00B75859" w:rsidRPr="00EC58E7" w:rsidRDefault="00EC58E7" w:rsidP="00C355CD">
      <w:pPr>
        <w:pStyle w:val="JuryInstructionText"/>
      </w:pPr>
      <w:r w:rsidRPr="00B53BA9">
        <w:t>If PLF has proven, more likely than not, that DFT was reckless, then you will answer question number ___ on the verdict slip “yes.” Otherwise, you will answer number ___ on the verdict slip “no.”</w:t>
      </w:r>
    </w:p>
    <w:sectPr w:rsidR="00B75859" w:rsidRPr="00EC58E7" w:rsidSect="00F74A90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BB21" w14:textId="77777777" w:rsidR="00B63D1C" w:rsidRDefault="00B63D1C" w:rsidP="00F74A90">
      <w:r>
        <w:separator/>
      </w:r>
    </w:p>
  </w:endnote>
  <w:endnote w:type="continuationSeparator" w:id="0">
    <w:p w14:paraId="5F310337" w14:textId="77777777" w:rsidR="00B63D1C" w:rsidRDefault="00B63D1C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2F6D" w14:textId="2BA91F15" w:rsidR="00037D40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2B6D" w14:textId="77777777" w:rsidR="00B63D1C" w:rsidRDefault="00B63D1C" w:rsidP="00F74A90">
      <w:r>
        <w:separator/>
      </w:r>
    </w:p>
  </w:footnote>
  <w:footnote w:type="continuationSeparator" w:id="0">
    <w:p w14:paraId="3EF5A002" w14:textId="77777777" w:rsidR="00B63D1C" w:rsidRDefault="00B63D1C" w:rsidP="00F74A90">
      <w:r>
        <w:continuationSeparator/>
      </w:r>
    </w:p>
  </w:footnote>
  <w:footnote w:id="1">
    <w:p w14:paraId="6E7E9C2D" w14:textId="00D52D64" w:rsidR="00EC58E7" w:rsidRPr="00984928" w:rsidRDefault="00EC58E7" w:rsidP="00EC58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84928">
        <w:t xml:space="preserve">This heading follows the Supreme Judicial Court’s practice </w:t>
      </w:r>
      <w:r w:rsidR="00204778">
        <w:t>“</w:t>
      </w:r>
      <w:r w:rsidRPr="00984928">
        <w:t xml:space="preserve">to refer to reckless conduct as constituting the conduct that produces liability for what the court has traditionally called </w:t>
      </w:r>
      <w:proofErr w:type="spellStart"/>
      <w:r w:rsidRPr="00984928">
        <w:t>wilful</w:t>
      </w:r>
      <w:proofErr w:type="spellEnd"/>
      <w:r w:rsidRPr="00984928">
        <w:t xml:space="preserve">, wanton, or reckless conduct[,]” </w:t>
      </w:r>
      <w:r w:rsidRPr="00166B5B">
        <w:rPr>
          <w:i/>
          <w:iCs/>
        </w:rPr>
        <w:t xml:space="preserve">Sandler </w:t>
      </w:r>
      <w:r w:rsidRPr="00984928">
        <w:t xml:space="preserve">v. </w:t>
      </w:r>
      <w:r w:rsidRPr="00166B5B">
        <w:rPr>
          <w:i/>
          <w:iCs/>
        </w:rPr>
        <w:t>Commonwealth,</w:t>
      </w:r>
      <w:r w:rsidRPr="00984928">
        <w:t xml:space="preserve"> 419 Mass. 334, 335 (1995).</w:t>
      </w:r>
    </w:p>
    <w:p w14:paraId="0A3A6D07" w14:textId="77777777" w:rsidR="00EC58E7" w:rsidRPr="00984928" w:rsidRDefault="00EC58E7" w:rsidP="00204778">
      <w:pPr>
        <w:pStyle w:val="FootnoteText"/>
        <w:ind w:firstLine="0"/>
      </w:pPr>
      <w:r w:rsidRPr="00984928">
        <w:t>This jury instruction on recklessness may be appropriate in the following types of cases:</w:t>
      </w:r>
    </w:p>
    <w:p w14:paraId="7E7550A0" w14:textId="3300A191" w:rsidR="00EC58E7" w:rsidRPr="008421C4" w:rsidRDefault="00EC58E7" w:rsidP="00204778">
      <w:pPr>
        <w:pStyle w:val="FootnoteText"/>
        <w:numPr>
          <w:ilvl w:val="0"/>
          <w:numId w:val="15"/>
        </w:numPr>
        <w:rPr>
          <w:rFonts w:cs="Segoe UI Historic"/>
        </w:rPr>
      </w:pPr>
      <w:r w:rsidRPr="008421C4">
        <w:rPr>
          <w:rFonts w:cs="Segoe UI Historic"/>
        </w:rPr>
        <w:t>Wrongful death cases</w:t>
      </w:r>
      <w:r w:rsidR="00204778">
        <w:rPr>
          <w:rFonts w:cs="Segoe UI Historic"/>
        </w:rPr>
        <w:t xml:space="preserve">. See </w:t>
      </w:r>
      <w:r w:rsidRPr="008421C4">
        <w:rPr>
          <w:rFonts w:cs="Segoe UI Historic"/>
        </w:rPr>
        <w:t>G.L. c. 229, § 2, which allows for punitive damages in the case of gross negligence and/or recklessness</w:t>
      </w:r>
      <w:r w:rsidR="00204778">
        <w:rPr>
          <w:rFonts w:cs="Segoe UI Historic"/>
        </w:rPr>
        <w:t>.</w:t>
      </w:r>
    </w:p>
    <w:p w14:paraId="75A2F4F8" w14:textId="363B1235" w:rsidR="00EC58E7" w:rsidRDefault="00EC58E7" w:rsidP="00204778">
      <w:pPr>
        <w:pStyle w:val="FootnoteText"/>
        <w:numPr>
          <w:ilvl w:val="0"/>
          <w:numId w:val="15"/>
        </w:numPr>
        <w:spacing w:before="0"/>
        <w:rPr>
          <w:rFonts w:cs="Segoe UI Historic"/>
        </w:rPr>
      </w:pPr>
      <w:r w:rsidRPr="008421C4">
        <w:rPr>
          <w:rFonts w:cs="Segoe UI Historic"/>
        </w:rPr>
        <w:t>Recreational Use Statute</w:t>
      </w:r>
      <w:r w:rsidR="00204778">
        <w:rPr>
          <w:rFonts w:cs="Segoe UI Historic"/>
        </w:rPr>
        <w:t xml:space="preserve">. See </w:t>
      </w:r>
      <w:r w:rsidRPr="008421C4">
        <w:rPr>
          <w:rFonts w:cs="Segoe UI Historic"/>
        </w:rPr>
        <w:t xml:space="preserve">G.L. c. </w:t>
      </w:r>
      <w:r>
        <w:rPr>
          <w:rFonts w:cs="Segoe UI Historic"/>
        </w:rPr>
        <w:t xml:space="preserve">21, § 17C, which limits liability for </w:t>
      </w:r>
      <w:r w:rsidRPr="008421C4">
        <w:rPr>
          <w:rFonts w:cs="Segoe UI Historic"/>
        </w:rPr>
        <w:t xml:space="preserve">landowner who makes land open to public for recreational use free of charge not liable for personal injuries </w:t>
      </w:r>
      <w:r>
        <w:rPr>
          <w:rFonts w:cs="Segoe UI Historic"/>
        </w:rPr>
        <w:t>absent recklessness</w:t>
      </w:r>
      <w:r w:rsidR="00204778">
        <w:rPr>
          <w:rFonts w:cs="Segoe UI Historic"/>
        </w:rPr>
        <w:t>.</w:t>
      </w:r>
    </w:p>
    <w:p w14:paraId="079CCF33" w14:textId="22F48B7F" w:rsidR="00EC58E7" w:rsidRPr="00704015" w:rsidRDefault="00EC58E7" w:rsidP="00204778">
      <w:pPr>
        <w:pStyle w:val="FootnoteText"/>
        <w:numPr>
          <w:ilvl w:val="0"/>
          <w:numId w:val="15"/>
        </w:numPr>
        <w:spacing w:before="0"/>
        <w:rPr>
          <w:rFonts w:cs="Segoe UI Historic"/>
        </w:rPr>
      </w:pPr>
      <w:r>
        <w:rPr>
          <w:rFonts w:cs="Segoe UI Historic"/>
        </w:rPr>
        <w:t>Cases against landowners by adult trespassers</w:t>
      </w:r>
      <w:r w:rsidR="00C355CD">
        <w:rPr>
          <w:rFonts w:cs="Segoe UI Historic"/>
        </w:rPr>
        <w:t xml:space="preserve">. </w:t>
      </w:r>
      <w:r w:rsidRPr="0073315B">
        <w:rPr>
          <w:rFonts w:cs="Segoe UI Historic"/>
          <w:i/>
        </w:rPr>
        <w:t xml:space="preserve">Schofield </w:t>
      </w:r>
      <w:r w:rsidRPr="0073315B">
        <w:rPr>
          <w:rFonts w:cs="Segoe UI Historic"/>
          <w:iCs/>
        </w:rPr>
        <w:t>v.</w:t>
      </w:r>
      <w:r w:rsidRPr="0073315B">
        <w:rPr>
          <w:rFonts w:cs="Segoe UI Historic"/>
          <w:i/>
        </w:rPr>
        <w:t xml:space="preserve"> Merrill</w:t>
      </w:r>
      <w:r>
        <w:rPr>
          <w:rFonts w:cs="Segoe UI Historic"/>
        </w:rPr>
        <w:t>, 386 Mass. 244 (1982)</w:t>
      </w:r>
      <w:r w:rsidR="00C355CD">
        <w:rPr>
          <w:rFonts w:cs="Segoe UI Historic"/>
        </w:rPr>
        <w:t xml:space="preserve">. </w:t>
      </w:r>
      <w:r>
        <w:rPr>
          <w:rFonts w:cs="Segoe UI Historic"/>
        </w:rPr>
        <w:t xml:space="preserve">See </w:t>
      </w:r>
      <w:r w:rsidRPr="0073315B">
        <w:rPr>
          <w:rFonts w:cs="Segoe UI Historic"/>
          <w:i/>
          <w:color w:val="000000"/>
        </w:rPr>
        <w:t xml:space="preserve">Manning </w:t>
      </w:r>
      <w:r w:rsidRPr="0073315B">
        <w:rPr>
          <w:rFonts w:cs="Segoe UI Historic"/>
          <w:iCs/>
          <w:color w:val="000000"/>
        </w:rPr>
        <w:t>v.</w:t>
      </w:r>
      <w:r w:rsidRPr="0073315B">
        <w:rPr>
          <w:rFonts w:cs="Segoe UI Historic"/>
          <w:i/>
          <w:color w:val="000000"/>
        </w:rPr>
        <w:t xml:space="preserve"> Nobile</w:t>
      </w:r>
      <w:r w:rsidRPr="005D390D">
        <w:rPr>
          <w:rFonts w:cs="Segoe UI Historic"/>
          <w:color w:val="000000"/>
        </w:rPr>
        <w:t>, </w:t>
      </w:r>
      <w:r w:rsidRPr="0006725D">
        <w:rPr>
          <w:rFonts w:cs="Segoe UI Historic"/>
        </w:rPr>
        <w:t>411 Mass. 382 </w:t>
      </w:r>
      <w:r w:rsidRPr="005D390D">
        <w:rPr>
          <w:rFonts w:cs="Segoe UI Historic"/>
          <w:color w:val="000000"/>
        </w:rPr>
        <w:t>, 387 (1991)</w:t>
      </w:r>
      <w:r>
        <w:rPr>
          <w:rFonts w:cs="Segoe UI Historic"/>
          <w:color w:val="000000"/>
        </w:rPr>
        <w:t>.</w:t>
      </w:r>
    </w:p>
    <w:p w14:paraId="25C589CE" w14:textId="54D1FA61" w:rsidR="00EC58E7" w:rsidRPr="00704015" w:rsidRDefault="00EC58E7" w:rsidP="00204778">
      <w:pPr>
        <w:pStyle w:val="FootnoteText"/>
        <w:numPr>
          <w:ilvl w:val="0"/>
          <w:numId w:val="15"/>
        </w:numPr>
        <w:spacing w:before="0"/>
        <w:rPr>
          <w:rFonts w:cs="Segoe UI Historic"/>
        </w:rPr>
      </w:pPr>
      <w:r w:rsidRPr="00704015">
        <w:rPr>
          <w:rFonts w:cs="Segoe UI Historic"/>
          <w:szCs w:val="22"/>
        </w:rPr>
        <w:t>Cases involving sporting events</w:t>
      </w:r>
      <w:r w:rsidR="00204778">
        <w:rPr>
          <w:rFonts w:cs="Segoe UI Historic"/>
          <w:szCs w:val="22"/>
        </w:rPr>
        <w:t>. See,</w:t>
      </w:r>
      <w:r w:rsidRPr="00704015">
        <w:rPr>
          <w:rFonts w:cs="Segoe UI Historic"/>
          <w:szCs w:val="22"/>
        </w:rPr>
        <w:t xml:space="preserve"> e.g., </w:t>
      </w:r>
      <w:r w:rsidRPr="00704015">
        <w:rPr>
          <w:rFonts w:cs="Segoe UI Historic"/>
          <w:i/>
          <w:szCs w:val="22"/>
        </w:rPr>
        <w:t xml:space="preserve">Gauvin </w:t>
      </w:r>
      <w:r w:rsidRPr="00704015">
        <w:rPr>
          <w:rFonts w:cs="Segoe UI Historic"/>
          <w:iCs/>
          <w:szCs w:val="22"/>
        </w:rPr>
        <w:t>v.</w:t>
      </w:r>
      <w:r w:rsidRPr="00704015">
        <w:rPr>
          <w:rFonts w:cs="Segoe UI Historic"/>
          <w:i/>
          <w:szCs w:val="22"/>
        </w:rPr>
        <w:t xml:space="preserve"> Clark</w:t>
      </w:r>
      <w:r w:rsidRPr="00704015">
        <w:rPr>
          <w:rFonts w:cs="Segoe UI Historic"/>
          <w:szCs w:val="22"/>
        </w:rPr>
        <w:t xml:space="preserve">, 404 Mass. 450, 454 (1989); </w:t>
      </w:r>
      <w:r w:rsidRPr="00704015">
        <w:rPr>
          <w:rFonts w:cs="Segoe UI Historic"/>
          <w:i/>
          <w:szCs w:val="22"/>
        </w:rPr>
        <w:t xml:space="preserve">Kavanagh </w:t>
      </w:r>
      <w:r w:rsidRPr="00704015">
        <w:rPr>
          <w:rFonts w:cs="Segoe UI Historic"/>
          <w:iCs/>
          <w:szCs w:val="22"/>
        </w:rPr>
        <w:t>v.</w:t>
      </w:r>
      <w:r w:rsidRPr="00704015">
        <w:rPr>
          <w:rFonts w:cs="Segoe UI Historic"/>
          <w:i/>
          <w:szCs w:val="22"/>
        </w:rPr>
        <w:t xml:space="preserve"> Trustees of Boston Univ</w:t>
      </w:r>
      <w:r w:rsidRPr="00704015">
        <w:rPr>
          <w:rFonts w:cs="Segoe UI Historic"/>
          <w:szCs w:val="22"/>
        </w:rPr>
        <w:t>., 440 Mass. 195, 204</w:t>
      </w:r>
      <w:r w:rsidR="0033329E">
        <w:rPr>
          <w:rFonts w:cs="Segoe UI Historic"/>
          <w:szCs w:val="22"/>
        </w:rPr>
        <w:t>–</w:t>
      </w:r>
      <w:r w:rsidRPr="00704015">
        <w:rPr>
          <w:rFonts w:cs="Segoe UI Historic"/>
          <w:szCs w:val="22"/>
        </w:rPr>
        <w:t xml:space="preserve">205 (2003); </w:t>
      </w:r>
      <w:proofErr w:type="spellStart"/>
      <w:r w:rsidRPr="00704015">
        <w:rPr>
          <w:rFonts w:cs="Segoe UI Historic"/>
          <w:i/>
          <w:iCs/>
          <w:szCs w:val="22"/>
        </w:rPr>
        <w:t>Borella</w:t>
      </w:r>
      <w:proofErr w:type="spellEnd"/>
      <w:r w:rsidRPr="00704015">
        <w:rPr>
          <w:rFonts w:cs="Segoe UI Historic"/>
          <w:i/>
          <w:iCs/>
          <w:szCs w:val="22"/>
        </w:rPr>
        <w:t xml:space="preserve"> </w:t>
      </w:r>
      <w:r w:rsidRPr="00704015">
        <w:rPr>
          <w:rFonts w:cs="Segoe UI Historic"/>
          <w:szCs w:val="22"/>
        </w:rPr>
        <w:t xml:space="preserve">v. </w:t>
      </w:r>
      <w:r w:rsidRPr="00704015">
        <w:rPr>
          <w:rFonts w:cs="Segoe UI Historic"/>
          <w:i/>
          <w:iCs/>
          <w:szCs w:val="22"/>
        </w:rPr>
        <w:t>Renfro</w:t>
      </w:r>
      <w:r w:rsidRPr="00704015">
        <w:rPr>
          <w:rFonts w:cs="Segoe UI Historic"/>
          <w:szCs w:val="22"/>
        </w:rPr>
        <w:t>, 96</w:t>
      </w:r>
      <w:r w:rsidR="00204778">
        <w:rPr>
          <w:rFonts w:cs="Segoe UI Historic"/>
          <w:szCs w:val="22"/>
        </w:rPr>
        <w:t> </w:t>
      </w:r>
      <w:r w:rsidRPr="00704015">
        <w:rPr>
          <w:rFonts w:cs="Segoe UI Historic"/>
          <w:szCs w:val="22"/>
        </w:rPr>
        <w:t>Mass. App. Ct. 617, 624 (2019), further rev. denied, 493 Mass. 1108 (2020).</w:t>
      </w:r>
    </w:p>
    <w:p w14:paraId="2644791B" w14:textId="333A5B72" w:rsidR="00EC58E7" w:rsidRPr="00166B5B" w:rsidRDefault="00EC58E7" w:rsidP="00204778">
      <w:pPr>
        <w:pStyle w:val="NormalWeb"/>
        <w:numPr>
          <w:ilvl w:val="0"/>
          <w:numId w:val="15"/>
        </w:numPr>
        <w:spacing w:before="0" w:beforeAutospacing="0" w:after="0" w:afterAutospacing="0" w:line="280" w:lineRule="exact"/>
        <w:rPr>
          <w:rFonts w:ascii="Segoe UI Historic" w:hAnsi="Segoe UI Historic" w:cs="Segoe UI Historic"/>
          <w:sz w:val="22"/>
          <w:szCs w:val="22"/>
        </w:rPr>
      </w:pPr>
      <w:r w:rsidRPr="00166B5B">
        <w:rPr>
          <w:rFonts w:ascii="Segoe UI Historic" w:hAnsi="Segoe UI Historic" w:cs="Segoe UI Historic"/>
          <w:sz w:val="22"/>
          <w:szCs w:val="22"/>
        </w:rPr>
        <w:t>Railroads causing death of trespasser</w:t>
      </w:r>
      <w:r w:rsidR="00204778">
        <w:rPr>
          <w:rFonts w:ascii="Segoe UI Historic" w:hAnsi="Segoe UI Historic" w:cs="Segoe UI Historic"/>
          <w:sz w:val="22"/>
          <w:szCs w:val="22"/>
        </w:rPr>
        <w:t>. See</w:t>
      </w:r>
      <w:r w:rsidRPr="00166B5B">
        <w:rPr>
          <w:rFonts w:ascii="Segoe UI Historic" w:hAnsi="Segoe UI Historic" w:cs="Segoe UI Historic"/>
          <w:sz w:val="22"/>
          <w:szCs w:val="22"/>
        </w:rPr>
        <w:t xml:space="preserve"> G. L. c. 229, § 2</w:t>
      </w:r>
      <w:r w:rsidR="00204778">
        <w:rPr>
          <w:rFonts w:ascii="Segoe UI Historic" w:hAnsi="Segoe UI Historic" w:cs="Segoe UI Historic"/>
          <w:sz w:val="22"/>
          <w:szCs w:val="22"/>
        </w:rPr>
        <w:t>.</w:t>
      </w:r>
    </w:p>
    <w:p w14:paraId="2BE6CF69" w14:textId="1EF82649" w:rsidR="00EC58E7" w:rsidRPr="00523138" w:rsidRDefault="00EC58E7" w:rsidP="00204778">
      <w:pPr>
        <w:pStyle w:val="FootnoteText"/>
        <w:numPr>
          <w:ilvl w:val="0"/>
          <w:numId w:val="15"/>
        </w:numPr>
        <w:spacing w:before="0"/>
        <w:rPr>
          <w:rFonts w:cs="Segoe UI Historic"/>
          <w:i/>
        </w:rPr>
      </w:pPr>
      <w:r w:rsidRPr="008421C4">
        <w:rPr>
          <w:rFonts w:cs="Segoe UI Historic"/>
        </w:rPr>
        <w:t xml:space="preserve">Cases </w:t>
      </w:r>
      <w:r>
        <w:rPr>
          <w:rFonts w:cs="Segoe UI Historic"/>
        </w:rPr>
        <w:t>against</w:t>
      </w:r>
      <w:r w:rsidRPr="008421C4">
        <w:rPr>
          <w:rFonts w:cs="Segoe UI Historic"/>
        </w:rPr>
        <w:t xml:space="preserve"> a brand-name manufacturer that controls the contents of the label on a generic drug</w:t>
      </w:r>
      <w:r w:rsidR="00204778">
        <w:rPr>
          <w:rFonts w:cs="Segoe UI Historic"/>
        </w:rPr>
        <w:t>.</w:t>
      </w:r>
      <w:r w:rsidR="0033329E">
        <w:rPr>
          <w:rFonts w:cs="Segoe UI Historic"/>
        </w:rPr>
        <w:t xml:space="preserve"> </w:t>
      </w:r>
      <w:r w:rsidR="0033329E" w:rsidRPr="008421C4">
        <w:rPr>
          <w:rFonts w:cs="Segoe UI Historic"/>
        </w:rPr>
        <w:t xml:space="preserve">See </w:t>
      </w:r>
      <w:r w:rsidR="0033329E" w:rsidRPr="008421C4">
        <w:rPr>
          <w:rFonts w:cs="Segoe UI Historic"/>
          <w:i/>
          <w:iCs/>
        </w:rPr>
        <w:t xml:space="preserve">Rafferty </w:t>
      </w:r>
      <w:r w:rsidR="0033329E" w:rsidRPr="00984928">
        <w:rPr>
          <w:rFonts w:cs="Segoe UI Historic"/>
        </w:rPr>
        <w:t>v.</w:t>
      </w:r>
      <w:r w:rsidR="0033329E" w:rsidRPr="008421C4">
        <w:rPr>
          <w:rFonts w:cs="Segoe UI Historic"/>
          <w:i/>
          <w:iCs/>
        </w:rPr>
        <w:t xml:space="preserve"> Merck &amp; Co., Inc.</w:t>
      </w:r>
      <w:r w:rsidR="0033329E" w:rsidRPr="008421C4">
        <w:rPr>
          <w:rFonts w:cs="Segoe UI Historic"/>
        </w:rPr>
        <w:t xml:space="preserve">, 479 Mass. 141, </w:t>
      </w:r>
      <w:r w:rsidR="0033329E">
        <w:rPr>
          <w:rFonts w:cs="Segoe UI Historic"/>
        </w:rPr>
        <w:t>156</w:t>
      </w:r>
      <w:r w:rsidR="0033329E">
        <w:rPr>
          <w:rFonts w:cs="Segoe UI Historic"/>
        </w:rPr>
        <w:t>–</w:t>
      </w:r>
      <w:r w:rsidR="0033329E" w:rsidRPr="008421C4">
        <w:rPr>
          <w:rFonts w:cs="Segoe UI Historic"/>
        </w:rPr>
        <w:t>157 (2018)</w:t>
      </w:r>
      <w:r w:rsidR="0033329E">
        <w:rPr>
          <w:rFonts w:cs="Segoe UI Historic"/>
        </w:rPr>
        <w:t>.</w:t>
      </w:r>
    </w:p>
    <w:p w14:paraId="001ABB9D" w14:textId="5A8C28EA" w:rsidR="00EC58E7" w:rsidRPr="0033329E" w:rsidRDefault="00EC58E7" w:rsidP="0033329E">
      <w:pPr>
        <w:pStyle w:val="FootnoteText"/>
        <w:numPr>
          <w:ilvl w:val="0"/>
          <w:numId w:val="15"/>
        </w:numPr>
        <w:spacing w:before="0"/>
        <w:rPr>
          <w:rFonts w:cs="Segoe UI Historic"/>
        </w:rPr>
      </w:pPr>
      <w:r>
        <w:rPr>
          <w:rFonts w:cs="Segoe UI Historic"/>
        </w:rPr>
        <w:t>Suit by an intoxicated person against a business or licensee for serving alcohol</w:t>
      </w:r>
      <w:r w:rsidR="00204778">
        <w:rPr>
          <w:rFonts w:cs="Segoe UI Historic"/>
        </w:rPr>
        <w:t xml:space="preserve">. </w:t>
      </w:r>
      <w:r w:rsidR="00204778">
        <w:rPr>
          <w:rFonts w:cs="Segoe UI Historic"/>
        </w:rPr>
        <w:br/>
        <w:t xml:space="preserve">See </w:t>
      </w:r>
      <w:r w:rsidRPr="00523138">
        <w:rPr>
          <w:rFonts w:cs="Segoe UI Historic"/>
        </w:rPr>
        <w:t>G</w:t>
      </w:r>
      <w:r>
        <w:rPr>
          <w:rFonts w:cs="Segoe UI Historic"/>
        </w:rPr>
        <w:t>.</w:t>
      </w:r>
      <w:r w:rsidRPr="00523138">
        <w:rPr>
          <w:rFonts w:cs="Segoe UI Historic"/>
        </w:rPr>
        <w:t xml:space="preserve"> L</w:t>
      </w:r>
      <w:r>
        <w:rPr>
          <w:rFonts w:cs="Segoe UI Historic"/>
        </w:rPr>
        <w:t>.</w:t>
      </w:r>
      <w:r w:rsidRPr="00523138">
        <w:rPr>
          <w:rFonts w:cs="Segoe UI Historic"/>
        </w:rPr>
        <w:t xml:space="preserve"> c.</w:t>
      </w:r>
      <w:r w:rsidR="00204778">
        <w:rPr>
          <w:rFonts w:cs="Segoe UI Historic"/>
        </w:rPr>
        <w:t> </w:t>
      </w:r>
      <w:r w:rsidRPr="00523138">
        <w:rPr>
          <w:rFonts w:cs="Segoe UI Historic"/>
        </w:rPr>
        <w:t>231, Section 85T.</w:t>
      </w:r>
    </w:p>
  </w:footnote>
  <w:footnote w:id="2">
    <w:p w14:paraId="1C9C326E" w14:textId="77777777" w:rsidR="00EC58E7" w:rsidRPr="00984928" w:rsidRDefault="00EC58E7" w:rsidP="00EC58E7">
      <w:pPr>
        <w:pStyle w:val="FootnoteText"/>
      </w:pPr>
      <w:r w:rsidRPr="007E3472">
        <w:rPr>
          <w:rStyle w:val="FootnoteReference"/>
          <w:rFonts w:cs="Segoe UI Historic"/>
        </w:rPr>
        <w:footnoteRef/>
      </w:r>
      <w:r w:rsidRPr="007E3472">
        <w:rPr>
          <w:rFonts w:cs="Segoe UI Historic"/>
        </w:rPr>
        <w:t xml:space="preserve"> </w:t>
      </w:r>
      <w:r>
        <w:rPr>
          <w:rFonts w:cs="Segoe UI Historic"/>
        </w:rPr>
        <w:tab/>
      </w:r>
      <w:r w:rsidRPr="00984928">
        <w:rPr>
          <w:i/>
          <w:iCs/>
        </w:rPr>
        <w:t>Manning</w:t>
      </w:r>
      <w:r w:rsidRPr="00984928">
        <w:t xml:space="preserve"> v. </w:t>
      </w:r>
      <w:r w:rsidRPr="00984928">
        <w:rPr>
          <w:i/>
          <w:iCs/>
        </w:rPr>
        <w:t>Nobile,</w:t>
      </w:r>
      <w:r w:rsidRPr="00984928">
        <w:t> </w:t>
      </w:r>
      <w:hyperlink r:id="rId1" w:history="1">
        <w:r w:rsidRPr="00984928">
          <w:t>411 Mass. 382</w:t>
        </w:r>
      </w:hyperlink>
      <w:r w:rsidRPr="00984928">
        <w:t>, 387 (1991).</w:t>
      </w:r>
    </w:p>
  </w:footnote>
  <w:footnote w:id="3">
    <w:p w14:paraId="2F4768E0" w14:textId="606EA3C7" w:rsidR="00EC58E7" w:rsidRDefault="00EC58E7" w:rsidP="00EC58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84928">
        <w:rPr>
          <w:i/>
          <w:iCs/>
        </w:rPr>
        <w:t>Rafferty</w:t>
      </w:r>
      <w:r w:rsidRPr="00984928">
        <w:t xml:space="preserve"> v. </w:t>
      </w:r>
      <w:r w:rsidRPr="00984928">
        <w:rPr>
          <w:i/>
          <w:iCs/>
        </w:rPr>
        <w:t>Merck &amp; Co., Inc.,</w:t>
      </w:r>
      <w:r w:rsidRPr="00984928">
        <w:t xml:space="preserve"> 479 Mass. 141, 157 (2018) (citations omitted)</w:t>
      </w:r>
      <w:r w:rsidR="00C355CD">
        <w:t xml:space="preserve">. </w:t>
      </w:r>
      <w:r w:rsidRPr="007E3472">
        <w:rPr>
          <w:rFonts w:cs="Segoe UI Historic"/>
        </w:rPr>
        <w:t xml:space="preserve"> </w:t>
      </w:r>
    </w:p>
  </w:footnote>
  <w:footnote w:id="4">
    <w:p w14:paraId="618F231A" w14:textId="78D13E02" w:rsidR="00EC58E7" w:rsidRPr="00ED4C89" w:rsidRDefault="00EC58E7" w:rsidP="00EC58E7">
      <w:pPr>
        <w:pStyle w:val="FootnoteText"/>
        <w:rPr>
          <w:rFonts w:cs="Segoe UI Historic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="0033329E" w:rsidRPr="003D7396">
        <w:rPr>
          <w:i/>
          <w:iCs/>
        </w:rPr>
        <w:t xml:space="preserve">Boyd </w:t>
      </w:r>
      <w:r w:rsidR="0033329E" w:rsidRPr="003D7396">
        <w:t xml:space="preserve">v. </w:t>
      </w:r>
      <w:r w:rsidR="0033329E" w:rsidRPr="003D7396">
        <w:rPr>
          <w:i/>
          <w:iCs/>
        </w:rPr>
        <w:t>National Railroad Passenger Corporation,</w:t>
      </w:r>
      <w:r w:rsidR="0033329E" w:rsidRPr="003D7396">
        <w:t xml:space="preserve"> 446 Mass. 540, </w:t>
      </w:r>
      <w:r w:rsidR="00AD6AA6">
        <w:t>546–</w:t>
      </w:r>
      <w:r w:rsidR="0033329E" w:rsidRPr="003D7396">
        <w:t>54</w:t>
      </w:r>
      <w:r w:rsidR="0033329E">
        <w:t>7</w:t>
      </w:r>
      <w:r w:rsidR="0033329E" w:rsidRPr="003D7396">
        <w:t xml:space="preserve"> (2006).</w:t>
      </w:r>
    </w:p>
  </w:footnote>
  <w:footnote w:id="5">
    <w:p w14:paraId="71A3C22F" w14:textId="433C27F9" w:rsidR="0033329E" w:rsidRPr="0033329E" w:rsidRDefault="003332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D7396">
        <w:rPr>
          <w:i/>
          <w:iCs/>
        </w:rPr>
        <w:t>Rafferty</w:t>
      </w:r>
      <w:r w:rsidRPr="003D7396">
        <w:t xml:space="preserve"> v. </w:t>
      </w:r>
      <w:r w:rsidRPr="003D7396">
        <w:rPr>
          <w:i/>
          <w:iCs/>
        </w:rPr>
        <w:t>Merck &amp; Co., Inc.,</w:t>
      </w:r>
      <w:r w:rsidRPr="003D7396">
        <w:t xml:space="preserve"> 479 Mass. 141, 15</w:t>
      </w:r>
      <w:r w:rsidR="00AD6AA6">
        <w:t>8</w:t>
      </w:r>
      <w:r w:rsidRPr="003D7396">
        <w:t xml:space="preserve"> (2018)</w:t>
      </w:r>
      <w:r>
        <w:t xml:space="preserve">; </w:t>
      </w:r>
      <w:r>
        <w:rPr>
          <w:i/>
          <w:iCs/>
        </w:rPr>
        <w:t>Sandler</w:t>
      </w:r>
      <w:r>
        <w:t>, 419 Mass. at 336.</w:t>
      </w:r>
    </w:p>
  </w:footnote>
  <w:footnote w:id="6">
    <w:p w14:paraId="4B429275" w14:textId="77777777" w:rsidR="00EC58E7" w:rsidRPr="00605918" w:rsidRDefault="00EC58E7" w:rsidP="00EC58E7">
      <w:pPr>
        <w:pStyle w:val="FootnoteText"/>
      </w:pPr>
      <w:r w:rsidRPr="00ED4C89">
        <w:rPr>
          <w:rStyle w:val="FootnoteReference"/>
          <w:rFonts w:cs="Segoe UI Historic"/>
        </w:rPr>
        <w:footnoteRef/>
      </w:r>
      <w:r w:rsidRPr="00ED4C89">
        <w:rPr>
          <w:rFonts w:cs="Segoe UI Historic"/>
        </w:rPr>
        <w:t xml:space="preserve"> </w:t>
      </w:r>
      <w:r>
        <w:rPr>
          <w:rFonts w:cs="Segoe UI Historic"/>
        </w:rPr>
        <w:tab/>
      </w:r>
      <w:r w:rsidRPr="00605918">
        <w:rPr>
          <w:i/>
          <w:iCs/>
        </w:rPr>
        <w:t>Ali</w:t>
      </w:r>
      <w:r w:rsidRPr="00605918">
        <w:t xml:space="preserve"> v. </w:t>
      </w:r>
      <w:r w:rsidRPr="00605918">
        <w:rPr>
          <w:i/>
          <w:iCs/>
        </w:rPr>
        <w:t>Boston,</w:t>
      </w:r>
      <w:r w:rsidRPr="00605918">
        <w:t xml:space="preserve"> 441 Mass. 233, 238-239 (2004), quoting </w:t>
      </w:r>
      <w:r w:rsidRPr="00605918">
        <w:rPr>
          <w:i/>
          <w:iCs/>
        </w:rPr>
        <w:t>Sandler,</w:t>
      </w:r>
      <w:r w:rsidRPr="00605918">
        <w:t xml:space="preserve"> 419 Mass. at 336.</w:t>
      </w:r>
    </w:p>
  </w:footnote>
  <w:footnote w:id="7">
    <w:p w14:paraId="53F96F90" w14:textId="77777777" w:rsidR="00EC58E7" w:rsidRDefault="00EC58E7" w:rsidP="00EC58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bookmarkStart w:id="0" w:name="_Hlk92359701"/>
      <w:proofErr w:type="spellStart"/>
      <w:r w:rsidRPr="00605918">
        <w:rPr>
          <w:i/>
          <w:iCs/>
        </w:rPr>
        <w:t>Borella</w:t>
      </w:r>
      <w:proofErr w:type="spellEnd"/>
      <w:r w:rsidRPr="00605918">
        <w:t xml:space="preserve"> v. </w:t>
      </w:r>
      <w:r w:rsidRPr="00605918">
        <w:rPr>
          <w:i/>
          <w:iCs/>
        </w:rPr>
        <w:t>Renfro,</w:t>
      </w:r>
      <w:r w:rsidRPr="00605918">
        <w:t xml:space="preserve"> 96 Mass. App. Ct. 617, 624 (2019), further rev. denied, 493 Mass. 1108 (2020).</w:t>
      </w:r>
    </w:p>
    <w:bookmarkEnd w:id="0"/>
  </w:footnote>
  <w:footnote w:id="8">
    <w:p w14:paraId="2339D815" w14:textId="7B58D407" w:rsidR="00EC58E7" w:rsidRPr="003D7396" w:rsidRDefault="00EC58E7" w:rsidP="00EC58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D7396">
        <w:rPr>
          <w:i/>
          <w:iCs/>
        </w:rPr>
        <w:t>Boyd,</w:t>
      </w:r>
      <w:r w:rsidRPr="003D7396">
        <w:t xml:space="preserve"> 446 Mass. </w:t>
      </w:r>
      <w:r w:rsidR="00AD6AA6">
        <w:t>at</w:t>
      </w:r>
      <w:r w:rsidRPr="003D7396">
        <w:t xml:space="preserve"> 548.</w:t>
      </w:r>
    </w:p>
  </w:footnote>
  <w:footnote w:id="9">
    <w:p w14:paraId="7D235F43" w14:textId="1F62FF97" w:rsidR="00EC58E7" w:rsidRPr="003D7396" w:rsidRDefault="00EC58E7" w:rsidP="00EC58E7">
      <w:pPr>
        <w:pStyle w:val="FootnoteText"/>
      </w:pPr>
      <w:r w:rsidRPr="007E3472">
        <w:rPr>
          <w:rStyle w:val="FootnoteReference"/>
          <w:rFonts w:cs="Segoe UI Historic"/>
        </w:rPr>
        <w:footnoteRef/>
      </w:r>
      <w:r w:rsidRPr="007E3472">
        <w:rPr>
          <w:rFonts w:cs="Segoe UI Historic"/>
        </w:rPr>
        <w:t xml:space="preserve"> </w:t>
      </w:r>
      <w:r>
        <w:rPr>
          <w:rFonts w:cs="Segoe UI Historic"/>
        </w:rPr>
        <w:tab/>
      </w:r>
      <w:r w:rsidRPr="003D7396">
        <w:rPr>
          <w:i/>
          <w:iCs/>
        </w:rPr>
        <w:t>Rafferty,</w:t>
      </w:r>
      <w:r w:rsidRPr="003D7396">
        <w:t xml:space="preserve"> 479 Mass. </w:t>
      </w:r>
      <w:r w:rsidR="00AD6AA6">
        <w:t>at</w:t>
      </w:r>
      <w:r w:rsidRPr="003D7396">
        <w:t xml:space="preserve"> 157</w:t>
      </w:r>
      <w:r w:rsidR="00C355CD">
        <w:t xml:space="preserve">. </w:t>
      </w:r>
      <w:r w:rsidRPr="003D7396">
        <w:t xml:space="preserve"> </w:t>
      </w:r>
    </w:p>
  </w:footnote>
  <w:footnote w:id="10">
    <w:p w14:paraId="510A920A" w14:textId="77777777" w:rsidR="00EC58E7" w:rsidRPr="007E3472" w:rsidRDefault="00EC58E7" w:rsidP="00EC58E7">
      <w:pPr>
        <w:pStyle w:val="FootnoteText"/>
        <w:rPr>
          <w:rFonts w:cs="Segoe UI Historic"/>
        </w:rPr>
      </w:pPr>
      <w:r w:rsidRPr="007E3472">
        <w:rPr>
          <w:rStyle w:val="FootnoteReference"/>
          <w:rFonts w:cs="Segoe UI Historic"/>
        </w:rPr>
        <w:footnoteRef/>
      </w:r>
      <w:r w:rsidRPr="007E3472">
        <w:rPr>
          <w:rFonts w:cs="Segoe UI Historic"/>
        </w:rPr>
        <w:t xml:space="preserve"> </w:t>
      </w:r>
      <w:r>
        <w:rPr>
          <w:rFonts w:cs="Segoe UI Historic"/>
        </w:rPr>
        <w:tab/>
      </w:r>
      <w:r w:rsidRPr="00192FF8">
        <w:rPr>
          <w:i/>
          <w:iCs/>
        </w:rPr>
        <w:t>Rafferty,</w:t>
      </w:r>
      <w:r w:rsidRPr="00192FF8">
        <w:t xml:space="preserve"> 479 Mass. at 158.</w:t>
      </w:r>
    </w:p>
  </w:footnote>
  <w:footnote w:id="11">
    <w:p w14:paraId="1D91577C" w14:textId="3771C124" w:rsidR="00EC58E7" w:rsidRPr="00192FF8" w:rsidRDefault="00EC58E7" w:rsidP="00EC58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192FF8">
        <w:rPr>
          <w:i/>
          <w:iCs/>
        </w:rPr>
        <w:t>Boyd,</w:t>
      </w:r>
      <w:r w:rsidRPr="00192FF8">
        <w:t xml:space="preserve"> 446 Mass. at 547</w:t>
      </w:r>
      <w:r w:rsidR="00C355CD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FE57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96A2D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469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3E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BE28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3C1E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0A1A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38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44D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2C5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1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2" w15:restartNumberingAfterBreak="0">
    <w:nsid w:val="2DE60521"/>
    <w:multiLevelType w:val="hybridMultilevel"/>
    <w:tmpl w:val="8786A3DC"/>
    <w:lvl w:ilvl="0" w:tplc="45D44F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10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124CA"/>
    <w:rsid w:val="00016CA0"/>
    <w:rsid w:val="00037245"/>
    <w:rsid w:val="000B7B9E"/>
    <w:rsid w:val="000D70C6"/>
    <w:rsid w:val="000E7622"/>
    <w:rsid w:val="0010739E"/>
    <w:rsid w:val="00130F23"/>
    <w:rsid w:val="0017397B"/>
    <w:rsid w:val="001B7748"/>
    <w:rsid w:val="001C5FA5"/>
    <w:rsid w:val="001D701D"/>
    <w:rsid w:val="001E2162"/>
    <w:rsid w:val="00204778"/>
    <w:rsid w:val="00221552"/>
    <w:rsid w:val="00257345"/>
    <w:rsid w:val="00294F89"/>
    <w:rsid w:val="002A2C60"/>
    <w:rsid w:val="00303039"/>
    <w:rsid w:val="0033329E"/>
    <w:rsid w:val="00420329"/>
    <w:rsid w:val="004848CB"/>
    <w:rsid w:val="004A3BE2"/>
    <w:rsid w:val="00516C98"/>
    <w:rsid w:val="005446C0"/>
    <w:rsid w:val="00550249"/>
    <w:rsid w:val="00594672"/>
    <w:rsid w:val="00596E5A"/>
    <w:rsid w:val="00676B44"/>
    <w:rsid w:val="007E7B77"/>
    <w:rsid w:val="00834E34"/>
    <w:rsid w:val="008733AA"/>
    <w:rsid w:val="00880AA6"/>
    <w:rsid w:val="0094500B"/>
    <w:rsid w:val="00992410"/>
    <w:rsid w:val="009B481F"/>
    <w:rsid w:val="00A05B86"/>
    <w:rsid w:val="00A164C0"/>
    <w:rsid w:val="00A2789E"/>
    <w:rsid w:val="00A55E4E"/>
    <w:rsid w:val="00A56498"/>
    <w:rsid w:val="00A76145"/>
    <w:rsid w:val="00A917A4"/>
    <w:rsid w:val="00A95EAD"/>
    <w:rsid w:val="00AD6AA6"/>
    <w:rsid w:val="00AF6831"/>
    <w:rsid w:val="00B02468"/>
    <w:rsid w:val="00B2579A"/>
    <w:rsid w:val="00B520AB"/>
    <w:rsid w:val="00B63D1C"/>
    <w:rsid w:val="00B75859"/>
    <w:rsid w:val="00BE7335"/>
    <w:rsid w:val="00BF0717"/>
    <w:rsid w:val="00BF08B5"/>
    <w:rsid w:val="00C355CD"/>
    <w:rsid w:val="00C43AEF"/>
    <w:rsid w:val="00C5670C"/>
    <w:rsid w:val="00CD7576"/>
    <w:rsid w:val="00D71FE5"/>
    <w:rsid w:val="00D8732A"/>
    <w:rsid w:val="00D9196F"/>
    <w:rsid w:val="00DB6604"/>
    <w:rsid w:val="00DC61A7"/>
    <w:rsid w:val="00E174B0"/>
    <w:rsid w:val="00EC58E7"/>
    <w:rsid w:val="00F10AE9"/>
    <w:rsid w:val="00F11C6F"/>
    <w:rsid w:val="00F74A90"/>
    <w:rsid w:val="00F83046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CB"/>
    <w:rPr>
      <w:rFonts w:ascii="Palatino Linotype" w:eastAsia="Times New Roman" w:hAnsi="Palatino Linotype" w:cs="Times New Roman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b/>
    </w:rPr>
  </w:style>
  <w:style w:type="paragraph" w:styleId="FootnoteText">
    <w:name w:val="footnote text"/>
    <w:basedOn w:val="JuryInstructionText"/>
    <w:link w:val="FootnoteTextChar"/>
    <w:uiPriority w:val="99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/>
      <w:ind w:right="720"/>
    </w:pPr>
    <w:rPr>
      <w:rFonts w:ascii="Segoe UI Historic" w:hAnsi="Segoe UI Historic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/>
      <w:ind w:left="432" w:right="720"/>
    </w:pPr>
    <w:rPr>
      <w:rFonts w:ascii="Segoe UI Historic" w:hAnsi="Segoe UI Historic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/>
      <w:ind w:left="864" w:right="720"/>
    </w:pPr>
    <w:rPr>
      <w:rFonts w:ascii="Segoe UI Historic" w:hAnsi="Segoe UI Historic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hAnsi="Segoe UI Historic"/>
    </w:r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hAnsi="Segoe UI Historic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after="160" w:line="400" w:lineRule="exact"/>
    </w:pPr>
    <w:rPr>
      <w:rFonts w:ascii="Segoe UI Historic" w:eastAsia="Calibri" w:hAnsi="Segoe UI Historic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hAnsi="Segoe UI Historic"/>
    </w:rPr>
  </w:style>
  <w:style w:type="paragraph" w:styleId="NormalWeb">
    <w:name w:val="Normal (Web)"/>
    <w:basedOn w:val="Normal"/>
    <w:uiPriority w:val="99"/>
    <w:unhideWhenUsed/>
    <w:rsid w:val="00EC58E7"/>
    <w:pPr>
      <w:spacing w:before="100" w:beforeAutospacing="1" w:after="100" w:afterAutospacing="1"/>
    </w:pPr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asscases.com/cases/sjc/411/411mass38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</dc:creator>
  <cp:keywords/>
  <dc:description/>
  <cp:lastModifiedBy>kws</cp:lastModifiedBy>
  <cp:revision>4</cp:revision>
  <dcterms:created xsi:type="dcterms:W3CDTF">2022-01-11T14:27:00Z</dcterms:created>
  <dcterms:modified xsi:type="dcterms:W3CDTF">2022-01-11T14:44:00Z</dcterms:modified>
</cp:coreProperties>
</file>