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6BA1" w14:textId="2EC6C087" w:rsidR="004A4838" w:rsidRPr="005D4166" w:rsidRDefault="004A4838" w:rsidP="004A4838">
      <w:pPr>
        <w:pStyle w:val="JuryInstructionText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Publication Date: </w:t>
      </w:r>
      <w:r w:rsidR="006A370F">
        <w:rPr>
          <w:i/>
          <w:iCs/>
          <w:sz w:val="24"/>
          <w:szCs w:val="24"/>
        </w:rPr>
        <w:t>November 10, 2023</w:t>
      </w:r>
    </w:p>
    <w:p w14:paraId="147D98E5" w14:textId="77777777" w:rsidR="007C7AA4" w:rsidRPr="00016CA0" w:rsidRDefault="007C7AA4" w:rsidP="007C7AA4">
      <w:pPr>
        <w:pStyle w:val="JuryInst2"/>
        <w:rPr>
          <w:rFonts w:eastAsia="Times New Roman"/>
          <w:szCs w:val="28"/>
        </w:rPr>
      </w:pPr>
      <w:r>
        <w:rPr>
          <w:rFonts w:eastAsia="Times New Roman"/>
          <w:szCs w:val="28"/>
        </w:rPr>
        <w:t>Successor Corporate Liability</w:t>
      </w:r>
      <w:r w:rsidRPr="000124CA">
        <w:rPr>
          <w:rFonts w:eastAsia="Times New Roman"/>
          <w:szCs w:val="28"/>
        </w:rPr>
        <w:t>.</w:t>
      </w:r>
    </w:p>
    <w:p w14:paraId="2D28C37C" w14:textId="19D4CDC4" w:rsidR="007C7AA4" w:rsidRPr="009E633E" w:rsidRDefault="00EF0DDB" w:rsidP="007C7AA4">
      <w:pPr>
        <w:pStyle w:val="JuryInstructionText"/>
      </w:pPr>
      <w:r>
        <w:t>&lt;</w:t>
      </w:r>
      <w:r w:rsidR="00D61A5F">
        <w:rPr>
          <w:b/>
          <w:bCs/>
          <w:i/>
          <w:iCs/>
        </w:rPr>
        <w:t xml:space="preserve">Note: TPC = </w:t>
      </w:r>
      <w:r w:rsidRPr="00EF0DDB">
        <w:rPr>
          <w:b/>
          <w:bCs/>
          <w:i/>
          <w:iCs/>
        </w:rPr>
        <w:t>t</w:t>
      </w:r>
      <w:r w:rsidR="007C7AA4" w:rsidRPr="00EF0DDB">
        <w:rPr>
          <w:b/>
          <w:bCs/>
          <w:i/>
          <w:iCs/>
        </w:rPr>
        <w:t>hird party corporation</w:t>
      </w:r>
      <w:r w:rsidR="00D61A5F">
        <w:rPr>
          <w:b/>
          <w:bCs/>
          <w:i/>
          <w:iCs/>
        </w:rPr>
        <w:t>.</w:t>
      </w:r>
      <w:r>
        <w:t>&gt;</w:t>
      </w:r>
    </w:p>
    <w:p w14:paraId="28423A05" w14:textId="4FBECBEC" w:rsidR="007C7AA4" w:rsidRPr="009E633E" w:rsidRDefault="007C7AA4" w:rsidP="007C7AA4">
      <w:pPr>
        <w:pStyle w:val="JuryInstructionText"/>
      </w:pPr>
      <w:r w:rsidRPr="009E633E">
        <w:t xml:space="preserve">To prove </w:t>
      </w:r>
      <w:r w:rsidR="00D61A5F">
        <w:t xml:space="preserve">that </w:t>
      </w:r>
      <w:r w:rsidRPr="009E633E">
        <w:t xml:space="preserve">DFT is responsible to PLF for the debt of </w:t>
      </w:r>
      <w:r w:rsidR="00EF0DDB">
        <w:t>TPC</w:t>
      </w:r>
      <w:r w:rsidRPr="009E633E">
        <w:t xml:space="preserve">, PLF must prove that at least one of the following things </w:t>
      </w:r>
      <w:r>
        <w:t xml:space="preserve">is </w:t>
      </w:r>
      <w:r w:rsidRPr="009E633E">
        <w:t>more probably true than not true:</w:t>
      </w:r>
      <w:r>
        <w:t xml:space="preserve"> &lt;</w:t>
      </w:r>
      <w:r w:rsidRPr="00BD4416">
        <w:rPr>
          <w:b/>
          <w:bCs/>
          <w:i/>
          <w:iCs/>
        </w:rPr>
        <w:t>delete any that is not relevant</w:t>
      </w:r>
      <w:r>
        <w:t>&gt;</w:t>
      </w:r>
    </w:p>
    <w:p w14:paraId="0FB89F12" w14:textId="71A33A88" w:rsidR="007C7AA4" w:rsidRPr="009E633E" w:rsidRDefault="007C7AA4" w:rsidP="007C7AA4">
      <w:pPr>
        <w:pStyle w:val="JuryInstructionElements"/>
      </w:pPr>
      <w:r w:rsidRPr="009E633E">
        <w:t>1.</w:t>
      </w:r>
      <w:r w:rsidRPr="009E633E">
        <w:tab/>
      </w:r>
      <w:r w:rsidR="00EF0DDB">
        <w:t>&lt;</w:t>
      </w:r>
      <w:r w:rsidR="00EF0DDB">
        <w:rPr>
          <w:b/>
          <w:bCs/>
          <w:i/>
          <w:iCs/>
        </w:rPr>
        <w:t>if applicable</w:t>
      </w:r>
      <w:r w:rsidR="00EF0DDB">
        <w:t xml:space="preserve">&gt; </w:t>
      </w:r>
      <w:r w:rsidRPr="009E633E">
        <w:t xml:space="preserve">DFT expressly or impliedly assumed </w:t>
      </w:r>
      <w:r w:rsidR="00EF0DDB">
        <w:t>TPC’s</w:t>
      </w:r>
      <w:r w:rsidRPr="009E633E">
        <w:t xml:space="preserve"> obligation;</w:t>
      </w:r>
    </w:p>
    <w:p w14:paraId="38BB336E" w14:textId="4CB3DBEA" w:rsidR="007C7AA4" w:rsidRPr="009E633E" w:rsidRDefault="007C7AA4" w:rsidP="007C7AA4">
      <w:pPr>
        <w:pStyle w:val="JuryInstructionElements"/>
      </w:pPr>
      <w:r w:rsidRPr="009E633E">
        <w:t>2.</w:t>
      </w:r>
      <w:r w:rsidRPr="009E633E">
        <w:tab/>
      </w:r>
      <w:r w:rsidR="00EF0DDB">
        <w:t>&lt;</w:t>
      </w:r>
      <w:r w:rsidR="00EF0DDB">
        <w:rPr>
          <w:b/>
          <w:bCs/>
          <w:i/>
          <w:iCs/>
        </w:rPr>
        <w:t>if applicable</w:t>
      </w:r>
      <w:r w:rsidR="00EF0DDB">
        <w:t xml:space="preserve">&gt; </w:t>
      </w:r>
      <w:r w:rsidRPr="009E633E">
        <w:t xml:space="preserve">DFT effectively merged or consolidated with </w:t>
      </w:r>
      <w:r w:rsidR="00EF0DDB">
        <w:t>TPC</w:t>
      </w:r>
      <w:r w:rsidRPr="009E633E">
        <w:t>;</w:t>
      </w:r>
    </w:p>
    <w:p w14:paraId="00B0DE27" w14:textId="7FB5C5CF" w:rsidR="007C7AA4" w:rsidRPr="009E633E" w:rsidRDefault="007C7AA4" w:rsidP="007C7AA4">
      <w:pPr>
        <w:pStyle w:val="JuryInstructionElements"/>
      </w:pPr>
      <w:r w:rsidRPr="009E633E">
        <w:t>3.</w:t>
      </w:r>
      <w:r w:rsidRPr="009E633E">
        <w:tab/>
      </w:r>
      <w:r w:rsidR="00EF0DDB">
        <w:t>&lt;</w:t>
      </w:r>
      <w:r w:rsidR="00EF0DDB">
        <w:rPr>
          <w:b/>
          <w:bCs/>
          <w:i/>
          <w:iCs/>
        </w:rPr>
        <w:t>if applicable</w:t>
      </w:r>
      <w:r w:rsidR="00EF0DDB">
        <w:t xml:space="preserve">&gt; </w:t>
      </w:r>
      <w:r w:rsidRPr="009E633E">
        <w:t xml:space="preserve">DFT’s business merely continued </w:t>
      </w:r>
      <w:r w:rsidR="00EF0DDB">
        <w:t>TPC</w:t>
      </w:r>
      <w:r w:rsidRPr="009E633E">
        <w:t>’s business; or</w:t>
      </w:r>
    </w:p>
    <w:p w14:paraId="1C4733D2" w14:textId="53AF61E5" w:rsidR="007C7AA4" w:rsidRPr="009E633E" w:rsidRDefault="007C7AA4" w:rsidP="007C7AA4">
      <w:pPr>
        <w:pStyle w:val="JuryInstructionElements"/>
      </w:pPr>
      <w:r w:rsidRPr="009E633E">
        <w:t>4.</w:t>
      </w:r>
      <w:r w:rsidRPr="009E633E">
        <w:tab/>
      </w:r>
      <w:r w:rsidR="00EF0DDB">
        <w:t>&lt;</w:t>
      </w:r>
      <w:r w:rsidR="00EF0DDB">
        <w:rPr>
          <w:b/>
          <w:bCs/>
          <w:i/>
          <w:iCs/>
        </w:rPr>
        <w:t>if applicable</w:t>
      </w:r>
      <w:r w:rsidR="00EF0DDB">
        <w:t xml:space="preserve">&gt; </w:t>
      </w:r>
      <w:r w:rsidRPr="009E633E">
        <w:t xml:space="preserve">DFT’s business was a fraudulent effort to avoid </w:t>
      </w:r>
      <w:r w:rsidR="00EF0DDB">
        <w:t>TPC’s</w:t>
      </w:r>
      <w:r w:rsidRPr="009E633E">
        <w:t xml:space="preserve"> liabilities.</w:t>
      </w:r>
      <w:bookmarkStart w:id="0" w:name="_Toc404328797"/>
      <w:bookmarkStart w:id="1" w:name="_Toc529873482"/>
    </w:p>
    <w:p w14:paraId="729BB4DC" w14:textId="3C27F18F" w:rsidR="007C7AA4" w:rsidRDefault="007C7AA4" w:rsidP="007C7AA4">
      <w:pPr>
        <w:pStyle w:val="JuryInstructionText"/>
      </w:pPr>
      <w:r>
        <w:t>I will now describe these matters in more detail.</w:t>
      </w:r>
    </w:p>
    <w:bookmarkEnd w:id="0"/>
    <w:bookmarkEnd w:id="1"/>
    <w:p w14:paraId="5A7662C1" w14:textId="77777777" w:rsidR="007C7AA4" w:rsidRDefault="007C7AA4" w:rsidP="00EF0DDB">
      <w:pPr>
        <w:pStyle w:val="JuryInst3"/>
      </w:pPr>
      <w:r>
        <w:t>Express or Implied Assumption of Liabilities</w:t>
      </w:r>
    </w:p>
    <w:p w14:paraId="0AB76DE4" w14:textId="0C8EEDCD" w:rsidR="007C7AA4" w:rsidRDefault="007C7AA4" w:rsidP="007C7AA4">
      <w:pPr>
        <w:pStyle w:val="JuryInstructionText"/>
      </w:pPr>
      <w:r>
        <w:t xml:space="preserve">PLF is claiming that DFT agreed to assume </w:t>
      </w:r>
      <w:r w:rsidR="00EF0DDB">
        <w:t>TPC</w:t>
      </w:r>
      <w:r>
        <w:t>’s liabilities</w:t>
      </w:r>
      <w:r w:rsidR="00D61A5F">
        <w:t xml:space="preserve">. </w:t>
      </w:r>
      <w:r>
        <w:t xml:space="preserve">You must decide whether PLF has proved that it is more likely true than not that DFT agreed, either expressly or through conduct, to assume </w:t>
      </w:r>
      <w:r w:rsidR="00EF0DDB">
        <w:t>TPC</w:t>
      </w:r>
      <w:r>
        <w:t>’s liabilities.</w:t>
      </w:r>
      <w:bookmarkStart w:id="2" w:name="_Toc404328798"/>
      <w:bookmarkStart w:id="3" w:name="_Toc529873483"/>
      <w:r>
        <w:t xml:space="preserve"> For example, an individual may expressly agree in writing or orally to do something</w:t>
      </w:r>
      <w:r w:rsidR="00D61A5F">
        <w:t xml:space="preserve">. </w:t>
      </w:r>
      <w:r>
        <w:t xml:space="preserve">Or an individual may indicate his or her agreement by performing the act at issue. </w:t>
      </w:r>
    </w:p>
    <w:bookmarkEnd w:id="2"/>
    <w:bookmarkEnd w:id="3"/>
    <w:p w14:paraId="39FF8D42" w14:textId="77777777" w:rsidR="007C7AA4" w:rsidRDefault="007C7AA4" w:rsidP="00EF0DDB">
      <w:pPr>
        <w:pStyle w:val="JuryInst3"/>
      </w:pPr>
      <w:r>
        <w:t>Mere Continuation or Effectively a Merger</w:t>
      </w:r>
    </w:p>
    <w:p w14:paraId="1BDAF71E" w14:textId="22771404" w:rsidR="007C7AA4" w:rsidRDefault="007C7AA4" w:rsidP="007C7AA4">
      <w:pPr>
        <w:pStyle w:val="JuryInstructionText"/>
      </w:pPr>
      <w:r>
        <w:t xml:space="preserve">PLF could also show that DFT is liable for </w:t>
      </w:r>
      <w:r w:rsidR="00EF0DDB">
        <w:t>TPC’s</w:t>
      </w:r>
      <w:r>
        <w:t xml:space="preserve"> liabilities if it shows that </w:t>
      </w:r>
      <w:r w:rsidR="00EF0DDB">
        <w:t>TPC</w:t>
      </w:r>
      <w:r>
        <w:t xml:space="preserve"> was essentially merged into DFT, so that </w:t>
      </w:r>
      <w:r w:rsidR="00EF0DDB">
        <w:t>TPC</w:t>
      </w:r>
      <w:r>
        <w:t>’s business has essentially been continued by DFT under a new name.</w:t>
      </w:r>
    </w:p>
    <w:p w14:paraId="3A470115" w14:textId="6F18C06B" w:rsidR="007C7AA4" w:rsidRDefault="007C7AA4" w:rsidP="007C7AA4">
      <w:pPr>
        <w:pStyle w:val="JuryInstructionText"/>
      </w:pPr>
      <w:r>
        <w:t xml:space="preserve">In deciding whether the transfer of </w:t>
      </w:r>
      <w:r w:rsidR="00EF0DDB">
        <w:t>TPC</w:t>
      </w:r>
      <w:r>
        <w:t xml:space="preserve">’s assets to DFT was a continuation of </w:t>
      </w:r>
      <w:r w:rsidR="00EF0DDB">
        <w:t>TPC</w:t>
      </w:r>
      <w:r>
        <w:t xml:space="preserve"> or effectively a merger of the two companies, you should consider the following factors:</w:t>
      </w:r>
    </w:p>
    <w:p w14:paraId="51014B89" w14:textId="0C0A56AD" w:rsidR="007C7AA4" w:rsidRDefault="007C7AA4" w:rsidP="00EF0DDB">
      <w:pPr>
        <w:pStyle w:val="JuryInstructionBullets"/>
      </w:pPr>
      <w:r>
        <w:lastRenderedPageBreak/>
        <w:t>Has the management, personnel, physical location, assets, and general business operations remained the same;</w:t>
      </w:r>
    </w:p>
    <w:p w14:paraId="39BB967E" w14:textId="38AFF8E5" w:rsidR="007C7AA4" w:rsidRDefault="007C7AA4" w:rsidP="00EF0DDB">
      <w:pPr>
        <w:pStyle w:val="JuryInstructionBullets"/>
      </w:pPr>
      <w:r>
        <w:t xml:space="preserve">Did </w:t>
      </w:r>
      <w:r w:rsidR="00EF0DDB">
        <w:t>TPC</w:t>
      </w:r>
      <w:r>
        <w:t xml:space="preserve"> acquire DFT’s assets with shares of its own stock resulting in a continuation of shareholders;</w:t>
      </w:r>
    </w:p>
    <w:p w14:paraId="6C8943CD" w14:textId="771489F4" w:rsidR="007C7AA4" w:rsidRDefault="007C7AA4" w:rsidP="00EF0DDB">
      <w:pPr>
        <w:pStyle w:val="JuryInstructionBullets"/>
      </w:pPr>
      <w:r>
        <w:t xml:space="preserve">Did </w:t>
      </w:r>
      <w:r w:rsidR="00EF0DDB">
        <w:t>TPC</w:t>
      </w:r>
      <w:r>
        <w:t xml:space="preserve"> stop its ordinary business operations, liquidate, and dissolve as soon as legally and practically possible</w:t>
      </w:r>
      <w:r w:rsidR="006A370F">
        <w:t>;</w:t>
      </w:r>
    </w:p>
    <w:p w14:paraId="51D0B6CB" w14:textId="77777777" w:rsidR="006A370F" w:rsidRDefault="007C7AA4" w:rsidP="00EF0DDB">
      <w:pPr>
        <w:pStyle w:val="JuryInstructionBullets"/>
      </w:pPr>
      <w:r>
        <w:t xml:space="preserve">Did DFT take responsibility for </w:t>
      </w:r>
      <w:r w:rsidR="00EF0DDB">
        <w:t>TPC’s</w:t>
      </w:r>
      <w:r>
        <w:t xml:space="preserve"> obligations which were necessary for </w:t>
      </w:r>
      <w:r w:rsidR="00EF0DDB">
        <w:t>TPC’s</w:t>
      </w:r>
      <w:r>
        <w:t xml:space="preserve"> normal business operations</w:t>
      </w:r>
      <w:r w:rsidR="006A370F">
        <w:t>; and</w:t>
      </w:r>
    </w:p>
    <w:p w14:paraId="68FAFC1E" w14:textId="5866C256" w:rsidR="007C7AA4" w:rsidRDefault="006A370F" w:rsidP="00EF0DDB">
      <w:pPr>
        <w:pStyle w:val="JuryInstructionBullets"/>
      </w:pPr>
      <w:r>
        <w:t>Did TPC transfer its business to DFT in an attempt to eliminate its debt</w:t>
      </w:r>
      <w:r w:rsidR="007C7AA4">
        <w:t>.</w:t>
      </w:r>
      <w:r w:rsidR="007C7AA4">
        <w:rPr>
          <w:rStyle w:val="FootnoteReference"/>
          <w:rFonts w:cs="Segoe UI Historic"/>
          <w:b w:val="0"/>
        </w:rPr>
        <w:footnoteReference w:id="1"/>
      </w:r>
    </w:p>
    <w:p w14:paraId="7FA6F36B" w14:textId="3136C1E9" w:rsidR="007C7AA4" w:rsidRDefault="007C7AA4" w:rsidP="007C7AA4">
      <w:pPr>
        <w:pStyle w:val="JuryInstructionText"/>
      </w:pPr>
      <w:r>
        <w:t>No single factor is necessary or sufficient to establish a merger or mere continuation</w:t>
      </w:r>
      <w:r w:rsidR="00D61A5F">
        <w:t xml:space="preserve">. </w:t>
      </w:r>
      <w:r>
        <w:t>You are to consider each of these factors in arriving at your findings with respect to DFT.</w:t>
      </w:r>
    </w:p>
    <w:p w14:paraId="42D55EFC" w14:textId="77777777" w:rsidR="007C7AA4" w:rsidRDefault="007C7AA4" w:rsidP="00EF0DDB">
      <w:pPr>
        <w:pStyle w:val="JuryInst3"/>
      </w:pPr>
      <w:r>
        <w:t>Fraudulent Effort to Avoid Liabilities</w:t>
      </w:r>
    </w:p>
    <w:p w14:paraId="21F33DD6" w14:textId="69AD1CCD" w:rsidR="00B75859" w:rsidRPr="004A4838" w:rsidRDefault="007C7AA4" w:rsidP="006A370F">
      <w:pPr>
        <w:pStyle w:val="JuryInstructionText"/>
      </w:pPr>
      <w:r>
        <w:t xml:space="preserve">The final circumstance in which liability may be imposed upon DFT is if you find that it is more probably true than not true that DFT was involved in a fraudulent effort to help </w:t>
      </w:r>
      <w:r w:rsidR="00EF0DDB">
        <w:t>TPC</w:t>
      </w:r>
      <w:r>
        <w:t xml:space="preserve"> wrongfully avoid its liabilities</w:t>
      </w:r>
      <w:r w:rsidR="00D61A5F">
        <w:t>.</w:t>
      </w:r>
    </w:p>
    <w:sectPr w:rsidR="00B75859" w:rsidRPr="004A4838" w:rsidSect="00F74A90">
      <w:footerReference w:type="default" r:id="rId7"/>
      <w:pgSz w:w="12240" w:h="15840" w:code="1"/>
      <w:pgMar w:top="1440" w:right="1440" w:bottom="1440" w:left="1440" w:header="648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ED04" w14:textId="77777777" w:rsidR="00072811" w:rsidRDefault="00072811" w:rsidP="00F74A90">
      <w:r>
        <w:separator/>
      </w:r>
    </w:p>
  </w:endnote>
  <w:endnote w:type="continuationSeparator" w:id="0">
    <w:p w14:paraId="23A8F104" w14:textId="77777777" w:rsidR="00072811" w:rsidRDefault="00072811" w:rsidP="00F7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2F6D" w14:textId="2BA91F15" w:rsidR="003D6311" w:rsidRDefault="00992410" w:rsidP="003511A1">
    <w:pPr>
      <w:tabs>
        <w:tab w:val="right" w:pos="9360"/>
      </w:tabs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1E64" w14:textId="77777777" w:rsidR="00072811" w:rsidRDefault="00072811" w:rsidP="00F74A90">
      <w:r>
        <w:separator/>
      </w:r>
    </w:p>
  </w:footnote>
  <w:footnote w:type="continuationSeparator" w:id="0">
    <w:p w14:paraId="5092C746" w14:textId="77777777" w:rsidR="00072811" w:rsidRDefault="00072811" w:rsidP="00F74A90">
      <w:r>
        <w:continuationSeparator/>
      </w:r>
    </w:p>
  </w:footnote>
  <w:footnote w:id="1">
    <w:p w14:paraId="6E00D9CF" w14:textId="11F01D1F" w:rsidR="007C7AA4" w:rsidRDefault="007C7AA4" w:rsidP="007C7AA4">
      <w:pPr>
        <w:pStyle w:val="FootnoteText"/>
        <w:rPr>
          <w:rFonts w:asciiTheme="minorHAnsi" w:hAnsiTheme="minorHAnsi" w:cstheme="minorBidi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="006A370F">
        <w:t xml:space="preserve">See </w:t>
      </w:r>
      <w:r w:rsidRPr="0022012F">
        <w:rPr>
          <w:rFonts w:cs="Segoe UI Historic"/>
          <w:i/>
          <w:szCs w:val="22"/>
        </w:rPr>
        <w:t>Milliken &amp; Co.</w:t>
      </w:r>
      <w:r w:rsidRPr="00D61A5F">
        <w:rPr>
          <w:rFonts w:cs="Segoe UI Historic"/>
          <w:iCs/>
          <w:szCs w:val="22"/>
        </w:rPr>
        <w:t xml:space="preserve"> v. </w:t>
      </w:r>
      <w:r w:rsidRPr="0022012F">
        <w:rPr>
          <w:rFonts w:cs="Segoe UI Historic"/>
          <w:i/>
          <w:szCs w:val="22"/>
        </w:rPr>
        <w:t>Duro Textiles, LLC</w:t>
      </w:r>
      <w:r w:rsidRPr="0022012F">
        <w:rPr>
          <w:rFonts w:cs="Segoe UI Historic"/>
          <w:szCs w:val="22"/>
        </w:rPr>
        <w:t>, 451 Mass. 547, 557 (2008)</w:t>
      </w:r>
      <w:r w:rsidR="006A370F">
        <w:rPr>
          <w:rFonts w:cs="Segoe UI Historic"/>
          <w:szCs w:val="22"/>
        </w:rPr>
        <w:t xml:space="preserve">, and the discussion in </w:t>
      </w:r>
      <w:r w:rsidR="006A370F">
        <w:rPr>
          <w:rFonts w:cs="Segoe UI Historic"/>
          <w:i/>
          <w:iCs/>
          <w:szCs w:val="22"/>
        </w:rPr>
        <w:t>Atlantic Resort Development</w:t>
      </w:r>
      <w:r w:rsidR="006A370F">
        <w:rPr>
          <w:rFonts w:cs="Segoe UI Historic"/>
          <w:szCs w:val="22"/>
        </w:rPr>
        <w:t xml:space="preserve"> v. </w:t>
      </w:r>
      <w:r w:rsidR="006A370F">
        <w:rPr>
          <w:rFonts w:cs="Segoe UI Historic"/>
          <w:i/>
          <w:iCs/>
          <w:szCs w:val="22"/>
        </w:rPr>
        <w:t>InnSeason Mgmt., Inc.</w:t>
      </w:r>
      <w:r w:rsidR="006A370F">
        <w:rPr>
          <w:rFonts w:cs="Segoe UI Historic"/>
          <w:szCs w:val="22"/>
        </w:rPr>
        <w:t>, 95 Mass. App. Ct. 1112 (2019) (unpublished), when deciding whether to give this portion of the jury instruction as a mandatory or optional element</w:t>
      </w:r>
      <w:r w:rsidRPr="0022012F">
        <w:rPr>
          <w:rFonts w:cs="Segoe UI Historic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DB86A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3888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36C5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9C9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540CC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0A3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443A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AA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C60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D25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D0377"/>
    <w:multiLevelType w:val="multilevel"/>
    <w:tmpl w:val="D6EA8F2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b/>
        <w:i w:val="0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hint="default"/>
        <w:b/>
        <w:i w:val="0"/>
      </w:rPr>
    </w:lvl>
    <w:lvl w:ilvl="5">
      <w:start w:val="1"/>
      <w:numFmt w:val="none"/>
      <w:lvlText w:val="%6."/>
      <w:lvlJc w:val="left"/>
      <w:pPr>
        <w:tabs>
          <w:tab w:val="num" w:pos="2520"/>
        </w:tabs>
        <w:ind w:left="2520" w:hanging="72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</w:abstractNum>
  <w:abstractNum w:abstractNumId="11" w15:restartNumberingAfterBreak="0">
    <w:nsid w:val="125632C3"/>
    <w:multiLevelType w:val="multilevel"/>
    <w:tmpl w:val="86D633D2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2" w15:restartNumberingAfterBreak="0">
    <w:nsid w:val="1B722686"/>
    <w:multiLevelType w:val="multilevel"/>
    <w:tmpl w:val="5218CAB0"/>
    <w:lvl w:ilvl="0">
      <w:start w:val="1"/>
      <w:numFmt w:val="none"/>
      <w:pStyle w:val="JuryInst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JuryInst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JuryInst3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pStyle w:val="JuryInst4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pStyle w:val="JuryInst5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pStyle w:val="JuryInst6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3" w15:restartNumberingAfterBreak="0">
    <w:nsid w:val="3E0C20F8"/>
    <w:multiLevelType w:val="hybridMultilevel"/>
    <w:tmpl w:val="FC8E5BC2"/>
    <w:lvl w:ilvl="0" w:tplc="B6209AF6">
      <w:start w:val="1"/>
      <w:numFmt w:val="bullet"/>
      <w:pStyle w:val="JuryInstructionBullets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 w16cid:durableId="83651204">
    <w:abstractNumId w:val="13"/>
  </w:num>
  <w:num w:numId="2" w16cid:durableId="1073889579">
    <w:abstractNumId w:val="12"/>
  </w:num>
  <w:num w:numId="3" w16cid:durableId="2022732975">
    <w:abstractNumId w:val="0"/>
  </w:num>
  <w:num w:numId="4" w16cid:durableId="473765879">
    <w:abstractNumId w:val="1"/>
  </w:num>
  <w:num w:numId="5" w16cid:durableId="791022684">
    <w:abstractNumId w:val="2"/>
  </w:num>
  <w:num w:numId="6" w16cid:durableId="686639243">
    <w:abstractNumId w:val="3"/>
  </w:num>
  <w:num w:numId="7" w16cid:durableId="1232349437">
    <w:abstractNumId w:val="8"/>
  </w:num>
  <w:num w:numId="8" w16cid:durableId="1166939345">
    <w:abstractNumId w:val="4"/>
  </w:num>
  <w:num w:numId="9" w16cid:durableId="825900702">
    <w:abstractNumId w:val="5"/>
  </w:num>
  <w:num w:numId="10" w16cid:durableId="1319193172">
    <w:abstractNumId w:val="6"/>
  </w:num>
  <w:num w:numId="11" w16cid:durableId="1437941082">
    <w:abstractNumId w:val="7"/>
  </w:num>
  <w:num w:numId="12" w16cid:durableId="2135171187">
    <w:abstractNumId w:val="9"/>
  </w:num>
  <w:num w:numId="13" w16cid:durableId="1281260388">
    <w:abstractNumId w:val="12"/>
  </w:num>
  <w:num w:numId="14" w16cid:durableId="2102483122">
    <w:abstractNumId w:val="11"/>
  </w:num>
  <w:num w:numId="15" w16cid:durableId="48381949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90"/>
    <w:rsid w:val="000124CA"/>
    <w:rsid w:val="00016CA0"/>
    <w:rsid w:val="00037245"/>
    <w:rsid w:val="00072811"/>
    <w:rsid w:val="000754A7"/>
    <w:rsid w:val="000B7B9E"/>
    <w:rsid w:val="000D70C6"/>
    <w:rsid w:val="000E7622"/>
    <w:rsid w:val="0010739E"/>
    <w:rsid w:val="00130F23"/>
    <w:rsid w:val="0017397B"/>
    <w:rsid w:val="00180528"/>
    <w:rsid w:val="001B7748"/>
    <w:rsid w:val="001C5FA5"/>
    <w:rsid w:val="001D701D"/>
    <w:rsid w:val="001E2162"/>
    <w:rsid w:val="00221552"/>
    <w:rsid w:val="00257345"/>
    <w:rsid w:val="00294F89"/>
    <w:rsid w:val="002A2C60"/>
    <w:rsid w:val="00303039"/>
    <w:rsid w:val="003318CD"/>
    <w:rsid w:val="003D6311"/>
    <w:rsid w:val="00420329"/>
    <w:rsid w:val="0042708B"/>
    <w:rsid w:val="004848CB"/>
    <w:rsid w:val="004A3BE2"/>
    <w:rsid w:val="004A4838"/>
    <w:rsid w:val="00516C98"/>
    <w:rsid w:val="005446C0"/>
    <w:rsid w:val="00550249"/>
    <w:rsid w:val="00594672"/>
    <w:rsid w:val="00596E5A"/>
    <w:rsid w:val="00676B44"/>
    <w:rsid w:val="006A370F"/>
    <w:rsid w:val="007C7AA4"/>
    <w:rsid w:val="007E7B77"/>
    <w:rsid w:val="00834E34"/>
    <w:rsid w:val="008628FB"/>
    <w:rsid w:val="008733AA"/>
    <w:rsid w:val="00880AA6"/>
    <w:rsid w:val="0094500B"/>
    <w:rsid w:val="00992410"/>
    <w:rsid w:val="009B481F"/>
    <w:rsid w:val="00A05B86"/>
    <w:rsid w:val="00A164C0"/>
    <w:rsid w:val="00A2789E"/>
    <w:rsid w:val="00A55E4E"/>
    <w:rsid w:val="00A56498"/>
    <w:rsid w:val="00A70D2C"/>
    <w:rsid w:val="00A76145"/>
    <w:rsid w:val="00A917A4"/>
    <w:rsid w:val="00A95EAD"/>
    <w:rsid w:val="00AF6831"/>
    <w:rsid w:val="00B02468"/>
    <w:rsid w:val="00B2579A"/>
    <w:rsid w:val="00B520AB"/>
    <w:rsid w:val="00B75859"/>
    <w:rsid w:val="00BD4416"/>
    <w:rsid w:val="00BE7335"/>
    <w:rsid w:val="00BF0717"/>
    <w:rsid w:val="00BF08B5"/>
    <w:rsid w:val="00C43AEF"/>
    <w:rsid w:val="00C5670C"/>
    <w:rsid w:val="00CD7576"/>
    <w:rsid w:val="00D61A5F"/>
    <w:rsid w:val="00D71FE5"/>
    <w:rsid w:val="00D8732A"/>
    <w:rsid w:val="00D9196F"/>
    <w:rsid w:val="00DB6604"/>
    <w:rsid w:val="00DC61A7"/>
    <w:rsid w:val="00E174B0"/>
    <w:rsid w:val="00EF0DDB"/>
    <w:rsid w:val="00F10AE9"/>
    <w:rsid w:val="00F11C6F"/>
    <w:rsid w:val="00F74A90"/>
    <w:rsid w:val="00F83046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33E3"/>
  <w15:chartTrackingRefBased/>
  <w15:docId w15:val="{F0DCD95B-F6BC-7E4C-A645-37CF44BD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8CB"/>
    <w:rPr>
      <w:rFonts w:ascii="Palatino Linotype" w:eastAsia="Times New Roman" w:hAnsi="Palatino Linotype" w:cs="Times New Roman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F10AE9"/>
    <w:pPr>
      <w:spacing w:line="480" w:lineRule="exact"/>
      <w:ind w:firstLine="720"/>
    </w:pPr>
  </w:style>
  <w:style w:type="character" w:customStyle="1" w:styleId="BodyTextChar">
    <w:name w:val="Body Text Char"/>
    <w:link w:val="BodyText"/>
    <w:uiPriority w:val="99"/>
    <w:rsid w:val="00F10AE9"/>
    <w:rPr>
      <w:rFonts w:ascii="Century" w:eastAsia="Calibri" w:hAnsi="Century" w:cs="Times New Roman"/>
    </w:rPr>
  </w:style>
  <w:style w:type="paragraph" w:customStyle="1" w:styleId="CenterBold">
    <w:name w:val="Center Bold"/>
    <w:basedOn w:val="Normal"/>
    <w:qFormat/>
    <w:rsid w:val="00F83046"/>
    <w:pPr>
      <w:spacing w:after="60"/>
      <w:jc w:val="center"/>
    </w:pPr>
    <w:rPr>
      <w:b/>
    </w:rPr>
  </w:style>
  <w:style w:type="paragraph" w:styleId="FootnoteText">
    <w:name w:val="footnote text"/>
    <w:basedOn w:val="JuryInstructionText"/>
    <w:link w:val="FootnoteTextChar"/>
    <w:uiPriority w:val="99"/>
    <w:unhideWhenUsed/>
    <w:rsid w:val="00257345"/>
    <w:pPr>
      <w:spacing w:before="60" w:after="0" w:line="280" w:lineRule="exact"/>
      <w:ind w:left="288" w:hanging="288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7345"/>
    <w:rPr>
      <w:rFonts w:ascii="Segoe UI Historic" w:hAnsi="Segoe UI Historic" w:cs="Times New Roman"/>
      <w:kern w:val="20"/>
      <w:sz w:val="22"/>
      <w:szCs w:val="20"/>
    </w:rPr>
  </w:style>
  <w:style w:type="paragraph" w:customStyle="1" w:styleId="Notes">
    <w:name w:val="Notes"/>
    <w:basedOn w:val="Normal"/>
    <w:qFormat/>
    <w:rsid w:val="00594672"/>
    <w:pPr>
      <w:spacing w:after="120"/>
    </w:pPr>
  </w:style>
  <w:style w:type="paragraph" w:styleId="TOC1">
    <w:name w:val="toc 1"/>
    <w:basedOn w:val="Normal"/>
    <w:next w:val="Normal"/>
    <w:autoRedefine/>
    <w:uiPriority w:val="39"/>
    <w:qFormat/>
    <w:rsid w:val="008733AA"/>
    <w:pPr>
      <w:tabs>
        <w:tab w:val="right" w:leader="dot" w:pos="9350"/>
      </w:tabs>
      <w:spacing w:after="120"/>
      <w:ind w:right="720"/>
    </w:pPr>
    <w:rPr>
      <w:rFonts w:ascii="Segoe UI Historic" w:hAnsi="Segoe UI Historic"/>
    </w:rPr>
  </w:style>
  <w:style w:type="paragraph" w:styleId="TOC2">
    <w:name w:val="toc 2"/>
    <w:basedOn w:val="Normal"/>
    <w:next w:val="Normal"/>
    <w:autoRedefine/>
    <w:uiPriority w:val="39"/>
    <w:qFormat/>
    <w:rsid w:val="008733AA"/>
    <w:pPr>
      <w:keepNext/>
      <w:tabs>
        <w:tab w:val="left" w:pos="1440"/>
        <w:tab w:val="right" w:leader="dot" w:pos="9350"/>
      </w:tabs>
      <w:spacing w:after="120"/>
      <w:ind w:left="432" w:right="720"/>
    </w:pPr>
    <w:rPr>
      <w:rFonts w:ascii="Segoe UI Historic" w:hAnsi="Segoe UI Historic"/>
    </w:rPr>
  </w:style>
  <w:style w:type="paragraph" w:styleId="TOC3">
    <w:name w:val="toc 3"/>
    <w:basedOn w:val="Normal"/>
    <w:next w:val="Normal"/>
    <w:uiPriority w:val="39"/>
    <w:qFormat/>
    <w:rsid w:val="008733AA"/>
    <w:pPr>
      <w:tabs>
        <w:tab w:val="left" w:pos="1296"/>
        <w:tab w:val="right" w:leader="dot" w:pos="9346"/>
      </w:tabs>
      <w:spacing w:after="120"/>
      <w:ind w:left="864" w:right="720"/>
    </w:pPr>
    <w:rPr>
      <w:rFonts w:ascii="Segoe UI Historic" w:hAnsi="Segoe UI Historic"/>
    </w:rPr>
  </w:style>
  <w:style w:type="paragraph" w:styleId="TOC4">
    <w:name w:val="toc 4"/>
    <w:basedOn w:val="Normal"/>
    <w:next w:val="Normal"/>
    <w:uiPriority w:val="39"/>
    <w:rsid w:val="008733AA"/>
    <w:pPr>
      <w:tabs>
        <w:tab w:val="left" w:pos="1728"/>
        <w:tab w:val="right" w:leader="dot" w:pos="9346"/>
      </w:tabs>
      <w:spacing w:after="120"/>
      <w:ind w:left="1296" w:right="720"/>
    </w:pPr>
    <w:rPr>
      <w:rFonts w:ascii="Segoe UI Historic" w:hAnsi="Segoe UI Historic"/>
    </w:rPr>
  </w:style>
  <w:style w:type="paragraph" w:styleId="TOC9">
    <w:name w:val="toc 9"/>
    <w:basedOn w:val="Normal"/>
    <w:next w:val="Normal"/>
    <w:qFormat/>
    <w:rsid w:val="00F10AE9"/>
    <w:pPr>
      <w:spacing w:after="240"/>
      <w:ind w:left="1440" w:right="720" w:hanging="720"/>
    </w:pPr>
  </w:style>
  <w:style w:type="paragraph" w:styleId="TOC5">
    <w:name w:val="toc 5"/>
    <w:basedOn w:val="Normal"/>
    <w:next w:val="Normal"/>
    <w:autoRedefine/>
    <w:uiPriority w:val="39"/>
    <w:rsid w:val="008733AA"/>
    <w:pPr>
      <w:tabs>
        <w:tab w:val="left" w:pos="2160"/>
        <w:tab w:val="right" w:leader="dot" w:pos="9346"/>
      </w:tabs>
      <w:spacing w:after="120"/>
      <w:ind w:left="1728" w:right="720"/>
    </w:pPr>
    <w:rPr>
      <w:rFonts w:ascii="Segoe UI Historic" w:hAnsi="Segoe UI Historic"/>
    </w:rPr>
  </w:style>
  <w:style w:type="paragraph" w:customStyle="1" w:styleId="Notes-Hanging">
    <w:name w:val="Notes - Hanging"/>
    <w:basedOn w:val="Notes"/>
    <w:next w:val="Notes"/>
    <w:qFormat/>
    <w:rsid w:val="00594672"/>
    <w:pPr>
      <w:ind w:left="432" w:hanging="432"/>
    </w:pPr>
  </w:style>
  <w:style w:type="character" w:styleId="FootnoteReference">
    <w:name w:val="footnote reference"/>
    <w:uiPriority w:val="99"/>
    <w:rsid w:val="00F74A90"/>
    <w:rPr>
      <w:b/>
      <w:vertAlign w:val="superscript"/>
    </w:rPr>
  </w:style>
  <w:style w:type="paragraph" w:customStyle="1" w:styleId="JuryInst2">
    <w:name w:val="JuryInst2"/>
    <w:basedOn w:val="JuryInst1"/>
    <w:next w:val="JuryInstructionText"/>
    <w:rsid w:val="00B75859"/>
    <w:pPr>
      <w:keepLines/>
      <w:numPr>
        <w:ilvl w:val="1"/>
      </w:numPr>
      <w:spacing w:before="0"/>
      <w:jc w:val="left"/>
      <w:outlineLvl w:val="1"/>
    </w:pPr>
    <w:rPr>
      <w:smallCaps w:val="0"/>
      <w:spacing w:val="12"/>
    </w:rPr>
  </w:style>
  <w:style w:type="paragraph" w:customStyle="1" w:styleId="JuryInstructionText">
    <w:name w:val="Jury Instruction Text"/>
    <w:basedOn w:val="Normal"/>
    <w:qFormat/>
    <w:rsid w:val="004848CB"/>
    <w:pPr>
      <w:spacing w:after="160" w:line="400" w:lineRule="exact"/>
    </w:pPr>
    <w:rPr>
      <w:rFonts w:ascii="Segoe UI Historic" w:eastAsia="Calibri" w:hAnsi="Segoe UI Historic"/>
      <w:sz w:val="28"/>
      <w:szCs w:val="28"/>
    </w:rPr>
  </w:style>
  <w:style w:type="paragraph" w:customStyle="1" w:styleId="JuryInstructionElements">
    <w:name w:val="Jury Instruction Elements"/>
    <w:basedOn w:val="JuryInstructionText"/>
    <w:qFormat/>
    <w:rsid w:val="005446C0"/>
    <w:pPr>
      <w:spacing w:after="120" w:line="340" w:lineRule="exact"/>
      <w:ind w:left="864" w:right="432" w:hanging="360"/>
    </w:pPr>
  </w:style>
  <w:style w:type="paragraph" w:customStyle="1" w:styleId="JuryInst1">
    <w:name w:val="JuryInst1"/>
    <w:basedOn w:val="JuryInstructionText"/>
    <w:next w:val="JuryInstructionText"/>
    <w:rsid w:val="00B75859"/>
    <w:pPr>
      <w:keepNext/>
      <w:numPr>
        <w:numId w:val="2"/>
      </w:numPr>
      <w:spacing w:before="80"/>
      <w:jc w:val="center"/>
      <w:outlineLvl w:val="0"/>
    </w:pPr>
    <w:rPr>
      <w:b/>
      <w:smallCaps/>
      <w:spacing w:val="20"/>
      <w:szCs w:val="20"/>
    </w:rPr>
  </w:style>
  <w:style w:type="paragraph" w:customStyle="1" w:styleId="JuryInst3">
    <w:name w:val="JuryInst3"/>
    <w:basedOn w:val="JuryInstructionText"/>
    <w:next w:val="JuryInstructionText"/>
    <w:rsid w:val="00FD6881"/>
    <w:pPr>
      <w:keepNext/>
      <w:keepLines/>
      <w:numPr>
        <w:ilvl w:val="2"/>
        <w:numId w:val="2"/>
      </w:numPr>
      <w:snapToGrid w:val="0"/>
      <w:outlineLvl w:val="2"/>
    </w:pPr>
    <w:rPr>
      <w:b/>
    </w:rPr>
  </w:style>
  <w:style w:type="paragraph" w:customStyle="1" w:styleId="JuryInst4">
    <w:name w:val="JuryInst4"/>
    <w:basedOn w:val="JuryInst3"/>
    <w:next w:val="JuryInstructionText"/>
    <w:rsid w:val="00BF08B5"/>
    <w:pPr>
      <w:numPr>
        <w:ilvl w:val="3"/>
      </w:numPr>
      <w:outlineLvl w:val="3"/>
    </w:pPr>
  </w:style>
  <w:style w:type="paragraph" w:customStyle="1" w:styleId="JuryInst5">
    <w:name w:val="JuryInst5"/>
    <w:basedOn w:val="JuryInst4"/>
    <w:next w:val="JuryInstructionText"/>
    <w:rsid w:val="00BF08B5"/>
    <w:pPr>
      <w:numPr>
        <w:ilvl w:val="4"/>
      </w:numPr>
      <w:spacing w:after="120"/>
      <w:outlineLvl w:val="4"/>
    </w:pPr>
  </w:style>
  <w:style w:type="paragraph" w:customStyle="1" w:styleId="JuryInst6">
    <w:name w:val="JuryInst6"/>
    <w:basedOn w:val="JuryInst5"/>
    <w:next w:val="JuryInstructionText"/>
    <w:rsid w:val="00BF08B5"/>
    <w:pPr>
      <w:numPr>
        <w:ilvl w:val="5"/>
      </w:numPr>
      <w:outlineLvl w:val="5"/>
    </w:pPr>
  </w:style>
  <w:style w:type="paragraph" w:customStyle="1" w:styleId="JuryInstructionBullets">
    <w:name w:val="Jury Instruction Bullets"/>
    <w:basedOn w:val="JuryInstructionElements"/>
    <w:qFormat/>
    <w:rsid w:val="005446C0"/>
    <w:pPr>
      <w:numPr>
        <w:numId w:val="1"/>
      </w:numPr>
      <w:ind w:left="864"/>
    </w:pPr>
  </w:style>
  <w:style w:type="paragraph" w:customStyle="1" w:styleId="JuryInstructionIndent">
    <w:name w:val="Jury Instruction Indent"/>
    <w:basedOn w:val="JuryInstructionText"/>
    <w:next w:val="JuryInstructionText"/>
    <w:qFormat/>
    <w:rsid w:val="00016CA0"/>
    <w:pPr>
      <w:ind w:left="432"/>
    </w:pPr>
  </w:style>
  <w:style w:type="paragraph" w:styleId="TOC6">
    <w:name w:val="toc 6"/>
    <w:basedOn w:val="Normal"/>
    <w:next w:val="Normal"/>
    <w:autoRedefine/>
    <w:uiPriority w:val="39"/>
    <w:unhideWhenUsed/>
    <w:rsid w:val="008733AA"/>
    <w:pPr>
      <w:tabs>
        <w:tab w:val="left" w:pos="2592"/>
        <w:tab w:val="right" w:leader="dot" w:pos="9346"/>
      </w:tabs>
      <w:spacing w:after="120"/>
      <w:ind w:left="2160" w:right="720"/>
    </w:pPr>
    <w:rPr>
      <w:rFonts w:ascii="Segoe UI Historic" w:hAnsi="Segoe UI Histor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</dc:creator>
  <cp:keywords/>
  <dc:description/>
  <cp:lastModifiedBy>Karmen Chong</cp:lastModifiedBy>
  <cp:revision>2</cp:revision>
  <dcterms:created xsi:type="dcterms:W3CDTF">2023-11-13T18:36:00Z</dcterms:created>
  <dcterms:modified xsi:type="dcterms:W3CDTF">2023-11-13T18:36:00Z</dcterms:modified>
</cp:coreProperties>
</file>