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551B" w14:textId="68C7AAE3" w:rsidR="00720E2B" w:rsidRPr="00720E2B" w:rsidRDefault="00720E2B" w:rsidP="00720E2B">
      <w:pPr>
        <w:pStyle w:val="JuryInstructionText"/>
        <w:jc w:val="right"/>
        <w:rPr>
          <w:i/>
          <w:iCs/>
        </w:rPr>
      </w:pPr>
      <w:r w:rsidRPr="00720E2B">
        <w:rPr>
          <w:i/>
          <w:iCs/>
        </w:rPr>
        <w:t xml:space="preserve">Publication Date: </w:t>
      </w:r>
      <w:r w:rsidR="008D1D52">
        <w:rPr>
          <w:i/>
          <w:iCs/>
        </w:rPr>
        <w:t>March 11, 2025</w:t>
      </w:r>
    </w:p>
    <w:p w14:paraId="3FC00C86" w14:textId="7B443A6B" w:rsidR="000C24D3" w:rsidRPr="00F56CC7" w:rsidRDefault="00712A3E" w:rsidP="00712A3E">
      <w:pPr>
        <w:pStyle w:val="JuryInst1"/>
      </w:pPr>
      <w:r w:rsidRPr="00F56CC7">
        <w:t xml:space="preserve">General Negligence </w:t>
      </w:r>
      <w:r>
        <w:t>a</w:t>
      </w:r>
      <w:r w:rsidRPr="00F56CC7">
        <w:t>nd Causation</w:t>
      </w:r>
    </w:p>
    <w:p w14:paraId="45AD4679" w14:textId="327DBA81" w:rsidR="000C24D3" w:rsidRPr="00D60E1D" w:rsidRDefault="00D60E1D" w:rsidP="00712A3E">
      <w:pPr>
        <w:pStyle w:val="JuryInst2"/>
      </w:pPr>
      <w:r w:rsidRPr="00D60E1D">
        <w:t>Negligence Resulting In Personal Injury</w:t>
      </w:r>
    </w:p>
    <w:p w14:paraId="237568F9" w14:textId="47753F41" w:rsidR="000C24D3" w:rsidRPr="00CD1FA5" w:rsidRDefault="000C24D3" w:rsidP="00F56CC7">
      <w:pPr>
        <w:pStyle w:val="JuryInstructionText"/>
      </w:pPr>
      <w:r w:rsidRPr="00CD1FA5">
        <w:t>PLF claims that DFT was negligent in [explain conduct at issue]. The fact that PLF has filed this lawsuit is not evidence that DFT was negligent or caused</w:t>
      </w:r>
      <w:r>
        <w:t xml:space="preserve"> any</w:t>
      </w:r>
      <w:r w:rsidRPr="00CD1FA5">
        <w:t xml:space="preserve"> injuries. To prove negligence, PLF must show that the following [two] [three] things are more likely true than not true:</w:t>
      </w:r>
    </w:p>
    <w:p w14:paraId="6A48EA34" w14:textId="5AC6F965" w:rsidR="000C24D3" w:rsidRDefault="00122780" w:rsidP="00122780">
      <w:pPr>
        <w:pStyle w:val="JuryInstructionElements"/>
      </w:pPr>
      <w:r>
        <w:t>[</w:t>
      </w:r>
      <w:r w:rsidR="000C24D3">
        <w:t>&lt;</w:t>
      </w:r>
      <w:r w:rsidR="000C24D3" w:rsidRPr="00C0585B">
        <w:rPr>
          <w:b/>
          <w:bCs/>
          <w:i/>
        </w:rPr>
        <w:t>only if disputed</w:t>
      </w:r>
      <w:r w:rsidR="000C24D3" w:rsidRPr="00CD1FA5">
        <w:t>:</w:t>
      </w:r>
      <w:r>
        <w:t>&gt;</w:t>
      </w:r>
      <w:r>
        <w:tab/>
        <w:t>1.</w:t>
      </w:r>
      <w:r>
        <w:tab/>
      </w:r>
      <w:r w:rsidR="000C24D3" w:rsidRPr="00CD1FA5">
        <w:t>That DFT owed PLF a duty of care</w:t>
      </w:r>
      <w:r>
        <w:t>;]</w:t>
      </w:r>
    </w:p>
    <w:p w14:paraId="2909657F" w14:textId="041C6445" w:rsidR="00BA5BDC" w:rsidRPr="005F6081" w:rsidRDefault="00BA5BDC" w:rsidP="00BA5BDC">
      <w:pPr>
        <w:pStyle w:val="JuryInstructionElements"/>
        <w:rPr>
          <w:bCs/>
          <w:sz w:val="20"/>
          <w:szCs w:val="20"/>
        </w:rPr>
      </w:pPr>
      <w:r w:rsidRPr="005F6081">
        <w:t xml:space="preserve">1. </w:t>
      </w:r>
      <w:r>
        <w:tab/>
        <w:t xml:space="preserve">That DFT failed to use reasonable care under all of the circumstances; and </w:t>
      </w:r>
    </w:p>
    <w:p w14:paraId="0133F84A" w14:textId="28B0FCDC" w:rsidR="00BA5BDC" w:rsidRPr="005F6081" w:rsidRDefault="00BA5BDC" w:rsidP="00BA5BDC">
      <w:pPr>
        <w:pStyle w:val="JuryInstructionElements"/>
        <w:rPr>
          <w:bCs/>
          <w:sz w:val="20"/>
          <w:szCs w:val="20"/>
        </w:rPr>
      </w:pPr>
      <w:r>
        <w:t>2</w:t>
      </w:r>
      <w:r w:rsidRPr="005F6081">
        <w:t xml:space="preserve">. </w:t>
      </w:r>
      <w:r>
        <w:tab/>
        <w:t xml:space="preserve">That DFT’s failure to use reasonable care was a cause of PLF’s injury or harm; and </w:t>
      </w:r>
    </w:p>
    <w:p w14:paraId="27303B1E" w14:textId="4741ECAF" w:rsidR="00B74C91" w:rsidRPr="001B668B" w:rsidRDefault="00B74C91" w:rsidP="00E700EB">
      <w:pPr>
        <w:pStyle w:val="JuryInstructionText"/>
        <w:ind w:left="864"/>
      </w:pPr>
      <w:r w:rsidRPr="001B668B">
        <w:t>If PLF proves these things, then s/he/it must also prove the extent of the resulting injury or harm, which we call “damages.”</w:t>
      </w:r>
    </w:p>
    <w:p w14:paraId="0303D6E6" w14:textId="22A4284C" w:rsidR="000C24D3" w:rsidRDefault="006D705D" w:rsidP="002D7B7E">
      <w:pPr>
        <w:pStyle w:val="JuryInstructionText"/>
      </w:pPr>
      <w:r>
        <w:t>[</w:t>
      </w:r>
      <w:r w:rsidR="000C24D3" w:rsidRPr="00CD1FA5">
        <w:t>&lt;</w:t>
      </w:r>
      <w:r w:rsidR="000C24D3" w:rsidRPr="00C0585B">
        <w:rPr>
          <w:b/>
          <w:bCs/>
          <w:i/>
        </w:rPr>
        <w:t>if agency/respondeat superior is uncontested</w:t>
      </w:r>
      <w:r w:rsidR="000C24D3" w:rsidRPr="00CD1FA5">
        <w:t>&gt; If DFT was negligent, then you must find that his employer, DFT #2, was negligent as well. Likewise, if DFT was not negligent, you must find that DFT #2 was not negligent. For that reason, the verdict slip does not include any questions that specifically refer to DFT #2.</w:t>
      </w:r>
      <w:r>
        <w:t>]</w:t>
      </w:r>
    </w:p>
    <w:p w14:paraId="4557DB78" w14:textId="4BCC3EBB" w:rsidR="000C24D3" w:rsidRDefault="000C24D3" w:rsidP="002D7B7E">
      <w:pPr>
        <w:pStyle w:val="JuryInstructionText"/>
      </w:pPr>
      <w:r w:rsidRPr="00CD1FA5">
        <w:t>I will now describe each of these things in more detail</w:t>
      </w:r>
      <w:r w:rsidR="00C92CFE">
        <w:t xml:space="preserve">. </w:t>
      </w:r>
    </w:p>
    <w:p w14:paraId="3C14A4F3" w14:textId="28E610E7" w:rsidR="000C24D3" w:rsidRPr="00D60E1D" w:rsidRDefault="00D60E1D" w:rsidP="00712A3E">
      <w:pPr>
        <w:pStyle w:val="JuryInst3"/>
      </w:pPr>
      <w:r w:rsidRPr="00D60E1D">
        <w:lastRenderedPageBreak/>
        <w:t xml:space="preserve">Duty </w:t>
      </w:r>
      <w:r w:rsidR="000C24D3" w:rsidRPr="00D60E1D">
        <w:t>&lt;</w:t>
      </w:r>
      <w:r w:rsidR="000C24D3" w:rsidRPr="006D705D">
        <w:rPr>
          <w:i/>
          <w:iCs/>
        </w:rPr>
        <w:t>Only If Disputed</w:t>
      </w:r>
      <w:r w:rsidR="000C24D3" w:rsidRPr="00D60E1D">
        <w:t>&gt;</w:t>
      </w:r>
    </w:p>
    <w:p w14:paraId="7F08CC59" w14:textId="3ECAC91F" w:rsidR="000C24D3" w:rsidRPr="00CD1FA5" w:rsidRDefault="000C24D3" w:rsidP="002D7B7E">
      <w:pPr>
        <w:pStyle w:val="JuryInstructionText"/>
      </w:pPr>
      <w:r w:rsidRPr="00CD1FA5">
        <w:t>First, PLF must prove that DFT owed him/her a responsibility</w:t>
      </w:r>
      <w:r>
        <w:rPr>
          <w:rStyle w:val="FootnoteReference"/>
          <w:rFonts w:eastAsia="Quattrocento Sans" w:cs="Segoe UI Historic"/>
          <w:color w:val="000000"/>
        </w:rPr>
        <w:footnoteReference w:id="2"/>
      </w:r>
      <w:r w:rsidRPr="00CD1FA5">
        <w:t xml:space="preserve"> to be reasonably careful to avoid any predictable</w:t>
      </w:r>
      <w:r>
        <w:rPr>
          <w:rStyle w:val="FootnoteReference"/>
          <w:rFonts w:eastAsia="Quattrocento Sans" w:cs="Segoe UI Historic"/>
          <w:color w:val="000000"/>
        </w:rPr>
        <w:footnoteReference w:id="3"/>
      </w:r>
      <w:r w:rsidRPr="00CD1FA5">
        <w:t xml:space="preserve"> injuries. To do this, PLF must prove that the following things are more likely true than not true</w:t>
      </w:r>
      <w:r>
        <w:t>:</w:t>
      </w:r>
    </w:p>
    <w:p w14:paraId="0F947CE1" w14:textId="58C4EA93" w:rsidR="000C24D3" w:rsidRPr="00CD1FA5" w:rsidRDefault="000C24D3" w:rsidP="002D7B7E">
      <w:pPr>
        <w:pStyle w:val="JuryInstructionText"/>
      </w:pPr>
      <w:r>
        <w:t>&lt;</w:t>
      </w:r>
      <w:r w:rsidRPr="00C0585B">
        <w:rPr>
          <w:b/>
          <w:bCs/>
          <w:i/>
        </w:rPr>
        <w:t>insert case-specific facts needed to prove that DFT owed PLF a duty</w:t>
      </w:r>
      <w:r>
        <w:t>&gt;</w:t>
      </w:r>
      <w:r w:rsidRPr="00CD1FA5">
        <w:t>.</w:t>
      </w:r>
      <w:r w:rsidRPr="00CD1FA5">
        <w:rPr>
          <w:b/>
          <w:vertAlign w:val="superscript"/>
        </w:rPr>
        <w:footnoteReference w:id="4"/>
      </w:r>
    </w:p>
    <w:p w14:paraId="4E8771AB" w14:textId="77777777" w:rsidR="000C24D3" w:rsidRPr="00CD1FA5" w:rsidRDefault="000C24D3" w:rsidP="002D7B7E">
      <w:pPr>
        <w:pStyle w:val="JuryInstructionText"/>
      </w:pPr>
      <w:r w:rsidRPr="00CD1FA5">
        <w:lastRenderedPageBreak/>
        <w:t xml:space="preserve">If PLF proves this fact [these facts], then DFT </w:t>
      </w:r>
      <w:r>
        <w:t>had a responsibility</w:t>
      </w:r>
      <w:r w:rsidRPr="00CD1FA5">
        <w:t xml:space="preserve"> to use reasonable care to avoid </w:t>
      </w:r>
      <w:r>
        <w:t>predictable</w:t>
      </w:r>
      <w:r w:rsidRPr="00CD1FA5">
        <w:t xml:space="preserve"> injury to </w:t>
      </w:r>
      <w:r>
        <w:t>PLF</w:t>
      </w:r>
      <w:r w:rsidRPr="00CD1FA5">
        <w:t>.</w:t>
      </w:r>
    </w:p>
    <w:p w14:paraId="3D209439" w14:textId="25710B27" w:rsidR="000C24D3" w:rsidRPr="00E41395" w:rsidRDefault="000C24D3" w:rsidP="00712A3E">
      <w:pPr>
        <w:pStyle w:val="JuryInst3"/>
      </w:pPr>
      <w:r w:rsidRPr="00834D0E">
        <w:t>Failure To Use Reasonable Care</w:t>
      </w:r>
    </w:p>
    <w:p w14:paraId="25E32626" w14:textId="0FEA47D5" w:rsidR="000C24D3" w:rsidRPr="00CD1FA5" w:rsidRDefault="000C24D3" w:rsidP="002D7B7E">
      <w:pPr>
        <w:pStyle w:val="JuryInstructionText"/>
      </w:pPr>
      <w:r w:rsidRPr="00CD1FA5">
        <w:t>First [</w:t>
      </w:r>
      <w:r w:rsidR="00DD418D">
        <w:t>S</w:t>
      </w:r>
      <w:r w:rsidRPr="00CD1FA5">
        <w:t>econd], PLF must prove that DFT more likely than not failed to use reasonable care under the circumstances. That failure might have occurred through action or inaction. You must consider all the evidence and then make a judgment about what a reasonably careful [person] [company] would have done.</w:t>
      </w:r>
    </w:p>
    <w:p w14:paraId="163B58AC" w14:textId="61B89AB8" w:rsidR="000C24D3" w:rsidRPr="00CD1FA5" w:rsidRDefault="000C24D3" w:rsidP="002D7B7E">
      <w:pPr>
        <w:pStyle w:val="JuryInstructionText"/>
      </w:pPr>
      <w:r w:rsidRPr="00CD1FA5">
        <w:t>You should consider what DFT did or failed to do. Then you should consider all of the relevant circumstances</w:t>
      </w:r>
      <w:r w:rsidR="00C92CFE">
        <w:t xml:space="preserve">. </w:t>
      </w:r>
      <w:r w:rsidRPr="00CD1FA5">
        <w:t xml:space="preserve">For example, you may </w:t>
      </w:r>
      <w:r w:rsidR="00F07A2B">
        <w:t>consider</w:t>
      </w:r>
      <w:r w:rsidRPr="00CD1FA5">
        <w:t xml:space="preserve"> the following:</w:t>
      </w:r>
    </w:p>
    <w:p w14:paraId="7DC5824B" w14:textId="77777777" w:rsidR="000C24D3" w:rsidRPr="002D7B7E" w:rsidRDefault="000C24D3" w:rsidP="002D7B7E">
      <w:pPr>
        <w:pStyle w:val="JuryInstructionBullets"/>
      </w:pPr>
      <w:r w:rsidRPr="002D7B7E">
        <w:t>Where, when and how did the incident occur?</w:t>
      </w:r>
    </w:p>
    <w:p w14:paraId="1D245FD9" w14:textId="77777777" w:rsidR="000C24D3" w:rsidRPr="002D7B7E" w:rsidRDefault="000C24D3" w:rsidP="002D7B7E">
      <w:pPr>
        <w:pStyle w:val="JuryInstructionBullets"/>
      </w:pPr>
      <w:r w:rsidRPr="002D7B7E">
        <w:t>How likely was it that people could be injured?</w:t>
      </w:r>
    </w:p>
    <w:p w14:paraId="177DD131" w14:textId="77777777" w:rsidR="000C24D3" w:rsidRPr="002D7B7E" w:rsidRDefault="000C24D3" w:rsidP="002D7B7E">
      <w:pPr>
        <w:pStyle w:val="JuryInstructionBullets"/>
      </w:pPr>
      <w:r w:rsidRPr="002D7B7E">
        <w:t>How serious was the potential injury?</w:t>
      </w:r>
    </w:p>
    <w:p w14:paraId="50CEF19B" w14:textId="77777777" w:rsidR="000C24D3" w:rsidRPr="002D7B7E" w:rsidRDefault="000C24D3" w:rsidP="002D7B7E">
      <w:pPr>
        <w:pStyle w:val="JuryInstructionBullets"/>
      </w:pPr>
      <w:r w:rsidRPr="002D7B7E">
        <w:t>How obvious should the risk have been to DFT?</w:t>
      </w:r>
    </w:p>
    <w:p w14:paraId="2E17B8FA" w14:textId="356A5C36" w:rsidR="000C24D3" w:rsidRPr="002D7B7E" w:rsidRDefault="000C24D3" w:rsidP="002D7B7E">
      <w:pPr>
        <w:pStyle w:val="JuryInstructionBullets"/>
      </w:pPr>
      <w:r w:rsidRPr="002D7B7E">
        <w:t>[</w:t>
      </w:r>
      <w:r w:rsidR="006D705D">
        <w:t>&lt;</w:t>
      </w:r>
      <w:r w:rsidR="006D705D">
        <w:rPr>
          <w:b/>
          <w:bCs/>
          <w:i/>
          <w:iCs/>
        </w:rPr>
        <w:t xml:space="preserve">if </w:t>
      </w:r>
      <w:r w:rsidRPr="006D705D">
        <w:rPr>
          <w:b/>
          <w:bCs/>
          <w:i/>
          <w:iCs/>
        </w:rPr>
        <w:t>applicable</w:t>
      </w:r>
      <w:r w:rsidR="006D705D">
        <w:t>&gt;</w:t>
      </w:r>
      <w:r w:rsidRPr="002D7B7E">
        <w:t xml:space="preserve"> Was there any emergency?]</w:t>
      </w:r>
    </w:p>
    <w:p w14:paraId="5F201759" w14:textId="77777777" w:rsidR="000C24D3" w:rsidRPr="002D7B7E" w:rsidRDefault="000C24D3" w:rsidP="002D7B7E">
      <w:pPr>
        <w:pStyle w:val="JuryInstructionBullets"/>
      </w:pPr>
      <w:r w:rsidRPr="002D7B7E">
        <w:t xml:space="preserve">How much [would it have cost] [of a burden would it have been] to avoid the injury? </w:t>
      </w:r>
    </w:p>
    <w:p w14:paraId="6D2CAAF0" w14:textId="21667EBD" w:rsidR="000C24D3" w:rsidRDefault="000C24D3" w:rsidP="002D7B7E">
      <w:pPr>
        <w:pStyle w:val="JuryInstructionText"/>
      </w:pPr>
      <w:r w:rsidRPr="00CD1FA5">
        <w:t xml:space="preserve">Then you make a judgment. The law requires a [company] [person] to use reasonable care to avoid predictable [injuries to people] [damage to </w:t>
      </w:r>
      <w:r w:rsidRPr="00CD1FA5">
        <w:lastRenderedPageBreak/>
        <w:t>property].</w:t>
      </w:r>
      <w:r w:rsidRPr="00CD1FA5">
        <w:rPr>
          <w:b/>
          <w:vertAlign w:val="superscript"/>
        </w:rPr>
        <w:footnoteReference w:id="5"/>
      </w:r>
      <w:r w:rsidRPr="00CD1FA5">
        <w:t xml:space="preserve"> We ask you, the jury, to consider what a reasonable and careful [company] [person] would have done under these circumstances. What you consider reasonable may vary depending on the circumstances of this case. </w:t>
      </w:r>
      <w:r>
        <w:t>A person should take greater precautions</w:t>
      </w:r>
      <w:r w:rsidRPr="00CD1FA5">
        <w:t xml:space="preserve"> as the risk of harm increases. You should </w:t>
      </w:r>
      <w:r>
        <w:t xml:space="preserve">also </w:t>
      </w:r>
      <w:r w:rsidRPr="00CD1FA5">
        <w:t>ask yourself</w:t>
      </w:r>
      <w:r>
        <w:t xml:space="preserve">: </w:t>
      </w:r>
      <w:r w:rsidR="008E1689">
        <w:t>“</w:t>
      </w:r>
      <w:r>
        <w:t>Did DFT actually know about any risks?</w:t>
      </w:r>
      <w:r w:rsidR="008E1689">
        <w:t>”</w:t>
      </w:r>
      <w:r w:rsidR="000B7DB0">
        <w:t xml:space="preserve"> </w:t>
      </w:r>
      <w:r>
        <w:t xml:space="preserve">And, if not: </w:t>
      </w:r>
      <w:r w:rsidR="008E1689">
        <w:t>“</w:t>
      </w:r>
      <w:r w:rsidRPr="00CD1FA5">
        <w:t>Should s/he/it have known about them?</w:t>
      </w:r>
      <w:r w:rsidR="008E1689">
        <w:t>”</w:t>
      </w:r>
      <w:r w:rsidRPr="00CD1FA5">
        <w:t xml:space="preserve">   </w:t>
      </w:r>
    </w:p>
    <w:p w14:paraId="1FFA15AE" w14:textId="4AB92206" w:rsidR="000733B8" w:rsidRDefault="000733B8" w:rsidP="000733B8">
      <w:pPr>
        <w:pStyle w:val="JuryInstructionText"/>
      </w:pPr>
      <w:r>
        <w:t>[&lt;</w:t>
      </w:r>
      <w:r>
        <w:rPr>
          <w:b/>
          <w:bCs/>
          <w:i/>
          <w:iCs/>
        </w:rPr>
        <w:t>Child’s Standard of Care—If Applicable</w:t>
      </w:r>
      <w:r>
        <w:t xml:space="preserve">&gt; </w:t>
      </w:r>
      <w:r w:rsidRPr="00D81FD2">
        <w:t>Bear in mind that</w:t>
      </w:r>
      <w:r w:rsidRPr="00CD1FA5">
        <w:rPr>
          <w:b/>
        </w:rPr>
        <w:t xml:space="preserve"> </w:t>
      </w:r>
      <w:r>
        <w:t>DFT</w:t>
      </w:r>
      <w:r w:rsidRPr="00CD1FA5">
        <w:t xml:space="preserve"> was a child at the time of the events. Therefore, you must not judge his/her negligence as though s/he were an adult. </w:t>
      </w:r>
      <w:r>
        <w:t>DFT</w:t>
      </w:r>
      <w:r w:rsidRPr="00CD1FA5">
        <w:t xml:space="preserve"> had a duty to use the degree of care that you, as the jury, would reasonably expect from a child of his/her age, intelligence and experience. So, when you answer </w:t>
      </w:r>
      <w:r>
        <w:t>Q</w:t>
      </w:r>
      <w:r w:rsidRPr="00CD1FA5">
        <w:t>uestion</w:t>
      </w:r>
      <w:r>
        <w:t xml:space="preserve"> </w:t>
      </w:r>
      <w:r w:rsidRPr="00CD1FA5">
        <w:t>__, you should ask how you would expect a child of similar age, intelligence and experience to act in the same circumstances.</w:t>
      </w:r>
      <w:r w:rsidRPr="00CD1FA5">
        <w:rPr>
          <w:b/>
          <w:vertAlign w:val="superscript"/>
        </w:rPr>
        <w:footnoteReference w:id="6"/>
      </w:r>
      <w:r>
        <w:t>]</w:t>
      </w:r>
    </w:p>
    <w:p w14:paraId="65A6B1D2" w14:textId="28D138F6" w:rsidR="000C24D3" w:rsidRPr="00CD1FA5" w:rsidRDefault="006D705D" w:rsidP="002D7B7E">
      <w:pPr>
        <w:pStyle w:val="JuryInstructionText"/>
      </w:pPr>
      <w:r>
        <w:t>[</w:t>
      </w:r>
      <w:r w:rsidR="000C24D3" w:rsidRPr="00CD1FA5">
        <w:t>&lt;</w:t>
      </w:r>
      <w:r w:rsidR="000C24D3" w:rsidRPr="00C21C16">
        <w:rPr>
          <w:b/>
          <w:bCs/>
          <w:i/>
        </w:rPr>
        <w:t>if there is evidence of prior similar incidents</w:t>
      </w:r>
      <w:r w:rsidR="000C24D3" w:rsidRPr="00CD1FA5">
        <w:t xml:space="preserve">&gt; PLF presented evidence about earlier incidents that s/he claims were similar to the events in this case. </w:t>
      </w:r>
      <w:r w:rsidR="000B7DB0">
        <w:t>Y</w:t>
      </w:r>
      <w:r w:rsidR="000C24D3" w:rsidRPr="00CD1FA5">
        <w:t xml:space="preserve">ou may consider this evidence only to decide whether DFT knew - or should have known - about any dangers or risks that existed in </w:t>
      </w:r>
      <w:r w:rsidR="000C24D3" w:rsidRPr="00CD1FA5">
        <w:rPr>
          <w:b/>
        </w:rPr>
        <w:t xml:space="preserve">this </w:t>
      </w:r>
      <w:r w:rsidR="000C24D3" w:rsidRPr="00CD1FA5">
        <w:t>case. And you may consider this evidence only if PLF has proved that the other incident(s) was (were) substantially similar to the incident in this case. The circumstances don’t have to be identical, but they must be substantially similar.</w:t>
      </w:r>
      <w:r w:rsidR="000C24D3" w:rsidRPr="00CD1FA5">
        <w:rPr>
          <w:b/>
          <w:vertAlign w:val="superscript"/>
        </w:rPr>
        <w:footnoteReference w:id="7"/>
      </w:r>
      <w:r w:rsidR="000C24D3" w:rsidRPr="00CD1FA5">
        <w:t xml:space="preserve"> </w:t>
      </w:r>
      <w:r w:rsidR="000B7DB0">
        <w:t>I</w:t>
      </w:r>
      <w:r w:rsidR="000C24D3" w:rsidRPr="00CD1FA5">
        <w:t xml:space="preserve">f you find that the earlier incident(s) </w:t>
      </w:r>
      <w:r w:rsidR="000C24D3" w:rsidRPr="003719B3">
        <w:t>was (were)</w:t>
      </w:r>
      <w:r w:rsidR="000C24D3" w:rsidRPr="00CD1FA5">
        <w:t xml:space="preserve"> substantially </w:t>
      </w:r>
      <w:r w:rsidR="000C24D3" w:rsidRPr="00CD1FA5">
        <w:lastRenderedPageBreak/>
        <w:t>similar, then you may consider it/them, along with all the other evidence, to determine whether DFT knew or should have known about the risks that PLF claims in this case.</w:t>
      </w:r>
      <w:r>
        <w:t>]</w:t>
      </w:r>
    </w:p>
    <w:p w14:paraId="0074E92E" w14:textId="4EFA5D74" w:rsidR="000C24D3" w:rsidRPr="00CD1FA5" w:rsidRDefault="006D705D" w:rsidP="002D7B7E">
      <w:pPr>
        <w:pStyle w:val="JuryInstructionText"/>
      </w:pPr>
      <w:r>
        <w:rPr>
          <w:iCs/>
        </w:rPr>
        <w:t>[</w:t>
      </w:r>
      <w:r w:rsidR="000C24D3" w:rsidRPr="00CD1FA5">
        <w:rPr>
          <w:i/>
        </w:rPr>
        <w:t>&lt;</w:t>
      </w:r>
      <w:r w:rsidR="000C24D3" w:rsidRPr="00C21C16">
        <w:rPr>
          <w:b/>
          <w:bCs/>
          <w:i/>
        </w:rPr>
        <w:t>if plaintiff has evidence triggering Res Ipsa Loquitur</w:t>
      </w:r>
      <w:r w:rsidR="000C24D3" w:rsidRPr="00CD1FA5">
        <w:rPr>
          <w:i/>
        </w:rPr>
        <w:t>&gt;</w:t>
      </w:r>
      <w:r>
        <w:rPr>
          <w:i/>
        </w:rPr>
        <w:t xml:space="preserve"> </w:t>
      </w:r>
      <w:r w:rsidR="000C24D3" w:rsidRPr="00CD1FA5">
        <w:t xml:space="preserve">PLF claims that this incident would not have happened without DFT’s negligence. PLF is asking you to conclude that DFT was negligent </w:t>
      </w:r>
      <w:r w:rsidR="00F07A2B">
        <w:t>just</w:t>
      </w:r>
      <w:r w:rsidR="000C24D3" w:rsidRPr="00CD1FA5">
        <w:t xml:space="preserve"> because the incident occurred. In order for you to draw that conclusion, PLF must </w:t>
      </w:r>
      <w:r w:rsidR="00F07A2B">
        <w:t>prove</w:t>
      </w:r>
      <w:r w:rsidR="000C24D3" w:rsidRPr="00CD1FA5">
        <w:t xml:space="preserve"> that three things are more likely true than not true:</w:t>
      </w:r>
      <w:r w:rsidR="000C24D3" w:rsidRPr="00CD1FA5">
        <w:rPr>
          <w:b/>
          <w:vertAlign w:val="superscript"/>
        </w:rPr>
        <w:footnoteReference w:id="8"/>
      </w:r>
    </w:p>
    <w:p w14:paraId="202229DC" w14:textId="77777777" w:rsidR="000C24D3" w:rsidRPr="00CD1FA5" w:rsidRDefault="000C24D3" w:rsidP="002D7B7E">
      <w:pPr>
        <w:pStyle w:val="JuryInstructionBullets"/>
      </w:pPr>
      <w:r w:rsidRPr="00CD1FA5">
        <w:t>This kind of incident typically does not occur unless someone is negligent;</w:t>
      </w:r>
    </w:p>
    <w:p w14:paraId="59AC8D7A" w14:textId="77777777" w:rsidR="000C24D3" w:rsidRPr="00CD1FA5" w:rsidRDefault="000C24D3" w:rsidP="002D7B7E">
      <w:pPr>
        <w:pStyle w:val="JuryInstructionBullets"/>
      </w:pPr>
      <w:r w:rsidRPr="00CD1FA5">
        <w:t>The evidence rules out other causes for the incident, including PLF’s conduct and acts of people other than DFT;</w:t>
      </w:r>
      <w:r>
        <w:t xml:space="preserve"> and</w:t>
      </w:r>
    </w:p>
    <w:p w14:paraId="4BBC5B45" w14:textId="77777777" w:rsidR="000C24D3" w:rsidRPr="00CD1FA5" w:rsidRDefault="000C24D3" w:rsidP="002D7B7E">
      <w:pPr>
        <w:pStyle w:val="JuryInstructionBullets"/>
      </w:pPr>
      <w:r w:rsidRPr="00CD1FA5">
        <w:t>DFT was acting (or failing to act) within the scope of his/her responsibility to PLF.</w:t>
      </w:r>
    </w:p>
    <w:p w14:paraId="1406556A" w14:textId="7F8C5C3D" w:rsidR="000C24D3" w:rsidRPr="00CD1FA5" w:rsidRDefault="000C24D3" w:rsidP="002D7B7E">
      <w:pPr>
        <w:pStyle w:val="JuryInstructionText"/>
      </w:pPr>
      <w:r w:rsidRPr="00CD1FA5">
        <w:t>If PLF has proven each of these three things, you may conclude from your own common knowledge [or expert evidence] that the mere happening of the incident in this case shows that DFT’s negligence caused PLF’s injuries or harm.</w:t>
      </w:r>
      <w:r w:rsidRPr="00CD1FA5">
        <w:rPr>
          <w:b/>
          <w:vertAlign w:val="superscript"/>
        </w:rPr>
        <w:footnoteReference w:id="9"/>
      </w:r>
      <w:r w:rsidRPr="00CD1FA5">
        <w:t xml:space="preserve"> However, you do not have to draw that conclusion. As always, the law allows you to draw reasonable conclusions from the evidence, but doesn’t require you to draw any particular conclusions.</w:t>
      </w:r>
      <w:r w:rsidRPr="00CD1FA5">
        <w:rPr>
          <w:b/>
          <w:vertAlign w:val="superscript"/>
        </w:rPr>
        <w:footnoteReference w:id="10"/>
      </w:r>
      <w:r w:rsidR="006D705D">
        <w:t>]</w:t>
      </w:r>
    </w:p>
    <w:p w14:paraId="520773D6" w14:textId="03A5FA8D" w:rsidR="000C24D3" w:rsidRPr="00D60E1D" w:rsidRDefault="000C24D3" w:rsidP="002D7B7E">
      <w:pPr>
        <w:pStyle w:val="JuryInstructionText"/>
      </w:pPr>
      <w:r w:rsidRPr="00D60E1D">
        <w:lastRenderedPageBreak/>
        <w:t>&lt;</w:t>
      </w:r>
      <w:r w:rsidRPr="00C21C16">
        <w:rPr>
          <w:b/>
          <w:bCs/>
          <w:i/>
        </w:rPr>
        <w:t xml:space="preserve">Insert If Applicable– Violation </w:t>
      </w:r>
      <w:r w:rsidR="005446E2" w:rsidRPr="00C21C16">
        <w:rPr>
          <w:b/>
          <w:bCs/>
          <w:i/>
        </w:rPr>
        <w:t>of</w:t>
      </w:r>
      <w:r w:rsidRPr="00C21C16">
        <w:rPr>
          <w:b/>
          <w:bCs/>
          <w:i/>
        </w:rPr>
        <w:t xml:space="preserve"> a Statute </w:t>
      </w:r>
      <w:r w:rsidR="00C21C16">
        <w:rPr>
          <w:b/>
          <w:bCs/>
          <w:i/>
        </w:rPr>
        <w:t>o</w:t>
      </w:r>
      <w:r w:rsidRPr="00C21C16">
        <w:rPr>
          <w:b/>
          <w:bCs/>
          <w:i/>
        </w:rPr>
        <w:t>r Regulation</w:t>
      </w:r>
      <w:r w:rsidRPr="00D60E1D">
        <w:t>&gt;</w:t>
      </w:r>
    </w:p>
    <w:p w14:paraId="02F3B8A8" w14:textId="3E07FADF" w:rsidR="000C24D3" w:rsidRPr="00CD1FA5" w:rsidRDefault="000C24D3" w:rsidP="002D7B7E">
      <w:pPr>
        <w:pStyle w:val="JuryInstructionText"/>
      </w:pPr>
      <w:r w:rsidRPr="00CD1FA5">
        <w:t xml:space="preserve">Finally, the fact that an injury occurred during the incident is not, by itself, evidence that anyone was negligent. However, you may consider </w:t>
      </w:r>
      <w:r w:rsidRPr="00CD1FA5">
        <w:rPr>
          <w:b/>
        </w:rPr>
        <w:t>how</w:t>
      </w:r>
      <w:r w:rsidRPr="00CD1FA5">
        <w:t xml:space="preserve"> the incident happened. In some cases, the facts surrounding the incident </w:t>
      </w:r>
      <w:r w:rsidRPr="00CD1FA5">
        <w:rPr>
          <w:b/>
        </w:rPr>
        <w:t>may allow</w:t>
      </w:r>
      <w:r w:rsidRPr="00CD1FA5">
        <w:t xml:space="preserve"> you to decide whether DFT was negligent.</w:t>
      </w:r>
    </w:p>
    <w:p w14:paraId="1C764603" w14:textId="5FC6A272" w:rsidR="000C24D3" w:rsidRPr="00CD1FA5" w:rsidRDefault="003956F8" w:rsidP="002D7B7E">
      <w:pPr>
        <w:pStyle w:val="JuryInstructionText"/>
      </w:pPr>
      <w:r>
        <w:t>On the verdict slip, Q</w:t>
      </w:r>
      <w:r w:rsidRPr="00CD1FA5">
        <w:t>uestion __, asks: “Was DFT negligent?”</w:t>
      </w:r>
      <w:r>
        <w:t xml:space="preserve"> </w:t>
      </w:r>
      <w:r w:rsidR="000C24D3" w:rsidRPr="00CD1FA5">
        <w:t>If you decide that DFT more likely than not failed to use reasonable care, then you answer “</w:t>
      </w:r>
      <w:r w:rsidR="005F19C4">
        <w:t>Yes</w:t>
      </w:r>
      <w:r>
        <w:t>.</w:t>
      </w:r>
      <w:r w:rsidR="000C24D3" w:rsidRPr="00CD1FA5">
        <w:t>” Otherwise, you answer “</w:t>
      </w:r>
      <w:r w:rsidR="005F19C4">
        <w:t>No</w:t>
      </w:r>
      <w:r w:rsidR="000C24D3" w:rsidRPr="00CD1FA5">
        <w:t>.” [</w:t>
      </w:r>
      <w:r>
        <w:t>&lt;</w:t>
      </w:r>
      <w:r w:rsidR="000C24D3" w:rsidRPr="003956F8">
        <w:rPr>
          <w:b/>
          <w:bCs/>
          <w:i/>
          <w:iCs/>
        </w:rPr>
        <w:t xml:space="preserve">If </w:t>
      </w:r>
      <w:r>
        <w:rPr>
          <w:b/>
          <w:bCs/>
          <w:i/>
          <w:iCs/>
        </w:rPr>
        <w:t>duty is contested</w:t>
      </w:r>
      <w:r>
        <w:t>&gt;</w:t>
      </w:r>
      <w:r w:rsidR="000C24D3" w:rsidRPr="00CD1FA5">
        <w:t xml:space="preserve"> Please note that this question includes the first two items of the negligence claim, responsibility and failure to use reasonable care]   </w:t>
      </w:r>
    </w:p>
    <w:p w14:paraId="006897F1" w14:textId="1ACCB718" w:rsidR="000C24D3" w:rsidRPr="00CD1FA5" w:rsidRDefault="000C24D3" w:rsidP="00712A3E">
      <w:pPr>
        <w:pStyle w:val="JuryInst3"/>
      </w:pPr>
      <w:r w:rsidRPr="00834D0E">
        <w:t>Employer’s</w:t>
      </w:r>
      <w:r>
        <w:t>/Principal’s</w:t>
      </w:r>
      <w:r w:rsidRPr="00834D0E">
        <w:t xml:space="preserve"> liability</w:t>
      </w:r>
    </w:p>
    <w:p w14:paraId="4799AA87" w14:textId="377080D3" w:rsidR="000C24D3" w:rsidRDefault="000C24D3" w:rsidP="002D7B7E">
      <w:pPr>
        <w:pStyle w:val="JuryInstructionText"/>
      </w:pPr>
      <w:r w:rsidRPr="00CD1FA5">
        <w:t>&lt;</w:t>
      </w:r>
      <w:r w:rsidRPr="00C21C16">
        <w:rPr>
          <w:b/>
          <w:bCs/>
          <w:i/>
        </w:rPr>
        <w:t>if agency/respondeat superior is contested</w:t>
      </w:r>
      <w:r w:rsidRPr="00CD1FA5">
        <w:t>&gt; If DFT was negligent, then you must decide whether his</w:t>
      </w:r>
      <w:r>
        <w:t>/her</w:t>
      </w:r>
      <w:r w:rsidRPr="00CD1FA5">
        <w:t xml:space="preserve"> employer</w:t>
      </w:r>
      <w:r>
        <w:t xml:space="preserve"> [insert other status]</w:t>
      </w:r>
      <w:r w:rsidRPr="00CD1FA5">
        <w:t xml:space="preserve">, DFT #2, is also liable. As an employer, DFT #2 is liable if DFT’s negligence occurred within the scope of his/her employment at the time. To decide whether DFT’s negligence occurred within the scope of his/her employment, you should consider the following questions: </w:t>
      </w:r>
    </w:p>
    <w:p w14:paraId="6E535188" w14:textId="666E0E00" w:rsidR="00243946" w:rsidRPr="005F6081" w:rsidRDefault="00243946" w:rsidP="00243946">
      <w:pPr>
        <w:pStyle w:val="JuryInstructionElements"/>
        <w:rPr>
          <w:bCs/>
          <w:sz w:val="20"/>
          <w:szCs w:val="20"/>
        </w:rPr>
      </w:pPr>
      <w:r w:rsidRPr="005F6081">
        <w:t xml:space="preserve">1. </w:t>
      </w:r>
      <w:r>
        <w:tab/>
        <w:t xml:space="preserve">Was [DFT] doing the kind of work that [DFT #2] hired him/her to perform? </w:t>
      </w:r>
    </w:p>
    <w:p w14:paraId="439E4DCF" w14:textId="52111318" w:rsidR="00243946" w:rsidRDefault="001A2A21" w:rsidP="00243946">
      <w:pPr>
        <w:pStyle w:val="JuryInstructionElements"/>
      </w:pPr>
      <w:r>
        <w:t>2</w:t>
      </w:r>
      <w:r w:rsidR="00243946" w:rsidRPr="005F6081">
        <w:t xml:space="preserve">. </w:t>
      </w:r>
      <w:r w:rsidR="00243946">
        <w:tab/>
        <w:t xml:space="preserve">Did [DFT]’s conduct occur during the hours when [and at the location where] [DFT #2] hired him/her to work? </w:t>
      </w:r>
    </w:p>
    <w:p w14:paraId="0FDB6FC2" w14:textId="60373E1B" w:rsidR="00243946" w:rsidRPr="005F6081" w:rsidRDefault="001A2A21" w:rsidP="00243946">
      <w:pPr>
        <w:pStyle w:val="JuryInstructionElements"/>
        <w:rPr>
          <w:bCs/>
          <w:sz w:val="20"/>
          <w:szCs w:val="20"/>
        </w:rPr>
      </w:pPr>
      <w:r>
        <w:t>3</w:t>
      </w:r>
      <w:r w:rsidR="00243946" w:rsidRPr="005F6081">
        <w:t xml:space="preserve">. </w:t>
      </w:r>
      <w:r w:rsidR="00243946">
        <w:tab/>
      </w:r>
      <w:r w:rsidR="00DB3442">
        <w:t>Did [DFT] act, at least in part, for the purpose of serving [DFT</w:t>
      </w:r>
      <w:r w:rsidR="00C21C16">
        <w:t xml:space="preserve"> </w:t>
      </w:r>
      <w:r w:rsidR="00DB3442">
        <w:t>#2]?</w:t>
      </w:r>
      <w:r w:rsidR="00DB3442" w:rsidRPr="00DB3442">
        <w:rPr>
          <w:rFonts w:eastAsia="Quattrocento Sans" w:cs="Segoe UI Historic"/>
          <w:color w:val="000000"/>
          <w:vertAlign w:val="superscript"/>
        </w:rPr>
        <w:t xml:space="preserve"> </w:t>
      </w:r>
      <w:r w:rsidR="00DB3442" w:rsidRPr="00F31133">
        <w:rPr>
          <w:rFonts w:eastAsia="Quattrocento Sans" w:cs="Segoe UI Historic"/>
          <w:b/>
          <w:bCs/>
          <w:color w:val="000000"/>
          <w:vertAlign w:val="superscript"/>
        </w:rPr>
        <w:footnoteReference w:id="11"/>
      </w:r>
      <w:r w:rsidR="00243946" w:rsidRPr="00F31133">
        <w:rPr>
          <w:b/>
          <w:bCs/>
        </w:rPr>
        <w:t xml:space="preserve"> </w:t>
      </w:r>
    </w:p>
    <w:p w14:paraId="45A208E9" w14:textId="132C6113" w:rsidR="000C24D3" w:rsidRDefault="003956F8" w:rsidP="002D7B7E">
      <w:pPr>
        <w:pStyle w:val="JuryInstructionText"/>
      </w:pPr>
      <w:r>
        <w:lastRenderedPageBreak/>
        <w:t>Question __ ask</w:t>
      </w:r>
      <w:r w:rsidR="000733B8">
        <w:t>s</w:t>
      </w:r>
      <w:r>
        <w:t xml:space="preserve"> you to decide whether </w:t>
      </w:r>
      <w:r w:rsidR="000C24D3" w:rsidRPr="00CD1FA5">
        <w:t>DFT’s negligence occurred within the scope of his/her employment for DFT#2</w:t>
      </w:r>
      <w:r>
        <w:t>. You should answer “Yes” or “No,” depending on what you decide.</w:t>
      </w:r>
    </w:p>
    <w:p w14:paraId="2AB98C55" w14:textId="6312F697" w:rsidR="00FA1C4E" w:rsidRDefault="00FA1C4E" w:rsidP="00FA1C4E">
      <w:pPr>
        <w:pStyle w:val="JuryInst3"/>
      </w:pPr>
      <w:r>
        <w:t>Causation</w:t>
      </w:r>
    </w:p>
    <w:p w14:paraId="5F52E7F4" w14:textId="24A47426" w:rsidR="00FA1C4E" w:rsidRDefault="00FA1C4E" w:rsidP="00FA1C4E">
      <w:pPr>
        <w:pStyle w:val="JuryInstructionText"/>
      </w:pPr>
      <w:r>
        <w:t>If you find that DFT was negligent, then you must decide whether PLF proved that, more likely than not, the defendant’s negligence caused the plaintiff’s injuries.</w:t>
      </w:r>
      <w:r>
        <w:rPr>
          <w:rStyle w:val="FootnoteReference"/>
          <w:rFonts w:cs="Segoe UI Historic"/>
        </w:rPr>
        <w:footnoteReference w:id="12"/>
      </w:r>
      <w:r>
        <w:t xml:space="preserve"> </w:t>
      </w:r>
      <w:bookmarkStart w:id="0" w:name="_Ref164841757"/>
      <w:r>
        <w:rPr>
          <w:rStyle w:val="FootnoteReference"/>
          <w:rFonts w:cs="Segoe UI Historic"/>
        </w:rPr>
        <w:footnoteReference w:id="13"/>
      </w:r>
      <w:bookmarkEnd w:id="0"/>
      <w:r>
        <w:t xml:space="preserve"> You must ask: “Would the same harm have happened without DFT’s negligence?” In other words, did the negligence make a difference to the outcome? If </w:t>
      </w:r>
      <w:r w:rsidR="00137B7E">
        <w:t>DFT’s</w:t>
      </w:r>
      <w:r>
        <w:t xml:space="preserve"> negligence had an impact on </w:t>
      </w:r>
      <w:r w:rsidR="00137B7E">
        <w:t>PLF’s</w:t>
      </w:r>
      <w:r>
        <w:t xml:space="preserve"> injuries (by causing them or by worsening them), then </w:t>
      </w:r>
      <w:r w:rsidR="00187FB6">
        <w:t xml:space="preserve">the defendant[s] </w:t>
      </w:r>
      <w:r>
        <w:t>caused those injuries. But if the negligence had no impact on PLF’s injuries</w:t>
      </w:r>
      <w:r w:rsidR="004E03F8">
        <w:t>,</w:t>
      </w:r>
      <w:r>
        <w:rPr>
          <w:rStyle w:val="FootnoteReference"/>
          <w:rFonts w:cs="Segoe UI Historic"/>
        </w:rPr>
        <w:footnoteReference w:id="14"/>
      </w:r>
      <w:r>
        <w:t xml:space="preserve"> </w:t>
      </w:r>
      <w:r w:rsidR="004E03F8">
        <w:t>meaning that</w:t>
      </w:r>
      <w:r w:rsidR="004E03F8">
        <w:rPr>
          <w:rStyle w:val="FootnoteReference"/>
        </w:rPr>
        <w:footnoteReference w:id="15"/>
      </w:r>
      <w:r>
        <w:t xml:space="preserve"> the same harm would have happened anyway, then DFT did not cause the injuries.</w:t>
      </w:r>
      <w:r>
        <w:rPr>
          <w:rStyle w:val="FootnoteReference"/>
          <w:rFonts w:cs="Segoe UI Historic"/>
        </w:rPr>
        <w:footnoteReference w:id="16"/>
      </w:r>
    </w:p>
    <w:p w14:paraId="0A9964D8" w14:textId="77777777" w:rsidR="00FA1C4E" w:rsidRDefault="00FA1C4E" w:rsidP="00FA1C4E">
      <w:pPr>
        <w:pStyle w:val="JuryInstructionText"/>
      </w:pPr>
      <w:r>
        <w:t>Often, an injury has more than one cause.</w:t>
      </w:r>
      <w:r>
        <w:rPr>
          <w:rStyle w:val="FootnoteReference"/>
          <w:rFonts w:cs="Segoe UI Historic"/>
        </w:rPr>
        <w:footnoteReference w:id="17"/>
      </w:r>
      <w:r>
        <w:t xml:space="preserve"> If the defendants’ negligence was one of those causes, that is enough. The plaintiff does not have to </w:t>
      </w:r>
      <w:r>
        <w:lastRenderedPageBreak/>
        <w:t xml:space="preserve">show that the defendants’ negligence was the only cause of the injuries. Nor does s/he have to show that the negligence was the largest or main cause of the injuries, as long as the injuries would not have occurred without DFT’s negligence.  </w:t>
      </w:r>
    </w:p>
    <w:p w14:paraId="587C4508" w14:textId="23647AE6" w:rsidR="00FA1C4E" w:rsidRDefault="00FA1C4E" w:rsidP="00FA1C4E">
      <w:pPr>
        <w:pStyle w:val="JuryInstructionText"/>
      </w:pPr>
      <w:r>
        <w:t>[&lt;</w:t>
      </w:r>
      <w:r>
        <w:rPr>
          <w:b/>
          <w:bCs/>
          <w:i/>
        </w:rPr>
        <w:t xml:space="preserve">if foreseeable risk (“legal cause”) is at issue </w:t>
      </w:r>
      <w:r>
        <w:rPr>
          <w:rStyle w:val="FootnoteReference"/>
          <w:rFonts w:cs="Segoe UI Historic"/>
          <w:i/>
        </w:rPr>
        <w:footnoteReference w:id="18"/>
      </w:r>
      <w:r>
        <w:t>&gt; In addition, PLF must prove that the injury/death was, more likely than not, a predictable</w:t>
      </w:r>
      <w:r>
        <w:rPr>
          <w:rStyle w:val="FootnoteReference"/>
          <w:rFonts w:cs="Segoe UI Historic"/>
        </w:rPr>
        <w:footnoteReference w:id="19"/>
      </w:r>
      <w:r>
        <w:t xml:space="preserve"> result of DFT’s negligence. You must ask: “Did DFT’s negligence create a foreseeable risk of the type of injury that PLF suffered?” The risk was foreseeable if a reasonable person/company in the defendant’s position should have known that the negligence created a risk of this type of harm. PLF does not have to prove that DFT could or should have predicted the </w:t>
      </w:r>
      <w:r>
        <w:lastRenderedPageBreak/>
        <w:t>precise way in which the injury occurred, but s/he must show that his/her injury was a natural result of DFT’s negligence.]</w:t>
      </w:r>
    </w:p>
    <w:p w14:paraId="32713892" w14:textId="77777777" w:rsidR="00FA1C4E" w:rsidRDefault="00FA1C4E" w:rsidP="00FA1C4E">
      <w:pPr>
        <w:pStyle w:val="JuryInstructionText"/>
      </w:pPr>
      <w:r>
        <w:t>On the verdict slip, Question __ asks: “Was DFT’s negligence a cause of PLF’s injuries?” If you find that DFT’s negligence was a cause of PLF’s injuries [and that the injuries were a predictable result of that negligence], then you should answer “Yes.” Otherwise, answer “No.”</w:t>
      </w:r>
    </w:p>
    <w:p w14:paraId="5DB051F7" w14:textId="103CA77B" w:rsidR="000C24D3" w:rsidRPr="00CD1FA5" w:rsidRDefault="000C24D3" w:rsidP="00712A3E">
      <w:pPr>
        <w:pStyle w:val="JuryInst3"/>
      </w:pPr>
      <w:r w:rsidRPr="00CD1FA5">
        <w:t>Comparative Negligence</w:t>
      </w:r>
      <w:r>
        <w:t xml:space="preserve"> &lt;</w:t>
      </w:r>
      <w:r w:rsidRPr="00E41395">
        <w:rPr>
          <w:i/>
        </w:rPr>
        <w:t>if asserted</w:t>
      </w:r>
      <w:r>
        <w:t>&gt;</w:t>
      </w:r>
    </w:p>
    <w:p w14:paraId="504554E9" w14:textId="649B648E" w:rsidR="000C24D3" w:rsidRPr="00CD1FA5" w:rsidRDefault="000C24D3" w:rsidP="00255AF5">
      <w:pPr>
        <w:pStyle w:val="JuryInstructionText"/>
      </w:pPr>
      <w:r w:rsidRPr="00CD1FA5">
        <w:t xml:space="preserve">As part of his/her/its defense, DFT claims that PLF was him/herself negligent, and that PLF’s own negligence caused his/her injuries. The verdict slip covers this issue in </w:t>
      </w:r>
      <w:r>
        <w:t>Q</w:t>
      </w:r>
      <w:r w:rsidRPr="00CD1FA5">
        <w:t xml:space="preserve">uestions __ and __. You will reach these questions only if you find that DFT was negligent and that his/her/its negligence was a </w:t>
      </w:r>
      <w:r w:rsidR="00034C2E">
        <w:t>cause of</w:t>
      </w:r>
      <w:r w:rsidRPr="00CD1FA5">
        <w:t xml:space="preserve"> PLF’s injuries</w:t>
      </w:r>
      <w:r w:rsidR="00C92CFE">
        <w:t xml:space="preserve">. </w:t>
      </w:r>
    </w:p>
    <w:p w14:paraId="0ED742DE" w14:textId="7FF68203" w:rsidR="000C24D3" w:rsidRDefault="000C24D3" w:rsidP="00255AF5">
      <w:pPr>
        <w:pStyle w:val="JuryInstructionText"/>
      </w:pPr>
      <w:r w:rsidRPr="00CD1FA5">
        <w:t xml:space="preserve">Please note that </w:t>
      </w:r>
      <w:r w:rsidR="00816B4F">
        <w:t>these two q</w:t>
      </w:r>
      <w:r w:rsidRPr="00CD1FA5">
        <w:t xml:space="preserve">uestions are exceptions to my previous instructions, in which I told you that PLF had the burden of proof. On </w:t>
      </w:r>
      <w:r>
        <w:t xml:space="preserve">Questions __ and __, </w:t>
      </w:r>
      <w:r w:rsidRPr="00CD1FA5">
        <w:t>DFT has the burden of proof</w:t>
      </w:r>
      <w:r w:rsidR="00C92CFE">
        <w:t xml:space="preserve">. </w:t>
      </w:r>
      <w:r w:rsidRPr="00CD1FA5">
        <w:t>PLF has no burden to prove anything on these questions</w:t>
      </w:r>
      <w:r>
        <w:t>.</w:t>
      </w:r>
      <w:r w:rsidRPr="00CD1FA5">
        <w:t xml:space="preserve"> </w:t>
      </w:r>
    </w:p>
    <w:p w14:paraId="5FF52633" w14:textId="77777777" w:rsidR="00726996" w:rsidRDefault="00726996" w:rsidP="00726996">
      <w:pPr>
        <w:pStyle w:val="JuryInstructionText"/>
      </w:pPr>
      <w:r>
        <w:t>[&lt;</w:t>
      </w:r>
      <w:r>
        <w:rPr>
          <w:b/>
          <w:bCs/>
          <w:i/>
          <w:iCs/>
        </w:rPr>
        <w:t>Child’s Standard of Care—If Applicable</w:t>
      </w:r>
      <w:r>
        <w:t xml:space="preserve">&gt; </w:t>
      </w:r>
      <w:r w:rsidRPr="00D81FD2">
        <w:t>Bear in mind that</w:t>
      </w:r>
      <w:r w:rsidRPr="00CD1FA5">
        <w:rPr>
          <w:b/>
        </w:rPr>
        <w:t xml:space="preserve"> </w:t>
      </w:r>
      <w:r w:rsidRPr="00CD1FA5">
        <w:t xml:space="preserve">PLF was a child at the time of the events. Therefore, you must not judge his/her negligence as though s/he were an adult. PLF had a duty to use the degree of care that you, as the jury, would reasonably expect from a child of his/her age, intelligence and experience. So, when you answer </w:t>
      </w:r>
      <w:r>
        <w:t>Q</w:t>
      </w:r>
      <w:r w:rsidRPr="00CD1FA5">
        <w:t>uestions __ and __, you should ask how you would expect a child of similar age, intelligence and experience to act in the same circumstances.</w:t>
      </w:r>
      <w:r w:rsidRPr="00CD1FA5">
        <w:rPr>
          <w:b/>
          <w:vertAlign w:val="superscript"/>
        </w:rPr>
        <w:footnoteReference w:id="20"/>
      </w:r>
      <w:r>
        <w:t>]</w:t>
      </w:r>
    </w:p>
    <w:p w14:paraId="617D8531" w14:textId="7973F8FE" w:rsidR="006D705D" w:rsidRPr="00CD1FA5" w:rsidRDefault="006D705D" w:rsidP="00726996">
      <w:pPr>
        <w:pStyle w:val="JuryInst4"/>
      </w:pPr>
      <w:r>
        <w:t>Reasonable Care</w:t>
      </w:r>
      <w:r w:rsidR="00DD418D">
        <w:t>—for Comparative Negligence</w:t>
      </w:r>
    </w:p>
    <w:p w14:paraId="3946CA0E" w14:textId="77777777" w:rsidR="00726996" w:rsidRDefault="000C24D3" w:rsidP="00255AF5">
      <w:pPr>
        <w:pStyle w:val="JuryInstructionText"/>
      </w:pPr>
      <w:r w:rsidRPr="00CD1FA5">
        <w:t xml:space="preserve">Under the law, PLF must use reasonable care to prevent harm to him/herself under the circumstances of this case. If s/he failed to do so, s/he was </w:t>
      </w:r>
      <w:r w:rsidRPr="00CD1FA5">
        <w:lastRenderedPageBreak/>
        <w:t>negligent. To decide whether PLF was negligent</w:t>
      </w:r>
      <w:r>
        <w:t>, please</w:t>
      </w:r>
      <w:r w:rsidRPr="00CD1FA5">
        <w:t xml:space="preserve"> follow the same instructions I gave you earlier to define negligence. </w:t>
      </w:r>
    </w:p>
    <w:p w14:paraId="2925E476" w14:textId="3B3BE1C3" w:rsidR="00726996" w:rsidRDefault="000C24D3" w:rsidP="00255AF5">
      <w:pPr>
        <w:pStyle w:val="JuryInstructionText"/>
      </w:pPr>
      <w:r>
        <w:t>Q</w:t>
      </w:r>
      <w:r w:rsidRPr="00CD1FA5">
        <w:t>uestion</w:t>
      </w:r>
      <w:r>
        <w:t xml:space="preserve"> </w:t>
      </w:r>
      <w:r w:rsidRPr="00CD1FA5">
        <w:t>__</w:t>
      </w:r>
      <w:r w:rsidR="00726996">
        <w:t xml:space="preserve"> </w:t>
      </w:r>
      <w:r w:rsidRPr="00CD1FA5">
        <w:t xml:space="preserve">asks “Was PLF negligent?” </w:t>
      </w:r>
      <w:r w:rsidR="00726996" w:rsidRPr="00CD1FA5">
        <w:t xml:space="preserve">If you decide that </w:t>
      </w:r>
      <w:r w:rsidR="00726996">
        <w:t>PLF</w:t>
      </w:r>
      <w:r w:rsidR="00726996" w:rsidRPr="00CD1FA5">
        <w:t xml:space="preserve"> more likely than not failed to use reasonable care, then you answer “</w:t>
      </w:r>
      <w:r w:rsidR="00726996">
        <w:t>Yes</w:t>
      </w:r>
      <w:r w:rsidR="003337E3">
        <w:t>,</w:t>
      </w:r>
      <w:r w:rsidR="00726996" w:rsidRPr="00CD1FA5">
        <w:t xml:space="preserve">” </w:t>
      </w:r>
      <w:r w:rsidR="003337E3">
        <w:t xml:space="preserve">and go on to answer the next question. </w:t>
      </w:r>
      <w:r w:rsidR="00726996" w:rsidRPr="00CD1FA5">
        <w:t>Otherwise, you answer “</w:t>
      </w:r>
      <w:r w:rsidR="00726996">
        <w:t>No</w:t>
      </w:r>
      <w:r w:rsidR="00726996" w:rsidRPr="00CD1FA5">
        <w:t>”</w:t>
      </w:r>
      <w:r w:rsidR="003337E3">
        <w:t xml:space="preserve"> and then skip Question __.</w:t>
      </w:r>
    </w:p>
    <w:p w14:paraId="0DB1D58B" w14:textId="7A0115A7" w:rsidR="00726996" w:rsidRDefault="00726996" w:rsidP="00726996">
      <w:pPr>
        <w:pStyle w:val="JuryInst4"/>
      </w:pPr>
      <w:r>
        <w:t>Causation—for Comparative Negligence</w:t>
      </w:r>
    </w:p>
    <w:p w14:paraId="1F42FC70" w14:textId="248AAE58" w:rsidR="000C24D3" w:rsidRPr="00CD1FA5" w:rsidRDefault="000C24D3" w:rsidP="00255AF5">
      <w:pPr>
        <w:pStyle w:val="JuryInstructionText"/>
      </w:pPr>
      <w:r>
        <w:t>DFT must also prove that</w:t>
      </w:r>
      <w:r w:rsidRPr="00CD1FA5">
        <w:t xml:space="preserve"> PLF’s own negligence was a cause of his/her injuries. </w:t>
      </w:r>
      <w:r w:rsidR="00C83730">
        <w:t>T</w:t>
      </w:r>
      <w:r w:rsidRPr="00CD1FA5">
        <w:t xml:space="preserve">o determine this, you must apply the same definition of cause that I gave you in connection with </w:t>
      </w:r>
      <w:r>
        <w:t>Q</w:t>
      </w:r>
      <w:r w:rsidRPr="00CD1FA5">
        <w:t>uestion __</w:t>
      </w:r>
      <w:r w:rsidR="00C92CFE">
        <w:t xml:space="preserve">. </w:t>
      </w:r>
    </w:p>
    <w:p w14:paraId="1AC4599A" w14:textId="2B37B896" w:rsidR="000C24D3" w:rsidRPr="00CD1FA5" w:rsidRDefault="000C24D3" w:rsidP="00255AF5">
      <w:pPr>
        <w:pStyle w:val="JuryInstructionText"/>
      </w:pPr>
      <w:r w:rsidRPr="00CD1FA5">
        <w:t xml:space="preserve">If you </w:t>
      </w:r>
      <w:r w:rsidR="00C83730">
        <w:t xml:space="preserve">find that PLF was negligent, and therefore </w:t>
      </w:r>
      <w:r w:rsidRPr="00CD1FA5">
        <w:t>answer “</w:t>
      </w:r>
      <w:r w:rsidR="00717B5A">
        <w:t>Yes</w:t>
      </w:r>
      <w:r w:rsidRPr="00CD1FA5">
        <w:t xml:space="preserve">” to </w:t>
      </w:r>
      <w:r>
        <w:t>Q</w:t>
      </w:r>
      <w:r w:rsidRPr="00CD1FA5">
        <w:t>uestion</w:t>
      </w:r>
      <w:r w:rsidR="00C83730">
        <w:t> </w:t>
      </w:r>
      <w:r w:rsidRPr="00CD1FA5">
        <w:t>__</w:t>
      </w:r>
      <w:r w:rsidR="003337E3">
        <w:t>,</w:t>
      </w:r>
      <w:r w:rsidRPr="00CD1FA5">
        <w:t xml:space="preserve"> </w:t>
      </w:r>
      <w:r w:rsidR="003337E3">
        <w:t xml:space="preserve">then </w:t>
      </w:r>
      <w:r w:rsidRPr="00CD1FA5">
        <w:t xml:space="preserve">you </w:t>
      </w:r>
      <w:r w:rsidR="003337E3">
        <w:t>must</w:t>
      </w:r>
      <w:r w:rsidRPr="00CD1FA5">
        <w:t xml:space="preserve"> compare </w:t>
      </w:r>
      <w:r>
        <w:t>the negligence of</w:t>
      </w:r>
      <w:r w:rsidRPr="00CD1FA5">
        <w:t xml:space="preserve"> each party. You do this by determining the degree of negligence of each party. You express that</w:t>
      </w:r>
      <w:r>
        <w:t xml:space="preserve"> comparison</w:t>
      </w:r>
      <w:r w:rsidRPr="00CD1FA5">
        <w:t xml:space="preserve"> in percentages of negligence </w:t>
      </w:r>
      <w:r>
        <w:t>which</w:t>
      </w:r>
      <w:r w:rsidRPr="00CD1FA5">
        <w:t>, when added together, equal 100%. This is Question __</w:t>
      </w:r>
      <w:r w:rsidR="00C92CFE">
        <w:t xml:space="preserve">. </w:t>
      </w:r>
    </w:p>
    <w:p w14:paraId="79AE312C" w14:textId="2A789906" w:rsidR="000C24D3" w:rsidRDefault="000C24D3" w:rsidP="00F07A2B">
      <w:pPr>
        <w:pStyle w:val="JuryInstructionText"/>
      </w:pPr>
      <w:r w:rsidRPr="00CD1FA5">
        <w:t xml:space="preserve">PLF may recover against DFT only if you find that PLF’s own negligence was </w:t>
      </w:r>
      <w:r w:rsidR="00F07A2B">
        <w:t xml:space="preserve">50 percent or </w:t>
      </w:r>
      <w:r w:rsidRPr="00CD1FA5">
        <w:t>less</w:t>
      </w:r>
      <w:r w:rsidR="00F07A2B">
        <w:t xml:space="preserve"> of the total</w:t>
      </w:r>
      <w:r w:rsidRPr="00CD1FA5">
        <w:t xml:space="preserve"> negligence. But if you find that </w:t>
      </w:r>
      <w:r>
        <w:t>PLF</w:t>
      </w:r>
      <w:r w:rsidR="00F07A2B">
        <w:t xml:space="preserve">’s negligence was greater than 50 percent of the total, </w:t>
      </w:r>
      <w:r w:rsidRPr="00CD1FA5">
        <w:t>then PLF cannot recover anything in this case</w:t>
      </w:r>
      <w:r w:rsidR="00C92CFE">
        <w:t xml:space="preserve">. </w:t>
      </w:r>
    </w:p>
    <w:p w14:paraId="2AA16916" w14:textId="7C12A80B" w:rsidR="000C24D3" w:rsidRDefault="000C24D3" w:rsidP="00255AF5">
      <w:pPr>
        <w:pStyle w:val="JuryInstructionText"/>
      </w:pPr>
      <w:r w:rsidRPr="00CD1FA5">
        <w:t xml:space="preserve">Please note that I am asking you to determine the negligence, if any, of each side only so that the clerk can calculate damages based upon your decision. If you find that PLF was negligent by some percentage, you must </w:t>
      </w:r>
      <w:r w:rsidR="00C83730" w:rsidRPr="00C83730">
        <w:rPr>
          <w:b/>
          <w:bCs/>
        </w:rPr>
        <w:t>not</w:t>
      </w:r>
      <w:r w:rsidRPr="00CD1FA5">
        <w:t xml:space="preserve"> reduce the amount of damages you find on </w:t>
      </w:r>
      <w:r>
        <w:t>Q</w:t>
      </w:r>
      <w:r w:rsidRPr="00CD1FA5">
        <w:t>uestion __. Any reduction due to PLF’s comparative negligence is the job of the clerk, not the jury.</w:t>
      </w:r>
    </w:p>
    <w:p w14:paraId="0D492D76" w14:textId="10CE3DF3" w:rsidR="000C24D3" w:rsidRDefault="000C24D3" w:rsidP="00712A3E">
      <w:pPr>
        <w:pStyle w:val="JuryInst3"/>
      </w:pPr>
      <w:r w:rsidRPr="00E41395">
        <w:t>Compensation for Damages</w:t>
      </w:r>
    </w:p>
    <w:p w14:paraId="21F33DD6" w14:textId="72C19C6C" w:rsidR="00B75859" w:rsidRPr="00B75859" w:rsidRDefault="000C24D3" w:rsidP="00255AF5">
      <w:pPr>
        <w:pStyle w:val="JuryInstructionText"/>
      </w:pPr>
      <w:r>
        <w:t>See separate instruction: Personal Injury Damages.</w:t>
      </w:r>
    </w:p>
    <w:sectPr w:rsidR="00B75859" w:rsidRPr="00B75859" w:rsidSect="006A5813">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0B1F" w14:textId="77777777" w:rsidR="00CC7CD5" w:rsidRDefault="00CC7CD5" w:rsidP="00F74A90">
      <w:r>
        <w:separator/>
      </w:r>
    </w:p>
  </w:endnote>
  <w:endnote w:type="continuationSeparator" w:id="0">
    <w:p w14:paraId="32D2C0AB" w14:textId="77777777" w:rsidR="00CC7CD5" w:rsidRDefault="00CC7CD5"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7A1B6B4C" w:rsidR="00E83D39" w:rsidRDefault="00992410" w:rsidP="003511A1">
    <w:pPr>
      <w:tabs>
        <w:tab w:val="right" w:pos="9360"/>
      </w:tabs>
      <w:jc w:val="center"/>
    </w:pPr>
    <w:r>
      <w:t xml:space="preserve">- </w:t>
    </w:r>
    <w:r>
      <w:fldChar w:fldCharType="begin"/>
    </w:r>
    <w:r>
      <w:instrText xml:space="preserve"> PAGE  \* MERGEFORMAT </w:instrText>
    </w:r>
    <w:r>
      <w:fldChar w:fldCharType="separate"/>
    </w:r>
    <w:r w:rsidR="00D60E1D">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181B" w14:textId="77777777" w:rsidR="00CC7CD5" w:rsidRDefault="00CC7CD5" w:rsidP="00F74A90">
      <w:r>
        <w:separator/>
      </w:r>
    </w:p>
  </w:footnote>
  <w:footnote w:type="continuationSeparator" w:id="0">
    <w:p w14:paraId="390496C4" w14:textId="77777777" w:rsidR="00CC7CD5" w:rsidRDefault="00CC7CD5" w:rsidP="00F74A90">
      <w:r>
        <w:continuationSeparator/>
      </w:r>
    </w:p>
  </w:footnote>
  <w:footnote w:type="continuationNotice" w:id="1">
    <w:p w14:paraId="4EAEB89E" w14:textId="77777777" w:rsidR="00CC7CD5" w:rsidRDefault="00CC7CD5" w:rsidP="001F7C09">
      <w:pPr>
        <w:jc w:val="right"/>
      </w:pPr>
      <w:r>
        <w:t>&lt;</w:t>
      </w:r>
      <w:r>
        <w:rPr>
          <w:i/>
          <w:iCs/>
        </w:rPr>
        <w:t>continued…</w:t>
      </w:r>
      <w:r>
        <w:t>&gt;</w:t>
      </w:r>
    </w:p>
  </w:footnote>
  <w:footnote w:id="2">
    <w:p w14:paraId="125A4BE1" w14:textId="495BCF21" w:rsidR="000C24D3" w:rsidRPr="00A44E7D" w:rsidRDefault="000C24D3" w:rsidP="00825AD8">
      <w:pPr>
        <w:pStyle w:val="FootnoteText"/>
        <w:rPr>
          <w:sz w:val="20"/>
        </w:rPr>
      </w:pPr>
      <w:r>
        <w:rPr>
          <w:rStyle w:val="FootnoteReference"/>
        </w:rPr>
        <w:footnoteRef/>
      </w:r>
      <w:r>
        <w:t xml:space="preserve"> </w:t>
      </w:r>
      <w:r w:rsidR="00825AD8">
        <w:tab/>
      </w:r>
      <w:r w:rsidRPr="00B93949">
        <w:t xml:space="preserve">Massachusetts courts “have recognized that ‘[a]s a general principle of tort law, every actor </w:t>
      </w:r>
      <w:r w:rsidR="00C0585B">
        <w:t xml:space="preserve">… </w:t>
      </w:r>
      <w:r w:rsidRPr="00B93949">
        <w:t xml:space="preserve">has a duty to exercise reasonable care to avoid physical harm to others.’” </w:t>
      </w:r>
      <w:r w:rsidRPr="00E4752B">
        <w:rPr>
          <w:i/>
        </w:rPr>
        <w:t xml:space="preserve">Jupin </w:t>
      </w:r>
      <w:r w:rsidRPr="00E4752B">
        <w:rPr>
          <w:iCs/>
        </w:rPr>
        <w:t>v.</w:t>
      </w:r>
      <w:r w:rsidRPr="00E4752B">
        <w:rPr>
          <w:i/>
        </w:rPr>
        <w:t xml:space="preserve"> Kask</w:t>
      </w:r>
      <w:r w:rsidRPr="00B93949">
        <w:t>, 447</w:t>
      </w:r>
      <w:r w:rsidR="00C0585B">
        <w:t> </w:t>
      </w:r>
      <w:r w:rsidRPr="00B93949">
        <w:t xml:space="preserve">Mass. 141, 147 (2006), quoting </w:t>
      </w:r>
      <w:r w:rsidRPr="00E4752B">
        <w:rPr>
          <w:i/>
        </w:rPr>
        <w:t xml:space="preserve">Remy </w:t>
      </w:r>
      <w:r w:rsidRPr="00E4752B">
        <w:rPr>
          <w:iCs/>
        </w:rPr>
        <w:t>v.</w:t>
      </w:r>
      <w:r w:rsidRPr="00E4752B">
        <w:rPr>
          <w:i/>
        </w:rPr>
        <w:t xml:space="preserve"> MacDonald</w:t>
      </w:r>
      <w:r w:rsidRPr="00B93949">
        <w:t xml:space="preserve">, 440 Mass. 675, 677 (2004), citing Restatement (Second) Torts § 302 comment a (1965). </w:t>
      </w:r>
      <w:r w:rsidR="00922E20">
        <w:t xml:space="preserve">See also </w:t>
      </w:r>
      <w:r w:rsidRPr="00E4752B">
        <w:rPr>
          <w:rFonts w:eastAsia="Quattrocento Sans"/>
          <w:i/>
          <w:iCs/>
          <w:color w:val="000000"/>
        </w:rPr>
        <w:t xml:space="preserve">Creatini </w:t>
      </w:r>
      <w:r w:rsidRPr="00E4752B">
        <w:rPr>
          <w:rFonts w:eastAsia="Quattrocento Sans"/>
          <w:color w:val="000000"/>
        </w:rPr>
        <w:t>v.</w:t>
      </w:r>
      <w:r w:rsidRPr="00E4752B">
        <w:rPr>
          <w:rFonts w:eastAsia="Quattrocento Sans"/>
          <w:i/>
          <w:iCs/>
          <w:color w:val="000000"/>
        </w:rPr>
        <w:t xml:space="preserve"> McHugh</w:t>
      </w:r>
      <w:r>
        <w:rPr>
          <w:rFonts w:eastAsia="Quattrocento Sans"/>
          <w:color w:val="000000"/>
        </w:rPr>
        <w:t>, 99 Mass. App. Ct. 126, 129-131 (2021)</w:t>
      </w:r>
      <w:r w:rsidR="00D76D47">
        <w:rPr>
          <w:rFonts w:eastAsia="Quattrocento Sans"/>
          <w:color w:val="000000"/>
        </w:rPr>
        <w:t>.</w:t>
      </w:r>
      <w:r>
        <w:t xml:space="preserve"> </w:t>
      </w:r>
      <w:r w:rsidRPr="00B93949">
        <w:t xml:space="preserve">To enhance jury understanding, this model instruction uses the more familiar concept of “responsibility” in place of the legal term “duty.” A judge who prefers the legal term, may choose to refer to “duty” where the word “responsibility” appears in this instruction. See generally </w:t>
      </w:r>
      <w:r w:rsidRPr="00E4752B">
        <w:rPr>
          <w:i/>
        </w:rPr>
        <w:t xml:space="preserve">Lev </w:t>
      </w:r>
      <w:r w:rsidRPr="00E4752B">
        <w:rPr>
          <w:iCs/>
        </w:rPr>
        <w:t>v.</w:t>
      </w:r>
      <w:r w:rsidRPr="00E4752B">
        <w:rPr>
          <w:i/>
        </w:rPr>
        <w:t xml:space="preserve"> Beverly Enterprises-Massachusetts, Inc</w:t>
      </w:r>
      <w:r w:rsidRPr="00B93949">
        <w:rPr>
          <w:iCs/>
          <w:u w:val="single"/>
        </w:rPr>
        <w:t>.</w:t>
      </w:r>
      <w:r w:rsidRPr="00B93949">
        <w:t>, 457 Mass. 234, 240</w:t>
      </w:r>
      <w:r w:rsidR="00C0585B">
        <w:t>–</w:t>
      </w:r>
      <w:r w:rsidRPr="00B93949">
        <w:t xml:space="preserve">247 (2010); </w:t>
      </w:r>
      <w:r w:rsidRPr="00E4752B">
        <w:rPr>
          <w:i/>
        </w:rPr>
        <w:t>Jupin</w:t>
      </w:r>
      <w:r w:rsidRPr="00B93949">
        <w:t>, 447 Mass. at 148</w:t>
      </w:r>
      <w:r w:rsidR="00C0585B">
        <w:t>–</w:t>
      </w:r>
      <w:r w:rsidRPr="00B93949">
        <w:t>156.</w:t>
      </w:r>
      <w:r w:rsidRPr="00A44E7D">
        <w:rPr>
          <w:sz w:val="20"/>
        </w:rPr>
        <w:t xml:space="preserve"> </w:t>
      </w:r>
    </w:p>
  </w:footnote>
  <w:footnote w:id="3">
    <w:p w14:paraId="2D1DA2CC" w14:textId="51530A04" w:rsidR="000C24D3" w:rsidRPr="00825AD8" w:rsidRDefault="000C24D3" w:rsidP="00825AD8">
      <w:pPr>
        <w:pStyle w:val="FootnoteText"/>
      </w:pPr>
      <w:r w:rsidRPr="00A44E7D">
        <w:rPr>
          <w:rStyle w:val="FootnoteReference"/>
          <w:rFonts w:cs="Segoe UI Historic"/>
          <w:sz w:val="20"/>
        </w:rPr>
        <w:footnoteRef/>
      </w:r>
      <w:r w:rsidRPr="00A44E7D">
        <w:rPr>
          <w:sz w:val="20"/>
        </w:rPr>
        <w:t xml:space="preserve"> </w:t>
      </w:r>
      <w:r w:rsidR="00825AD8">
        <w:rPr>
          <w:sz w:val="20"/>
        </w:rPr>
        <w:tab/>
      </w:r>
      <w:r w:rsidRPr="00B93949">
        <w:t>To facilitate jury understanding, this instruction uses the word “predictable” in place of the legal term, “foreseeable” (see FN 1, above), but the judge may substitute the word “foreseeable” if desired.</w:t>
      </w:r>
    </w:p>
  </w:footnote>
  <w:footnote w:id="4">
    <w:p w14:paraId="64FB3E74" w14:textId="44ECFA5C" w:rsidR="000C24D3" w:rsidRPr="00B93949" w:rsidRDefault="000C24D3" w:rsidP="00280BF0">
      <w:pPr>
        <w:pStyle w:val="FootnoteText"/>
      </w:pPr>
      <w:r w:rsidRPr="00A44E7D">
        <w:rPr>
          <w:rStyle w:val="FootnoteReference"/>
          <w:rFonts w:cs="Segoe UI Historic"/>
          <w:sz w:val="20"/>
        </w:rPr>
        <w:footnoteRef/>
      </w:r>
      <w:r>
        <w:rPr>
          <w:sz w:val="20"/>
        </w:rPr>
        <w:t xml:space="preserve"> </w:t>
      </w:r>
      <w:r w:rsidR="00280BF0">
        <w:rPr>
          <w:sz w:val="20"/>
        </w:rPr>
        <w:tab/>
      </w:r>
      <w:r w:rsidRPr="00B93949">
        <w:t>Such facts may include, e.g.:</w:t>
      </w:r>
    </w:p>
    <w:p w14:paraId="1597D9E2" w14:textId="73FC9609" w:rsidR="000C24D3" w:rsidRPr="00B93949" w:rsidRDefault="00C21C16" w:rsidP="00C21C16">
      <w:pPr>
        <w:pStyle w:val="FootnoteText"/>
        <w:ind w:left="576"/>
      </w:pPr>
      <w:r>
        <w:t xml:space="preserve">  -</w:t>
      </w:r>
      <w:r>
        <w:tab/>
      </w:r>
      <w:r w:rsidR="000C24D3" w:rsidRPr="00B93949">
        <w:t>A contract required defendant to maintain the [product/personal property/ premises].</w:t>
      </w:r>
    </w:p>
    <w:p w14:paraId="7D8E8299" w14:textId="50673876" w:rsidR="000C24D3" w:rsidRPr="00B93949" w:rsidRDefault="00C21C16" w:rsidP="00C21C16">
      <w:pPr>
        <w:pStyle w:val="FootnoteText"/>
        <w:ind w:left="576"/>
      </w:pPr>
      <w:r>
        <w:t xml:space="preserve">  -</w:t>
      </w:r>
      <w:r>
        <w:tab/>
      </w:r>
      <w:r w:rsidR="000C24D3" w:rsidRPr="00B93949">
        <w:t xml:space="preserve">Defendant had control [or joint control] over the work at the construction site. [see separate instruction for determining control]. </w:t>
      </w:r>
      <w:r w:rsidR="000C24D3">
        <w:t>See</w:t>
      </w:r>
      <w:r w:rsidR="000C24D3" w:rsidRPr="00B93949">
        <w:t xml:space="preserve"> </w:t>
      </w:r>
      <w:r w:rsidR="000C24D3" w:rsidRPr="00E4752B">
        <w:rPr>
          <w:i/>
        </w:rPr>
        <w:t xml:space="preserve">Corsetti </w:t>
      </w:r>
      <w:r w:rsidR="000C24D3" w:rsidRPr="00E4752B">
        <w:rPr>
          <w:iCs/>
        </w:rPr>
        <w:t>v.</w:t>
      </w:r>
      <w:r w:rsidR="000C24D3" w:rsidRPr="00E4752B">
        <w:rPr>
          <w:i/>
        </w:rPr>
        <w:t xml:space="preserve"> Stone Co</w:t>
      </w:r>
      <w:r w:rsidR="000C24D3" w:rsidRPr="00B93949">
        <w:rPr>
          <w:iCs/>
        </w:rPr>
        <w:t>.</w:t>
      </w:r>
      <w:r w:rsidR="000C24D3" w:rsidRPr="00B93949">
        <w:t xml:space="preserve">, 396 Mass. 1, 9-10 (1985); </w:t>
      </w:r>
      <w:r w:rsidR="000C24D3" w:rsidRPr="00E4752B">
        <w:rPr>
          <w:i/>
        </w:rPr>
        <w:t xml:space="preserve">Dilaveris </w:t>
      </w:r>
      <w:r w:rsidR="000C24D3" w:rsidRPr="00E4752B">
        <w:rPr>
          <w:iCs/>
        </w:rPr>
        <w:t>v.</w:t>
      </w:r>
      <w:r w:rsidR="000C24D3" w:rsidRPr="00E4752B">
        <w:rPr>
          <w:i/>
        </w:rPr>
        <w:t xml:space="preserve"> W.T. Rich Co., Inc.,</w:t>
      </w:r>
      <w:r w:rsidR="000C24D3" w:rsidRPr="00B93949">
        <w:t xml:space="preserve"> 424 Mass. 9, 11 (1996) (The existence of a duty depends heavily upon “the critical factor whether the general contractor had any meaningful control, however minimal, over the subcontractor </w:t>
      </w:r>
      <w:r>
        <w:t>… .</w:t>
      </w:r>
      <w:r w:rsidR="000C24D3" w:rsidRPr="00B93949">
        <w:t>”). See</w:t>
      </w:r>
      <w:r w:rsidR="000C24D3">
        <w:t xml:space="preserve"> also</w:t>
      </w:r>
      <w:r w:rsidR="000C24D3" w:rsidRPr="00B93949">
        <w:t xml:space="preserve"> Restatement (Second) of Torts</w:t>
      </w:r>
      <w:r w:rsidR="000C24D3">
        <w:t xml:space="preserve"> </w:t>
      </w:r>
      <w:r w:rsidR="000C24D3" w:rsidRPr="0010673D">
        <w:t>§</w:t>
      </w:r>
      <w:r w:rsidR="000C24D3" w:rsidRPr="00B93949">
        <w:t xml:space="preserve"> 414</w:t>
      </w:r>
      <w:r w:rsidR="00C92CFE">
        <w:t xml:space="preserve">. </w:t>
      </w:r>
    </w:p>
    <w:p w14:paraId="5F351D11" w14:textId="32A8F290" w:rsidR="000C24D3" w:rsidRPr="00B93949" w:rsidRDefault="00C21C16" w:rsidP="00C21C16">
      <w:pPr>
        <w:pStyle w:val="FootnoteText"/>
        <w:ind w:left="576"/>
      </w:pPr>
      <w:r>
        <w:t xml:space="preserve">  -</w:t>
      </w:r>
      <w:r>
        <w:tab/>
      </w:r>
      <w:r w:rsidR="000C24D3" w:rsidRPr="00B93949">
        <w:t xml:space="preserve">Defendant owned the property [or was in control of the property] when the injury occurred. See </w:t>
      </w:r>
      <w:r w:rsidR="000C24D3" w:rsidRPr="00E4752B">
        <w:rPr>
          <w:i/>
        </w:rPr>
        <w:t xml:space="preserve">Davis </w:t>
      </w:r>
      <w:r w:rsidR="000C24D3" w:rsidRPr="00E4752B">
        <w:rPr>
          <w:iCs/>
        </w:rPr>
        <w:t>v.</w:t>
      </w:r>
      <w:r w:rsidR="000C24D3" w:rsidRPr="00E4752B">
        <w:rPr>
          <w:i/>
        </w:rPr>
        <w:t xml:space="preserve"> Westwood Group</w:t>
      </w:r>
      <w:r w:rsidR="000C24D3" w:rsidRPr="00B93949">
        <w:t>, 420 Mass. 739</w:t>
      </w:r>
      <w:r w:rsidR="000C24D3">
        <w:t>, 743</w:t>
      </w:r>
      <w:r w:rsidR="000C24D3" w:rsidRPr="00B93949">
        <w:t xml:space="preserve"> (1995); </w:t>
      </w:r>
      <w:r w:rsidR="000C24D3" w:rsidRPr="00E4752B">
        <w:rPr>
          <w:i/>
        </w:rPr>
        <w:t xml:space="preserve">Dubuque </w:t>
      </w:r>
      <w:r w:rsidR="000C24D3" w:rsidRPr="00E4752B">
        <w:rPr>
          <w:iCs/>
        </w:rPr>
        <w:t>v.</w:t>
      </w:r>
      <w:r w:rsidR="000C24D3" w:rsidRPr="00E4752B">
        <w:rPr>
          <w:i/>
        </w:rPr>
        <w:t xml:space="preserve"> Cumberland Farms., Inc.</w:t>
      </w:r>
      <w:r w:rsidR="000C24D3" w:rsidRPr="00B93949">
        <w:rPr>
          <w:i/>
        </w:rPr>
        <w:t>,</w:t>
      </w:r>
      <w:r w:rsidR="000C24D3" w:rsidRPr="00B93949">
        <w:t xml:space="preserve"> 93 Mass. App. Ct. 332</w:t>
      </w:r>
      <w:r w:rsidR="000C24D3">
        <w:t>, 349-350</w:t>
      </w:r>
      <w:r w:rsidR="000C24D3" w:rsidRPr="00B93949">
        <w:t xml:space="preserve"> (2017). [Separate instructions may apply for premises liability or negligent security cases].</w:t>
      </w:r>
    </w:p>
    <w:p w14:paraId="13A90E30" w14:textId="537D54A4" w:rsidR="000C24D3" w:rsidRPr="00B93949" w:rsidRDefault="00C21C16" w:rsidP="00C21C16">
      <w:pPr>
        <w:pStyle w:val="FootnoteText"/>
        <w:ind w:left="576"/>
      </w:pPr>
      <w:r>
        <w:t xml:space="preserve">  -</w:t>
      </w:r>
      <w:r>
        <w:tab/>
      </w:r>
      <w:r w:rsidR="000C24D3" w:rsidRPr="00B93949">
        <w:t xml:space="preserve">Defendant operated/was the registered owner of the vehicle at the time of the collision. </w:t>
      </w:r>
      <w:r w:rsidR="000C24D3" w:rsidRPr="00E4752B">
        <w:rPr>
          <w:i/>
        </w:rPr>
        <w:t xml:space="preserve">Covell </w:t>
      </w:r>
      <w:r w:rsidR="000C24D3" w:rsidRPr="00E4752B">
        <w:rPr>
          <w:iCs/>
        </w:rPr>
        <w:t>v.</w:t>
      </w:r>
      <w:r w:rsidR="000C24D3" w:rsidRPr="00E4752B">
        <w:rPr>
          <w:i/>
        </w:rPr>
        <w:t xml:space="preserve"> Olsen</w:t>
      </w:r>
      <w:r w:rsidR="000C24D3" w:rsidRPr="00B93949">
        <w:t xml:space="preserve">, 65 Mass. App. Ct. 359, 362-363 (2006) </w:t>
      </w:r>
      <w:r w:rsidR="002917D3">
        <w:t xml:space="preserve"> </w:t>
      </w:r>
      <w:r w:rsidR="000C24D3" w:rsidRPr="00B93949">
        <w:t>[Separate instructions may apply for MV cases].</w:t>
      </w:r>
    </w:p>
    <w:p w14:paraId="57920853" w14:textId="0BEAF114" w:rsidR="000C24D3" w:rsidRPr="00B93949" w:rsidRDefault="00C21C16" w:rsidP="00C21C16">
      <w:pPr>
        <w:pStyle w:val="FootnoteText"/>
        <w:ind w:left="576"/>
      </w:pPr>
      <w:r>
        <w:t xml:space="preserve">  </w:t>
      </w:r>
      <w:r w:rsidR="000C24D3" w:rsidRPr="00B93949">
        <w:t>-</w:t>
      </w:r>
      <w:r>
        <w:tab/>
      </w:r>
      <w:r w:rsidR="000C24D3" w:rsidRPr="00B93949">
        <w:t xml:space="preserve">A special relationship existed. See </w:t>
      </w:r>
      <w:r w:rsidR="000C24D3" w:rsidRPr="00E4752B">
        <w:rPr>
          <w:i/>
        </w:rPr>
        <w:t xml:space="preserve">Leavitt </w:t>
      </w:r>
      <w:r w:rsidR="000C24D3" w:rsidRPr="00E4752B">
        <w:rPr>
          <w:iCs/>
        </w:rPr>
        <w:t>v.</w:t>
      </w:r>
      <w:r w:rsidR="000C24D3" w:rsidRPr="00E4752B">
        <w:rPr>
          <w:i/>
        </w:rPr>
        <w:t xml:space="preserve"> Brockton Hosp., Inc.</w:t>
      </w:r>
      <w:r w:rsidR="000C24D3" w:rsidRPr="00B93949">
        <w:rPr>
          <w:i/>
        </w:rPr>
        <w:t>,</w:t>
      </w:r>
      <w:r w:rsidR="000C24D3" w:rsidRPr="00B93949">
        <w:t xml:space="preserve"> 454 Mass. 37, 40-42 (2009). A special relationship exists in the following, non-exclusive instances:</w:t>
      </w:r>
    </w:p>
    <w:p w14:paraId="18563D88" w14:textId="77777777" w:rsidR="000C24D3" w:rsidRPr="00B93949" w:rsidRDefault="000C24D3" w:rsidP="000933C9">
      <w:pPr>
        <w:pStyle w:val="FootnoteText"/>
        <w:numPr>
          <w:ilvl w:val="0"/>
          <w:numId w:val="20"/>
        </w:numPr>
      </w:pPr>
      <w:r w:rsidRPr="00B93949">
        <w:t xml:space="preserve">Schools: </w:t>
      </w:r>
      <w:r w:rsidRPr="00E4752B">
        <w:rPr>
          <w:i/>
        </w:rPr>
        <w:t xml:space="preserve">Nguyen </w:t>
      </w:r>
      <w:r w:rsidRPr="00E4752B">
        <w:rPr>
          <w:iCs/>
        </w:rPr>
        <w:t>v.</w:t>
      </w:r>
      <w:r w:rsidRPr="00E4752B">
        <w:rPr>
          <w:i/>
        </w:rPr>
        <w:t xml:space="preserve"> Mass. Inst. of Tech</w:t>
      </w:r>
      <w:r>
        <w:rPr>
          <w:i/>
        </w:rPr>
        <w:t>.</w:t>
      </w:r>
      <w:r w:rsidRPr="00B93949">
        <w:rPr>
          <w:i/>
        </w:rPr>
        <w:t>,</w:t>
      </w:r>
      <w:r w:rsidRPr="00B93949">
        <w:t xml:space="preserve"> 479 Mass. 436, 453 (2018) (university and its students); </w:t>
      </w:r>
      <w:r w:rsidRPr="00E4752B">
        <w:rPr>
          <w:i/>
        </w:rPr>
        <w:t xml:space="preserve">Murray </w:t>
      </w:r>
      <w:r w:rsidRPr="00E4752B">
        <w:rPr>
          <w:iCs/>
        </w:rPr>
        <w:t>v.</w:t>
      </w:r>
      <w:r w:rsidRPr="00E4752B">
        <w:rPr>
          <w:i/>
        </w:rPr>
        <w:t xml:space="preserve"> Hudson</w:t>
      </w:r>
      <w:r w:rsidRPr="00B93949">
        <w:t>, 472 Mass. 376</w:t>
      </w:r>
      <w:r>
        <w:t>, 381-382</w:t>
      </w:r>
      <w:r w:rsidRPr="00B93949">
        <w:t xml:space="preserve"> (2015) (school and students); </w:t>
      </w:r>
      <w:r w:rsidRPr="00E4752B">
        <w:rPr>
          <w:i/>
        </w:rPr>
        <w:t xml:space="preserve">Mullins </w:t>
      </w:r>
      <w:r w:rsidRPr="00E4752B">
        <w:rPr>
          <w:iCs/>
        </w:rPr>
        <w:t>v.</w:t>
      </w:r>
      <w:r w:rsidRPr="00E4752B">
        <w:rPr>
          <w:i/>
        </w:rPr>
        <w:t xml:space="preserve"> Pine Manor College</w:t>
      </w:r>
      <w:r w:rsidRPr="00B93949">
        <w:t>, 389 Mass. 47, 51-52 (1983) (same).</w:t>
      </w:r>
    </w:p>
    <w:p w14:paraId="3F835B08" w14:textId="1D5074B8" w:rsidR="000C24D3" w:rsidRPr="00B93949" w:rsidRDefault="000C24D3" w:rsidP="000933C9">
      <w:pPr>
        <w:pStyle w:val="FootnoteText"/>
        <w:numPr>
          <w:ilvl w:val="0"/>
          <w:numId w:val="20"/>
        </w:numPr>
      </w:pPr>
      <w:r w:rsidRPr="00B93949">
        <w:t>Innkeepers and common carriers</w:t>
      </w:r>
      <w:r>
        <w:t>:</w:t>
      </w:r>
      <w:r w:rsidRPr="00B93949">
        <w:t xml:space="preserve"> </w:t>
      </w:r>
      <w:r w:rsidRPr="00E4752B">
        <w:rPr>
          <w:i/>
        </w:rPr>
        <w:t xml:space="preserve">Worcester Ins. Co. </w:t>
      </w:r>
      <w:r w:rsidRPr="00E4752B">
        <w:rPr>
          <w:iCs/>
        </w:rPr>
        <w:t>v</w:t>
      </w:r>
      <w:r w:rsidR="00C92CFE">
        <w:rPr>
          <w:iCs/>
        </w:rPr>
        <w:t xml:space="preserve">. </w:t>
      </w:r>
      <w:r w:rsidRPr="00E4752B">
        <w:rPr>
          <w:i/>
        </w:rPr>
        <w:t>Fells Acre Day School, Inc</w:t>
      </w:r>
      <w:r w:rsidRPr="00B93949">
        <w:rPr>
          <w:i/>
        </w:rPr>
        <w:t>.,</w:t>
      </w:r>
      <w:r w:rsidRPr="00B93949">
        <w:t xml:space="preserve"> 408 Mass. 393, 405-406 (1990) (“the standard to which common carriers are held is the very highest, approaching that of an insurer.”); </w:t>
      </w:r>
      <w:r w:rsidRPr="00E4752B">
        <w:rPr>
          <w:i/>
        </w:rPr>
        <w:t xml:space="preserve">Glennen </w:t>
      </w:r>
      <w:r w:rsidRPr="00E4752B">
        <w:rPr>
          <w:iCs/>
        </w:rPr>
        <w:t>v.</w:t>
      </w:r>
      <w:r w:rsidRPr="00E4752B">
        <w:rPr>
          <w:i/>
        </w:rPr>
        <w:t xml:space="preserve"> Boston Elevated Ry. Co.,</w:t>
      </w:r>
      <w:r w:rsidRPr="00B93949">
        <w:t xml:space="preserve"> 207 Mass. 497</w:t>
      </w:r>
      <w:r>
        <w:t>, 498</w:t>
      </w:r>
      <w:r w:rsidRPr="00B93949">
        <w:t xml:space="preserve"> (1911).</w:t>
      </w:r>
    </w:p>
    <w:p w14:paraId="2D480678" w14:textId="77777777" w:rsidR="000C24D3" w:rsidRPr="00B93949" w:rsidRDefault="000C24D3" w:rsidP="000933C9">
      <w:pPr>
        <w:pStyle w:val="FootnoteText"/>
        <w:numPr>
          <w:ilvl w:val="0"/>
          <w:numId w:val="20"/>
        </w:numPr>
      </w:pPr>
      <w:r w:rsidRPr="00B93949">
        <w:t>Custodians and persons in their custody</w:t>
      </w:r>
      <w:r>
        <w:t>:</w:t>
      </w:r>
      <w:r w:rsidRPr="00B93949">
        <w:t xml:space="preserve"> </w:t>
      </w:r>
      <w:r w:rsidRPr="0033592F">
        <w:rPr>
          <w:i/>
        </w:rPr>
        <w:t xml:space="preserve">Slaven </w:t>
      </w:r>
      <w:r w:rsidRPr="0033592F">
        <w:rPr>
          <w:iCs/>
        </w:rPr>
        <w:t>v.</w:t>
      </w:r>
      <w:r w:rsidRPr="0033592F">
        <w:rPr>
          <w:i/>
        </w:rPr>
        <w:t xml:space="preserve"> Salem</w:t>
      </w:r>
      <w:r w:rsidRPr="00B93949">
        <w:t>, 386 Mass. 885, 888 (1982).</w:t>
      </w:r>
    </w:p>
    <w:p w14:paraId="3F2CE4CA" w14:textId="427B1FDE" w:rsidR="000C24D3" w:rsidRPr="00D83556" w:rsidRDefault="000C24D3" w:rsidP="000933C9">
      <w:pPr>
        <w:pStyle w:val="FootnoteText"/>
        <w:numPr>
          <w:ilvl w:val="0"/>
          <w:numId w:val="20"/>
        </w:numPr>
        <w:rPr>
          <w:rFonts w:ascii="Quattrocento Sans" w:hAnsi="Quattrocento Sans" w:cs="Quattrocento Sans"/>
        </w:rPr>
      </w:pPr>
      <w:r w:rsidRPr="00B93949">
        <w:t>Residential landlord and tenants</w:t>
      </w:r>
      <w:r>
        <w:t>:</w:t>
      </w:r>
      <w:r w:rsidRPr="00B93949">
        <w:t xml:space="preserve"> </w:t>
      </w:r>
      <w:r w:rsidRPr="0033592F">
        <w:rPr>
          <w:i/>
        </w:rPr>
        <w:t xml:space="preserve">Whittaker </w:t>
      </w:r>
      <w:r w:rsidRPr="0033592F">
        <w:rPr>
          <w:iCs/>
        </w:rPr>
        <w:t>v.</w:t>
      </w:r>
      <w:r w:rsidRPr="0033592F">
        <w:rPr>
          <w:i/>
        </w:rPr>
        <w:t xml:space="preserve"> Saraceno</w:t>
      </w:r>
      <w:r w:rsidRPr="00B93949">
        <w:rPr>
          <w:i/>
        </w:rPr>
        <w:t>,</w:t>
      </w:r>
      <w:r w:rsidRPr="00B93949">
        <w:t xml:space="preserve"> 418 Mass. 196</w:t>
      </w:r>
      <w:r>
        <w:t>, 198-199</w:t>
      </w:r>
      <w:r w:rsidRPr="00B93949">
        <w:t xml:space="preserve"> (1994). </w:t>
      </w:r>
      <w:r>
        <w:t xml:space="preserve">But see </w:t>
      </w:r>
      <w:r w:rsidRPr="0033592F">
        <w:rPr>
          <w:i/>
          <w:iCs/>
        </w:rPr>
        <w:t xml:space="preserve">Creatini </w:t>
      </w:r>
      <w:r w:rsidRPr="0033592F">
        <w:t>v.</w:t>
      </w:r>
      <w:r w:rsidRPr="0033592F">
        <w:rPr>
          <w:i/>
          <w:iCs/>
        </w:rPr>
        <w:t xml:space="preserve"> McHugh</w:t>
      </w:r>
      <w:r>
        <w:t>, 99 Mass. App. Ct. 126, 129-131 (2021) (landlord owes no duty of care to passers-by injured by tenant’s dog).</w:t>
      </w:r>
    </w:p>
  </w:footnote>
  <w:footnote w:id="5">
    <w:p w14:paraId="004DE1D7" w14:textId="0C24CA2A" w:rsidR="000C24D3" w:rsidRDefault="000C24D3" w:rsidP="00922E20">
      <w:pPr>
        <w:pStyle w:val="FootnoteText"/>
        <w:rPr>
          <w:rFonts w:ascii="Quattrocento Sans" w:eastAsia="Quattrocento Sans" w:hAnsi="Quattrocento Sans" w:cs="Quattrocento Sans"/>
          <w:color w:val="000000"/>
          <w:szCs w:val="22"/>
        </w:rPr>
      </w:pPr>
      <w:r>
        <w:rPr>
          <w:rStyle w:val="FootnoteReference"/>
        </w:rPr>
        <w:footnoteRef/>
      </w:r>
      <w:r>
        <w:rPr>
          <w:rFonts w:ascii="Quattrocento Sans" w:hAnsi="Quattrocento Sans" w:cs="Quattrocento Sans"/>
        </w:rPr>
        <w:t xml:space="preserve"> </w:t>
      </w:r>
      <w:r w:rsidR="000933C9">
        <w:rPr>
          <w:rFonts w:ascii="Quattrocento Sans" w:hAnsi="Quattrocento Sans" w:cs="Quattrocento Sans"/>
        </w:rPr>
        <w:tab/>
      </w:r>
      <w:r w:rsidRPr="00B93949">
        <w:t>This instruction reflects a conscious choice to avoid the traditional phrase “ordinary prudent person</w:t>
      </w:r>
      <w:r w:rsidR="008E1689">
        <w:t>,</w:t>
      </w:r>
      <w:r w:rsidRPr="00B93949">
        <w:t>” because the rarely-used word, “prudent,” may strike some jurors as peculiar, unhelpful or distracting. Following the case law, some judges may prefer to say: “The law requires a [company] [person] to act as an ordinary prudent person would act in the circumstances to avoid foreseeable injury.” See, e.g.</w:t>
      </w:r>
      <w:r>
        <w:t>,</w:t>
      </w:r>
      <w:r w:rsidRPr="00B93949">
        <w:t xml:space="preserve"> </w:t>
      </w:r>
      <w:r w:rsidRPr="0033592F">
        <w:rPr>
          <w:i/>
        </w:rPr>
        <w:t xml:space="preserve">Sheehan </w:t>
      </w:r>
      <w:r w:rsidRPr="0033592F">
        <w:rPr>
          <w:iCs/>
        </w:rPr>
        <w:t xml:space="preserve">v. </w:t>
      </w:r>
      <w:r w:rsidRPr="0033592F">
        <w:rPr>
          <w:i/>
        </w:rPr>
        <w:t>Roche Bros. Supermarkets</w:t>
      </w:r>
      <w:r w:rsidRPr="00B93949">
        <w:t>, 448 Mass. 780, 790-7</w:t>
      </w:r>
      <w:r>
        <w:t>92</w:t>
      </w:r>
      <w:r w:rsidRPr="00B93949">
        <w:t xml:space="preserve"> (2007) (“an ordinarily prudent person in the defendant's position”) (citation omitted); </w:t>
      </w:r>
      <w:r w:rsidRPr="0033592F">
        <w:rPr>
          <w:i/>
        </w:rPr>
        <w:t xml:space="preserve">Toubiana </w:t>
      </w:r>
      <w:r w:rsidRPr="0033592F">
        <w:rPr>
          <w:iCs/>
        </w:rPr>
        <w:t>v.</w:t>
      </w:r>
      <w:r w:rsidRPr="0033592F">
        <w:rPr>
          <w:i/>
        </w:rPr>
        <w:t xml:space="preserve"> Priestly</w:t>
      </w:r>
      <w:r w:rsidRPr="00B93949">
        <w:t>, 402 Mass. 84, 88 (1988) (“Ordinarily, where a duty of care is established by law, the standard by which a party</w:t>
      </w:r>
      <w:r>
        <w:t>’</w:t>
      </w:r>
      <w:r w:rsidRPr="00B93949">
        <w:t>s performance is measured is the conduct expected of an ordinarily prudent person in similar circumstances.”).</w:t>
      </w:r>
      <w:r w:rsidR="005066AA">
        <w:t xml:space="preserve"> </w:t>
      </w:r>
      <w:r w:rsidRPr="00B93949">
        <w:t>If so, corresponding changes will be necessary throughout this instruction.</w:t>
      </w:r>
    </w:p>
  </w:footnote>
  <w:footnote w:id="6">
    <w:p w14:paraId="581E858B" w14:textId="77777777" w:rsidR="000733B8" w:rsidRPr="00B93949" w:rsidRDefault="000733B8" w:rsidP="000733B8">
      <w:pPr>
        <w:pStyle w:val="FootnoteText"/>
      </w:pPr>
      <w:r w:rsidRPr="00B93949">
        <w:rPr>
          <w:rStyle w:val="FootnoteReference"/>
          <w:rFonts w:cs="Segoe UI Historic"/>
          <w:szCs w:val="22"/>
        </w:rPr>
        <w:footnoteRef/>
      </w:r>
      <w:r w:rsidRPr="00B93949">
        <w:t xml:space="preserve"> </w:t>
      </w:r>
      <w:r>
        <w:tab/>
      </w:r>
      <w:r w:rsidRPr="00B93949">
        <w:t xml:space="preserve">See </w:t>
      </w:r>
      <w:r w:rsidRPr="001B62B6">
        <w:rPr>
          <w:i/>
        </w:rPr>
        <w:t xml:space="preserve">Blake </w:t>
      </w:r>
      <w:r w:rsidRPr="001B62B6">
        <w:rPr>
          <w:iCs/>
        </w:rPr>
        <w:t>v.</w:t>
      </w:r>
      <w:r w:rsidRPr="001B62B6">
        <w:rPr>
          <w:i/>
        </w:rPr>
        <w:t xml:space="preserve"> Springfield Street Railway Co.,</w:t>
      </w:r>
      <w:r w:rsidRPr="00B93949">
        <w:t xml:space="preserve"> 9 Mass. App. Ct. 912, 913 (1980).</w:t>
      </w:r>
    </w:p>
  </w:footnote>
  <w:footnote w:id="7">
    <w:p w14:paraId="46DDAF66" w14:textId="4A5D08B6" w:rsidR="000C24D3" w:rsidRPr="0033592F" w:rsidRDefault="000C24D3" w:rsidP="00180E39">
      <w:pPr>
        <w:pStyle w:val="FootnoteText"/>
        <w:rPr>
          <w:i/>
          <w:sz w:val="20"/>
        </w:rPr>
      </w:pPr>
      <w:r w:rsidRPr="00A44E7D">
        <w:rPr>
          <w:rStyle w:val="FootnoteReference"/>
          <w:rFonts w:cs="Segoe UI Historic"/>
          <w:sz w:val="20"/>
        </w:rPr>
        <w:footnoteRef/>
      </w:r>
      <w:r w:rsidRPr="00A44E7D">
        <w:rPr>
          <w:sz w:val="20"/>
        </w:rPr>
        <w:t xml:space="preserve"> </w:t>
      </w:r>
      <w:r w:rsidR="00180E39">
        <w:rPr>
          <w:sz w:val="20"/>
        </w:rPr>
        <w:tab/>
      </w:r>
      <w:r w:rsidRPr="0033592F">
        <w:rPr>
          <w:i/>
          <w:iCs/>
        </w:rPr>
        <w:t xml:space="preserve">Dubuque </w:t>
      </w:r>
      <w:r w:rsidRPr="0033592F">
        <w:t>v.</w:t>
      </w:r>
      <w:r w:rsidRPr="0033592F">
        <w:rPr>
          <w:i/>
          <w:iCs/>
        </w:rPr>
        <w:t xml:space="preserve"> Cumberland Farms, Inc</w:t>
      </w:r>
      <w:r w:rsidRPr="00B93949">
        <w:rPr>
          <w:i/>
        </w:rPr>
        <w:t xml:space="preserve">., </w:t>
      </w:r>
      <w:r w:rsidRPr="00B93949">
        <w:t xml:space="preserve">93 Mass App. Ct. 332, 345 (2017), citing </w:t>
      </w:r>
      <w:r w:rsidRPr="0033592F">
        <w:rPr>
          <w:i/>
        </w:rPr>
        <w:t xml:space="preserve">Santos v. Chrysler Corp., </w:t>
      </w:r>
      <w:r w:rsidRPr="001741AF">
        <w:rPr>
          <w:iCs/>
        </w:rPr>
        <w:t>430 Mass. 198, 203 (1999).</w:t>
      </w:r>
      <w:r w:rsidRPr="0033592F">
        <w:rPr>
          <w:i/>
          <w:sz w:val="20"/>
        </w:rPr>
        <w:t xml:space="preserve"> </w:t>
      </w:r>
    </w:p>
  </w:footnote>
  <w:footnote w:id="8">
    <w:p w14:paraId="419EC209" w14:textId="7A6C69A6" w:rsidR="000C24D3" w:rsidRDefault="000C24D3" w:rsidP="00180E39">
      <w:pPr>
        <w:pStyle w:val="FootnoteText"/>
        <w:rPr>
          <w:rFonts w:ascii="Quattrocento Sans" w:hAnsi="Quattrocento Sans" w:cs="Quattrocento Sans"/>
        </w:rPr>
      </w:pPr>
      <w:r w:rsidRPr="0033592F">
        <w:rPr>
          <w:rStyle w:val="FootnoteReference"/>
          <w:rFonts w:cs="Segoe UI Historic"/>
          <w:i/>
          <w:sz w:val="20"/>
        </w:rPr>
        <w:footnoteRef/>
      </w:r>
      <w:r w:rsidRPr="0033592F">
        <w:rPr>
          <w:i/>
          <w:sz w:val="20"/>
        </w:rPr>
        <w:t xml:space="preserve">   </w:t>
      </w:r>
      <w:r w:rsidRPr="0033592F">
        <w:rPr>
          <w:i/>
        </w:rPr>
        <w:t xml:space="preserve">Enrich </w:t>
      </w:r>
      <w:r w:rsidRPr="0033592F">
        <w:rPr>
          <w:iCs/>
        </w:rPr>
        <w:t>v.</w:t>
      </w:r>
      <w:r w:rsidRPr="0033592F">
        <w:rPr>
          <w:i/>
        </w:rPr>
        <w:t xml:space="preserve"> Windmere Corp</w:t>
      </w:r>
      <w:r w:rsidRPr="00B93949">
        <w:rPr>
          <w:i/>
        </w:rPr>
        <w:t>.,</w:t>
      </w:r>
      <w:r w:rsidRPr="00B93949">
        <w:t xml:space="preserve"> 416 Mass. 83, 88</w:t>
      </w:r>
      <w:r>
        <w:t>-89</w:t>
      </w:r>
      <w:r w:rsidRPr="00B93949">
        <w:t xml:space="preserve"> (1993) (fire); </w:t>
      </w:r>
      <w:r w:rsidRPr="0033592F">
        <w:rPr>
          <w:i/>
        </w:rPr>
        <w:t xml:space="preserve">Evangelio </w:t>
      </w:r>
      <w:r w:rsidRPr="0033592F">
        <w:rPr>
          <w:iCs/>
        </w:rPr>
        <w:t>v.</w:t>
      </w:r>
      <w:r w:rsidRPr="0033592F">
        <w:rPr>
          <w:i/>
        </w:rPr>
        <w:t xml:space="preserve"> Metro. Bottling Co.</w:t>
      </w:r>
      <w:r w:rsidRPr="00B93949">
        <w:t>, 339 Mass. 177</w:t>
      </w:r>
      <w:r>
        <w:t>, 181</w:t>
      </w:r>
      <w:r w:rsidRPr="00B93949">
        <w:t xml:space="preserve"> (1959) (products liability); </w:t>
      </w:r>
      <w:r w:rsidRPr="0033592F">
        <w:rPr>
          <w:i/>
        </w:rPr>
        <w:t xml:space="preserve">Coyne </w:t>
      </w:r>
      <w:r w:rsidRPr="0033592F">
        <w:rPr>
          <w:iCs/>
        </w:rPr>
        <w:t>v.</w:t>
      </w:r>
      <w:r w:rsidRPr="0033592F">
        <w:rPr>
          <w:i/>
        </w:rPr>
        <w:t xml:space="preserve"> John S. Tilley Co.</w:t>
      </w:r>
      <w:r w:rsidRPr="00B93949">
        <w:rPr>
          <w:i/>
        </w:rPr>
        <w:t>,</w:t>
      </w:r>
      <w:r w:rsidRPr="00B93949">
        <w:t xml:space="preserve"> 368 Mass. 230, 235 (1975) (ladder accident); </w:t>
      </w:r>
      <w:r w:rsidRPr="0033592F">
        <w:rPr>
          <w:i/>
        </w:rPr>
        <w:t xml:space="preserve">Woronka </w:t>
      </w:r>
      <w:r w:rsidRPr="0033592F">
        <w:rPr>
          <w:iCs/>
        </w:rPr>
        <w:t>v.</w:t>
      </w:r>
      <w:r w:rsidRPr="0033592F">
        <w:rPr>
          <w:i/>
        </w:rPr>
        <w:t xml:space="preserve"> Sewall</w:t>
      </w:r>
      <w:r w:rsidRPr="00B93949">
        <w:t>, 320 Mass. 362, 365 (1946)</w:t>
      </w:r>
      <w:r>
        <w:t xml:space="preserve"> </w:t>
      </w:r>
      <w:r w:rsidRPr="00B93949">
        <w:t xml:space="preserve">(medical malpractice); </w:t>
      </w:r>
      <w:r w:rsidRPr="0033592F">
        <w:rPr>
          <w:i/>
        </w:rPr>
        <w:t xml:space="preserve">Roscigno </w:t>
      </w:r>
      <w:r w:rsidRPr="0033592F">
        <w:rPr>
          <w:iCs/>
        </w:rPr>
        <w:t>v.</w:t>
      </w:r>
      <w:r w:rsidRPr="0033592F">
        <w:rPr>
          <w:i/>
        </w:rPr>
        <w:t xml:space="preserve"> Colonial Beacon Oil Co</w:t>
      </w:r>
      <w:r w:rsidRPr="00B93949">
        <w:rPr>
          <w:i/>
        </w:rPr>
        <w:t>.,</w:t>
      </w:r>
      <w:r w:rsidRPr="00B93949">
        <w:t xml:space="preserve"> 294 Mass. 234, 235 (1936)</w:t>
      </w:r>
      <w:r>
        <w:t xml:space="preserve"> </w:t>
      </w:r>
      <w:r w:rsidRPr="00B93949">
        <w:t xml:space="preserve">(gas tank explosion); </w:t>
      </w:r>
      <w:r w:rsidRPr="0033592F">
        <w:rPr>
          <w:i/>
        </w:rPr>
        <w:t xml:space="preserve">Edwards </w:t>
      </w:r>
      <w:r w:rsidRPr="0033592F">
        <w:rPr>
          <w:iCs/>
        </w:rPr>
        <w:t>v.</w:t>
      </w:r>
      <w:r w:rsidRPr="0033592F">
        <w:rPr>
          <w:i/>
        </w:rPr>
        <w:t xml:space="preserve"> Boland</w:t>
      </w:r>
      <w:r w:rsidRPr="00B93949">
        <w:rPr>
          <w:i/>
        </w:rPr>
        <w:t>,</w:t>
      </w:r>
      <w:r w:rsidRPr="00B93949">
        <w:t xml:space="preserve"> 41 Mass. App. Ct. 375</w:t>
      </w:r>
      <w:r>
        <w:t>, 379-380</w:t>
      </w:r>
      <w:r w:rsidRPr="00B93949">
        <w:t xml:space="preserve"> (1996)</w:t>
      </w:r>
      <w:r>
        <w:t xml:space="preserve"> </w:t>
      </w:r>
      <w:r w:rsidRPr="00B93949">
        <w:t xml:space="preserve">(medical malpractice). </w:t>
      </w:r>
      <w:r>
        <w:t>S</w:t>
      </w:r>
      <w:r w:rsidRPr="00B93949">
        <w:t xml:space="preserve">ee also </w:t>
      </w:r>
      <w:r w:rsidRPr="0033592F">
        <w:rPr>
          <w:i/>
        </w:rPr>
        <w:t xml:space="preserve">Tillson </w:t>
      </w:r>
      <w:r w:rsidRPr="0033592F">
        <w:rPr>
          <w:iCs/>
        </w:rPr>
        <w:t>v.</w:t>
      </w:r>
      <w:r w:rsidRPr="00B93949">
        <w:rPr>
          <w:iCs/>
          <w:u w:val="single"/>
        </w:rPr>
        <w:t xml:space="preserve"> </w:t>
      </w:r>
      <w:r w:rsidRPr="0033592F">
        <w:rPr>
          <w:i/>
        </w:rPr>
        <w:t>Odyssey Cruises</w:t>
      </w:r>
      <w:r w:rsidRPr="00B93949">
        <w:rPr>
          <w:i/>
        </w:rPr>
        <w:t xml:space="preserve">, </w:t>
      </w:r>
      <w:r w:rsidRPr="00B93949">
        <w:t xml:space="preserve">C.A. No. 08-10997-DPW, 2011 WL 309660, at *5 (D. Mass. Jan. 27, 2011) (res ipsa loquitur is not dispositive of question of negligence; it merely permits trier of fact to draw an inference of negligence when certain conditions are met); </w:t>
      </w:r>
      <w:r w:rsidRPr="0033592F">
        <w:rPr>
          <w:i/>
        </w:rPr>
        <w:t xml:space="preserve">Pritchard </w:t>
      </w:r>
      <w:r w:rsidRPr="0033592F">
        <w:rPr>
          <w:iCs/>
        </w:rPr>
        <w:t>v.</w:t>
      </w:r>
      <w:r w:rsidRPr="0033592F">
        <w:rPr>
          <w:i/>
        </w:rPr>
        <w:t xml:space="preserve"> Stanley Access Techs., LLC</w:t>
      </w:r>
      <w:r w:rsidRPr="00B93949">
        <w:t>, C.A. No. 08-11762-DPW, 2011 WL 309662, at *2 (D. Mass. Jan. 27, 2011).</w:t>
      </w:r>
    </w:p>
  </w:footnote>
  <w:footnote w:id="9">
    <w:p w14:paraId="02869D4E" w14:textId="77777777" w:rsidR="000C24D3" w:rsidRDefault="000C24D3" w:rsidP="00180E39">
      <w:pPr>
        <w:pStyle w:val="FootnoteText"/>
        <w:rPr>
          <w:rFonts w:ascii="Quattrocento Sans" w:hAnsi="Quattrocento Sans" w:cs="Quattrocento Sans"/>
        </w:rPr>
      </w:pPr>
      <w:r w:rsidRPr="00F31133">
        <w:rPr>
          <w:rStyle w:val="FootnoteReference"/>
          <w:rFonts w:cs="Segoe UI Historic"/>
          <w:szCs w:val="22"/>
        </w:rPr>
        <w:footnoteRef/>
      </w:r>
      <w:r w:rsidRPr="00B93949">
        <w:rPr>
          <w:sz w:val="20"/>
        </w:rPr>
        <w:t xml:space="preserve"> </w:t>
      </w:r>
      <w:r>
        <w:rPr>
          <w:rFonts w:ascii="Quattrocento Sans" w:hAnsi="Quattrocento Sans" w:cs="Quattrocento Sans"/>
        </w:rPr>
        <w:tab/>
      </w:r>
      <w:r w:rsidRPr="0033592F">
        <w:rPr>
          <w:i/>
        </w:rPr>
        <w:t xml:space="preserve">Edwards </w:t>
      </w:r>
      <w:r w:rsidRPr="0033592F">
        <w:rPr>
          <w:iCs/>
        </w:rPr>
        <w:t>v.</w:t>
      </w:r>
      <w:r w:rsidRPr="0033592F">
        <w:rPr>
          <w:i/>
        </w:rPr>
        <w:t xml:space="preserve"> Boland</w:t>
      </w:r>
      <w:r w:rsidRPr="00B93949">
        <w:t>, 41 Mass. App. Ct. 375</w:t>
      </w:r>
      <w:r>
        <w:t>, 378-379</w:t>
      </w:r>
      <w:r w:rsidRPr="00B93949">
        <w:t xml:space="preserve"> (1996).</w:t>
      </w:r>
    </w:p>
  </w:footnote>
  <w:footnote w:id="10">
    <w:p w14:paraId="014D5823" w14:textId="2C1DEE95" w:rsidR="000C24D3" w:rsidRPr="00B93949" w:rsidRDefault="000C24D3" w:rsidP="00180E39">
      <w:pPr>
        <w:pStyle w:val="FootnoteText"/>
      </w:pPr>
      <w:r w:rsidRPr="00B93949">
        <w:rPr>
          <w:rStyle w:val="FootnoteReference"/>
          <w:rFonts w:cs="Segoe UI Historic"/>
          <w:szCs w:val="22"/>
        </w:rPr>
        <w:footnoteRef/>
      </w:r>
      <w:r w:rsidRPr="00B93949">
        <w:t xml:space="preserve"> </w:t>
      </w:r>
      <w:r w:rsidR="00180E39">
        <w:tab/>
      </w:r>
      <w:r w:rsidRPr="00B93949">
        <w:t xml:space="preserve">If an example of res ipsa loquitur is helpful, the judge may instruct: “For example, if a surgeon leaves a surgical sponge inside a patient after the operation is done, a jury may conclude that the surgeon was negligent if the jury finds that that kind of event does not occur in the absence of negligence, the evidence eliminates other causes for the injury and the surgeon was responsible for ensuring that all surgical sponges were removed.” See generally </w:t>
      </w:r>
      <w:r w:rsidRPr="0033592F">
        <w:rPr>
          <w:i/>
        </w:rPr>
        <w:t xml:space="preserve">Saunders </w:t>
      </w:r>
      <w:r w:rsidRPr="0033592F">
        <w:rPr>
          <w:iCs/>
        </w:rPr>
        <w:t>v.</w:t>
      </w:r>
      <w:r w:rsidRPr="0033592F">
        <w:rPr>
          <w:i/>
        </w:rPr>
        <w:t xml:space="preserve"> Ready</w:t>
      </w:r>
      <w:r w:rsidRPr="00B93949">
        <w:rPr>
          <w:iCs/>
        </w:rPr>
        <w:t>,</w:t>
      </w:r>
      <w:r w:rsidRPr="00B93949">
        <w:t xml:space="preserve"> 68 Mass. App. Ct. 403, 405 (2007) and cases cited.</w:t>
      </w:r>
    </w:p>
  </w:footnote>
  <w:footnote w:id="11">
    <w:p w14:paraId="371EBEB7" w14:textId="738FED10" w:rsidR="00DB3442" w:rsidRPr="00B93949" w:rsidRDefault="00DB3442" w:rsidP="00180E39">
      <w:pPr>
        <w:pStyle w:val="FootnoteText"/>
      </w:pPr>
      <w:r w:rsidRPr="00B93949">
        <w:rPr>
          <w:rStyle w:val="FootnoteReference"/>
          <w:rFonts w:cs="Segoe UI Historic"/>
          <w:szCs w:val="22"/>
        </w:rPr>
        <w:footnoteRef/>
      </w:r>
      <w:r w:rsidRPr="00B93949">
        <w:t xml:space="preserve"> </w:t>
      </w:r>
      <w:r w:rsidR="00180E39">
        <w:tab/>
      </w:r>
      <w:r w:rsidRPr="00353516">
        <w:rPr>
          <w:i/>
        </w:rPr>
        <w:t xml:space="preserve">Dias </w:t>
      </w:r>
      <w:r w:rsidRPr="00353516">
        <w:rPr>
          <w:iCs/>
        </w:rPr>
        <w:t>v.</w:t>
      </w:r>
      <w:r w:rsidRPr="00353516">
        <w:rPr>
          <w:i/>
        </w:rPr>
        <w:t xml:space="preserve"> Brigham Medical Associates, Inc</w:t>
      </w:r>
      <w:r w:rsidRPr="00B93949">
        <w:rPr>
          <w:i/>
        </w:rPr>
        <w:t>.,</w:t>
      </w:r>
      <w:r w:rsidRPr="00B93949">
        <w:t xml:space="preserve"> 438 Mass. 317</w:t>
      </w:r>
      <w:r>
        <w:t>, 320-322</w:t>
      </w:r>
      <w:r w:rsidRPr="00B93949">
        <w:t xml:space="preserve"> (2002); </w:t>
      </w:r>
      <w:r w:rsidRPr="00353516">
        <w:rPr>
          <w:i/>
        </w:rPr>
        <w:t xml:space="preserve">Worcester Ins. Co. </w:t>
      </w:r>
      <w:r w:rsidRPr="00353516">
        <w:rPr>
          <w:iCs/>
        </w:rPr>
        <w:t>v.</w:t>
      </w:r>
      <w:r w:rsidRPr="00353516">
        <w:rPr>
          <w:i/>
        </w:rPr>
        <w:t xml:space="preserve"> Fells Acres Day School, Inc.</w:t>
      </w:r>
      <w:r w:rsidRPr="00B93949">
        <w:rPr>
          <w:i/>
        </w:rPr>
        <w:t>,</w:t>
      </w:r>
      <w:r w:rsidRPr="00B93949">
        <w:t xml:space="preserve"> 408 Mass. 393, 404 (1990); </w:t>
      </w:r>
      <w:r w:rsidRPr="00353516">
        <w:rPr>
          <w:i/>
        </w:rPr>
        <w:t>Swasey’s Case</w:t>
      </w:r>
      <w:r w:rsidRPr="00B93949">
        <w:rPr>
          <w:i/>
        </w:rPr>
        <w:t>,</w:t>
      </w:r>
      <w:r w:rsidRPr="00B93949">
        <w:t xml:space="preserve"> 8 Mass. App. Ct. 489, 494 (1979).</w:t>
      </w:r>
    </w:p>
  </w:footnote>
  <w:footnote w:id="12">
    <w:p w14:paraId="1693FFB3" w14:textId="77777777" w:rsidR="00FA1C4E" w:rsidRDefault="00FA1C4E" w:rsidP="00FA1C4E">
      <w:pPr>
        <w:pStyle w:val="FootnoteText"/>
      </w:pPr>
      <w:r>
        <w:rPr>
          <w:rStyle w:val="FootnoteReference"/>
        </w:rPr>
        <w:footnoteRef/>
      </w:r>
      <w:r>
        <w:t xml:space="preserve"> </w:t>
      </w:r>
      <w:r>
        <w:tab/>
      </w:r>
      <w:r>
        <w:rPr>
          <w:i/>
          <w:iCs/>
        </w:rPr>
        <w:t>Palandjian</w:t>
      </w:r>
      <w:r>
        <w:t xml:space="preserve"> v. </w:t>
      </w:r>
      <w:r>
        <w:rPr>
          <w:i/>
          <w:iCs/>
        </w:rPr>
        <w:t>Foster,</w:t>
      </w:r>
      <w:r>
        <w:t xml:space="preserve"> 446 Mass. 100, 104 (2006).</w:t>
      </w:r>
    </w:p>
  </w:footnote>
  <w:footnote w:id="13">
    <w:p w14:paraId="46C530EC" w14:textId="22EBD057" w:rsidR="00FA1C4E" w:rsidRDefault="00FA1C4E" w:rsidP="00FA1C4E">
      <w:pPr>
        <w:pStyle w:val="FootnoteText"/>
      </w:pPr>
      <w:r>
        <w:rPr>
          <w:rStyle w:val="FootnoteReference"/>
          <w:rFonts w:cs="Segoe UI Historic"/>
        </w:rPr>
        <w:footnoteRef/>
      </w:r>
      <w:r>
        <w:rPr>
          <w:rFonts w:ascii="Times New Roman" w:hAnsi="Times New Roman"/>
        </w:rPr>
        <w:tab/>
      </w:r>
      <w:r>
        <w:t xml:space="preserve">A judge who prefers to use the technical legal phrase “but for cause” may do so here by, for instance, saying “DFT caused PLF’s harm if the harm would not have occurred absent, that is but for, DFT’s negligence.” See </w:t>
      </w:r>
      <w:r>
        <w:rPr>
          <w:i/>
          <w:iCs/>
        </w:rPr>
        <w:t xml:space="preserve">Doull </w:t>
      </w:r>
      <w:r>
        <w:t xml:space="preserve">v. </w:t>
      </w:r>
      <w:r>
        <w:rPr>
          <w:i/>
          <w:iCs/>
        </w:rPr>
        <w:t>Foster</w:t>
      </w:r>
      <w:r>
        <w:t>, 487 Mass. 1, 6 (2021), quoting trial judge’s charge. In the pursuit of plain language, however, the above text does not use the phrase “but for,” which is not in common usage among jurors and may raise questions or create confusion.</w:t>
      </w:r>
    </w:p>
  </w:footnote>
  <w:footnote w:id="14">
    <w:p w14:paraId="15F29EBC" w14:textId="77777777" w:rsidR="00FA1C4E" w:rsidRDefault="00FA1C4E" w:rsidP="00FA1C4E">
      <w:pPr>
        <w:pStyle w:val="FootnoteText"/>
      </w:pPr>
      <w:r>
        <w:rPr>
          <w:rStyle w:val="FootnoteReference"/>
        </w:rPr>
        <w:footnoteRef/>
      </w:r>
      <w:r>
        <w:t xml:space="preserve"> </w:t>
      </w:r>
      <w:r>
        <w:tab/>
      </w:r>
      <w:r>
        <w:rPr>
          <w:i/>
          <w:iCs/>
        </w:rPr>
        <w:t xml:space="preserve">Doull </w:t>
      </w:r>
      <w:r>
        <w:t xml:space="preserve">v. </w:t>
      </w:r>
      <w:r>
        <w:rPr>
          <w:i/>
          <w:iCs/>
        </w:rPr>
        <w:t>Foster</w:t>
      </w:r>
      <w:r>
        <w:t>, 487 Mass. 1, 11 (2021) (“[T]he purpose of this but-for standard is to separate the conduct that had no impact on the harm from the conduct that caused the harm.”).</w:t>
      </w:r>
    </w:p>
  </w:footnote>
  <w:footnote w:id="15">
    <w:p w14:paraId="1546EC26" w14:textId="19C3FF23" w:rsidR="004E03F8" w:rsidRDefault="004E03F8">
      <w:pPr>
        <w:pStyle w:val="FootnoteText"/>
      </w:pPr>
      <w:r>
        <w:rPr>
          <w:rStyle w:val="FootnoteReference"/>
        </w:rPr>
        <w:footnoteRef/>
      </w:r>
      <w:r>
        <w:t xml:space="preserve"> </w:t>
      </w:r>
      <w:proofErr w:type="spellStart"/>
      <w:r w:rsidRPr="004E03F8">
        <w:rPr>
          <w:i/>
          <w:iCs/>
        </w:rPr>
        <w:t>Luppold</w:t>
      </w:r>
      <w:proofErr w:type="spellEnd"/>
      <w:r w:rsidRPr="004E03F8">
        <w:rPr>
          <w:i/>
          <w:iCs/>
        </w:rPr>
        <w:t xml:space="preserve"> v. Hanlon</w:t>
      </w:r>
      <w:r>
        <w:t xml:space="preserve">, 496 Mass. 148, 162 (2025). </w:t>
      </w:r>
    </w:p>
  </w:footnote>
  <w:footnote w:id="16">
    <w:p w14:paraId="17C05356" w14:textId="63B3C4DE" w:rsidR="00FA1C4E" w:rsidRDefault="00FA1C4E" w:rsidP="00FA1C4E">
      <w:pPr>
        <w:pStyle w:val="FootnoteText"/>
      </w:pPr>
      <w:r>
        <w:rPr>
          <w:rStyle w:val="FootnoteReference"/>
          <w:rFonts w:cs="Segoe UI Historic"/>
        </w:rPr>
        <w:footnoteRef/>
      </w:r>
      <w:r>
        <w:rPr>
          <w:rFonts w:cs="Segoe UI Historic"/>
        </w:rPr>
        <w:t xml:space="preserve"> </w:t>
      </w:r>
      <w:r>
        <w:rPr>
          <w:rFonts w:ascii="Times New Roman" w:hAnsi="Times New Roman"/>
          <w:i/>
          <w:iCs/>
        </w:rPr>
        <w:tab/>
      </w:r>
      <w:r>
        <w:rPr>
          <w:i/>
          <w:iCs/>
        </w:rPr>
        <w:t>Doull</w:t>
      </w:r>
      <w:r>
        <w:t>, 487 Mass. at</w:t>
      </w:r>
      <w:r w:rsidR="004E03F8">
        <w:t xml:space="preserve"> </w:t>
      </w:r>
      <w:r>
        <w:t>12-13 (“[T]he focus instead remains only on whether, in the absence of a defendant's conduct, the harm would have still occurred.”).</w:t>
      </w:r>
    </w:p>
  </w:footnote>
  <w:footnote w:id="17">
    <w:p w14:paraId="4849D732" w14:textId="32EBEC5D" w:rsidR="00FA1C4E" w:rsidRDefault="00FA1C4E" w:rsidP="00FA1C4E">
      <w:pPr>
        <w:pStyle w:val="FootnoteText"/>
        <w:rPr>
          <w:szCs w:val="22"/>
        </w:rPr>
      </w:pPr>
      <w:r>
        <w:rPr>
          <w:rStyle w:val="FootnoteReference"/>
          <w:rFonts w:ascii="Times New Roman" w:hAnsi="Times New Roman"/>
        </w:rPr>
        <w:footnoteRef/>
      </w:r>
      <w:r>
        <w:t xml:space="preserve"> </w:t>
      </w:r>
      <w:r>
        <w:tab/>
        <w:t xml:space="preserve">“Where multiple causes are alleged, it is appropriate to instruct a jury that there can be more than one factual cause of a harm.” </w:t>
      </w:r>
      <w:r>
        <w:rPr>
          <w:i/>
        </w:rPr>
        <w:t>Doull v. Foster</w:t>
      </w:r>
      <w:r>
        <w:t xml:space="preserve">, </w:t>
      </w:r>
      <w:r>
        <w:rPr>
          <w:szCs w:val="22"/>
        </w:rPr>
        <w:t>487</w:t>
      </w:r>
      <w:r>
        <w:t xml:space="preserve"> Mass. </w:t>
      </w:r>
      <w:r>
        <w:rPr>
          <w:szCs w:val="22"/>
        </w:rPr>
        <w:t>1, 13</w:t>
      </w:r>
      <w:r>
        <w:t xml:space="preserve"> n.</w:t>
      </w:r>
      <w:r>
        <w:rPr>
          <w:szCs w:val="22"/>
        </w:rPr>
        <w:t>13</w:t>
      </w:r>
      <w:r>
        <w:t xml:space="preserve"> (2021)</w:t>
      </w:r>
      <w:r w:rsidR="001F7C09">
        <w:t>;</w:t>
      </w:r>
      <w:r>
        <w:t xml:space="preserve"> </w:t>
      </w:r>
      <w:r w:rsidR="001F7C09">
        <w:t>s</w:t>
      </w:r>
      <w:r>
        <w:t xml:space="preserve">ee also </w:t>
      </w:r>
      <w:r>
        <w:rPr>
          <w:i/>
        </w:rPr>
        <w:t>Id</w:t>
      </w:r>
      <w:r>
        <w:t>. at</w:t>
      </w:r>
      <w:r w:rsidR="001F7C09">
        <w:t> </w:t>
      </w:r>
      <w:r>
        <w:rPr>
          <w:szCs w:val="22"/>
        </w:rPr>
        <w:t>12</w:t>
      </w:r>
      <w:r>
        <w:t xml:space="preserve"> (“[T]here is no requirement that a defendant must be the sole factual cause of a harm.”). Arguably, “there will always be multiple . . . factual causes of a harm, although most will not be of significance for tort law and many will be unidentified." Restatement of Torts (Third) § 26 comment c</w:t>
      </w:r>
      <w:r>
        <w:rPr>
          <w:szCs w:val="22"/>
        </w:rPr>
        <w:t xml:space="preserve">, quoted in </w:t>
      </w:r>
      <w:r>
        <w:rPr>
          <w:i/>
          <w:szCs w:val="22"/>
        </w:rPr>
        <w:t>Doull</w:t>
      </w:r>
      <w:r>
        <w:rPr>
          <w:szCs w:val="22"/>
        </w:rPr>
        <w:t>, 487 Mass. at 12, which also cited</w:t>
      </w:r>
      <w:r>
        <w:t xml:space="preserve"> </w:t>
      </w:r>
      <w:r>
        <w:rPr>
          <w:i/>
        </w:rPr>
        <w:t>June v. Union Carbide Corp</w:t>
      </w:r>
      <w:r>
        <w:t>., 577 F.3d 1234, 1242 (10th Cir. 2009) ("A number of factors [often innocent] generally must coexist for a tortfeasor's conduct to result in injury to the plaintiff. . . . That there are many factors does not mean that the defendant's conduct was not a cause"). Multiple causes appear in many commonly litigated negligence cases, including those alleging comparative negligence, cases alleging independent negligence by multiple defendants (not based on vicarious liability</w:t>
      </w:r>
      <w:r>
        <w:rPr>
          <w:szCs w:val="22"/>
        </w:rPr>
        <w:t>),</w:t>
      </w:r>
      <w:r>
        <w:t xml:space="preserve"> and cases involving environmental or organic causes, such as medical malpractice cases where an organic condition is a necessary cause of the death or injury. </w:t>
      </w:r>
    </w:p>
    <w:p w14:paraId="53D1618B" w14:textId="77777777" w:rsidR="00FA1C4E" w:rsidRDefault="00FA1C4E" w:rsidP="00FA1C4E">
      <w:pPr>
        <w:pStyle w:val="FootnoteText"/>
        <w:ind w:left="630" w:hanging="360"/>
      </w:pPr>
      <w:r>
        <w:rPr>
          <w:i/>
        </w:rPr>
        <w:t>Doull</w:t>
      </w:r>
      <w:r>
        <w:t xml:space="preserve"> quoted further from the Restatement on the multiple cause issue:</w:t>
      </w:r>
    </w:p>
    <w:p w14:paraId="2297FD2C" w14:textId="77777777" w:rsidR="00FA1C4E" w:rsidRDefault="00FA1C4E" w:rsidP="001F7C09">
      <w:pPr>
        <w:pStyle w:val="FootnoteText"/>
        <w:ind w:left="576" w:firstLine="0"/>
      </w:pPr>
      <w:r>
        <w:t xml:space="preserve">In fact, there is no limit on how many factual causes there can be of a harm. . . .The focus instead remains only on whether, in the absence of a defendant's conduct, the harm would have still occurred. See [Restatement (Third) § 26 comment c] ("The existence of other causes of the harm does not affect whether specified tortious conduct was a necessary condition for the harm to occur"). This is not a high bar. See </w:t>
      </w:r>
      <w:r>
        <w:rPr>
          <w:i/>
        </w:rPr>
        <w:t>id</w:t>
      </w:r>
      <w:r>
        <w:t xml:space="preserve">. at § 26 comment i ("Quite often, each of the alleged acts or omissions is a cause of the harm, i.e., in the absence of any one, the harm would not have occurred"). And acknowledging the potential for multiple but-for causes "obviates any need for substantial factor as a test for causation." Reporters' Note to Restatement (Third) § 26 comment j. </w:t>
      </w:r>
    </w:p>
    <w:p w14:paraId="3BD83523" w14:textId="77777777" w:rsidR="00FA1C4E" w:rsidRDefault="00FA1C4E" w:rsidP="00FA1C4E">
      <w:pPr>
        <w:pStyle w:val="FootnoteText"/>
        <w:spacing w:before="0"/>
        <w:ind w:left="576"/>
        <w:rPr>
          <w:rFonts w:ascii="Times New Roman" w:hAnsi="Times New Roman"/>
        </w:rPr>
      </w:pPr>
      <w:r>
        <w:rPr>
          <w:i/>
          <w:iCs/>
        </w:rPr>
        <w:t>Doull</w:t>
      </w:r>
      <w:r>
        <w:t>, 487 Mass. at 12-13.</w:t>
      </w:r>
    </w:p>
  </w:footnote>
  <w:footnote w:id="18">
    <w:p w14:paraId="43D4948A" w14:textId="2DA82329" w:rsidR="00FA1C4E" w:rsidRDefault="00FA1C4E" w:rsidP="00FA1C4E">
      <w:pPr>
        <w:pStyle w:val="FootnoteText"/>
      </w:pPr>
      <w:r>
        <w:rPr>
          <w:rStyle w:val="FootnoteReference"/>
        </w:rPr>
        <w:footnoteRef/>
      </w:r>
      <w:r w:rsidR="00187FB6">
        <w:t xml:space="preserve"> </w:t>
      </w:r>
      <w:r>
        <w:tab/>
        <w:t xml:space="preserve">In </w:t>
      </w:r>
      <w:r>
        <w:rPr>
          <w:i/>
          <w:iCs/>
        </w:rPr>
        <w:t xml:space="preserve">Doull </w:t>
      </w:r>
      <w:r>
        <w:t xml:space="preserve">v. </w:t>
      </w:r>
      <w:r>
        <w:rPr>
          <w:i/>
          <w:iCs/>
        </w:rPr>
        <w:t>Foster,</w:t>
      </w:r>
      <w:r>
        <w:t xml:space="preserve"> 487 Mass. 1, 8 (2021), the court noted:</w:t>
      </w:r>
    </w:p>
    <w:p w14:paraId="4D5343E1" w14:textId="77777777" w:rsidR="00FA1C4E" w:rsidRDefault="00FA1C4E" w:rsidP="001F7C09">
      <w:pPr>
        <w:pStyle w:val="FootnoteText"/>
        <w:ind w:left="432" w:firstLine="0"/>
      </w:pPr>
      <w:r>
        <w:t xml:space="preserve">Additionally, for the defendant to be liable, the defendant must also have been a legal cause of the harm. This means that the harm must have been “within the scope of the foreseeable risk arising from the negligent conduct.” </w:t>
      </w:r>
      <w:r>
        <w:rPr>
          <w:i/>
          <w:iCs/>
        </w:rPr>
        <w:t>Leavitt,</w:t>
      </w:r>
      <w:r>
        <w:t xml:space="preserve"> 454 Mass. at 45. This aspect of causation is “based on considerations of policy and pragmatic judgment.” </w:t>
      </w:r>
      <w:r>
        <w:rPr>
          <w:i/>
          <w:iCs/>
        </w:rPr>
        <w:t>Kent</w:t>
      </w:r>
      <w:r>
        <w:t xml:space="preserve">, 437 Mass. at 320–321, quoting </w:t>
      </w:r>
      <w:r>
        <w:rPr>
          <w:i/>
          <w:iCs/>
        </w:rPr>
        <w:t xml:space="preserve">Poskus </w:t>
      </w:r>
      <w:r>
        <w:t xml:space="preserve">v. </w:t>
      </w:r>
      <w:r>
        <w:rPr>
          <w:i/>
          <w:iCs/>
        </w:rPr>
        <w:t>Lombardo's of Randolph, Inc.,</w:t>
      </w:r>
      <w:r>
        <w:t xml:space="preserve"> 423 Mass. 637, 640 (1996).</w:t>
      </w:r>
    </w:p>
  </w:footnote>
  <w:footnote w:id="19">
    <w:p w14:paraId="0E5FEF19" w14:textId="3014160B" w:rsidR="00FA1C4E" w:rsidRDefault="00FA1C4E" w:rsidP="00FA1C4E">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001F7C09">
        <w:t>T</w:t>
      </w:r>
      <w:r>
        <w:t>his instruction uses the word “predictable” but the judge may decide to use the more technical term “foreseeable.”</w:t>
      </w:r>
    </w:p>
  </w:footnote>
  <w:footnote w:id="20">
    <w:p w14:paraId="5AC75AFA" w14:textId="77777777" w:rsidR="00726996" w:rsidRPr="00B93949" w:rsidRDefault="00726996" w:rsidP="00726996">
      <w:pPr>
        <w:pStyle w:val="FootnoteText"/>
      </w:pPr>
      <w:r w:rsidRPr="00B93949">
        <w:rPr>
          <w:rStyle w:val="FootnoteReference"/>
          <w:rFonts w:cs="Segoe UI Historic"/>
          <w:szCs w:val="22"/>
        </w:rPr>
        <w:footnoteRef/>
      </w:r>
      <w:r w:rsidRPr="00B93949">
        <w:t xml:space="preserve"> </w:t>
      </w:r>
      <w:r>
        <w:tab/>
      </w:r>
      <w:r w:rsidRPr="00B93949">
        <w:t xml:space="preserve">See </w:t>
      </w:r>
      <w:r w:rsidRPr="001B62B6">
        <w:rPr>
          <w:i/>
        </w:rPr>
        <w:t xml:space="preserve">Blake </w:t>
      </w:r>
      <w:r w:rsidRPr="001B62B6">
        <w:rPr>
          <w:iCs/>
        </w:rPr>
        <w:t>v.</w:t>
      </w:r>
      <w:r w:rsidRPr="001B62B6">
        <w:rPr>
          <w:i/>
        </w:rPr>
        <w:t xml:space="preserve"> Springfield Street Railway Co.,</w:t>
      </w:r>
      <w:r w:rsidRPr="00B93949">
        <w:t xml:space="preserve"> 9 Mass. App. Ct. 912, 913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046510"/>
    <w:lvl w:ilvl="0">
      <w:start w:val="1"/>
      <w:numFmt w:val="decimal"/>
      <w:lvlText w:val="%1."/>
      <w:lvlJc w:val="left"/>
      <w:pPr>
        <w:tabs>
          <w:tab w:val="num" w:pos="2268"/>
        </w:tabs>
        <w:ind w:left="2268" w:hanging="360"/>
      </w:pPr>
    </w:lvl>
  </w:abstractNum>
  <w:abstractNum w:abstractNumId="1" w15:restartNumberingAfterBreak="0">
    <w:nsid w:val="FFFFFF7D"/>
    <w:multiLevelType w:val="singleLevel"/>
    <w:tmpl w:val="9D32FD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466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BC68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DE1E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38D5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3A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7634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860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303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21DD5"/>
    <w:multiLevelType w:val="multilevel"/>
    <w:tmpl w:val="5F967FC8"/>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219B653B"/>
    <w:multiLevelType w:val="hybridMultilevel"/>
    <w:tmpl w:val="002049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D1F0CA2"/>
    <w:multiLevelType w:val="multilevel"/>
    <w:tmpl w:val="888A85E6"/>
    <w:lvl w:ilvl="0">
      <w:start w:val="1"/>
      <w:numFmt w:val="bullet"/>
      <w:lvlText w:val="o"/>
      <w:lvlJc w:val="left"/>
      <w:pPr>
        <w:ind w:left="1584" w:hanging="360"/>
      </w:pPr>
      <w:rPr>
        <w:rFonts w:ascii="Courier New" w:eastAsia="Courier New" w:hAnsi="Courier New" w:cs="Courier New"/>
      </w:rPr>
    </w:lvl>
    <w:lvl w:ilvl="1">
      <w:start w:val="1"/>
      <w:numFmt w:val="bullet"/>
      <w:lvlText w:val="o"/>
      <w:lvlJc w:val="left"/>
      <w:pPr>
        <w:ind w:left="2304" w:hanging="360"/>
      </w:pPr>
      <w:rPr>
        <w:rFonts w:ascii="Courier New" w:eastAsia="Courier New" w:hAnsi="Courier New" w:cs="Courier New"/>
      </w:rPr>
    </w:lvl>
    <w:lvl w:ilvl="2">
      <w:start w:val="1"/>
      <w:numFmt w:val="bullet"/>
      <w:lvlText w:val="▪"/>
      <w:lvlJc w:val="left"/>
      <w:pPr>
        <w:ind w:left="3024" w:hanging="360"/>
      </w:pPr>
      <w:rPr>
        <w:rFonts w:ascii="Noto Sans Symbols" w:eastAsia="Noto Sans Symbols" w:hAnsi="Noto Sans Symbols" w:cs="Noto Sans Symbols"/>
      </w:rPr>
    </w:lvl>
    <w:lvl w:ilvl="3">
      <w:start w:val="1"/>
      <w:numFmt w:val="bullet"/>
      <w:lvlText w:val="●"/>
      <w:lvlJc w:val="left"/>
      <w:pPr>
        <w:ind w:left="3744" w:hanging="360"/>
      </w:pPr>
      <w:rPr>
        <w:rFonts w:ascii="Noto Sans Symbols" w:eastAsia="Noto Sans Symbols" w:hAnsi="Noto Sans Symbols" w:cs="Noto Sans Symbols"/>
      </w:rPr>
    </w:lvl>
    <w:lvl w:ilvl="4">
      <w:start w:val="1"/>
      <w:numFmt w:val="bullet"/>
      <w:lvlText w:val="o"/>
      <w:lvlJc w:val="left"/>
      <w:pPr>
        <w:ind w:left="4464" w:hanging="360"/>
      </w:pPr>
      <w:rPr>
        <w:rFonts w:ascii="Courier New" w:eastAsia="Courier New" w:hAnsi="Courier New" w:cs="Courier New"/>
      </w:rPr>
    </w:lvl>
    <w:lvl w:ilvl="5">
      <w:start w:val="1"/>
      <w:numFmt w:val="bullet"/>
      <w:lvlText w:val="▪"/>
      <w:lvlJc w:val="left"/>
      <w:pPr>
        <w:ind w:left="5184" w:hanging="360"/>
      </w:pPr>
      <w:rPr>
        <w:rFonts w:ascii="Noto Sans Symbols" w:eastAsia="Noto Sans Symbols" w:hAnsi="Noto Sans Symbols" w:cs="Noto Sans Symbols"/>
      </w:rPr>
    </w:lvl>
    <w:lvl w:ilvl="6">
      <w:start w:val="1"/>
      <w:numFmt w:val="bullet"/>
      <w:lvlText w:val="●"/>
      <w:lvlJc w:val="left"/>
      <w:pPr>
        <w:ind w:left="5904" w:hanging="360"/>
      </w:pPr>
      <w:rPr>
        <w:rFonts w:ascii="Noto Sans Symbols" w:eastAsia="Noto Sans Symbols" w:hAnsi="Noto Sans Symbols" w:cs="Noto Sans Symbols"/>
      </w:rPr>
    </w:lvl>
    <w:lvl w:ilvl="7">
      <w:start w:val="1"/>
      <w:numFmt w:val="bullet"/>
      <w:lvlText w:val="o"/>
      <w:lvlJc w:val="left"/>
      <w:pPr>
        <w:ind w:left="6624" w:hanging="360"/>
      </w:pPr>
      <w:rPr>
        <w:rFonts w:ascii="Courier New" w:eastAsia="Courier New" w:hAnsi="Courier New" w:cs="Courier New"/>
      </w:rPr>
    </w:lvl>
    <w:lvl w:ilvl="8">
      <w:start w:val="1"/>
      <w:numFmt w:val="bullet"/>
      <w:lvlText w:val="▪"/>
      <w:lvlJc w:val="left"/>
      <w:pPr>
        <w:ind w:left="7344" w:hanging="360"/>
      </w:pPr>
      <w:rPr>
        <w:rFonts w:ascii="Noto Sans Symbols" w:eastAsia="Noto Sans Symbols" w:hAnsi="Noto Sans Symbols" w:cs="Noto Sans Symbols"/>
      </w:rPr>
    </w:lvl>
  </w:abstractNum>
  <w:abstractNum w:abstractNumId="15"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3F461374"/>
    <w:multiLevelType w:val="multilevel"/>
    <w:tmpl w:val="DCFEB602"/>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7" w15:restartNumberingAfterBreak="0">
    <w:nsid w:val="589645B4"/>
    <w:multiLevelType w:val="multilevel"/>
    <w:tmpl w:val="A44EF486"/>
    <w:lvl w:ilvl="0">
      <w:start w:val="1"/>
      <w:numFmt w:val="decimal"/>
      <w:lvlText w:val="%1."/>
      <w:lvlJc w:val="left"/>
      <w:pPr>
        <w:ind w:left="864" w:hanging="359"/>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18" w15:restartNumberingAfterBreak="0">
    <w:nsid w:val="7AA553CB"/>
    <w:multiLevelType w:val="multilevel"/>
    <w:tmpl w:val="B0E25ACE"/>
    <w:lvl w:ilvl="0">
      <w:start w:val="1"/>
      <w:numFmt w:val="decimal"/>
      <w:pStyle w:val="Level1"/>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300775220">
    <w:abstractNumId w:val="15"/>
  </w:num>
  <w:num w:numId="2" w16cid:durableId="309094089">
    <w:abstractNumId w:val="12"/>
  </w:num>
  <w:num w:numId="3" w16cid:durableId="46924600">
    <w:abstractNumId w:val="0"/>
  </w:num>
  <w:num w:numId="4" w16cid:durableId="572933164">
    <w:abstractNumId w:val="1"/>
  </w:num>
  <w:num w:numId="5" w16cid:durableId="1225681643">
    <w:abstractNumId w:val="2"/>
  </w:num>
  <w:num w:numId="6" w16cid:durableId="1966890016">
    <w:abstractNumId w:val="3"/>
  </w:num>
  <w:num w:numId="7" w16cid:durableId="209538287">
    <w:abstractNumId w:val="8"/>
  </w:num>
  <w:num w:numId="8" w16cid:durableId="703989305">
    <w:abstractNumId w:val="4"/>
  </w:num>
  <w:num w:numId="9" w16cid:durableId="97218713">
    <w:abstractNumId w:val="5"/>
  </w:num>
  <w:num w:numId="10" w16cid:durableId="165704959">
    <w:abstractNumId w:val="6"/>
  </w:num>
  <w:num w:numId="11" w16cid:durableId="1947302059">
    <w:abstractNumId w:val="7"/>
  </w:num>
  <w:num w:numId="12" w16cid:durableId="1988632338">
    <w:abstractNumId w:val="9"/>
  </w:num>
  <w:num w:numId="13" w16cid:durableId="109859809">
    <w:abstractNumId w:val="12"/>
  </w:num>
  <w:num w:numId="14" w16cid:durableId="1281451648">
    <w:abstractNumId w:val="11"/>
  </w:num>
  <w:num w:numId="15" w16cid:durableId="1010834628">
    <w:abstractNumId w:val="17"/>
  </w:num>
  <w:num w:numId="16" w16cid:durableId="1242372343">
    <w:abstractNumId w:val="16"/>
  </w:num>
  <w:num w:numId="17" w16cid:durableId="2066251183">
    <w:abstractNumId w:val="18"/>
  </w:num>
  <w:num w:numId="18" w16cid:durableId="834221130">
    <w:abstractNumId w:val="10"/>
  </w:num>
  <w:num w:numId="19" w16cid:durableId="1689060582">
    <w:abstractNumId w:val="14"/>
  </w:num>
  <w:num w:numId="20" w16cid:durableId="1931503509">
    <w:abstractNumId w:val="13"/>
  </w:num>
  <w:num w:numId="21" w16cid:durableId="783425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124CA"/>
    <w:rsid w:val="00016CA0"/>
    <w:rsid w:val="0002102E"/>
    <w:rsid w:val="000274FA"/>
    <w:rsid w:val="00034C2E"/>
    <w:rsid w:val="00037245"/>
    <w:rsid w:val="00046BF4"/>
    <w:rsid w:val="00072677"/>
    <w:rsid w:val="000733B8"/>
    <w:rsid w:val="000933C9"/>
    <w:rsid w:val="000A2CDD"/>
    <w:rsid w:val="000A3C15"/>
    <w:rsid w:val="000B7B9E"/>
    <w:rsid w:val="000B7DB0"/>
    <w:rsid w:val="000C24D3"/>
    <w:rsid w:val="000D024A"/>
    <w:rsid w:val="000D70C6"/>
    <w:rsid w:val="000E7622"/>
    <w:rsid w:val="00101FC1"/>
    <w:rsid w:val="0010739E"/>
    <w:rsid w:val="00122780"/>
    <w:rsid w:val="00130F23"/>
    <w:rsid w:val="00134C68"/>
    <w:rsid w:val="00137B7E"/>
    <w:rsid w:val="0014289B"/>
    <w:rsid w:val="0017397B"/>
    <w:rsid w:val="001741AF"/>
    <w:rsid w:val="00180E39"/>
    <w:rsid w:val="00187FB6"/>
    <w:rsid w:val="001A2A21"/>
    <w:rsid w:val="001B62B6"/>
    <w:rsid w:val="001B668B"/>
    <w:rsid w:val="001B7748"/>
    <w:rsid w:val="001C5FA5"/>
    <w:rsid w:val="001D701D"/>
    <w:rsid w:val="001E2162"/>
    <w:rsid w:val="001F7C09"/>
    <w:rsid w:val="00211FC1"/>
    <w:rsid w:val="0021350F"/>
    <w:rsid w:val="00213ABA"/>
    <w:rsid w:val="00220279"/>
    <w:rsid w:val="00221552"/>
    <w:rsid w:val="00224A6C"/>
    <w:rsid w:val="00243946"/>
    <w:rsid w:val="00255AF5"/>
    <w:rsid w:val="00257345"/>
    <w:rsid w:val="002622B0"/>
    <w:rsid w:val="00276A44"/>
    <w:rsid w:val="00280BF0"/>
    <w:rsid w:val="0029034F"/>
    <w:rsid w:val="002917D3"/>
    <w:rsid w:val="00294F89"/>
    <w:rsid w:val="002A2C60"/>
    <w:rsid w:val="002B078F"/>
    <w:rsid w:val="002D7B7E"/>
    <w:rsid w:val="00303039"/>
    <w:rsid w:val="003337E3"/>
    <w:rsid w:val="0033592F"/>
    <w:rsid w:val="00353516"/>
    <w:rsid w:val="00367D05"/>
    <w:rsid w:val="00375867"/>
    <w:rsid w:val="003956F8"/>
    <w:rsid w:val="003B2352"/>
    <w:rsid w:val="003D252B"/>
    <w:rsid w:val="00420329"/>
    <w:rsid w:val="0045642F"/>
    <w:rsid w:val="004848CB"/>
    <w:rsid w:val="004A17ED"/>
    <w:rsid w:val="004A3BE2"/>
    <w:rsid w:val="004C57C9"/>
    <w:rsid w:val="004E03F8"/>
    <w:rsid w:val="004E0FA1"/>
    <w:rsid w:val="005066AA"/>
    <w:rsid w:val="00516C98"/>
    <w:rsid w:val="005446C0"/>
    <w:rsid w:val="005446E2"/>
    <w:rsid w:val="00550249"/>
    <w:rsid w:val="00594672"/>
    <w:rsid w:val="00596E5A"/>
    <w:rsid w:val="005D3F29"/>
    <w:rsid w:val="005D7CC9"/>
    <w:rsid w:val="005E4167"/>
    <w:rsid w:val="005F19C4"/>
    <w:rsid w:val="00661263"/>
    <w:rsid w:val="00676B44"/>
    <w:rsid w:val="006A5813"/>
    <w:rsid w:val="006D705D"/>
    <w:rsid w:val="006F2D22"/>
    <w:rsid w:val="00712A3E"/>
    <w:rsid w:val="00714C98"/>
    <w:rsid w:val="0071734C"/>
    <w:rsid w:val="00717B5A"/>
    <w:rsid w:val="00720E2B"/>
    <w:rsid w:val="00726996"/>
    <w:rsid w:val="00736344"/>
    <w:rsid w:val="007459DD"/>
    <w:rsid w:val="00746093"/>
    <w:rsid w:val="00763B99"/>
    <w:rsid w:val="007C7198"/>
    <w:rsid w:val="007D067A"/>
    <w:rsid w:val="007D2B59"/>
    <w:rsid w:val="007E7B77"/>
    <w:rsid w:val="00816B4F"/>
    <w:rsid w:val="00825AD8"/>
    <w:rsid w:val="00834E34"/>
    <w:rsid w:val="00845EC7"/>
    <w:rsid w:val="008733AA"/>
    <w:rsid w:val="00880AA6"/>
    <w:rsid w:val="008D1D52"/>
    <w:rsid w:val="008E1689"/>
    <w:rsid w:val="008F14DC"/>
    <w:rsid w:val="00922E20"/>
    <w:rsid w:val="009378E4"/>
    <w:rsid w:val="00944C95"/>
    <w:rsid w:val="0094500B"/>
    <w:rsid w:val="00966592"/>
    <w:rsid w:val="009750FE"/>
    <w:rsid w:val="00992410"/>
    <w:rsid w:val="009B481F"/>
    <w:rsid w:val="009C12A7"/>
    <w:rsid w:val="009C68E7"/>
    <w:rsid w:val="009D0F13"/>
    <w:rsid w:val="009E77EB"/>
    <w:rsid w:val="00A007DB"/>
    <w:rsid w:val="00A05B86"/>
    <w:rsid w:val="00A11754"/>
    <w:rsid w:val="00A164C0"/>
    <w:rsid w:val="00A23907"/>
    <w:rsid w:val="00A2501E"/>
    <w:rsid w:val="00A2789E"/>
    <w:rsid w:val="00A55E4E"/>
    <w:rsid w:val="00A56498"/>
    <w:rsid w:val="00A65D5C"/>
    <w:rsid w:val="00A76145"/>
    <w:rsid w:val="00A917A4"/>
    <w:rsid w:val="00A9249A"/>
    <w:rsid w:val="00A95EAD"/>
    <w:rsid w:val="00AB310C"/>
    <w:rsid w:val="00AC2E9F"/>
    <w:rsid w:val="00AC5FEA"/>
    <w:rsid w:val="00AF6831"/>
    <w:rsid w:val="00B02468"/>
    <w:rsid w:val="00B2579A"/>
    <w:rsid w:val="00B520AB"/>
    <w:rsid w:val="00B5547C"/>
    <w:rsid w:val="00B615BC"/>
    <w:rsid w:val="00B658A0"/>
    <w:rsid w:val="00B67BDF"/>
    <w:rsid w:val="00B74C91"/>
    <w:rsid w:val="00B75859"/>
    <w:rsid w:val="00BA5BDC"/>
    <w:rsid w:val="00BD2EF6"/>
    <w:rsid w:val="00BE7335"/>
    <w:rsid w:val="00BF0717"/>
    <w:rsid w:val="00BF08B5"/>
    <w:rsid w:val="00BF3B1C"/>
    <w:rsid w:val="00C0585B"/>
    <w:rsid w:val="00C15B17"/>
    <w:rsid w:val="00C21C16"/>
    <w:rsid w:val="00C23791"/>
    <w:rsid w:val="00C43AEF"/>
    <w:rsid w:val="00C53A39"/>
    <w:rsid w:val="00C5670C"/>
    <w:rsid w:val="00C83730"/>
    <w:rsid w:val="00C83A5D"/>
    <w:rsid w:val="00C92CFE"/>
    <w:rsid w:val="00C94BFA"/>
    <w:rsid w:val="00CA6EED"/>
    <w:rsid w:val="00CB1572"/>
    <w:rsid w:val="00CC7CD5"/>
    <w:rsid w:val="00CD7576"/>
    <w:rsid w:val="00CF02A8"/>
    <w:rsid w:val="00D17255"/>
    <w:rsid w:val="00D20C87"/>
    <w:rsid w:val="00D24B5C"/>
    <w:rsid w:val="00D447A2"/>
    <w:rsid w:val="00D60E1D"/>
    <w:rsid w:val="00D71FE5"/>
    <w:rsid w:val="00D76D47"/>
    <w:rsid w:val="00D8732A"/>
    <w:rsid w:val="00D9196F"/>
    <w:rsid w:val="00DB3442"/>
    <w:rsid w:val="00DB6604"/>
    <w:rsid w:val="00DC61A7"/>
    <w:rsid w:val="00DD418D"/>
    <w:rsid w:val="00DE244C"/>
    <w:rsid w:val="00E04282"/>
    <w:rsid w:val="00E174B0"/>
    <w:rsid w:val="00E43392"/>
    <w:rsid w:val="00E4752B"/>
    <w:rsid w:val="00E700EB"/>
    <w:rsid w:val="00E83D39"/>
    <w:rsid w:val="00EA49A1"/>
    <w:rsid w:val="00EC186E"/>
    <w:rsid w:val="00EE1450"/>
    <w:rsid w:val="00F07A2B"/>
    <w:rsid w:val="00F10AE9"/>
    <w:rsid w:val="00F11C6F"/>
    <w:rsid w:val="00F12C26"/>
    <w:rsid w:val="00F31133"/>
    <w:rsid w:val="00F43521"/>
    <w:rsid w:val="00F53A1B"/>
    <w:rsid w:val="00F56CC7"/>
    <w:rsid w:val="00F57D08"/>
    <w:rsid w:val="00F74A90"/>
    <w:rsid w:val="00F83046"/>
    <w:rsid w:val="00FA1C4E"/>
    <w:rsid w:val="00FC5FC0"/>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customStyle="1" w:styleId="Level1">
    <w:name w:val="Level 1"/>
    <w:basedOn w:val="Normal"/>
    <w:rsid w:val="000C24D3"/>
    <w:pPr>
      <w:widowControl w:val="0"/>
      <w:numPr>
        <w:numId w:val="17"/>
      </w:numPr>
      <w:autoSpaceDE w:val="0"/>
      <w:autoSpaceDN w:val="0"/>
      <w:adjustRightInd w:val="0"/>
      <w:ind w:left="1440" w:hanging="720"/>
      <w:outlineLvl w:val="0"/>
    </w:pPr>
    <w:rPr>
      <w:rFonts w:ascii="Courier" w:hAnsi="Courier"/>
      <w:kern w:val="0"/>
    </w:rPr>
  </w:style>
  <w:style w:type="paragraph" w:styleId="ListParagraph">
    <w:name w:val="List Paragraph"/>
    <w:basedOn w:val="Normal"/>
    <w:uiPriority w:val="34"/>
    <w:qFormat/>
    <w:rsid w:val="00F56CC7"/>
    <w:pPr>
      <w:ind w:left="720"/>
      <w:contextualSpacing/>
    </w:pPr>
  </w:style>
  <w:style w:type="character" w:styleId="CommentReference">
    <w:name w:val="annotation reference"/>
    <w:basedOn w:val="DefaultParagraphFont"/>
    <w:uiPriority w:val="99"/>
    <w:semiHidden/>
    <w:unhideWhenUsed/>
    <w:rsid w:val="0021350F"/>
    <w:rPr>
      <w:sz w:val="16"/>
      <w:szCs w:val="16"/>
    </w:rPr>
  </w:style>
  <w:style w:type="paragraph" w:styleId="CommentText">
    <w:name w:val="annotation text"/>
    <w:basedOn w:val="Normal"/>
    <w:link w:val="CommentTextChar"/>
    <w:uiPriority w:val="99"/>
    <w:semiHidden/>
    <w:unhideWhenUsed/>
    <w:rsid w:val="0021350F"/>
    <w:rPr>
      <w:sz w:val="20"/>
      <w:szCs w:val="20"/>
    </w:rPr>
  </w:style>
  <w:style w:type="character" w:customStyle="1" w:styleId="CommentTextChar">
    <w:name w:val="Comment Text Char"/>
    <w:basedOn w:val="DefaultParagraphFont"/>
    <w:link w:val="CommentText"/>
    <w:uiPriority w:val="99"/>
    <w:semiHidden/>
    <w:rsid w:val="0021350F"/>
    <w:rPr>
      <w:rFonts w:ascii="Palatino Linotype" w:eastAsia="Times New Roman" w:hAnsi="Palatino Linotype" w:cs="Times New Roman"/>
      <w:kern w:val="20"/>
      <w:sz w:val="20"/>
      <w:szCs w:val="20"/>
    </w:rPr>
  </w:style>
  <w:style w:type="paragraph" w:styleId="CommentSubject">
    <w:name w:val="annotation subject"/>
    <w:basedOn w:val="CommentText"/>
    <w:next w:val="CommentText"/>
    <w:link w:val="CommentSubjectChar"/>
    <w:uiPriority w:val="99"/>
    <w:semiHidden/>
    <w:unhideWhenUsed/>
    <w:rsid w:val="0021350F"/>
    <w:rPr>
      <w:b/>
      <w:bCs/>
    </w:rPr>
  </w:style>
  <w:style w:type="character" w:customStyle="1" w:styleId="CommentSubjectChar">
    <w:name w:val="Comment Subject Char"/>
    <w:basedOn w:val="CommentTextChar"/>
    <w:link w:val="CommentSubject"/>
    <w:uiPriority w:val="99"/>
    <w:semiHidden/>
    <w:rsid w:val="0021350F"/>
    <w:rPr>
      <w:rFonts w:ascii="Palatino Linotype" w:eastAsia="Times New Roman" w:hAnsi="Palatino Linotype" w:cs="Times New Roman"/>
      <w:b/>
      <w:bCs/>
      <w:kern w:val="20"/>
      <w:sz w:val="20"/>
      <w:szCs w:val="20"/>
    </w:rPr>
  </w:style>
  <w:style w:type="paragraph" w:styleId="BalloonText">
    <w:name w:val="Balloon Text"/>
    <w:basedOn w:val="Normal"/>
    <w:link w:val="BalloonTextChar"/>
    <w:uiPriority w:val="99"/>
    <w:semiHidden/>
    <w:unhideWhenUsed/>
    <w:rsid w:val="004E0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A1"/>
    <w:rPr>
      <w:rFonts w:ascii="Segoe UI" w:eastAsia="Times New Roman"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D061-5429-46D4-B120-5FDAA7ED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Steven F Kreager</cp:lastModifiedBy>
  <cp:revision>4</cp:revision>
  <cp:lastPrinted>2021-02-05T15:51:00Z</cp:lastPrinted>
  <dcterms:created xsi:type="dcterms:W3CDTF">2025-03-11T14:27:00Z</dcterms:created>
  <dcterms:modified xsi:type="dcterms:W3CDTF">2025-03-11T14:30:00Z</dcterms:modified>
</cp:coreProperties>
</file>