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88AA3" w14:textId="5F523858" w:rsidR="00E96FF2" w:rsidRPr="00E96FF2" w:rsidRDefault="00E96FF2" w:rsidP="00E96FF2">
      <w:pPr>
        <w:pStyle w:val="JuryInstructionText"/>
        <w:jc w:val="right"/>
        <w:rPr>
          <w:i/>
          <w:iCs/>
        </w:rPr>
      </w:pPr>
      <w:r w:rsidRPr="00720E2B">
        <w:rPr>
          <w:i/>
          <w:iCs/>
        </w:rPr>
        <w:t xml:space="preserve">Publication Date: </w:t>
      </w:r>
      <w:r w:rsidR="002242BD">
        <w:rPr>
          <w:i/>
          <w:iCs/>
        </w:rPr>
        <w:t>July 12</w:t>
      </w:r>
      <w:r>
        <w:rPr>
          <w:i/>
          <w:iCs/>
        </w:rPr>
        <w:t>, 2021</w:t>
      </w:r>
    </w:p>
    <w:p w14:paraId="71939A20" w14:textId="17F0968D" w:rsidR="00484F3D" w:rsidRPr="009E28B8" w:rsidRDefault="00484F3D" w:rsidP="004523DA">
      <w:pPr>
        <w:pStyle w:val="JuryInst2"/>
      </w:pPr>
      <w:r w:rsidRPr="009E28B8">
        <w:t>Negligence on Premises, Resulting in Personal Injury</w:t>
      </w:r>
    </w:p>
    <w:p w14:paraId="468CBECD" w14:textId="48AF3014" w:rsidR="00484F3D" w:rsidRPr="00A635DF" w:rsidRDefault="00484F3D" w:rsidP="00484F3D">
      <w:pPr>
        <w:pStyle w:val="JuryInstructionText"/>
      </w:pPr>
      <w:r>
        <w:t>PLF claims that DFT was negligent in [</w:t>
      </w:r>
      <w:r w:rsidRPr="00172AC9">
        <w:rPr>
          <w:i/>
          <w:iCs/>
        </w:rPr>
        <w:t>explain conduct at issue</w:t>
      </w:r>
      <w:r>
        <w:t>]</w:t>
      </w:r>
      <w:r w:rsidR="00083821">
        <w:t xml:space="preserve">. </w:t>
      </w:r>
      <w:r w:rsidRPr="00A635DF">
        <w:t>To prove negligence, PLF must show that the following [three] [four] things are more likely true than not true:</w:t>
      </w:r>
    </w:p>
    <w:p w14:paraId="20809E02" w14:textId="07D756B7" w:rsidR="00484F3D" w:rsidRPr="00D5428C" w:rsidRDefault="004523DA" w:rsidP="004523DA">
      <w:pPr>
        <w:pStyle w:val="JuryInstructionElements"/>
      </w:pPr>
      <w:r>
        <w:t>[</w:t>
      </w:r>
      <w:r w:rsidR="00484F3D">
        <w:t>&lt;</w:t>
      </w:r>
      <w:r w:rsidR="00484F3D" w:rsidRPr="004523DA">
        <w:rPr>
          <w:b/>
          <w:bCs/>
          <w:i/>
        </w:rPr>
        <w:t>only if disputed</w:t>
      </w:r>
      <w:r w:rsidR="00484F3D" w:rsidRPr="004523DA">
        <w:rPr>
          <w:b/>
          <w:bCs/>
        </w:rPr>
        <w:t>:</w:t>
      </w:r>
      <w:r>
        <w:rPr>
          <w:b/>
          <w:bCs/>
        </w:rPr>
        <w:t>&gt;</w:t>
      </w:r>
      <w:r w:rsidR="00484F3D" w:rsidRPr="00D5428C">
        <w:t xml:space="preserve"> </w:t>
      </w:r>
      <w:r>
        <w:t>1.</w:t>
      </w:r>
      <w:r>
        <w:tab/>
      </w:r>
      <w:r w:rsidR="00484F3D" w:rsidRPr="00D5428C">
        <w:t>Th</w:t>
      </w:r>
      <w:r w:rsidR="00484F3D">
        <w:t>at DFT owed PLF a duty of care</w:t>
      </w:r>
      <w:r>
        <w:t>;]</w:t>
      </w:r>
    </w:p>
    <w:p w14:paraId="013A7CE9" w14:textId="77777777" w:rsidR="00484F3D" w:rsidRPr="00A635DF" w:rsidRDefault="00484F3D" w:rsidP="00484F3D">
      <w:pPr>
        <w:pStyle w:val="JuryInstructionElements"/>
      </w:pPr>
      <w:r>
        <w:t>1.</w:t>
      </w:r>
      <w:r>
        <w:tab/>
      </w:r>
      <w:r w:rsidRPr="00A635DF">
        <w:t>That DFT failed to use reasonable care under all of the circumstances;</w:t>
      </w:r>
    </w:p>
    <w:p w14:paraId="3BD6A361" w14:textId="77777777" w:rsidR="00484F3D" w:rsidRPr="00A635DF" w:rsidRDefault="00484F3D" w:rsidP="00484F3D">
      <w:pPr>
        <w:pStyle w:val="JuryInstructionElements"/>
      </w:pPr>
      <w:r>
        <w:t>2.</w:t>
      </w:r>
      <w:r>
        <w:tab/>
      </w:r>
      <w:r w:rsidRPr="00A635DF">
        <w:t>That DFT</w:t>
      </w:r>
      <w:r>
        <w:t>’</w:t>
      </w:r>
      <w:r w:rsidRPr="00A635DF">
        <w:t>s failure to use reasonable care was a cause of PLF</w:t>
      </w:r>
      <w:r>
        <w:t>’</w:t>
      </w:r>
      <w:r w:rsidRPr="00A635DF">
        <w:t>s injury or harm; and</w:t>
      </w:r>
    </w:p>
    <w:p w14:paraId="34468493" w14:textId="77777777" w:rsidR="00484F3D" w:rsidRPr="00A635DF" w:rsidRDefault="00484F3D" w:rsidP="00484F3D">
      <w:pPr>
        <w:pStyle w:val="JuryInstructionElements"/>
      </w:pPr>
      <w:r>
        <w:t>3.</w:t>
      </w:r>
      <w:r>
        <w:tab/>
      </w:r>
      <w:r w:rsidRPr="00A635DF">
        <w:t>The extent of the alleged injury or harm, which we call “damages.”</w:t>
      </w:r>
    </w:p>
    <w:p w14:paraId="1058D385" w14:textId="1467FAF3" w:rsidR="00484F3D" w:rsidRDefault="00083821" w:rsidP="00484F3D">
      <w:pPr>
        <w:pStyle w:val="JuryInstructionText"/>
      </w:pPr>
      <w:r>
        <w:t>[</w:t>
      </w:r>
      <w:r w:rsidR="00484F3D" w:rsidRPr="00171DC7">
        <w:t>&lt;</w:t>
      </w:r>
      <w:r w:rsidR="00484F3D" w:rsidRPr="00083821">
        <w:rPr>
          <w:b/>
          <w:bCs/>
          <w:i/>
        </w:rPr>
        <w:t>if agency/respondeat superior is uncontested</w:t>
      </w:r>
      <w:r w:rsidR="00484F3D" w:rsidRPr="00171DC7">
        <w:t>&gt; If DFT was negligent, then you must find that his employer, DFT #2, was negligent as well</w:t>
      </w:r>
      <w:r>
        <w:t xml:space="preserve">. </w:t>
      </w:r>
      <w:r w:rsidR="00484F3D" w:rsidRPr="00171DC7">
        <w:t>Likewise, if DFT was not negligent, you must find that DFT #2 was not negligent</w:t>
      </w:r>
      <w:r>
        <w:t xml:space="preserve">. </w:t>
      </w:r>
      <w:r w:rsidR="00484F3D" w:rsidRPr="00171DC7">
        <w:t>For that reason, the verdict slip does not include any questions that specifically refer to DFT #2.</w:t>
      </w:r>
      <w:r w:rsidR="00172AC9">
        <w:t xml:space="preserve"> </w:t>
      </w:r>
      <w:r>
        <w:t>]</w:t>
      </w:r>
    </w:p>
    <w:p w14:paraId="3AB7602C" w14:textId="538478BA" w:rsidR="00484F3D" w:rsidRPr="00A635DF" w:rsidRDefault="00484F3D" w:rsidP="00484F3D">
      <w:pPr>
        <w:pStyle w:val="JuryInstructionText"/>
      </w:pPr>
      <w:r w:rsidRPr="00A635DF">
        <w:t>I will now describe each of these items in more detail</w:t>
      </w:r>
      <w:r w:rsidR="00083821">
        <w:t xml:space="preserve">. </w:t>
      </w:r>
    </w:p>
    <w:p w14:paraId="27F13D12" w14:textId="77777777" w:rsidR="00484F3D" w:rsidRPr="008C5764" w:rsidRDefault="00484F3D" w:rsidP="004523DA">
      <w:pPr>
        <w:pStyle w:val="JuryInst3"/>
      </w:pPr>
      <w:r w:rsidRPr="008C5764">
        <w:lastRenderedPageBreak/>
        <w:t>Premises Liability – Duty &lt;</w:t>
      </w:r>
      <w:r w:rsidRPr="008C5764">
        <w:rPr>
          <w:i/>
        </w:rPr>
        <w:t>Only If Disputed</w:t>
      </w:r>
      <w:r w:rsidRPr="008C5764">
        <w:t>&gt;</w:t>
      </w:r>
    </w:p>
    <w:p w14:paraId="6CC0A125" w14:textId="284E123D" w:rsidR="00484F3D" w:rsidRDefault="00484F3D" w:rsidP="00484F3D">
      <w:pPr>
        <w:pStyle w:val="JuryInstructionText"/>
      </w:pPr>
      <w:r w:rsidRPr="00171DC7">
        <w:t>First, PLF must prove that DFT owed him/her a responsibility</w:t>
      </w:r>
      <w:r>
        <w:rPr>
          <w:rStyle w:val="FootnoteReference"/>
        </w:rPr>
        <w:footnoteReference w:id="1"/>
      </w:r>
      <w:r w:rsidRPr="00171DC7">
        <w:t xml:space="preserve"> to be reasonably careful to avoid any predictable</w:t>
      </w:r>
      <w:r>
        <w:rPr>
          <w:rStyle w:val="FootnoteReference"/>
        </w:rPr>
        <w:footnoteReference w:id="2"/>
      </w:r>
      <w:r w:rsidRPr="00171DC7">
        <w:t xml:space="preserve"> injuries</w:t>
      </w:r>
      <w:r w:rsidR="00083821">
        <w:t xml:space="preserve">. </w:t>
      </w:r>
      <w:r w:rsidRPr="00171DC7">
        <w:t>To do this, PLF must prove</w:t>
      </w:r>
      <w:r>
        <w:t>,</w:t>
      </w:r>
      <w:r w:rsidRPr="00171DC7">
        <w:t xml:space="preserve"> more likely true than not</w:t>
      </w:r>
      <w:r>
        <w:t xml:space="preserve">, that </w:t>
      </w:r>
      <w:r w:rsidRPr="00A635DF">
        <w:t>DFT owned [</w:t>
      </w:r>
      <w:r>
        <w:t>or controlled</w:t>
      </w:r>
      <w:r w:rsidRPr="00A635DF">
        <w:t>] the property [where the incident occurred] [at location].</w:t>
      </w:r>
      <w:r>
        <w:rPr>
          <w:rStyle w:val="FootnoteReference"/>
        </w:rPr>
        <w:footnoteReference w:id="3"/>
      </w:r>
      <w:r w:rsidRPr="00A635DF">
        <w:t xml:space="preserve">  </w:t>
      </w:r>
      <w:r>
        <w:t xml:space="preserve">Because the parties </w:t>
      </w:r>
      <w:r w:rsidRPr="001A3D43">
        <w:t>disagree</w:t>
      </w:r>
      <w:r>
        <w:t xml:space="preserve"> about this</w:t>
      </w:r>
      <w:r w:rsidRPr="001A3D43">
        <w:t>, you, the jury, will need to decide whether [D</w:t>
      </w:r>
      <w:r>
        <w:t>FT</w:t>
      </w:r>
      <w:r w:rsidRPr="001A3D43">
        <w:t xml:space="preserve">] [owned or controlled] the property </w:t>
      </w:r>
      <w:r>
        <w:t xml:space="preserve">at the </w:t>
      </w:r>
      <w:r w:rsidRPr="001A3D43">
        <w:t>time</w:t>
      </w:r>
      <w:r>
        <w:t xml:space="preserve"> of the incident</w:t>
      </w:r>
      <w:r w:rsidR="00083821">
        <w:t xml:space="preserve">. </w:t>
      </w:r>
      <w:r w:rsidRPr="001A3D43">
        <w:t xml:space="preserve">If </w:t>
      </w:r>
      <w:r>
        <w:t>so</w:t>
      </w:r>
      <w:r w:rsidRPr="00A635DF">
        <w:t>, then DFT owed all [lawful visitors] [occupants] [customers] [patrons] a duty to use reasonable care.</w:t>
      </w:r>
    </w:p>
    <w:p w14:paraId="561E88E6" w14:textId="68392D57" w:rsidR="001D5D86" w:rsidRPr="00A635DF" w:rsidRDefault="001D5D86" w:rsidP="00484F3D">
      <w:pPr>
        <w:pStyle w:val="JuryInstructionText"/>
      </w:pPr>
      <w:r>
        <w:t>&lt;</w:t>
      </w:r>
      <w:r>
        <w:rPr>
          <w:b/>
          <w:bCs/>
          <w:i/>
          <w:iCs/>
        </w:rPr>
        <w:t>Insert case-specific instructions re duty if relevant, as follows:</w:t>
      </w:r>
      <w:r>
        <w:t>&gt;</w:t>
      </w:r>
    </w:p>
    <w:p w14:paraId="6926E48E" w14:textId="67847A1A" w:rsidR="00484F3D" w:rsidRPr="00A635DF" w:rsidRDefault="00083821" w:rsidP="001D5D86">
      <w:pPr>
        <w:pStyle w:val="JuryInstructionText"/>
        <w:keepLines/>
      </w:pPr>
      <w:r>
        <w:lastRenderedPageBreak/>
        <w:t>[&lt;</w:t>
      </w:r>
      <w:r w:rsidRPr="00083821">
        <w:rPr>
          <w:b/>
          <w:bCs/>
          <w:i/>
          <w:iCs/>
        </w:rPr>
        <w:t>Landlord’s statutory duty after notice</w:t>
      </w:r>
      <w:r w:rsidR="00484F3D" w:rsidRPr="00A635DF">
        <w:t>:</w:t>
      </w:r>
      <w:r w:rsidR="001D5D86">
        <w:t>&gt;</w:t>
      </w:r>
      <w:r w:rsidR="00484F3D">
        <w:t xml:space="preserve"> </w:t>
      </w:r>
      <w:r w:rsidR="00484F3D" w:rsidRPr="00A635DF">
        <w:t xml:space="preserve"> A landlord must use reasonable care to correct any unsafe condition at the property within a reasonable time after receiving notice of that condition from the tenant [local board of health] [local code enforcement board]</w:t>
      </w:r>
      <w:r w:rsidR="00484F3D">
        <w:t>.</w:t>
      </w:r>
      <w:r w:rsidR="00484F3D" w:rsidRPr="00A635DF">
        <w:rPr>
          <w:rStyle w:val="FootnoteReference"/>
          <w:rFonts w:cs="Segoe UI Historic"/>
        </w:rPr>
        <w:footnoteReference w:id="4"/>
      </w:r>
      <w:r>
        <w:t xml:space="preserve"> ]</w:t>
      </w:r>
    </w:p>
    <w:p w14:paraId="15E36C85" w14:textId="25597382" w:rsidR="00172AC9" w:rsidRDefault="00083821" w:rsidP="00083821">
      <w:pPr>
        <w:pStyle w:val="JuryInstructionText"/>
      </w:pPr>
      <w:r>
        <w:t>[&lt;</w:t>
      </w:r>
      <w:r>
        <w:rPr>
          <w:b/>
          <w:bCs/>
          <w:i/>
          <w:iCs/>
        </w:rPr>
        <w:t>Child Trespasser instruction</w:t>
      </w:r>
      <w:r w:rsidR="001D5D86">
        <w:rPr>
          <w:b/>
          <w:bCs/>
          <w:i/>
          <w:iCs/>
        </w:rPr>
        <w:t>.</w:t>
      </w:r>
      <w:r>
        <w:t xml:space="preserve">&gt; </w:t>
      </w:r>
      <w:r w:rsidR="00484F3D" w:rsidRPr="00A635DF">
        <w:t>A landowner must use reasonable care to protect children from injury in certain circumstances even if the child was trespassing</w:t>
      </w:r>
      <w:r>
        <w:t xml:space="preserve">. </w:t>
      </w:r>
      <w:r w:rsidR="00484F3D">
        <w:t>DFT had a responsibility to use</w:t>
      </w:r>
      <w:r w:rsidR="00484F3D" w:rsidRPr="00A635DF">
        <w:t xml:space="preserve"> reasonable care if PLF proves </w:t>
      </w:r>
      <w:r w:rsidR="00484F3D">
        <w:t>four</w:t>
      </w:r>
      <w:r w:rsidR="00484F3D" w:rsidRPr="00A635DF">
        <w:t xml:space="preserve"> things: </w:t>
      </w:r>
    </w:p>
    <w:p w14:paraId="5D631873" w14:textId="77777777" w:rsidR="00172AC9" w:rsidRDefault="00484F3D" w:rsidP="00172AC9">
      <w:pPr>
        <w:pStyle w:val="JuryInstructionBullets"/>
      </w:pPr>
      <w:r w:rsidRPr="00A635DF">
        <w:t xml:space="preserve">DFT maintained a </w:t>
      </w:r>
      <w:r>
        <w:t xml:space="preserve">dangerous </w:t>
      </w:r>
      <w:r w:rsidRPr="00A635DF">
        <w:t xml:space="preserve">condition on the property at a location where DFT knew or had reason to know that children </w:t>
      </w:r>
      <w:r>
        <w:t>were</w:t>
      </w:r>
      <w:r w:rsidRPr="00A635DF">
        <w:t xml:space="preserve"> likely to trespass</w:t>
      </w:r>
      <w:r w:rsidR="00172AC9">
        <w:t xml:space="preserve">; </w:t>
      </w:r>
    </w:p>
    <w:p w14:paraId="2ADCE705" w14:textId="6431C2B5" w:rsidR="00172AC9" w:rsidRDefault="00484F3D" w:rsidP="00172AC9">
      <w:pPr>
        <w:pStyle w:val="JuryInstructionBullets"/>
      </w:pPr>
      <w:r>
        <w:t>DFT realized or should have realized that the condition involved an unreasonable risk of death or serious bodily harm to children</w:t>
      </w:r>
      <w:r w:rsidR="00172AC9">
        <w:t>;</w:t>
      </w:r>
    </w:p>
    <w:p w14:paraId="7CBE8784" w14:textId="77777777" w:rsidR="00172AC9" w:rsidRDefault="00484F3D" w:rsidP="00172AC9">
      <w:pPr>
        <w:pStyle w:val="JuryInstructionBullets"/>
      </w:pPr>
      <w:r w:rsidRPr="00A635DF">
        <w:t>because of their yout</w:t>
      </w:r>
      <w:r>
        <w:t>h, children would</w:t>
      </w:r>
      <w:r w:rsidRPr="00A635DF">
        <w:t xml:space="preserve"> not discover or understand the risk of the dangerous condition</w:t>
      </w:r>
      <w:r w:rsidR="00172AC9">
        <w:t>;</w:t>
      </w:r>
      <w:r w:rsidRPr="00A635DF">
        <w:t xml:space="preserve"> and </w:t>
      </w:r>
    </w:p>
    <w:p w14:paraId="141AF7C0" w14:textId="1EA6B6C6" w:rsidR="00484F3D" w:rsidRPr="00A635DF" w:rsidRDefault="00484F3D" w:rsidP="00172AC9">
      <w:pPr>
        <w:pStyle w:val="JuryInstructionBullets"/>
      </w:pPr>
      <w:r w:rsidRPr="00A635DF">
        <w:t xml:space="preserve">the benefit of maintaining the condition and the burden of eliminating the danger </w:t>
      </w:r>
      <w:r>
        <w:t>were</w:t>
      </w:r>
      <w:r w:rsidRPr="00A635DF">
        <w:t xml:space="preserve"> slight compared with the risk to children.</w:t>
      </w:r>
      <w:r w:rsidRPr="00A635DF">
        <w:rPr>
          <w:rStyle w:val="FootnoteReference"/>
          <w:rFonts w:cs="Segoe UI Historic"/>
        </w:rPr>
        <w:footnoteReference w:id="5"/>
      </w:r>
      <w:r w:rsidR="00083821">
        <w:t xml:space="preserve"> ]</w:t>
      </w:r>
    </w:p>
    <w:p w14:paraId="699F4442" w14:textId="20F11C2A" w:rsidR="00484F3D" w:rsidRPr="00A635DF" w:rsidRDefault="00083821" w:rsidP="00484F3D">
      <w:pPr>
        <w:pStyle w:val="JuryInstructionText"/>
      </w:pPr>
      <w:r>
        <w:t>[&lt;</w:t>
      </w:r>
      <w:r>
        <w:rPr>
          <w:b/>
          <w:bCs/>
          <w:i/>
          <w:iCs/>
        </w:rPr>
        <w:t>Trespasser in Peril instruction</w:t>
      </w:r>
      <w:r w:rsidR="001D5D86">
        <w:rPr>
          <w:b/>
          <w:bCs/>
          <w:i/>
          <w:iCs/>
        </w:rPr>
        <w:t>.</w:t>
      </w:r>
      <w:r>
        <w:t xml:space="preserve">&gt; </w:t>
      </w:r>
      <w:r w:rsidR="00484F3D" w:rsidRPr="00A635DF">
        <w:t>If PLF was trespassing at the time, PLF must show that he/she was helplessly trapped on the premises and that DFT had discovered that PLF was in peril</w:t>
      </w:r>
      <w:r>
        <w:t xml:space="preserve">. </w:t>
      </w:r>
      <w:r w:rsidR="00484F3D" w:rsidRPr="00A635DF">
        <w:t xml:space="preserve">If so, then, from the time </w:t>
      </w:r>
      <w:r w:rsidR="00484F3D">
        <w:t>DFT discovered PLF was in peril</w:t>
      </w:r>
      <w:r w:rsidR="00484F3D" w:rsidRPr="00A635DF">
        <w:t xml:space="preserve">, DFT </w:t>
      </w:r>
      <w:r w:rsidR="00484F3D">
        <w:t xml:space="preserve">had a responsibility to use reasonable </w:t>
      </w:r>
      <w:r w:rsidR="00484F3D" w:rsidRPr="00A635DF">
        <w:t>care in the circumstances including, if necessary</w:t>
      </w:r>
      <w:r w:rsidR="00484F3D">
        <w:t>,</w:t>
      </w:r>
      <w:r w:rsidR="00484F3D" w:rsidRPr="00A635DF">
        <w:t xml:space="preserve"> to take reasonable action to avoid injur</w:t>
      </w:r>
      <w:r w:rsidR="00484F3D">
        <w:t>ing PLF</w:t>
      </w:r>
      <w:r w:rsidR="00484F3D" w:rsidRPr="00A635DF">
        <w:t>.</w:t>
      </w:r>
      <w:r w:rsidR="00484F3D" w:rsidRPr="00A635DF">
        <w:rPr>
          <w:rStyle w:val="FootnoteReference"/>
          <w:rFonts w:cs="Segoe UI Historic"/>
        </w:rPr>
        <w:footnoteReference w:id="6"/>
      </w:r>
      <w:r>
        <w:t xml:space="preserve"> ]</w:t>
      </w:r>
    </w:p>
    <w:p w14:paraId="1E0A8B12" w14:textId="77777777" w:rsidR="00484F3D" w:rsidRPr="00173385" w:rsidRDefault="00484F3D" w:rsidP="004523DA">
      <w:pPr>
        <w:pStyle w:val="JuryInst3"/>
      </w:pPr>
      <w:r w:rsidRPr="00173385">
        <w:lastRenderedPageBreak/>
        <w:t>Failure to Use Reasonable Care</w:t>
      </w:r>
      <w:r>
        <w:rPr>
          <w:rStyle w:val="FootnoteReference"/>
        </w:rPr>
        <w:footnoteReference w:id="7"/>
      </w:r>
    </w:p>
    <w:p w14:paraId="1585E505" w14:textId="1D8684C7" w:rsidR="00484F3D" w:rsidRPr="00A635DF" w:rsidRDefault="00484F3D" w:rsidP="00484F3D">
      <w:pPr>
        <w:pStyle w:val="JuryInstructionText"/>
      </w:pPr>
      <w:r w:rsidRPr="00A635DF">
        <w:t>First [second], PLF must prove, more likely than not, that DFT failed to use reasonable care in the circumstances</w:t>
      </w:r>
      <w:r w:rsidR="00083821">
        <w:t xml:space="preserve">. </w:t>
      </w:r>
      <w:r w:rsidRPr="00A635DF">
        <w:t>That failure m</w:t>
      </w:r>
      <w:r>
        <w:t>ight have</w:t>
      </w:r>
      <w:r w:rsidRPr="00A635DF">
        <w:t xml:space="preserve"> occur</w:t>
      </w:r>
      <w:r>
        <w:t>red</w:t>
      </w:r>
      <w:r w:rsidRPr="00A635DF">
        <w:t xml:space="preserve"> through action or inaction</w:t>
      </w:r>
      <w:r w:rsidR="00083821">
        <w:t xml:space="preserve">. </w:t>
      </w:r>
      <w:r>
        <w:t>You</w:t>
      </w:r>
      <w:r w:rsidRPr="00A635DF">
        <w:t xml:space="preserve"> must consider all the evidence and then make a judgment about what a reasonably careful [person] [company] would have done</w:t>
      </w:r>
      <w:r>
        <w:t>.</w:t>
      </w:r>
    </w:p>
    <w:p w14:paraId="4CAF9C20" w14:textId="6AB3E5B3" w:rsidR="00484F3D" w:rsidRPr="00A635DF" w:rsidRDefault="00484F3D" w:rsidP="00484F3D">
      <w:pPr>
        <w:pStyle w:val="JuryInstructionText"/>
        <w:rPr>
          <w:rFonts w:eastAsia="Arrus BT"/>
          <w:color w:val="000000"/>
        </w:rPr>
      </w:pPr>
      <w:r w:rsidRPr="00A635DF">
        <w:t xml:space="preserve">You should consider what DFT did </w:t>
      </w:r>
      <w:r>
        <w:t>or</w:t>
      </w:r>
      <w:r w:rsidRPr="00A635DF">
        <w:t xml:space="preserve"> failed to do</w:t>
      </w:r>
      <w:r w:rsidR="00083821">
        <w:t xml:space="preserve">. </w:t>
      </w:r>
      <w:r w:rsidRPr="00A635DF">
        <w:t xml:space="preserve">Then you should consider all of </w:t>
      </w:r>
      <w:r w:rsidRPr="00A635DF">
        <w:rPr>
          <w:rFonts w:eastAsia="Arrus BT"/>
          <w:color w:val="000000"/>
        </w:rPr>
        <w:t>the relevant circumstances</w:t>
      </w:r>
      <w:r w:rsidR="00083821">
        <w:rPr>
          <w:rFonts w:eastAsia="Arrus BT"/>
          <w:color w:val="000000"/>
        </w:rPr>
        <w:t xml:space="preserve">. </w:t>
      </w:r>
      <w:r w:rsidRPr="00A635DF">
        <w:rPr>
          <w:rFonts w:eastAsia="Arrus BT"/>
          <w:color w:val="000000"/>
        </w:rPr>
        <w:t>For instance, you may ask the following questions:</w:t>
      </w:r>
    </w:p>
    <w:p w14:paraId="08055105" w14:textId="77777777" w:rsidR="00484F3D" w:rsidRPr="00A635DF" w:rsidRDefault="00484F3D" w:rsidP="00484F3D">
      <w:pPr>
        <w:pStyle w:val="JuryInstructionBullets"/>
      </w:pPr>
      <w:r w:rsidRPr="00A635DF">
        <w:t>Where, when</w:t>
      </w:r>
      <w:r>
        <w:t>,</w:t>
      </w:r>
      <w:r w:rsidRPr="00A635DF">
        <w:t xml:space="preserve"> and how did the incident occur?</w:t>
      </w:r>
    </w:p>
    <w:p w14:paraId="4F01D4AD" w14:textId="77777777" w:rsidR="00484F3D" w:rsidRPr="00A635DF" w:rsidRDefault="00484F3D" w:rsidP="00484F3D">
      <w:pPr>
        <w:pStyle w:val="JuryInstructionBullets"/>
      </w:pPr>
      <w:r w:rsidRPr="00A635DF">
        <w:t>How likely was</w:t>
      </w:r>
      <w:r>
        <w:t xml:space="preserve"> it that people could be injured</w:t>
      </w:r>
      <w:r w:rsidRPr="00A635DF">
        <w:t>?</w:t>
      </w:r>
    </w:p>
    <w:p w14:paraId="1448E2F7" w14:textId="77777777" w:rsidR="00484F3D" w:rsidRPr="00A635DF" w:rsidRDefault="00484F3D" w:rsidP="00484F3D">
      <w:pPr>
        <w:pStyle w:val="JuryInstructionBullets"/>
      </w:pPr>
      <w:r w:rsidRPr="00A635DF">
        <w:t>How serious was the potential injury?</w:t>
      </w:r>
    </w:p>
    <w:p w14:paraId="4B37E9B5" w14:textId="77777777" w:rsidR="00484F3D" w:rsidRPr="00A635DF" w:rsidRDefault="00484F3D" w:rsidP="00484F3D">
      <w:pPr>
        <w:pStyle w:val="JuryInstructionBullets"/>
      </w:pPr>
      <w:r w:rsidRPr="00A635DF">
        <w:t xml:space="preserve">How </w:t>
      </w:r>
      <w:r>
        <w:t>obvious should</w:t>
      </w:r>
      <w:r w:rsidRPr="00A635DF">
        <w:t xml:space="preserve"> the risk</w:t>
      </w:r>
      <w:r>
        <w:t xml:space="preserve"> have been to DFT</w:t>
      </w:r>
      <w:r w:rsidRPr="00A635DF">
        <w:t>?</w:t>
      </w:r>
    </w:p>
    <w:p w14:paraId="3B0DA5A3" w14:textId="77777777" w:rsidR="00484F3D" w:rsidRPr="00A635DF" w:rsidRDefault="00484F3D" w:rsidP="00484F3D">
      <w:pPr>
        <w:pStyle w:val="JuryInstructionBullets"/>
      </w:pPr>
      <w:r w:rsidRPr="00A635DF">
        <w:t>[Was there any emergency</w:t>
      </w:r>
      <w:r>
        <w:t xml:space="preserve">, </w:t>
      </w:r>
      <w:r w:rsidRPr="005E7843">
        <w:t xml:space="preserve">not </w:t>
      </w:r>
      <w:r w:rsidRPr="00B422CE">
        <w:t>created by DFT, which required immediate action and therefore may not have allowed for the usual amount of care</w:t>
      </w:r>
      <w:r w:rsidRPr="00A635DF">
        <w:t>?]</w:t>
      </w:r>
      <w:r>
        <w:t xml:space="preserve"> </w:t>
      </w:r>
    </w:p>
    <w:p w14:paraId="159832BD" w14:textId="77777777" w:rsidR="00484F3D" w:rsidRPr="00A635DF" w:rsidRDefault="00484F3D" w:rsidP="00484F3D">
      <w:pPr>
        <w:pStyle w:val="JuryInstructionBullets"/>
      </w:pPr>
      <w:r w:rsidRPr="00173385">
        <w:t>How much [would it have cost] [of a burden would it have been] to avoid the</w:t>
      </w:r>
      <w:r>
        <w:t xml:space="preserve"> risk of</w:t>
      </w:r>
      <w:r w:rsidRPr="00173385">
        <w:t xml:space="preserve"> injury</w:t>
      </w:r>
      <w:r w:rsidRPr="00A635DF">
        <w:t xml:space="preserve">? </w:t>
      </w:r>
    </w:p>
    <w:p w14:paraId="0ADF2BF2" w14:textId="40651613" w:rsidR="00484F3D" w:rsidRDefault="00484F3D" w:rsidP="00484F3D">
      <w:pPr>
        <w:pStyle w:val="JuryInstructionText"/>
      </w:pPr>
      <w:r>
        <w:rPr>
          <w:rFonts w:eastAsia="Arrus BT"/>
          <w:color w:val="000000"/>
        </w:rPr>
        <w:t xml:space="preserve">Then you make a judgment by asking: “Did DFT exercise reasonable care in the circumstances?” </w:t>
      </w:r>
      <w:r w:rsidRPr="00173385">
        <w:rPr>
          <w:rFonts w:eastAsia="Arrus BT"/>
          <w:color w:val="000000"/>
        </w:rPr>
        <w:t xml:space="preserve">The law requires a </w:t>
      </w:r>
      <w:r>
        <w:rPr>
          <w:rFonts w:eastAsia="Arrus BT"/>
          <w:color w:val="000000"/>
        </w:rPr>
        <w:t xml:space="preserve">property owner </w:t>
      </w:r>
      <w:r w:rsidRPr="00173385">
        <w:rPr>
          <w:rFonts w:eastAsia="Arrus BT"/>
          <w:color w:val="000000"/>
        </w:rPr>
        <w:t>to use reason</w:t>
      </w:r>
      <w:r>
        <w:rPr>
          <w:rFonts w:eastAsia="Arrus BT"/>
          <w:color w:val="000000"/>
        </w:rPr>
        <w:t xml:space="preserve">able care to avoid predictable </w:t>
      </w:r>
      <w:r w:rsidRPr="00173385">
        <w:rPr>
          <w:rFonts w:eastAsia="Arrus BT"/>
          <w:color w:val="000000"/>
        </w:rPr>
        <w:t xml:space="preserve">injuries to </w:t>
      </w:r>
      <w:r w:rsidRPr="00A635DF">
        <w:t xml:space="preserve">all lawful </w:t>
      </w:r>
      <w:r>
        <w:t>[</w:t>
      </w:r>
      <w:r w:rsidRPr="00A635DF">
        <w:t>visitors] [occupants] [customers] [patrons]</w:t>
      </w:r>
      <w:r w:rsidR="00083821">
        <w:t xml:space="preserve">. </w:t>
      </w:r>
      <w:r>
        <w:t>We ask you, the jury, to consider</w:t>
      </w:r>
      <w:r w:rsidRPr="00A635DF">
        <w:t xml:space="preserve"> </w:t>
      </w:r>
      <w:r>
        <w:t>what</w:t>
      </w:r>
      <w:r w:rsidRPr="00A635DF">
        <w:t xml:space="preserve"> a reasonably car</w:t>
      </w:r>
      <w:r>
        <w:t>eful [business] [person] would have done</w:t>
      </w:r>
      <w:r w:rsidRPr="00A635DF">
        <w:t xml:space="preserve"> in similar circumstances</w:t>
      </w:r>
      <w:r w:rsidR="00083821">
        <w:t xml:space="preserve">. </w:t>
      </w:r>
      <w:r w:rsidRPr="00A635DF">
        <w:t>You do not decide how the most careful or the least careful [company/person/</w:t>
      </w:r>
      <w:r>
        <w:t xml:space="preserve"> </w:t>
      </w:r>
      <w:r w:rsidRPr="00A635DF">
        <w:t>supermarket, etc.] would have acted</w:t>
      </w:r>
      <w:r w:rsidR="00083821">
        <w:t xml:space="preserve">. </w:t>
      </w:r>
      <w:r w:rsidRPr="00173385">
        <w:t>What you consider reasonable may vary depending on the circumstances of this case</w:t>
      </w:r>
      <w:r w:rsidR="00083821">
        <w:t xml:space="preserve">. </w:t>
      </w:r>
      <w:r w:rsidRPr="00173385">
        <w:t>A person should take greater precautions as the risk of harm increases</w:t>
      </w:r>
      <w:r w:rsidR="00083821">
        <w:t xml:space="preserve">. </w:t>
      </w:r>
      <w:r>
        <w:t>Y</w:t>
      </w:r>
      <w:r w:rsidRPr="00173385">
        <w:t xml:space="preserve">ou should also ask </w:t>
      </w:r>
      <w:r w:rsidRPr="00173385">
        <w:lastRenderedPageBreak/>
        <w:t xml:space="preserve">yourself: </w:t>
      </w:r>
      <w:r>
        <w:t>“</w:t>
      </w:r>
      <w:r w:rsidRPr="00173385">
        <w:t>Did DFT actually know about any risks?</w:t>
      </w:r>
      <w:r>
        <w:t>”</w:t>
      </w:r>
      <w:r w:rsidRPr="00173385">
        <w:t xml:space="preserve"> </w:t>
      </w:r>
      <w:r>
        <w:t xml:space="preserve"> </w:t>
      </w:r>
      <w:r w:rsidRPr="00173385">
        <w:t xml:space="preserve">And, if not: </w:t>
      </w:r>
      <w:r>
        <w:t>“</w:t>
      </w:r>
      <w:r w:rsidRPr="00173385">
        <w:t>Should s/he/it have known about them?</w:t>
      </w:r>
      <w:r>
        <w:t>”</w:t>
      </w:r>
      <w:r w:rsidRPr="00173385">
        <w:t xml:space="preserve">  </w:t>
      </w:r>
    </w:p>
    <w:p w14:paraId="3379911C" w14:textId="579F8F4D" w:rsidR="004523DA" w:rsidRPr="00A47F98" w:rsidRDefault="00A47F98" w:rsidP="00A47F98">
      <w:pPr>
        <w:pStyle w:val="JuryInstructionText"/>
        <w:ind w:left="432" w:hanging="432"/>
      </w:pPr>
      <w:r>
        <w:t>&lt;</w:t>
      </w:r>
      <w:r>
        <w:rPr>
          <w:b/>
          <w:bCs/>
          <w:i/>
          <w:iCs/>
        </w:rPr>
        <w:t>Insert following case-specific instructions from below, if relevant</w:t>
      </w:r>
      <w:r>
        <w:t xml:space="preserve"> &gt;</w:t>
      </w:r>
      <w:r w:rsidR="004523DA">
        <w:br/>
      </w:r>
      <w:r w:rsidR="004523DA" w:rsidRPr="004523DA">
        <w:rPr>
          <w:i/>
          <w:iCs/>
        </w:rPr>
        <w:t>(1) Reasonable Time to Discover Hazard</w:t>
      </w:r>
      <w:r w:rsidR="004523DA" w:rsidRPr="004523DA">
        <w:rPr>
          <w:i/>
          <w:iCs/>
        </w:rPr>
        <w:br/>
        <w:t>(2) Duty to Warn</w:t>
      </w:r>
      <w:r w:rsidR="004523DA" w:rsidRPr="004523DA">
        <w:rPr>
          <w:i/>
          <w:iCs/>
        </w:rPr>
        <w:br/>
        <w:t>(3) Open and Obvious</w:t>
      </w:r>
      <w:r w:rsidR="00A12C9C">
        <w:rPr>
          <w:i/>
          <w:iCs/>
        </w:rPr>
        <w:t xml:space="preserve"> Danger</w:t>
      </w:r>
      <w:r w:rsidR="004523DA" w:rsidRPr="004523DA">
        <w:rPr>
          <w:i/>
          <w:iCs/>
        </w:rPr>
        <w:br/>
        <w:t>(4) Snow and Ice</w:t>
      </w:r>
      <w:r w:rsidR="004523DA" w:rsidRPr="004523DA">
        <w:rPr>
          <w:i/>
          <w:iCs/>
        </w:rPr>
        <w:br/>
        <w:t>(5) Foreign Substance</w:t>
      </w:r>
      <w:r w:rsidR="004523DA" w:rsidRPr="004523DA">
        <w:rPr>
          <w:i/>
          <w:iCs/>
        </w:rPr>
        <w:br/>
        <w:t>(6) Prior Similar Incidents</w:t>
      </w:r>
      <w:r w:rsidR="004523DA" w:rsidRPr="004523DA">
        <w:rPr>
          <w:i/>
          <w:iCs/>
        </w:rPr>
        <w:br/>
        <w:t>(7) Violation of a Statute of Regulation</w:t>
      </w:r>
      <w:r w:rsidR="004523DA">
        <w:rPr>
          <w:i/>
          <w:iCs/>
        </w:rPr>
        <w:br/>
        <w:t>(8) Care Owed to an Adult Trespasser</w:t>
      </w:r>
      <w:r w:rsidR="004523DA">
        <w:rPr>
          <w:i/>
          <w:iCs/>
        </w:rPr>
        <w:br/>
        <w:t>(9) Strict Liability for Violation of State Building Code in Public and Commercial Structures</w:t>
      </w:r>
    </w:p>
    <w:p w14:paraId="784F4A30" w14:textId="0BA160D3" w:rsidR="00484F3D" w:rsidRPr="00A635DF" w:rsidRDefault="00484F3D" w:rsidP="00484F3D">
      <w:pPr>
        <w:pStyle w:val="JuryInstructionText"/>
        <w:rPr>
          <w:rFonts w:eastAsia="Arrus BT"/>
          <w:color w:val="000000"/>
        </w:rPr>
      </w:pPr>
      <w:r w:rsidRPr="00A635DF">
        <w:rPr>
          <w:bCs/>
        </w:rPr>
        <w:t xml:space="preserve">Finally, the fact </w:t>
      </w:r>
      <w:r>
        <w:rPr>
          <w:bCs/>
        </w:rPr>
        <w:t>that</w:t>
      </w:r>
      <w:r w:rsidRPr="00A635DF">
        <w:rPr>
          <w:bCs/>
        </w:rPr>
        <w:t xml:space="preserve"> an injury</w:t>
      </w:r>
      <w:r>
        <w:rPr>
          <w:bCs/>
        </w:rPr>
        <w:t xml:space="preserve"> occurred</w:t>
      </w:r>
      <w:r w:rsidRPr="00A635DF">
        <w:rPr>
          <w:bCs/>
        </w:rPr>
        <w:t xml:space="preserve"> during an incident is not, by itself, evidence </w:t>
      </w:r>
      <w:r>
        <w:rPr>
          <w:bCs/>
        </w:rPr>
        <w:t>that anyone was</w:t>
      </w:r>
      <w:r w:rsidRPr="00A635DF">
        <w:rPr>
          <w:bCs/>
        </w:rPr>
        <w:t xml:space="preserve"> negligen</w:t>
      </w:r>
      <w:r>
        <w:rPr>
          <w:bCs/>
        </w:rPr>
        <w:t>t</w:t>
      </w:r>
      <w:r w:rsidR="00083821">
        <w:t xml:space="preserve">. </w:t>
      </w:r>
      <w:r w:rsidRPr="00A635DF">
        <w:t xml:space="preserve">However, you may consider </w:t>
      </w:r>
      <w:r w:rsidRPr="00F414DA">
        <w:rPr>
          <w:b/>
          <w:bCs/>
          <w:iCs/>
        </w:rPr>
        <w:t>how</w:t>
      </w:r>
      <w:r w:rsidRPr="00A635DF">
        <w:t xml:space="preserve"> the incident happened</w:t>
      </w:r>
      <w:r w:rsidR="00083821">
        <w:t xml:space="preserve">. </w:t>
      </w:r>
      <w:r w:rsidRPr="00A635DF">
        <w:t xml:space="preserve">In some cases, the facts surrounding the incident </w:t>
      </w:r>
      <w:r w:rsidRPr="00F414DA">
        <w:rPr>
          <w:b/>
          <w:bCs/>
          <w:iCs/>
        </w:rPr>
        <w:t>may</w:t>
      </w:r>
      <w:r w:rsidRPr="00A635DF">
        <w:t xml:space="preserve"> permit you to decide whether DFT was negligent.</w:t>
      </w:r>
    </w:p>
    <w:p w14:paraId="14DE1165" w14:textId="21C4043B" w:rsidR="00484F3D" w:rsidRDefault="00484F3D" w:rsidP="00484F3D">
      <w:pPr>
        <w:pStyle w:val="JuryInstructionText"/>
        <w:rPr>
          <w:rFonts w:eastAsia="Arrus BT"/>
          <w:color w:val="000000"/>
        </w:rPr>
      </w:pPr>
      <w:r w:rsidRPr="00A635DF">
        <w:rPr>
          <w:rFonts w:eastAsia="Arrus BT"/>
          <w:color w:val="000000"/>
        </w:rPr>
        <w:t>If you decide that DFT</w:t>
      </w:r>
      <w:r>
        <w:rPr>
          <w:rFonts w:eastAsia="Arrus BT"/>
          <w:color w:val="000000"/>
        </w:rPr>
        <w:t>,</w:t>
      </w:r>
      <w:r w:rsidRPr="00A635DF">
        <w:rPr>
          <w:rFonts w:eastAsia="Arrus BT"/>
          <w:color w:val="000000"/>
        </w:rPr>
        <w:t xml:space="preserve"> </w:t>
      </w:r>
      <w:r>
        <w:rPr>
          <w:rFonts w:eastAsia="Arrus BT"/>
          <w:color w:val="000000"/>
        </w:rPr>
        <w:t xml:space="preserve">more likely than not, </w:t>
      </w:r>
      <w:r w:rsidRPr="00A635DF">
        <w:rPr>
          <w:rFonts w:eastAsia="Arrus BT"/>
          <w:color w:val="000000"/>
        </w:rPr>
        <w:t>failed to use reasonable care, then you answer “</w:t>
      </w:r>
      <w:r>
        <w:rPr>
          <w:rFonts w:eastAsia="Arrus BT"/>
          <w:color w:val="000000"/>
        </w:rPr>
        <w:t>Y</w:t>
      </w:r>
      <w:r w:rsidRPr="00A635DF">
        <w:rPr>
          <w:rFonts w:eastAsia="Arrus BT"/>
          <w:color w:val="000000"/>
        </w:rPr>
        <w:t xml:space="preserve">es” to </w:t>
      </w:r>
      <w:r>
        <w:rPr>
          <w:rFonts w:eastAsia="Arrus BT"/>
          <w:color w:val="000000"/>
        </w:rPr>
        <w:t>Q</w:t>
      </w:r>
      <w:r w:rsidRPr="00A635DF">
        <w:rPr>
          <w:rFonts w:eastAsia="Arrus BT"/>
          <w:color w:val="000000"/>
        </w:rPr>
        <w:t>uestion __, which asks:</w:t>
      </w:r>
      <w:r>
        <w:rPr>
          <w:rFonts w:eastAsia="Arrus BT"/>
          <w:color w:val="000000"/>
        </w:rPr>
        <w:t xml:space="preserve"> “</w:t>
      </w:r>
      <w:r w:rsidRPr="00A635DF">
        <w:rPr>
          <w:rFonts w:eastAsia="Arrus BT"/>
          <w:color w:val="000000"/>
        </w:rPr>
        <w:t>Was DFT negligent?”  Otherwise, you answer “</w:t>
      </w:r>
      <w:r>
        <w:rPr>
          <w:rFonts w:eastAsia="Arrus BT"/>
          <w:color w:val="000000"/>
        </w:rPr>
        <w:t>N</w:t>
      </w:r>
      <w:r w:rsidRPr="00A635DF">
        <w:rPr>
          <w:rFonts w:eastAsia="Arrus BT"/>
          <w:color w:val="000000"/>
        </w:rPr>
        <w:t>o.”  [</w:t>
      </w:r>
      <w:r w:rsidR="00CE7DB8">
        <w:rPr>
          <w:rFonts w:eastAsia="Arrus BT"/>
          <w:color w:val="000000"/>
        </w:rPr>
        <w:t>&lt;</w:t>
      </w:r>
      <w:r w:rsidRPr="00CE7DB8">
        <w:rPr>
          <w:rFonts w:eastAsia="Arrus BT"/>
          <w:b/>
          <w:bCs/>
          <w:i/>
          <w:iCs/>
          <w:color w:val="000000"/>
        </w:rPr>
        <w:t>If applicable:</w:t>
      </w:r>
      <w:r w:rsidR="00CE7DB8">
        <w:rPr>
          <w:rFonts w:eastAsia="Arrus BT"/>
          <w:color w:val="000000"/>
        </w:rPr>
        <w:t>&gt;</w:t>
      </w:r>
      <w:r w:rsidRPr="00A635DF">
        <w:rPr>
          <w:rFonts w:eastAsia="Arrus BT"/>
          <w:color w:val="000000"/>
        </w:rPr>
        <w:t xml:space="preserve"> Please note that this question includes the first two items of the negligence claim, namely duty and failure to use reasonable care</w:t>
      </w:r>
      <w:r w:rsidR="00CE7DB8">
        <w:rPr>
          <w:rFonts w:eastAsia="Arrus BT"/>
          <w:color w:val="000000"/>
        </w:rPr>
        <w:t>.</w:t>
      </w:r>
      <w:r>
        <w:rPr>
          <w:rStyle w:val="FootnoteReference"/>
          <w:rFonts w:eastAsia="Arrus BT"/>
          <w:color w:val="000000"/>
        </w:rPr>
        <w:footnoteReference w:id="8"/>
      </w:r>
      <w:r w:rsidR="00083821">
        <w:rPr>
          <w:rFonts w:eastAsia="Arrus BT"/>
          <w:color w:val="000000"/>
        </w:rPr>
        <w:t xml:space="preserve"> </w:t>
      </w:r>
      <w:r w:rsidR="00CE7DB8">
        <w:rPr>
          <w:rFonts w:eastAsia="Arrus BT"/>
          <w:color w:val="000000"/>
        </w:rPr>
        <w:t>]</w:t>
      </w:r>
    </w:p>
    <w:p w14:paraId="77E31708" w14:textId="6B0445D4" w:rsidR="00FA3B25" w:rsidRPr="00A635DF" w:rsidRDefault="00FA3B25" w:rsidP="00484F3D">
      <w:pPr>
        <w:pStyle w:val="JuryInstructionText"/>
      </w:pPr>
      <w:r>
        <w:rPr>
          <w:rFonts w:eastAsia="Arrus BT"/>
          <w:color w:val="000000"/>
        </w:rPr>
        <w:t>&lt;</w:t>
      </w:r>
      <w:r>
        <w:rPr>
          <w:rFonts w:eastAsia="Arrus BT"/>
          <w:b/>
          <w:bCs/>
          <w:i/>
          <w:iCs/>
          <w:color w:val="000000"/>
        </w:rPr>
        <w:t>List of potential case-specific instructions to insert above:</w:t>
      </w:r>
      <w:r>
        <w:rPr>
          <w:rFonts w:eastAsia="Arrus BT"/>
          <w:color w:val="000000"/>
        </w:rPr>
        <w:t>&gt;</w:t>
      </w:r>
    </w:p>
    <w:p w14:paraId="264E1035" w14:textId="343F2FB6" w:rsidR="00484F3D" w:rsidRPr="00CB7F7E" w:rsidRDefault="00A12C9C" w:rsidP="004523DA">
      <w:pPr>
        <w:pStyle w:val="JuryInst4"/>
      </w:pPr>
      <w:r w:rsidRPr="00CB7F7E">
        <w:t xml:space="preserve">Reasonable Time </w:t>
      </w:r>
      <w:r>
        <w:t>t</w:t>
      </w:r>
      <w:r w:rsidRPr="00CB7F7E">
        <w:t>o Discover Hazard</w:t>
      </w:r>
    </w:p>
    <w:p w14:paraId="1BD083CB" w14:textId="3836A7ED" w:rsidR="00484F3D" w:rsidRPr="00A635DF" w:rsidRDefault="00484F3D" w:rsidP="00484F3D">
      <w:pPr>
        <w:pStyle w:val="JuryInstructionText"/>
        <w:rPr>
          <w:rFonts w:eastAsia="Arrus BT"/>
          <w:color w:val="000000"/>
        </w:rPr>
      </w:pPr>
      <w:r w:rsidRPr="00A635DF">
        <w:t>Sometimes, other people [customers] [visitors] create a hazardous condition</w:t>
      </w:r>
      <w:r w:rsidR="00083821">
        <w:t xml:space="preserve">. </w:t>
      </w:r>
      <w:r>
        <w:t xml:space="preserve">The law gives </w:t>
      </w:r>
      <w:r w:rsidRPr="00A635DF">
        <w:t>[</w:t>
      </w:r>
      <w:r>
        <w:t>s</w:t>
      </w:r>
      <w:r w:rsidRPr="00A635DF">
        <w:t>upermarkets</w:t>
      </w:r>
      <w:r w:rsidR="00717B48">
        <w:t>/</w:t>
      </w:r>
      <w:r w:rsidRPr="00A635DF">
        <w:t xml:space="preserve">property owners/people in control of property] a reasonable amount of time to discover and </w:t>
      </w:r>
      <w:r>
        <w:t>fix</w:t>
      </w:r>
      <w:r w:rsidRPr="00A635DF">
        <w:t xml:space="preserve"> a hazardous </w:t>
      </w:r>
      <w:r w:rsidRPr="00A635DF">
        <w:lastRenderedPageBreak/>
        <w:t>condition created by others [customers] [visitors]</w:t>
      </w:r>
      <w:r w:rsidR="00083821">
        <w:t xml:space="preserve">. </w:t>
      </w:r>
      <w:r w:rsidRPr="00A635DF">
        <w:t>You should decide how much time was reasonable for DFT to discover and remove that hazard [to warn others about the hazard] in the circumstances of this case.</w:t>
      </w:r>
    </w:p>
    <w:p w14:paraId="295CC19D" w14:textId="723821D4" w:rsidR="00484F3D" w:rsidRPr="00CB7F7E" w:rsidRDefault="00A12C9C" w:rsidP="004523DA">
      <w:pPr>
        <w:pStyle w:val="JuryInst4"/>
      </w:pPr>
      <w:r w:rsidRPr="00CB7F7E">
        <w:t xml:space="preserve">Duty </w:t>
      </w:r>
      <w:r>
        <w:t>t</w:t>
      </w:r>
      <w:r w:rsidRPr="00CB7F7E">
        <w:t>o Warn</w:t>
      </w:r>
    </w:p>
    <w:p w14:paraId="667C66B8" w14:textId="77777777" w:rsidR="00484F3D" w:rsidRPr="00A635DF" w:rsidRDefault="00484F3D" w:rsidP="00484F3D">
      <w:pPr>
        <w:pStyle w:val="JuryInstructionText"/>
        <w:rPr>
          <w:rFonts w:eastAsia="Arrus BT"/>
          <w:color w:val="000000"/>
        </w:rPr>
      </w:pPr>
      <w:r w:rsidRPr="00A635DF">
        <w:rPr>
          <w:rFonts w:eastAsia="Arrus BT"/>
          <w:color w:val="000000"/>
        </w:rPr>
        <w:t>DFT</w:t>
      </w:r>
      <w:r>
        <w:rPr>
          <w:rFonts w:eastAsia="Arrus BT"/>
          <w:color w:val="000000"/>
        </w:rPr>
        <w:t xml:space="preserve"> has a responsibility to warn people about any unreasonable dangers on the property if s/he/it</w:t>
      </w:r>
      <w:r w:rsidRPr="00A635DF">
        <w:rPr>
          <w:rFonts w:eastAsia="Arrus BT"/>
          <w:color w:val="000000"/>
        </w:rPr>
        <w:t xml:space="preserve"> knew or should have known of the danger.</w:t>
      </w:r>
      <w:r>
        <w:rPr>
          <w:rStyle w:val="FootnoteReference"/>
          <w:rFonts w:eastAsia="Arrus BT"/>
          <w:color w:val="000000"/>
        </w:rPr>
        <w:footnoteReference w:id="9"/>
      </w:r>
      <w:r w:rsidRPr="00A635DF">
        <w:rPr>
          <w:rFonts w:eastAsia="Arrus BT"/>
          <w:color w:val="000000"/>
        </w:rPr>
        <w:t xml:space="preserve">  [If DFT gave a warning, it is up to you to decide whether the warning alone was enough to meet the duty of reasonable care and</w:t>
      </w:r>
      <w:r>
        <w:rPr>
          <w:rFonts w:eastAsia="Arrus BT"/>
          <w:color w:val="000000"/>
        </w:rPr>
        <w:t>,</w:t>
      </w:r>
      <w:r w:rsidRPr="00A635DF">
        <w:rPr>
          <w:rFonts w:eastAsia="Arrus BT"/>
          <w:color w:val="000000"/>
        </w:rPr>
        <w:t xml:space="preserve"> if so, whether DFT gave a sufficient warning.]</w:t>
      </w:r>
    </w:p>
    <w:p w14:paraId="4D7D9402" w14:textId="1E335EAA" w:rsidR="00484F3D" w:rsidRPr="00A635DF" w:rsidRDefault="00484F3D" w:rsidP="00484F3D">
      <w:pPr>
        <w:pStyle w:val="JuryInstructionText"/>
        <w:rPr>
          <w:rFonts w:eastAsia="Arrus BT"/>
          <w:color w:val="000000"/>
        </w:rPr>
      </w:pPr>
      <w:r w:rsidRPr="00A635DF">
        <w:rPr>
          <w:rFonts w:eastAsia="Arrus BT"/>
          <w:color w:val="000000"/>
        </w:rPr>
        <w:t>The law presumes that PLF would have heeded any warning about the conditions at the</w:t>
      </w:r>
      <w:r>
        <w:rPr>
          <w:rFonts w:eastAsia="Arrus BT"/>
          <w:color w:val="000000"/>
        </w:rPr>
        <w:t xml:space="preserve"> [</w:t>
      </w:r>
      <w:r w:rsidR="003777BC">
        <w:rPr>
          <w:rFonts w:eastAsia="Arrus BT"/>
          <w:i/>
          <w:iCs/>
          <w:color w:val="000000"/>
        </w:rPr>
        <w:t xml:space="preserve">describe </w:t>
      </w:r>
      <w:r w:rsidRPr="003777BC">
        <w:rPr>
          <w:rFonts w:eastAsia="Arrus BT"/>
          <w:i/>
          <w:iCs/>
          <w:color w:val="000000"/>
        </w:rPr>
        <w:t>premises</w:t>
      </w:r>
      <w:r w:rsidRPr="00A635DF">
        <w:rPr>
          <w:rFonts w:eastAsia="Arrus BT"/>
          <w:color w:val="000000"/>
        </w:rPr>
        <w:t>].</w:t>
      </w:r>
    </w:p>
    <w:p w14:paraId="65A3F188" w14:textId="0E085B04" w:rsidR="00484F3D" w:rsidRPr="00CB7F7E" w:rsidRDefault="00A12C9C" w:rsidP="004523DA">
      <w:pPr>
        <w:pStyle w:val="JuryInst4"/>
      </w:pPr>
      <w:r w:rsidRPr="00CB7F7E">
        <w:t xml:space="preserve">Open </w:t>
      </w:r>
      <w:r>
        <w:t>a</w:t>
      </w:r>
      <w:r w:rsidRPr="00CB7F7E">
        <w:t>nd Obvious</w:t>
      </w:r>
      <w:r>
        <w:t xml:space="preserve"> Danger</w:t>
      </w:r>
    </w:p>
    <w:p w14:paraId="5D75E252" w14:textId="79A842BB" w:rsidR="00484F3D" w:rsidRDefault="00484F3D" w:rsidP="00484F3D">
      <w:pPr>
        <w:pStyle w:val="JuryInstructionText"/>
        <w:rPr>
          <w:rFonts w:eastAsia="Arrus BT"/>
          <w:color w:val="000000"/>
        </w:rPr>
      </w:pPr>
      <w:r>
        <w:rPr>
          <w:rFonts w:eastAsia="Arrus BT"/>
          <w:color w:val="000000"/>
        </w:rPr>
        <w:t>A [landowner] [person controlling a property]</w:t>
      </w:r>
      <w:r w:rsidRPr="00A635DF">
        <w:rPr>
          <w:rFonts w:eastAsia="Arrus BT"/>
          <w:color w:val="000000"/>
        </w:rPr>
        <w:t xml:space="preserve"> generally does not have to warn about danger</w:t>
      </w:r>
      <w:r>
        <w:rPr>
          <w:rFonts w:eastAsia="Arrus BT"/>
          <w:color w:val="000000"/>
        </w:rPr>
        <w:t>ous conditions</w:t>
      </w:r>
      <w:r w:rsidRPr="00A635DF">
        <w:rPr>
          <w:rFonts w:eastAsia="Arrus BT"/>
          <w:color w:val="000000"/>
        </w:rPr>
        <w:t xml:space="preserve"> that </w:t>
      </w:r>
      <w:r>
        <w:rPr>
          <w:rFonts w:eastAsia="Arrus BT"/>
          <w:color w:val="000000"/>
        </w:rPr>
        <w:t>are</w:t>
      </w:r>
      <w:r w:rsidRPr="00A635DF">
        <w:rPr>
          <w:rFonts w:eastAsia="Arrus BT"/>
          <w:color w:val="000000"/>
        </w:rPr>
        <w:t xml:space="preserve"> open or obvious to people of average intelligence</w:t>
      </w:r>
      <w:r w:rsidR="00083821">
        <w:rPr>
          <w:rFonts w:eastAsia="Arrus BT"/>
          <w:color w:val="000000"/>
        </w:rPr>
        <w:t>.</w:t>
      </w:r>
      <w:r w:rsidR="0003345A">
        <w:rPr>
          <w:rStyle w:val="FootnoteReference"/>
          <w:rFonts w:eastAsia="Arrus BT"/>
          <w:color w:val="000000"/>
        </w:rPr>
        <w:footnoteReference w:id="10"/>
      </w:r>
    </w:p>
    <w:p w14:paraId="0E783D8E" w14:textId="75ADF83B" w:rsidR="00484F3D" w:rsidRPr="00A635DF" w:rsidRDefault="00484F3D" w:rsidP="00484F3D">
      <w:pPr>
        <w:pStyle w:val="JuryInstructionText"/>
        <w:rPr>
          <w:rFonts w:eastAsia="Arrus BT"/>
          <w:color w:val="000000"/>
        </w:rPr>
      </w:pPr>
      <w:r>
        <w:rPr>
          <w:rFonts w:eastAsia="Arrus BT"/>
          <w:color w:val="000000"/>
        </w:rPr>
        <w:t>But DFT must warn its lawful visitors [tenants] [customers] if it</w:t>
      </w:r>
      <w:r w:rsidRPr="00A635DF">
        <w:rPr>
          <w:rFonts w:eastAsia="Arrus BT"/>
          <w:color w:val="000000"/>
        </w:rPr>
        <w:t xml:space="preserve"> has reason to expect lawful visitors [tenants] [customers]</w:t>
      </w:r>
      <w:r>
        <w:rPr>
          <w:rFonts w:eastAsia="Arrus BT"/>
          <w:color w:val="000000"/>
        </w:rPr>
        <w:t xml:space="preserve"> to encounter the danger, despite its being open or obvious</w:t>
      </w:r>
      <w:r w:rsidR="00083821">
        <w:rPr>
          <w:rFonts w:eastAsia="Arrus BT"/>
          <w:color w:val="000000"/>
        </w:rPr>
        <w:t xml:space="preserve">. </w:t>
      </w:r>
      <w:r>
        <w:rPr>
          <w:rFonts w:eastAsia="Arrus BT"/>
          <w:color w:val="000000"/>
        </w:rPr>
        <w:t>That may occur for a variety of reasons, such as when a reasonable [landowner</w:t>
      </w:r>
      <w:r w:rsidR="008A497A">
        <w:rPr>
          <w:rFonts w:eastAsia="Arrus BT"/>
          <w:color w:val="000000"/>
        </w:rPr>
        <w:t xml:space="preserve"> / </w:t>
      </w:r>
      <w:r>
        <w:rPr>
          <w:rFonts w:eastAsia="Arrus BT"/>
          <w:color w:val="000000"/>
        </w:rPr>
        <w:t>person controlling the property] would expect the [visitors</w:t>
      </w:r>
      <w:r w:rsidR="008A497A">
        <w:rPr>
          <w:rFonts w:eastAsia="Arrus BT"/>
          <w:color w:val="000000"/>
        </w:rPr>
        <w:t xml:space="preserve"> / </w:t>
      </w:r>
      <w:r>
        <w:rPr>
          <w:rFonts w:eastAsia="Arrus BT"/>
          <w:color w:val="000000"/>
        </w:rPr>
        <w:t>tenants</w:t>
      </w:r>
      <w:r w:rsidR="008A497A">
        <w:rPr>
          <w:rFonts w:eastAsia="Arrus BT"/>
          <w:color w:val="000000"/>
        </w:rPr>
        <w:t xml:space="preserve"> / </w:t>
      </w:r>
      <w:r>
        <w:rPr>
          <w:rFonts w:eastAsia="Arrus BT"/>
          <w:color w:val="000000"/>
        </w:rPr>
        <w:t>customers] [to be distracted; not to appreciate the danger; etc.].</w:t>
      </w:r>
      <w:r w:rsidRPr="00A635DF">
        <w:rPr>
          <w:rStyle w:val="FootnoteReference"/>
          <w:rFonts w:eastAsia="Arrus BT" w:cs="Segoe UI Historic"/>
          <w:color w:val="000000"/>
        </w:rPr>
        <w:footnoteReference w:id="11"/>
      </w:r>
      <w:r>
        <w:rPr>
          <w:rFonts w:eastAsia="Arrus BT"/>
          <w:color w:val="000000"/>
        </w:rPr>
        <w:t xml:space="preserve"> In that situation, DFT must warn of the danger.</w:t>
      </w:r>
    </w:p>
    <w:p w14:paraId="29956365" w14:textId="60F324AB" w:rsidR="00484F3D" w:rsidRPr="00A635DF" w:rsidRDefault="00484F3D" w:rsidP="00484F3D">
      <w:pPr>
        <w:pStyle w:val="JuryInstructionText"/>
        <w:rPr>
          <w:rFonts w:eastAsia="Arrus BT"/>
          <w:color w:val="000000"/>
        </w:rPr>
      </w:pPr>
      <w:r>
        <w:rPr>
          <w:rFonts w:eastAsia="Arrus BT"/>
          <w:color w:val="000000"/>
        </w:rPr>
        <w:lastRenderedPageBreak/>
        <w:t>DFT claims that it was not negligent because the condition at issue was</w:t>
      </w:r>
      <w:r w:rsidRPr="003D4C88">
        <w:rPr>
          <w:rFonts w:eastAsia="Arrus BT"/>
          <w:color w:val="000000"/>
        </w:rPr>
        <w:t xml:space="preserve"> </w:t>
      </w:r>
      <w:r w:rsidRPr="00A635DF">
        <w:rPr>
          <w:rFonts w:eastAsia="Arrus BT"/>
          <w:color w:val="000000"/>
        </w:rPr>
        <w:t>open or obvious to people of average intelligence</w:t>
      </w:r>
      <w:r w:rsidR="00083821">
        <w:rPr>
          <w:rFonts w:eastAsia="Arrus BT"/>
          <w:color w:val="000000"/>
        </w:rPr>
        <w:t xml:space="preserve">. </w:t>
      </w:r>
      <w:r>
        <w:rPr>
          <w:rFonts w:eastAsia="Arrus BT"/>
          <w:color w:val="000000"/>
        </w:rPr>
        <w:t>You may consider whether the condition was open and obvious and, if so, whether a reasonably careful person would have believed [that no additional actions were necessary] [that a warning was enough]</w:t>
      </w:r>
      <w:r w:rsidR="00FA3B25">
        <w:rPr>
          <w:rFonts w:eastAsia="Arrus BT"/>
          <w:color w:val="000000"/>
        </w:rPr>
        <w:t>.</w:t>
      </w:r>
      <w:r w:rsidRPr="00A635DF">
        <w:rPr>
          <w:rFonts w:eastAsia="Arrus BT"/>
          <w:color w:val="000000"/>
        </w:rPr>
        <w:t xml:space="preserve"> </w:t>
      </w:r>
      <w:r>
        <w:rPr>
          <w:rFonts w:eastAsia="Arrus BT"/>
          <w:color w:val="000000"/>
        </w:rPr>
        <w:t>However, [with or without a warning,] DFT must remedy an unreasonably dangerous condition when a reasonable [landowner] [person controlling the property] would expect [visitors] [tenants] [customers] to encounter the danger even though the condition was open and obvious</w:t>
      </w:r>
      <w:r w:rsidR="00083821">
        <w:rPr>
          <w:rFonts w:eastAsia="Arrus BT"/>
          <w:color w:val="000000"/>
        </w:rPr>
        <w:t xml:space="preserve">. </w:t>
      </w:r>
      <w:r>
        <w:rPr>
          <w:rFonts w:eastAsia="Arrus BT"/>
          <w:color w:val="000000"/>
        </w:rPr>
        <w:t>For instance, the [visitors] [tenants] [customers] may [be distracted; not appreciate the danger; etc.].</w:t>
      </w:r>
      <w:r w:rsidRPr="00A635DF">
        <w:rPr>
          <w:rStyle w:val="FootnoteReference"/>
          <w:rFonts w:eastAsia="Arrus BT" w:cs="Segoe UI Historic"/>
          <w:color w:val="000000"/>
        </w:rPr>
        <w:footnoteReference w:id="12"/>
      </w:r>
      <w:r>
        <w:rPr>
          <w:rFonts w:eastAsia="Arrus BT"/>
          <w:color w:val="000000"/>
        </w:rPr>
        <w:t xml:space="preserve"> In that situation, DFT must act reasonably to [warn of the danger] [remedy the danger] [or both].</w:t>
      </w:r>
    </w:p>
    <w:p w14:paraId="6312E78A" w14:textId="5D8D8D4D" w:rsidR="00484F3D" w:rsidRPr="00CB7F7E" w:rsidRDefault="00A12C9C" w:rsidP="004523DA">
      <w:pPr>
        <w:pStyle w:val="JuryInst4"/>
      </w:pPr>
      <w:r w:rsidRPr="00CB7F7E">
        <w:t xml:space="preserve">Snow </w:t>
      </w:r>
      <w:r>
        <w:t>a</w:t>
      </w:r>
      <w:r w:rsidRPr="00CB7F7E">
        <w:t>nd Ice</w:t>
      </w:r>
    </w:p>
    <w:p w14:paraId="67498EC5" w14:textId="215CA0B9" w:rsidR="00484F3D" w:rsidRDefault="00080BCD" w:rsidP="00484F3D">
      <w:pPr>
        <w:pStyle w:val="JuryInstructionText"/>
        <w:rPr>
          <w:rFonts w:eastAsia="Arrus BT"/>
          <w:color w:val="000000"/>
        </w:rPr>
      </w:pPr>
      <w:r>
        <w:rPr>
          <w:rFonts w:eastAsia="Arrus BT"/>
          <w:color w:val="000000"/>
        </w:rPr>
        <w:t>In this case, PLF must prove that</w:t>
      </w:r>
      <w:r w:rsidR="00484F3D" w:rsidRPr="00A635DF">
        <w:rPr>
          <w:rFonts w:eastAsia="Arrus BT"/>
          <w:color w:val="000000"/>
        </w:rPr>
        <w:t xml:space="preserve"> DFT knew or reasonably should have known about a dangerous accumulation of snow or ice on DFT’s property</w:t>
      </w:r>
      <w:r w:rsidR="00083821">
        <w:rPr>
          <w:rFonts w:eastAsia="Arrus BT"/>
          <w:color w:val="000000"/>
        </w:rPr>
        <w:t xml:space="preserve">. </w:t>
      </w:r>
      <w:r w:rsidR="00484F3D" w:rsidRPr="00A635DF">
        <w:rPr>
          <w:rFonts w:eastAsia="Arrus BT"/>
          <w:color w:val="000000"/>
        </w:rPr>
        <w:t xml:space="preserve">If so, DFT must make reasonable efforts to protect lawful visitors [occupants] </w:t>
      </w:r>
      <w:r w:rsidR="00484F3D" w:rsidRPr="00A635DF">
        <w:rPr>
          <w:rFonts w:eastAsia="Arrus BT"/>
          <w:color w:val="000000"/>
        </w:rPr>
        <w:lastRenderedPageBreak/>
        <w:t xml:space="preserve">against the </w:t>
      </w:r>
      <w:r w:rsidR="00484F3D">
        <w:rPr>
          <w:rFonts w:eastAsia="Arrus BT"/>
          <w:color w:val="000000"/>
        </w:rPr>
        <w:t xml:space="preserve">snow or ice </w:t>
      </w:r>
      <w:r w:rsidR="00484F3D" w:rsidRPr="00A635DF">
        <w:rPr>
          <w:rFonts w:eastAsia="Arrus BT"/>
          <w:color w:val="000000"/>
        </w:rPr>
        <w:t>hazard.</w:t>
      </w:r>
      <w:r w:rsidR="00484F3D">
        <w:rPr>
          <w:rStyle w:val="FootnoteReference"/>
          <w:rFonts w:eastAsia="Arrus BT" w:cs="Segoe UI Historic"/>
          <w:color w:val="000000"/>
        </w:rPr>
        <w:footnoteReference w:id="13"/>
      </w:r>
      <w:r w:rsidR="00484F3D" w:rsidRPr="00A635DF">
        <w:rPr>
          <w:rFonts w:eastAsia="Arrus BT"/>
          <w:color w:val="000000"/>
        </w:rPr>
        <w:t xml:space="preserve"> To decide what snow and ice removal efforts are reasonable, you should consider the expense those efforts impose on the landowner and the probability and seriousness of the foreseeable harm to others</w:t>
      </w:r>
      <w:r w:rsidR="00083821">
        <w:rPr>
          <w:rFonts w:eastAsia="Arrus BT"/>
          <w:color w:val="000000"/>
        </w:rPr>
        <w:t xml:space="preserve">. </w:t>
      </w:r>
      <w:r w:rsidR="00484F3D" w:rsidRPr="00A635DF">
        <w:rPr>
          <w:rFonts w:eastAsia="Arrus BT"/>
          <w:color w:val="000000"/>
        </w:rPr>
        <w:t>This will depend on, for instance, the amount of expected foot traffic on the property, the size of the risk, and the burden and expense of snow and ice removal</w:t>
      </w:r>
      <w:r w:rsidR="00083821">
        <w:rPr>
          <w:rFonts w:eastAsia="Arrus BT"/>
          <w:color w:val="000000"/>
        </w:rPr>
        <w:t xml:space="preserve">. </w:t>
      </w:r>
      <w:r w:rsidR="00484F3D" w:rsidRPr="00A635DF">
        <w:rPr>
          <w:rFonts w:eastAsia="Arrus BT"/>
          <w:color w:val="000000"/>
        </w:rPr>
        <w:t>What counts as reasonable snow removal may, or may not</w:t>
      </w:r>
      <w:r w:rsidR="00484F3D">
        <w:rPr>
          <w:rFonts w:eastAsia="Arrus BT"/>
          <w:color w:val="000000"/>
        </w:rPr>
        <w:t>,</w:t>
      </w:r>
      <w:r w:rsidR="00484F3D" w:rsidRPr="00A635DF">
        <w:rPr>
          <w:rFonts w:eastAsia="Arrus BT"/>
          <w:color w:val="000000"/>
        </w:rPr>
        <w:t xml:space="preserve"> be the same for an owner of a business or an apartment house as for the owner of a single-family home.</w:t>
      </w:r>
    </w:p>
    <w:p w14:paraId="1D341CD1" w14:textId="227C8B15" w:rsidR="00484F3D" w:rsidRPr="00A635DF" w:rsidRDefault="00FA3B25" w:rsidP="00484F3D">
      <w:pPr>
        <w:pStyle w:val="JuryInstructionText"/>
        <w:rPr>
          <w:rFonts w:eastAsia="Arrus BT"/>
          <w:color w:val="000000"/>
        </w:rPr>
      </w:pPr>
      <w:r>
        <w:rPr>
          <w:rFonts w:eastAsia="Arrus BT"/>
          <w:color w:val="000000"/>
        </w:rPr>
        <w:t>[</w:t>
      </w:r>
      <w:r w:rsidR="00484F3D">
        <w:rPr>
          <w:rFonts w:eastAsia="Arrus BT"/>
          <w:color w:val="000000"/>
        </w:rPr>
        <w:t>&lt;</w:t>
      </w:r>
      <w:r w:rsidR="00484F3D" w:rsidRPr="00FA3B25">
        <w:rPr>
          <w:rFonts w:eastAsia="Arrus BT"/>
          <w:b/>
          <w:bCs/>
          <w:i/>
          <w:color w:val="000000"/>
        </w:rPr>
        <w:t>if a lease placed snow removal obligations on a tenant</w:t>
      </w:r>
      <w:r w:rsidR="00484F3D">
        <w:rPr>
          <w:rFonts w:eastAsia="Arrus BT"/>
          <w:color w:val="000000"/>
        </w:rPr>
        <w:t xml:space="preserve">&gt; </w:t>
      </w:r>
      <w:r w:rsidR="00484F3D" w:rsidRPr="00A635DF">
        <w:rPr>
          <w:rFonts w:eastAsia="Arrus BT"/>
          <w:color w:val="000000"/>
        </w:rPr>
        <w:t>You may consider provisions of the lease between the tenant and the defendant as one factor in deciding whether DFT made reasonable efforts to remove the snow [ice]</w:t>
      </w:r>
      <w:r w:rsidR="00083821">
        <w:rPr>
          <w:rFonts w:eastAsia="Arrus BT"/>
          <w:color w:val="000000"/>
        </w:rPr>
        <w:t xml:space="preserve">. </w:t>
      </w:r>
      <w:r w:rsidR="00484F3D">
        <w:rPr>
          <w:rFonts w:eastAsia="Arrus BT"/>
          <w:color w:val="000000"/>
        </w:rPr>
        <w:t xml:space="preserve">But while </w:t>
      </w:r>
      <w:r w:rsidR="00484F3D" w:rsidRPr="00A635DF">
        <w:rPr>
          <w:rFonts w:eastAsia="Arrus BT"/>
          <w:color w:val="000000"/>
        </w:rPr>
        <w:t xml:space="preserve">lease </w:t>
      </w:r>
      <w:r w:rsidR="00484F3D">
        <w:rPr>
          <w:rFonts w:eastAsia="Arrus BT"/>
          <w:color w:val="000000"/>
        </w:rPr>
        <w:t xml:space="preserve">provisions may be one factor, it </w:t>
      </w:r>
      <w:r w:rsidR="00484F3D" w:rsidRPr="00A635DF">
        <w:rPr>
          <w:rFonts w:eastAsia="Arrus BT"/>
          <w:color w:val="000000"/>
        </w:rPr>
        <w:t>does not automatically establish whether or not DFT’s efforts were reasonable</w:t>
      </w:r>
      <w:r w:rsidR="00083821">
        <w:rPr>
          <w:rFonts w:eastAsia="Arrus BT"/>
          <w:color w:val="000000"/>
        </w:rPr>
        <w:t xml:space="preserve">. </w:t>
      </w:r>
      <w:r w:rsidR="00484F3D" w:rsidRPr="00A635DF">
        <w:rPr>
          <w:rFonts w:eastAsia="Arrus BT"/>
          <w:color w:val="000000"/>
        </w:rPr>
        <w:t>It is up to you to decide</w:t>
      </w:r>
      <w:r w:rsidR="00484F3D">
        <w:rPr>
          <w:rFonts w:eastAsia="Arrus BT"/>
          <w:color w:val="000000"/>
        </w:rPr>
        <w:t>, in light of all of the evidence,</w:t>
      </w:r>
      <w:r w:rsidR="00484F3D" w:rsidRPr="00A635DF">
        <w:rPr>
          <w:rFonts w:eastAsia="Arrus BT"/>
          <w:color w:val="000000"/>
        </w:rPr>
        <w:t xml:space="preserve"> what snow and ice removal efforts were reasonable.</w:t>
      </w:r>
      <w:r>
        <w:rPr>
          <w:rFonts w:eastAsia="Arrus BT"/>
          <w:color w:val="000000"/>
        </w:rPr>
        <w:t xml:space="preserve"> ]</w:t>
      </w:r>
    </w:p>
    <w:p w14:paraId="73423DB0" w14:textId="396CAF71" w:rsidR="00484F3D" w:rsidRPr="00CB7F7E" w:rsidRDefault="00A12C9C" w:rsidP="004523DA">
      <w:pPr>
        <w:pStyle w:val="JuryInst4"/>
      </w:pPr>
      <w:r w:rsidRPr="00CB7F7E">
        <w:t>Foreign Substance</w:t>
      </w:r>
    </w:p>
    <w:p w14:paraId="4F4578E1" w14:textId="768B8E3B" w:rsidR="00484F3D" w:rsidRPr="00A635DF" w:rsidRDefault="00484F3D" w:rsidP="00484F3D">
      <w:pPr>
        <w:pStyle w:val="JuryInstructionText"/>
        <w:rPr>
          <w:rFonts w:eastAsia="Arrus BT"/>
          <w:color w:val="000000"/>
        </w:rPr>
      </w:pPr>
      <w:r w:rsidRPr="00A635DF">
        <w:rPr>
          <w:rFonts w:eastAsia="Arrus BT"/>
          <w:color w:val="000000"/>
        </w:rPr>
        <w:t>If a foreign substance, like [water, etc.] plays a role in an incident, PLF may prove negligence in</w:t>
      </w:r>
      <w:r>
        <w:rPr>
          <w:rFonts w:eastAsia="Arrus BT"/>
          <w:color w:val="000000"/>
        </w:rPr>
        <w:t xml:space="preserve"> any one of</w:t>
      </w:r>
      <w:r w:rsidRPr="00A635DF">
        <w:rPr>
          <w:rFonts w:eastAsia="Arrus BT"/>
          <w:color w:val="000000"/>
        </w:rPr>
        <w:t xml:space="preserve"> [four] [three] [two] ways</w:t>
      </w:r>
      <w:r w:rsidR="00083821">
        <w:rPr>
          <w:rFonts w:eastAsia="Arrus BT"/>
          <w:color w:val="000000"/>
        </w:rPr>
        <w:t xml:space="preserve">. </w:t>
      </w:r>
      <w:r>
        <w:rPr>
          <w:rFonts w:eastAsia="Arrus BT"/>
          <w:color w:val="000000"/>
        </w:rPr>
        <w:t>PLF does not have to prove that DFT was negligent in all of these ways</w:t>
      </w:r>
      <w:r w:rsidR="00083821">
        <w:rPr>
          <w:rFonts w:eastAsia="Arrus BT"/>
          <w:color w:val="000000"/>
        </w:rPr>
        <w:t xml:space="preserve">. </w:t>
      </w:r>
    </w:p>
    <w:p w14:paraId="373B37F7" w14:textId="77777777" w:rsidR="00484F3D" w:rsidRPr="00FA3B25" w:rsidRDefault="00484F3D" w:rsidP="00484F3D">
      <w:pPr>
        <w:pStyle w:val="JuryInstructionText"/>
        <w:rPr>
          <w:rFonts w:eastAsia="Arrus BT"/>
          <w:b/>
          <w:bCs/>
          <w:color w:val="000000"/>
        </w:rPr>
      </w:pPr>
      <w:r w:rsidRPr="00FA3B25">
        <w:rPr>
          <w:rFonts w:eastAsia="Arrus BT"/>
          <w:b/>
          <w:bCs/>
          <w:color w:val="000000"/>
        </w:rPr>
        <w:t>&lt;</w:t>
      </w:r>
      <w:r w:rsidRPr="00FA3B25">
        <w:rPr>
          <w:rFonts w:eastAsia="Arrus BT"/>
          <w:b/>
          <w:bCs/>
          <w:i/>
          <w:color w:val="000000"/>
        </w:rPr>
        <w:t>NOTE TO JUDGE: INSTRUCT ON EACH THEORY ONLY IF SUFFICIENT RECORD EVIDENCE SUPPORTS A VERDICT ON THAT THEORY</w:t>
      </w:r>
      <w:r w:rsidRPr="00FA3B25">
        <w:rPr>
          <w:rFonts w:eastAsia="Arrus BT"/>
          <w:b/>
          <w:bCs/>
          <w:color w:val="000000"/>
        </w:rPr>
        <w:t>&gt;</w:t>
      </w:r>
    </w:p>
    <w:p w14:paraId="75DECB9B" w14:textId="3E21AF7B" w:rsidR="00484F3D" w:rsidRPr="00A635DF" w:rsidRDefault="00484F3D" w:rsidP="00484F3D">
      <w:pPr>
        <w:pStyle w:val="JuryInstructionText"/>
        <w:rPr>
          <w:rFonts w:eastAsia="Arrus BT"/>
          <w:color w:val="000000"/>
        </w:rPr>
      </w:pPr>
      <w:r>
        <w:rPr>
          <w:rFonts w:eastAsia="Arrus BT"/>
          <w:color w:val="000000"/>
        </w:rPr>
        <w:t>&lt;</w:t>
      </w:r>
      <w:r w:rsidRPr="00F414DA">
        <w:rPr>
          <w:rFonts w:eastAsia="Arrus BT"/>
          <w:i/>
          <w:color w:val="000000"/>
        </w:rPr>
        <w:t>D’s negligence</w:t>
      </w:r>
      <w:r>
        <w:rPr>
          <w:rFonts w:eastAsia="Arrus BT"/>
          <w:color w:val="000000"/>
        </w:rPr>
        <w:t>&gt;</w:t>
      </w:r>
      <w:r w:rsidRPr="00A635DF">
        <w:rPr>
          <w:rFonts w:eastAsia="Arrus BT"/>
          <w:color w:val="000000"/>
        </w:rPr>
        <w:t xml:space="preserve"> First, PLF may show that DFT or its employee negligently caused the substance to be there</w:t>
      </w:r>
      <w:r w:rsidR="00083821">
        <w:rPr>
          <w:rFonts w:eastAsia="Arrus BT"/>
          <w:color w:val="000000"/>
        </w:rPr>
        <w:t xml:space="preserve">. </w:t>
      </w:r>
    </w:p>
    <w:p w14:paraId="7F35E115" w14:textId="51DC14F6" w:rsidR="00484F3D" w:rsidRPr="00A635DF" w:rsidRDefault="00484F3D" w:rsidP="00484F3D">
      <w:pPr>
        <w:pStyle w:val="JuryInstructionText"/>
        <w:rPr>
          <w:rFonts w:eastAsia="Arrus BT"/>
          <w:color w:val="000000"/>
        </w:rPr>
      </w:pPr>
      <w:r>
        <w:rPr>
          <w:rFonts w:eastAsia="Arrus BT"/>
          <w:color w:val="000000"/>
        </w:rPr>
        <w:t>&lt;</w:t>
      </w:r>
      <w:r w:rsidRPr="00F414DA">
        <w:rPr>
          <w:rFonts w:eastAsia="Arrus BT"/>
          <w:i/>
          <w:color w:val="000000"/>
        </w:rPr>
        <w:t>D’s actual knowledge</w:t>
      </w:r>
      <w:r>
        <w:rPr>
          <w:rFonts w:eastAsia="Arrus BT"/>
          <w:color w:val="000000"/>
        </w:rPr>
        <w:t xml:space="preserve">&gt; </w:t>
      </w:r>
      <w:r w:rsidRPr="00A635DF">
        <w:rPr>
          <w:rFonts w:eastAsia="Arrus BT"/>
          <w:color w:val="000000"/>
        </w:rPr>
        <w:t>Second, PLF may show that DFT or its employee actually knew that the substance was there but failed to use reasonable care to remove it or make the area reasonably safe</w:t>
      </w:r>
      <w:r w:rsidR="00083821">
        <w:rPr>
          <w:rFonts w:eastAsia="Arrus BT"/>
          <w:color w:val="000000"/>
        </w:rPr>
        <w:t xml:space="preserve">. </w:t>
      </w:r>
    </w:p>
    <w:p w14:paraId="5108D27F" w14:textId="775577C7" w:rsidR="00484F3D" w:rsidRPr="00A635DF" w:rsidRDefault="00484F3D" w:rsidP="00484F3D">
      <w:pPr>
        <w:pStyle w:val="JuryInstructionText"/>
        <w:rPr>
          <w:rFonts w:eastAsia="Arrus BT"/>
          <w:color w:val="000000"/>
        </w:rPr>
      </w:pPr>
      <w:r>
        <w:rPr>
          <w:rFonts w:eastAsia="Arrus BT"/>
          <w:color w:val="000000"/>
        </w:rPr>
        <w:lastRenderedPageBreak/>
        <w:t>&lt;</w:t>
      </w:r>
      <w:r w:rsidRPr="00F414DA">
        <w:rPr>
          <w:rFonts w:eastAsia="Arrus BT"/>
          <w:i/>
          <w:color w:val="000000"/>
        </w:rPr>
        <w:t>D should have known</w:t>
      </w:r>
      <w:r>
        <w:rPr>
          <w:rFonts w:eastAsia="Arrus BT"/>
          <w:color w:val="000000"/>
        </w:rPr>
        <w:t xml:space="preserve">&gt; </w:t>
      </w:r>
      <w:r w:rsidRPr="00A635DF">
        <w:rPr>
          <w:rFonts w:eastAsia="Arrus BT"/>
          <w:color w:val="000000"/>
        </w:rPr>
        <w:t>Third, PLF may show that the substance was present on the floor [location] for such a length of time that DFT should have known about it and taken steps to make the area reasonably safe</w:t>
      </w:r>
      <w:r w:rsidR="00083821">
        <w:rPr>
          <w:rFonts w:eastAsia="Arrus BT"/>
          <w:color w:val="000000"/>
        </w:rPr>
        <w:t xml:space="preserve">. </w:t>
      </w:r>
      <w:r w:rsidRPr="00A635DF">
        <w:rPr>
          <w:rFonts w:eastAsia="Arrus BT"/>
          <w:color w:val="000000"/>
        </w:rPr>
        <w:t xml:space="preserve">DFT </w:t>
      </w:r>
      <w:r>
        <w:rPr>
          <w:rFonts w:eastAsia="Arrus BT"/>
          <w:color w:val="000000"/>
        </w:rPr>
        <w:t>had</w:t>
      </w:r>
      <w:r w:rsidRPr="00A635DF">
        <w:rPr>
          <w:rFonts w:eastAsia="Arrus BT"/>
          <w:color w:val="000000"/>
        </w:rPr>
        <w:t xml:space="preserve"> a </w:t>
      </w:r>
      <w:r>
        <w:rPr>
          <w:rFonts w:eastAsia="Arrus BT"/>
          <w:color w:val="000000"/>
        </w:rPr>
        <w:t>responsibility</w:t>
      </w:r>
      <w:r w:rsidRPr="00A635DF">
        <w:rPr>
          <w:rFonts w:eastAsia="Arrus BT"/>
          <w:color w:val="000000"/>
        </w:rPr>
        <w:t xml:space="preserve"> to use reasonable care to discover</w:t>
      </w:r>
      <w:r>
        <w:rPr>
          <w:rFonts w:eastAsia="Arrus BT"/>
          <w:color w:val="000000"/>
        </w:rPr>
        <w:t xml:space="preserve"> and remedy</w:t>
      </w:r>
      <w:r w:rsidRPr="00A635DF">
        <w:rPr>
          <w:rFonts w:eastAsia="Arrus BT"/>
          <w:color w:val="000000"/>
        </w:rPr>
        <w:t xml:space="preserve"> any unsafe condition on its </w:t>
      </w:r>
      <w:r>
        <w:rPr>
          <w:rFonts w:eastAsia="Arrus BT"/>
          <w:color w:val="000000"/>
        </w:rPr>
        <w:t>property within a</w:t>
      </w:r>
      <w:r w:rsidRPr="00A635DF">
        <w:t xml:space="preserve"> reasonable amount of time</w:t>
      </w:r>
      <w:r>
        <w:t xml:space="preserve"> if its </w:t>
      </w:r>
      <w:r w:rsidRPr="00A635DF">
        <w:t xml:space="preserve"> [customers] [visitors]</w:t>
      </w:r>
      <w:r>
        <w:t xml:space="preserve"> created that condition</w:t>
      </w:r>
      <w:r w:rsidR="00083821">
        <w:t xml:space="preserve">. </w:t>
      </w:r>
      <w:r w:rsidRPr="00A635DF">
        <w:t>You should decide how much time was reasonable for DFT to discover and remove that hazard [to warn others about the hazard] in the circumstances of this case.</w:t>
      </w:r>
    </w:p>
    <w:p w14:paraId="5A803351" w14:textId="69598CAC" w:rsidR="00484F3D" w:rsidRPr="00A635DF" w:rsidRDefault="00484F3D" w:rsidP="00484F3D">
      <w:pPr>
        <w:pStyle w:val="JuryInstructionText"/>
        <w:rPr>
          <w:rFonts w:eastAsia="Arrus BT"/>
          <w:color w:val="000000"/>
        </w:rPr>
      </w:pPr>
      <w:r w:rsidRPr="00A635DF">
        <w:rPr>
          <w:rFonts w:eastAsia="Arrus BT"/>
          <w:color w:val="000000"/>
        </w:rPr>
        <w:t xml:space="preserve">You should consider what opportunity </w:t>
      </w:r>
      <w:r>
        <w:rPr>
          <w:rFonts w:eastAsia="Arrus BT"/>
          <w:color w:val="000000"/>
        </w:rPr>
        <w:t xml:space="preserve">DFT or </w:t>
      </w:r>
      <w:r w:rsidRPr="00A635DF">
        <w:rPr>
          <w:rFonts w:eastAsia="Arrus BT"/>
          <w:color w:val="000000"/>
        </w:rPr>
        <w:t>DFT’s employees had to discover the condition</w:t>
      </w:r>
      <w:r w:rsidR="00083821">
        <w:rPr>
          <w:rFonts w:eastAsia="Arrus BT"/>
          <w:color w:val="000000"/>
        </w:rPr>
        <w:t xml:space="preserve">. </w:t>
      </w:r>
      <w:r w:rsidRPr="00A635DF">
        <w:rPr>
          <w:rFonts w:eastAsia="Arrus BT"/>
          <w:color w:val="000000"/>
        </w:rPr>
        <w:t>You may ask:</w:t>
      </w:r>
    </w:p>
    <w:p w14:paraId="033D9AD2" w14:textId="77777777" w:rsidR="00484F3D" w:rsidRPr="00A635DF" w:rsidRDefault="00484F3D" w:rsidP="00484F3D">
      <w:pPr>
        <w:pStyle w:val="JuryInstructionBullets"/>
      </w:pPr>
      <w:r w:rsidRPr="00A635DF">
        <w:t>What was the substance’s condition, size</w:t>
      </w:r>
      <w:r>
        <w:t>,</w:t>
      </w:r>
      <w:r w:rsidRPr="00A635DF">
        <w:t xml:space="preserve"> and location? </w:t>
      </w:r>
    </w:p>
    <w:p w14:paraId="6D692F72" w14:textId="77777777" w:rsidR="00484F3D" w:rsidRPr="00A635DF" w:rsidRDefault="00484F3D" w:rsidP="00484F3D">
      <w:pPr>
        <w:pStyle w:val="JuryInstructionBullets"/>
      </w:pPr>
      <w:r>
        <w:t>Does</w:t>
      </w:r>
      <w:r w:rsidRPr="00A635DF">
        <w:t xml:space="preserve"> any evidence help you estimate how long the substance had been there before the incident?  For instance, does the substance’s condition or description lead you to any conclusions about that approximate time period?</w:t>
      </w:r>
    </w:p>
    <w:p w14:paraId="774E1B5A" w14:textId="77777777" w:rsidR="00484F3D" w:rsidRPr="00A635DF" w:rsidRDefault="00484F3D" w:rsidP="00484F3D">
      <w:pPr>
        <w:pStyle w:val="JuryInstructionBullets"/>
      </w:pPr>
      <w:r w:rsidRPr="00A635DF">
        <w:t>How ma</w:t>
      </w:r>
      <w:r>
        <w:t>n</w:t>
      </w:r>
      <w:r w:rsidRPr="00A635DF">
        <w:t xml:space="preserve">y employees did DFT have? </w:t>
      </w:r>
    </w:p>
    <w:p w14:paraId="0A7C550B" w14:textId="77777777" w:rsidR="00484F3D" w:rsidRPr="00A635DF" w:rsidRDefault="00484F3D" w:rsidP="00484F3D">
      <w:pPr>
        <w:pStyle w:val="JuryInstructionBullets"/>
      </w:pPr>
      <w:r w:rsidRPr="00A635DF">
        <w:t xml:space="preserve">How close where those employees to the substance’s location </w:t>
      </w:r>
      <w:r>
        <w:t>—</w:t>
      </w:r>
      <w:r w:rsidRPr="00A635DF">
        <w:t xml:space="preserve"> that is, was it in a place where they should have seen it while doing their jobs?</w:t>
      </w:r>
    </w:p>
    <w:p w14:paraId="5ED73886" w14:textId="77777777" w:rsidR="00484F3D" w:rsidRPr="00A635DF" w:rsidRDefault="00484F3D" w:rsidP="00484F3D">
      <w:pPr>
        <w:pStyle w:val="JuryInstructionBullets"/>
      </w:pPr>
      <w:r w:rsidRPr="00A635DF">
        <w:t>How likely was it that DFT’s employees would become aware of the condition while performing their usual duties?</w:t>
      </w:r>
    </w:p>
    <w:p w14:paraId="01A048FF" w14:textId="0905CC3B" w:rsidR="00484F3D" w:rsidRPr="00A635DF" w:rsidRDefault="00484F3D" w:rsidP="00484F3D">
      <w:pPr>
        <w:pStyle w:val="JuryInstructionText"/>
      </w:pPr>
      <w:r>
        <w:t>&lt;</w:t>
      </w:r>
      <w:r w:rsidRPr="00F414DA">
        <w:rPr>
          <w:i/>
        </w:rPr>
        <w:t>Mode of Operation</w:t>
      </w:r>
      <w:r>
        <w:t>&gt;</w:t>
      </w:r>
      <w:r w:rsidR="00FA3B25">
        <w:t xml:space="preserve"> </w:t>
      </w:r>
      <w:r w:rsidRPr="00A635DF">
        <w:t xml:space="preserve">Fourth, PLF may show that DFT chose to operate </w:t>
      </w:r>
      <w:r>
        <w:t>his/her/</w:t>
      </w:r>
      <w:r w:rsidRPr="00A635DF">
        <w:t>its</w:t>
      </w:r>
      <w:r>
        <w:t xml:space="preserve"> [store]</w:t>
      </w:r>
      <w:r w:rsidRPr="00A635DF">
        <w:t xml:space="preserve"> [supermarket] [business] in a way that made a dangerous condition reasonably foreseeable</w:t>
      </w:r>
      <w:r w:rsidR="00083821">
        <w:t xml:space="preserve">. </w:t>
      </w:r>
      <w:r w:rsidRPr="00A635DF">
        <w:t>DFT had a duty to use all reasonable precautions necessary to protect customers or others who were authorized to be in the [supermarket] [store]</w:t>
      </w:r>
      <w:r w:rsidR="00083821">
        <w:t xml:space="preserve">. </w:t>
      </w:r>
      <w:r w:rsidRPr="00A635DF">
        <w:t>In this case</w:t>
      </w:r>
      <w:r>
        <w:t>,</w:t>
      </w:r>
      <w:r w:rsidRPr="00A635DF">
        <w:t xml:space="preserve"> DFT chose to operate its [supermarket] [store] as a [self-service store] [other</w:t>
      </w:r>
      <w:r>
        <w:t>].</w:t>
      </w:r>
      <w:r w:rsidRPr="00A635DF">
        <w:rPr>
          <w:rStyle w:val="FootnoteReference"/>
          <w:rFonts w:eastAsia="Arrus BT" w:cs="Segoe UI Historic"/>
          <w:color w:val="000000"/>
        </w:rPr>
        <w:footnoteReference w:id="14"/>
      </w:r>
      <w:r w:rsidRPr="00A635DF">
        <w:t xml:space="preserve">  </w:t>
      </w:r>
    </w:p>
    <w:p w14:paraId="7D1D09B8" w14:textId="3E789C32" w:rsidR="00484F3D" w:rsidRDefault="00484F3D" w:rsidP="00484F3D">
      <w:pPr>
        <w:pStyle w:val="JuryInstructionText"/>
      </w:pPr>
      <w:r w:rsidRPr="00A635DF">
        <w:lastRenderedPageBreak/>
        <w:t xml:space="preserve">A customer has a right to expect that the store owner </w:t>
      </w:r>
      <w:r>
        <w:t xml:space="preserve">[supermarket] </w:t>
      </w:r>
      <w:r w:rsidRPr="00A635DF">
        <w:t>[</w:t>
      </w:r>
      <w:r>
        <w:t>business</w:t>
      </w:r>
      <w:r w:rsidRPr="00A635DF">
        <w:t xml:space="preserve">] will make greater </w:t>
      </w:r>
      <w:r>
        <w:t>efforts</w:t>
      </w:r>
      <w:r w:rsidRPr="00A635DF">
        <w:t xml:space="preserve"> for </w:t>
      </w:r>
      <w:r>
        <w:t>its</w:t>
      </w:r>
      <w:r w:rsidRPr="00A635DF">
        <w:t xml:space="preserve"> patrons</w:t>
      </w:r>
      <w:r>
        <w:t>’ safety</w:t>
      </w:r>
      <w:r w:rsidRPr="00A635DF">
        <w:t xml:space="preserve"> than a homeowner would make for visitors.</w:t>
      </w:r>
      <w:r w:rsidRPr="00A635DF">
        <w:rPr>
          <w:rStyle w:val="FootnoteReference"/>
          <w:rFonts w:eastAsia="Arrus BT" w:cs="Segoe UI Historic"/>
          <w:color w:val="000000"/>
        </w:rPr>
        <w:footnoteReference w:id="15"/>
      </w:r>
      <w:r w:rsidRPr="00A635DF">
        <w:t xml:space="preserve">  You should consider whether DFT failed to take reasonable measures to prevent injury to its customers in light of the risks involved with its [self-service] [other] mode of operation.</w:t>
      </w:r>
      <w:r w:rsidRPr="00A635DF">
        <w:rPr>
          <w:rStyle w:val="FootnoteReference"/>
          <w:rFonts w:eastAsia="Arrus BT" w:cs="Segoe UI Historic"/>
          <w:color w:val="000000"/>
        </w:rPr>
        <w:footnoteReference w:id="16"/>
      </w:r>
      <w:r w:rsidRPr="00A635DF">
        <w:t xml:space="preserve"> In light of those risks and </w:t>
      </w:r>
      <w:r>
        <w:t>of DFT’s</w:t>
      </w:r>
      <w:r w:rsidRPr="00A635DF">
        <w:t xml:space="preserve"> [self-service] [other] mode of operation, you should ask whether DFT could reasonably foresee that a dangerous condition existed and, if so, whether </w:t>
      </w:r>
      <w:r>
        <w:t>s/he/</w:t>
      </w:r>
      <w:r w:rsidRPr="00A635DF">
        <w:t>it failed to use reasonable care to prevent injury.</w:t>
      </w:r>
    </w:p>
    <w:p w14:paraId="5E0AC2B1" w14:textId="79CD727F" w:rsidR="00484F3D" w:rsidRDefault="00484F3D" w:rsidP="00484F3D">
      <w:pPr>
        <w:pStyle w:val="JuryInstructionText"/>
      </w:pPr>
      <w:r>
        <w:t>As I said, PLF may prove negligence in any one or more of these ways and does not have to prove all of them</w:t>
      </w:r>
      <w:r w:rsidR="00083821">
        <w:t xml:space="preserve">. </w:t>
      </w:r>
    </w:p>
    <w:p w14:paraId="5DDBE66D" w14:textId="460DC1EE" w:rsidR="00484F3D" w:rsidRPr="0058173F" w:rsidRDefault="00A12C9C" w:rsidP="004523DA">
      <w:pPr>
        <w:pStyle w:val="JuryInst4"/>
      </w:pPr>
      <w:r w:rsidRPr="0058173F">
        <w:t>Prior Similar Incidents</w:t>
      </w:r>
    </w:p>
    <w:p w14:paraId="5823D38A" w14:textId="340CFCD0" w:rsidR="00484F3D" w:rsidRPr="00A635DF" w:rsidRDefault="00484F3D" w:rsidP="00484F3D">
      <w:pPr>
        <w:pStyle w:val="JuryInstructionText"/>
      </w:pPr>
      <w:r w:rsidRPr="00173385">
        <w:t>PLF presented evidence about earlier incidents that s/he claims were similar to the events in this case</w:t>
      </w:r>
      <w:r w:rsidR="00083821">
        <w:t xml:space="preserve">. </w:t>
      </w:r>
      <w:r w:rsidRPr="00173385">
        <w:t xml:space="preserve">You may consider this evidence only to decide whether DFT knew </w:t>
      </w:r>
      <w:r>
        <w:t>—</w:t>
      </w:r>
      <w:r w:rsidRPr="00173385">
        <w:t xml:space="preserve"> or should have known </w:t>
      </w:r>
      <w:r>
        <w:t>—</w:t>
      </w:r>
      <w:r w:rsidRPr="00173385">
        <w:t xml:space="preserve"> about any dangers or risks that existed in this case</w:t>
      </w:r>
      <w:r w:rsidR="00083821">
        <w:t xml:space="preserve">. </w:t>
      </w:r>
      <w:r w:rsidRPr="00173385">
        <w:t>And you may consider this evidence only if PLF has proved that the other incident(s) was (were) substantially similar to the incident in this case</w:t>
      </w:r>
      <w:r w:rsidR="00083821">
        <w:t xml:space="preserve">. </w:t>
      </w:r>
      <w:r w:rsidRPr="00173385">
        <w:t>The circumstances don’t have to be identical, but they must be substantially similar</w:t>
      </w:r>
      <w:r w:rsidR="00083821">
        <w:t xml:space="preserve">. </w:t>
      </w:r>
      <w:r w:rsidRPr="00173385">
        <w:t>If you find that the earlier incident(s) was (were) substantially similar, then you may consider it/them, along with all the other evidence, to determine whether DFT knew or should have known about the risks that PLF claims in this case.</w:t>
      </w:r>
    </w:p>
    <w:p w14:paraId="71773D35" w14:textId="28F6AE30" w:rsidR="00484F3D" w:rsidRPr="00A635DF" w:rsidRDefault="00A12C9C" w:rsidP="004523DA">
      <w:pPr>
        <w:pStyle w:val="JuryInst4"/>
      </w:pPr>
      <w:r w:rsidRPr="00CB7F7E">
        <w:t xml:space="preserve">Violation </w:t>
      </w:r>
      <w:r>
        <w:t>o</w:t>
      </w:r>
      <w:r w:rsidRPr="00CB7F7E">
        <w:t xml:space="preserve">f </w:t>
      </w:r>
      <w:r>
        <w:t>a</w:t>
      </w:r>
      <w:r w:rsidRPr="00CB7F7E">
        <w:t xml:space="preserve"> Statute </w:t>
      </w:r>
      <w:r>
        <w:t>o</w:t>
      </w:r>
      <w:r w:rsidRPr="00CB7F7E">
        <w:t>r Regulation</w:t>
      </w:r>
    </w:p>
    <w:p w14:paraId="2B1FDA9B" w14:textId="200874D3" w:rsidR="00484F3D" w:rsidRPr="00A635DF" w:rsidRDefault="00484F3D" w:rsidP="00484F3D">
      <w:pPr>
        <w:pStyle w:val="JuryInstructionText"/>
      </w:pPr>
      <w:r w:rsidRPr="00A635DF">
        <w:t>You may also consider whether DFT [or PLF] violated any safety statute or regulation that applied to him/her</w:t>
      </w:r>
      <w:r w:rsidR="00083821">
        <w:t xml:space="preserve">. </w:t>
      </w:r>
      <w:r w:rsidRPr="00A635DF">
        <w:t>There is a statute/rule that says:</w:t>
      </w:r>
      <w:r w:rsidR="00A12C9C">
        <w:br/>
      </w:r>
      <w:r>
        <w:t>&lt;</w:t>
      </w:r>
      <w:r w:rsidRPr="00A12C9C">
        <w:rPr>
          <w:b/>
          <w:bCs/>
          <w:i/>
        </w:rPr>
        <w:t>summarize or quote the statute or rule</w:t>
      </w:r>
      <w:r>
        <w:t>&gt;</w:t>
      </w:r>
    </w:p>
    <w:p w14:paraId="001234FE" w14:textId="077A5EFB" w:rsidR="00484F3D" w:rsidRPr="00A635DF" w:rsidRDefault="00484F3D" w:rsidP="00484F3D">
      <w:pPr>
        <w:pStyle w:val="JuryInstructionText"/>
      </w:pPr>
      <w:r w:rsidRPr="00A635DF">
        <w:lastRenderedPageBreak/>
        <w:t>This statute [rule] does not automatically determine whether DFT or PLF was negligent</w:t>
      </w:r>
      <w:r w:rsidR="00083821">
        <w:t xml:space="preserve">. </w:t>
      </w:r>
      <w:r w:rsidRPr="00A635DF">
        <w:t>Instead, you should</w:t>
      </w:r>
      <w:r>
        <w:t xml:space="preserve"> ask two questions</w:t>
      </w:r>
      <w:r w:rsidR="00083821">
        <w:t xml:space="preserve">. </w:t>
      </w:r>
      <w:r>
        <w:t>F</w:t>
      </w:r>
      <w:r w:rsidRPr="00A635DF">
        <w:t>irst</w:t>
      </w:r>
      <w:r>
        <w:t>,</w:t>
      </w:r>
      <w:r w:rsidRPr="00A635DF">
        <w:t xml:space="preserve"> “Did DFT </w:t>
      </w:r>
      <w:r>
        <w:t xml:space="preserve">or </w:t>
      </w:r>
      <w:r w:rsidRPr="00A635DF">
        <w:t xml:space="preserve">PLF violate this statute [rule]?” </w:t>
      </w:r>
      <w:r>
        <w:t xml:space="preserve"> </w:t>
      </w:r>
      <w:r w:rsidRPr="00A635DF">
        <w:t xml:space="preserve">Since this decision is up to you, as </w:t>
      </w:r>
      <w:r>
        <w:t>the</w:t>
      </w:r>
      <w:r w:rsidRPr="00A635DF">
        <w:t xml:space="preserve"> jury, it does not matter whether any</w:t>
      </w:r>
      <w:r>
        <w:t xml:space="preserve"> public official issued a citation to</w:t>
      </w:r>
      <w:r w:rsidRPr="00A635DF">
        <w:t xml:space="preserve"> DFT or PLF or found </w:t>
      </w:r>
      <w:r>
        <w:t>anyone</w:t>
      </w:r>
      <w:r w:rsidRPr="00A635DF">
        <w:t xml:space="preserve"> responsible for a violation</w:t>
      </w:r>
      <w:r w:rsidR="00083821">
        <w:t xml:space="preserve">. </w:t>
      </w:r>
    </w:p>
    <w:p w14:paraId="5587AF17" w14:textId="4DDAF6A7" w:rsidR="00484F3D" w:rsidRPr="00A635DF" w:rsidRDefault="00484F3D" w:rsidP="00484F3D">
      <w:pPr>
        <w:pStyle w:val="JuryInstructionText"/>
      </w:pPr>
      <w:r w:rsidRPr="00A635DF">
        <w:t>If a violation occurred, then you ask</w:t>
      </w:r>
      <w:r>
        <w:t xml:space="preserve"> the second question</w:t>
      </w:r>
      <w:r w:rsidRPr="00A635DF">
        <w:t>: “Was the statute or regulation designed to prevent events like the incident in this case?”  If you answer “</w:t>
      </w:r>
      <w:r>
        <w:t>Y</w:t>
      </w:r>
      <w:r w:rsidRPr="00A635DF">
        <w:t xml:space="preserve">es” to both of these questions then you may consider the violation as </w:t>
      </w:r>
      <w:r w:rsidRPr="00A635DF">
        <w:rPr>
          <w:u w:val="single"/>
        </w:rPr>
        <w:t>some evidence</w:t>
      </w:r>
      <w:r w:rsidRPr="00A635DF">
        <w:t xml:space="preserve"> that the violator was negligent</w:t>
      </w:r>
      <w:r w:rsidR="00083821">
        <w:t xml:space="preserve">. </w:t>
      </w:r>
      <w:r w:rsidRPr="00A635DF">
        <w:t>Of course, if you answer “</w:t>
      </w:r>
      <w:r>
        <w:t>N</w:t>
      </w:r>
      <w:r w:rsidRPr="00A635DF">
        <w:t xml:space="preserve">o” to at least one of these questions, the statute or rule is not relevant to your decision on negligence. </w:t>
      </w:r>
    </w:p>
    <w:p w14:paraId="3E43919E" w14:textId="644FA2E2" w:rsidR="004523DA" w:rsidRDefault="00484F3D" w:rsidP="00484F3D">
      <w:pPr>
        <w:pStyle w:val="JuryInstructionText"/>
      </w:pPr>
      <w:r w:rsidRPr="00A635DF">
        <w:t>The violation does not automatically prove negligence, because that decision is up to you</w:t>
      </w:r>
      <w:r w:rsidR="00083821">
        <w:t xml:space="preserve">. </w:t>
      </w:r>
      <w:r w:rsidRPr="00A635DF">
        <w:t>If you find that DFT failed to comply with a legal rule designed to prevent incidents like this one, then you may consider that fact, together with all the other evidence, in determining whether one or both parties acted negligently</w:t>
      </w:r>
      <w:r w:rsidR="00083821">
        <w:t xml:space="preserve">. </w:t>
      </w:r>
      <w:r w:rsidRPr="00A635DF">
        <w:t>And, of course, you need not find a violation of law in order to hold DFT or PLF negligent.</w:t>
      </w:r>
    </w:p>
    <w:p w14:paraId="4364998C" w14:textId="27F7F490" w:rsidR="00484F3D" w:rsidRPr="009E28B8" w:rsidRDefault="00A12C9C" w:rsidP="004523DA">
      <w:pPr>
        <w:pStyle w:val="JuryInst4"/>
      </w:pPr>
      <w:r>
        <w:t>Care</w:t>
      </w:r>
      <w:r w:rsidRPr="009E28B8">
        <w:t xml:space="preserve"> Owed </w:t>
      </w:r>
      <w:r>
        <w:t>to an Adult</w:t>
      </w:r>
      <w:r w:rsidRPr="009E28B8">
        <w:t xml:space="preserve"> Trespasser</w:t>
      </w:r>
    </w:p>
    <w:p w14:paraId="05635EB0" w14:textId="3C678B39" w:rsidR="00484F3D" w:rsidRDefault="00484F3D" w:rsidP="00484F3D">
      <w:pPr>
        <w:pStyle w:val="JuryInstructionText"/>
      </w:pPr>
      <w:r>
        <w:t>DFT claims that PLF was a trespasser, meaning that PLF went on to DFT’s property without permission and without excuse</w:t>
      </w:r>
      <w:r w:rsidR="00083821">
        <w:t xml:space="preserve">. </w:t>
      </w:r>
      <w:r w:rsidR="00FA3B25">
        <w:t>&lt;</w:t>
      </w:r>
      <w:r w:rsidRPr="00FA3B25">
        <w:rPr>
          <w:b/>
          <w:bCs/>
          <w:i/>
          <w:iCs/>
        </w:rPr>
        <w:t>insert instructions from “Trespass”, if appropriate</w:t>
      </w:r>
      <w:r w:rsidR="00FA3B25">
        <w:t>&gt;</w:t>
      </w:r>
    </w:p>
    <w:p w14:paraId="50343CB6" w14:textId="43A89E4B" w:rsidR="00484F3D" w:rsidRPr="00A635DF" w:rsidRDefault="00484F3D" w:rsidP="00484F3D">
      <w:pPr>
        <w:pStyle w:val="JuryInstructionText"/>
        <w:rPr>
          <w:b/>
          <w:bCs/>
          <w:u w:val="single"/>
        </w:rPr>
      </w:pPr>
      <w:r>
        <w:t xml:space="preserve">If PLF was a trespasser, then s/he </w:t>
      </w:r>
      <w:r w:rsidRPr="00A635DF">
        <w:t>must prove</w:t>
      </w:r>
      <w:r>
        <w:t xml:space="preserve"> that</w:t>
      </w:r>
      <w:r w:rsidRPr="00A635DF">
        <w:t>, more likely than not, DFT intentionally engaged in conduct that made substantial injury highly likely</w:t>
      </w:r>
      <w:r w:rsidR="00083821">
        <w:t xml:space="preserve">. </w:t>
      </w:r>
      <w:r w:rsidRPr="00A635DF">
        <w:t>For this purpose, conduct includes both action and inaction</w:t>
      </w:r>
      <w:r w:rsidR="00083821">
        <w:t xml:space="preserve">. </w:t>
      </w:r>
      <w:r w:rsidRPr="00A635DF">
        <w:t>It is not enough to show that DFT failed to use reasonable care</w:t>
      </w:r>
      <w:r w:rsidR="00083821">
        <w:t xml:space="preserve">. </w:t>
      </w:r>
      <w:r w:rsidRPr="00A635DF">
        <w:t>Rather, PLF must prove DFT’s intent in at least one of two ways</w:t>
      </w:r>
      <w:r w:rsidR="00083821">
        <w:t xml:space="preserve">. </w:t>
      </w:r>
      <w:r w:rsidRPr="00A635DF">
        <w:t>First, PLF may prove that DFT engaged in the conduct even though DFT actually realized the grave risk of harm. Second, PLF may prove that</w:t>
      </w:r>
      <w:r>
        <w:t xml:space="preserve"> </w:t>
      </w:r>
      <w:r w:rsidRPr="00A635DF">
        <w:t>a reasonable person</w:t>
      </w:r>
      <w:r>
        <w:t xml:space="preserve"> in the DFT’s shoes</w:t>
      </w:r>
      <w:r w:rsidRPr="00A635DF">
        <w:t xml:space="preserve">, knowing what DFT knew, would realize that the conduct posed a high risk </w:t>
      </w:r>
      <w:r w:rsidRPr="00A635DF">
        <w:lastRenderedPageBreak/>
        <w:t>of substantial injury.</w:t>
      </w:r>
      <w:r>
        <w:rPr>
          <w:rStyle w:val="FootnoteReference"/>
        </w:rPr>
        <w:footnoteReference w:id="17"/>
      </w:r>
      <w:r w:rsidRPr="00A635DF">
        <w:t xml:space="preserve"> </w:t>
      </w:r>
      <w:r>
        <w:t xml:space="preserve"> </w:t>
      </w:r>
      <w:r w:rsidRPr="00A635DF">
        <w:t>You must consider all the evidence and then make a judgment about whether DFT’s intentional conduct made it highly likely that substantial injury would occur</w:t>
      </w:r>
      <w:r w:rsidR="00083821">
        <w:t xml:space="preserve">. </w:t>
      </w:r>
      <w:r w:rsidRPr="00A635DF">
        <w:t xml:space="preserve">  </w:t>
      </w:r>
    </w:p>
    <w:p w14:paraId="7F09E37C" w14:textId="4DA02EAE" w:rsidR="00484F3D" w:rsidRPr="00CB7F7E" w:rsidRDefault="00314552" w:rsidP="004523DA">
      <w:pPr>
        <w:pStyle w:val="JuryInst4"/>
      </w:pPr>
      <w:r w:rsidRPr="00CB7F7E">
        <w:t xml:space="preserve">Strict Liability </w:t>
      </w:r>
      <w:r>
        <w:t>f</w:t>
      </w:r>
      <w:r w:rsidRPr="00CB7F7E">
        <w:t xml:space="preserve">or Violation </w:t>
      </w:r>
      <w:r>
        <w:t>o</w:t>
      </w:r>
      <w:r w:rsidRPr="00CB7F7E">
        <w:t xml:space="preserve">f State Building Code </w:t>
      </w:r>
      <w:r>
        <w:t>i</w:t>
      </w:r>
      <w:r w:rsidRPr="00CB7F7E">
        <w:t xml:space="preserve">n Public </w:t>
      </w:r>
      <w:r>
        <w:t>a</w:t>
      </w:r>
      <w:r w:rsidRPr="00CB7F7E">
        <w:t>nd Commercial Structures</w:t>
      </w:r>
    </w:p>
    <w:p w14:paraId="3969164A" w14:textId="577F83E0" w:rsidR="00484F3D" w:rsidRDefault="00FA3B25" w:rsidP="00484F3D">
      <w:pPr>
        <w:pStyle w:val="JuryInstructionText"/>
      </w:pPr>
      <w:r>
        <w:t>[&lt;</w:t>
      </w:r>
      <w:r w:rsidR="00484F3D" w:rsidRPr="00FA3B25">
        <w:rPr>
          <w:b/>
          <w:bCs/>
          <w:i/>
        </w:rPr>
        <w:t xml:space="preserve">If the nature of the building is </w:t>
      </w:r>
      <w:r>
        <w:rPr>
          <w:b/>
          <w:bCs/>
          <w:i/>
        </w:rPr>
        <w:t>NOT</w:t>
      </w:r>
      <w:r w:rsidR="00484F3D" w:rsidRPr="00FA3B25">
        <w:rPr>
          <w:b/>
          <w:bCs/>
          <w:i/>
        </w:rPr>
        <w:t xml:space="preserve"> contested</w:t>
      </w:r>
      <w:r>
        <w:rPr>
          <w:b/>
          <w:bCs/>
          <w:i/>
        </w:rPr>
        <w:t>:</w:t>
      </w:r>
      <w:r>
        <w:t>&gt;</w:t>
      </w:r>
      <w:r w:rsidR="00484F3D">
        <w:t xml:space="preserve"> </w:t>
      </w:r>
      <w:r w:rsidR="00484F3D" w:rsidRPr="00A635DF">
        <w:t xml:space="preserve">The owner [or person in control] of a building </w:t>
      </w:r>
      <w:r w:rsidR="00484F3D">
        <w:t xml:space="preserve">such as [address/description of premises at issue] </w:t>
      </w:r>
      <w:r w:rsidR="00484F3D" w:rsidRPr="00A635DF">
        <w:t xml:space="preserve">is liable to any person injured by a </w:t>
      </w:r>
      <w:r w:rsidR="00484F3D">
        <w:t xml:space="preserve">condition at the building that </w:t>
      </w:r>
      <w:r w:rsidR="00484F3D" w:rsidRPr="00A635DF">
        <w:t>violat</w:t>
      </w:r>
      <w:r w:rsidR="00484F3D">
        <w:t>es</w:t>
      </w:r>
      <w:r w:rsidR="00484F3D" w:rsidRPr="00A635DF">
        <w:t xml:space="preserve"> the state building code</w:t>
      </w:r>
      <w:r w:rsidR="00083821">
        <w:t xml:space="preserve">. </w:t>
      </w:r>
      <w:r w:rsidR="00484F3D" w:rsidRPr="00A635DF">
        <w:t>PLF does not have to prove that DFT knew or should have known of the violation or failed to use care to eliminate it</w:t>
      </w:r>
      <w:r w:rsidR="00083821">
        <w:t xml:space="preserve">. </w:t>
      </w:r>
      <w:r w:rsidR="00484F3D">
        <w:t xml:space="preserve">But </w:t>
      </w:r>
      <w:r w:rsidR="00484F3D" w:rsidRPr="00A635DF">
        <w:t>PLF does have to show that the building code violation caused the injury, which is the next topic I will address.</w:t>
      </w:r>
      <w:r w:rsidR="00484F3D" w:rsidRPr="00A635DF">
        <w:rPr>
          <w:rStyle w:val="FootnoteReference"/>
          <w:rFonts w:eastAsia="Arrus BT" w:cs="Segoe UI Historic"/>
          <w:color w:val="000000"/>
        </w:rPr>
        <w:footnoteReference w:id="18"/>
      </w:r>
      <w:r>
        <w:t xml:space="preserve"> ]</w:t>
      </w:r>
    </w:p>
    <w:p w14:paraId="0F88F3AC" w14:textId="65210A29" w:rsidR="00484F3D" w:rsidRDefault="00FA3B25" w:rsidP="00484F3D">
      <w:pPr>
        <w:pStyle w:val="JuryInstructionText"/>
      </w:pPr>
      <w:r>
        <w:t>[</w:t>
      </w:r>
      <w:r w:rsidR="00484F3D">
        <w:t>&lt;</w:t>
      </w:r>
      <w:r w:rsidRPr="00FA3B25">
        <w:rPr>
          <w:b/>
          <w:bCs/>
          <w:i/>
        </w:rPr>
        <w:t>I</w:t>
      </w:r>
      <w:r w:rsidR="00484F3D" w:rsidRPr="00FA3B25">
        <w:rPr>
          <w:b/>
          <w:bCs/>
          <w:i/>
        </w:rPr>
        <w:t>f the</w:t>
      </w:r>
      <w:r w:rsidR="00484F3D" w:rsidRPr="00FA3B25">
        <w:rPr>
          <w:b/>
          <w:bCs/>
        </w:rPr>
        <w:t xml:space="preserve"> </w:t>
      </w:r>
      <w:r w:rsidR="00484F3D" w:rsidRPr="00FA3B25">
        <w:rPr>
          <w:b/>
          <w:bCs/>
          <w:i/>
        </w:rPr>
        <w:t xml:space="preserve">nature of the building </w:t>
      </w:r>
      <w:r>
        <w:rPr>
          <w:b/>
          <w:bCs/>
          <w:i/>
        </w:rPr>
        <w:t>IS</w:t>
      </w:r>
      <w:r w:rsidR="00484F3D" w:rsidRPr="00FA3B25">
        <w:rPr>
          <w:b/>
          <w:bCs/>
          <w:i/>
        </w:rPr>
        <w:t xml:space="preserve"> contested</w:t>
      </w:r>
      <w:r>
        <w:rPr>
          <w:b/>
          <w:bCs/>
          <w:i/>
        </w:rPr>
        <w:t>:</w:t>
      </w:r>
      <w:r w:rsidR="00484F3D">
        <w:t xml:space="preserve">&gt; </w:t>
      </w:r>
      <w:r w:rsidR="00484F3D" w:rsidRPr="00A635DF">
        <w:t>The o</w:t>
      </w:r>
      <w:r w:rsidR="00484F3D">
        <w:t>wner [or person in control] of certain types of</w:t>
      </w:r>
      <w:r w:rsidR="00484F3D" w:rsidRPr="00A635DF">
        <w:t xml:space="preserve"> building</w:t>
      </w:r>
      <w:r w:rsidR="00484F3D">
        <w:t>s</w:t>
      </w:r>
      <w:r w:rsidR="00484F3D" w:rsidRPr="00A635DF">
        <w:t xml:space="preserve"> is liable to any person injured by a </w:t>
      </w:r>
      <w:r w:rsidR="00484F3D">
        <w:t xml:space="preserve">condition at the building that </w:t>
      </w:r>
      <w:r w:rsidR="00484F3D" w:rsidRPr="00A635DF">
        <w:t>violat</w:t>
      </w:r>
      <w:r w:rsidR="00484F3D">
        <w:t>es</w:t>
      </w:r>
      <w:r w:rsidR="00484F3D" w:rsidRPr="00A635DF">
        <w:t xml:space="preserve"> the state building code</w:t>
      </w:r>
      <w:r w:rsidR="00083821">
        <w:t xml:space="preserve">. </w:t>
      </w:r>
      <w:r w:rsidR="00484F3D">
        <w:t>This rule applies to buildings in which</w:t>
      </w:r>
      <w:r w:rsidR="00484F3D" w:rsidRPr="00B422CE">
        <w:t xml:space="preserve"> a large number of people gather for occupational, entertainment, </w:t>
      </w:r>
      <w:r w:rsidR="00484F3D">
        <w:t>[</w:t>
      </w:r>
      <w:r w:rsidR="00484F3D" w:rsidRPr="00B422CE">
        <w:t>or other</w:t>
      </w:r>
      <w:r w:rsidR="00484F3D" w:rsidRPr="00A635DF">
        <w:rPr>
          <w:rStyle w:val="FootnoteReference"/>
          <w:rFonts w:eastAsia="Arrus BT" w:cs="Segoe UI Historic"/>
          <w:color w:val="000000"/>
        </w:rPr>
        <w:footnoteReference w:id="19"/>
      </w:r>
      <w:r w:rsidR="00484F3D">
        <w:t>]</w:t>
      </w:r>
      <w:r w:rsidR="00484F3D" w:rsidRPr="00B422CE">
        <w:t xml:space="preserve"> purposes</w:t>
      </w:r>
      <w:r w:rsidR="00083821">
        <w:t xml:space="preserve">. </w:t>
      </w:r>
      <w:r w:rsidR="00484F3D">
        <w:t xml:space="preserve">If you find that a large number of people gathered </w:t>
      </w:r>
      <w:r w:rsidR="00484F3D" w:rsidRPr="007D435B">
        <w:t xml:space="preserve">for occupational, entertainment, </w:t>
      </w:r>
      <w:r w:rsidR="00484F3D">
        <w:t>[</w:t>
      </w:r>
      <w:r w:rsidR="00484F3D" w:rsidRPr="007D435B">
        <w:t>or other</w:t>
      </w:r>
      <w:r w:rsidR="00484F3D" w:rsidRPr="00A635DF">
        <w:rPr>
          <w:rStyle w:val="FootnoteReference"/>
          <w:rFonts w:eastAsia="Arrus BT" w:cs="Segoe UI Historic"/>
          <w:color w:val="000000"/>
        </w:rPr>
        <w:footnoteReference w:id="20"/>
      </w:r>
      <w:r w:rsidR="00484F3D">
        <w:t>]</w:t>
      </w:r>
      <w:r w:rsidR="00484F3D" w:rsidRPr="007D435B">
        <w:t xml:space="preserve"> purposes</w:t>
      </w:r>
      <w:r w:rsidR="00484F3D">
        <w:t xml:space="preserve"> at [address/description of property], then DFT is liable for</w:t>
      </w:r>
      <w:r w:rsidR="00484F3D" w:rsidRPr="00A635DF">
        <w:t xml:space="preserve"> injur</w:t>
      </w:r>
      <w:r w:rsidR="00484F3D">
        <w:t>ies that PLF suffered because of</w:t>
      </w:r>
      <w:r w:rsidR="00484F3D" w:rsidRPr="00A635DF">
        <w:t xml:space="preserve"> a </w:t>
      </w:r>
      <w:r w:rsidR="00484F3D">
        <w:t xml:space="preserve">condition at the building that </w:t>
      </w:r>
      <w:r w:rsidR="00484F3D" w:rsidRPr="00A635DF">
        <w:t>violat</w:t>
      </w:r>
      <w:r w:rsidR="00484F3D">
        <w:t>es</w:t>
      </w:r>
      <w:r w:rsidR="00484F3D" w:rsidRPr="00A635DF">
        <w:t xml:space="preserve"> the state building code</w:t>
      </w:r>
      <w:r w:rsidR="00484F3D">
        <w:t>.</w:t>
      </w:r>
      <w:r>
        <w:t xml:space="preserve"> ]</w:t>
      </w:r>
    </w:p>
    <w:p w14:paraId="1C9D069F" w14:textId="13BF8EE7" w:rsidR="004523DA" w:rsidRDefault="00484F3D" w:rsidP="00484F3D">
      <w:pPr>
        <w:pStyle w:val="JuryInstructionText"/>
      </w:pPr>
      <w:r w:rsidRPr="00A635DF">
        <w:lastRenderedPageBreak/>
        <w:t>PLF does not have to prove that DFT knew or should have known of the violation or failed to use care to eliminate it</w:t>
      </w:r>
      <w:r w:rsidR="00083821">
        <w:t xml:space="preserve">. </w:t>
      </w:r>
      <w:r>
        <w:t xml:space="preserve">But </w:t>
      </w:r>
      <w:r w:rsidRPr="00A635DF">
        <w:t>PLF does have to show that the building code violation caused the injury, which is the next topic I will address</w:t>
      </w:r>
      <w:r w:rsidR="00083821">
        <w:t xml:space="preserve">. </w:t>
      </w:r>
    </w:p>
    <w:p w14:paraId="13F8B859" w14:textId="453DA55A" w:rsidR="00484F3D" w:rsidRPr="00A635DF" w:rsidRDefault="00314552" w:rsidP="004523DA">
      <w:pPr>
        <w:pStyle w:val="JuryInst3"/>
      </w:pPr>
      <w:r w:rsidRPr="00A635DF">
        <w:t>Premises Liability – Causation</w:t>
      </w:r>
    </w:p>
    <w:p w14:paraId="47C4DDE9" w14:textId="77777777" w:rsidR="00484F3D" w:rsidRPr="00A635DF" w:rsidRDefault="00484F3D" w:rsidP="00484F3D">
      <w:pPr>
        <w:pStyle w:val="JuryInstructionText"/>
      </w:pPr>
      <w:r w:rsidRPr="00A635DF">
        <w:t>[Same as General Negligence</w:t>
      </w:r>
      <w:r>
        <w:t xml:space="preserve"> and Causation</w:t>
      </w:r>
      <w:r w:rsidRPr="00A635DF">
        <w:t>]</w:t>
      </w:r>
    </w:p>
    <w:p w14:paraId="66821A98" w14:textId="592C733D" w:rsidR="00484F3D" w:rsidRPr="00A635DF" w:rsidRDefault="00314552" w:rsidP="004523DA">
      <w:pPr>
        <w:pStyle w:val="JuryInst3"/>
      </w:pPr>
      <w:r w:rsidRPr="00A635DF">
        <w:t>Premises Liability – Comparative Negligence</w:t>
      </w:r>
    </w:p>
    <w:p w14:paraId="28432917" w14:textId="32CA51B9" w:rsidR="00484F3D" w:rsidRDefault="00484F3D" w:rsidP="00484F3D">
      <w:pPr>
        <w:pStyle w:val="JuryInstructionText"/>
      </w:pPr>
      <w:r w:rsidRPr="00A635DF">
        <w:t xml:space="preserve">[Same as </w:t>
      </w:r>
      <w:r>
        <w:t>General N</w:t>
      </w:r>
      <w:r w:rsidRPr="00A635DF">
        <w:t>egligence</w:t>
      </w:r>
      <w:r>
        <w:t xml:space="preserve"> and Causation</w:t>
      </w:r>
      <w:r w:rsidRPr="00A635DF">
        <w:t>]</w:t>
      </w:r>
    </w:p>
    <w:p w14:paraId="16ADF57C" w14:textId="63D33A7B" w:rsidR="004523DA" w:rsidRPr="00A635DF" w:rsidRDefault="004523DA" w:rsidP="004523DA">
      <w:pPr>
        <w:pStyle w:val="JuryInst3"/>
      </w:pPr>
      <w:r>
        <w:t>Compensation for Damages</w:t>
      </w:r>
    </w:p>
    <w:p w14:paraId="40C80D64" w14:textId="04B436DC" w:rsidR="004523DA" w:rsidRPr="00B75859" w:rsidRDefault="00FA3B25" w:rsidP="004523DA">
      <w:pPr>
        <w:pStyle w:val="JuryInstructionText"/>
      </w:pPr>
      <w:r>
        <w:t>[</w:t>
      </w:r>
      <w:r w:rsidR="004523DA">
        <w:t>See separate instruction: Personal Injury Damages.</w:t>
      </w:r>
      <w:r>
        <w:t>]</w:t>
      </w:r>
    </w:p>
    <w:p w14:paraId="21F33DD6" w14:textId="77777777" w:rsidR="00B75859" w:rsidRPr="00484F3D" w:rsidRDefault="00B75859" w:rsidP="00484F3D"/>
    <w:sectPr w:rsidR="00B75859" w:rsidRPr="00484F3D"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9513A" w14:textId="77777777" w:rsidR="009B7931" w:rsidRDefault="009B7931" w:rsidP="00F74A90">
      <w:r>
        <w:separator/>
      </w:r>
    </w:p>
  </w:endnote>
  <w:endnote w:type="continuationSeparator" w:id="0">
    <w:p w14:paraId="7546608D" w14:textId="77777777" w:rsidR="009B7931" w:rsidRDefault="009B7931"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rus BT">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E0997" w14:textId="77777777" w:rsidR="009B7931" w:rsidRDefault="009B7931" w:rsidP="00F74A90">
      <w:r>
        <w:separator/>
      </w:r>
    </w:p>
  </w:footnote>
  <w:footnote w:type="continuationSeparator" w:id="0">
    <w:p w14:paraId="207FAE6B" w14:textId="77777777" w:rsidR="009B7931" w:rsidRDefault="009B7931" w:rsidP="00F74A90">
      <w:r>
        <w:continuationSeparator/>
      </w:r>
    </w:p>
  </w:footnote>
  <w:footnote w:id="1">
    <w:p w14:paraId="39616E82" w14:textId="794006B4" w:rsidR="00484F3D" w:rsidRPr="005F0443" w:rsidRDefault="00484F3D" w:rsidP="00083821">
      <w:pPr>
        <w:pStyle w:val="FootnoteText"/>
      </w:pPr>
      <w:r>
        <w:rPr>
          <w:rStyle w:val="FootnoteReference"/>
        </w:rPr>
        <w:footnoteRef/>
      </w:r>
      <w:r>
        <w:t xml:space="preserve"> </w:t>
      </w:r>
      <w:r>
        <w:tab/>
      </w:r>
      <w:r w:rsidRPr="00686B84">
        <w:t xml:space="preserve">Massachusetts courts “have recognized that ‘[a]s a general principle of tort law, every actor </w:t>
      </w:r>
      <w:r w:rsidR="001D5D86">
        <w:t>…</w:t>
      </w:r>
      <w:r w:rsidRPr="00686B84">
        <w:t xml:space="preserve"> has a duty to exercise reasonable care to avoid physical harm to others.’”  </w:t>
      </w:r>
      <w:r w:rsidRPr="005F0443">
        <w:rPr>
          <w:i/>
          <w:iCs/>
        </w:rPr>
        <w:t>Jupin</w:t>
      </w:r>
      <w:r w:rsidRPr="00686B84">
        <w:t xml:space="preserve"> v. </w:t>
      </w:r>
      <w:proofErr w:type="spellStart"/>
      <w:r w:rsidRPr="005F0443">
        <w:rPr>
          <w:i/>
          <w:iCs/>
        </w:rPr>
        <w:t>Kask</w:t>
      </w:r>
      <w:proofErr w:type="spellEnd"/>
      <w:r w:rsidRPr="00686B84">
        <w:t xml:space="preserve">, 447 Mass. 141, 147 (2006), quoting </w:t>
      </w:r>
      <w:r w:rsidRPr="005F0443">
        <w:rPr>
          <w:i/>
          <w:iCs/>
        </w:rPr>
        <w:t xml:space="preserve">Remy </w:t>
      </w:r>
      <w:r w:rsidRPr="00686B84">
        <w:t xml:space="preserve">v. </w:t>
      </w:r>
      <w:r w:rsidRPr="005F0443">
        <w:rPr>
          <w:i/>
          <w:iCs/>
        </w:rPr>
        <w:t>MacDonald</w:t>
      </w:r>
      <w:r w:rsidRPr="00686B84">
        <w:t xml:space="preserve">, 440 Mass. 675, 677 (2004), citing Restatement (Second) </w:t>
      </w:r>
      <w:r>
        <w:t xml:space="preserve">of </w:t>
      </w:r>
      <w:r w:rsidRPr="00686B84">
        <w:t>Torts § 302 comment a (1965)</w:t>
      </w:r>
      <w:r w:rsidR="00083821">
        <w:t xml:space="preserve">. </w:t>
      </w:r>
      <w:r w:rsidRPr="00686B84">
        <w:t xml:space="preserve">See also </w:t>
      </w:r>
      <w:proofErr w:type="spellStart"/>
      <w:r w:rsidRPr="005F0443">
        <w:rPr>
          <w:i/>
          <w:iCs/>
        </w:rPr>
        <w:t>Creatini</w:t>
      </w:r>
      <w:proofErr w:type="spellEnd"/>
      <w:r w:rsidRPr="005F0443">
        <w:rPr>
          <w:i/>
          <w:iCs/>
        </w:rPr>
        <w:t xml:space="preserve"> </w:t>
      </w:r>
      <w:r w:rsidRPr="00686B84">
        <w:t xml:space="preserve">v. </w:t>
      </w:r>
      <w:r w:rsidRPr="005F0443">
        <w:rPr>
          <w:i/>
          <w:iCs/>
        </w:rPr>
        <w:t>McHugh</w:t>
      </w:r>
      <w:r w:rsidRPr="00686B84">
        <w:t>, 99 Mass. App. Ct. 126, 129-131 (2021)</w:t>
      </w:r>
      <w:r w:rsidR="00083821">
        <w:t xml:space="preserve">. </w:t>
      </w:r>
      <w:r w:rsidRPr="00686B84">
        <w:t>To enhance jury understanding, this model instruction uses the more familiar concept of “responsibility” in place of the legal term “duty.”  A judge who prefers the legal term may choose to refer to “duty” where the word “responsibility” appears in this instruction</w:t>
      </w:r>
      <w:r w:rsidR="00083821">
        <w:t xml:space="preserve">. </w:t>
      </w:r>
      <w:r w:rsidRPr="00686B84">
        <w:t xml:space="preserve">See generally </w:t>
      </w:r>
      <w:r w:rsidRPr="005F0443">
        <w:rPr>
          <w:i/>
          <w:iCs/>
        </w:rPr>
        <w:t>Lev</w:t>
      </w:r>
      <w:r w:rsidRPr="00686B84">
        <w:t xml:space="preserve"> v. </w:t>
      </w:r>
      <w:r w:rsidRPr="005F0443">
        <w:rPr>
          <w:i/>
          <w:iCs/>
        </w:rPr>
        <w:t>Beverly Enterprises-Massachusetts, Inc.,</w:t>
      </w:r>
      <w:r w:rsidRPr="00686B84">
        <w:t xml:space="preserve"> 457 Mass. 234, 240-247 (2010); </w:t>
      </w:r>
      <w:r w:rsidRPr="005F0443">
        <w:rPr>
          <w:i/>
          <w:iCs/>
        </w:rPr>
        <w:t>Jupin</w:t>
      </w:r>
      <w:r w:rsidRPr="00686B84">
        <w:t>, 447 Mass. at 148-156.</w:t>
      </w:r>
    </w:p>
  </w:footnote>
  <w:footnote w:id="2">
    <w:p w14:paraId="69D93D6D" w14:textId="77777777" w:rsidR="00484F3D" w:rsidRPr="005F0443" w:rsidRDefault="00484F3D" w:rsidP="00484F3D">
      <w:pPr>
        <w:pStyle w:val="FootnoteText"/>
      </w:pPr>
      <w:r>
        <w:rPr>
          <w:rStyle w:val="FootnoteReference"/>
        </w:rPr>
        <w:footnoteRef/>
      </w:r>
      <w:r>
        <w:t xml:space="preserve"> </w:t>
      </w:r>
      <w:r>
        <w:tab/>
      </w:r>
      <w:r w:rsidRPr="00686B84">
        <w:t>To facilitate jury understanding, this instruction uses the word “predictable” in place of the legal term “foreseeable” (</w:t>
      </w:r>
      <w:proofErr w:type="spellStart"/>
      <w:r w:rsidRPr="00686B84">
        <w:t xml:space="preserve">see </w:t>
      </w:r>
      <w:r>
        <w:t>n</w:t>
      </w:r>
      <w:proofErr w:type="spellEnd"/>
      <w:r>
        <w:t>.</w:t>
      </w:r>
      <w:r w:rsidRPr="00686B84">
        <w:t>1, above), but the judge may substitute the word “foreseeable” if desired.</w:t>
      </w:r>
    </w:p>
  </w:footnote>
  <w:footnote w:id="3">
    <w:p w14:paraId="4E167462" w14:textId="72F91CFB" w:rsidR="00484F3D" w:rsidRDefault="00484F3D" w:rsidP="00484F3D">
      <w:pPr>
        <w:pStyle w:val="FootnoteText"/>
      </w:pPr>
      <w:r>
        <w:rPr>
          <w:rStyle w:val="FootnoteReference"/>
        </w:rPr>
        <w:footnoteRef/>
      </w:r>
      <w:r>
        <w:t xml:space="preserve"> </w:t>
      </w:r>
      <w:r w:rsidR="008D5E32">
        <w:tab/>
      </w:r>
      <w:r w:rsidRPr="00D73C20">
        <w:t>If a specific fact pattern raises legal questions about who controls the premises, the judge may wish to instruct on real property or landlord/tenant law principles</w:t>
      </w:r>
      <w:r w:rsidR="00083821">
        <w:t xml:space="preserve">. </w:t>
      </w:r>
      <w:r w:rsidRPr="00D73C20">
        <w:t xml:space="preserve">For instance, where the tenant has the exclusive right use part or all of the property, it is the tenant—and not the landlord—that has the duty to keep those leased premises reasonably safe. See </w:t>
      </w:r>
      <w:r w:rsidRPr="00D73C20">
        <w:rPr>
          <w:i/>
        </w:rPr>
        <w:t>Crowell</w:t>
      </w:r>
      <w:r w:rsidRPr="00B45218">
        <w:rPr>
          <w:iCs/>
        </w:rPr>
        <w:t xml:space="preserve"> v. </w:t>
      </w:r>
      <w:r w:rsidRPr="00D73C20">
        <w:rPr>
          <w:i/>
        </w:rPr>
        <w:t>McCaffrey,</w:t>
      </w:r>
      <w:r w:rsidRPr="00D73C20">
        <w:t xml:space="preserve"> 377 Mass. 443, 447 (1979); </w:t>
      </w:r>
      <w:r w:rsidRPr="00D73C20">
        <w:rPr>
          <w:i/>
        </w:rPr>
        <w:t>Barrett</w:t>
      </w:r>
      <w:r w:rsidR="00B45218" w:rsidRPr="00B45218">
        <w:t xml:space="preserve"> v. </w:t>
      </w:r>
      <w:r w:rsidRPr="00D73C20">
        <w:rPr>
          <w:i/>
        </w:rPr>
        <w:t>Wood Realty Inc</w:t>
      </w:r>
      <w:r w:rsidRPr="00D73C20">
        <w:t xml:space="preserve">., 334 Mass. 370, 375 (1956). Though a landlord may retain the right to inspect leased premises, or to repair or maintain them, that does not put the landlord in control of the leased premises or impose on the landlord any duty to keep them in a reasonably safe condition. See </w:t>
      </w:r>
      <w:proofErr w:type="spellStart"/>
      <w:r w:rsidRPr="00D73C20">
        <w:rPr>
          <w:i/>
        </w:rPr>
        <w:t>DuBay</w:t>
      </w:r>
      <w:proofErr w:type="spellEnd"/>
      <w:r w:rsidR="00B45218" w:rsidRPr="00B45218">
        <w:t xml:space="preserve"> v. </w:t>
      </w:r>
      <w:r w:rsidRPr="00D73C20">
        <w:rPr>
          <w:i/>
        </w:rPr>
        <w:t>Cambridge Housing Auth</w:t>
      </w:r>
      <w:r w:rsidRPr="00D73C20">
        <w:t xml:space="preserve">., 352 Mass. 770 (1967) (rescript); </w:t>
      </w:r>
      <w:r w:rsidRPr="00D73C20">
        <w:rPr>
          <w:i/>
        </w:rPr>
        <w:t>Stone</w:t>
      </w:r>
      <w:r w:rsidR="00B45218" w:rsidRPr="00B45218">
        <w:t xml:space="preserve"> v. </w:t>
      </w:r>
      <w:r w:rsidRPr="00D73C20">
        <w:rPr>
          <w:i/>
        </w:rPr>
        <w:t>Sullivan</w:t>
      </w:r>
      <w:r w:rsidRPr="00D73C20">
        <w:t xml:space="preserve">, 300 Mass. 450, 454 (1938). But where the landlord has retained control over part of a building or property—including common areas shared by multiple tenants, and not leased to any particular tenant—then the landlord has the duty to keep those areas in a reasonably safe condition. </w:t>
      </w:r>
      <w:r w:rsidRPr="00D73C20">
        <w:rPr>
          <w:i/>
        </w:rPr>
        <w:t>Crowell</w:t>
      </w:r>
      <w:r w:rsidRPr="00D73C20">
        <w:t xml:space="preserve">, 377 Mass. at 447­450 (1979); </w:t>
      </w:r>
      <w:r w:rsidRPr="00D73C20">
        <w:rPr>
          <w:i/>
        </w:rPr>
        <w:t>King</w:t>
      </w:r>
      <w:r w:rsidR="00B45218" w:rsidRPr="00B45218">
        <w:t xml:space="preserve"> v. </w:t>
      </w:r>
      <w:r w:rsidRPr="00D73C20">
        <w:rPr>
          <w:i/>
        </w:rPr>
        <w:t>G &amp; M Realty Corp</w:t>
      </w:r>
      <w:r w:rsidRPr="00D73C20">
        <w:t>., 373 Mass. 658, 660–662 (1977).</w:t>
      </w:r>
    </w:p>
  </w:footnote>
  <w:footnote w:id="4">
    <w:p w14:paraId="4E7BC21F" w14:textId="092818A8" w:rsidR="00484F3D" w:rsidRPr="005F0443" w:rsidRDefault="00484F3D" w:rsidP="00484F3D">
      <w:pPr>
        <w:pStyle w:val="FootnoteText"/>
      </w:pPr>
      <w:r w:rsidRPr="00337B32">
        <w:rPr>
          <w:rStyle w:val="FootnoteReference"/>
          <w:rFonts w:ascii="Times New Roman" w:hAnsi="Times New Roman"/>
          <w:szCs w:val="22"/>
        </w:rPr>
        <w:footnoteRef/>
      </w:r>
      <w:r w:rsidRPr="00337B32">
        <w:rPr>
          <w:rFonts w:ascii="Times New Roman" w:hAnsi="Times New Roman"/>
          <w:szCs w:val="22"/>
        </w:rPr>
        <w:t xml:space="preserve"> </w:t>
      </w:r>
      <w:r>
        <w:rPr>
          <w:rFonts w:ascii="Times New Roman" w:hAnsi="Times New Roman"/>
          <w:szCs w:val="22"/>
        </w:rPr>
        <w:tab/>
      </w:r>
      <w:r w:rsidRPr="00D67906">
        <w:t xml:space="preserve">This duty is statutory and applies to all commercial and residential landlords, “except an owner-occupied two or three-family dwelling.” G.L. c. 186, § 19; </w:t>
      </w:r>
      <w:r w:rsidRPr="006B719B">
        <w:rPr>
          <w:i/>
          <w:iCs/>
        </w:rPr>
        <w:t>Bishop</w:t>
      </w:r>
      <w:r w:rsidRPr="00D67906">
        <w:t xml:space="preserve"> v. </w:t>
      </w:r>
      <w:r w:rsidRPr="006B719B">
        <w:rPr>
          <w:i/>
          <w:iCs/>
        </w:rPr>
        <w:t>TES Realty Trust,</w:t>
      </w:r>
      <w:r w:rsidRPr="00D67906">
        <w:t xml:space="preserve"> 459</w:t>
      </w:r>
      <w:r w:rsidR="001D5D86">
        <w:t> </w:t>
      </w:r>
      <w:r w:rsidRPr="00D67906">
        <w:t>Mass. 9 (2011)</w:t>
      </w:r>
      <w:r w:rsidR="00083821">
        <w:t xml:space="preserve">. </w:t>
      </w:r>
      <w:r w:rsidRPr="00D67906">
        <w:t xml:space="preserve">See also </w:t>
      </w:r>
      <w:proofErr w:type="spellStart"/>
      <w:r w:rsidRPr="006B719B">
        <w:rPr>
          <w:i/>
          <w:iCs/>
        </w:rPr>
        <w:t>Goreham</w:t>
      </w:r>
      <w:proofErr w:type="spellEnd"/>
      <w:r w:rsidRPr="00D67906">
        <w:t xml:space="preserve"> v. </w:t>
      </w:r>
      <w:r w:rsidRPr="006B719B">
        <w:rPr>
          <w:i/>
          <w:iCs/>
        </w:rPr>
        <w:t>Martins,</w:t>
      </w:r>
      <w:r w:rsidRPr="00D67906">
        <w:t xml:space="preserve"> 485</w:t>
      </w:r>
      <w:r>
        <w:t xml:space="preserve"> </w:t>
      </w:r>
      <w:r w:rsidRPr="00D67906">
        <w:t>Mass. 54 (2020) (discussing warranty of habitability under G.L. c. 186, § 14)</w:t>
      </w:r>
      <w:r>
        <w:t>.</w:t>
      </w:r>
    </w:p>
  </w:footnote>
  <w:footnote w:id="5">
    <w:p w14:paraId="7CD2F606" w14:textId="6246A53E" w:rsidR="00484F3D" w:rsidRPr="004A6333" w:rsidRDefault="00484F3D" w:rsidP="00484F3D">
      <w:pPr>
        <w:pStyle w:val="FootnoteText"/>
      </w:pPr>
      <w:r w:rsidRPr="00ED5710">
        <w:rPr>
          <w:rStyle w:val="FootnoteReference"/>
          <w:rFonts w:cs="Segoe UI Historic"/>
          <w:sz w:val="24"/>
          <w:szCs w:val="24"/>
        </w:rPr>
        <w:footnoteRef/>
      </w:r>
      <w:r w:rsidRPr="00ED5710">
        <w:rPr>
          <w:rFonts w:cs="Segoe UI Historic"/>
          <w:sz w:val="24"/>
          <w:szCs w:val="24"/>
        </w:rPr>
        <w:t xml:space="preserve"> </w:t>
      </w:r>
      <w:r>
        <w:rPr>
          <w:rFonts w:cs="Segoe UI Historic"/>
          <w:sz w:val="24"/>
          <w:szCs w:val="24"/>
        </w:rPr>
        <w:tab/>
      </w:r>
      <w:r w:rsidRPr="00D67906">
        <w:t xml:space="preserve">G.L. c. 231, § 85Q; </w:t>
      </w:r>
      <w:r w:rsidRPr="006B719B">
        <w:rPr>
          <w:i/>
          <w:iCs/>
        </w:rPr>
        <w:t xml:space="preserve">Soule </w:t>
      </w:r>
      <w:r w:rsidRPr="00D67906">
        <w:t xml:space="preserve">v. </w:t>
      </w:r>
      <w:r w:rsidRPr="006B719B">
        <w:rPr>
          <w:i/>
          <w:iCs/>
        </w:rPr>
        <w:t>Mass. Elec. Co.,</w:t>
      </w:r>
      <w:r w:rsidRPr="00D67906">
        <w:t xml:space="preserve"> 378 Mass. 177 (1979)</w:t>
      </w:r>
      <w:r>
        <w:t>.</w:t>
      </w:r>
    </w:p>
  </w:footnote>
  <w:footnote w:id="6">
    <w:p w14:paraId="4435516B" w14:textId="77777777" w:rsidR="00484F3D" w:rsidRPr="004A6333" w:rsidRDefault="00484F3D" w:rsidP="00484F3D">
      <w:pPr>
        <w:pStyle w:val="FootnoteText"/>
      </w:pPr>
      <w:r w:rsidRPr="00ED5710">
        <w:rPr>
          <w:rStyle w:val="FootnoteReference"/>
          <w:rFonts w:cs="Segoe UI Historic"/>
          <w:sz w:val="24"/>
          <w:szCs w:val="24"/>
        </w:rPr>
        <w:footnoteRef/>
      </w:r>
      <w:r w:rsidRPr="00ED5710">
        <w:rPr>
          <w:rFonts w:cs="Segoe UI Historic"/>
          <w:sz w:val="24"/>
          <w:szCs w:val="24"/>
        </w:rPr>
        <w:t xml:space="preserve"> </w:t>
      </w:r>
      <w:r>
        <w:rPr>
          <w:rFonts w:cs="Segoe UI Historic"/>
          <w:sz w:val="24"/>
          <w:szCs w:val="24"/>
        </w:rPr>
        <w:tab/>
      </w:r>
      <w:r w:rsidRPr="006B719B">
        <w:rPr>
          <w:i/>
          <w:iCs/>
        </w:rPr>
        <w:t>Pridgen</w:t>
      </w:r>
      <w:r w:rsidRPr="00D67906">
        <w:t xml:space="preserve"> v. </w:t>
      </w:r>
      <w:r w:rsidRPr="006B719B">
        <w:rPr>
          <w:i/>
          <w:iCs/>
        </w:rPr>
        <w:t xml:space="preserve">Boston </w:t>
      </w:r>
      <w:proofErr w:type="spellStart"/>
      <w:r w:rsidRPr="006B719B">
        <w:rPr>
          <w:i/>
          <w:iCs/>
        </w:rPr>
        <w:t>Hous</w:t>
      </w:r>
      <w:proofErr w:type="spellEnd"/>
      <w:r w:rsidRPr="006B719B">
        <w:rPr>
          <w:i/>
          <w:iCs/>
        </w:rPr>
        <w:t>. Auth.,</w:t>
      </w:r>
      <w:r w:rsidRPr="00D67906">
        <w:t xml:space="preserve"> 364 Mass. 696, 707 (1974).</w:t>
      </w:r>
    </w:p>
  </w:footnote>
  <w:footnote w:id="7">
    <w:p w14:paraId="4C815ED8" w14:textId="3C33D7E8" w:rsidR="00484F3D" w:rsidRDefault="00484F3D" w:rsidP="00484F3D">
      <w:pPr>
        <w:pStyle w:val="FootnoteText"/>
      </w:pPr>
      <w:r>
        <w:rPr>
          <w:rStyle w:val="FootnoteReference"/>
        </w:rPr>
        <w:footnoteRef/>
      </w:r>
      <w:r>
        <w:t xml:space="preserve"> </w:t>
      </w:r>
      <w:r w:rsidR="00B45218">
        <w:tab/>
      </w:r>
      <w:r>
        <w:t>If plaintiff was an adult trespasser, use the instruction below</w:t>
      </w:r>
      <w:r w:rsidR="00083821">
        <w:t>.</w:t>
      </w:r>
      <w:r w:rsidR="0003345A">
        <w:t xml:space="preserve"> (Search on “adult trespasser.”)</w:t>
      </w:r>
      <w:r w:rsidR="00083821">
        <w:t xml:space="preserve"> </w:t>
      </w:r>
      <w:r>
        <w:t>If strict liability of a building owner for a code violation applies, use the instruction below.</w:t>
      </w:r>
      <w:r w:rsidR="0003345A">
        <w:t xml:space="preserve"> (Search on “strict liability.”)</w:t>
      </w:r>
    </w:p>
  </w:footnote>
  <w:footnote w:id="8">
    <w:p w14:paraId="1A2070AB" w14:textId="2BEEB72C" w:rsidR="00484F3D" w:rsidRDefault="00484F3D" w:rsidP="00484F3D">
      <w:pPr>
        <w:pStyle w:val="FootnoteText"/>
      </w:pPr>
      <w:r>
        <w:rPr>
          <w:rStyle w:val="FootnoteReference"/>
        </w:rPr>
        <w:footnoteRef/>
      </w:r>
      <w:r>
        <w:t xml:space="preserve"> </w:t>
      </w:r>
      <w:r w:rsidR="0003345A">
        <w:tab/>
      </w:r>
      <w:r>
        <w:t>Instead of combining the issues of duty and reasonable care, the first question on the verdict slip could be: “Did DFT have a duty of care?”</w:t>
      </w:r>
    </w:p>
  </w:footnote>
  <w:footnote w:id="9">
    <w:p w14:paraId="698F0EAF" w14:textId="7FF5EF4B" w:rsidR="00484F3D" w:rsidRDefault="00484F3D" w:rsidP="00484F3D">
      <w:pPr>
        <w:pStyle w:val="FootnoteText"/>
      </w:pPr>
      <w:r>
        <w:rPr>
          <w:rStyle w:val="FootnoteReference"/>
        </w:rPr>
        <w:footnoteRef/>
      </w:r>
      <w:r>
        <w:t xml:space="preserve"> </w:t>
      </w:r>
      <w:r w:rsidR="0003345A">
        <w:tab/>
      </w:r>
      <w:r w:rsidRPr="000C3B0B">
        <w:rPr>
          <w:i/>
        </w:rPr>
        <w:t>Quinn</w:t>
      </w:r>
      <w:r w:rsidR="00B45218" w:rsidRPr="00B45218">
        <w:t xml:space="preserve"> v. </w:t>
      </w:r>
      <w:proofErr w:type="spellStart"/>
      <w:r w:rsidRPr="000C3B0B">
        <w:rPr>
          <w:i/>
        </w:rPr>
        <w:t>Morganelli</w:t>
      </w:r>
      <w:proofErr w:type="spellEnd"/>
      <w:r>
        <w:t>, 73 Mass. App. Ct. 50, 52 (2008).</w:t>
      </w:r>
    </w:p>
  </w:footnote>
  <w:footnote w:id="10">
    <w:p w14:paraId="48814AB4" w14:textId="5647A978" w:rsidR="0003345A" w:rsidRDefault="0003345A" w:rsidP="0003345A">
      <w:pPr>
        <w:pStyle w:val="FootnoteText"/>
      </w:pPr>
      <w:r>
        <w:rPr>
          <w:rStyle w:val="FootnoteReference"/>
        </w:rPr>
        <w:footnoteRef/>
      </w:r>
      <w:r>
        <w:t xml:space="preserve"> </w:t>
      </w:r>
      <w:r>
        <w:tab/>
        <w:t xml:space="preserve">While </w:t>
      </w:r>
      <w:r w:rsidR="00AB17B3" w:rsidRPr="006B719B">
        <w:rPr>
          <w:i/>
          <w:iCs/>
        </w:rPr>
        <w:t>Dos Santos</w:t>
      </w:r>
      <w:r w:rsidR="00AB17B3" w:rsidRPr="00774321">
        <w:t xml:space="preserve"> v. </w:t>
      </w:r>
      <w:r w:rsidR="00AB17B3" w:rsidRPr="006B719B">
        <w:rPr>
          <w:i/>
          <w:iCs/>
        </w:rPr>
        <w:t>Coleta,</w:t>
      </w:r>
      <w:r w:rsidR="00AB17B3" w:rsidRPr="00774321">
        <w:t xml:space="preserve"> 465 Mass. 148, 15</w:t>
      </w:r>
      <w:r w:rsidR="00AB17B3">
        <w:t>2–153</w:t>
      </w:r>
      <w:r w:rsidR="00AB17B3" w:rsidRPr="00774321">
        <w:t xml:space="preserve"> (2013)</w:t>
      </w:r>
      <w:r>
        <w:t xml:space="preserve">, can be read to eliminate any duty to warn of open and obvious dangers, it quotes the Restatement (Second) of Torts § 343A(1), at 220 (1965) for the proposition that “this duty may require him to warn the invitee, or to take other reasonable steps to protect him, against the known or obvious condition or activity, if the possessor has reason to expect that the invitee will nevertheless suffer physical harm.”  </w:t>
      </w:r>
      <w:r w:rsidRPr="00100EBC">
        <w:rPr>
          <w:i/>
        </w:rPr>
        <w:t>Id</w:t>
      </w:r>
      <w:r>
        <w:t xml:space="preserve">. 46 Mass. at 151 n. 8. </w:t>
      </w:r>
    </w:p>
  </w:footnote>
  <w:footnote w:id="11">
    <w:p w14:paraId="39A28CD2" w14:textId="0ED99FDD" w:rsidR="00484F3D" w:rsidRPr="0054152E" w:rsidRDefault="00484F3D" w:rsidP="00484F3D">
      <w:pPr>
        <w:pStyle w:val="FootnoteText"/>
        <w:rPr>
          <w:rFonts w:cs="Segoe UI Historic"/>
          <w:sz w:val="24"/>
          <w:szCs w:val="24"/>
        </w:rPr>
      </w:pPr>
      <w:r w:rsidRPr="000527C5">
        <w:rPr>
          <w:rStyle w:val="FootnoteReference"/>
          <w:rFonts w:ascii="Times New Roman" w:hAnsi="Times New Roman"/>
          <w:szCs w:val="22"/>
        </w:rPr>
        <w:footnoteRef/>
      </w:r>
      <w:r w:rsidRPr="000527C5">
        <w:rPr>
          <w:rFonts w:ascii="Times New Roman" w:hAnsi="Times New Roman"/>
          <w:szCs w:val="22"/>
        </w:rPr>
        <w:t xml:space="preserve"> </w:t>
      </w:r>
      <w:r>
        <w:rPr>
          <w:rFonts w:ascii="Times New Roman" w:hAnsi="Times New Roman"/>
          <w:szCs w:val="22"/>
        </w:rPr>
        <w:tab/>
      </w:r>
      <w:r w:rsidRPr="00774321">
        <w:t xml:space="preserve">Depending on the facts of the case, the judge may wish to give examples, such as those set forth in Restatement (Second) of Torts § 343A(1) Comment f, at 220 (1965) and quoted in </w:t>
      </w:r>
      <w:r w:rsidRPr="006B719B">
        <w:rPr>
          <w:i/>
          <w:iCs/>
        </w:rPr>
        <w:t>Dos Santos,</w:t>
      </w:r>
      <w:r w:rsidRPr="00774321">
        <w:t xml:space="preserve"> 465 Mass. </w:t>
      </w:r>
      <w:r w:rsidR="00AB17B3">
        <w:t>at</w:t>
      </w:r>
      <w:r w:rsidRPr="00774321">
        <w:t xml:space="preserve"> 151 n.8</w:t>
      </w:r>
      <w:r w:rsidR="00083821">
        <w:t xml:space="preserve">. </w:t>
      </w:r>
      <w:r w:rsidRPr="00774321">
        <w:t xml:space="preserve">If the court poses a special jury verdict question about the open and obvious nature of the danger, it should also pose a question effectively asking: “whether the defendants reasonably could and should have anticipated that lawful entrants would [encounter the danger] despite the open and obvious danger of doing so.”  </w:t>
      </w:r>
      <w:r w:rsidRPr="00BF752B">
        <w:rPr>
          <w:i/>
        </w:rPr>
        <w:t>Id</w:t>
      </w:r>
      <w:r w:rsidRPr="00774321">
        <w:t>., 465 Mass. at 163.</w:t>
      </w:r>
    </w:p>
    <w:p w14:paraId="2C013399" w14:textId="77777777" w:rsidR="00484F3D" w:rsidRPr="00774321" w:rsidRDefault="00484F3D" w:rsidP="00484F3D">
      <w:pPr>
        <w:pStyle w:val="FootnoteText"/>
        <w:ind w:firstLine="0"/>
      </w:pPr>
      <w:r w:rsidRPr="00774321">
        <w:t>The following adaptation of Restatement Comment f may provide a useful guide for additional instructions:</w:t>
      </w:r>
    </w:p>
    <w:p w14:paraId="45255038" w14:textId="0AECB977" w:rsidR="00484F3D" w:rsidRPr="0054152E" w:rsidRDefault="00484F3D" w:rsidP="00FA3B25">
      <w:pPr>
        <w:pStyle w:val="FootnoteText"/>
        <w:ind w:left="864" w:firstLine="0"/>
      </w:pPr>
      <w:r>
        <w:t>[</w:t>
      </w:r>
      <w:r w:rsidRPr="0054152E">
        <w:t>DFT may expect that an obvious condition remains dangerous], where it has reason to expect that the visitor’s “attention may be distracted, so that he will not discover what is obvious, or will forget what he has discovered, or fail to protect himself against it.”</w:t>
      </w:r>
      <w:r w:rsidR="0003345A">
        <w:t>]</w:t>
      </w:r>
    </w:p>
    <w:p w14:paraId="438353CD" w14:textId="77777777" w:rsidR="00484F3D" w:rsidRPr="0054152E" w:rsidRDefault="00484F3D" w:rsidP="00FA3B25">
      <w:pPr>
        <w:pStyle w:val="FootnoteText"/>
        <w:ind w:left="864" w:firstLine="0"/>
      </w:pPr>
      <w:r>
        <w:t>[</w:t>
      </w:r>
      <w:r w:rsidRPr="0054152E">
        <w:t>DFT may expect that an obvious condition remains dangerous</w:t>
      </w:r>
      <w:r>
        <w:t>],</w:t>
      </w:r>
      <w:r w:rsidRPr="0054152E">
        <w:t xml:space="preserve"> if it has reason to expect that the visitor “will proceed to encounter the known or obvious danger because to a reasonable man in his position the advantages of doing so would outweigh the apparent risk.”  </w:t>
      </w:r>
    </w:p>
    <w:p w14:paraId="2032C90D" w14:textId="77777777" w:rsidR="00484F3D" w:rsidRPr="0054152E" w:rsidRDefault="00484F3D" w:rsidP="00484F3D">
      <w:pPr>
        <w:pStyle w:val="FootnoteText"/>
        <w:spacing w:before="0"/>
        <w:ind w:firstLine="0"/>
        <w:rPr>
          <w:rFonts w:cs="Segoe UI Historic"/>
          <w:sz w:val="24"/>
          <w:szCs w:val="24"/>
        </w:rPr>
      </w:pPr>
      <w:r w:rsidRPr="0054152E">
        <w:t>It may also be useful, in the contributory negligence instruction, to point out that, if the jury finds that DFT should have expected harm from an obvious condition, it may consider the obviousness of the danger in deciding whether PLF was negligent.</w:t>
      </w:r>
    </w:p>
  </w:footnote>
  <w:footnote w:id="12">
    <w:p w14:paraId="5757A893" w14:textId="6633843C" w:rsidR="00484F3D" w:rsidRPr="0054152E" w:rsidRDefault="00484F3D" w:rsidP="00484F3D">
      <w:pPr>
        <w:pStyle w:val="FootnoteText"/>
        <w:rPr>
          <w:rFonts w:cs="Segoe UI Historic"/>
          <w:sz w:val="24"/>
          <w:szCs w:val="24"/>
        </w:rPr>
      </w:pPr>
      <w:r w:rsidRPr="000527C5">
        <w:rPr>
          <w:rStyle w:val="FootnoteReference"/>
          <w:rFonts w:ascii="Times New Roman" w:hAnsi="Times New Roman"/>
          <w:szCs w:val="22"/>
        </w:rPr>
        <w:footnoteRef/>
      </w:r>
      <w:r w:rsidRPr="000527C5">
        <w:rPr>
          <w:rFonts w:ascii="Times New Roman" w:hAnsi="Times New Roman"/>
          <w:szCs w:val="22"/>
        </w:rPr>
        <w:t xml:space="preserve"> </w:t>
      </w:r>
      <w:r>
        <w:rPr>
          <w:rFonts w:ascii="Times New Roman" w:hAnsi="Times New Roman"/>
          <w:szCs w:val="22"/>
        </w:rPr>
        <w:tab/>
      </w:r>
      <w:r w:rsidRPr="00100EBC">
        <w:rPr>
          <w:rFonts w:cs="Segoe UI Historic"/>
          <w:i/>
          <w:szCs w:val="22"/>
        </w:rPr>
        <w:t>LaForce</w:t>
      </w:r>
      <w:r w:rsidR="00B45218" w:rsidRPr="00B45218">
        <w:rPr>
          <w:rFonts w:cs="Segoe UI Historic"/>
          <w:szCs w:val="22"/>
        </w:rPr>
        <w:t xml:space="preserve"> v. </w:t>
      </w:r>
      <w:proofErr w:type="spellStart"/>
      <w:r w:rsidRPr="00100EBC">
        <w:rPr>
          <w:rFonts w:cs="Segoe UI Historic"/>
          <w:i/>
          <w:szCs w:val="22"/>
        </w:rPr>
        <w:t>Dyckman</w:t>
      </w:r>
      <w:proofErr w:type="spellEnd"/>
      <w:r w:rsidRPr="00100EBC">
        <w:rPr>
          <w:rFonts w:cs="Segoe UI Historic"/>
          <w:szCs w:val="22"/>
        </w:rPr>
        <w:t>, 96 Mass. App. Ct. 42, 46-47 (2019)</w:t>
      </w:r>
      <w:r w:rsidR="00083821">
        <w:rPr>
          <w:rFonts w:cs="Segoe UI Historic"/>
          <w:szCs w:val="22"/>
        </w:rPr>
        <w:t xml:space="preserve">. </w:t>
      </w:r>
      <w:r w:rsidRPr="00F12F77">
        <w:rPr>
          <w:rFonts w:cs="Segoe UI Historic"/>
          <w:szCs w:val="22"/>
        </w:rPr>
        <w:t xml:space="preserve">See </w:t>
      </w:r>
      <w:proofErr w:type="spellStart"/>
      <w:r w:rsidRPr="00F12F77">
        <w:rPr>
          <w:rFonts w:cs="Segoe UI Historic"/>
          <w:szCs w:val="22"/>
        </w:rPr>
        <w:t>f.n.</w:t>
      </w:r>
      <w:proofErr w:type="spellEnd"/>
      <w:r w:rsidRPr="00F12F77">
        <w:rPr>
          <w:rFonts w:cs="Segoe UI Historic"/>
          <w:szCs w:val="22"/>
        </w:rPr>
        <w:t xml:space="preserve"> 11 for </w:t>
      </w:r>
      <w:r>
        <w:rPr>
          <w:rFonts w:cs="Segoe UI Historic"/>
          <w:szCs w:val="22"/>
        </w:rPr>
        <w:t>possible additional instructions that may address the specifics of certain types of cases</w:t>
      </w:r>
      <w:r w:rsidRPr="00F12F77">
        <w:rPr>
          <w:rFonts w:cs="Segoe UI Historic"/>
        </w:rPr>
        <w:t>.</w:t>
      </w:r>
    </w:p>
  </w:footnote>
  <w:footnote w:id="13">
    <w:p w14:paraId="58EAF9B9" w14:textId="77777777" w:rsidR="00484F3D" w:rsidRPr="00DD07C4" w:rsidRDefault="00484F3D" w:rsidP="00484F3D">
      <w:pPr>
        <w:pStyle w:val="FootnoteText"/>
      </w:pPr>
      <w:r w:rsidRPr="00B422CE">
        <w:rPr>
          <w:rStyle w:val="FootnoteReference"/>
          <w:rFonts w:cs="Segoe UI Historic"/>
        </w:rPr>
        <w:footnoteRef/>
      </w:r>
      <w:r w:rsidRPr="00B422CE">
        <w:rPr>
          <w:rFonts w:cs="Segoe UI Historic"/>
        </w:rPr>
        <w:t xml:space="preserve"> </w:t>
      </w:r>
      <w:r>
        <w:rPr>
          <w:rFonts w:cs="Segoe UI Historic"/>
        </w:rPr>
        <w:tab/>
      </w:r>
      <w:proofErr w:type="spellStart"/>
      <w:r w:rsidRPr="006B719B">
        <w:rPr>
          <w:i/>
          <w:iCs/>
        </w:rPr>
        <w:t>Goreham</w:t>
      </w:r>
      <w:proofErr w:type="spellEnd"/>
      <w:r w:rsidRPr="006B719B">
        <w:rPr>
          <w:i/>
          <w:iCs/>
        </w:rPr>
        <w:t xml:space="preserve"> </w:t>
      </w:r>
      <w:r w:rsidRPr="00774321">
        <w:t xml:space="preserve">v. </w:t>
      </w:r>
      <w:r w:rsidRPr="006B719B">
        <w:rPr>
          <w:i/>
          <w:iCs/>
        </w:rPr>
        <w:t>Martins</w:t>
      </w:r>
      <w:r>
        <w:t>, 485 Mass 54</w:t>
      </w:r>
      <w:r w:rsidRPr="00774321">
        <w:t xml:space="preserve">, </w:t>
      </w:r>
      <w:r>
        <w:t>58-59</w:t>
      </w:r>
      <w:r w:rsidRPr="00774321">
        <w:t xml:space="preserve"> (2020); </w:t>
      </w:r>
      <w:r w:rsidRPr="006B719B">
        <w:rPr>
          <w:i/>
          <w:iCs/>
        </w:rPr>
        <w:t>Papadopoulos</w:t>
      </w:r>
      <w:r w:rsidRPr="00774321">
        <w:t xml:space="preserve"> v. </w:t>
      </w:r>
      <w:r w:rsidRPr="006B719B">
        <w:rPr>
          <w:i/>
          <w:iCs/>
        </w:rPr>
        <w:t>Target Corp.,</w:t>
      </w:r>
      <w:r w:rsidRPr="00774321">
        <w:t xml:space="preserve"> 457 Mass. 368,</w:t>
      </w:r>
      <w:r>
        <w:t xml:space="preserve"> </w:t>
      </w:r>
      <w:r w:rsidRPr="00774321">
        <w:t>370-371 (2010).</w:t>
      </w:r>
    </w:p>
  </w:footnote>
  <w:footnote w:id="14">
    <w:p w14:paraId="497B24BE" w14:textId="5B85CA13" w:rsidR="00484F3D" w:rsidRPr="00DD07C4" w:rsidRDefault="00484F3D" w:rsidP="00484F3D">
      <w:pPr>
        <w:pStyle w:val="FootnoteText"/>
      </w:pPr>
      <w:r>
        <w:rPr>
          <w:rStyle w:val="FootnoteReference"/>
        </w:rPr>
        <w:footnoteRef/>
      </w:r>
      <w:r>
        <w:t xml:space="preserve"> </w:t>
      </w:r>
      <w:r w:rsidR="0003345A">
        <w:tab/>
      </w:r>
      <w:r w:rsidRPr="00774321">
        <w:t>The parties rarely contest what mode of operation the defendant chose</w:t>
      </w:r>
      <w:r w:rsidR="00083821">
        <w:t xml:space="preserve">. </w:t>
      </w:r>
      <w:r w:rsidRPr="00774321">
        <w:t xml:space="preserve">If there is a dispute, then the judge should rephrase this sentence to put the issue to the jury: “In this case, you will need to decide whether </w:t>
      </w:r>
      <w:r>
        <w:t>DFT</w:t>
      </w:r>
      <w:r w:rsidRPr="00774321">
        <w:t xml:space="preserve"> chose to operate as a [self-service store] [other.]”</w:t>
      </w:r>
    </w:p>
  </w:footnote>
  <w:footnote w:id="15">
    <w:p w14:paraId="143D7481" w14:textId="36FEA8E9" w:rsidR="00484F3D" w:rsidRPr="00A635DF" w:rsidRDefault="00484F3D" w:rsidP="00484F3D">
      <w:pPr>
        <w:pStyle w:val="FootnoteText"/>
        <w:rPr>
          <w:rFonts w:cs="Segoe UI Historic"/>
          <w:sz w:val="24"/>
          <w:szCs w:val="24"/>
        </w:rPr>
      </w:pPr>
      <w:r w:rsidRPr="00A635DF">
        <w:rPr>
          <w:rStyle w:val="FootnoteReference"/>
          <w:rFonts w:cs="Segoe UI Historic"/>
          <w:sz w:val="24"/>
          <w:szCs w:val="24"/>
        </w:rPr>
        <w:footnoteRef/>
      </w:r>
      <w:r w:rsidR="00FA3B25">
        <w:rPr>
          <w:rFonts w:cs="Segoe UI Historic"/>
          <w:sz w:val="24"/>
          <w:szCs w:val="24"/>
        </w:rPr>
        <w:tab/>
      </w:r>
      <w:r w:rsidRPr="006B719B">
        <w:rPr>
          <w:i/>
          <w:iCs/>
        </w:rPr>
        <w:t xml:space="preserve">Sheehan </w:t>
      </w:r>
      <w:r w:rsidRPr="00774321">
        <w:t xml:space="preserve">v. </w:t>
      </w:r>
      <w:r w:rsidRPr="006B719B">
        <w:rPr>
          <w:i/>
          <w:iCs/>
        </w:rPr>
        <w:t>Roche Brothers Supermarkets, Inc.,</w:t>
      </w:r>
      <w:r w:rsidRPr="00774321">
        <w:t xml:space="preserve"> 448 Mass. 780, 788 (2007), quoting Restatement (Second) of Torts § 343 (1965).</w:t>
      </w:r>
      <w:r>
        <w:rPr>
          <w:rFonts w:eastAsia="Arrus BT" w:cs="Segoe UI Historic"/>
          <w:color w:val="000000"/>
          <w:sz w:val="24"/>
          <w:szCs w:val="24"/>
        </w:rPr>
        <w:t xml:space="preserve"> </w:t>
      </w:r>
    </w:p>
  </w:footnote>
  <w:footnote w:id="16">
    <w:p w14:paraId="14AB266C" w14:textId="46845BD8" w:rsidR="00484F3D" w:rsidRDefault="00484F3D" w:rsidP="00484F3D">
      <w:pPr>
        <w:pStyle w:val="FootnoteText"/>
      </w:pPr>
      <w:r w:rsidRPr="00A635DF">
        <w:rPr>
          <w:rStyle w:val="FootnoteReference"/>
          <w:rFonts w:cs="Segoe UI Historic"/>
          <w:sz w:val="24"/>
          <w:szCs w:val="24"/>
        </w:rPr>
        <w:footnoteRef/>
      </w:r>
      <w:r w:rsidR="00FA3B25">
        <w:rPr>
          <w:rFonts w:cs="Segoe UI Historic"/>
          <w:sz w:val="24"/>
          <w:szCs w:val="24"/>
        </w:rPr>
        <w:tab/>
      </w:r>
      <w:r w:rsidRPr="0003345A">
        <w:rPr>
          <w:i/>
          <w:iCs/>
        </w:rPr>
        <w:t>Id.</w:t>
      </w:r>
      <w:r>
        <w:t xml:space="preserve"> </w:t>
      </w:r>
      <w:r w:rsidRPr="00774321">
        <w:t>at 787</w:t>
      </w:r>
      <w:r w:rsidR="00083821">
        <w:t xml:space="preserve">. </w:t>
      </w:r>
    </w:p>
  </w:footnote>
  <w:footnote w:id="17">
    <w:p w14:paraId="04EDC17F" w14:textId="6C7CA43D" w:rsidR="00484F3D" w:rsidRPr="004A6333" w:rsidRDefault="00484F3D" w:rsidP="00484F3D">
      <w:pPr>
        <w:pStyle w:val="FootnoteText"/>
      </w:pPr>
      <w:r>
        <w:rPr>
          <w:rStyle w:val="FootnoteReference"/>
        </w:rPr>
        <w:footnoteRef/>
      </w:r>
      <w:r>
        <w:t xml:space="preserve"> </w:t>
      </w:r>
      <w:r>
        <w:tab/>
      </w:r>
      <w:r w:rsidRPr="009A7768">
        <w:rPr>
          <w:i/>
          <w:iCs/>
        </w:rPr>
        <w:t>Schofield</w:t>
      </w:r>
      <w:r>
        <w:t xml:space="preserve"> v. </w:t>
      </w:r>
      <w:r w:rsidRPr="009A7768">
        <w:rPr>
          <w:i/>
          <w:iCs/>
        </w:rPr>
        <w:t>Merrill</w:t>
      </w:r>
      <w:r>
        <w:t>, 386 Mass. 244 (1982)</w:t>
      </w:r>
      <w:r w:rsidR="00083821">
        <w:t xml:space="preserve">. </w:t>
      </w:r>
      <w:r>
        <w:t xml:space="preserve">See </w:t>
      </w:r>
      <w:r w:rsidRPr="009A7768">
        <w:rPr>
          <w:i/>
          <w:iCs/>
        </w:rPr>
        <w:t>Manning</w:t>
      </w:r>
      <w:r>
        <w:t xml:space="preserve"> v. </w:t>
      </w:r>
      <w:r w:rsidRPr="009A7768">
        <w:rPr>
          <w:i/>
          <w:iCs/>
        </w:rPr>
        <w:t>Nobile</w:t>
      </w:r>
      <w:r>
        <w:t xml:space="preserve">, </w:t>
      </w:r>
      <w:r w:rsidRPr="004A6333">
        <w:t>411 Mass. 382</w:t>
      </w:r>
      <w:r>
        <w:t>, 387 (1991) (“</w:t>
      </w:r>
      <w:proofErr w:type="spellStart"/>
      <w:r>
        <w:t>Wilful</w:t>
      </w:r>
      <w:proofErr w:type="spellEnd"/>
      <w:r>
        <w:t xml:space="preserve">, wanton, or reckless conduct has been defined as ‘intentional conduct, by way either of commission or of omission where there is a duty to act, which conduct involves a high degree of likelihood that substantial harm will result to another.’”), quoting </w:t>
      </w:r>
      <w:r w:rsidRPr="009A7768">
        <w:rPr>
          <w:i/>
          <w:iCs/>
        </w:rPr>
        <w:t>Commonwealth</w:t>
      </w:r>
      <w:r>
        <w:t xml:space="preserve"> v. </w:t>
      </w:r>
      <w:r w:rsidRPr="009A7768">
        <w:rPr>
          <w:i/>
          <w:iCs/>
        </w:rPr>
        <w:t>Catalina,</w:t>
      </w:r>
      <w:r>
        <w:t xml:space="preserve"> </w:t>
      </w:r>
      <w:r w:rsidRPr="004A6333">
        <w:t>407 Mass. 779</w:t>
      </w:r>
      <w:r>
        <w:t>, 789 (1990).</w:t>
      </w:r>
    </w:p>
  </w:footnote>
  <w:footnote w:id="18">
    <w:p w14:paraId="3024EAD2" w14:textId="6DC9F375" w:rsidR="00484F3D" w:rsidRPr="00ED5710" w:rsidRDefault="00484F3D" w:rsidP="00484F3D">
      <w:pPr>
        <w:pStyle w:val="FootnoteText"/>
        <w:rPr>
          <w:rFonts w:cs="Segoe UI Historic"/>
          <w:sz w:val="24"/>
          <w:szCs w:val="24"/>
        </w:rPr>
      </w:pPr>
      <w:r w:rsidRPr="00ED5710">
        <w:rPr>
          <w:rStyle w:val="FootnoteReference"/>
          <w:rFonts w:cs="Segoe UI Historic"/>
          <w:sz w:val="24"/>
          <w:szCs w:val="24"/>
        </w:rPr>
        <w:footnoteRef/>
      </w:r>
      <w:r w:rsidR="0003345A">
        <w:rPr>
          <w:rFonts w:cs="Segoe UI Historic"/>
          <w:sz w:val="24"/>
          <w:szCs w:val="24"/>
        </w:rPr>
        <w:tab/>
      </w:r>
      <w:r w:rsidRPr="005C3AEB">
        <w:t xml:space="preserve">G.L. c. 143, § 51. See </w:t>
      </w:r>
      <w:r w:rsidRPr="006B719B">
        <w:rPr>
          <w:i/>
          <w:iCs/>
        </w:rPr>
        <w:t xml:space="preserve">Sheehan </w:t>
      </w:r>
      <w:r w:rsidRPr="005C3AEB">
        <w:t xml:space="preserve">v. </w:t>
      </w:r>
      <w:r w:rsidRPr="006B719B">
        <w:rPr>
          <w:i/>
          <w:iCs/>
        </w:rPr>
        <w:t>Weaver</w:t>
      </w:r>
      <w:r w:rsidRPr="005C3AEB">
        <w:t>, 467 Mass. 734, 743 (2014) (statute applies to “places in which a large number of people gather for occupational, entertainment, or other purposes” but not to small-scale residential structures; the court left further refinement of the statute’s scope for future cases).</w:t>
      </w:r>
    </w:p>
  </w:footnote>
  <w:footnote w:id="19">
    <w:p w14:paraId="13515149" w14:textId="48B0DC8F" w:rsidR="00484F3D" w:rsidRPr="005C3AEB" w:rsidRDefault="00484F3D" w:rsidP="00484F3D">
      <w:pPr>
        <w:pStyle w:val="FootnoteText"/>
      </w:pPr>
      <w:r w:rsidRPr="00ED5710">
        <w:rPr>
          <w:rStyle w:val="FootnoteReference"/>
          <w:rFonts w:cs="Segoe UI Historic"/>
          <w:sz w:val="24"/>
          <w:szCs w:val="24"/>
        </w:rPr>
        <w:footnoteRef/>
      </w:r>
      <w:r w:rsidR="0003345A">
        <w:rPr>
          <w:rFonts w:cs="Segoe UI Historic"/>
          <w:sz w:val="24"/>
          <w:szCs w:val="24"/>
        </w:rPr>
        <w:tab/>
      </w:r>
      <w:r w:rsidRPr="006742C7">
        <w:rPr>
          <w:rFonts w:cs="Segoe UI Historic"/>
          <w:i/>
          <w:sz w:val="24"/>
          <w:szCs w:val="24"/>
        </w:rPr>
        <w:t>Id</w:t>
      </w:r>
      <w:r>
        <w:rPr>
          <w:rFonts w:cs="Segoe UI Historic"/>
          <w:sz w:val="24"/>
          <w:szCs w:val="24"/>
        </w:rPr>
        <w:t>.</w:t>
      </w:r>
    </w:p>
  </w:footnote>
  <w:footnote w:id="20">
    <w:p w14:paraId="31A80C93" w14:textId="7B81D754" w:rsidR="00484F3D" w:rsidRPr="00ED5710" w:rsidRDefault="00484F3D" w:rsidP="00484F3D">
      <w:pPr>
        <w:pStyle w:val="FootnoteText"/>
        <w:rPr>
          <w:rFonts w:cs="Segoe UI Historic"/>
          <w:sz w:val="24"/>
          <w:szCs w:val="24"/>
        </w:rPr>
      </w:pPr>
      <w:r w:rsidRPr="00ED5710">
        <w:rPr>
          <w:rStyle w:val="FootnoteReference"/>
          <w:rFonts w:cs="Segoe UI Historic"/>
          <w:sz w:val="24"/>
          <w:szCs w:val="24"/>
        </w:rPr>
        <w:footnoteRef/>
      </w:r>
      <w:r w:rsidR="0003345A">
        <w:rPr>
          <w:rFonts w:cs="Segoe UI Historic"/>
          <w:sz w:val="24"/>
          <w:szCs w:val="24"/>
        </w:rPr>
        <w:tab/>
      </w:r>
      <w:r w:rsidRPr="006742C7">
        <w:rPr>
          <w:i/>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BD261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368FA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E4CB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3ACE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B06B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000F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7C2A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8618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805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05C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lowerRoman"/>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720"/>
        </w:tabs>
        <w:ind w:left="720" w:hanging="720"/>
      </w:pPr>
      <w:rPr>
        <w:rFonts w:hint="default"/>
        <w:b/>
        <w:i w:val="0"/>
      </w:r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1"/>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345A"/>
    <w:rsid w:val="00037245"/>
    <w:rsid w:val="00080BCD"/>
    <w:rsid w:val="0008198D"/>
    <w:rsid w:val="00083821"/>
    <w:rsid w:val="000B7B9E"/>
    <w:rsid w:val="000D70C6"/>
    <w:rsid w:val="000E7622"/>
    <w:rsid w:val="0010739E"/>
    <w:rsid w:val="00130F23"/>
    <w:rsid w:val="00172AC9"/>
    <w:rsid w:val="0017397B"/>
    <w:rsid w:val="001B7748"/>
    <w:rsid w:val="001C5FA5"/>
    <w:rsid w:val="001D5D86"/>
    <w:rsid w:val="001D701D"/>
    <w:rsid w:val="001E2162"/>
    <w:rsid w:val="00221552"/>
    <w:rsid w:val="002242BD"/>
    <w:rsid w:val="00257345"/>
    <w:rsid w:val="00294E44"/>
    <w:rsid w:val="00294F89"/>
    <w:rsid w:val="002A2C60"/>
    <w:rsid w:val="00303039"/>
    <w:rsid w:val="00314552"/>
    <w:rsid w:val="003777BC"/>
    <w:rsid w:val="00420329"/>
    <w:rsid w:val="004523DA"/>
    <w:rsid w:val="004848CB"/>
    <w:rsid w:val="00484F3D"/>
    <w:rsid w:val="004A3BE2"/>
    <w:rsid w:val="00516C98"/>
    <w:rsid w:val="005446C0"/>
    <w:rsid w:val="00550249"/>
    <w:rsid w:val="00594672"/>
    <w:rsid w:val="00596E5A"/>
    <w:rsid w:val="00676B44"/>
    <w:rsid w:val="00717B48"/>
    <w:rsid w:val="007E7B77"/>
    <w:rsid w:val="00834E34"/>
    <w:rsid w:val="008733AA"/>
    <w:rsid w:val="00880AA6"/>
    <w:rsid w:val="008A497A"/>
    <w:rsid w:val="008D5E32"/>
    <w:rsid w:val="00937DAF"/>
    <w:rsid w:val="0094500B"/>
    <w:rsid w:val="00992410"/>
    <w:rsid w:val="009B481F"/>
    <w:rsid w:val="009B7931"/>
    <w:rsid w:val="00A05B86"/>
    <w:rsid w:val="00A07B0D"/>
    <w:rsid w:val="00A12C9C"/>
    <w:rsid w:val="00A164C0"/>
    <w:rsid w:val="00A2789E"/>
    <w:rsid w:val="00A47F98"/>
    <w:rsid w:val="00A55E4E"/>
    <w:rsid w:val="00A56498"/>
    <w:rsid w:val="00A76145"/>
    <w:rsid w:val="00A917A4"/>
    <w:rsid w:val="00A95EAD"/>
    <w:rsid w:val="00AB17B3"/>
    <w:rsid w:val="00AF6831"/>
    <w:rsid w:val="00B02468"/>
    <w:rsid w:val="00B21990"/>
    <w:rsid w:val="00B2579A"/>
    <w:rsid w:val="00B45218"/>
    <w:rsid w:val="00B520AB"/>
    <w:rsid w:val="00B75859"/>
    <w:rsid w:val="00BE7335"/>
    <w:rsid w:val="00BF0717"/>
    <w:rsid w:val="00BF08B5"/>
    <w:rsid w:val="00C43AEF"/>
    <w:rsid w:val="00C5670C"/>
    <w:rsid w:val="00C85775"/>
    <w:rsid w:val="00CD7576"/>
    <w:rsid w:val="00CE7DB8"/>
    <w:rsid w:val="00D55E99"/>
    <w:rsid w:val="00D71FE5"/>
    <w:rsid w:val="00D8732A"/>
    <w:rsid w:val="00D9196F"/>
    <w:rsid w:val="00DB6604"/>
    <w:rsid w:val="00DC61A7"/>
    <w:rsid w:val="00E174B0"/>
    <w:rsid w:val="00E96FF2"/>
    <w:rsid w:val="00EF278C"/>
    <w:rsid w:val="00F10AE9"/>
    <w:rsid w:val="00F11C6F"/>
    <w:rsid w:val="00F74A90"/>
    <w:rsid w:val="00F83046"/>
    <w:rsid w:val="00FA3B25"/>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Jury Instructions Premises Liability</dc:title>
  <dc:subject/>
  <dc:creator>KWS</dc:creator>
  <cp:keywords/>
  <dc:description/>
  <cp:lastModifiedBy>Meg Hayden</cp:lastModifiedBy>
  <cp:revision>2</cp:revision>
  <dcterms:created xsi:type="dcterms:W3CDTF">2021-07-12T14:52:00Z</dcterms:created>
  <dcterms:modified xsi:type="dcterms:W3CDTF">2021-07-12T14:52:00Z</dcterms:modified>
</cp:coreProperties>
</file>