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FE21" w14:textId="3AA87A31" w:rsidR="006254D4" w:rsidRPr="006254D4" w:rsidRDefault="006254D4" w:rsidP="006254D4">
      <w:pPr>
        <w:pStyle w:val="JuryInstructionText"/>
        <w:jc w:val="right"/>
        <w:rPr>
          <w:i/>
          <w:iCs/>
          <w:sz w:val="24"/>
          <w:szCs w:val="24"/>
        </w:rPr>
      </w:pPr>
      <w:r>
        <w:rPr>
          <w:i/>
          <w:iCs/>
          <w:sz w:val="24"/>
          <w:szCs w:val="24"/>
        </w:rPr>
        <w:t xml:space="preserve">Publication Date: </w:t>
      </w:r>
      <w:r w:rsidR="00E85DD7">
        <w:rPr>
          <w:i/>
          <w:iCs/>
          <w:sz w:val="24"/>
          <w:szCs w:val="24"/>
        </w:rPr>
        <w:t>December 12, 2022</w:t>
      </w:r>
    </w:p>
    <w:p w14:paraId="15C33E4E" w14:textId="4B33BE2D" w:rsidR="00BF08B5" w:rsidRDefault="00E85DD7" w:rsidP="00BF08B5">
      <w:pPr>
        <w:pStyle w:val="JuryInst2"/>
      </w:pPr>
      <w:r>
        <w:t>Trade Disparagement</w:t>
      </w:r>
    </w:p>
    <w:p w14:paraId="5F38EE49" w14:textId="0646C502" w:rsidR="00E85DD7" w:rsidRPr="007A449B" w:rsidRDefault="00E85DD7" w:rsidP="00E85DD7">
      <w:pPr>
        <w:pStyle w:val="JuryInstructionText"/>
      </w:pPr>
      <w:r>
        <w:t xml:space="preserve">PLF claims DFT </w:t>
      </w:r>
      <w:r w:rsidRPr="007A449B">
        <w:t xml:space="preserve">made false </w:t>
      </w:r>
      <w:r>
        <w:t>statement[s]</w:t>
      </w:r>
      <w:r w:rsidRPr="007A449B">
        <w:t xml:space="preserve"> about </w:t>
      </w:r>
      <w:r>
        <w:t xml:space="preserve">[his/her/its] </w:t>
      </w:r>
      <w:r w:rsidRPr="007A449B">
        <w:t>product</w:t>
      </w:r>
      <w:r>
        <w:t>[</w:t>
      </w:r>
      <w:r w:rsidRPr="007A449B">
        <w:t>s</w:t>
      </w:r>
      <w:r>
        <w:t>]</w:t>
      </w:r>
      <w:r w:rsidRPr="007A449B">
        <w:t xml:space="preserve"> </w:t>
      </w:r>
      <w:r>
        <w:t>that caused financial harm</w:t>
      </w:r>
      <w:r>
        <w:t xml:space="preserve">. </w:t>
      </w:r>
      <w:r>
        <w:t xml:space="preserve">To succeed on this claim, PLF must prove it is more likely than not </w:t>
      </w:r>
      <w:r w:rsidRPr="007A449B">
        <w:t>that:</w:t>
      </w:r>
    </w:p>
    <w:p w14:paraId="261A46E1" w14:textId="77777777" w:rsidR="00E85DD7" w:rsidRDefault="00E85DD7" w:rsidP="00E85DD7">
      <w:pPr>
        <w:pStyle w:val="JuryInstructionElements"/>
      </w:pPr>
      <w:r w:rsidRPr="007A449B">
        <w:t>1.</w:t>
      </w:r>
      <w:r w:rsidRPr="007A449B">
        <w:tab/>
      </w:r>
      <w:r>
        <w:t xml:space="preserve">DFT made </w:t>
      </w:r>
      <w:r w:rsidRPr="007A449B">
        <w:t>f</w:t>
      </w:r>
      <w:r>
        <w:t>alse</w:t>
      </w:r>
      <w:r w:rsidRPr="007A449B">
        <w:t xml:space="preserve"> statement</w:t>
      </w:r>
      <w:r>
        <w:t>[s]</w:t>
      </w:r>
      <w:r w:rsidRPr="007A449B">
        <w:t xml:space="preserve"> </w:t>
      </w:r>
      <w:r>
        <w:t>to a third party;</w:t>
      </w:r>
    </w:p>
    <w:p w14:paraId="591DEFD7" w14:textId="77777777" w:rsidR="00E85DD7" w:rsidRPr="007A449B" w:rsidRDefault="00E85DD7" w:rsidP="00E85DD7">
      <w:pPr>
        <w:pStyle w:val="JuryInstructionElements"/>
      </w:pPr>
      <w:r>
        <w:t>2.</w:t>
      </w:r>
      <w:r>
        <w:tab/>
        <w:t>The statements were about PLF’s product[s] [services];</w:t>
      </w:r>
    </w:p>
    <w:p w14:paraId="6C86FD98" w14:textId="77777777" w:rsidR="00E85DD7" w:rsidRPr="007A449B" w:rsidRDefault="00E85DD7" w:rsidP="00E85DD7">
      <w:pPr>
        <w:pStyle w:val="JuryInstructionElements"/>
      </w:pPr>
      <w:r>
        <w:t>3</w:t>
      </w:r>
      <w:r w:rsidRPr="007A449B">
        <w:t>.</w:t>
      </w:r>
      <w:r w:rsidRPr="007A449B">
        <w:tab/>
      </w:r>
      <w:r>
        <w:t xml:space="preserve">DFT </w:t>
      </w:r>
      <w:r w:rsidRPr="007A449B">
        <w:t>knew that the statement</w:t>
      </w:r>
      <w:r>
        <w:t>s were</w:t>
      </w:r>
      <w:r w:rsidRPr="007A449B">
        <w:t xml:space="preserve"> false or </w:t>
      </w:r>
      <w:r>
        <w:t xml:space="preserve">made the statements with reckless disregard for whether they were true or false; </w:t>
      </w:r>
    </w:p>
    <w:p w14:paraId="11BB9F0A" w14:textId="77777777" w:rsidR="00E85DD7" w:rsidRPr="007A449B" w:rsidRDefault="00E85DD7" w:rsidP="00E85DD7">
      <w:pPr>
        <w:pStyle w:val="JuryInstructionElements"/>
      </w:pPr>
      <w:r>
        <w:t>4</w:t>
      </w:r>
      <w:r w:rsidRPr="007A449B">
        <w:t>.</w:t>
      </w:r>
      <w:r w:rsidRPr="007A449B">
        <w:tab/>
      </w:r>
      <w:r>
        <w:t>DFT</w:t>
      </w:r>
      <w:r w:rsidRPr="007A449B">
        <w:t xml:space="preserve"> made the false statement</w:t>
      </w:r>
      <w:r>
        <w:t>s</w:t>
      </w:r>
      <w:r w:rsidRPr="007A449B">
        <w:t xml:space="preserve"> </w:t>
      </w:r>
      <w:proofErr w:type="gramStart"/>
      <w:r>
        <w:t>in order to</w:t>
      </w:r>
      <w:proofErr w:type="gramEnd"/>
      <w:r>
        <w:t xml:space="preserve"> cause PLF financial harm</w:t>
      </w:r>
      <w:r w:rsidRPr="007A449B">
        <w:t>; and</w:t>
      </w:r>
    </w:p>
    <w:p w14:paraId="65D10EFC" w14:textId="77777777" w:rsidR="00E85DD7" w:rsidRDefault="00E85DD7" w:rsidP="00E85DD7">
      <w:pPr>
        <w:pStyle w:val="JuryInstructionElements"/>
      </w:pPr>
      <w:r>
        <w:t>5</w:t>
      </w:r>
      <w:r w:rsidRPr="007A449B">
        <w:t>.</w:t>
      </w:r>
      <w:r w:rsidRPr="007A449B">
        <w:tab/>
      </w:r>
      <w:r>
        <w:t>DFT’s false</w:t>
      </w:r>
      <w:r w:rsidRPr="007A449B">
        <w:t xml:space="preserve"> statements caused </w:t>
      </w:r>
      <w:r>
        <w:t>PLF financial harm.</w:t>
      </w:r>
      <w:r>
        <w:rPr>
          <w:rStyle w:val="FootnoteReference"/>
          <w:rFonts w:cs="Segoe UI Historic"/>
        </w:rPr>
        <w:footnoteReference w:id="1"/>
      </w:r>
      <w:bookmarkStart w:id="0" w:name="_Toc404328787"/>
      <w:bookmarkStart w:id="1" w:name="_Toc529873473"/>
    </w:p>
    <w:p w14:paraId="2038B6E9" w14:textId="77777777" w:rsidR="00E85DD7" w:rsidRDefault="00E85DD7" w:rsidP="00E85DD7">
      <w:pPr>
        <w:pStyle w:val="JuryInstructionText"/>
      </w:pPr>
      <w:r>
        <w:t>I will now discuss each of these items in more detail.</w:t>
      </w:r>
    </w:p>
    <w:bookmarkEnd w:id="0"/>
    <w:bookmarkEnd w:id="1"/>
    <w:p w14:paraId="5C3321DD" w14:textId="7A3E978A" w:rsidR="00E85DD7" w:rsidRDefault="00E85DD7" w:rsidP="00E85DD7">
      <w:pPr>
        <w:pStyle w:val="JuryInst3"/>
      </w:pPr>
      <w:r w:rsidRPr="00C369C0">
        <w:t>False</w:t>
      </w:r>
      <w:r>
        <w:t xml:space="preserve"> Statements </w:t>
      </w:r>
    </w:p>
    <w:p w14:paraId="30A70443" w14:textId="41361A08" w:rsidR="00E85DD7" w:rsidRDefault="00E85DD7" w:rsidP="00E85DD7">
      <w:pPr>
        <w:pStyle w:val="JuryInstructionText"/>
      </w:pPr>
      <w:r>
        <w:t>First, PLF must prove, more likely than not, that DFT’s s</w:t>
      </w:r>
      <w:r w:rsidRPr="007A449B">
        <w:t>tatements</w:t>
      </w:r>
      <w:r>
        <w:t xml:space="preserve"> were false</w:t>
      </w:r>
      <w:r w:rsidRPr="007A449B">
        <w:t>.</w:t>
      </w:r>
      <w:r>
        <w:rPr>
          <w:rStyle w:val="FootnoteReference"/>
          <w:rFonts w:cs="Segoe UI Historic"/>
        </w:rPr>
        <w:footnoteReference w:id="2"/>
      </w:r>
      <w:r>
        <w:t xml:space="preserve"> However, a statement is not false if it is merely an opinion that DFT had a better product [service].</w:t>
      </w:r>
      <w:r>
        <w:rPr>
          <w:rStyle w:val="FootnoteReference"/>
          <w:rFonts w:cs="Segoe UI Historic"/>
        </w:rPr>
        <w:footnoteReference w:id="3"/>
      </w:r>
      <w:r>
        <w:t xml:space="preserve"> </w:t>
      </w:r>
    </w:p>
    <w:p w14:paraId="125B442D" w14:textId="77777777" w:rsidR="00E85DD7" w:rsidRDefault="00E85DD7" w:rsidP="00E85DD7">
      <w:pPr>
        <w:pStyle w:val="JuryInstructionText"/>
      </w:pPr>
      <w:r>
        <w:lastRenderedPageBreak/>
        <w:t xml:space="preserve">&lt;fact vs. </w:t>
      </w:r>
      <w:r w:rsidRPr="006F5F16">
        <w:t>opinion</w:t>
      </w:r>
      <w:r>
        <w:t>- from defamation instruction</w:t>
      </w:r>
      <w:r>
        <w:rPr>
          <w:rStyle w:val="FootnoteReference"/>
        </w:rPr>
        <w:footnoteReference w:id="4"/>
      </w:r>
      <w:r>
        <w:t xml:space="preserve"> &gt;</w:t>
      </w:r>
    </w:p>
    <w:p w14:paraId="525330E9" w14:textId="39F737E0" w:rsidR="00E85DD7" w:rsidRPr="00E85DD7" w:rsidRDefault="00E85DD7" w:rsidP="00E85DD7">
      <w:pPr>
        <w:pStyle w:val="JuryInstructionText"/>
      </w:pPr>
      <w:r>
        <w:tab/>
        <w:t xml:space="preserve">DFT’s statement must be factual </w:t>
      </w:r>
      <w:r w:rsidRPr="00E85DD7">
        <w:t>and not purely a matter of opinion. Everyone has a constitutional right to express an opinion</w:t>
      </w:r>
      <w:r w:rsidRPr="00E85DD7">
        <w:t xml:space="preserve">. </w:t>
      </w:r>
      <w:r w:rsidRPr="00E85DD7">
        <w:t>No one is liable for stating a pure opinion even if it is harmful or offensive</w:t>
      </w:r>
      <w:r w:rsidRPr="00E85DD7">
        <w:t xml:space="preserve">. </w:t>
      </w:r>
    </w:p>
    <w:p w14:paraId="5C884E2F" w14:textId="50ABA426" w:rsidR="00E85DD7" w:rsidRPr="00E85DD7" w:rsidRDefault="00E85DD7" w:rsidP="00E85DD7">
      <w:pPr>
        <w:pStyle w:val="JuryInstructionText"/>
      </w:pPr>
      <w:r w:rsidRPr="00E85DD7">
        <w:tab/>
        <w:t>In some cases, though, a statement that sounds like an opinion may also communicate a fact</w:t>
      </w:r>
      <w:r w:rsidRPr="00E85DD7">
        <w:t xml:space="preserve">. </w:t>
      </w:r>
      <w:r w:rsidRPr="00E85DD7">
        <w:t>PLF must prove that a reasonable person could have understood DFT’s statement as making a statement of fact, rather than a pure opinion</w:t>
      </w:r>
      <w:r w:rsidRPr="00E85DD7">
        <w:t xml:space="preserve">. </w:t>
      </w:r>
    </w:p>
    <w:p w14:paraId="742C3E5B" w14:textId="77777777" w:rsidR="00E85DD7" w:rsidRDefault="00E85DD7" w:rsidP="00E85DD7">
      <w:pPr>
        <w:pStyle w:val="JuryInstructionText"/>
      </w:pPr>
      <w:r w:rsidRPr="00E85DD7">
        <w:t>In deciding how a reasonable person would have understand the statement, you should consider all</w:t>
      </w:r>
      <w:r>
        <w:t xml:space="preserve"> the circumstances and ask yourselves questions like these:</w:t>
      </w:r>
    </w:p>
    <w:p w14:paraId="60612EBB" w14:textId="77777777" w:rsidR="00E85DD7" w:rsidRDefault="00E85DD7" w:rsidP="00E85DD7">
      <w:pPr>
        <w:pStyle w:val="JuryInstructionBullets"/>
      </w:pPr>
      <w:r>
        <w:t>Was it possible to verify the statement?  Generally, it is possible to verify a statement of fact, but not an opinion.</w:t>
      </w:r>
    </w:p>
    <w:p w14:paraId="0B4A9793" w14:textId="77777777" w:rsidR="00E85DD7" w:rsidRDefault="00E85DD7" w:rsidP="00E85DD7">
      <w:pPr>
        <w:pStyle w:val="JuryInstructionBullets"/>
      </w:pPr>
      <w:r>
        <w:t>Where and how did DFT make the statement?  Sometimes the location or method of making a statement is more appropriate to stating facts; other methods and places may be more likely for expression of opinions.</w:t>
      </w:r>
    </w:p>
    <w:p w14:paraId="47A59B7F" w14:textId="77777777" w:rsidR="00E85DD7" w:rsidRDefault="00E85DD7" w:rsidP="00E85DD7">
      <w:pPr>
        <w:pStyle w:val="JuryInstructionBullets"/>
      </w:pPr>
      <w:r>
        <w:t>Who was the audience?</w:t>
      </w:r>
    </w:p>
    <w:p w14:paraId="374B40B6" w14:textId="77777777" w:rsidR="00E85DD7" w:rsidRDefault="00E85DD7" w:rsidP="00E85DD7">
      <w:pPr>
        <w:pStyle w:val="JuryInstructionBullets"/>
      </w:pPr>
      <w:r>
        <w:t xml:space="preserve">What did the rest of the DFT’s statements say?  </w:t>
      </w:r>
    </w:p>
    <w:p w14:paraId="5CFE5D55" w14:textId="77777777" w:rsidR="00E85DD7" w:rsidRDefault="00E85DD7" w:rsidP="00E85DD7">
      <w:pPr>
        <w:pStyle w:val="JuryInstructionBullets"/>
      </w:pPr>
      <w:r>
        <w:t xml:space="preserve">Did DFT include any cautions to the audience that might lead a reasonable person to think that the statements were matters of opinion?  </w:t>
      </w:r>
      <w:proofErr w:type="gramStart"/>
      <w:r>
        <w:t>Or,</w:t>
      </w:r>
      <w:proofErr w:type="gramEnd"/>
      <w:r>
        <w:t xml:space="preserve"> did DFT communicate in some way that s/he/it was asserting facts?</w:t>
      </w:r>
    </w:p>
    <w:p w14:paraId="73904B10" w14:textId="514CB56A" w:rsidR="00E85DD7" w:rsidRDefault="00E85DD7" w:rsidP="00E85DD7">
      <w:pPr>
        <w:pStyle w:val="JuryInstructionText"/>
        <w:rPr>
          <w:rFonts w:cs="Segoe UI Historic"/>
        </w:rPr>
      </w:pPr>
      <w:r>
        <w:t xml:space="preserve">You should consider the statement’s context </w:t>
      </w:r>
      <w:proofErr w:type="gramStart"/>
      <w:r>
        <w:t>carefully, because</w:t>
      </w:r>
      <w:proofErr w:type="gramEnd"/>
      <w:r>
        <w:t xml:space="preserve"> a statement of fact in one context can be a statement of opinion in another</w:t>
      </w:r>
      <w:r>
        <w:t xml:space="preserve">. </w:t>
      </w:r>
      <w:r>
        <w:t xml:space="preserve">For example, if the audience can expect speakers [writers] to try to persuade listeners [readers] through fiery rhetoric or emotional language, people </w:t>
      </w:r>
      <w:r>
        <w:lastRenderedPageBreak/>
        <w:t>might understand a statement to be a matter of opinion, even though in a different context, the audience would consider it a statement of fact</w:t>
      </w:r>
      <w:r>
        <w:t xml:space="preserve">. </w:t>
      </w:r>
      <w:r>
        <w:t>Based upon all the circumstances, you must decide whether the PLF has proven that a reasonable listener would consider DFT’s statement(s) to be statements of fact, not just pure opinion</w:t>
      </w:r>
      <w:r>
        <w:t xml:space="preserve">. </w:t>
      </w:r>
    </w:p>
    <w:p w14:paraId="4AE070F8" w14:textId="3429A50D" w:rsidR="00E85DD7" w:rsidRPr="00E85DD7" w:rsidRDefault="00E85DD7" w:rsidP="00E85DD7">
      <w:pPr>
        <w:pStyle w:val="JuryInstructionText"/>
      </w:pPr>
      <w:r>
        <w:t>PLF must also prove that the statement was false.</w:t>
      </w:r>
      <w:r>
        <w:t xml:space="preserve"> </w:t>
      </w:r>
      <w:r>
        <w:t>To be false, a statement must be substantially untrue</w:t>
      </w:r>
      <w:r>
        <w:t xml:space="preserve">. </w:t>
      </w:r>
      <w:r>
        <w:t>If the statement’s gist, or basic substance, is accurate, the statement is not false</w:t>
      </w:r>
      <w:r>
        <w:t xml:space="preserve">. </w:t>
      </w:r>
      <w:r>
        <w:t xml:space="preserve">Minor inaccuracies do not make a statement false if the listener’s [reader’s] understanding of the basic truth remains unchanged. </w:t>
      </w:r>
      <w:r>
        <w:rPr>
          <w:rFonts w:cs="Segoe UI Historic"/>
        </w:rPr>
        <w:tab/>
        <w:t>I</w:t>
      </w:r>
    </w:p>
    <w:p w14:paraId="1F5AA733" w14:textId="737CAED4" w:rsidR="00E85DD7" w:rsidRDefault="00E85DD7" w:rsidP="00E85DD7">
      <w:pPr>
        <w:pStyle w:val="JuryInst3"/>
      </w:pPr>
      <w:r>
        <w:t>About PLF’s product</w:t>
      </w:r>
    </w:p>
    <w:p w14:paraId="73CCFF7B" w14:textId="26813FA4" w:rsidR="00E85DD7" w:rsidRDefault="00E85DD7" w:rsidP="00E85DD7">
      <w:pPr>
        <w:pStyle w:val="JuryInstructionText"/>
      </w:pPr>
      <w:r w:rsidRPr="001D2C0C">
        <w:t xml:space="preserve">Second, </w:t>
      </w:r>
      <w:r>
        <w:t xml:space="preserve">PLF must prove </w:t>
      </w:r>
      <w:r w:rsidRPr="001D2C0C">
        <w:t>the statement either expressly identified PLF’s product [service] or would lead a reasonable person to believe the statements were about PLF’s product [service].</w:t>
      </w:r>
      <w:r w:rsidRPr="001D2C0C">
        <w:rPr>
          <w:rStyle w:val="FootnoteReference"/>
          <w:rFonts w:cs="Segoe UI Historic"/>
        </w:rPr>
        <w:footnoteReference w:id="5"/>
      </w:r>
      <w:r w:rsidRPr="001D2C0C">
        <w:t xml:space="preserve">  </w:t>
      </w:r>
      <w:bookmarkStart w:id="2" w:name="_Toc404328788"/>
      <w:bookmarkStart w:id="3" w:name="_Toc529873474"/>
      <w:r w:rsidRPr="001D2C0C">
        <w:t>PLF</w:t>
      </w:r>
      <w:r>
        <w:t>’s</w:t>
      </w:r>
      <w:r w:rsidRPr="001D2C0C">
        <w:t xml:space="preserve"> belie</w:t>
      </w:r>
      <w:r>
        <w:t>f that</w:t>
      </w:r>
      <w:r w:rsidRPr="001D2C0C">
        <w:t xml:space="preserve"> the statements put [his/</w:t>
      </w:r>
      <w:r>
        <w:t>hers/</w:t>
      </w:r>
      <w:r w:rsidRPr="001D2C0C">
        <w:t xml:space="preserve">its] product in a bad </w:t>
      </w:r>
      <w:r>
        <w:t xml:space="preserve">light is no substitute for proof that the statement was </w:t>
      </w:r>
      <w:proofErr w:type="gramStart"/>
      <w:r>
        <w:t>actually about</w:t>
      </w:r>
      <w:proofErr w:type="gramEnd"/>
      <w:r>
        <w:t xml:space="preserve"> PLF’s product</w:t>
      </w:r>
      <w:r>
        <w:t xml:space="preserve">. </w:t>
      </w:r>
    </w:p>
    <w:p w14:paraId="2E5A38F6" w14:textId="55939EE7" w:rsidR="00E85DD7" w:rsidRPr="00967DB4" w:rsidRDefault="00E85DD7" w:rsidP="00E85DD7">
      <w:pPr>
        <w:pStyle w:val="JuryInst3"/>
      </w:pPr>
      <w:r>
        <w:t>Knowledge that Statements were False</w:t>
      </w:r>
      <w:bookmarkEnd w:id="2"/>
      <w:bookmarkEnd w:id="3"/>
      <w:r>
        <w:tab/>
      </w:r>
    </w:p>
    <w:p w14:paraId="56480910" w14:textId="23BF80AA" w:rsidR="00E85DD7" w:rsidRDefault="00E85DD7" w:rsidP="00E85DD7">
      <w:pPr>
        <w:pStyle w:val="JuryInstructionText"/>
      </w:pPr>
      <w:r>
        <w:t xml:space="preserve">Third, PLF must prove that DFT </w:t>
      </w:r>
      <w:r w:rsidRPr="007A449B">
        <w:t>knew that the statement</w:t>
      </w:r>
      <w:r>
        <w:t>s were</w:t>
      </w:r>
      <w:r w:rsidRPr="007A449B">
        <w:t xml:space="preserve"> false or</w:t>
      </w:r>
      <w:r>
        <w:t xml:space="preserve"> had serious doubts about whether they were true or not. </w:t>
      </w:r>
    </w:p>
    <w:p w14:paraId="24908088" w14:textId="1BDC59B6" w:rsidR="00E85DD7" w:rsidRPr="001D2C0C" w:rsidRDefault="00E85DD7" w:rsidP="00E85DD7">
      <w:pPr>
        <w:pStyle w:val="JuryInst3"/>
      </w:pPr>
      <w:r w:rsidRPr="001D2C0C">
        <w:t>Intended to Cause Harm</w:t>
      </w:r>
    </w:p>
    <w:p w14:paraId="569FB374" w14:textId="6F6A6272" w:rsidR="00E85DD7" w:rsidRDefault="00E85DD7" w:rsidP="00E85DD7">
      <w:pPr>
        <w:pStyle w:val="JuryInstructionText"/>
      </w:pPr>
      <w:r>
        <w:t>Fourth, PLF must prove that DFT intended the statements to cause financial harm to PLF or reasonably should have known the statements were likely to cause economic harm</w:t>
      </w:r>
      <w:r>
        <w:t xml:space="preserve">. </w:t>
      </w:r>
      <w:r>
        <w:t xml:space="preserve"> </w:t>
      </w:r>
    </w:p>
    <w:p w14:paraId="68E20FB5" w14:textId="5DF72C0A" w:rsidR="00E85DD7" w:rsidRPr="00324240" w:rsidRDefault="00E85DD7" w:rsidP="00E85DD7">
      <w:pPr>
        <w:pStyle w:val="JuryInstructionText"/>
      </w:pPr>
      <w:r w:rsidRPr="00324240">
        <w:t>&lt;</w:t>
      </w:r>
      <w:r w:rsidRPr="00E85DD7">
        <w:rPr>
          <w:b/>
          <w:i/>
          <w:iCs/>
        </w:rPr>
        <w:t>Insert when there is no direct evidence of state of mind</w:t>
      </w:r>
      <w:r w:rsidRPr="00324240">
        <w:t xml:space="preserve">&gt; If there is no direct evidence of DFT’s [intent, state of mind, knowledge, etc.], PLF may prove DFT’s [intent, state of mind, knowledge, etc.] by indirect evidence. It is obviously impossible to look directly into a person’s mind. But, in our </w:t>
      </w:r>
      <w:r w:rsidRPr="00324240">
        <w:lastRenderedPageBreak/>
        <w:t xml:space="preserve">everyday activities, we often must decide a person’s state of mind from what they do and don’t do. You should look at </w:t>
      </w:r>
      <w:proofErr w:type="gramStart"/>
      <w:r w:rsidRPr="00324240">
        <w:t>all of</w:t>
      </w:r>
      <w:proofErr w:type="gramEnd"/>
      <w:r w:rsidRPr="00324240">
        <w:t xml:space="preserve"> the circumstances including what DFT did and said at the time as well as what DFT did and said before and after the event. You may also consider what DFT did </w:t>
      </w:r>
      <w:r w:rsidRPr="00361DAB">
        <w:t>not d</w:t>
      </w:r>
      <w:r w:rsidRPr="00324240">
        <w:t xml:space="preserve">o and </w:t>
      </w:r>
      <w:proofErr w:type="gramStart"/>
      <w:r w:rsidRPr="00324240">
        <w:t>say</w:t>
      </w:r>
      <w:proofErr w:type="gramEnd"/>
      <w:r>
        <w:t xml:space="preserve">. </w:t>
      </w:r>
      <w:r w:rsidRPr="00324240">
        <w:t xml:space="preserve"> </w:t>
      </w:r>
    </w:p>
    <w:p w14:paraId="438186BE" w14:textId="589EC55C" w:rsidR="00E85DD7" w:rsidRPr="007A449B" w:rsidRDefault="00E85DD7" w:rsidP="00E85DD7">
      <w:pPr>
        <w:pStyle w:val="JuryInstructionText"/>
      </w:pPr>
      <w:r w:rsidRPr="00324240">
        <w:t>A person acts “intentionally” when s/he acts on purpose and voluntarily. You should ask whether DFT meant to perform the act. An act is not intentional if it occurred by accident or by carelessness</w:t>
      </w:r>
      <w:r>
        <w:t xml:space="preserve">. </w:t>
      </w:r>
      <w:r>
        <w:t xml:space="preserve">In addition, PLF must prove that </w:t>
      </w:r>
      <w:r w:rsidRPr="00324240">
        <w:t xml:space="preserve">DFT acted with the purpose of </w:t>
      </w:r>
      <w:r>
        <w:t>causing economic harm or reasonably should have known that his/her/its actions would cause such harm</w:t>
      </w:r>
      <w:r>
        <w:t>.</w:t>
      </w:r>
    </w:p>
    <w:p w14:paraId="5B1B07C1" w14:textId="7EF5446F" w:rsidR="00E85DD7" w:rsidRPr="003646A1" w:rsidRDefault="00E85DD7" w:rsidP="00E85DD7">
      <w:pPr>
        <w:pStyle w:val="JuryInst3"/>
      </w:pPr>
      <w:bookmarkStart w:id="4" w:name="_Toc404328790"/>
      <w:bookmarkStart w:id="5" w:name="_Toc529873475"/>
      <w:r>
        <w:t>Financial Harm</w:t>
      </w:r>
      <w:bookmarkEnd w:id="4"/>
      <w:bookmarkEnd w:id="5"/>
      <w:r>
        <w:t xml:space="preserve"> and Damages</w:t>
      </w:r>
    </w:p>
    <w:p w14:paraId="3705640F" w14:textId="5E063C0D" w:rsidR="00E85DD7" w:rsidRDefault="00E85DD7" w:rsidP="00E85DD7">
      <w:pPr>
        <w:pStyle w:val="JuryInstructionText"/>
      </w:pPr>
      <w:r>
        <w:t>Finally, PLF must prove that DFT’s statements caused financial harm to PLF’s business.</w:t>
      </w:r>
      <w:r>
        <w:rPr>
          <w:rStyle w:val="FootnoteReference"/>
          <w:rFonts w:cs="Segoe UI Historic"/>
        </w:rPr>
        <w:footnoteReference w:id="6"/>
      </w:r>
      <w:r>
        <w:t xml:space="preserve"> PLF cannot recover for less tangible harm such as harm to PLF’s reputation</w:t>
      </w:r>
      <w:r>
        <w:t xml:space="preserve">. </w:t>
      </w:r>
    </w:p>
    <w:p w14:paraId="21F33DD6" w14:textId="55568F74" w:rsidR="00B75859" w:rsidRPr="00B75859" w:rsidRDefault="00E85DD7" w:rsidP="00B75859">
      <w:pPr>
        <w:pStyle w:val="JuryInstructionText"/>
      </w:pPr>
      <w:r>
        <w:t xml:space="preserve">To prove financial harm, PLF must identify specific losses due to DFT’s statements by producing evidence of </w:t>
      </w:r>
      <w:proofErr w:type="gramStart"/>
      <w:r>
        <w:t>particular customers</w:t>
      </w:r>
      <w:proofErr w:type="gramEnd"/>
      <w:r>
        <w:t xml:space="preserve"> and specific lost sales unless PLF shows the statements were widely communicated</w:t>
      </w:r>
      <w:r>
        <w:t xml:space="preserve">. </w:t>
      </w:r>
      <w:r>
        <w:t>If the evidence shows the statements reached a broad and general audience, PLF may prove financial harm by showing lost profits or a loss of market share</w:t>
      </w:r>
      <w:r>
        <w:t xml:space="preserve">. </w:t>
      </w:r>
      <w:r>
        <w:t>In either case, PLF must also prove that DFT’s statements caused the financial harm.</w:t>
      </w:r>
      <w:r>
        <w:rPr>
          <w:rStyle w:val="FootnoteReference"/>
          <w:rFonts w:cs="Segoe UI Historic"/>
        </w:rPr>
        <w:footnoteReference w:id="7"/>
      </w:r>
      <w:r>
        <w:t xml:space="preserve">   If PLF proves financial harm, it will be up to you to calculate the amount based on the evidence and reasonable inferences, but not on speculation</w:t>
      </w:r>
      <w:r>
        <w:t xml:space="preserve">. </w:t>
      </w:r>
    </w:p>
    <w:sectPr w:rsidR="00B75859" w:rsidRPr="00B75859"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71C4" w14:textId="77777777" w:rsidR="008A3BE9" w:rsidRDefault="008A3BE9" w:rsidP="00F74A90">
      <w:r>
        <w:separator/>
      </w:r>
    </w:p>
  </w:endnote>
  <w:endnote w:type="continuationSeparator" w:id="0">
    <w:p w14:paraId="7E142D1C" w14:textId="77777777" w:rsidR="008A3BE9" w:rsidRDefault="008A3BE9"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503A" w14:textId="77777777" w:rsidR="008A3BE9" w:rsidRDefault="008A3BE9" w:rsidP="00F74A90">
      <w:r>
        <w:separator/>
      </w:r>
    </w:p>
  </w:footnote>
  <w:footnote w:type="continuationSeparator" w:id="0">
    <w:p w14:paraId="41747C7C" w14:textId="77777777" w:rsidR="008A3BE9" w:rsidRDefault="008A3BE9" w:rsidP="00F74A90">
      <w:r>
        <w:continuationSeparator/>
      </w:r>
    </w:p>
  </w:footnote>
  <w:footnote w:id="1">
    <w:p w14:paraId="77F4BA91" w14:textId="3EB669BE" w:rsidR="00E85DD7" w:rsidRPr="008B0BD7" w:rsidRDefault="00E85DD7" w:rsidP="00E85DD7">
      <w:pPr>
        <w:pStyle w:val="FootnoteText"/>
        <w:rPr>
          <w:rFonts w:cs="Segoe UI Historic"/>
        </w:rPr>
      </w:pPr>
      <w:r w:rsidRPr="008B0BD7">
        <w:rPr>
          <w:rStyle w:val="FootnoteReference"/>
          <w:rFonts w:cs="Segoe UI Historic"/>
        </w:rPr>
        <w:footnoteRef/>
      </w:r>
      <w:r w:rsidRPr="008B0BD7">
        <w:rPr>
          <w:rFonts w:cs="Segoe UI Historic"/>
        </w:rPr>
        <w:t xml:space="preserve"> </w:t>
      </w:r>
      <w:r>
        <w:rPr>
          <w:rFonts w:cs="Segoe UI Historic"/>
        </w:rPr>
        <w:tab/>
      </w:r>
      <w:proofErr w:type="spellStart"/>
      <w:r w:rsidRPr="008B0BD7">
        <w:rPr>
          <w:rFonts w:cs="Segoe UI Historic"/>
          <w:i/>
        </w:rPr>
        <w:t>HipSaver</w:t>
      </w:r>
      <w:proofErr w:type="spellEnd"/>
      <w:r w:rsidRPr="008B0BD7">
        <w:rPr>
          <w:rFonts w:cs="Segoe UI Historic"/>
          <w:i/>
        </w:rPr>
        <w:t>, Inc. v. Kiel</w:t>
      </w:r>
      <w:r w:rsidRPr="008B0BD7">
        <w:rPr>
          <w:rFonts w:cs="Segoe UI Historic"/>
        </w:rPr>
        <w:t xml:space="preserve">, 464 Mass. 517, 522–23 (2013); see also 37 J. Nolan &amp; L. Sartorio, Massachusetts Practice § 7.16 (3d ed. 2014); </w:t>
      </w:r>
      <w:r w:rsidRPr="008B0BD7">
        <w:rPr>
          <w:rFonts w:cs="Segoe UI Historic"/>
          <w:i/>
        </w:rPr>
        <w:t>Hi-Tech Pharma., Inc. v. Cohen</w:t>
      </w:r>
      <w:r w:rsidRPr="008B0BD7">
        <w:rPr>
          <w:rFonts w:cs="Segoe UI Historic"/>
        </w:rPr>
        <w:t>, 277 F. Supp. 3d 236, 249–50 (D. Mass. 2016).</w:t>
      </w:r>
    </w:p>
  </w:footnote>
  <w:footnote w:id="2">
    <w:p w14:paraId="02A65413" w14:textId="77036C3F" w:rsidR="00E85DD7" w:rsidRDefault="00E85DD7" w:rsidP="00E85DD7">
      <w:pPr>
        <w:pStyle w:val="FootnoteText"/>
      </w:pPr>
      <w:r>
        <w:rPr>
          <w:rStyle w:val="FootnoteReference"/>
        </w:rPr>
        <w:footnoteRef/>
      </w:r>
      <w:r>
        <w:t xml:space="preserve"> </w:t>
      </w:r>
      <w:r>
        <w:tab/>
      </w:r>
      <w:proofErr w:type="spellStart"/>
      <w:r w:rsidRPr="008B0BD7">
        <w:rPr>
          <w:rFonts w:cs="Segoe UI Historic"/>
          <w:i/>
        </w:rPr>
        <w:t>HipSaver</w:t>
      </w:r>
      <w:proofErr w:type="spellEnd"/>
      <w:r w:rsidRPr="008B0BD7">
        <w:rPr>
          <w:rFonts w:cs="Segoe UI Historic"/>
          <w:i/>
        </w:rPr>
        <w:t>, Inc. v. Kiel</w:t>
      </w:r>
      <w:r w:rsidRPr="008B0BD7">
        <w:rPr>
          <w:rFonts w:cs="Segoe UI Historic"/>
        </w:rPr>
        <w:t xml:space="preserve">, 464 Mass. 517, 523 (2013); see also </w:t>
      </w:r>
      <w:r w:rsidRPr="008B0BD7">
        <w:rPr>
          <w:rFonts w:cs="Segoe UI Historic"/>
          <w:i/>
        </w:rPr>
        <w:t>Bose Corp. v. Consumers Union of U.S., Inc</w:t>
      </w:r>
      <w:r w:rsidRPr="008B0BD7">
        <w:rPr>
          <w:rFonts w:cs="Segoe UI Historic"/>
        </w:rPr>
        <w:t>., 508 F. Supp. 1249, 1259 (D. Mass. 1981), rev’d on other grounds, 692 F.2d 189 (1st Cir. 1982), aff’d, 466 U.S. 485 (1984)</w:t>
      </w:r>
      <w:r>
        <w:rPr>
          <w:rFonts w:cs="Segoe UI Historic"/>
        </w:rPr>
        <w:t xml:space="preserve">; </w:t>
      </w:r>
      <w:r w:rsidRPr="008B0BD7">
        <w:rPr>
          <w:rFonts w:cs="Segoe UI Historic"/>
        </w:rPr>
        <w:t>Restatement (Second) of Torts § 629 (1979)</w:t>
      </w:r>
      <w:r>
        <w:rPr>
          <w:rFonts w:cs="Segoe UI Historic"/>
        </w:rPr>
        <w:t xml:space="preserve">. </w:t>
      </w:r>
      <w:r>
        <w:rPr>
          <w:rFonts w:cs="Segoe UI Historic"/>
        </w:rPr>
        <w:t>T</w:t>
      </w:r>
      <w:r w:rsidRPr="00860AE7">
        <w:rPr>
          <w:rFonts w:cs="Segoe UI Historic"/>
        </w:rPr>
        <w:t xml:space="preserve">wo federal district courts have </w:t>
      </w:r>
      <w:r>
        <w:rPr>
          <w:rFonts w:cs="Segoe UI Historic"/>
        </w:rPr>
        <w:t xml:space="preserve">stated that </w:t>
      </w:r>
      <w:r>
        <w:rPr>
          <w:rFonts w:cs="Segoe UI Historic"/>
          <w:snapToGrid w:val="0"/>
          <w:kern w:val="0"/>
        </w:rPr>
        <w:t xml:space="preserve">trade disparagement also must </w:t>
      </w:r>
      <w:proofErr w:type="spellStart"/>
      <w:r>
        <w:rPr>
          <w:rFonts w:cs="Segoe UI Historic"/>
          <w:snapToGrid w:val="0"/>
          <w:kern w:val="0"/>
        </w:rPr>
        <w:t>I”i</w:t>
      </w:r>
      <w:r w:rsidRPr="00571603">
        <w:rPr>
          <w:rFonts w:cs="Segoe UI Historic"/>
          <w:snapToGrid w:val="0"/>
          <w:kern w:val="0"/>
        </w:rPr>
        <w:t>m</w:t>
      </w:r>
      <w:r>
        <w:rPr>
          <w:rFonts w:cs="Segoe UI Historic"/>
          <w:snapToGrid w:val="0"/>
          <w:kern w:val="0"/>
        </w:rPr>
        <w:t>pute</w:t>
      </w:r>
      <w:proofErr w:type="spellEnd"/>
      <w:r>
        <w:rPr>
          <w:rFonts w:cs="Segoe UI Historic"/>
          <w:snapToGrid w:val="0"/>
          <w:kern w:val="0"/>
        </w:rPr>
        <w:t xml:space="preserve"> </w:t>
      </w:r>
      <w:r w:rsidRPr="00571603">
        <w:rPr>
          <w:rFonts w:cs="Segoe UI Historic"/>
          <w:snapToGrid w:val="0"/>
          <w:kern w:val="0"/>
        </w:rPr>
        <w:t>to the corporation fraud, deceit, dishonesty, or reprehensible conduct.”</w:t>
      </w:r>
      <w:r w:rsidRPr="00571603">
        <w:rPr>
          <w:rFonts w:cs="Segoe UI Historic"/>
          <w:kern w:val="0"/>
        </w:rPr>
        <w:t xml:space="preserve"> </w:t>
      </w:r>
      <w:r w:rsidRPr="00571603">
        <w:rPr>
          <w:rFonts w:cs="Segoe UI Historic"/>
          <w:i/>
          <w:snapToGrid w:val="0"/>
          <w:kern w:val="0"/>
        </w:rPr>
        <w:t>First Act Inc. v. Brook Mays Music Co., Inc.</w:t>
      </w:r>
      <w:r w:rsidRPr="00571603">
        <w:rPr>
          <w:rFonts w:cs="Segoe UI Historic"/>
          <w:snapToGrid w:val="0"/>
          <w:kern w:val="0"/>
        </w:rPr>
        <w:t xml:space="preserve">, 429 F. Supp. 2d 429, 433 n.3 (D. Mass. 2006) (quoting </w:t>
      </w:r>
      <w:r w:rsidRPr="00571603">
        <w:rPr>
          <w:rFonts w:cs="Segoe UI Historic"/>
          <w:i/>
          <w:snapToGrid w:val="0"/>
          <w:kern w:val="0"/>
        </w:rPr>
        <w:t>Picker Int’l, Inc. v. Leavitt</w:t>
      </w:r>
      <w:r w:rsidRPr="00571603">
        <w:rPr>
          <w:rFonts w:cs="Segoe UI Historic"/>
          <w:snapToGrid w:val="0"/>
          <w:kern w:val="0"/>
        </w:rPr>
        <w:t xml:space="preserve">, 865 F. Supp. 951, 964 (D. </w:t>
      </w:r>
      <w:r>
        <w:rPr>
          <w:rFonts w:cs="Segoe UI Historic"/>
          <w:snapToGrid w:val="0"/>
          <w:kern w:val="0"/>
        </w:rPr>
        <w:t>Mass. 1994). However, the seminal Supreme Judicial Court decision on trade disparagement does not include that requirement</w:t>
      </w:r>
      <w:r>
        <w:rPr>
          <w:rFonts w:cs="Segoe UI Historic"/>
          <w:snapToGrid w:val="0"/>
          <w:kern w:val="0"/>
        </w:rPr>
        <w:t xml:space="preserve">. </w:t>
      </w:r>
      <w:r>
        <w:rPr>
          <w:rFonts w:cs="Segoe UI Historic"/>
          <w:snapToGrid w:val="0"/>
          <w:kern w:val="0"/>
        </w:rPr>
        <w:t xml:space="preserve">See </w:t>
      </w:r>
      <w:proofErr w:type="spellStart"/>
      <w:r>
        <w:rPr>
          <w:rFonts w:cs="Segoe UI Historic"/>
          <w:snapToGrid w:val="0"/>
          <w:kern w:val="0"/>
        </w:rPr>
        <w:t>HipSaver</w:t>
      </w:r>
      <w:proofErr w:type="spellEnd"/>
      <w:r>
        <w:rPr>
          <w:rFonts w:cs="Segoe UI Historic"/>
          <w:snapToGrid w:val="0"/>
          <w:kern w:val="0"/>
        </w:rPr>
        <w:t xml:space="preserve">, </w:t>
      </w:r>
      <w:proofErr w:type="spellStart"/>
      <w:r>
        <w:rPr>
          <w:rFonts w:cs="Segoe UI Historic"/>
          <w:snapToGrid w:val="0"/>
          <w:kern w:val="0"/>
        </w:rPr>
        <w:t>Ic</w:t>
      </w:r>
      <w:proofErr w:type="spellEnd"/>
      <w:r>
        <w:rPr>
          <w:rFonts w:cs="Segoe UI Historic"/>
          <w:snapToGrid w:val="0"/>
          <w:kern w:val="0"/>
        </w:rPr>
        <w:t xml:space="preserve">. V. Kiel 464 Mass. 517, 523 (2013). </w:t>
      </w:r>
    </w:p>
  </w:footnote>
  <w:footnote w:id="3">
    <w:p w14:paraId="41F41912" w14:textId="595C9F00" w:rsidR="00E85DD7" w:rsidRPr="00967DB4" w:rsidRDefault="00E85DD7" w:rsidP="00E85DD7">
      <w:pPr>
        <w:pStyle w:val="FootnoteText"/>
      </w:pPr>
      <w:r w:rsidRPr="00967DB4">
        <w:rPr>
          <w:rStyle w:val="FootnoteReference"/>
        </w:rPr>
        <w:footnoteRef/>
      </w:r>
      <w:r w:rsidRPr="00967DB4">
        <w:t xml:space="preserve"> </w:t>
      </w:r>
      <w:r>
        <w:tab/>
      </w:r>
      <w:proofErr w:type="spellStart"/>
      <w:r w:rsidRPr="00967DB4">
        <w:rPr>
          <w:rFonts w:cs="Segoe UI Historic"/>
          <w:i/>
        </w:rPr>
        <w:t>HipSaver</w:t>
      </w:r>
      <w:proofErr w:type="spellEnd"/>
      <w:r w:rsidRPr="00967DB4">
        <w:rPr>
          <w:rFonts w:cs="Segoe UI Historic"/>
          <w:i/>
        </w:rPr>
        <w:t>, Inc. v. Kiel</w:t>
      </w:r>
      <w:r w:rsidRPr="00967DB4">
        <w:rPr>
          <w:rFonts w:cs="Segoe UI Historic"/>
        </w:rPr>
        <w:t>, 464 Mass. 517, 523 (2013)</w:t>
      </w:r>
      <w:r>
        <w:rPr>
          <w:rFonts w:cs="Segoe UI Historic"/>
        </w:rPr>
        <w:t>.</w:t>
      </w:r>
    </w:p>
  </w:footnote>
  <w:footnote w:id="4">
    <w:p w14:paraId="4C729BE9" w14:textId="06D88B5D" w:rsidR="00E85DD7" w:rsidRPr="00571603" w:rsidRDefault="00E85DD7" w:rsidP="00E85DD7">
      <w:pPr>
        <w:pStyle w:val="FootnoteText"/>
        <w:rPr>
          <w:rFonts w:cs="Segoe UI Historic"/>
        </w:rPr>
      </w:pPr>
      <w:r>
        <w:rPr>
          <w:rStyle w:val="FootnoteReference"/>
        </w:rPr>
        <w:footnoteRef/>
      </w:r>
      <w:r>
        <w:t xml:space="preserve"> </w:t>
      </w:r>
      <w:r>
        <w:tab/>
      </w:r>
      <w:r w:rsidRPr="00571603">
        <w:rPr>
          <w:rFonts w:cs="Segoe UI Historic"/>
        </w:rPr>
        <w:t>The judge should submit the question of fact versus opinion to the jury if a reasonable person could have understood the statement as either an opinion or a statement of fact</w:t>
      </w:r>
      <w:r>
        <w:rPr>
          <w:rFonts w:cs="Segoe UI Historic"/>
        </w:rPr>
        <w:t xml:space="preserve">. </w:t>
      </w:r>
      <w:r w:rsidRPr="00571603">
        <w:rPr>
          <w:rFonts w:cs="Segoe UI Historic"/>
        </w:rPr>
        <w:t xml:space="preserve">See </w:t>
      </w:r>
      <w:r w:rsidRPr="00571603">
        <w:rPr>
          <w:rFonts w:cs="Segoe UI Historic"/>
          <w:i/>
        </w:rPr>
        <w:t xml:space="preserve">Phelan v. May </w:t>
      </w:r>
      <w:proofErr w:type="spellStart"/>
      <w:r w:rsidRPr="00571603">
        <w:rPr>
          <w:rFonts w:cs="Segoe UI Historic"/>
          <w:i/>
        </w:rPr>
        <w:t>Dept’t</w:t>
      </w:r>
      <w:proofErr w:type="spellEnd"/>
      <w:r w:rsidRPr="00571603">
        <w:rPr>
          <w:rFonts w:cs="Segoe UI Historic"/>
          <w:i/>
        </w:rPr>
        <w:t xml:space="preserve"> Stores Co</w:t>
      </w:r>
      <w:r w:rsidRPr="00571603">
        <w:rPr>
          <w:rFonts w:cs="Segoe UI Historic"/>
        </w:rPr>
        <w:t xml:space="preserve">., 443 Mass. 52, 57 (2004); </w:t>
      </w:r>
      <w:proofErr w:type="spellStart"/>
      <w:r w:rsidRPr="00571603">
        <w:rPr>
          <w:rFonts w:cs="Segoe UI Historic"/>
          <w:i/>
        </w:rPr>
        <w:t>Aldoupolis</w:t>
      </w:r>
      <w:proofErr w:type="spellEnd"/>
      <w:r w:rsidRPr="00571603">
        <w:rPr>
          <w:rFonts w:cs="Segoe UI Historic"/>
          <w:i/>
        </w:rPr>
        <w:t xml:space="preserve"> v. Globe Newspaper Co</w:t>
      </w:r>
      <w:r w:rsidRPr="00571603">
        <w:rPr>
          <w:rFonts w:cs="Segoe UI Historic"/>
        </w:rPr>
        <w:t>., 398 Mass. 731, 733-734 (1986).</w:t>
      </w:r>
    </w:p>
  </w:footnote>
  <w:footnote w:id="5">
    <w:p w14:paraId="63D4185A" w14:textId="3C6718D2" w:rsidR="00E85DD7" w:rsidRPr="00C369C0" w:rsidRDefault="00E85DD7" w:rsidP="00E85DD7">
      <w:pPr>
        <w:pStyle w:val="FootnoteText"/>
        <w:rPr>
          <w:rFonts w:cs="Segoe UI Historic"/>
        </w:rPr>
      </w:pPr>
      <w:r>
        <w:rPr>
          <w:rStyle w:val="FootnoteReference"/>
        </w:rPr>
        <w:footnoteRef/>
      </w:r>
      <w:r>
        <w:t xml:space="preserve"> </w:t>
      </w:r>
      <w:r>
        <w:tab/>
      </w:r>
      <w:proofErr w:type="spellStart"/>
      <w:r w:rsidRPr="00C369C0">
        <w:rPr>
          <w:rFonts w:cs="Segoe UI Historic"/>
          <w:i/>
        </w:rPr>
        <w:t>HipSaver</w:t>
      </w:r>
      <w:proofErr w:type="spellEnd"/>
      <w:r w:rsidRPr="00C369C0">
        <w:rPr>
          <w:rFonts w:cs="Segoe UI Historic"/>
          <w:i/>
        </w:rPr>
        <w:t>,  Inc. v. Kiel</w:t>
      </w:r>
      <w:r>
        <w:rPr>
          <w:rFonts w:cs="Segoe UI Historic"/>
        </w:rPr>
        <w:t>, 464 Mass. 517, 529 (2013).</w:t>
      </w:r>
    </w:p>
  </w:footnote>
  <w:footnote w:id="6">
    <w:p w14:paraId="5AB72550" w14:textId="56E1111B" w:rsidR="00E85DD7" w:rsidRDefault="00E85DD7" w:rsidP="00E85DD7">
      <w:pPr>
        <w:pStyle w:val="FootnoteText"/>
      </w:pPr>
      <w:r>
        <w:rPr>
          <w:rStyle w:val="FootnoteReference"/>
        </w:rPr>
        <w:footnoteRef/>
      </w:r>
      <w:r>
        <w:t xml:space="preserve"> </w:t>
      </w:r>
      <w:r>
        <w:tab/>
      </w:r>
      <w:proofErr w:type="spellStart"/>
      <w:r w:rsidRPr="003646A1">
        <w:rPr>
          <w:rFonts w:cs="Segoe UI Historic"/>
          <w:i/>
        </w:rPr>
        <w:t>HipSaver</w:t>
      </w:r>
      <w:proofErr w:type="spellEnd"/>
      <w:r w:rsidRPr="003646A1">
        <w:rPr>
          <w:rFonts w:cs="Segoe UI Historic"/>
          <w:i/>
        </w:rPr>
        <w:t>, Inc. v. Kiel</w:t>
      </w:r>
      <w:r w:rsidRPr="003646A1">
        <w:rPr>
          <w:rFonts w:cs="Segoe UI Historic"/>
        </w:rPr>
        <w:t>, 464 Mass. 517, 536 (2013) (citing Restatement (Second) of Torts §</w:t>
      </w:r>
      <w:r>
        <w:rPr>
          <w:rFonts w:cs="Segoe UI Historic"/>
        </w:rPr>
        <w:t> </w:t>
      </w:r>
      <w:r w:rsidRPr="003646A1">
        <w:rPr>
          <w:rFonts w:cs="Segoe UI Historic"/>
        </w:rPr>
        <w:t xml:space="preserve">633(2)(a) &amp; </w:t>
      </w:r>
      <w:proofErr w:type="spellStart"/>
      <w:r w:rsidRPr="003646A1">
        <w:rPr>
          <w:rFonts w:cs="Segoe UI Historic"/>
        </w:rPr>
        <w:t>cmt</w:t>
      </w:r>
      <w:proofErr w:type="spellEnd"/>
      <w:r w:rsidRPr="003646A1">
        <w:rPr>
          <w:rFonts w:cs="Segoe UI Historic"/>
        </w:rPr>
        <w:t xml:space="preserve">. c (1977)); </w:t>
      </w:r>
      <w:r w:rsidRPr="003646A1">
        <w:rPr>
          <w:rFonts w:cs="Segoe UI Historic"/>
          <w:i/>
        </w:rPr>
        <w:t>Advanced Tech. Corp. v. Instron, Inc</w:t>
      </w:r>
      <w:r w:rsidRPr="003646A1">
        <w:rPr>
          <w:rFonts w:cs="Segoe UI Historic"/>
        </w:rPr>
        <w:t xml:space="preserve">., 66 F. Supp. 3d 263, 276 (D. Mass. 2014); </w:t>
      </w:r>
      <w:r w:rsidRPr="003646A1">
        <w:rPr>
          <w:rFonts w:cs="Segoe UI Historic"/>
          <w:i/>
        </w:rPr>
        <w:t>Bose Corp. v. Consumers Union of U.S., Inc</w:t>
      </w:r>
      <w:r w:rsidRPr="003646A1">
        <w:rPr>
          <w:rFonts w:cs="Segoe UI Historic"/>
        </w:rPr>
        <w:t xml:space="preserve">., 508 F. Supp. 1249, 1259 (D. Mass. 1981) (citing </w:t>
      </w:r>
      <w:r w:rsidRPr="003646A1">
        <w:rPr>
          <w:rFonts w:cs="Segoe UI Historic"/>
          <w:i/>
        </w:rPr>
        <w:t>Dooling v. Budget Publ’g Co.,</w:t>
      </w:r>
      <w:r w:rsidRPr="003646A1">
        <w:rPr>
          <w:rFonts w:cs="Segoe UI Historic"/>
        </w:rPr>
        <w:t xml:space="preserve"> 144 Mass. 258 (1887)), rev’d on other grounds, 692 F.2d 189 (1st Cir. 1982), aff’d, 466 U.S. 485 (1984).</w:t>
      </w:r>
    </w:p>
  </w:footnote>
  <w:footnote w:id="7">
    <w:p w14:paraId="3F1F4820" w14:textId="74CA44EE" w:rsidR="00E85DD7" w:rsidRDefault="00E85DD7" w:rsidP="00E85DD7">
      <w:pPr>
        <w:pStyle w:val="FootnoteText"/>
      </w:pPr>
      <w:r>
        <w:rPr>
          <w:rStyle w:val="FootnoteReference"/>
        </w:rPr>
        <w:footnoteRef/>
      </w:r>
      <w:r>
        <w:t xml:space="preserve"> </w:t>
      </w:r>
      <w:r>
        <w:tab/>
      </w:r>
      <w:proofErr w:type="spellStart"/>
      <w:r w:rsidRPr="003646A1">
        <w:rPr>
          <w:rFonts w:cs="Segoe UI Historic"/>
          <w:i/>
        </w:rPr>
        <w:t>HipSaver</w:t>
      </w:r>
      <w:proofErr w:type="spellEnd"/>
      <w:r w:rsidRPr="003646A1">
        <w:rPr>
          <w:rFonts w:cs="Segoe UI Historic"/>
          <w:i/>
        </w:rPr>
        <w:t>, Inc. v. Kiel</w:t>
      </w:r>
      <w:r w:rsidRPr="003646A1">
        <w:rPr>
          <w:rFonts w:cs="Segoe UI Historic"/>
        </w:rPr>
        <w:t>, 464 Mass. 517, 53</w:t>
      </w:r>
      <w:r>
        <w:rPr>
          <w:rFonts w:cs="Segoe UI Historic"/>
        </w:rPr>
        <w:t>8-540</w:t>
      </w:r>
      <w:r w:rsidRPr="003646A1">
        <w:rPr>
          <w:rFonts w:cs="Segoe UI Historic"/>
        </w:rPr>
        <w:t xml:space="preserve"> (2013)</w:t>
      </w:r>
      <w:r>
        <w:rPr>
          <w:rFonts w:cs="Segoe UI Historic"/>
        </w:rPr>
        <w:t xml:space="preserve">; </w:t>
      </w:r>
      <w:r w:rsidRPr="001D48A0">
        <w:rPr>
          <w:rFonts w:cs="Segoe UI Historic"/>
          <w:i/>
        </w:rPr>
        <w:t>Bose Corp. v. Consumer Union of U.S., Inc</w:t>
      </w:r>
      <w:r>
        <w:rPr>
          <w:rFonts w:cs="Segoe UI Historic"/>
        </w:rPr>
        <w:t>., 529 F. Supp. 357, 361 (1981).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4AE4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EC38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6676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0AA4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7A96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EC4F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625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F25A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542F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E61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51BB9"/>
    <w:multiLevelType w:val="hybridMultilevel"/>
    <w:tmpl w:val="8D8235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949434834">
    <w:abstractNumId w:val="13"/>
  </w:num>
  <w:num w:numId="2" w16cid:durableId="1733699379">
    <w:abstractNumId w:val="12"/>
  </w:num>
  <w:num w:numId="3" w16cid:durableId="752437935">
    <w:abstractNumId w:val="0"/>
  </w:num>
  <w:num w:numId="4" w16cid:durableId="82647191">
    <w:abstractNumId w:val="1"/>
  </w:num>
  <w:num w:numId="5" w16cid:durableId="1866870430">
    <w:abstractNumId w:val="2"/>
  </w:num>
  <w:num w:numId="6" w16cid:durableId="379283168">
    <w:abstractNumId w:val="3"/>
  </w:num>
  <w:num w:numId="7" w16cid:durableId="992828965">
    <w:abstractNumId w:val="8"/>
  </w:num>
  <w:num w:numId="8" w16cid:durableId="1369574196">
    <w:abstractNumId w:val="4"/>
  </w:num>
  <w:num w:numId="9" w16cid:durableId="1670018191">
    <w:abstractNumId w:val="5"/>
  </w:num>
  <w:num w:numId="10" w16cid:durableId="945962654">
    <w:abstractNumId w:val="6"/>
  </w:num>
  <w:num w:numId="11" w16cid:durableId="1197429989">
    <w:abstractNumId w:val="7"/>
  </w:num>
  <w:num w:numId="12" w16cid:durableId="1675910133">
    <w:abstractNumId w:val="9"/>
  </w:num>
  <w:num w:numId="13" w16cid:durableId="1544513621">
    <w:abstractNumId w:val="12"/>
  </w:num>
  <w:num w:numId="14" w16cid:durableId="1114209060">
    <w:abstractNumId w:val="11"/>
  </w:num>
  <w:num w:numId="15" w16cid:durableId="36622448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doNotDisplayPageBoundarie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08DB"/>
    <w:rsid w:val="000B7B9E"/>
    <w:rsid w:val="000D70C6"/>
    <w:rsid w:val="000E7622"/>
    <w:rsid w:val="0010739E"/>
    <w:rsid w:val="00130F23"/>
    <w:rsid w:val="0017397B"/>
    <w:rsid w:val="001B7748"/>
    <w:rsid w:val="001C5FA5"/>
    <w:rsid w:val="001D701D"/>
    <w:rsid w:val="001E2162"/>
    <w:rsid w:val="00221552"/>
    <w:rsid w:val="00257345"/>
    <w:rsid w:val="00294F89"/>
    <w:rsid w:val="002A2C60"/>
    <w:rsid w:val="00303039"/>
    <w:rsid w:val="00420329"/>
    <w:rsid w:val="00471D8A"/>
    <w:rsid w:val="004848CB"/>
    <w:rsid w:val="004859F0"/>
    <w:rsid w:val="004A3BE2"/>
    <w:rsid w:val="00516C98"/>
    <w:rsid w:val="005446C0"/>
    <w:rsid w:val="00550249"/>
    <w:rsid w:val="00594672"/>
    <w:rsid w:val="00596E5A"/>
    <w:rsid w:val="006254D4"/>
    <w:rsid w:val="00676B44"/>
    <w:rsid w:val="007E7B77"/>
    <w:rsid w:val="00834E34"/>
    <w:rsid w:val="008733AA"/>
    <w:rsid w:val="00880AA6"/>
    <w:rsid w:val="008A3BE9"/>
    <w:rsid w:val="0094500B"/>
    <w:rsid w:val="00992410"/>
    <w:rsid w:val="00996339"/>
    <w:rsid w:val="009B481F"/>
    <w:rsid w:val="00A05B86"/>
    <w:rsid w:val="00A164C0"/>
    <w:rsid w:val="00A2789E"/>
    <w:rsid w:val="00A55E4E"/>
    <w:rsid w:val="00A56498"/>
    <w:rsid w:val="00A679E4"/>
    <w:rsid w:val="00A76145"/>
    <w:rsid w:val="00A917A4"/>
    <w:rsid w:val="00A95EAD"/>
    <w:rsid w:val="00AF6831"/>
    <w:rsid w:val="00B02468"/>
    <w:rsid w:val="00B2579A"/>
    <w:rsid w:val="00B520AB"/>
    <w:rsid w:val="00B75859"/>
    <w:rsid w:val="00BE7335"/>
    <w:rsid w:val="00BF0717"/>
    <w:rsid w:val="00BF08B5"/>
    <w:rsid w:val="00C43AEF"/>
    <w:rsid w:val="00C5670C"/>
    <w:rsid w:val="00CD7576"/>
    <w:rsid w:val="00D71FE5"/>
    <w:rsid w:val="00D8732A"/>
    <w:rsid w:val="00D9196F"/>
    <w:rsid w:val="00DB6604"/>
    <w:rsid w:val="00DC61A7"/>
    <w:rsid w:val="00E174B0"/>
    <w:rsid w:val="00E85DD7"/>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Kenneth W Salinger</cp:lastModifiedBy>
  <cp:revision>3</cp:revision>
  <dcterms:created xsi:type="dcterms:W3CDTF">2022-12-12T21:43:00Z</dcterms:created>
  <dcterms:modified xsi:type="dcterms:W3CDTF">2022-12-12T21:48:00Z</dcterms:modified>
</cp:coreProperties>
</file>