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FE21" w14:textId="0FF2B96A" w:rsidR="006254D4" w:rsidRPr="006254D4" w:rsidRDefault="006254D4" w:rsidP="006254D4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Publication Date: </w:t>
      </w:r>
      <w:r w:rsidR="00D93A22">
        <w:rPr>
          <w:i/>
          <w:iCs/>
          <w:sz w:val="24"/>
          <w:szCs w:val="24"/>
        </w:rPr>
        <w:t>December 12, 2022</w:t>
      </w:r>
    </w:p>
    <w:p w14:paraId="15C33E4E" w14:textId="0CFE53F6" w:rsidR="00BF08B5" w:rsidRDefault="00D93A22" w:rsidP="00BF08B5">
      <w:pPr>
        <w:pStyle w:val="JuryInst2"/>
      </w:pPr>
      <w:r>
        <w:t xml:space="preserve">Trademark or </w:t>
      </w:r>
      <w:proofErr w:type="spellStart"/>
      <w:r>
        <w:t>Servicemark</w:t>
      </w:r>
      <w:proofErr w:type="spellEnd"/>
      <w:r>
        <w:t xml:space="preserve"> Infringement – Common Law Claim</w:t>
      </w:r>
    </w:p>
    <w:p w14:paraId="0D73DE18" w14:textId="640B47FC" w:rsidR="00D93A22" w:rsidRDefault="00D93A22" w:rsidP="00D93A22">
      <w:pPr>
        <w:pStyle w:val="JuryInstructionText"/>
      </w:pPr>
      <w:r>
        <w:t xml:space="preserve">PLF </w:t>
      </w:r>
      <w:r w:rsidRPr="00AA55F8">
        <w:t>claims</w:t>
      </w:r>
      <w:r>
        <w:t xml:space="preserve"> that</w:t>
      </w:r>
      <w:r w:rsidRPr="00AA55F8">
        <w:t xml:space="preserve"> </w:t>
      </w:r>
      <w:r>
        <w:t xml:space="preserve">DFT competed unfairly </w:t>
      </w:r>
      <w:r w:rsidRPr="00AA55F8">
        <w:t xml:space="preserve">by distributing </w:t>
      </w:r>
      <w:r>
        <w:t xml:space="preserve">[or selling] products [services] with PLF’s </w:t>
      </w:r>
      <w:r w:rsidRPr="00AA55F8">
        <w:t>distinctive symbo</w:t>
      </w:r>
      <w:r>
        <w:t xml:space="preserve">l [substitute more specific word as relevant such as label, logo, </w:t>
      </w:r>
      <w:proofErr w:type="spellStart"/>
      <w:r>
        <w:t>etc</w:t>
      </w:r>
      <w:proofErr w:type="spellEnd"/>
      <w:r>
        <w:t>]</w:t>
      </w:r>
      <w:r>
        <w:t xml:space="preserve">. </w:t>
      </w:r>
      <w:r>
        <w:t xml:space="preserve">To prove this claim, PLF must show </w:t>
      </w:r>
      <w:r w:rsidRPr="00F13335">
        <w:t xml:space="preserve">the following three things are </w:t>
      </w:r>
      <w:r>
        <w:t>more likely true than not true</w:t>
      </w:r>
      <w:bookmarkStart w:id="0" w:name="_DV_M175"/>
      <w:bookmarkEnd w:id="0"/>
      <w:r w:rsidRPr="00AA55F8">
        <w:t>:</w:t>
      </w:r>
    </w:p>
    <w:p w14:paraId="311BEF46" w14:textId="77777777" w:rsidR="00D93A22" w:rsidRDefault="00D93A22" w:rsidP="00D93A22">
      <w:pPr>
        <w:pStyle w:val="JuryInstructionElements"/>
      </w:pPr>
      <w:bookmarkStart w:id="1" w:name="_DV_M176"/>
      <w:bookmarkEnd w:id="1"/>
      <w:r>
        <w:t>1.</w:t>
      </w:r>
      <w:r>
        <w:tab/>
      </w:r>
      <w:r w:rsidRPr="00D33283">
        <w:t>that</w:t>
      </w:r>
      <w:r>
        <w:t xml:space="preserve"> when DFT started using PLF</w:t>
      </w:r>
      <w:r w:rsidRPr="00AA55F8">
        <w:t xml:space="preserve">’s </w:t>
      </w:r>
      <w:r>
        <w:t>symbol [or other term used above], the public recognized that symbol [or other term] a</w:t>
      </w:r>
      <w:r w:rsidRPr="00AA55F8">
        <w:t>s identifying</w:t>
      </w:r>
      <w:r>
        <w:t xml:space="preserve"> PLF’s</w:t>
      </w:r>
      <w:r w:rsidRPr="00AA55F8">
        <w:t xml:space="preserve"> products </w:t>
      </w:r>
      <w:r>
        <w:t xml:space="preserve">[services] </w:t>
      </w:r>
      <w:r w:rsidRPr="00AA55F8">
        <w:t xml:space="preserve">and distinguishing them from </w:t>
      </w:r>
      <w:r>
        <w:t>other products [services];</w:t>
      </w:r>
    </w:p>
    <w:p w14:paraId="17B71EE2" w14:textId="77777777" w:rsidR="00D93A22" w:rsidRDefault="00D93A22" w:rsidP="00D93A22">
      <w:pPr>
        <w:pStyle w:val="JuryInstructionElements"/>
      </w:pPr>
      <w:r>
        <w:t>2.</w:t>
      </w:r>
      <w:r>
        <w:tab/>
        <w:t xml:space="preserve">that DFT </w:t>
      </w:r>
      <w:bookmarkStart w:id="2" w:name="_DV_M178"/>
      <w:bookmarkEnd w:id="2"/>
      <w:r w:rsidRPr="00AA55F8">
        <w:t xml:space="preserve">used the symbol </w:t>
      </w:r>
      <w:r>
        <w:t xml:space="preserve">[or other term used above] in a way that would likely cause the public [consumer, customer, purchaser] </w:t>
      </w:r>
      <w:r w:rsidRPr="00D33283">
        <w:t>to</w:t>
      </w:r>
      <w:r w:rsidRPr="00621DFC">
        <w:t xml:space="preserve"> </w:t>
      </w:r>
      <w:r w:rsidRPr="00D33283">
        <w:t>confuse</w:t>
      </w:r>
      <w:r>
        <w:t xml:space="preserve"> DFT’s products [services] with PLF’s products [services]; </w:t>
      </w:r>
      <w:bookmarkStart w:id="3" w:name="_DV_M179"/>
      <w:bookmarkEnd w:id="3"/>
      <w:r>
        <w:t>and</w:t>
      </w:r>
    </w:p>
    <w:p w14:paraId="67287E65" w14:textId="77777777" w:rsidR="00D93A22" w:rsidRDefault="00D93A22" w:rsidP="00D93A22">
      <w:pPr>
        <w:pStyle w:val="JuryInstructionElements"/>
      </w:pPr>
      <w:r>
        <w:t>3.</w:t>
      </w:r>
      <w:r>
        <w:tab/>
        <w:t>that DFT’s actions caused harm to PLF</w:t>
      </w:r>
      <w:r w:rsidRPr="00AA55F8">
        <w:t>.</w:t>
      </w:r>
      <w:r>
        <w:rPr>
          <w:rStyle w:val="FootnoteReference"/>
          <w:rFonts w:cs="Segoe UI Historic"/>
        </w:rPr>
        <w:footnoteReference w:id="1"/>
      </w:r>
    </w:p>
    <w:p w14:paraId="1785CEAC" w14:textId="77777777" w:rsidR="00D93A22" w:rsidRPr="0003586B" w:rsidRDefault="00D93A22" w:rsidP="00D93A22">
      <w:pPr>
        <w:pStyle w:val="JuryInst3"/>
      </w:pPr>
      <w:r>
        <w:t>Association of Symbol with Single S</w:t>
      </w:r>
      <w:r w:rsidRPr="0003586B">
        <w:t>ource</w:t>
      </w:r>
      <w:bookmarkStart w:id="4" w:name="_Toc208984990"/>
      <w:bookmarkStart w:id="5" w:name="_Toc208985277"/>
      <w:bookmarkEnd w:id="4"/>
      <w:bookmarkEnd w:id="5"/>
    </w:p>
    <w:p w14:paraId="03565822" w14:textId="7BFDE659" w:rsidR="00D93A22" w:rsidRDefault="00D93A22" w:rsidP="00D93A22">
      <w:pPr>
        <w:pStyle w:val="JuryInstructionText"/>
      </w:pPr>
      <w:r>
        <w:t>PLF must first prove that</w:t>
      </w:r>
      <w:r w:rsidRPr="005D7F99">
        <w:t xml:space="preserve"> the public recognize</w:t>
      </w:r>
      <w:r>
        <w:t>d</w:t>
      </w:r>
      <w:r w:rsidRPr="005D7F99">
        <w:t xml:space="preserve"> </w:t>
      </w:r>
      <w:r>
        <w:t>PLF</w:t>
      </w:r>
      <w:r w:rsidRPr="005D7F99">
        <w:t xml:space="preserve">’s symbol [or other term used above] as identifying </w:t>
      </w:r>
      <w:r>
        <w:t>PLF’s</w:t>
      </w:r>
      <w:r w:rsidRPr="005D7F99">
        <w:t xml:space="preserve"> products [services] and distinguishing them those of </w:t>
      </w:r>
      <w:r w:rsidRPr="00DA6A30">
        <w:t>other companies</w:t>
      </w:r>
      <w:r>
        <w:t>.</w:t>
      </w:r>
      <w:r w:rsidRPr="005D7F99">
        <w:t xml:space="preserve"> </w:t>
      </w:r>
    </w:p>
    <w:p w14:paraId="227FB3F2" w14:textId="5CF39CC7" w:rsidR="00D93A22" w:rsidRDefault="00D93A22" w:rsidP="00D93A22">
      <w:pPr>
        <w:pStyle w:val="JuryInstructionText"/>
      </w:pPr>
      <w:r>
        <w:t>For example, the public</w:t>
      </w:r>
      <w:r w:rsidRPr="00AA55F8">
        <w:t xml:space="preserve"> associates</w:t>
      </w:r>
      <w:r>
        <w:t xml:space="preserve"> </w:t>
      </w:r>
      <w:r w:rsidRPr="00AA55F8">
        <w:t>Nike</w:t>
      </w:r>
      <w:r>
        <w:t>’s</w:t>
      </w:r>
      <w:r w:rsidRPr="00AA55F8">
        <w:t xml:space="preserve"> “Swoosh” and McDonald’s golden arches </w:t>
      </w:r>
      <w:r>
        <w:t>with a specific company</w:t>
      </w:r>
      <w:r>
        <w:t xml:space="preserve">. </w:t>
      </w:r>
      <w:r>
        <w:t xml:space="preserve">The public does not need to know the exact identity of the company </w:t>
      </w:r>
      <w:proofErr w:type="gramStart"/>
      <w:r>
        <w:t>as long as</w:t>
      </w:r>
      <w:proofErr w:type="gramEnd"/>
      <w:r>
        <w:t xml:space="preserve"> a significant portion of </w:t>
      </w:r>
      <w:r w:rsidRPr="00AA55F8">
        <w:t xml:space="preserve">the public </w:t>
      </w:r>
      <w:r>
        <w:t xml:space="preserve">connects </w:t>
      </w:r>
      <w:r w:rsidRPr="00AA55F8">
        <w:t xml:space="preserve">the symbol </w:t>
      </w:r>
      <w:r>
        <w:t xml:space="preserve">[or other terms used above] </w:t>
      </w:r>
      <w:r w:rsidRPr="00AA55F8">
        <w:t xml:space="preserve">with </w:t>
      </w:r>
      <w:r>
        <w:t xml:space="preserve">just one </w:t>
      </w:r>
      <w:r w:rsidRPr="00AA55F8">
        <w:t>source</w:t>
      </w:r>
      <w:r>
        <w:t xml:space="preserve">. </w:t>
      </w:r>
      <w:r>
        <w:t>For instance, the public may</w:t>
      </w:r>
      <w:r w:rsidRPr="00AA55F8">
        <w:t xml:space="preserve"> recognize the “Swoosh” as a logo</w:t>
      </w:r>
      <w:r>
        <w:t xml:space="preserve"> associated with a specific source </w:t>
      </w:r>
      <w:r w:rsidRPr="00AA55F8">
        <w:t xml:space="preserve">without remembering </w:t>
      </w:r>
      <w:r>
        <w:t xml:space="preserve">that the source is Nike. </w:t>
      </w:r>
    </w:p>
    <w:p w14:paraId="1827091B" w14:textId="09F331DC" w:rsidR="00D93A22" w:rsidRPr="0003586B" w:rsidRDefault="00D93A22" w:rsidP="00D93A22">
      <w:pPr>
        <w:pStyle w:val="JuryInstructionText"/>
      </w:pPr>
      <w:r w:rsidRPr="0003586B">
        <w:t xml:space="preserve">PLF does not need to prove that all or even a majority of the public connects the symbol [or other word used above] to one </w:t>
      </w:r>
      <w:proofErr w:type="gramStart"/>
      <w:r w:rsidRPr="0003586B">
        <w:t>particular source</w:t>
      </w:r>
      <w:proofErr w:type="gramEnd"/>
      <w:r>
        <w:t xml:space="preserve">. </w:t>
      </w:r>
      <w:r w:rsidRPr="0003586B">
        <w:t xml:space="preserve">PLF does, however, </w:t>
      </w:r>
      <w:proofErr w:type="gramStart"/>
      <w:r w:rsidRPr="0003586B">
        <w:t>have to</w:t>
      </w:r>
      <w:proofErr w:type="gramEnd"/>
      <w:r w:rsidRPr="0003586B">
        <w:t xml:space="preserve"> show that a significant portion of the public </w:t>
      </w:r>
      <w:r w:rsidRPr="0003586B">
        <w:lastRenderedPageBreak/>
        <w:t>connects the symbol [or other terms used above] with just one source. To decide whether the number is significant, you may look at things such as:</w:t>
      </w:r>
    </w:p>
    <w:p w14:paraId="2C952182" w14:textId="629A3848" w:rsidR="00D93A22" w:rsidRDefault="00D93A22" w:rsidP="00D93A22">
      <w:pPr>
        <w:pStyle w:val="JuryInstructionBullets"/>
      </w:pPr>
      <w:r>
        <w:t>how long PLF has used the symbol [or other word used above];</w:t>
      </w:r>
    </w:p>
    <w:p w14:paraId="703343C0" w14:textId="516E17F1" w:rsidR="00D93A22" w:rsidRDefault="00D93A22" w:rsidP="00D93A22">
      <w:pPr>
        <w:pStyle w:val="JuryInstructionBullets"/>
      </w:pPr>
      <w:r w:rsidRPr="00D33283">
        <w:t>the</w:t>
      </w:r>
      <w:r w:rsidRPr="00AA55F8">
        <w:t xml:space="preserve"> nature and extent of </w:t>
      </w:r>
      <w:r>
        <w:t>PLF’s</w:t>
      </w:r>
      <w:r w:rsidRPr="00AA55F8">
        <w:t xml:space="preserve"> advertising,</w:t>
      </w:r>
      <w:r>
        <w:t xml:space="preserve"> </w:t>
      </w:r>
      <w:r w:rsidRPr="00AA55F8">
        <w:t>promotion</w:t>
      </w:r>
      <w:r>
        <w:t xml:space="preserve">, and other efforts to </w:t>
      </w:r>
      <w:r w:rsidRPr="00AA55F8">
        <w:t>promote</w:t>
      </w:r>
      <w:r>
        <w:t xml:space="preserve"> </w:t>
      </w:r>
      <w:r w:rsidRPr="00AA55F8">
        <w:t>the connection between the symbol</w:t>
      </w:r>
      <w:r>
        <w:t xml:space="preserve"> [or other term used above];</w:t>
      </w:r>
    </w:p>
    <w:p w14:paraId="79BB208C" w14:textId="07996713" w:rsidR="00D93A22" w:rsidRDefault="00D93A22" w:rsidP="00D93A22">
      <w:pPr>
        <w:pStyle w:val="JuryInstructionBullets"/>
      </w:pPr>
      <w:r w:rsidRPr="00AA55F8">
        <w:t>sales volume;</w:t>
      </w:r>
    </w:p>
    <w:p w14:paraId="1ADC882F" w14:textId="2313F44F" w:rsidR="00D93A22" w:rsidRDefault="00D93A22" w:rsidP="00D93A22">
      <w:pPr>
        <w:pStyle w:val="JuryInstructionBullets"/>
      </w:pPr>
      <w:r>
        <w:t>consumer surveys;</w:t>
      </w:r>
    </w:p>
    <w:p w14:paraId="19612727" w14:textId="4F903B36" w:rsidR="00D93A22" w:rsidRDefault="00D93A22" w:rsidP="00D93A22">
      <w:pPr>
        <w:pStyle w:val="JuryInstructionBullets"/>
      </w:pPr>
      <w:r w:rsidRPr="00AA55F8">
        <w:t xml:space="preserve">testimony of consumers </w:t>
      </w:r>
      <w:r>
        <w:t>about the meaning of the symbol [or other term used above]; and</w:t>
      </w:r>
    </w:p>
    <w:p w14:paraId="3F27BFDC" w14:textId="6B3C6F84" w:rsidR="00D93A22" w:rsidRDefault="00D93A22" w:rsidP="00D93A22">
      <w:pPr>
        <w:pStyle w:val="JuryInstructionBullets"/>
      </w:pPr>
      <w:r>
        <w:t>the unique nature of the symbol [or other term used above].</w:t>
      </w:r>
      <w:r>
        <w:rPr>
          <w:rStyle w:val="FootnoteReference"/>
          <w:rFonts w:cs="Segoe UI Historic"/>
        </w:rPr>
        <w:footnoteReference w:id="2"/>
      </w:r>
    </w:p>
    <w:p w14:paraId="72F839B4" w14:textId="77777777" w:rsidR="00D93A22" w:rsidRPr="0003586B" w:rsidRDefault="00D93A22" w:rsidP="00D93A22">
      <w:pPr>
        <w:pStyle w:val="JuryInst3"/>
      </w:pPr>
      <w:bookmarkStart w:id="6" w:name="_Toc208985004"/>
      <w:bookmarkStart w:id="7" w:name="_Toc208985291"/>
      <w:bookmarkStart w:id="8" w:name="_Toc404328783"/>
      <w:bookmarkStart w:id="9" w:name="_Toc529873469"/>
      <w:bookmarkEnd w:id="6"/>
      <w:bookmarkEnd w:id="7"/>
      <w:r w:rsidRPr="0003586B">
        <w:t>Likelihood of Confusion</w:t>
      </w:r>
      <w:bookmarkEnd w:id="8"/>
      <w:bookmarkEnd w:id="9"/>
    </w:p>
    <w:p w14:paraId="37CAA5FA" w14:textId="260E3575" w:rsidR="00D93A22" w:rsidRPr="00AA55F8" w:rsidRDefault="00D93A22" w:rsidP="00D93A22">
      <w:pPr>
        <w:pStyle w:val="JuryInstructionText"/>
      </w:pPr>
      <w:r>
        <w:t xml:space="preserve">Second, PLF must prove that DFT </w:t>
      </w:r>
      <w:r w:rsidRPr="00AA55F8">
        <w:t xml:space="preserve">used the symbol in a </w:t>
      </w:r>
      <w:r>
        <w:t>way that was reasonably</w:t>
      </w:r>
      <w:r w:rsidRPr="00AA55F8">
        <w:t xml:space="preserve"> likely to confus</w:t>
      </w:r>
      <w:r>
        <w:t xml:space="preserve">e the public [consumer, customer, purchasers] </w:t>
      </w:r>
      <w:r w:rsidRPr="00AA55F8">
        <w:t>a</w:t>
      </w:r>
      <w:r>
        <w:t xml:space="preserve">bout </w:t>
      </w:r>
      <w:r w:rsidRPr="00AA55F8">
        <w:t xml:space="preserve">the source of the </w:t>
      </w:r>
      <w:r>
        <w:t>product [service]</w:t>
      </w:r>
      <w:r>
        <w:t xml:space="preserve">. </w:t>
      </w:r>
      <w:r>
        <w:t>I</w:t>
      </w:r>
      <w:r w:rsidRPr="00AA55F8">
        <w:t>n other words, you must find that purchasers who are buying under the usual conditions and ex</w:t>
      </w:r>
      <w:r>
        <w:t>ercising ordinary care would believe that PLF had produced [or other relevant term] DFT’s products</w:t>
      </w:r>
      <w:r>
        <w:t xml:space="preserve">. </w:t>
      </w:r>
      <w:r>
        <w:t>PLF does not need to prove the DFT intended to deceive the public by using PLF’s symbol [or other term used above].</w:t>
      </w:r>
      <w:r>
        <w:rPr>
          <w:rStyle w:val="FootnoteReference"/>
          <w:rFonts w:cs="Segoe UI Historic"/>
        </w:rPr>
        <w:footnoteReference w:id="3"/>
      </w:r>
      <w:r>
        <w:t xml:space="preserve">   PLF does not have to prove that </w:t>
      </w:r>
      <w:r w:rsidRPr="00AA55F8">
        <w:t xml:space="preserve">any specific person </w:t>
      </w:r>
      <w:r>
        <w:t xml:space="preserve">was </w:t>
      </w:r>
      <w:r w:rsidRPr="00AA55F8">
        <w:t>confused or misled</w:t>
      </w:r>
      <w:r>
        <w:t xml:space="preserve">. </w:t>
      </w:r>
      <w:r>
        <w:t xml:space="preserve">It is enough to show </w:t>
      </w:r>
      <w:r w:rsidRPr="00AA55F8">
        <w:t xml:space="preserve">that </w:t>
      </w:r>
      <w:r>
        <w:t xml:space="preserve">a reasonable customer would be confused about the </w:t>
      </w:r>
      <w:r w:rsidRPr="00AA55F8">
        <w:t xml:space="preserve">product’s </w:t>
      </w:r>
      <w:r>
        <w:t xml:space="preserve">[service’s] </w:t>
      </w:r>
      <w:r w:rsidRPr="00AA55F8">
        <w:t>source</w:t>
      </w:r>
      <w:r>
        <w:t xml:space="preserve">. </w:t>
      </w:r>
    </w:p>
    <w:p w14:paraId="78A448CA" w14:textId="5BC274A5" w:rsidR="00D93A22" w:rsidRDefault="00D93A22" w:rsidP="00D93A22">
      <w:pPr>
        <w:pStyle w:val="JuryInstructionText"/>
      </w:pPr>
      <w:r>
        <w:lastRenderedPageBreak/>
        <w:t>&lt;</w:t>
      </w:r>
      <w:r>
        <w:rPr>
          <w:b/>
          <w:bCs/>
          <w:i/>
          <w:iCs/>
        </w:rPr>
        <w:t>Alternative Instruction for “Palming Off”</w:t>
      </w:r>
      <w:r w:rsidRPr="00D93A22">
        <w:rPr>
          <w:rStyle w:val="FootnoteReference"/>
          <w:rFonts w:cs="Segoe UI Historic"/>
        </w:rPr>
        <w:t xml:space="preserve"> </w:t>
      </w:r>
      <w:r>
        <w:rPr>
          <w:rStyle w:val="FootnoteReference"/>
          <w:rFonts w:cs="Segoe UI Historic"/>
        </w:rPr>
        <w:footnoteReference w:id="4"/>
      </w:r>
      <w:r>
        <w:t xml:space="preserve">&gt; </w:t>
      </w:r>
      <w:r>
        <w:t xml:space="preserve">PLF does not have to show that </w:t>
      </w:r>
      <w:r w:rsidRPr="005D7F99">
        <w:t xml:space="preserve">the public recognizes </w:t>
      </w:r>
      <w:r>
        <w:t>PLF</w:t>
      </w:r>
      <w:r w:rsidRPr="005D7F99">
        <w:t xml:space="preserve">’s symbol [or other term used above] as identifying </w:t>
      </w:r>
      <w:r>
        <w:t>[his/hers/</w:t>
      </w:r>
      <w:r w:rsidRPr="005D7F99">
        <w:t>its</w:t>
      </w:r>
      <w:r>
        <w:t>]</w:t>
      </w:r>
      <w:r w:rsidRPr="005D7F99">
        <w:t xml:space="preserve"> products [services] and distinguishing them those of </w:t>
      </w:r>
      <w:r w:rsidRPr="00DA6A30">
        <w:t>other companies</w:t>
      </w:r>
      <w:r>
        <w:t xml:space="preserve"> </w:t>
      </w:r>
      <w:r w:rsidRPr="009C1803">
        <w:t xml:space="preserve">if </w:t>
      </w:r>
      <w:r>
        <w:t>[</w:t>
      </w:r>
      <w:r w:rsidRPr="009C1803">
        <w:t>he/she/it</w:t>
      </w:r>
      <w:r>
        <w:t>]</w:t>
      </w:r>
      <w:r w:rsidRPr="005D7F99">
        <w:t xml:space="preserve"> </w:t>
      </w:r>
      <w:r>
        <w:t xml:space="preserve">proves DFT </w:t>
      </w:r>
      <w:r w:rsidRPr="00AA55F8">
        <w:t>intentional</w:t>
      </w:r>
      <w:r>
        <w:t>ly copied the symbol [or other term used above] in order to mislead consumers about the source of the product [service]; in other words, if DFT tried to “palm off” [his/hers/its] product [service] as having been made [or other relevant term] by PLF</w:t>
      </w:r>
      <w:r>
        <w:t xml:space="preserve">. </w:t>
      </w:r>
      <w:r>
        <w:t>[perhaps the instruction should include a cross-reference to the definition of “intentional” – assuming that the General Instructions committee is drafting one – or perhaps we need a Civil Definitions instruction, as exists for the Dist. Ct. Model Crim. Instructions]</w:t>
      </w:r>
    </w:p>
    <w:p w14:paraId="1DD1012D" w14:textId="04054F4F" w:rsidR="00D93A22" w:rsidRDefault="00D93A22" w:rsidP="00D93A22">
      <w:pPr>
        <w:pStyle w:val="JuryInstructionText"/>
      </w:pPr>
      <w:bookmarkStart w:id="10" w:name="_Toc404328782"/>
      <w:bookmarkStart w:id="11" w:name="_Toc529873468"/>
      <w:r>
        <w:t>&lt;</w:t>
      </w:r>
      <w:r w:rsidRPr="00D93A22">
        <w:rPr>
          <w:b/>
          <w:bCs/>
          <w:i/>
          <w:iCs/>
        </w:rPr>
        <w:t>If applicable--</w:t>
      </w:r>
      <w:r w:rsidRPr="00D93A22">
        <w:rPr>
          <w:b/>
          <w:bCs/>
          <w:i/>
          <w:iCs/>
        </w:rPr>
        <w:t>Functional/Nonfunctional</w:t>
      </w:r>
      <w:bookmarkEnd w:id="10"/>
      <w:bookmarkEnd w:id="11"/>
      <w:r>
        <w:rPr>
          <w:rStyle w:val="FootnoteReference"/>
          <w:rFonts w:cs="Segoe UI Historic"/>
          <w:b w:val="0"/>
        </w:rPr>
        <w:footnoteReference w:id="5"/>
      </w:r>
      <w:r>
        <w:t xml:space="preserve">&gt; </w:t>
      </w:r>
      <w:r>
        <w:t>PLF must prove that, more likely than not, the symbol [or other term used above] did not serve a practical purpose</w:t>
      </w:r>
      <w:r>
        <w:t xml:space="preserve">. </w:t>
      </w:r>
      <w:r>
        <w:t>PLF cannot recover damages for unfair competition if PLF’s symbol [or other term used above] is essential to the product’s use or affects its quality or cost</w:t>
      </w:r>
      <w:r>
        <w:t xml:space="preserve">. </w:t>
      </w:r>
      <w:r>
        <w:t>A symbol [or other term used above] may serve a practical purpose if it makes it easier to manufacture the product or contributes to the product’s use, reliability, and ease of use</w:t>
      </w:r>
      <w:r>
        <w:t xml:space="preserve">. </w:t>
      </w:r>
      <w:r>
        <w:t>For example, the design of a dental implant serves a practical purpose when its size, shape, and materials are essential to the product’s use, quality, and cost.</w:t>
      </w:r>
      <w:r>
        <w:rPr>
          <w:rStyle w:val="FootnoteReference"/>
          <w:rFonts w:cs="Segoe UI Historic"/>
        </w:rPr>
        <w:footnoteReference w:id="6"/>
      </w:r>
      <w:r>
        <w:t xml:space="preserve"> </w:t>
      </w:r>
    </w:p>
    <w:p w14:paraId="7626DD22" w14:textId="1BE0BA0E" w:rsidR="00D93A22" w:rsidRPr="00AA55F8" w:rsidRDefault="00D93A22" w:rsidP="00D93A22">
      <w:pPr>
        <w:pStyle w:val="JuryInstructionText"/>
      </w:pPr>
      <w:r>
        <w:t>If you find PLF’s symbol (or other term as used above) served a practical purpose, DFT was free to use it</w:t>
      </w:r>
      <w:r>
        <w:t xml:space="preserve">. </w:t>
      </w:r>
    </w:p>
    <w:p w14:paraId="4BFE4D9F" w14:textId="77777777" w:rsidR="00D93A22" w:rsidRPr="0003586B" w:rsidRDefault="00D93A22" w:rsidP="00D93A22">
      <w:pPr>
        <w:pStyle w:val="JuryInst3"/>
      </w:pPr>
      <w:bookmarkStart w:id="12" w:name="_Toc404328784"/>
      <w:bookmarkStart w:id="13" w:name="_Toc529873470"/>
      <w:r w:rsidRPr="0003586B">
        <w:lastRenderedPageBreak/>
        <w:t>Damages</w:t>
      </w:r>
      <w:bookmarkEnd w:id="12"/>
      <w:bookmarkEnd w:id="13"/>
    </w:p>
    <w:p w14:paraId="75F4B8BB" w14:textId="5A6B68CD" w:rsidR="00D93A22" w:rsidRDefault="00D93A22" w:rsidP="00D93A22">
      <w:pPr>
        <w:pStyle w:val="JuryInstructionText"/>
      </w:pPr>
      <w:r w:rsidRPr="00AA55F8">
        <w:t xml:space="preserve">If </w:t>
      </w:r>
      <w:r>
        <w:t xml:space="preserve">PLF </w:t>
      </w:r>
      <w:r w:rsidRPr="00AA55F8">
        <w:t>has proved its claim for unfair competition, you may award damages</w:t>
      </w:r>
      <w:r>
        <w:t xml:space="preserve"> for the harm caused to PLF. </w:t>
      </w:r>
    </w:p>
    <w:p w14:paraId="485FD452" w14:textId="6E58A750" w:rsidR="00D93A22" w:rsidRDefault="00D93A22" w:rsidP="00D93A22">
      <w:pPr>
        <w:pStyle w:val="JuryInstructionText"/>
      </w:pPr>
      <w:r>
        <w:t>PLF</w:t>
      </w:r>
      <w:r w:rsidRPr="00B03D30">
        <w:t xml:space="preserve"> seeks damages for the value of the goodwill lost as a result DFT’s unfair competition</w:t>
      </w:r>
      <w:r>
        <w:t xml:space="preserve">. </w:t>
      </w:r>
      <w:r w:rsidRPr="00B03D30">
        <w:t>Goodwill is an employer’s favorable reputation and relationship</w:t>
      </w:r>
      <w:r>
        <w:t xml:space="preserve"> with</w:t>
      </w:r>
      <w:r w:rsidRPr="00B03D30">
        <w:t xml:space="preserve"> its customers</w:t>
      </w:r>
      <w:r>
        <w:t xml:space="preserve">. </w:t>
      </w:r>
      <w:r w:rsidRPr="00AA55F8">
        <w:t>The goodwill attached to a product</w:t>
      </w:r>
      <w:r>
        <w:t xml:space="preserve"> [service]</w:t>
      </w:r>
      <w:r w:rsidRPr="00AA55F8">
        <w:t xml:space="preserve"> is a part of the overall business va</w:t>
      </w:r>
      <w:r>
        <w:t>lue</w:t>
      </w:r>
      <w:r>
        <w:t xml:space="preserve">. </w:t>
      </w:r>
      <w:r>
        <w:t>PLF must prove that DFT injured his/her/</w:t>
      </w:r>
      <w:proofErr w:type="spellStart"/>
      <w:r>
        <w:t>its</w:t>
      </w:r>
      <w:proofErr w:type="spellEnd"/>
      <w:r w:rsidRPr="00AA55F8">
        <w:t xml:space="preserve"> goodwill either by injury to </w:t>
      </w:r>
      <w:r>
        <w:t>PLF’s</w:t>
      </w:r>
      <w:r w:rsidRPr="00AA55F8">
        <w:t xml:space="preserve"> general business reputation or by damage to the </w:t>
      </w:r>
      <w:r>
        <w:t xml:space="preserve">reputation of a </w:t>
      </w:r>
      <w:r w:rsidRPr="00AA55F8">
        <w:t>particular product</w:t>
      </w:r>
      <w:r>
        <w:t xml:space="preserve">. </w:t>
      </w:r>
      <w:r>
        <w:t>If so</w:t>
      </w:r>
      <w:r w:rsidRPr="00AA55F8">
        <w:t xml:space="preserve">, </w:t>
      </w:r>
      <w:r>
        <w:t>you should award damages to PLF</w:t>
      </w:r>
      <w:r>
        <w:t xml:space="preserve">. </w:t>
      </w:r>
      <w:r>
        <w:t xml:space="preserve">The </w:t>
      </w:r>
      <w:proofErr w:type="gramStart"/>
      <w:r>
        <w:t>amount</w:t>
      </w:r>
      <w:proofErr w:type="gramEnd"/>
      <w:r>
        <w:t xml:space="preserve"> of damages is the </w:t>
      </w:r>
      <w:r w:rsidRPr="00AA55F8">
        <w:t xml:space="preserve">difference between the value of </w:t>
      </w:r>
      <w:r>
        <w:t>the</w:t>
      </w:r>
      <w:r w:rsidRPr="00AA55F8">
        <w:t xml:space="preserve"> goodwill before and after </w:t>
      </w:r>
      <w:r>
        <w:t>DFT’s wrongful actions.</w:t>
      </w:r>
    </w:p>
    <w:p w14:paraId="1F612755" w14:textId="7340A363" w:rsidR="00D93A22" w:rsidRDefault="00D93A22" w:rsidP="00D93A22">
      <w:pPr>
        <w:pStyle w:val="JuryInstructionText"/>
      </w:pPr>
      <w:r>
        <w:t xml:space="preserve">You </w:t>
      </w:r>
      <w:r w:rsidRPr="00AA55F8">
        <w:t>may also consider other losses the</w:t>
      </w:r>
      <w:r>
        <w:t xml:space="preserve"> PLF</w:t>
      </w:r>
      <w:r w:rsidRPr="00AA55F8">
        <w:t xml:space="preserve"> suffered because of </w:t>
      </w:r>
      <w:r>
        <w:t xml:space="preserve">DFT’s </w:t>
      </w:r>
      <w:r w:rsidRPr="00AA55F8">
        <w:t>conduct, including lost profits.</w:t>
      </w:r>
      <w:r>
        <w:t xml:space="preserve"> [Alternatively: You may base your award on the amount by which DFT profited by using PLF’s symbol [or other term used above].</w:t>
      </w:r>
      <w:r w:rsidRPr="001F7CE6">
        <w:rPr>
          <w:rStyle w:val="FootnoteReference"/>
          <w:rFonts w:cs="Segoe UI Historic"/>
        </w:rPr>
        <w:t xml:space="preserve"> </w:t>
      </w:r>
      <w:r>
        <w:rPr>
          <w:rStyle w:val="FootnoteReference"/>
          <w:rFonts w:cs="Segoe UI Historic"/>
        </w:rPr>
        <w:footnoteReference w:id="7"/>
      </w:r>
    </w:p>
    <w:p w14:paraId="6D2E9DAD" w14:textId="6816A76F" w:rsidR="00D93A22" w:rsidRPr="00DF5186" w:rsidRDefault="00D93A22" w:rsidP="00D93A22">
      <w:pPr>
        <w:pStyle w:val="JuryInstructionText"/>
      </w:pPr>
      <w:r>
        <w:t xml:space="preserve">To determine the </w:t>
      </w:r>
      <w:proofErr w:type="gramStart"/>
      <w:r>
        <w:t>amount</w:t>
      </w:r>
      <w:proofErr w:type="gramEnd"/>
      <w:r>
        <w:t xml:space="preserve"> of</w:t>
      </w:r>
      <w:r w:rsidRPr="000305CB">
        <w:t xml:space="preserve"> lost profits,</w:t>
      </w:r>
      <w:r>
        <w:t xml:space="preserve"> first, determine </w:t>
      </w:r>
      <w:r w:rsidRPr="000305CB">
        <w:t>the</w:t>
      </w:r>
      <w:r>
        <w:t xml:space="preserve"> amount of sales PLF</w:t>
      </w:r>
      <w:r w:rsidRPr="000305CB">
        <w:t xml:space="preserve"> would have achieved but for the </w:t>
      </w:r>
      <w:r>
        <w:t>DFT’s unfair competition with PLF</w:t>
      </w:r>
      <w:r>
        <w:t xml:space="preserve">. </w:t>
      </w:r>
      <w:r>
        <w:t xml:space="preserve">Second, subtract </w:t>
      </w:r>
      <w:r w:rsidRPr="000305CB">
        <w:t xml:space="preserve">any costs and expenses that you find </w:t>
      </w:r>
      <w:r>
        <w:t>PLF</w:t>
      </w:r>
      <w:r w:rsidRPr="000305CB">
        <w:t xml:space="preserve"> would have incurred in </w:t>
      </w:r>
      <w:r>
        <w:t xml:space="preserve">making </w:t>
      </w:r>
      <w:r w:rsidRPr="000305CB">
        <w:t>those sales</w:t>
      </w:r>
      <w:r>
        <w:t>.</w:t>
      </w:r>
    </w:p>
    <w:p w14:paraId="21F33DD6" w14:textId="466A3358" w:rsidR="00B75859" w:rsidRPr="00B75859" w:rsidRDefault="00D93A22" w:rsidP="00B75859">
      <w:pPr>
        <w:pStyle w:val="JuryInstructionText"/>
      </w:pPr>
      <w:r>
        <w:t xml:space="preserve">If you decide that DFT did not cause any monetary damages to PLF [alternatively: DFT has not profited], you still must award some minimal damages such as </w:t>
      </w:r>
      <w:r w:rsidRPr="00AA55F8">
        <w:t>$1.</w:t>
      </w:r>
    </w:p>
    <w:sectPr w:rsidR="00B75859" w:rsidRPr="00B75859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AA13" w14:textId="77777777" w:rsidR="00900E4B" w:rsidRDefault="00900E4B" w:rsidP="00F74A90">
      <w:r>
        <w:separator/>
      </w:r>
    </w:p>
  </w:endnote>
  <w:endnote w:type="continuationSeparator" w:id="0">
    <w:p w14:paraId="67831DC5" w14:textId="77777777" w:rsidR="00900E4B" w:rsidRDefault="00900E4B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7991" w14:textId="77777777" w:rsidR="00900E4B" w:rsidRDefault="00900E4B" w:rsidP="00F74A90">
      <w:r>
        <w:separator/>
      </w:r>
    </w:p>
  </w:footnote>
  <w:footnote w:type="continuationSeparator" w:id="0">
    <w:p w14:paraId="3E41C61D" w14:textId="77777777" w:rsidR="00900E4B" w:rsidRDefault="00900E4B" w:rsidP="00F74A90">
      <w:r>
        <w:continuationSeparator/>
      </w:r>
    </w:p>
  </w:footnote>
  <w:footnote w:id="1">
    <w:p w14:paraId="17B6F289" w14:textId="0DC82144" w:rsidR="00D93A22" w:rsidRPr="001D4BDC" w:rsidRDefault="00D93A22" w:rsidP="00D93A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cs="Segoe UI Historic"/>
        </w:rPr>
        <w:t xml:space="preserve">See </w:t>
      </w:r>
      <w:r w:rsidRPr="00D93A22">
        <w:rPr>
          <w:rFonts w:cs="Segoe UI Historic"/>
          <w:i/>
          <w:iCs/>
        </w:rPr>
        <w:t xml:space="preserve">Planned Parenthood </w:t>
      </w:r>
      <w:proofErr w:type="spellStart"/>
      <w:r w:rsidRPr="00D93A22">
        <w:rPr>
          <w:rFonts w:cs="Segoe UI Historic"/>
          <w:i/>
          <w:iCs/>
        </w:rPr>
        <w:t>Fed’n</w:t>
      </w:r>
      <w:proofErr w:type="spellEnd"/>
      <w:r w:rsidRPr="00D93A22">
        <w:rPr>
          <w:rFonts w:cs="Segoe UI Historic"/>
          <w:i/>
          <w:iCs/>
        </w:rPr>
        <w:t xml:space="preserve"> of America</w:t>
      </w:r>
      <w:r w:rsidRPr="00D93A22">
        <w:rPr>
          <w:rFonts w:cs="Segoe UI Historic"/>
        </w:rPr>
        <w:t xml:space="preserve"> v. </w:t>
      </w:r>
      <w:r w:rsidRPr="00D93A22">
        <w:rPr>
          <w:rFonts w:cs="Segoe UI Historic"/>
          <w:i/>
          <w:iCs/>
        </w:rPr>
        <w:t>Problem Pregnancy of Worcester</w:t>
      </w:r>
      <w:r w:rsidRPr="00D93A22">
        <w:rPr>
          <w:rFonts w:cs="Segoe UI Historic"/>
        </w:rPr>
        <w:t xml:space="preserve">, 398 Mass. 480 (1986); </w:t>
      </w:r>
      <w:r w:rsidRPr="00D93A22">
        <w:rPr>
          <w:rFonts w:cs="Segoe UI Historic"/>
          <w:i/>
          <w:iCs/>
        </w:rPr>
        <w:t>Datacomm Interface, Inc.</w:t>
      </w:r>
      <w:r w:rsidRPr="00D93A22">
        <w:rPr>
          <w:rFonts w:cs="Segoe UI Historic"/>
        </w:rPr>
        <w:t xml:space="preserve"> v. </w:t>
      </w:r>
      <w:r w:rsidRPr="00D93A22">
        <w:rPr>
          <w:rFonts w:cs="Segoe UI Historic"/>
          <w:i/>
          <w:iCs/>
        </w:rPr>
        <w:t>Computerworld, Inc</w:t>
      </w:r>
      <w:r w:rsidRPr="00D93A22">
        <w:rPr>
          <w:rFonts w:cs="Segoe UI Historic"/>
        </w:rPr>
        <w:t>., 396 Mass. 760, 769 (1986).</w:t>
      </w:r>
    </w:p>
  </w:footnote>
  <w:footnote w:id="2">
    <w:p w14:paraId="60833F52" w14:textId="7A9E42E7" w:rsidR="00D93A22" w:rsidRPr="00C53F63" w:rsidRDefault="00D93A22" w:rsidP="00D93A22">
      <w:pPr>
        <w:pStyle w:val="FootnoteText"/>
      </w:pPr>
      <w:r w:rsidRPr="00C53F63">
        <w:rPr>
          <w:rStyle w:val="FootnoteReference"/>
          <w:rFonts w:cs="Segoe UI Historic"/>
        </w:rPr>
        <w:footnoteRef/>
      </w:r>
      <w:r w:rsidRPr="00C53F63">
        <w:t xml:space="preserve"> </w:t>
      </w:r>
      <w:r>
        <w:tab/>
        <w:t xml:space="preserve">See </w:t>
      </w:r>
      <w:r w:rsidRPr="00B475D3">
        <w:rPr>
          <w:i/>
        </w:rPr>
        <w:t>Boston Duck Tours, LP</w:t>
      </w:r>
      <w:r w:rsidRPr="00C53F63">
        <w:t xml:space="preserve"> v. </w:t>
      </w:r>
      <w:r w:rsidRPr="00B475D3">
        <w:rPr>
          <w:i/>
        </w:rPr>
        <w:t>Super Duck Tours, LLC,</w:t>
      </w:r>
      <w:r w:rsidRPr="00C53F63">
        <w:t xml:space="preserve"> 531 F.3d 1, 12 (1st Cir. 2008)</w:t>
      </w:r>
      <w:r>
        <w:t>;</w:t>
      </w:r>
      <w:r w:rsidRPr="00C53F63">
        <w:t xml:space="preserve"> </w:t>
      </w:r>
      <w:proofErr w:type="spellStart"/>
      <w:r w:rsidRPr="00B475D3">
        <w:rPr>
          <w:i/>
        </w:rPr>
        <w:t>Castricone</w:t>
      </w:r>
      <w:proofErr w:type="spellEnd"/>
      <w:r w:rsidRPr="00C53F63">
        <w:t xml:space="preserve"> v. </w:t>
      </w:r>
      <w:proofErr w:type="spellStart"/>
      <w:r w:rsidRPr="00B475D3">
        <w:rPr>
          <w:i/>
        </w:rPr>
        <w:t>Mical</w:t>
      </w:r>
      <w:proofErr w:type="spellEnd"/>
      <w:r w:rsidRPr="00C53F63">
        <w:t xml:space="preserve">, 74 Mass. App. Ct. 591, 594 (2009); </w:t>
      </w:r>
      <w:r w:rsidRPr="00B475D3">
        <w:rPr>
          <w:i/>
        </w:rPr>
        <w:t xml:space="preserve">Planned Parenthood </w:t>
      </w:r>
      <w:proofErr w:type="spellStart"/>
      <w:r w:rsidRPr="00B475D3">
        <w:rPr>
          <w:i/>
        </w:rPr>
        <w:t>Fed’n</w:t>
      </w:r>
      <w:proofErr w:type="spellEnd"/>
      <w:r w:rsidRPr="00B475D3">
        <w:rPr>
          <w:i/>
        </w:rPr>
        <w:t xml:space="preserve"> of Am., Inc.</w:t>
      </w:r>
      <w:r w:rsidRPr="00C53F63">
        <w:t xml:space="preserve"> v. </w:t>
      </w:r>
      <w:r w:rsidRPr="00B475D3">
        <w:rPr>
          <w:i/>
        </w:rPr>
        <w:t xml:space="preserve">Problem Pregnancy of Worcester, Inc., </w:t>
      </w:r>
      <w:r w:rsidRPr="00C53F63">
        <w:t>398 Mass. 480, 485</w:t>
      </w:r>
      <w:r>
        <w:t>–4</w:t>
      </w:r>
      <w:r w:rsidRPr="00C53F63">
        <w:t xml:space="preserve">96 (1986) (citing 1 J. T. McCarthy, McCarthy on Trademarks and Unfair Competition § 15:1(A) (2d ed.1974)); </w:t>
      </w:r>
      <w:r w:rsidRPr="00B475D3">
        <w:rPr>
          <w:i/>
        </w:rPr>
        <w:t>Paramount Beverage Co.</w:t>
      </w:r>
      <w:r w:rsidRPr="00C53F63">
        <w:t xml:space="preserve"> v. </w:t>
      </w:r>
      <w:r w:rsidRPr="00B475D3">
        <w:rPr>
          <w:i/>
        </w:rPr>
        <w:t>Davis Sq. Liquors, Inc.,</w:t>
      </w:r>
      <w:r w:rsidRPr="00C53F63">
        <w:t xml:space="preserve"> 354 Mass. 272, 274 (1968</w:t>
      </w:r>
      <w:r>
        <w:t>).</w:t>
      </w:r>
    </w:p>
  </w:footnote>
  <w:footnote w:id="3">
    <w:p w14:paraId="26211D8F" w14:textId="77777777" w:rsidR="00D93A22" w:rsidRPr="00DA6A30" w:rsidRDefault="00D93A22" w:rsidP="00D93A22">
      <w:pPr>
        <w:pStyle w:val="FootnoteText"/>
      </w:pPr>
      <w:r w:rsidRPr="00970664">
        <w:rPr>
          <w:b/>
          <w:vertAlign w:val="superscript"/>
        </w:rPr>
        <w:footnoteRef/>
      </w:r>
      <w:r w:rsidRPr="00970664">
        <w:rPr>
          <w:b/>
        </w:rPr>
        <w:t xml:space="preserve"> </w:t>
      </w:r>
      <w:r>
        <w:tab/>
      </w:r>
      <w:r w:rsidRPr="00B475D3">
        <w:rPr>
          <w:i/>
        </w:rPr>
        <w:t>Monroe Stationers &amp; Printers, Inc.</w:t>
      </w:r>
      <w:r w:rsidRPr="00DA6A30">
        <w:t xml:space="preserve"> v. </w:t>
      </w:r>
      <w:r w:rsidRPr="00B475D3">
        <w:rPr>
          <w:i/>
        </w:rPr>
        <w:t>Munroe Stationers, Inc.,</w:t>
      </w:r>
      <w:r w:rsidRPr="00DA6A30">
        <w:t xml:space="preserve"> 332 Mass. 278, 280 (1955)</w:t>
      </w:r>
      <w:r>
        <w:t>.</w:t>
      </w:r>
    </w:p>
  </w:footnote>
  <w:footnote w:id="4">
    <w:p w14:paraId="188EF589" w14:textId="58AA89EE" w:rsidR="00D93A22" w:rsidRPr="007C40D4" w:rsidRDefault="00D93A22" w:rsidP="00D93A22">
      <w:pPr>
        <w:pStyle w:val="FootnoteText"/>
      </w:pPr>
      <w:r w:rsidRPr="009C1803">
        <w:rPr>
          <w:rStyle w:val="FootnoteReference"/>
          <w:rFonts w:cs="Segoe UI Historic"/>
        </w:rPr>
        <w:footnoteRef/>
      </w:r>
      <w:r>
        <w:t xml:space="preserve"> </w:t>
      </w:r>
      <w:r>
        <w:tab/>
      </w:r>
      <w:r w:rsidRPr="007C40D4">
        <w:t xml:space="preserve">See </w:t>
      </w:r>
      <w:r w:rsidRPr="00B475D3">
        <w:rPr>
          <w:i/>
        </w:rPr>
        <w:t>Datacom Interface, Inc.</w:t>
      </w:r>
      <w:r w:rsidRPr="007C40D4">
        <w:t xml:space="preserve"> v. </w:t>
      </w:r>
      <w:r w:rsidRPr="00B475D3">
        <w:rPr>
          <w:i/>
        </w:rPr>
        <w:t>Computer World, Inc.,</w:t>
      </w:r>
      <w:r w:rsidRPr="007C40D4">
        <w:t xml:space="preserve"> 396 Mass. 760 (1986)</w:t>
      </w:r>
      <w:r>
        <w:t xml:space="preserve">. </w:t>
      </w:r>
      <w:r w:rsidRPr="007C40D4">
        <w:t xml:space="preserve">See also </w:t>
      </w:r>
      <w:r w:rsidRPr="00B475D3">
        <w:rPr>
          <w:i/>
        </w:rPr>
        <w:t>Shire City Herbals, Inc.</w:t>
      </w:r>
      <w:r w:rsidRPr="007C40D4">
        <w:t xml:space="preserve"> v. </w:t>
      </w:r>
      <w:r w:rsidRPr="00B475D3">
        <w:rPr>
          <w:i/>
        </w:rPr>
        <w:t>Blue,</w:t>
      </w:r>
      <w:r w:rsidRPr="007C40D4">
        <w:t xml:space="preserve"> 410 F. Supp. 3d 270 (2019). </w:t>
      </w:r>
    </w:p>
  </w:footnote>
  <w:footnote w:id="5">
    <w:p w14:paraId="0EF130D5" w14:textId="71CD60BE" w:rsidR="00D93A22" w:rsidRPr="001B72AF" w:rsidRDefault="00D93A22" w:rsidP="00D93A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The Massachusetts state courts have not addressed whether the plaintiff has the burden of proving functionality or if it is an affirmative defense to proven by the defendant</w:t>
      </w:r>
      <w:r>
        <w:t xml:space="preserve">. </w:t>
      </w:r>
      <w:r>
        <w:t>While there is a split of authority in the federal courts, the majority, including the First Circuit, place the burden on the plaintiff</w:t>
      </w:r>
      <w:r>
        <w:t xml:space="preserve">. </w:t>
      </w:r>
      <w:r>
        <w:t xml:space="preserve">See e.g. </w:t>
      </w:r>
      <w:r>
        <w:rPr>
          <w:i/>
        </w:rPr>
        <w:t>I.P. Lund Trading Aps</w:t>
      </w:r>
      <w:r>
        <w:t xml:space="preserve"> v. </w:t>
      </w:r>
      <w:r>
        <w:rPr>
          <w:i/>
        </w:rPr>
        <w:t>Kohler Co.</w:t>
      </w:r>
      <w:r>
        <w:t>, 163 F.3d 27, 37</w:t>
      </w:r>
      <w:r>
        <w:t>–</w:t>
      </w:r>
      <w:r>
        <w:t>38 (1st Cir. 1998). See generally, The Burden of Proof in Determinations of Trade Dress Functionality, 88</w:t>
      </w:r>
      <w:r>
        <w:t> </w:t>
      </w:r>
      <w:r>
        <w:t>Trademark Rep. 325, 329 (1998)</w:t>
      </w:r>
      <w:r>
        <w:t xml:space="preserve">. </w:t>
      </w:r>
    </w:p>
  </w:footnote>
  <w:footnote w:id="6">
    <w:p w14:paraId="55EB02CA" w14:textId="77777777" w:rsidR="00D93A22" w:rsidRPr="007C40D4" w:rsidRDefault="00D93A22" w:rsidP="00D93A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Pr="00B475D3">
        <w:rPr>
          <w:i/>
        </w:rPr>
        <w:t>Staumann</w:t>
      </w:r>
      <w:proofErr w:type="spellEnd"/>
      <w:r w:rsidRPr="00B475D3">
        <w:rPr>
          <w:i/>
        </w:rPr>
        <w:t xml:space="preserve"> Cr.</w:t>
      </w:r>
      <w:r w:rsidRPr="007C40D4">
        <w:t xml:space="preserve"> </w:t>
      </w:r>
      <w:r>
        <w:t>v</w:t>
      </w:r>
      <w:r w:rsidRPr="007C40D4">
        <w:t xml:space="preserve">. </w:t>
      </w:r>
      <w:proofErr w:type="spellStart"/>
      <w:r w:rsidRPr="00B475D3">
        <w:rPr>
          <w:i/>
        </w:rPr>
        <w:t>Lifecore</w:t>
      </w:r>
      <w:proofErr w:type="spellEnd"/>
      <w:r w:rsidRPr="00B475D3">
        <w:rPr>
          <w:i/>
        </w:rPr>
        <w:t xml:space="preserve"> Biomedical, Inc.,</w:t>
      </w:r>
      <w:r w:rsidRPr="007C40D4">
        <w:t xml:space="preserve"> 278 F. Supp. 2d 130, 137 (D. Mass. 2003).</w:t>
      </w:r>
    </w:p>
  </w:footnote>
  <w:footnote w:id="7">
    <w:p w14:paraId="33D6EE0E" w14:textId="4F300F91" w:rsidR="00D93A22" w:rsidRPr="00B03D30" w:rsidRDefault="00D93A22" w:rsidP="00D93A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B03D30">
        <w:rPr>
          <w:i/>
        </w:rPr>
        <w:t xml:space="preserve">Jet Spray Cooler </w:t>
      </w:r>
      <w:r w:rsidRPr="00B475D3">
        <w:t>v.</w:t>
      </w:r>
      <w:r w:rsidRPr="00B03D30">
        <w:rPr>
          <w:i/>
        </w:rPr>
        <w:t xml:space="preserve"> Crampton</w:t>
      </w:r>
      <w:r>
        <w:t>, 377 Mass. 159, 169</w:t>
      </w:r>
      <w:r>
        <w:t>–</w:t>
      </w:r>
      <w:r>
        <w:t>170 (1979).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601A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2CC8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36B6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7C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68866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1A75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7A40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2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FA3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3C2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0377"/>
    <w:multiLevelType w:val="multilevel"/>
    <w:tmpl w:val="D6EA8F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b/>
        <w:i w:val="0"/>
      </w:rPr>
    </w:lvl>
    <w:lvl w:ilvl="5">
      <w:start w:val="1"/>
      <w:numFmt w:val="none"/>
      <w:lvlText w:val="%6."/>
      <w:lvlJc w:val="left"/>
      <w:pPr>
        <w:tabs>
          <w:tab w:val="num" w:pos="2520"/>
        </w:tabs>
        <w:ind w:left="2520" w:hanging="72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11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3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233807590">
    <w:abstractNumId w:val="13"/>
  </w:num>
  <w:num w:numId="2" w16cid:durableId="1481769371">
    <w:abstractNumId w:val="12"/>
  </w:num>
  <w:num w:numId="3" w16cid:durableId="1650790157">
    <w:abstractNumId w:val="0"/>
  </w:num>
  <w:num w:numId="4" w16cid:durableId="1326545875">
    <w:abstractNumId w:val="1"/>
  </w:num>
  <w:num w:numId="5" w16cid:durableId="686440957">
    <w:abstractNumId w:val="2"/>
  </w:num>
  <w:num w:numId="6" w16cid:durableId="896429915">
    <w:abstractNumId w:val="3"/>
  </w:num>
  <w:num w:numId="7" w16cid:durableId="1601984007">
    <w:abstractNumId w:val="8"/>
  </w:num>
  <w:num w:numId="8" w16cid:durableId="1262566969">
    <w:abstractNumId w:val="4"/>
  </w:num>
  <w:num w:numId="9" w16cid:durableId="1734959820">
    <w:abstractNumId w:val="5"/>
  </w:num>
  <w:num w:numId="10" w16cid:durableId="1759132615">
    <w:abstractNumId w:val="6"/>
  </w:num>
  <w:num w:numId="11" w16cid:durableId="977104947">
    <w:abstractNumId w:val="7"/>
  </w:num>
  <w:num w:numId="12" w16cid:durableId="1807969251">
    <w:abstractNumId w:val="9"/>
  </w:num>
  <w:num w:numId="13" w16cid:durableId="2082021466">
    <w:abstractNumId w:val="12"/>
  </w:num>
  <w:num w:numId="14" w16cid:durableId="1766268578">
    <w:abstractNumId w:val="11"/>
  </w:num>
  <w:num w:numId="15" w16cid:durableId="79556466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doNotDisplayPageBoundaries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08DB"/>
    <w:rsid w:val="000B7B9E"/>
    <w:rsid w:val="000D70C6"/>
    <w:rsid w:val="000E7622"/>
    <w:rsid w:val="0010739E"/>
    <w:rsid w:val="00130F23"/>
    <w:rsid w:val="0017397B"/>
    <w:rsid w:val="001B7748"/>
    <w:rsid w:val="001C5FA5"/>
    <w:rsid w:val="001D701D"/>
    <w:rsid w:val="001E2162"/>
    <w:rsid w:val="00221552"/>
    <w:rsid w:val="00257345"/>
    <w:rsid w:val="00294F89"/>
    <w:rsid w:val="002A2C60"/>
    <w:rsid w:val="00303039"/>
    <w:rsid w:val="00420329"/>
    <w:rsid w:val="004848CB"/>
    <w:rsid w:val="004859F0"/>
    <w:rsid w:val="004A3BE2"/>
    <w:rsid w:val="00516C98"/>
    <w:rsid w:val="005446C0"/>
    <w:rsid w:val="00550249"/>
    <w:rsid w:val="00594672"/>
    <w:rsid w:val="00596E5A"/>
    <w:rsid w:val="006254D4"/>
    <w:rsid w:val="00676B44"/>
    <w:rsid w:val="007E7B77"/>
    <w:rsid w:val="00834E34"/>
    <w:rsid w:val="008733AA"/>
    <w:rsid w:val="00880AA6"/>
    <w:rsid w:val="00900E4B"/>
    <w:rsid w:val="0094500B"/>
    <w:rsid w:val="00992410"/>
    <w:rsid w:val="00996339"/>
    <w:rsid w:val="009B481F"/>
    <w:rsid w:val="00A05B86"/>
    <w:rsid w:val="00A164C0"/>
    <w:rsid w:val="00A2789E"/>
    <w:rsid w:val="00A55E4E"/>
    <w:rsid w:val="00A56498"/>
    <w:rsid w:val="00A679E4"/>
    <w:rsid w:val="00A76145"/>
    <w:rsid w:val="00A917A4"/>
    <w:rsid w:val="00A95EAD"/>
    <w:rsid w:val="00AF6831"/>
    <w:rsid w:val="00B02468"/>
    <w:rsid w:val="00B2579A"/>
    <w:rsid w:val="00B520AB"/>
    <w:rsid w:val="00B75859"/>
    <w:rsid w:val="00BE7335"/>
    <w:rsid w:val="00BF0717"/>
    <w:rsid w:val="00BF08B5"/>
    <w:rsid w:val="00C43AEF"/>
    <w:rsid w:val="00C5670C"/>
    <w:rsid w:val="00CD7576"/>
    <w:rsid w:val="00D71FE5"/>
    <w:rsid w:val="00D8732A"/>
    <w:rsid w:val="00D9196F"/>
    <w:rsid w:val="00D93A22"/>
    <w:rsid w:val="00DA1645"/>
    <w:rsid w:val="00DB6604"/>
    <w:rsid w:val="00DC61A7"/>
    <w:rsid w:val="00E174B0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Kenneth W Salinger</cp:lastModifiedBy>
  <cp:revision>3</cp:revision>
  <dcterms:created xsi:type="dcterms:W3CDTF">2022-12-12T21:18:00Z</dcterms:created>
  <dcterms:modified xsi:type="dcterms:W3CDTF">2022-12-12T21:24:00Z</dcterms:modified>
</cp:coreProperties>
</file>