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C92AE" w14:textId="4527DFDA" w:rsidR="002B7ABB" w:rsidRPr="005D4166" w:rsidRDefault="002B7ABB" w:rsidP="002B7ABB">
      <w:pPr>
        <w:pStyle w:val="JuryInstructionText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Publication Date: </w:t>
      </w:r>
      <w:r w:rsidR="00BF75BC">
        <w:rPr>
          <w:i/>
          <w:iCs/>
          <w:sz w:val="24"/>
          <w:szCs w:val="24"/>
        </w:rPr>
        <w:t>January 5, 2022</w:t>
      </w:r>
    </w:p>
    <w:p w14:paraId="381E6878" w14:textId="77777777" w:rsidR="00B83101" w:rsidRDefault="00B83101" w:rsidP="002223AA">
      <w:pPr>
        <w:pStyle w:val="JuryInst1"/>
      </w:pPr>
      <w:r>
        <w:t>Vicarious Liability</w:t>
      </w:r>
      <w:r w:rsidRPr="000124CA">
        <w:t>.</w:t>
      </w:r>
    </w:p>
    <w:p w14:paraId="019A9D10" w14:textId="2AEF4A5D" w:rsidR="00B83101" w:rsidRPr="00A51C32" w:rsidRDefault="00B83101" w:rsidP="002223AA">
      <w:pPr>
        <w:pStyle w:val="JuryInst3"/>
      </w:pPr>
      <w:bookmarkStart w:id="0" w:name="_Toc529873477"/>
      <w:bookmarkStart w:id="1" w:name="_Toc404328792"/>
      <w:r w:rsidRPr="00A51C32">
        <w:t xml:space="preserve">Vicarious Liability </w:t>
      </w:r>
      <w:bookmarkEnd w:id="0"/>
      <w:bookmarkEnd w:id="1"/>
      <w:r w:rsidR="002223AA">
        <w:t>for Agent</w:t>
      </w:r>
    </w:p>
    <w:p w14:paraId="23881DA5" w14:textId="2A166893" w:rsidR="00B83101" w:rsidRPr="00A51C32" w:rsidRDefault="00B83101" w:rsidP="00B83101">
      <w:pPr>
        <w:pStyle w:val="JuryInstructionText"/>
      </w:pPr>
      <w:r w:rsidRPr="00A51C32">
        <w:t xml:space="preserve">PLF claims that </w:t>
      </w:r>
      <w:r w:rsidR="00852AD2">
        <w:t xml:space="preserve">AGT </w:t>
      </w:r>
      <w:r w:rsidRPr="00A51C32">
        <w:t xml:space="preserve">[name of agent] was </w:t>
      </w:r>
      <w:r>
        <w:t xml:space="preserve">acting on DFT’s behalf, and </w:t>
      </w:r>
      <w:r w:rsidR="0044448B">
        <w:t xml:space="preserve">that </w:t>
      </w:r>
      <w:r w:rsidRPr="00A51C32">
        <w:t xml:space="preserve">DFT is legally responsible for </w:t>
      </w:r>
      <w:r w:rsidR="00BF75BC">
        <w:t xml:space="preserve">AGT’s </w:t>
      </w:r>
      <w:r w:rsidRPr="00A51C32">
        <w:t>actions or inaction</w:t>
      </w:r>
      <w:r w:rsidR="0044448B">
        <w:t>.</w:t>
      </w:r>
      <w:r w:rsidR="00BF75BC">
        <w:t xml:space="preserve"> </w:t>
      </w:r>
      <w:r w:rsidRPr="00A51C32">
        <w:t>So, for each of PLF’s claims of ____________, you must consider whether</w:t>
      </w:r>
      <w:r>
        <w:t xml:space="preserve"> PLF has proved that</w:t>
      </w:r>
      <w:r w:rsidRPr="00A51C32">
        <w:t xml:space="preserve"> </w:t>
      </w:r>
      <w:r w:rsidR="00852AD2">
        <w:t xml:space="preserve">AGT </w:t>
      </w:r>
      <w:r w:rsidRPr="00A51C32">
        <w:t>acted as DFT’s agent</w:t>
      </w:r>
      <w:r w:rsidR="0044448B">
        <w:t xml:space="preserve">, </w:t>
      </w:r>
      <w:proofErr w:type="gramStart"/>
      <w:r w:rsidR="0044448B">
        <w:t>and also</w:t>
      </w:r>
      <w:proofErr w:type="gramEnd"/>
      <w:r w:rsidR="0044448B">
        <w:t xml:space="preserve"> that </w:t>
      </w:r>
      <w:r w:rsidR="00852AD2">
        <w:t>AGT had or appeared to have authority to act on DFT’s behalf with respect to conduct at issue in this case</w:t>
      </w:r>
      <w:r w:rsidRPr="00A51C32">
        <w:t>.</w:t>
      </w:r>
    </w:p>
    <w:p w14:paraId="37E60A93" w14:textId="35C61B3F" w:rsidR="00B83101" w:rsidRPr="00A51C32" w:rsidRDefault="00B83101" w:rsidP="00B83101">
      <w:pPr>
        <w:pStyle w:val="JuryInstructionText"/>
      </w:pPr>
      <w:r w:rsidRPr="00A51C32">
        <w:t xml:space="preserve">PLF must prove that </w:t>
      </w:r>
      <w:r>
        <w:t xml:space="preserve">it </w:t>
      </w:r>
      <w:r w:rsidRPr="00A51C32">
        <w:t xml:space="preserve">is more likely true than not that DFT and </w:t>
      </w:r>
      <w:r w:rsidR="00852AD2">
        <w:t xml:space="preserve">AGT </w:t>
      </w:r>
      <w:r w:rsidRPr="00A51C32">
        <w:t xml:space="preserve">agreed that </w:t>
      </w:r>
      <w:r w:rsidR="00852AD2">
        <w:t xml:space="preserve">AGT </w:t>
      </w:r>
      <w:r w:rsidRPr="00A51C32">
        <w:t>would act as DFT’s agent. The agreement can be written or oral</w:t>
      </w:r>
      <w:r>
        <w:t>,</w:t>
      </w:r>
      <w:r w:rsidRPr="00A51C32">
        <w:t xml:space="preserve"> or it can be implied from the circumstances.</w:t>
      </w:r>
      <w:r w:rsidRPr="00A51C32">
        <w:rPr>
          <w:rStyle w:val="FootnoteReference"/>
          <w:bCs/>
        </w:rPr>
        <w:footnoteReference w:id="1"/>
      </w:r>
    </w:p>
    <w:p w14:paraId="52DB86A9" w14:textId="00E62C82" w:rsidR="00B83101" w:rsidRPr="00A51C32" w:rsidRDefault="00B83101" w:rsidP="00B83101">
      <w:pPr>
        <w:pStyle w:val="JuryInstructionText"/>
      </w:pPr>
      <w:r w:rsidRPr="00A51C32">
        <w:t>If you determine that</w:t>
      </w:r>
      <w:r w:rsidR="00852AD2">
        <w:t xml:space="preserve"> AGT</w:t>
      </w:r>
      <w:r w:rsidRPr="00A51C32">
        <w:t xml:space="preserve"> acted as DFT’s agent, you will also need to determine if </w:t>
      </w:r>
      <w:r w:rsidR="00852AD2">
        <w:t xml:space="preserve">AGT </w:t>
      </w:r>
      <w:r w:rsidRPr="00A51C32">
        <w:t>acted with DFT’s authority in this case. An agent</w:t>
      </w:r>
      <w:r w:rsidR="00852AD2">
        <w:t xml:space="preserve"> </w:t>
      </w:r>
      <w:r w:rsidRPr="00A51C32">
        <w:t xml:space="preserve">may act with either actual authority or apparent authority. You must determine whether it is more likely than not that </w:t>
      </w:r>
      <w:r w:rsidR="00852AD2">
        <w:t xml:space="preserve">AGT </w:t>
      </w:r>
      <w:r w:rsidRPr="00A51C32">
        <w:t xml:space="preserve">acted with DFT’s actual authority or apparent authority </w:t>
      </w:r>
      <w:proofErr w:type="gramStart"/>
      <w:r w:rsidRPr="00A51C32">
        <w:t>in order to</w:t>
      </w:r>
      <w:proofErr w:type="gramEnd"/>
      <w:r w:rsidRPr="00A51C32">
        <w:t xml:space="preserve"> determine </w:t>
      </w:r>
      <w:r w:rsidR="00E81A02">
        <w:t>whether</w:t>
      </w:r>
      <w:r w:rsidRPr="00A51C32">
        <w:t xml:space="preserve"> DFT is responsible for </w:t>
      </w:r>
      <w:r w:rsidR="00852AD2">
        <w:t xml:space="preserve">AGT’s </w:t>
      </w:r>
      <w:r>
        <w:t xml:space="preserve">actions or </w:t>
      </w:r>
      <w:r w:rsidR="00852AD2">
        <w:t>in</w:t>
      </w:r>
      <w:r>
        <w:t>actions.</w:t>
      </w:r>
      <w:r w:rsidRPr="00A51C32">
        <w:t xml:space="preserve"> </w:t>
      </w:r>
    </w:p>
    <w:p w14:paraId="4AC9D863" w14:textId="24AE1558" w:rsidR="00B83101" w:rsidRPr="00A51C32" w:rsidRDefault="00B83101" w:rsidP="00B83101">
      <w:pPr>
        <w:pStyle w:val="JuryInstructionText"/>
      </w:pPr>
      <w:r>
        <w:t xml:space="preserve">To show that </w:t>
      </w:r>
      <w:r w:rsidR="00852AD2">
        <w:t xml:space="preserve">AGT </w:t>
      </w:r>
      <w:r>
        <w:t>acted with DFT’s a</w:t>
      </w:r>
      <w:r w:rsidRPr="00A51C32">
        <w:t>ctual authority</w:t>
      </w:r>
      <w:r>
        <w:t>, PLF must show that</w:t>
      </w:r>
      <w:r w:rsidRPr="00A51C32">
        <w:t xml:space="preserve"> DFT explicitly or implicitly </w:t>
      </w:r>
      <w:r>
        <w:t>– that is, through words or behavior – gave</w:t>
      </w:r>
      <w:r w:rsidR="00852AD2">
        <w:t xml:space="preserve"> AGT</w:t>
      </w:r>
      <w:r>
        <w:t xml:space="preserve"> permission </w:t>
      </w:r>
      <w:r w:rsidRPr="00A51C32">
        <w:t>to act</w:t>
      </w:r>
      <w:r>
        <w:t xml:space="preserve"> on DFT’s behalf.</w:t>
      </w:r>
      <w:r w:rsidRPr="00A51C32">
        <w:t xml:space="preserve"> </w:t>
      </w:r>
      <w:r>
        <w:t>To show that</w:t>
      </w:r>
      <w:r w:rsidR="00852AD2">
        <w:t xml:space="preserve"> AGT</w:t>
      </w:r>
      <w:r>
        <w:t xml:space="preserve"> acted with DFT’s a</w:t>
      </w:r>
      <w:r w:rsidRPr="00A51C32">
        <w:t>pparent authority</w:t>
      </w:r>
      <w:r>
        <w:t>, PLF must show</w:t>
      </w:r>
      <w:r w:rsidRPr="00A51C32">
        <w:t xml:space="preserve"> that </w:t>
      </w:r>
      <w:r>
        <w:t xml:space="preserve">DFT said or did something to indicate to others </w:t>
      </w:r>
      <w:r w:rsidRPr="00A51C32">
        <w:t xml:space="preserve">that </w:t>
      </w:r>
      <w:r w:rsidR="00852AD2">
        <w:t xml:space="preserve">AGT </w:t>
      </w:r>
      <w:r>
        <w:t>was acting on DFT’s behalf</w:t>
      </w:r>
      <w:r w:rsidRPr="00A51C32">
        <w:t xml:space="preserve">. </w:t>
      </w:r>
      <w:r w:rsidRPr="00A51C32">
        <w:rPr>
          <w:rStyle w:val="FootnoteReference"/>
          <w:bCs/>
        </w:rPr>
        <w:footnoteReference w:id="2"/>
      </w:r>
      <w:r w:rsidRPr="00A51C32">
        <w:rPr>
          <w:bCs/>
          <w:vertAlign w:val="superscript"/>
        </w:rPr>
        <w:t xml:space="preserve"> </w:t>
      </w:r>
      <w:r w:rsidRPr="00A51C32">
        <w:t xml:space="preserve"> </w:t>
      </w:r>
    </w:p>
    <w:p w14:paraId="3C7F2362" w14:textId="1CC28758" w:rsidR="00B83101" w:rsidRPr="00A51C32" w:rsidRDefault="00B83101" w:rsidP="00AE37FE">
      <w:pPr>
        <w:pStyle w:val="JuryInstructionText"/>
      </w:pPr>
      <w:r w:rsidRPr="00A51C32">
        <w:t xml:space="preserve">If you decide that </w:t>
      </w:r>
      <w:r w:rsidR="00852AD2">
        <w:t xml:space="preserve">AGT </w:t>
      </w:r>
      <w:r w:rsidR="00AE37FE">
        <w:t xml:space="preserve">was acting as DFT’s agent in connection with the events alleged in this case, and you also find that </w:t>
      </w:r>
      <w:r w:rsidR="00852AD2">
        <w:t xml:space="preserve">AGT </w:t>
      </w:r>
      <w:r w:rsidRPr="00A51C32">
        <w:t xml:space="preserve">had actual or </w:t>
      </w:r>
      <w:r w:rsidRPr="00A51C32">
        <w:lastRenderedPageBreak/>
        <w:t xml:space="preserve">apparent authority to act on behalf of DFT, then DFT is responsible for things that </w:t>
      </w:r>
      <w:r w:rsidR="00852AD2">
        <w:t xml:space="preserve">AGT </w:t>
      </w:r>
      <w:r w:rsidRPr="00A51C32">
        <w:t>said</w:t>
      </w:r>
      <w:r>
        <w:t xml:space="preserve">, </w:t>
      </w:r>
      <w:r w:rsidRPr="00A51C32">
        <w:t>did</w:t>
      </w:r>
      <w:r>
        <w:t>, or didn’t do</w:t>
      </w:r>
      <w:r w:rsidRPr="00A51C32">
        <w:t xml:space="preserve"> on DFT’s behalf.</w:t>
      </w:r>
    </w:p>
    <w:p w14:paraId="747D4323" w14:textId="77777777" w:rsidR="00B83101" w:rsidRPr="00A51C32" w:rsidRDefault="00B83101" w:rsidP="002223AA">
      <w:pPr>
        <w:pStyle w:val="JuryInst3"/>
      </w:pPr>
      <w:bookmarkStart w:id="2" w:name="_Toc529873478"/>
      <w:bookmarkStart w:id="3" w:name="_Toc404328793"/>
      <w:r w:rsidRPr="00A51C32">
        <w:t>Vicarious Liability – Partnership</w:t>
      </w:r>
    </w:p>
    <w:p w14:paraId="04857C12" w14:textId="77777777" w:rsidR="00B83101" w:rsidRDefault="00B83101" w:rsidP="00B83101">
      <w:pPr>
        <w:pStyle w:val="JuryInstructionText"/>
      </w:pPr>
      <w:r>
        <w:t>&lt;</w:t>
      </w:r>
      <w:r>
        <w:rPr>
          <w:b/>
          <w:bCs/>
          <w:i/>
          <w:iCs/>
        </w:rPr>
        <w:t>if the case involves vicarious liability among partners, add the following three paragraphs:</w:t>
      </w:r>
      <w:r>
        <w:t>&gt;</w:t>
      </w:r>
    </w:p>
    <w:p w14:paraId="0FF576D0" w14:textId="6DCF072B" w:rsidR="00B83101" w:rsidRDefault="00B83101" w:rsidP="00B83101">
      <w:pPr>
        <w:pStyle w:val="JuryInstructionText"/>
      </w:pPr>
      <w:r w:rsidRPr="00A51C32">
        <w:t xml:space="preserve">In this case, DFT </w:t>
      </w:r>
      <w:r>
        <w:t xml:space="preserve">and </w:t>
      </w:r>
      <w:r w:rsidR="00852AD2">
        <w:t xml:space="preserve">PTNR </w:t>
      </w:r>
      <w:r w:rsidRPr="00A51C32">
        <w:t xml:space="preserve">[name of partner] </w:t>
      </w:r>
      <w:r>
        <w:t xml:space="preserve">were both members of the same legal partnership, meaning they were each other’s partners. PLF may prove that DFT is liable for the actions of </w:t>
      </w:r>
      <w:r w:rsidR="00852AD2">
        <w:t xml:space="preserve">PTNR </w:t>
      </w:r>
      <w:r>
        <w:t xml:space="preserve">in either of two ways. </w:t>
      </w:r>
    </w:p>
    <w:p w14:paraId="56DBCCD9" w14:textId="3A52F269" w:rsidR="00B83101" w:rsidRPr="00A51C32" w:rsidRDefault="00B83101" w:rsidP="00B83101">
      <w:pPr>
        <w:pStyle w:val="JuryInstructionText"/>
      </w:pPr>
      <w:r>
        <w:t xml:space="preserve">First, PLF could show that the conduct of </w:t>
      </w:r>
      <w:r w:rsidR="00852AD2">
        <w:t xml:space="preserve">PTNR </w:t>
      </w:r>
      <w:r>
        <w:t xml:space="preserve">was </w:t>
      </w:r>
      <w:r w:rsidRPr="00A51C32">
        <w:t>within the scope of the partnership’s purposes or activities</w:t>
      </w:r>
      <w:r>
        <w:t xml:space="preserve"> and was motivated at least in part by an intent to serve or benefit the partnership.</w:t>
      </w:r>
      <w:r>
        <w:rPr>
          <w:rStyle w:val="FootnoteReference"/>
        </w:rPr>
        <w:footnoteReference w:id="3"/>
      </w:r>
    </w:p>
    <w:p w14:paraId="21F33DD6" w14:textId="4ACA7789" w:rsidR="00B75859" w:rsidRPr="00B83101" w:rsidRDefault="00B83101" w:rsidP="002223AA">
      <w:pPr>
        <w:pStyle w:val="JuryInstructionText"/>
      </w:pPr>
      <w:r>
        <w:t xml:space="preserve">Second, PLF could instead show </w:t>
      </w:r>
      <w:r w:rsidRPr="00A51C32">
        <w:t>that</w:t>
      </w:r>
      <w:r w:rsidR="00852AD2">
        <w:t xml:space="preserve"> PTNR</w:t>
      </w:r>
      <w:r w:rsidRPr="00A51C32">
        <w:t xml:space="preserve"> acted with the </w:t>
      </w:r>
      <w:r>
        <w:t xml:space="preserve">partnership’s </w:t>
      </w:r>
      <w:r w:rsidRPr="00A51C32">
        <w:t>actual or apparent authority. The concepts of actual authority and apparent authority, which I just described, apply to partnerships. If you determine that</w:t>
      </w:r>
      <w:r w:rsidR="00852AD2">
        <w:t xml:space="preserve"> PTNR</w:t>
      </w:r>
      <w:r w:rsidRPr="00A51C32">
        <w:t xml:space="preserve"> acted with DFT’s actual or apparent authority, then DFT is liable </w:t>
      </w:r>
      <w:proofErr w:type="gramStart"/>
      <w:r w:rsidRPr="00A51C32">
        <w:t>whether or not</w:t>
      </w:r>
      <w:proofErr w:type="gramEnd"/>
      <w:r w:rsidRPr="00A51C32">
        <w:t xml:space="preserve"> </w:t>
      </w:r>
      <w:r w:rsidR="00852AD2">
        <w:t xml:space="preserve">PTNR </w:t>
      </w:r>
      <w:r w:rsidRPr="00A51C32">
        <w:t xml:space="preserve">acted to benefit </w:t>
      </w:r>
      <w:r>
        <w:t>the partnership</w:t>
      </w:r>
      <w:r w:rsidRPr="00A51C32">
        <w:t>.</w:t>
      </w:r>
      <w:r w:rsidRPr="00A51C32">
        <w:rPr>
          <w:rStyle w:val="FootnoteReference"/>
          <w:b w:val="0"/>
          <w:vertAlign w:val="baseline"/>
        </w:rPr>
        <w:t xml:space="preserve"> </w:t>
      </w:r>
      <w:r w:rsidRPr="00A51C32">
        <w:rPr>
          <w:rStyle w:val="FootnoteReference"/>
          <w:bCs/>
        </w:rPr>
        <w:footnoteReference w:id="4"/>
      </w:r>
      <w:r w:rsidRPr="00A51C32">
        <w:t xml:space="preserve"> </w:t>
      </w:r>
      <w:bookmarkEnd w:id="2"/>
      <w:bookmarkEnd w:id="3"/>
    </w:p>
    <w:sectPr w:rsidR="00B75859" w:rsidRPr="00B83101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94494" w14:textId="77777777" w:rsidR="004B19D2" w:rsidRDefault="004B19D2" w:rsidP="00F74A90">
      <w:r>
        <w:separator/>
      </w:r>
    </w:p>
  </w:endnote>
  <w:endnote w:type="continuationSeparator" w:id="0">
    <w:p w14:paraId="711131FB" w14:textId="77777777" w:rsidR="004B19D2" w:rsidRDefault="004B19D2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42F6D" w14:textId="2BA91F15" w:rsidR="00037D40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081AC" w14:textId="77777777" w:rsidR="004B19D2" w:rsidRDefault="004B19D2" w:rsidP="00F74A90">
      <w:r>
        <w:separator/>
      </w:r>
    </w:p>
  </w:footnote>
  <w:footnote w:type="continuationSeparator" w:id="0">
    <w:p w14:paraId="17399614" w14:textId="77777777" w:rsidR="004B19D2" w:rsidRDefault="004B19D2" w:rsidP="00F74A90">
      <w:r>
        <w:continuationSeparator/>
      </w:r>
    </w:p>
  </w:footnote>
  <w:footnote w:id="1">
    <w:p w14:paraId="334BD795" w14:textId="39049F09" w:rsidR="00B83101" w:rsidRPr="008107AB" w:rsidRDefault="00B83101" w:rsidP="00B83101">
      <w:pPr>
        <w:pStyle w:val="FootnoteText"/>
        <w:rPr>
          <w:rFonts w:cs="Segoe UI Historic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12E49">
        <w:rPr>
          <w:rStyle w:val="FootnoteTextChar"/>
          <w:i/>
          <w:iCs/>
        </w:rPr>
        <w:t xml:space="preserve">Fergus </w:t>
      </w:r>
      <w:r w:rsidRPr="00012E49">
        <w:rPr>
          <w:rStyle w:val="FootnoteTextChar"/>
        </w:rPr>
        <w:t xml:space="preserve">v. </w:t>
      </w:r>
      <w:r w:rsidRPr="00012E49">
        <w:rPr>
          <w:rStyle w:val="FootnoteTextChar"/>
          <w:i/>
          <w:iCs/>
        </w:rPr>
        <w:t>Ross</w:t>
      </w:r>
      <w:r w:rsidRPr="00012E49">
        <w:rPr>
          <w:rStyle w:val="FootnoteTextChar"/>
        </w:rPr>
        <w:t>, 477 Mass. 564, 566–</w:t>
      </w:r>
      <w:r>
        <w:rPr>
          <w:rStyle w:val="FootnoteTextChar"/>
        </w:rPr>
        <w:t>5</w:t>
      </w:r>
      <w:r w:rsidRPr="00012E49">
        <w:rPr>
          <w:rStyle w:val="FootnoteTextChar"/>
        </w:rPr>
        <w:t xml:space="preserve">67 (2017); </w:t>
      </w:r>
      <w:r w:rsidRPr="00012E49">
        <w:rPr>
          <w:rStyle w:val="FootnoteTextChar"/>
          <w:i/>
          <w:iCs/>
        </w:rPr>
        <w:t>Theos &amp; Sons, Inc.</w:t>
      </w:r>
      <w:r w:rsidRPr="00012E49">
        <w:rPr>
          <w:rStyle w:val="FootnoteTextChar"/>
        </w:rPr>
        <w:t xml:space="preserve"> v. </w:t>
      </w:r>
      <w:r w:rsidRPr="00012E49">
        <w:rPr>
          <w:rStyle w:val="FootnoteTextChar"/>
          <w:i/>
          <w:iCs/>
        </w:rPr>
        <w:t>Mack Trucks, Inc.,</w:t>
      </w:r>
      <w:r w:rsidRPr="00012E49">
        <w:rPr>
          <w:rStyle w:val="FootnoteTextChar"/>
        </w:rPr>
        <w:t xml:space="preserve"> 431 Mass. 736, 742 (2000); Restatement (Second) of Agency § 1 (1958); Restatement (Second) of Agency §§ 14, 15, </w:t>
      </w:r>
      <w:proofErr w:type="spellStart"/>
      <w:r w:rsidRPr="00012E49">
        <w:rPr>
          <w:rStyle w:val="FootnoteTextChar"/>
        </w:rPr>
        <w:t>cmts</w:t>
      </w:r>
      <w:proofErr w:type="spellEnd"/>
      <w:r w:rsidRPr="00012E49">
        <w:rPr>
          <w:rStyle w:val="FootnoteTextChar"/>
        </w:rPr>
        <w:t>. a, b (1958).</w:t>
      </w:r>
    </w:p>
  </w:footnote>
  <w:footnote w:id="2">
    <w:p w14:paraId="7F9A2CB7" w14:textId="77777777" w:rsidR="00B83101" w:rsidRPr="006520EA" w:rsidRDefault="00B83101" w:rsidP="00B831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r w:rsidRPr="00CC4457">
        <w:rPr>
          <w:i/>
        </w:rPr>
        <w:t>Haufler</w:t>
      </w:r>
      <w:proofErr w:type="spellEnd"/>
      <w:r w:rsidRPr="00CC4457">
        <w:rPr>
          <w:i/>
        </w:rPr>
        <w:t xml:space="preserve"> </w:t>
      </w:r>
      <w:r w:rsidRPr="006D07E9">
        <w:t xml:space="preserve">v. </w:t>
      </w:r>
      <w:proofErr w:type="spellStart"/>
      <w:r w:rsidRPr="00CC4457">
        <w:rPr>
          <w:i/>
        </w:rPr>
        <w:t>Zotos</w:t>
      </w:r>
      <w:proofErr w:type="spellEnd"/>
      <w:r w:rsidRPr="00CC4457">
        <w:rPr>
          <w:i/>
        </w:rPr>
        <w:t>,</w:t>
      </w:r>
      <w:r w:rsidRPr="006D07E9">
        <w:t xml:space="preserve"> 446 Mass. 489, 497 n.22 (2006).</w:t>
      </w:r>
      <w:r w:rsidRPr="009C47FF">
        <w:rPr>
          <w:color w:val="000000"/>
          <w:shd w:val="clear" w:color="auto" w:fill="FFFFFF"/>
        </w:rPr>
        <w:t xml:space="preserve"> quoting from </w:t>
      </w:r>
      <w:r w:rsidRPr="00CC4457">
        <w:rPr>
          <w:i/>
          <w:color w:val="000000"/>
          <w:shd w:val="clear" w:color="auto" w:fill="FFFFFF"/>
        </w:rPr>
        <w:t>Neilson</w:t>
      </w:r>
      <w:r w:rsidRPr="0086107A">
        <w:rPr>
          <w:iCs/>
          <w:color w:val="000000"/>
          <w:shd w:val="clear" w:color="auto" w:fill="FFFFFF"/>
        </w:rPr>
        <w:t xml:space="preserve"> </w:t>
      </w:r>
      <w:r w:rsidRPr="009C47FF">
        <w:rPr>
          <w:color w:val="000000"/>
          <w:shd w:val="clear" w:color="auto" w:fill="FFFFFF"/>
        </w:rPr>
        <w:t xml:space="preserve">v. </w:t>
      </w:r>
      <w:r w:rsidRPr="0086107A">
        <w:rPr>
          <w:i/>
          <w:color w:val="000000"/>
          <w:shd w:val="clear" w:color="auto" w:fill="FFFFFF"/>
        </w:rPr>
        <w:t>Malcolm Kenneth Co</w:t>
      </w:r>
      <w:r w:rsidRPr="0086107A">
        <w:rPr>
          <w:i/>
          <w:shd w:val="clear" w:color="auto" w:fill="FFFFFF"/>
        </w:rPr>
        <w:t>.,</w:t>
      </w:r>
      <w:r w:rsidRPr="009C47FF">
        <w:rPr>
          <w:shd w:val="clear" w:color="auto" w:fill="FFFFFF"/>
        </w:rPr>
        <w:t xml:space="preserve"> </w:t>
      </w:r>
      <w:hyperlink r:id="rId1" w:history="1">
        <w:r w:rsidRPr="009C47FF">
          <w:rPr>
            <w:rStyle w:val="Hyperlink"/>
            <w:rFonts w:cs="Segoe UI Historic"/>
            <w:sz w:val="20"/>
          </w:rPr>
          <w:t>303 Mass. 437</w:t>
        </w:r>
      </w:hyperlink>
      <w:r w:rsidRPr="009C47FF">
        <w:rPr>
          <w:color w:val="000000"/>
          <w:shd w:val="clear" w:color="auto" w:fill="FFFFFF"/>
        </w:rPr>
        <w:t>, 441 (1939)</w:t>
      </w:r>
      <w:r>
        <w:rPr>
          <w:color w:val="000000"/>
          <w:shd w:val="clear" w:color="auto" w:fill="FFFFFF"/>
        </w:rPr>
        <w:t xml:space="preserve">. </w:t>
      </w:r>
      <w:r w:rsidRPr="009C47FF">
        <w:rPr>
          <w:i/>
          <w:color w:val="000000"/>
          <w:shd w:val="clear" w:color="auto" w:fill="FFFFFF"/>
        </w:rPr>
        <w:t>Licata</w:t>
      </w:r>
      <w:r w:rsidRPr="009C47FF">
        <w:rPr>
          <w:color w:val="000000"/>
          <w:shd w:val="clear" w:color="auto" w:fill="FFFFFF"/>
        </w:rPr>
        <w:t xml:space="preserve"> v. </w:t>
      </w:r>
      <w:r w:rsidRPr="009C47FF">
        <w:rPr>
          <w:i/>
          <w:color w:val="000000"/>
          <w:shd w:val="clear" w:color="auto" w:fill="FFFFFF"/>
        </w:rPr>
        <w:t>GGNSC Malden Dexter LLC</w:t>
      </w:r>
      <w:r w:rsidRPr="009C47FF">
        <w:rPr>
          <w:shd w:val="clear" w:color="auto" w:fill="FFFFFF"/>
        </w:rPr>
        <w:t xml:space="preserve">, </w:t>
      </w:r>
      <w:hyperlink r:id="rId2" w:history="1">
        <w:r w:rsidRPr="009C47FF">
          <w:rPr>
            <w:rStyle w:val="Hyperlink"/>
            <w:rFonts w:cs="Segoe UI Historic"/>
            <w:sz w:val="20"/>
          </w:rPr>
          <w:t>466 Mass. 793</w:t>
        </w:r>
      </w:hyperlink>
      <w:r w:rsidRPr="009C47FF">
        <w:rPr>
          <w:color w:val="000000"/>
          <w:shd w:val="clear" w:color="auto" w:fill="FFFFFF"/>
        </w:rPr>
        <w:t xml:space="preserve"> , 801 (2014).</w:t>
      </w:r>
    </w:p>
  </w:footnote>
  <w:footnote w:id="3">
    <w:p w14:paraId="58B27485" w14:textId="77777777" w:rsidR="00B83101" w:rsidRDefault="00B83101" w:rsidP="00B831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r w:rsidRPr="0086107A">
        <w:rPr>
          <w:i/>
          <w:iCs/>
        </w:rPr>
        <w:t>Kansallis</w:t>
      </w:r>
      <w:proofErr w:type="spellEnd"/>
      <w:r w:rsidRPr="0086107A">
        <w:rPr>
          <w:i/>
          <w:iCs/>
        </w:rPr>
        <w:t xml:space="preserve"> Fin. Ltd.</w:t>
      </w:r>
      <w:r w:rsidRPr="0086107A">
        <w:t xml:space="preserve"> v. </w:t>
      </w:r>
      <w:r w:rsidRPr="0086107A">
        <w:rPr>
          <w:i/>
          <w:iCs/>
        </w:rPr>
        <w:t>Fern,</w:t>
      </w:r>
      <w:r w:rsidRPr="0086107A">
        <w:t xml:space="preserve"> 421 Mass. 659, </w:t>
      </w:r>
      <w:r>
        <w:t xml:space="preserve">662 &amp; </w:t>
      </w:r>
      <w:r w:rsidRPr="0086107A">
        <w:t>670 (1996).</w:t>
      </w:r>
    </w:p>
  </w:footnote>
  <w:footnote w:id="4">
    <w:p w14:paraId="512CFEE3" w14:textId="77777777" w:rsidR="00B83101" w:rsidRPr="0086107A" w:rsidRDefault="00B83101" w:rsidP="00B83101">
      <w:pPr>
        <w:pStyle w:val="FootnoteText"/>
      </w:pPr>
      <w:r w:rsidRPr="0086107A">
        <w:rPr>
          <w:rStyle w:val="FootnoteReference"/>
          <w:bCs/>
        </w:rPr>
        <w:footnoteRef/>
      </w:r>
      <w:r w:rsidRPr="0086107A">
        <w:t xml:space="preserve"> </w:t>
      </w:r>
      <w:r>
        <w:tab/>
      </w:r>
      <w:proofErr w:type="spellStart"/>
      <w:r w:rsidRPr="0086107A">
        <w:rPr>
          <w:i/>
          <w:iCs/>
        </w:rPr>
        <w:t>Kansallis</w:t>
      </w:r>
      <w:proofErr w:type="spellEnd"/>
      <w:r w:rsidRPr="0086107A">
        <w:rPr>
          <w:i/>
          <w:iCs/>
        </w:rPr>
        <w:t xml:space="preserve"> Fin. Ltd.</w:t>
      </w:r>
      <w:r w:rsidRPr="0086107A">
        <w:t xml:space="preserve"> v. </w:t>
      </w:r>
      <w:r w:rsidRPr="0086107A">
        <w:rPr>
          <w:i/>
          <w:iCs/>
        </w:rPr>
        <w:t>Fern,</w:t>
      </w:r>
      <w:r w:rsidRPr="0086107A">
        <w:t xml:space="preserve"> 421 Mass. 659, 670 (1996).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888C2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D49A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4E72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B0A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7C05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B86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7EF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98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2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2A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1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B7B9E"/>
    <w:rsid w:val="000D70C6"/>
    <w:rsid w:val="000E7622"/>
    <w:rsid w:val="0010739E"/>
    <w:rsid w:val="00130F23"/>
    <w:rsid w:val="0017397B"/>
    <w:rsid w:val="001B7748"/>
    <w:rsid w:val="001C5FA5"/>
    <w:rsid w:val="001D701D"/>
    <w:rsid w:val="001E2162"/>
    <w:rsid w:val="00221552"/>
    <w:rsid w:val="002223AA"/>
    <w:rsid w:val="002359D1"/>
    <w:rsid w:val="00257345"/>
    <w:rsid w:val="0026431C"/>
    <w:rsid w:val="00294F89"/>
    <w:rsid w:val="002A2C60"/>
    <w:rsid w:val="002B7ABB"/>
    <w:rsid w:val="00303039"/>
    <w:rsid w:val="00420329"/>
    <w:rsid w:val="0044448B"/>
    <w:rsid w:val="004848CB"/>
    <w:rsid w:val="004A3BE2"/>
    <w:rsid w:val="004B19D2"/>
    <w:rsid w:val="00501E9D"/>
    <w:rsid w:val="00516C98"/>
    <w:rsid w:val="005446C0"/>
    <w:rsid w:val="00550249"/>
    <w:rsid w:val="00594672"/>
    <w:rsid w:val="00596E5A"/>
    <w:rsid w:val="00666784"/>
    <w:rsid w:val="00676B44"/>
    <w:rsid w:val="007E7B77"/>
    <w:rsid w:val="00834E34"/>
    <w:rsid w:val="00852AD2"/>
    <w:rsid w:val="008733AA"/>
    <w:rsid w:val="00880AA6"/>
    <w:rsid w:val="0094500B"/>
    <w:rsid w:val="00992410"/>
    <w:rsid w:val="009B481F"/>
    <w:rsid w:val="00A05B86"/>
    <w:rsid w:val="00A164C0"/>
    <w:rsid w:val="00A2789E"/>
    <w:rsid w:val="00A55E4E"/>
    <w:rsid w:val="00A56498"/>
    <w:rsid w:val="00A76145"/>
    <w:rsid w:val="00A917A4"/>
    <w:rsid w:val="00A95EAD"/>
    <w:rsid w:val="00AE37FE"/>
    <w:rsid w:val="00AF6831"/>
    <w:rsid w:val="00B02468"/>
    <w:rsid w:val="00B2579A"/>
    <w:rsid w:val="00B520AB"/>
    <w:rsid w:val="00B75859"/>
    <w:rsid w:val="00B83101"/>
    <w:rsid w:val="00BE7335"/>
    <w:rsid w:val="00BE743F"/>
    <w:rsid w:val="00BF0717"/>
    <w:rsid w:val="00BF08B5"/>
    <w:rsid w:val="00BF75BC"/>
    <w:rsid w:val="00C20B3F"/>
    <w:rsid w:val="00C43AEF"/>
    <w:rsid w:val="00C5670C"/>
    <w:rsid w:val="00CD5753"/>
    <w:rsid w:val="00CD7576"/>
    <w:rsid w:val="00D71FE5"/>
    <w:rsid w:val="00D8732A"/>
    <w:rsid w:val="00D9196F"/>
    <w:rsid w:val="00DB6604"/>
    <w:rsid w:val="00DC15D6"/>
    <w:rsid w:val="00DC61A7"/>
    <w:rsid w:val="00E174B0"/>
    <w:rsid w:val="00E24A15"/>
    <w:rsid w:val="00E81A02"/>
    <w:rsid w:val="00EB7302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CB"/>
    <w:rPr>
      <w:rFonts w:ascii="Palatino Linotype" w:eastAsia="Times New Roman" w:hAnsi="Palatino Linotype" w:cs="Times New Roman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  <w:style w:type="character" w:styleId="Hyperlink">
    <w:name w:val="Hyperlink"/>
    <w:basedOn w:val="DefaultParagraphFont"/>
    <w:uiPriority w:val="99"/>
    <w:semiHidden/>
    <w:unhideWhenUsed/>
    <w:rsid w:val="00B83101"/>
    <w:rPr>
      <w:color w:val="0000FF"/>
      <w:u w:val="single"/>
    </w:rPr>
  </w:style>
  <w:style w:type="paragraph" w:styleId="Revision">
    <w:name w:val="Revision"/>
    <w:hidden/>
    <w:uiPriority w:val="99"/>
    <w:semiHidden/>
    <w:rsid w:val="00E24A15"/>
    <w:rPr>
      <w:rFonts w:ascii="Palatino Linotype" w:eastAsia="Times New Roman" w:hAnsi="Palatino Linotype" w:cs="Times New Roman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masscases.com/cases/sjc/466/466mass793.html" TargetMode="External"/><Relationship Id="rId1" Type="http://schemas.openxmlformats.org/officeDocument/2006/relationships/hyperlink" Target="http://masscases.com/cases/sjc/303/303mass4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William Burke</cp:lastModifiedBy>
  <cp:revision>2</cp:revision>
  <dcterms:created xsi:type="dcterms:W3CDTF">2022-01-05T16:18:00Z</dcterms:created>
  <dcterms:modified xsi:type="dcterms:W3CDTF">2022-01-05T16:18:00Z</dcterms:modified>
</cp:coreProperties>
</file>