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6599" w14:textId="752AF11A" w:rsidR="004B1502" w:rsidRPr="005D4166" w:rsidRDefault="004B1502" w:rsidP="004B1502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Publication Date: </w:t>
      </w:r>
      <w:r w:rsidR="00BA02CC">
        <w:rPr>
          <w:i/>
          <w:iCs/>
          <w:sz w:val="24"/>
          <w:szCs w:val="24"/>
        </w:rPr>
        <w:t>May 13, 2024</w:t>
      </w:r>
    </w:p>
    <w:p w14:paraId="34E28F20" w14:textId="77777777" w:rsidR="004B1502" w:rsidRDefault="004B1502" w:rsidP="004B1502">
      <w:pPr>
        <w:pStyle w:val="JuryInst2"/>
      </w:pPr>
      <w:r>
        <w:t>Unlawful possession of ammunition</w:t>
      </w:r>
      <w:r w:rsidRPr="00D80BB6">
        <w:rPr>
          <w:rStyle w:val="FootnoteReference"/>
          <w:rFonts w:cs="Segoe UI Historic"/>
          <w:b/>
          <w:bCs/>
          <w:szCs w:val="28"/>
        </w:rPr>
        <w:footnoteReference w:id="1"/>
      </w:r>
    </w:p>
    <w:p w14:paraId="729991B8" w14:textId="7CA6D454" w:rsidR="004B1502" w:rsidRDefault="004B1502" w:rsidP="004B1502">
      <w:pPr>
        <w:pStyle w:val="JuryInstructionText"/>
      </w:pPr>
      <w:r w:rsidRPr="00F165ED">
        <w:t>DFT</w:t>
      </w:r>
      <w:r>
        <w:t xml:space="preserve"> is charged</w:t>
      </w:r>
      <w:r w:rsidRPr="00F165ED">
        <w:t xml:space="preserve"> </w:t>
      </w:r>
      <w:r>
        <w:t>with unlawfully possessing ammunition</w:t>
      </w:r>
      <w:r w:rsidRPr="00F165ED">
        <w:t xml:space="preserve"> on [DATE]</w:t>
      </w:r>
      <w:r w:rsidR="00BA02CC">
        <w:t xml:space="preserve">. </w:t>
      </w:r>
    </w:p>
    <w:p w14:paraId="08782A8C" w14:textId="77777777" w:rsidR="004B1502" w:rsidRPr="00976C8D" w:rsidRDefault="004B1502" w:rsidP="004B1502">
      <w:pPr>
        <w:pStyle w:val="JuryInstructionText"/>
      </w:pPr>
      <w:r w:rsidRPr="00976C8D">
        <w:t>To prove DFT guilty</w:t>
      </w:r>
      <w:r>
        <w:t xml:space="preserve"> of this offense</w:t>
      </w:r>
      <w:r w:rsidRPr="00976C8D">
        <w:t xml:space="preserve">, the Commonwealth must prove </w:t>
      </w:r>
      <w:r>
        <w:t xml:space="preserve">four [five] </w:t>
      </w:r>
      <w:r w:rsidRPr="00976C8D">
        <w:t>elements beyond a reasonable doubt:</w:t>
      </w:r>
    </w:p>
    <w:p w14:paraId="0504E327" w14:textId="77777777" w:rsidR="004B1502" w:rsidRPr="00976C8D" w:rsidRDefault="004B1502" w:rsidP="004B1502">
      <w:pPr>
        <w:pStyle w:val="JuryInstructionElements"/>
      </w:pPr>
      <w:r w:rsidRPr="00976C8D">
        <w:t>1.</w:t>
      </w:r>
      <w:r w:rsidRPr="00976C8D">
        <w:tab/>
        <w:t xml:space="preserve">DFT </w:t>
      </w:r>
      <w:r>
        <w:t>knowingly possessed an object</w:t>
      </w:r>
      <w:r w:rsidRPr="00976C8D">
        <w:t xml:space="preserve">; </w:t>
      </w:r>
    </w:p>
    <w:p w14:paraId="278AFBAD" w14:textId="77777777" w:rsidR="004B1502" w:rsidRPr="00976C8D" w:rsidRDefault="004B1502" w:rsidP="004B1502">
      <w:pPr>
        <w:pStyle w:val="JuryInstructionElements"/>
      </w:pPr>
      <w:r w:rsidRPr="00976C8D">
        <w:t>2.</w:t>
      </w:r>
      <w:r w:rsidRPr="00976C8D">
        <w:tab/>
      </w:r>
      <w:r>
        <w:t>The object met the legal definition of “ammunition”</w:t>
      </w:r>
      <w:r w:rsidRPr="00976C8D">
        <w:t>;</w:t>
      </w:r>
      <w:r w:rsidRPr="00976C8D">
        <w:rPr>
          <w:b/>
          <w:vertAlign w:val="superscript"/>
        </w:rPr>
        <w:t xml:space="preserve"> </w:t>
      </w:r>
    </w:p>
    <w:p w14:paraId="19E5F1A5" w14:textId="77777777" w:rsidR="004B1502" w:rsidRDefault="004B1502" w:rsidP="004B1502">
      <w:pPr>
        <w:pStyle w:val="JuryInstructionElements"/>
      </w:pPr>
      <w:r w:rsidRPr="00976C8D">
        <w:t>3.</w:t>
      </w:r>
      <w:r w:rsidRPr="00976C8D">
        <w:tab/>
        <w:t xml:space="preserve">DFT </w:t>
      </w:r>
      <w:r>
        <w:t>knew that the object was ammunition;</w:t>
      </w:r>
      <w:r>
        <w:rPr>
          <w:rStyle w:val="FootnoteReference"/>
        </w:rPr>
        <w:footnoteReference w:id="2"/>
      </w:r>
      <w:r>
        <w:t xml:space="preserve"> and</w:t>
      </w:r>
    </w:p>
    <w:p w14:paraId="2573F998" w14:textId="77777777" w:rsidR="004B1502" w:rsidRDefault="004B1502" w:rsidP="004B1502">
      <w:pPr>
        <w:pStyle w:val="JuryInstructionElements"/>
      </w:pPr>
      <w:r>
        <w:t>4.</w:t>
      </w:r>
      <w:r>
        <w:tab/>
        <w:t>DFT did not have a valid license to carry a firearm or a valid firearms identification (FID) card.</w:t>
      </w:r>
      <w:r>
        <w:rPr>
          <w:rStyle w:val="FootnoteReference"/>
        </w:rPr>
        <w:footnoteReference w:id="3"/>
      </w:r>
    </w:p>
    <w:p w14:paraId="6D3B0DF7" w14:textId="0BF29CD3" w:rsidR="004B1502" w:rsidRPr="00E269FB" w:rsidRDefault="00BA02CC" w:rsidP="004B1502">
      <w:pPr>
        <w:pStyle w:val="JuryInstructionText"/>
        <w:rPr>
          <w:b/>
          <w:bCs/>
        </w:rPr>
      </w:pPr>
      <w:r w:rsidRPr="00BA02CC">
        <w:t>[</w:t>
      </w:r>
      <w:r w:rsidR="004B1502" w:rsidRPr="00DF271B">
        <w:rPr>
          <w:b/>
          <w:bCs/>
          <w:i/>
          <w:iCs/>
        </w:rPr>
        <w:t>&lt;If there is evidence</w:t>
      </w:r>
      <w:r w:rsidR="004B1502" w:rsidRPr="00DF271B">
        <w:t xml:space="preserve"> </w:t>
      </w:r>
      <w:r w:rsidR="004B1502" w:rsidRPr="00DF271B">
        <w:rPr>
          <w:b/>
          <w:bCs/>
          <w:i/>
          <w:iCs/>
        </w:rPr>
        <w:t>that DFT</w:t>
      </w:r>
      <w:r w:rsidR="004B1502">
        <w:rPr>
          <w:b/>
          <w:bCs/>
          <w:i/>
          <w:iCs/>
        </w:rPr>
        <w:t xml:space="preserve"> was exempt from the FID card requirement</w:t>
      </w:r>
      <w:r w:rsidR="004B1502" w:rsidRPr="002B0322">
        <w:rPr>
          <w:i/>
          <w:iCs/>
        </w:rPr>
        <w:t>:</w:t>
      </w:r>
      <w:r w:rsidRPr="00BA02CC">
        <w:t>&gt;</w:t>
      </w:r>
    </w:p>
    <w:p w14:paraId="0D939D17" w14:textId="6F3629E8" w:rsidR="004B1502" w:rsidRDefault="004B1502" w:rsidP="004B1502">
      <w:pPr>
        <w:pStyle w:val="JuryInstructionElements"/>
      </w:pPr>
      <w:r>
        <w:t xml:space="preserve">5. </w:t>
      </w:r>
      <w:r w:rsidRPr="00DF271B">
        <w:t xml:space="preserve">DFT </w:t>
      </w:r>
      <w:r>
        <w:t>did not qualify for a statutory exemption from the requirement to have a license to carry a firearm or an FID card to possess ammunition.</w:t>
      </w:r>
      <w:r w:rsidRPr="00FE24AF">
        <w:rPr>
          <w:rStyle w:val="FootnoteReference"/>
        </w:rPr>
        <w:footnoteReference w:id="4"/>
      </w:r>
      <w:r w:rsidR="00BA02CC">
        <w:t xml:space="preserve"> ]</w:t>
      </w:r>
    </w:p>
    <w:p w14:paraId="72FE459B" w14:textId="48CC052F" w:rsidR="004B1502" w:rsidRDefault="004B1502" w:rsidP="004B1502">
      <w:pPr>
        <w:pStyle w:val="JuryInstructionText"/>
        <w:rPr>
          <w:b/>
          <w:bCs/>
        </w:rPr>
      </w:pPr>
      <w:r>
        <w:rPr>
          <w:b/>
          <w:bCs/>
        </w:rPr>
        <w:lastRenderedPageBreak/>
        <w:t>&lt;</w:t>
      </w:r>
      <w:r w:rsidRPr="00BA02CC">
        <w:rPr>
          <w:b/>
          <w:bCs/>
          <w:i/>
          <w:iCs/>
        </w:rPr>
        <w:t>If the judge has previously instructed on possession of a firearm, the</w:t>
      </w:r>
      <w:r w:rsidR="00BA02CC">
        <w:rPr>
          <w:b/>
          <w:bCs/>
          <w:i/>
          <w:iCs/>
        </w:rPr>
        <w:t>y</w:t>
      </w:r>
      <w:r w:rsidRPr="00BA02CC">
        <w:rPr>
          <w:b/>
          <w:bCs/>
          <w:i/>
          <w:iCs/>
        </w:rPr>
        <w:t xml:space="preserve"> may wish to edit the following instructions to minimize repetition.</w:t>
      </w:r>
      <w:r>
        <w:rPr>
          <w:b/>
          <w:bCs/>
        </w:rPr>
        <w:t>&gt;</w:t>
      </w:r>
    </w:p>
    <w:p w14:paraId="1FC14BBD" w14:textId="7AD3FC72" w:rsidR="004B1502" w:rsidRDefault="004B1502" w:rsidP="00395BF2">
      <w:pPr>
        <w:pStyle w:val="JuryInstructionText"/>
      </w:pPr>
      <w:r>
        <w:rPr>
          <w:b/>
          <w:bCs/>
        </w:rPr>
        <w:t xml:space="preserve">First, </w:t>
      </w:r>
      <w:r>
        <w:t xml:space="preserve">the Commonwealth must prove that DFT knowingly </w:t>
      </w:r>
      <w:r w:rsidRPr="00831FB0">
        <w:t>possessed</w:t>
      </w:r>
      <w:r>
        <w:t xml:space="preserve"> the object in question. &lt;</w:t>
      </w:r>
      <w:r w:rsidR="00395BF2">
        <w:rPr>
          <w:b/>
          <w:bCs/>
          <w:i/>
          <w:iCs/>
        </w:rPr>
        <w:t>I</w:t>
      </w:r>
      <w:r w:rsidRPr="00395BF2">
        <w:rPr>
          <w:b/>
          <w:bCs/>
          <w:i/>
          <w:iCs/>
        </w:rPr>
        <w:t xml:space="preserve">f a further instruction on knowledge is appropriate, the judge may use the language in the </w:t>
      </w:r>
      <w:r w:rsidR="00395BF2">
        <w:rPr>
          <w:b/>
          <w:bCs/>
          <w:i/>
          <w:iCs/>
        </w:rPr>
        <w:t>Supplemental Instruction on “knowingly” toward the end of the model instruction for firearm possession.</w:t>
      </w:r>
      <w:r w:rsidR="00395BF2">
        <w:t xml:space="preserve"> </w:t>
      </w:r>
      <w:r>
        <w:t xml:space="preserve">&gt; A person can possess an object by having direct physical control over it. For example, you possess whatever you have in your pocket. </w:t>
      </w:r>
      <w:r w:rsidR="00BA02CC">
        <w:t>[&lt;</w:t>
      </w:r>
      <w:r w:rsidR="00BA02CC" w:rsidRPr="00BA02CC">
        <w:rPr>
          <w:i/>
          <w:iCs/>
        </w:rPr>
        <w:t>I</w:t>
      </w:r>
      <w:r w:rsidRPr="00BA02CC">
        <w:rPr>
          <w:b/>
          <w:bCs/>
          <w:i/>
          <w:iCs/>
        </w:rPr>
        <w:t>f there is evidence of constructive possession:</w:t>
      </w:r>
      <w:r w:rsidR="00BA02CC">
        <w:rPr>
          <w:b/>
          <w:bCs/>
        </w:rPr>
        <w:t>&gt;</w:t>
      </w:r>
      <w:r>
        <w:t xml:space="preserve"> A person can also possess an object if the person:</w:t>
      </w:r>
    </w:p>
    <w:p w14:paraId="55835206" w14:textId="77777777" w:rsidR="004B1502" w:rsidRDefault="004B1502" w:rsidP="004B1502">
      <w:pPr>
        <w:pStyle w:val="JuryInstructionBullets"/>
      </w:pPr>
      <w:r>
        <w:t>knows of the object;</w:t>
      </w:r>
    </w:p>
    <w:p w14:paraId="29EE8B25" w14:textId="77777777" w:rsidR="004B1502" w:rsidRDefault="004B1502" w:rsidP="004B1502">
      <w:pPr>
        <w:pStyle w:val="JuryInstructionBullets"/>
      </w:pPr>
      <w:r>
        <w:t xml:space="preserve">has the </w:t>
      </w:r>
      <w:r w:rsidRPr="00B408DC">
        <w:t>ability</w:t>
      </w:r>
      <w:r>
        <w:t xml:space="preserve"> to </w:t>
      </w:r>
      <w:r w:rsidRPr="00B408DC">
        <w:t>exercise</w:t>
      </w:r>
      <w:r>
        <w:t xml:space="preserve"> control over it, either directly or through another person; and</w:t>
      </w:r>
    </w:p>
    <w:p w14:paraId="3F5CD18C" w14:textId="737ACA8F" w:rsidR="004B1502" w:rsidRDefault="004B1502" w:rsidP="004B1502">
      <w:pPr>
        <w:pStyle w:val="JuryInstructionBullets"/>
      </w:pPr>
      <w:r>
        <w:t>has the intent to exercise control over it</w:t>
      </w:r>
      <w:r w:rsidR="00BA02CC">
        <w:t xml:space="preserve">. </w:t>
      </w:r>
      <w:r>
        <w:t xml:space="preserve"> </w:t>
      </w:r>
    </w:p>
    <w:p w14:paraId="66DFD028" w14:textId="0F7D07F4" w:rsidR="004B1502" w:rsidRPr="00BA02CC" w:rsidRDefault="004B1502" w:rsidP="004B1502">
      <w:pPr>
        <w:pStyle w:val="JuryInstructionText"/>
      </w:pPr>
      <w:bookmarkStart w:id="1" w:name="_Hlk135401335"/>
      <w:r>
        <w:t>For example, under the law, you possess items that you keep in your dresser drawer at home.</w:t>
      </w:r>
      <w:r>
        <w:rPr>
          <w:rStyle w:val="FootnoteReference"/>
        </w:rPr>
        <w:footnoteReference w:id="5"/>
      </w:r>
      <w:r w:rsidR="00BA02CC">
        <w:rPr>
          <w:b/>
          <w:bCs/>
        </w:rPr>
        <w:t xml:space="preserve"> </w:t>
      </w:r>
      <w:r w:rsidR="00BA02CC">
        <w:t>]</w:t>
      </w:r>
    </w:p>
    <w:p w14:paraId="334188BE" w14:textId="35409B4F" w:rsidR="004B1502" w:rsidRDefault="004B1502" w:rsidP="004B1502">
      <w:pPr>
        <w:pStyle w:val="JuryInstructionText"/>
      </w:pPr>
      <w:r>
        <w:t xml:space="preserve">You must determine whether DFT possessed the object in question from all of the facts and the reasonable inferences that you may draw from those facts. </w:t>
      </w:r>
      <w:bookmarkEnd w:id="1"/>
      <w:r>
        <w:t xml:space="preserve">Merely being present near an object </w:t>
      </w:r>
      <w:r w:rsidR="00BA02CC">
        <w:t>[</w:t>
      </w:r>
      <w:r>
        <w:t>&lt;</w:t>
      </w:r>
      <w:r>
        <w:rPr>
          <w:b/>
          <w:bCs/>
          <w:i/>
          <w:iCs/>
        </w:rPr>
        <w:t xml:space="preserve">add </w:t>
      </w:r>
      <w:r w:rsidR="00BA02CC">
        <w:rPr>
          <w:b/>
          <w:bCs/>
          <w:i/>
          <w:iCs/>
        </w:rPr>
        <w:t>as</w:t>
      </w:r>
      <w:r>
        <w:rPr>
          <w:b/>
          <w:bCs/>
          <w:i/>
          <w:iCs/>
        </w:rPr>
        <w:t xml:space="preserve"> appropriate:</w:t>
      </w:r>
      <w:r w:rsidR="00BA02CC">
        <w:t>&gt;</w:t>
      </w:r>
      <w:r>
        <w:t xml:space="preserve"> being associated with a person who controls an object or controls a place where an object is found, living in an apartment where an object is found, or being in a vehicle where an object is present</w:t>
      </w:r>
      <w:r w:rsidR="006F3582">
        <w:t xml:space="preserve"> </w:t>
      </w:r>
      <w:r w:rsidR="00BA02CC">
        <w:t>]</w:t>
      </w:r>
      <w:r>
        <w:t xml:space="preserve"> does not amount to possession. </w:t>
      </w:r>
      <w:r w:rsidRPr="00C478A1">
        <w:t>To</w:t>
      </w:r>
      <w:r w:rsidR="006F3582">
        <w:t> </w:t>
      </w:r>
      <w:r w:rsidRPr="00C478A1">
        <w:t xml:space="preserve">find that someone possessed an object, </w:t>
      </w:r>
      <w:r>
        <w:t>you must find</w:t>
      </w:r>
      <w:r w:rsidRPr="00C478A1">
        <w:t xml:space="preserve"> that the person knew of the obje</w:t>
      </w:r>
      <w:r>
        <w:t>c</w:t>
      </w:r>
      <w:r w:rsidRPr="00C478A1">
        <w:t xml:space="preserve">t </w:t>
      </w:r>
      <w:r>
        <w:t>and</w:t>
      </w:r>
      <w:r w:rsidRPr="00C478A1">
        <w:t xml:space="preserve"> had the ability and intent to exercise control over it. </w:t>
      </w:r>
      <w:r w:rsidR="00BA02CC">
        <w:lastRenderedPageBreak/>
        <w:t>[</w:t>
      </w:r>
      <w:r>
        <w:t>&lt;</w:t>
      </w:r>
      <w:r w:rsidRPr="00831FB0">
        <w:rPr>
          <w:b/>
          <w:bCs/>
          <w:i/>
          <w:iCs/>
        </w:rPr>
        <w:t>Add if relevant:</w:t>
      </w:r>
      <w:r>
        <w:t>&gt;</w:t>
      </w:r>
      <w:r>
        <w:rPr>
          <w:b/>
          <w:bCs/>
          <w:i/>
          <w:iCs/>
        </w:rPr>
        <w:t xml:space="preserve"> </w:t>
      </w:r>
      <w:r w:rsidRPr="00C478A1">
        <w:t>The possession does not have to be exclusive to one person. Someone can possess an item jointly with another person.</w:t>
      </w:r>
      <w:r>
        <w:rPr>
          <w:rStyle w:val="FootnoteReference"/>
        </w:rPr>
        <w:footnoteReference w:id="6"/>
      </w:r>
      <w:r w:rsidR="00BA02CC">
        <w:t>]</w:t>
      </w:r>
    </w:p>
    <w:p w14:paraId="74279E50" w14:textId="77777777" w:rsidR="004B1502" w:rsidRDefault="004B1502" w:rsidP="004B1502">
      <w:pPr>
        <w:pStyle w:val="JuryInstructionText"/>
      </w:pPr>
      <w:r w:rsidRPr="00BA02CC">
        <w:rPr>
          <w:b/>
          <w:bCs/>
        </w:rPr>
        <w:t>Second</w:t>
      </w:r>
      <w:r>
        <w:t xml:space="preserve">, the Commonwealth must prove that the object in question met the legal definition of ammunition. Ammunition is defined as </w:t>
      </w:r>
      <w:r w:rsidRPr="00FE4435">
        <w:t>cartridges or cartridge cases</w:t>
      </w:r>
      <w:r>
        <w:t xml:space="preserve">, </w:t>
      </w:r>
      <w:r w:rsidRPr="00FE4435">
        <w:t xml:space="preserve">primers (igniter), bullets or propellant powder designed for use in any firearm, </w:t>
      </w:r>
      <w:proofErr w:type="gramStart"/>
      <w:r w:rsidRPr="00FE4435">
        <w:t>rifle</w:t>
      </w:r>
      <w:proofErr w:type="gramEnd"/>
      <w:r w:rsidRPr="00FE4435">
        <w:t xml:space="preserve"> or shotgun</w:t>
      </w:r>
      <w:r>
        <w:t>.</w:t>
      </w:r>
      <w:r>
        <w:rPr>
          <w:rStyle w:val="FootnoteReference"/>
        </w:rPr>
        <w:footnoteReference w:id="7"/>
      </w:r>
      <w:r>
        <w:t xml:space="preserve"> </w:t>
      </w:r>
    </w:p>
    <w:p w14:paraId="2EF1533B" w14:textId="195F71EB" w:rsidR="004B1502" w:rsidRDefault="004B1502" w:rsidP="004B1502">
      <w:pPr>
        <w:pStyle w:val="JuryInstructionText"/>
      </w:pPr>
      <w:r w:rsidRPr="00BA02CC">
        <w:rPr>
          <w:b/>
          <w:bCs/>
        </w:rPr>
        <w:t>Third</w:t>
      </w:r>
      <w:r>
        <w:t>, the Commonwealth must prove that DFT knew that the object was ammunition. When determining whether DFT knew that the object was ammunition, you</w:t>
      </w:r>
      <w:r w:rsidRPr="00F666D1">
        <w:t xml:space="preserve"> may </w:t>
      </w:r>
      <w:r>
        <w:t>consider</w:t>
      </w:r>
      <w:r w:rsidRPr="00F666D1">
        <w:t xml:space="preserve"> </w:t>
      </w:r>
      <w:r>
        <w:t>DFT’s</w:t>
      </w:r>
      <w:r w:rsidRPr="00F666D1">
        <w:t xml:space="preserve"> actions and words, all of the surrounding circumstances</w:t>
      </w:r>
      <w:r>
        <w:t xml:space="preserve">, and </w:t>
      </w:r>
      <w:r w:rsidRPr="003E5CC4">
        <w:t>the reasonable inferences that you draw from th</w:t>
      </w:r>
      <w:r>
        <w:t>e evidence</w:t>
      </w:r>
      <w:r w:rsidR="00BA02CC">
        <w:t xml:space="preserve">. </w:t>
      </w:r>
      <w:r>
        <w:t>The Commonwealth does not have to prove that DFT knew the object met the legal definition of ammunition.</w:t>
      </w:r>
    </w:p>
    <w:p w14:paraId="7B12D51F" w14:textId="4AF8A2A2" w:rsidR="004B1502" w:rsidRDefault="004B1502" w:rsidP="004B1502">
      <w:pPr>
        <w:pStyle w:val="JuryInstructionText"/>
      </w:pPr>
      <w:r w:rsidRPr="00BA02CC">
        <w:rPr>
          <w:b/>
          <w:bCs/>
        </w:rPr>
        <w:t>Fourth</w:t>
      </w:r>
      <w:r>
        <w:t xml:space="preserve">, the Commonwealth must prove that DFT did not have </w:t>
      </w:r>
      <w:r w:rsidRPr="00B4498C">
        <w:t xml:space="preserve">a valid license to carry </w:t>
      </w:r>
      <w:r>
        <w:t xml:space="preserve">a firearm </w:t>
      </w:r>
      <w:r w:rsidRPr="00B4498C">
        <w:t>or a firearm identification card at the time he possessed the ammunition</w:t>
      </w:r>
      <w:r w:rsidR="00BA02CC">
        <w:t xml:space="preserve">. </w:t>
      </w:r>
    </w:p>
    <w:p w14:paraId="1C870C89" w14:textId="1888DE58" w:rsidR="004B1502" w:rsidRPr="00BA02CC" w:rsidRDefault="00BA02CC" w:rsidP="004B1502">
      <w:pPr>
        <w:pStyle w:val="JuryInstructionText"/>
      </w:pPr>
      <w:r>
        <w:t>[</w:t>
      </w:r>
      <w:r w:rsidR="004B1502" w:rsidRPr="00677891">
        <w:t>&lt;</w:t>
      </w:r>
      <w:r w:rsidR="004B1502" w:rsidRPr="00DF271B">
        <w:rPr>
          <w:b/>
          <w:bCs/>
          <w:i/>
          <w:iCs/>
        </w:rPr>
        <w:t>If there is evidence</w:t>
      </w:r>
      <w:r w:rsidR="004B1502" w:rsidRPr="00DF271B">
        <w:t xml:space="preserve"> </w:t>
      </w:r>
      <w:r w:rsidR="004B1502" w:rsidRPr="00DF271B">
        <w:rPr>
          <w:b/>
          <w:bCs/>
          <w:i/>
          <w:iCs/>
        </w:rPr>
        <w:t>that</w:t>
      </w:r>
      <w:r w:rsidR="004B1502">
        <w:rPr>
          <w:b/>
          <w:bCs/>
          <w:i/>
          <w:iCs/>
        </w:rPr>
        <w:t xml:space="preserve"> defendant was exempt from licensing requirements, then add the following:</w:t>
      </w:r>
      <w:r>
        <w:t>&gt;</w:t>
      </w:r>
    </w:p>
    <w:p w14:paraId="03F8AA6E" w14:textId="233B7199" w:rsidR="004B1502" w:rsidRPr="00BA02CC" w:rsidRDefault="004B1502" w:rsidP="004B1502">
      <w:pPr>
        <w:pStyle w:val="JuryInstructionText"/>
      </w:pPr>
      <w:r w:rsidRPr="00BA02CC">
        <w:rPr>
          <w:b/>
          <w:bCs/>
        </w:rPr>
        <w:t>Fifth</w:t>
      </w:r>
      <w:r>
        <w:t xml:space="preserve">, the Commonwealth must prove that </w:t>
      </w:r>
      <w:r w:rsidRPr="00DF271B">
        <w:t xml:space="preserve">DFT </w:t>
      </w:r>
      <w:r>
        <w:t>did not qualify for a statutory exemption from the requirement to have a license to carry a firearm</w:t>
      </w:r>
      <w:r w:rsidRPr="00520F0B">
        <w:rPr>
          <w:b/>
          <w:bCs/>
        </w:rPr>
        <w:t>&lt;for possession in a home or office</w:t>
      </w:r>
      <w:r>
        <w:t>: or an FID card.</w:t>
      </w:r>
      <w:r w:rsidR="00BA02CC">
        <w:t xml:space="preserve"> ]</w:t>
      </w:r>
    </w:p>
    <w:p w14:paraId="499CF6C2" w14:textId="77777777" w:rsidR="00BA02CC" w:rsidRDefault="00BA02CC" w:rsidP="004B1502">
      <w:pPr>
        <w:pStyle w:val="JuryInstructionText"/>
        <w:rPr>
          <w:b/>
          <w:bCs/>
        </w:rPr>
      </w:pPr>
    </w:p>
    <w:p w14:paraId="75AEFC73" w14:textId="77777777" w:rsidR="004B1502" w:rsidRDefault="004B1502" w:rsidP="00BA02CC">
      <w:pPr>
        <w:pStyle w:val="JuryInst2"/>
      </w:pPr>
      <w:r>
        <w:t>Supplemental Instruction on Ignorance of the Law</w:t>
      </w:r>
    </w:p>
    <w:p w14:paraId="5517B459" w14:textId="6825A24C" w:rsidR="004B1502" w:rsidRPr="00F165ED" w:rsidRDefault="004B1502" w:rsidP="004B1502">
      <w:pPr>
        <w:pStyle w:val="JuryInstructionText"/>
      </w:pPr>
      <w:r>
        <w:t>Y</w:t>
      </w:r>
      <w:r w:rsidRPr="00D03F14">
        <w:t xml:space="preserve">ou have heard </w:t>
      </w:r>
      <w:r>
        <w:t>evidence</w:t>
      </w:r>
      <w:r w:rsidRPr="00D03F14">
        <w:t xml:space="preserve"> that </w:t>
      </w:r>
      <w:r>
        <w:t>DFT</w:t>
      </w:r>
      <w:r w:rsidRPr="00D03F14">
        <w:t xml:space="preserve"> did not know that they were required to have a license to carry or a firearm identification card before possessing ammunition</w:t>
      </w:r>
      <w:r w:rsidR="00BA02CC">
        <w:t xml:space="preserve">. </w:t>
      </w:r>
      <w:r w:rsidRPr="00D03F14">
        <w:t xml:space="preserve"> The Commonwealth </w:t>
      </w:r>
      <w:r>
        <w:t>does not have</w:t>
      </w:r>
      <w:r w:rsidRPr="00D03F14">
        <w:t xml:space="preserve"> to prove that </w:t>
      </w:r>
      <w:r>
        <w:t>DFT</w:t>
      </w:r>
      <w:r w:rsidRPr="00D03F14">
        <w:t xml:space="preserve"> knew that the law required them to have a license to carry or firearm </w:t>
      </w:r>
      <w:r w:rsidRPr="00D03F14">
        <w:lastRenderedPageBreak/>
        <w:t>identification card before possessing ammunition</w:t>
      </w:r>
      <w:r w:rsidR="00BA02CC">
        <w:t xml:space="preserve">. </w:t>
      </w:r>
      <w:r w:rsidRPr="00D03F14">
        <w:t xml:space="preserve">For that reason, the </w:t>
      </w:r>
      <w:r>
        <w:t>evidence that DFT did not know of these requirements</w:t>
      </w:r>
      <w:r w:rsidRPr="00D03F14">
        <w:t xml:space="preserve"> is not relevant to your deliberations and you should not discuss it at all during your deliberations.</w:t>
      </w:r>
    </w:p>
    <w:p w14:paraId="21F33DD6" w14:textId="77777777" w:rsidR="00B75859" w:rsidRPr="004B1502" w:rsidRDefault="00B75859" w:rsidP="004B1502"/>
    <w:sectPr w:rsidR="00B75859" w:rsidRPr="004B1502" w:rsidSect="00316229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6AE4" w14:textId="77777777" w:rsidR="00316229" w:rsidRDefault="00316229" w:rsidP="00F74A90">
      <w:r>
        <w:separator/>
      </w:r>
    </w:p>
  </w:endnote>
  <w:endnote w:type="continuationSeparator" w:id="0">
    <w:p w14:paraId="326303DC" w14:textId="77777777" w:rsidR="00316229" w:rsidRDefault="00316229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7D102C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FF78" w14:textId="77777777" w:rsidR="00316229" w:rsidRDefault="00316229" w:rsidP="00F74A90">
      <w:r>
        <w:separator/>
      </w:r>
    </w:p>
  </w:footnote>
  <w:footnote w:type="continuationSeparator" w:id="0">
    <w:p w14:paraId="2E43A23E" w14:textId="77777777" w:rsidR="00316229" w:rsidRDefault="00316229" w:rsidP="00F74A90">
      <w:r>
        <w:continuationSeparator/>
      </w:r>
    </w:p>
  </w:footnote>
  <w:footnote w:id="1">
    <w:p w14:paraId="096E9BD1" w14:textId="342E30EE" w:rsidR="004B1502" w:rsidRPr="001A6C08" w:rsidRDefault="004B1502" w:rsidP="004B1502">
      <w:pPr>
        <w:pStyle w:val="FootnoteText"/>
      </w:pPr>
      <w:r w:rsidRPr="004642FF">
        <w:rPr>
          <w:rStyle w:val="FootnoteReference"/>
          <w:rFonts w:cs="Segoe UI Historic"/>
          <w:sz w:val="24"/>
          <w:szCs w:val="24"/>
        </w:rPr>
        <w:footnoteRef/>
      </w:r>
      <w:r w:rsidRPr="004642FF">
        <w:t xml:space="preserve"> </w:t>
      </w:r>
      <w:r w:rsidRPr="004642FF">
        <w:tab/>
        <w:t xml:space="preserve">G.L. c. </w:t>
      </w:r>
      <w:r>
        <w:t>269</w:t>
      </w:r>
      <w:r w:rsidRPr="004642FF">
        <w:t>, § 1</w:t>
      </w:r>
      <w:r>
        <w:t>0</w:t>
      </w:r>
      <w:r w:rsidRPr="004642FF">
        <w:t>(</w:t>
      </w:r>
      <w:r>
        <w:t>h</w:t>
      </w:r>
      <w:r w:rsidRPr="004642FF">
        <w:t>)</w:t>
      </w:r>
      <w:r>
        <w:t>(1)</w:t>
      </w:r>
      <w:r w:rsidRPr="004642FF">
        <w:t xml:space="preserve"> </w:t>
      </w:r>
      <w:r>
        <w:t xml:space="preserve">states: “Whoever </w:t>
      </w:r>
      <w:r w:rsidR="00D35361">
        <w:t>…</w:t>
      </w:r>
      <w:r>
        <w:t xml:space="preserve"> possesses </w:t>
      </w:r>
      <w:r w:rsidR="00D35361">
        <w:t>…</w:t>
      </w:r>
      <w:r>
        <w:t xml:space="preserve"> ammunition without complying with the provisions of [G.L. c. 140, </w:t>
      </w:r>
      <w:r>
        <w:rPr>
          <w:rFonts w:cs="Segoe UI Historic"/>
        </w:rPr>
        <w:t>§</w:t>
      </w:r>
      <w:r>
        <w:t xml:space="preserve"> 129C (FID card)] shall be punished.”</w:t>
      </w:r>
    </w:p>
  </w:footnote>
  <w:footnote w:id="2">
    <w:p w14:paraId="735C6076" w14:textId="77777777" w:rsidR="004B1502" w:rsidRDefault="004B1502" w:rsidP="004B1502">
      <w:pPr>
        <w:pStyle w:val="FootnoteText"/>
      </w:pPr>
      <w:r w:rsidRPr="00582A87">
        <w:rPr>
          <w:rStyle w:val="FootnoteReference"/>
          <w:sz w:val="24"/>
          <w:szCs w:val="24"/>
        </w:rPr>
        <w:footnoteRef/>
      </w:r>
      <w:r>
        <w:t xml:space="preserve"> </w:t>
      </w:r>
      <w:r>
        <w:tab/>
        <w:t>“[K]</w:t>
      </w:r>
      <w:proofErr w:type="spellStart"/>
      <w:r w:rsidRPr="00D91A56">
        <w:t>nowledge</w:t>
      </w:r>
      <w:proofErr w:type="spellEnd"/>
      <w:r w:rsidRPr="00D91A56">
        <w:t xml:space="preserve"> that what one possesses is</w:t>
      </w:r>
      <w:r>
        <w:t xml:space="preserve"> </w:t>
      </w:r>
      <w:r w:rsidRPr="00D91A56">
        <w:t>ammunition</w:t>
      </w:r>
      <w:r>
        <w:t xml:space="preserve"> </w:t>
      </w:r>
      <w:r w:rsidRPr="00D91A56">
        <w:t>is an</w:t>
      </w:r>
      <w:r>
        <w:t xml:space="preserve"> </w:t>
      </w:r>
      <w:r w:rsidRPr="00D91A56">
        <w:t>element</w:t>
      </w:r>
      <w:r>
        <w:t xml:space="preserve"> </w:t>
      </w:r>
      <w:r w:rsidRPr="00D91A56">
        <w:t>of possession of ammunition.</w:t>
      </w:r>
      <w:r>
        <w:t xml:space="preserve">” </w:t>
      </w:r>
      <w:r w:rsidRPr="006E5B0B">
        <w:rPr>
          <w:i/>
          <w:iCs/>
        </w:rPr>
        <w:t>Commonwealth</w:t>
      </w:r>
      <w:r w:rsidRPr="00633D67">
        <w:rPr>
          <w:i/>
          <w:iCs/>
        </w:rPr>
        <w:t xml:space="preserve"> v. Mitchell</w:t>
      </w:r>
      <w:r>
        <w:t xml:space="preserve">, 95 Mass. App. Ct. 406, 421 (2019), citing </w:t>
      </w:r>
      <w:r w:rsidRPr="006E5B0B">
        <w:rPr>
          <w:i/>
          <w:iCs/>
        </w:rPr>
        <w:t>Commonwealth v. Johnson</w:t>
      </w:r>
      <w:r w:rsidRPr="00831FB0">
        <w:t>, 461 Mass. 44, 53 (2011)</w:t>
      </w:r>
      <w:r>
        <w:t>.</w:t>
      </w:r>
    </w:p>
  </w:footnote>
  <w:footnote w:id="3">
    <w:p w14:paraId="39ED9045" w14:textId="24D3DE18" w:rsidR="004B1502" w:rsidRDefault="004B1502" w:rsidP="004B1502">
      <w:pPr>
        <w:pStyle w:val="FootnoteText"/>
        <w:rPr>
          <w:szCs w:val="22"/>
        </w:rPr>
      </w:pPr>
      <w:r w:rsidRPr="00D80BB6">
        <w:rPr>
          <w:rStyle w:val="FootnoteReference"/>
          <w:sz w:val="24"/>
          <w:szCs w:val="24"/>
        </w:rPr>
        <w:footnoteRef/>
      </w:r>
      <w:r w:rsidRPr="00D80BB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Cs w:val="22"/>
        </w:rPr>
        <w:t xml:space="preserve">In </w:t>
      </w:r>
      <w:r w:rsidRPr="00A9393B">
        <w:rPr>
          <w:i/>
          <w:iCs/>
          <w:szCs w:val="22"/>
        </w:rPr>
        <w:t>Commonwealth v. Guardado</w:t>
      </w:r>
      <w:r>
        <w:rPr>
          <w:szCs w:val="22"/>
        </w:rPr>
        <w:t>, 491 Mass. 666, 686</w:t>
      </w:r>
      <w:r w:rsidR="00BA02CC">
        <w:rPr>
          <w:szCs w:val="22"/>
        </w:rPr>
        <w:t>–</w:t>
      </w:r>
      <w:r>
        <w:rPr>
          <w:szCs w:val="22"/>
        </w:rPr>
        <w:t xml:space="preserve">690 (2023), the SJC held that, in light of the Supreme Court’s recognition that the Second Amendment protects the right of an ordinary, law-abiding adult to carry a firearm in public, </w:t>
      </w:r>
      <w:r w:rsidRPr="00A9393B">
        <w:rPr>
          <w:i/>
          <w:iCs/>
          <w:szCs w:val="22"/>
        </w:rPr>
        <w:t>New York State Rifle &amp; Pistol Ass’n, Inc. v. Bruen</w:t>
      </w:r>
      <w:r>
        <w:rPr>
          <w:szCs w:val="22"/>
        </w:rPr>
        <w:t xml:space="preserve">, 142 S. Ct. 2111, 2122, 2134 (2022), the offense of unlawful ammunition possession requires the Commonwealth to prove lack of licensure. </w:t>
      </w:r>
      <w:r>
        <w:rPr>
          <w:i/>
          <w:iCs/>
          <w:szCs w:val="22"/>
        </w:rPr>
        <w:t>Guardado</w:t>
      </w:r>
      <w:r>
        <w:rPr>
          <w:szCs w:val="22"/>
        </w:rPr>
        <w:t>, 491 Mass. at</w:t>
      </w:r>
      <w:r w:rsidR="00BA02CC">
        <w:rPr>
          <w:szCs w:val="22"/>
        </w:rPr>
        <w:t> </w:t>
      </w:r>
      <w:r>
        <w:rPr>
          <w:szCs w:val="22"/>
        </w:rPr>
        <w:t>692–693.</w:t>
      </w:r>
    </w:p>
    <w:p w14:paraId="69C47537" w14:textId="77777777" w:rsidR="004B1502" w:rsidRPr="00D80BB6" w:rsidRDefault="004B1502" w:rsidP="004B1502">
      <w:pPr>
        <w:pStyle w:val="FootnoteText"/>
        <w:rPr>
          <w:sz w:val="24"/>
          <w:szCs w:val="24"/>
        </w:rPr>
      </w:pPr>
      <w:r>
        <w:rPr>
          <w:szCs w:val="22"/>
        </w:rPr>
        <w:tab/>
        <w:t xml:space="preserve">A person may lawfully possess ammunition with either a license to carry a firearm or an FID card. See </w:t>
      </w:r>
      <w:r w:rsidRPr="000A169A">
        <w:rPr>
          <w:szCs w:val="22"/>
        </w:rPr>
        <w:t>G.L. c. 269, § 10(a) (“No person having in effect a license to carry</w:t>
      </w:r>
      <w:r>
        <w:rPr>
          <w:szCs w:val="22"/>
        </w:rPr>
        <w:t xml:space="preserve"> </w:t>
      </w:r>
      <w:r w:rsidRPr="000A169A">
        <w:rPr>
          <w:szCs w:val="22"/>
        </w:rPr>
        <w:t>firearms for any purpose, issued under [G.L. c. 140, §§ 131 or 131F] shall be deemed to be in violation of [G.L. c. 269, § 10</w:t>
      </w:r>
      <w:r>
        <w:rPr>
          <w:szCs w:val="22"/>
        </w:rPr>
        <w:t>]</w:t>
      </w:r>
      <w:r w:rsidRPr="000A169A">
        <w:rPr>
          <w:szCs w:val="22"/>
        </w:rPr>
        <w:t>)</w:t>
      </w:r>
      <w:r>
        <w:rPr>
          <w:szCs w:val="22"/>
        </w:rPr>
        <w:t xml:space="preserve">; </w:t>
      </w:r>
      <w:r w:rsidRPr="000A169A">
        <w:rPr>
          <w:szCs w:val="22"/>
        </w:rPr>
        <w:t>G.L. c. 269, § 10(h)(1)</w:t>
      </w:r>
      <w:r>
        <w:rPr>
          <w:szCs w:val="22"/>
        </w:rPr>
        <w:t xml:space="preserve"> (criminalizing possession of ammunition </w:t>
      </w:r>
      <w:r w:rsidRPr="005E3C81">
        <w:rPr>
          <w:szCs w:val="22"/>
        </w:rPr>
        <w:t xml:space="preserve">without </w:t>
      </w:r>
      <w:r>
        <w:rPr>
          <w:szCs w:val="22"/>
        </w:rPr>
        <w:t>an FID card)</w:t>
      </w:r>
      <w:r w:rsidRPr="000A169A">
        <w:rPr>
          <w:szCs w:val="22"/>
        </w:rPr>
        <w:t>.</w:t>
      </w:r>
      <w:r>
        <w:rPr>
          <w:szCs w:val="22"/>
        </w:rPr>
        <w:t xml:space="preserve"> Therefore, the Commonwealth must prove that the defendant did not have a license to carry and also did not have an FID card. </w:t>
      </w:r>
    </w:p>
  </w:footnote>
  <w:footnote w:id="4">
    <w:p w14:paraId="30D1AA21" w14:textId="431E8207" w:rsidR="004B1502" w:rsidRDefault="004B1502" w:rsidP="004B1502">
      <w:pPr>
        <w:pStyle w:val="FootnoteText"/>
      </w:pPr>
      <w:r w:rsidRPr="00942BDF">
        <w:rPr>
          <w:rStyle w:val="FootnoteReference"/>
          <w:sz w:val="24"/>
          <w:szCs w:val="24"/>
        </w:rPr>
        <w:footnoteRef/>
      </w:r>
      <w:r>
        <w:t xml:space="preserve"> </w:t>
      </w:r>
      <w:r>
        <w:tab/>
        <w:t xml:space="preserve">Even after </w:t>
      </w:r>
      <w:r w:rsidRPr="00FE4689">
        <w:rPr>
          <w:i/>
          <w:iCs/>
        </w:rPr>
        <w:t>Guardado</w:t>
      </w:r>
      <w:r>
        <w:t xml:space="preserve">, exemptions to the FID requirement for certain persons and activities, under G.L. c. 140, </w:t>
      </w:r>
      <w:r>
        <w:rPr>
          <w:rFonts w:ascii="Segoe UI" w:hAnsi="Segoe UI" w:cs="Segoe UI"/>
        </w:rPr>
        <w:t>§ 129C,</w:t>
      </w:r>
      <w:r>
        <w:t xml:space="preserve"> remain affirmative defenses. See </w:t>
      </w:r>
      <w:r w:rsidRPr="00FE4689">
        <w:rPr>
          <w:i/>
          <w:iCs/>
        </w:rPr>
        <w:t>Guardado</w:t>
      </w:r>
      <w:r w:rsidRPr="00FE4689">
        <w:t>, 491 Mass. at 685–686 (</w:t>
      </w:r>
      <w:r>
        <w:t>equating</w:t>
      </w:r>
      <w:r w:rsidRPr="00FE4689">
        <w:t xml:space="preserve"> § 10(a)(4)</w:t>
      </w:r>
      <w:r>
        <w:t xml:space="preserve"> exemptions for unlicensed firearms possession, under G.L. c. 140, </w:t>
      </w:r>
      <w:r>
        <w:rPr>
          <w:rFonts w:cs="Segoe UI Historic"/>
        </w:rPr>
        <w:t>§§</w:t>
      </w:r>
      <w:r>
        <w:t xml:space="preserve"> 129C and 131G, with affirmative defenses</w:t>
      </w:r>
      <w:r w:rsidRPr="00FE4689">
        <w:t>)</w:t>
      </w:r>
      <w:r>
        <w:t xml:space="preserve">; </w:t>
      </w:r>
      <w:bookmarkStart w:id="0" w:name="_Hlk135123244"/>
      <w:r w:rsidRPr="00865F85">
        <w:rPr>
          <w:i/>
          <w:iCs/>
        </w:rPr>
        <w:t>Commonwealth v. Harris</w:t>
      </w:r>
      <w:r>
        <w:t xml:space="preserve">, 481 Mass. 767, 773 (2019) (treating exemption under G.L. c. 140, </w:t>
      </w:r>
      <w:r>
        <w:rPr>
          <w:rFonts w:cs="Segoe UI Historic"/>
        </w:rPr>
        <w:t>§</w:t>
      </w:r>
      <w:r>
        <w:t xml:space="preserve"> 129C(h) for nonresidents traveling through Massachusetts with rifles, shotguns, and ammunition as affirmative defense)</w:t>
      </w:r>
      <w:r w:rsidR="00BA02CC">
        <w:t xml:space="preserve">. </w:t>
      </w:r>
      <w:r>
        <w:t xml:space="preserve"> </w:t>
      </w:r>
    </w:p>
    <w:bookmarkEnd w:id="0"/>
  </w:footnote>
  <w:footnote w:id="5">
    <w:p w14:paraId="76788415" w14:textId="4AA6CF7E" w:rsidR="004B1502" w:rsidRDefault="004B1502" w:rsidP="004B15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02CC">
        <w:tab/>
      </w:r>
      <w:r>
        <w:t>If the case involves a firearm found in a dresser drawer, the judge should consider using a different example, to avoid an appearance of commenting on the evidence</w:t>
      </w:r>
      <w:r w:rsidR="00BA02CC">
        <w:t xml:space="preserve">. </w:t>
      </w:r>
      <w:r>
        <w:t xml:space="preserve">Alternatives include </w:t>
      </w:r>
      <w:r w:rsidRPr="004B1A6B">
        <w:t>"things kept in the glove compartment of your car or at a storage facility" or "I am in possession of my car keys, even though they are next door on my desk."    </w:t>
      </w:r>
    </w:p>
  </w:footnote>
  <w:footnote w:id="6">
    <w:p w14:paraId="08702081" w14:textId="77777777" w:rsidR="004B1502" w:rsidRDefault="004B1502" w:rsidP="004B1502">
      <w:pPr>
        <w:pStyle w:val="FootnoteText"/>
      </w:pPr>
      <w:r w:rsidRPr="00AD7427">
        <w:rPr>
          <w:rStyle w:val="FootnoteReference"/>
          <w:sz w:val="24"/>
          <w:szCs w:val="24"/>
        </w:rPr>
        <w:footnoteRef/>
      </w:r>
      <w:r>
        <w:t xml:space="preserve"> </w:t>
      </w:r>
      <w:r>
        <w:tab/>
      </w:r>
      <w:r w:rsidRPr="00AD7427">
        <w:rPr>
          <w:i/>
          <w:iCs/>
        </w:rPr>
        <w:t>Commonwealth v. Brzezinski</w:t>
      </w:r>
      <w:r w:rsidRPr="00AD7427">
        <w:t>, 405 Mass. 401, 409</w:t>
      </w:r>
      <w:r>
        <w:t xml:space="preserve"> </w:t>
      </w:r>
      <w:r w:rsidRPr="00AD7427">
        <w:t>(1989).</w:t>
      </w:r>
    </w:p>
  </w:footnote>
  <w:footnote w:id="7">
    <w:p w14:paraId="509BA68A" w14:textId="77777777" w:rsidR="004B1502" w:rsidRPr="00831FB0" w:rsidRDefault="004B1502" w:rsidP="004B1502">
      <w:pPr>
        <w:pStyle w:val="FootnoteText"/>
        <w:rPr>
          <w:b/>
          <w:bCs/>
        </w:rPr>
      </w:pPr>
      <w:r w:rsidRPr="00DC1C5E">
        <w:rPr>
          <w:rStyle w:val="FootnoteReference"/>
          <w:sz w:val="24"/>
          <w:szCs w:val="24"/>
        </w:rPr>
        <w:footnoteRef/>
      </w:r>
      <w:r>
        <w:t xml:space="preserve"> </w:t>
      </w:r>
      <w:r>
        <w:tab/>
        <w:t xml:space="preserve">G.L. c. 269, </w:t>
      </w:r>
      <w:r>
        <w:rPr>
          <w:rFonts w:cs="Segoe UI Historic"/>
        </w:rPr>
        <w:t>§</w:t>
      </w:r>
      <w:r>
        <w:t xml:space="preserve"> 10(o).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EEB0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DCC1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38BD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00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4A30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425C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C5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64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B24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70E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262685137">
    <w:abstractNumId w:val="12"/>
  </w:num>
  <w:num w:numId="2" w16cid:durableId="103810046">
    <w:abstractNumId w:val="11"/>
  </w:num>
  <w:num w:numId="3" w16cid:durableId="358627051">
    <w:abstractNumId w:val="0"/>
  </w:num>
  <w:num w:numId="4" w16cid:durableId="1844858841">
    <w:abstractNumId w:val="1"/>
  </w:num>
  <w:num w:numId="5" w16cid:durableId="1420637238">
    <w:abstractNumId w:val="2"/>
  </w:num>
  <w:num w:numId="6" w16cid:durableId="510295727">
    <w:abstractNumId w:val="3"/>
  </w:num>
  <w:num w:numId="7" w16cid:durableId="1024135582">
    <w:abstractNumId w:val="8"/>
  </w:num>
  <w:num w:numId="8" w16cid:durableId="161046453">
    <w:abstractNumId w:val="4"/>
  </w:num>
  <w:num w:numId="9" w16cid:durableId="1932273426">
    <w:abstractNumId w:val="5"/>
  </w:num>
  <w:num w:numId="10" w16cid:durableId="805005143">
    <w:abstractNumId w:val="6"/>
  </w:num>
  <w:num w:numId="11" w16cid:durableId="2142720979">
    <w:abstractNumId w:val="7"/>
  </w:num>
  <w:num w:numId="12" w16cid:durableId="1321542188">
    <w:abstractNumId w:val="9"/>
  </w:num>
  <w:num w:numId="13" w16cid:durableId="491679309">
    <w:abstractNumId w:val="11"/>
  </w:num>
  <w:num w:numId="14" w16cid:durableId="156860942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10739E"/>
    <w:rsid w:val="00130F23"/>
    <w:rsid w:val="0017397B"/>
    <w:rsid w:val="001B7748"/>
    <w:rsid w:val="001C5FA5"/>
    <w:rsid w:val="001D701D"/>
    <w:rsid w:val="001E2162"/>
    <w:rsid w:val="00221552"/>
    <w:rsid w:val="00257345"/>
    <w:rsid w:val="00294F89"/>
    <w:rsid w:val="002A2C60"/>
    <w:rsid w:val="00303039"/>
    <w:rsid w:val="00316229"/>
    <w:rsid w:val="00395BF2"/>
    <w:rsid w:val="00420329"/>
    <w:rsid w:val="004848CB"/>
    <w:rsid w:val="004A3BE2"/>
    <w:rsid w:val="004B1502"/>
    <w:rsid w:val="00516C98"/>
    <w:rsid w:val="005446C0"/>
    <w:rsid w:val="00550249"/>
    <w:rsid w:val="00594672"/>
    <w:rsid w:val="00596E5A"/>
    <w:rsid w:val="005B14D6"/>
    <w:rsid w:val="00676B44"/>
    <w:rsid w:val="006F3582"/>
    <w:rsid w:val="007D102C"/>
    <w:rsid w:val="007E7B77"/>
    <w:rsid w:val="00834E34"/>
    <w:rsid w:val="008733AA"/>
    <w:rsid w:val="00880AA6"/>
    <w:rsid w:val="0094500B"/>
    <w:rsid w:val="00992410"/>
    <w:rsid w:val="009B481F"/>
    <w:rsid w:val="00A05B86"/>
    <w:rsid w:val="00A164C0"/>
    <w:rsid w:val="00A2789E"/>
    <w:rsid w:val="00A55E4E"/>
    <w:rsid w:val="00A56498"/>
    <w:rsid w:val="00A76145"/>
    <w:rsid w:val="00A917A4"/>
    <w:rsid w:val="00A95EAD"/>
    <w:rsid w:val="00AF6831"/>
    <w:rsid w:val="00B02468"/>
    <w:rsid w:val="00B2579A"/>
    <w:rsid w:val="00B520AB"/>
    <w:rsid w:val="00B75859"/>
    <w:rsid w:val="00BA02CC"/>
    <w:rsid w:val="00BE7335"/>
    <w:rsid w:val="00BF0717"/>
    <w:rsid w:val="00BF08B5"/>
    <w:rsid w:val="00C04612"/>
    <w:rsid w:val="00C24494"/>
    <w:rsid w:val="00C43AEF"/>
    <w:rsid w:val="00C5670C"/>
    <w:rsid w:val="00CB1756"/>
    <w:rsid w:val="00CD7576"/>
    <w:rsid w:val="00D35361"/>
    <w:rsid w:val="00D71FE5"/>
    <w:rsid w:val="00D8732A"/>
    <w:rsid w:val="00D9196F"/>
    <w:rsid w:val="00DB6604"/>
    <w:rsid w:val="00DC61A7"/>
    <w:rsid w:val="00E174B0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Kenneth W Salinger</cp:lastModifiedBy>
  <cp:revision>6</cp:revision>
  <dcterms:created xsi:type="dcterms:W3CDTF">2024-05-10T21:23:00Z</dcterms:created>
  <dcterms:modified xsi:type="dcterms:W3CDTF">2024-05-10T21:38:00Z</dcterms:modified>
</cp:coreProperties>
</file>