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9F22A8" w14:textId="3ADBD187" w:rsidR="00763A3E" w:rsidRPr="00E96FF2" w:rsidRDefault="00763A3E" w:rsidP="00763A3E">
      <w:pPr>
        <w:pStyle w:val="JuryInstructionText"/>
        <w:jc w:val="right"/>
        <w:rPr>
          <w:i/>
          <w:iCs/>
        </w:rPr>
      </w:pPr>
      <w:r w:rsidRPr="00720E2B">
        <w:rPr>
          <w:i/>
          <w:iCs/>
        </w:rPr>
        <w:t xml:space="preserve">Publication Date: </w:t>
      </w:r>
      <w:r w:rsidR="00C06CC3">
        <w:rPr>
          <w:i/>
          <w:iCs/>
        </w:rPr>
        <w:t xml:space="preserve">October </w:t>
      </w:r>
      <w:r w:rsidR="003E2F15">
        <w:rPr>
          <w:i/>
          <w:iCs/>
        </w:rPr>
        <w:t>16, 2025</w:t>
      </w:r>
    </w:p>
    <w:p w14:paraId="1687480E" w14:textId="14FF6FB8" w:rsidR="00317551" w:rsidRDefault="006B6227" w:rsidP="006B6227">
      <w:pPr>
        <w:pStyle w:val="JuryInst2"/>
      </w:pPr>
      <w:r w:rsidRPr="00C46A0C">
        <w:t>Kidnapping</w:t>
      </w:r>
      <w:r w:rsidR="0073771F">
        <w:t xml:space="preserve"> </w:t>
      </w:r>
      <w:r w:rsidR="00652D45">
        <w:rPr>
          <w:b w:val="0"/>
          <w:bCs/>
        </w:rPr>
        <w:t>[</w:t>
      </w:r>
      <w:r w:rsidR="0073771F" w:rsidRPr="00044AB6">
        <w:rPr>
          <w:b w:val="0"/>
          <w:bCs/>
        </w:rPr>
        <w:t xml:space="preserve">instruct on theories </w:t>
      </w:r>
      <w:r w:rsidR="00015D25" w:rsidRPr="00044AB6">
        <w:rPr>
          <w:b w:val="0"/>
          <w:bCs/>
        </w:rPr>
        <w:t>supported by the evidence</w:t>
      </w:r>
      <w:r w:rsidR="00652D45">
        <w:rPr>
          <w:b w:val="0"/>
          <w:bCs/>
        </w:rPr>
        <w:t>]</w:t>
      </w:r>
    </w:p>
    <w:p w14:paraId="7D7CBC2F" w14:textId="4E901FAD" w:rsidR="00865402" w:rsidRPr="00011046" w:rsidRDefault="007D549F" w:rsidP="00865402">
      <w:pPr>
        <w:pStyle w:val="JuryInstructionText"/>
        <w:ind w:left="432"/>
        <w:rPr>
          <w:b/>
          <w:bCs/>
        </w:rPr>
      </w:pPr>
      <w:r>
        <w:rPr>
          <w:b/>
          <w:bCs/>
        </w:rPr>
        <w:t>Simple</w:t>
      </w:r>
      <w:r w:rsidR="00A10004">
        <w:rPr>
          <w:b/>
          <w:bCs/>
        </w:rPr>
        <w:t>:</w:t>
      </w:r>
    </w:p>
    <w:p w14:paraId="6400B8FA" w14:textId="3B222B8E" w:rsidR="00CB2B9D" w:rsidRPr="00EE10F0" w:rsidRDefault="00F0259A" w:rsidP="004A6F59">
      <w:pPr>
        <w:pStyle w:val="JuryInst5"/>
        <w:numPr>
          <w:ilvl w:val="3"/>
          <w:numId w:val="19"/>
        </w:numPr>
        <w:tabs>
          <w:tab w:val="right" w:leader="dot" w:pos="8640"/>
        </w:tabs>
      </w:pPr>
      <w:r>
        <w:t>C</w:t>
      </w:r>
      <w:r w:rsidR="00355805">
        <w:t>onfin</w:t>
      </w:r>
      <w:r w:rsidR="000D5328">
        <w:t>ed</w:t>
      </w:r>
      <w:r w:rsidR="003029A1">
        <w:t xml:space="preserve"> </w:t>
      </w:r>
      <w:r w:rsidR="00355805">
        <w:t>in Massachusetts</w:t>
      </w:r>
      <w:r w:rsidR="0016715D">
        <w:tab/>
      </w:r>
      <w:r w:rsidR="00241194" w:rsidRPr="00EE10F0">
        <w:t>2–3</w:t>
      </w:r>
    </w:p>
    <w:p w14:paraId="65AB9E42" w14:textId="3CA3C9AD" w:rsidR="0041324D" w:rsidRPr="00EE10F0" w:rsidRDefault="00BB0E40" w:rsidP="004A6F59">
      <w:pPr>
        <w:pStyle w:val="JuryInst5"/>
        <w:numPr>
          <w:ilvl w:val="3"/>
          <w:numId w:val="19"/>
        </w:numPr>
        <w:tabs>
          <w:tab w:val="right" w:leader="dot" w:pos="8640"/>
        </w:tabs>
      </w:pPr>
      <w:r w:rsidRPr="00EE10F0">
        <w:t>C</w:t>
      </w:r>
      <w:r w:rsidR="000D5328" w:rsidRPr="00EE10F0">
        <w:t>arried</w:t>
      </w:r>
      <w:r w:rsidR="00CB5495" w:rsidRPr="00EE10F0">
        <w:t xml:space="preserve"> or </w:t>
      </w:r>
      <w:r w:rsidR="003029A1" w:rsidRPr="00EE10F0">
        <w:t>sen</w:t>
      </w:r>
      <w:r w:rsidR="000D5328" w:rsidRPr="00EE10F0">
        <w:t>t</w:t>
      </w:r>
      <w:r w:rsidR="003029A1" w:rsidRPr="00EE10F0">
        <w:t xml:space="preserve"> out of Massachusetts</w:t>
      </w:r>
      <w:r w:rsidR="009A2E35" w:rsidRPr="00EE10F0">
        <w:tab/>
      </w:r>
      <w:r w:rsidR="00241194" w:rsidRPr="00EE10F0">
        <w:t>3–4</w:t>
      </w:r>
    </w:p>
    <w:p w14:paraId="5D5DD2EB" w14:textId="6C3C242A" w:rsidR="00011046" w:rsidRPr="00EE10F0" w:rsidRDefault="00544AF6" w:rsidP="004A6F59">
      <w:pPr>
        <w:pStyle w:val="JuryInst5"/>
        <w:numPr>
          <w:ilvl w:val="3"/>
          <w:numId w:val="19"/>
        </w:numPr>
        <w:tabs>
          <w:tab w:val="right" w:leader="dot" w:pos="8640"/>
        </w:tabs>
      </w:pPr>
      <w:r w:rsidRPr="00EE10F0">
        <w:t xml:space="preserve">Seized </w:t>
      </w:r>
      <w:r w:rsidR="0009239E">
        <w:t>and</w:t>
      </w:r>
      <w:r w:rsidRPr="00EE10F0">
        <w:t xml:space="preserve"> confined, or inveigled, with</w:t>
      </w:r>
      <w:r w:rsidR="004C2476" w:rsidRPr="00EE10F0">
        <w:t xml:space="preserve"> specific </w:t>
      </w:r>
      <w:r w:rsidRPr="00EE10F0">
        <w:t>intent</w:t>
      </w:r>
      <w:r w:rsidR="009A2E35" w:rsidRPr="00EE10F0">
        <w:tab/>
      </w:r>
      <w:r w:rsidR="00A45B4E" w:rsidRPr="00EE10F0">
        <w:t>4–</w:t>
      </w:r>
      <w:r w:rsidR="008B2A82">
        <w:t>6</w:t>
      </w:r>
      <w:r w:rsidR="00011046" w:rsidRPr="00EE10F0">
        <w:t xml:space="preserve"> </w:t>
      </w:r>
    </w:p>
    <w:p w14:paraId="3F970F70" w14:textId="5AFC4E1F" w:rsidR="00F37635" w:rsidRPr="001F1C46" w:rsidRDefault="00F37635" w:rsidP="00F37635">
      <w:pPr>
        <w:pStyle w:val="JuryInstructionText"/>
        <w:ind w:left="432"/>
        <w:rPr>
          <w:b/>
          <w:bCs/>
        </w:rPr>
      </w:pPr>
      <w:r w:rsidRPr="001F1C46">
        <w:rPr>
          <w:b/>
          <w:bCs/>
        </w:rPr>
        <w:t>Aggravated</w:t>
      </w:r>
      <w:r w:rsidR="001F1C46" w:rsidRPr="001F1C46">
        <w:rPr>
          <w:b/>
          <w:bCs/>
        </w:rPr>
        <w:t>:</w:t>
      </w:r>
    </w:p>
    <w:p w14:paraId="60A06C8E" w14:textId="09F86736" w:rsidR="00D01602" w:rsidRDefault="00DD0DB6" w:rsidP="004A6F59">
      <w:pPr>
        <w:pStyle w:val="JuryInst4"/>
        <w:numPr>
          <w:ilvl w:val="3"/>
          <w:numId w:val="21"/>
        </w:numPr>
        <w:tabs>
          <w:tab w:val="right" w:leader="dot" w:pos="8640"/>
        </w:tabs>
      </w:pPr>
      <w:r>
        <w:t>Of a child under the age of 16</w:t>
      </w:r>
      <w:r w:rsidRPr="00DD0DB6">
        <w:tab/>
        <w:t>7</w:t>
      </w:r>
    </w:p>
    <w:p w14:paraId="28D1956A" w14:textId="1989203F" w:rsidR="00C872A1" w:rsidRPr="00B3212C" w:rsidRDefault="00BB0E40" w:rsidP="004A6F59">
      <w:pPr>
        <w:pStyle w:val="JuryInst4"/>
        <w:numPr>
          <w:ilvl w:val="3"/>
          <w:numId w:val="21"/>
        </w:numPr>
        <w:tabs>
          <w:tab w:val="right" w:leader="dot" w:pos="8640"/>
        </w:tabs>
      </w:pPr>
      <w:r>
        <w:t>W</w:t>
      </w:r>
      <w:r w:rsidR="00FD6F96">
        <w:t>ith</w:t>
      </w:r>
      <w:r w:rsidR="0096419D">
        <w:t xml:space="preserve"> intent to extort</w:t>
      </w:r>
      <w:bookmarkStart w:id="0" w:name="_Hlk209425939"/>
      <w:r w:rsidR="001E064C">
        <w:tab/>
      </w:r>
      <w:r w:rsidR="005A3A5C" w:rsidRPr="00B3212C">
        <w:t>8</w:t>
      </w:r>
      <w:bookmarkEnd w:id="0"/>
    </w:p>
    <w:p w14:paraId="354F3064" w14:textId="5E6EF720" w:rsidR="0096419D" w:rsidRPr="00B3212C" w:rsidRDefault="00BB0E40" w:rsidP="004A6F59">
      <w:pPr>
        <w:pStyle w:val="JuryInst4"/>
        <w:tabs>
          <w:tab w:val="right" w:leader="dot" w:pos="8640"/>
        </w:tabs>
      </w:pPr>
      <w:r w:rsidRPr="00B3212C">
        <w:t>A</w:t>
      </w:r>
      <w:r w:rsidR="006E3526" w:rsidRPr="00B3212C">
        <w:t xml:space="preserve">rmed </w:t>
      </w:r>
      <w:r w:rsidR="00FD6F96" w:rsidRPr="00B3212C">
        <w:t>with</w:t>
      </w:r>
      <w:r w:rsidR="00A216D0" w:rsidRPr="00B3212C">
        <w:t xml:space="preserve"> firearm</w:t>
      </w:r>
      <w:r w:rsidR="00181C27" w:rsidRPr="00B3212C">
        <w:t xml:space="preserve"> or assault weapon</w:t>
      </w:r>
      <w:r w:rsidR="0016715D" w:rsidRPr="00B3212C">
        <w:tab/>
      </w:r>
      <w:r w:rsidR="00E50480">
        <w:t>8</w:t>
      </w:r>
      <w:r w:rsidR="002C1DEA">
        <w:t>–1</w:t>
      </w:r>
      <w:r w:rsidR="00EF2377">
        <w:t>4</w:t>
      </w:r>
    </w:p>
    <w:p w14:paraId="51D26B02" w14:textId="462A359B" w:rsidR="00DD1DD4" w:rsidRPr="00B3212C" w:rsidRDefault="003D3334" w:rsidP="004A6F59">
      <w:pPr>
        <w:pStyle w:val="JuryInst4"/>
        <w:tabs>
          <w:tab w:val="right" w:leader="dot" w:pos="8640"/>
        </w:tabs>
      </w:pPr>
      <w:r w:rsidRPr="00B3212C">
        <w:t>With dang</w:t>
      </w:r>
      <w:r w:rsidR="00EA632C" w:rsidRPr="00B3212C">
        <w:t>.</w:t>
      </w:r>
      <w:r w:rsidRPr="00B3212C">
        <w:t xml:space="preserve"> weapon, </w:t>
      </w:r>
      <w:r w:rsidR="004C449E" w:rsidRPr="00B3212C">
        <w:t>inflict</w:t>
      </w:r>
      <w:r w:rsidR="00295458" w:rsidRPr="00B3212C">
        <w:t>ed</w:t>
      </w:r>
      <w:r w:rsidRPr="00B3212C">
        <w:t xml:space="preserve"> serious</w:t>
      </w:r>
      <w:r w:rsidR="00FC0D6F" w:rsidRPr="00B3212C">
        <w:t xml:space="preserve"> bodily injury</w:t>
      </w:r>
      <w:r w:rsidR="000764A4" w:rsidRPr="00B3212C">
        <w:tab/>
      </w:r>
      <w:r w:rsidR="00CD68F8" w:rsidRPr="00B3212C">
        <w:t>1</w:t>
      </w:r>
      <w:r w:rsidR="00E50480">
        <w:t>5</w:t>
      </w:r>
      <w:r w:rsidR="002C1DEA">
        <w:t>–</w:t>
      </w:r>
      <w:r w:rsidR="005404DF" w:rsidRPr="00B3212C">
        <w:t>1</w:t>
      </w:r>
      <w:r w:rsidR="00E50480">
        <w:t>6</w:t>
      </w:r>
    </w:p>
    <w:p w14:paraId="314BFC9E" w14:textId="69557FD8" w:rsidR="007531FB" w:rsidRPr="00B3212C" w:rsidRDefault="00EA632C" w:rsidP="004A6F59">
      <w:pPr>
        <w:pStyle w:val="JuryInst4"/>
        <w:tabs>
          <w:tab w:val="right" w:leader="dot" w:pos="8640"/>
        </w:tabs>
        <w:spacing w:after="120"/>
      </w:pPr>
      <w:r w:rsidRPr="00B3212C">
        <w:t>With</w:t>
      </w:r>
      <w:r w:rsidR="00BC1CFA" w:rsidRPr="00B3212C">
        <w:t xml:space="preserve"> dang</w:t>
      </w:r>
      <w:r w:rsidR="007370CC" w:rsidRPr="00B3212C">
        <w:t>.</w:t>
      </w:r>
      <w:r w:rsidR="00BC1CFA" w:rsidRPr="00B3212C">
        <w:t xml:space="preserve"> </w:t>
      </w:r>
      <w:r w:rsidRPr="00B3212C">
        <w:t>w</w:t>
      </w:r>
      <w:r w:rsidR="00BC1CFA" w:rsidRPr="00B3212C">
        <w:t>eapo</w:t>
      </w:r>
      <w:r w:rsidRPr="00B3212C">
        <w:t xml:space="preserve">n, </w:t>
      </w:r>
      <w:r w:rsidR="004C449E" w:rsidRPr="00B3212C">
        <w:t>commit</w:t>
      </w:r>
      <w:r w:rsidR="00295458" w:rsidRPr="00B3212C">
        <w:t>ted</w:t>
      </w:r>
      <w:r w:rsidRPr="00B3212C">
        <w:t xml:space="preserve"> sexual assault</w:t>
      </w:r>
      <w:r w:rsidR="00863688" w:rsidRPr="00B3212C">
        <w:tab/>
      </w:r>
      <w:r w:rsidR="005404DF" w:rsidRPr="00B3212C">
        <w:t>1</w:t>
      </w:r>
      <w:r w:rsidR="00B3212C" w:rsidRPr="00B3212C">
        <w:t>6</w:t>
      </w:r>
      <w:r w:rsidR="00863688" w:rsidRPr="00B3212C">
        <w:t>-</w:t>
      </w:r>
      <w:r w:rsidR="005404DF" w:rsidRPr="00B3212C">
        <w:t>1</w:t>
      </w:r>
      <w:r w:rsidR="00EF2377">
        <w:t>8</w:t>
      </w:r>
      <w:r w:rsidR="007531FB" w:rsidRPr="00B3212C">
        <w:t xml:space="preserve"> </w:t>
      </w:r>
    </w:p>
    <w:p w14:paraId="760A0446" w14:textId="25D705D6" w:rsidR="00A4464E" w:rsidRDefault="00A4464E" w:rsidP="0096419D">
      <w:pPr>
        <w:pStyle w:val="JuryInstructionText"/>
      </w:pPr>
      <w:r>
        <w:t>________________________________________________________________________________</w:t>
      </w:r>
    </w:p>
    <w:p w14:paraId="01C970E2" w14:textId="6798CF3A" w:rsidR="0096419D" w:rsidRDefault="002E0EAB" w:rsidP="0096419D">
      <w:pPr>
        <w:pStyle w:val="JuryInstructionText"/>
        <w:rPr>
          <w:b/>
          <w:bCs/>
        </w:rPr>
      </w:pPr>
      <w:r w:rsidRPr="00BF52ED">
        <w:rPr>
          <w:b/>
          <w:bCs/>
        </w:rPr>
        <w:t>Simple</w:t>
      </w:r>
      <w:r w:rsidR="00802499">
        <w:rPr>
          <w:b/>
          <w:bCs/>
        </w:rPr>
        <w:t xml:space="preserve"> kidnapping</w:t>
      </w:r>
      <w:r w:rsidR="00BF52ED" w:rsidRPr="00BF52ED">
        <w:rPr>
          <w:b/>
          <w:bCs/>
          <w:vertAlign w:val="superscript"/>
        </w:rPr>
        <w:footnoteReference w:id="1"/>
      </w:r>
    </w:p>
    <w:p w14:paraId="4B80C6FE" w14:textId="539D8539" w:rsidR="0062732A" w:rsidRPr="00054792" w:rsidRDefault="006909B9" w:rsidP="0096419D">
      <w:pPr>
        <w:pStyle w:val="JuryInstructionText"/>
      </w:pPr>
      <w:r>
        <w:rPr>
          <w:b/>
          <w:bCs/>
        </w:rPr>
        <w:t xml:space="preserve">IF CHARGING ON MORE THAN ONE THEORY: </w:t>
      </w:r>
      <w:r>
        <w:t xml:space="preserve">The crime of kidnapping can be committed in more than one way. Dft is charged with kidnapping by </w:t>
      </w:r>
      <w:r w:rsidRPr="0056572F">
        <w:rPr>
          <w:b/>
          <w:bCs/>
        </w:rPr>
        <w:t>[</w:t>
      </w:r>
      <w:r>
        <w:rPr>
          <w:b/>
          <w:bCs/>
        </w:rPr>
        <w:t xml:space="preserve">insert as appropriate: </w:t>
      </w:r>
      <w:r>
        <w:t>confining Avm in Massachusetts</w:t>
      </w:r>
      <w:r w:rsidR="005A694C">
        <w:t>;</w:t>
      </w:r>
      <w:r>
        <w:t xml:space="preserve"> carrying or sending Avm out of Massachusetts</w:t>
      </w:r>
      <w:r w:rsidR="005A694C">
        <w:t>;</w:t>
      </w:r>
      <w:r>
        <w:t xml:space="preserve"> and </w:t>
      </w:r>
      <w:r w:rsidR="00AA2411">
        <w:t xml:space="preserve">seizing </w:t>
      </w:r>
      <w:r w:rsidR="005A694C">
        <w:t xml:space="preserve">and confining, </w:t>
      </w:r>
      <w:r w:rsidR="00AA2411">
        <w:t xml:space="preserve">or </w:t>
      </w:r>
      <w:r w:rsidR="00BB7E2E">
        <w:t>inveigling</w:t>
      </w:r>
      <w:r w:rsidR="005A694C">
        <w:t>,</w:t>
      </w:r>
      <w:r w:rsidR="00AA2411">
        <w:t xml:space="preserve"> Avm with </w:t>
      </w:r>
      <w:r w:rsidR="0062732A">
        <w:t xml:space="preserve">a specific </w:t>
      </w:r>
      <w:r w:rsidR="00AA2411">
        <w:t>intent</w:t>
      </w:r>
      <w:r w:rsidR="00AA2411" w:rsidRPr="0056572F">
        <w:rPr>
          <w:b/>
          <w:bCs/>
        </w:rPr>
        <w:t>]</w:t>
      </w:r>
      <w:r w:rsidR="00A97EA2">
        <w:rPr>
          <w:b/>
          <w:bCs/>
        </w:rPr>
        <w:t>.</w:t>
      </w:r>
      <w:r w:rsidR="0062732A">
        <w:rPr>
          <w:b/>
          <w:bCs/>
        </w:rPr>
        <w:t xml:space="preserve"> </w:t>
      </w:r>
      <w:r w:rsidR="0062732A">
        <w:t xml:space="preserve">The Commonwealth may prove Dft guilty of </w:t>
      </w:r>
      <w:r w:rsidR="0062732A">
        <w:lastRenderedPageBreak/>
        <w:t>kidnapping if it proves each element of one or more of these theories. I will now describe what the Commonwealth must do to prove each theory.</w:t>
      </w:r>
    </w:p>
    <w:p w14:paraId="7AFC9F13" w14:textId="4D26D4F7" w:rsidR="002E0EAB" w:rsidRPr="00BF52ED" w:rsidRDefault="0018311B" w:rsidP="0018311B">
      <w:pPr>
        <w:pStyle w:val="JuryInstructionText"/>
        <w:numPr>
          <w:ilvl w:val="0"/>
          <w:numId w:val="22"/>
        </w:numPr>
        <w:rPr>
          <w:b/>
          <w:bCs/>
        </w:rPr>
      </w:pPr>
      <w:r w:rsidRPr="00BF52ED">
        <w:rPr>
          <w:b/>
          <w:bCs/>
        </w:rPr>
        <w:t>Confined in Massachusetts</w:t>
      </w:r>
    </w:p>
    <w:p w14:paraId="63E021F0" w14:textId="5AFD29B9" w:rsidR="00317551" w:rsidRPr="00D043F6" w:rsidRDefault="007A0BA8" w:rsidP="00F30B37">
      <w:pPr>
        <w:pStyle w:val="JuryInstructionText"/>
        <w:rPr>
          <w:b/>
        </w:rPr>
      </w:pPr>
      <w:r>
        <w:t>Dft</w:t>
      </w:r>
      <w:r w:rsidR="003600B7">
        <w:t xml:space="preserve"> </w:t>
      </w:r>
      <w:r w:rsidR="00317551">
        <w:t>is charged with kidnapping</w:t>
      </w:r>
      <w:r w:rsidR="005A3B8E">
        <w:t xml:space="preserve"> </w:t>
      </w:r>
      <w:r>
        <w:t>Avm</w:t>
      </w:r>
      <w:r w:rsidR="00AA2411">
        <w:t xml:space="preserve"> </w:t>
      </w:r>
      <w:r w:rsidR="00AA2411" w:rsidRPr="0056572F">
        <w:rPr>
          <w:b/>
          <w:bCs/>
        </w:rPr>
        <w:t>[</w:t>
      </w:r>
      <w:r w:rsidR="00AA2411">
        <w:rPr>
          <w:b/>
          <w:bCs/>
        </w:rPr>
        <w:t xml:space="preserve">if more than one theory: </w:t>
      </w:r>
      <w:r w:rsidR="00AA2411">
        <w:t>by confining Avm in Massachusetts</w:t>
      </w:r>
      <w:r w:rsidR="00AA2411" w:rsidRPr="0056572F">
        <w:rPr>
          <w:b/>
          <w:bCs/>
        </w:rPr>
        <w:t>]</w:t>
      </w:r>
      <w:r w:rsidR="00F44328">
        <w:t>. T</w:t>
      </w:r>
      <w:r w:rsidR="00317551">
        <w:t xml:space="preserve">o prove </w:t>
      </w:r>
      <w:r>
        <w:t>Dft</w:t>
      </w:r>
      <w:r w:rsidR="00317551">
        <w:t xml:space="preserve"> guilty of kidnapping</w:t>
      </w:r>
      <w:r w:rsidR="00AA2411">
        <w:t xml:space="preserve"> </w:t>
      </w:r>
      <w:r w:rsidR="00AA2411" w:rsidRPr="0056572F">
        <w:rPr>
          <w:b/>
          <w:bCs/>
        </w:rPr>
        <w:t>[</w:t>
      </w:r>
      <w:r w:rsidR="00AA2411">
        <w:rPr>
          <w:b/>
          <w:bCs/>
        </w:rPr>
        <w:t xml:space="preserve">if more than one theory: </w:t>
      </w:r>
      <w:r w:rsidR="00AA2411">
        <w:t>on this theory</w:t>
      </w:r>
      <w:r w:rsidR="00AA2411" w:rsidRPr="0056572F">
        <w:rPr>
          <w:b/>
          <w:bCs/>
        </w:rPr>
        <w:t>]</w:t>
      </w:r>
      <w:r w:rsidR="00317551">
        <w:t xml:space="preserve">, the Commonwealth must prove </w:t>
      </w:r>
      <w:r w:rsidR="00317551" w:rsidRPr="00A76084">
        <w:t>four</w:t>
      </w:r>
      <w:r w:rsidR="00317551">
        <w:t xml:space="preserve"> elements beyond a reasonable doubt. </w:t>
      </w:r>
    </w:p>
    <w:p w14:paraId="2882E209" w14:textId="348028A1" w:rsidR="00317551" w:rsidRPr="00D043F6" w:rsidRDefault="00317551" w:rsidP="00F30B37">
      <w:pPr>
        <w:pStyle w:val="JuryInstructionElements"/>
      </w:pPr>
      <w:r>
        <w:t>1.</w:t>
      </w:r>
      <w:r>
        <w:tab/>
      </w:r>
      <w:r w:rsidR="007A0BA8">
        <w:t>Dft</w:t>
      </w:r>
      <w:r w:rsidR="005A3B8E">
        <w:t xml:space="preserve"> </w:t>
      </w:r>
      <w:r>
        <w:t xml:space="preserve">confined </w:t>
      </w:r>
      <w:r w:rsidR="007A0BA8">
        <w:t>Avm</w:t>
      </w:r>
      <w:r w:rsidR="005A3B8E">
        <w:t xml:space="preserve"> </w:t>
      </w:r>
      <w:r>
        <w:t>in Massachusetts;</w:t>
      </w:r>
      <w:r>
        <w:rPr>
          <w:rStyle w:val="FootnoteReference"/>
          <w:rFonts w:cs="Segoe UI Historic"/>
          <w:spacing w:val="-5"/>
        </w:rPr>
        <w:footnoteReference w:id="2"/>
      </w:r>
    </w:p>
    <w:p w14:paraId="402631AF" w14:textId="14622C23" w:rsidR="00317551" w:rsidRDefault="00317551" w:rsidP="00F30B37">
      <w:pPr>
        <w:pStyle w:val="JuryInstructionElements"/>
      </w:pPr>
      <w:r>
        <w:t>2.</w:t>
      </w:r>
      <w:r>
        <w:tab/>
      </w:r>
      <w:r w:rsidR="007A0BA8">
        <w:t xml:space="preserve">Dft </w:t>
      </w:r>
      <w:r>
        <w:t xml:space="preserve">did so </w:t>
      </w:r>
      <w:r w:rsidR="00D6054C">
        <w:t>by force</w:t>
      </w:r>
      <w:r>
        <w:t xml:space="preserve"> or secretly;</w:t>
      </w:r>
    </w:p>
    <w:p w14:paraId="144CEC2E" w14:textId="664E7B0D" w:rsidR="00317551" w:rsidRDefault="00317551" w:rsidP="00F30B37">
      <w:pPr>
        <w:pStyle w:val="JuryInstructionElements"/>
      </w:pPr>
      <w:r>
        <w:t>3.</w:t>
      </w:r>
      <w:r>
        <w:tab/>
      </w:r>
      <w:r w:rsidR="007A0BA8">
        <w:t xml:space="preserve">Dft </w:t>
      </w:r>
      <w:r>
        <w:t xml:space="preserve">did so against </w:t>
      </w:r>
      <w:r w:rsidR="007A0BA8">
        <w:t>Avm</w:t>
      </w:r>
      <w:r w:rsidR="003866F4">
        <w:t>’s</w:t>
      </w:r>
      <w:r>
        <w:t xml:space="preserve"> will; and</w:t>
      </w:r>
    </w:p>
    <w:p w14:paraId="660D5FE0" w14:textId="4EEF1E6D" w:rsidR="00317551" w:rsidRDefault="00317551" w:rsidP="00F30B37">
      <w:pPr>
        <w:pStyle w:val="JuryInstructionElements"/>
      </w:pPr>
      <w:r>
        <w:t>4.</w:t>
      </w:r>
      <w:r>
        <w:tab/>
      </w:r>
      <w:r w:rsidR="007A0BA8">
        <w:t xml:space="preserve">Dft </w:t>
      </w:r>
      <w:r>
        <w:t xml:space="preserve">did so without lawful authority. </w:t>
      </w:r>
    </w:p>
    <w:p w14:paraId="402B9D81" w14:textId="31D54BB8" w:rsidR="00317551" w:rsidRDefault="00804671" w:rsidP="00F30B37">
      <w:pPr>
        <w:pStyle w:val="JuryInstructionText"/>
        <w:rPr>
          <w:b/>
        </w:rPr>
      </w:pPr>
      <w:r>
        <w:t xml:space="preserve">The first element requires proof of confinement. </w:t>
      </w:r>
      <w:r w:rsidR="0028014A">
        <w:t>“C</w:t>
      </w:r>
      <w:r w:rsidR="00317551">
        <w:t>onfine” means to enclose within bounds, isolate, restrict, restrain, shut up</w:t>
      </w:r>
      <w:r w:rsidR="005F645A">
        <w:t>,</w:t>
      </w:r>
      <w:r w:rsidR="00317551">
        <w:t xml:space="preserve"> or keep in.</w:t>
      </w:r>
      <w:r w:rsidR="00317551">
        <w:rPr>
          <w:rStyle w:val="FootnoteReference"/>
          <w:rFonts w:cs="Segoe UI Historic"/>
        </w:rPr>
        <w:footnoteReference w:id="3"/>
      </w:r>
      <w:r w:rsidR="00317551">
        <w:t xml:space="preserve"> So, to prove the first element, the Commonwealth must prove that </w:t>
      </w:r>
      <w:r w:rsidR="007A0BA8">
        <w:t xml:space="preserve">Dft </w:t>
      </w:r>
      <w:r w:rsidR="00317551">
        <w:t xml:space="preserve">restrained </w:t>
      </w:r>
      <w:r w:rsidR="007A0BA8">
        <w:t>Avm</w:t>
      </w:r>
      <w:r w:rsidR="00A153F5">
        <w:t>’s</w:t>
      </w:r>
      <w:r w:rsidR="00317551">
        <w:t xml:space="preserve"> movement in some way, and did so in Massachusetts. </w:t>
      </w:r>
    </w:p>
    <w:p w14:paraId="76189772" w14:textId="5284F89B" w:rsidR="00317551" w:rsidRDefault="0028014A" w:rsidP="00F30B37">
      <w:pPr>
        <w:pStyle w:val="JuryInstructionText"/>
        <w:rPr>
          <w:b/>
        </w:rPr>
      </w:pPr>
      <w:r>
        <w:t>As for</w:t>
      </w:r>
      <w:r w:rsidR="00317551">
        <w:t xml:space="preserve"> the second element, the Commonwealth must prove either that </w:t>
      </w:r>
      <w:r w:rsidR="007A0BA8">
        <w:t xml:space="preserve">Dft </w:t>
      </w:r>
      <w:r w:rsidR="00317551">
        <w:t xml:space="preserve">used </w:t>
      </w:r>
      <w:r w:rsidR="00317551" w:rsidRPr="00D93035">
        <w:t>force</w:t>
      </w:r>
      <w:r w:rsidR="00317551">
        <w:t xml:space="preserve"> to restrain </w:t>
      </w:r>
      <w:r w:rsidR="007A0BA8">
        <w:t>Avm</w:t>
      </w:r>
      <w:r w:rsidR="002D0007">
        <w:t>’s</w:t>
      </w:r>
      <w:r w:rsidR="00317551">
        <w:t xml:space="preserve"> movement or that </w:t>
      </w:r>
      <w:r w:rsidR="002D0007">
        <w:t>the defendant</w:t>
      </w:r>
      <w:r w:rsidR="00317551">
        <w:t xml:space="preserve"> </w:t>
      </w:r>
      <w:r w:rsidR="007A0BA8">
        <w:t xml:space="preserve">secretly </w:t>
      </w:r>
      <w:r w:rsidR="00317551">
        <w:t xml:space="preserve">restrained </w:t>
      </w:r>
      <w:r w:rsidR="007A0BA8">
        <w:t>Avm</w:t>
      </w:r>
      <w:r w:rsidR="00317551">
        <w:t xml:space="preserve">. </w:t>
      </w:r>
    </w:p>
    <w:p w14:paraId="5B960516" w14:textId="66BAE438" w:rsidR="00317551" w:rsidRDefault="008E05C0" w:rsidP="00B804F7">
      <w:pPr>
        <w:pStyle w:val="JuryInstructionText"/>
        <w:rPr>
          <w:b/>
        </w:rPr>
      </w:pPr>
      <w:r>
        <w:t>“</w:t>
      </w:r>
      <w:r w:rsidR="00317551" w:rsidRPr="008E05C0">
        <w:t>Force</w:t>
      </w:r>
      <w:r>
        <w:t>”</w:t>
      </w:r>
      <w:r w:rsidR="00317551">
        <w:t xml:space="preserve"> may involve actual physical contact or threatened contact. Examples of actual force include grabbing or dragging someone. An example of </w:t>
      </w:r>
      <w:r w:rsidR="00317551">
        <w:lastRenderedPageBreak/>
        <w:t>threatened force is compelling someone to move by using menacing words or gestures.</w:t>
      </w:r>
      <w:r w:rsidR="00317551">
        <w:rPr>
          <w:rStyle w:val="FootnoteReference"/>
          <w:rFonts w:cs="Segoe UI Historic"/>
        </w:rPr>
        <w:footnoteReference w:id="4"/>
      </w:r>
      <w:r w:rsidR="00317551">
        <w:t xml:space="preserve">  </w:t>
      </w:r>
    </w:p>
    <w:p w14:paraId="3F3BEA6D" w14:textId="4BEF0AEC" w:rsidR="00317551" w:rsidRDefault="00C10F94" w:rsidP="007B4BA6">
      <w:pPr>
        <w:pStyle w:val="JuryInstructionText"/>
        <w:rPr>
          <w:b/>
        </w:rPr>
      </w:pPr>
      <w:r>
        <w:t>Confinement occurs secretly if it happens in a place or in a way that makes it unlikely that members of the public will know or learn of the person’s confinement within a reasonable period.</w:t>
      </w:r>
      <w:r w:rsidR="00276F91">
        <w:rPr>
          <w:rStyle w:val="FootnoteReference"/>
        </w:rPr>
        <w:footnoteReference w:id="5"/>
      </w:r>
      <w:r w:rsidR="00317551">
        <w:t xml:space="preserve"> </w:t>
      </w:r>
    </w:p>
    <w:p w14:paraId="3F2E4200" w14:textId="28563C4A" w:rsidR="00317551" w:rsidRDefault="00C665A1" w:rsidP="00F30B37">
      <w:pPr>
        <w:pStyle w:val="JuryInstructionText"/>
        <w:rPr>
          <w:b/>
        </w:rPr>
      </w:pPr>
      <w:r>
        <w:t>As to t</w:t>
      </w:r>
      <w:r w:rsidR="002F6E27">
        <w:t>he third element</w:t>
      </w:r>
      <w:r w:rsidR="005A3B8E">
        <w:t xml:space="preserve">, </w:t>
      </w:r>
      <w:r w:rsidR="008E25CF">
        <w:t>t</w:t>
      </w:r>
      <w:r w:rsidR="00317551">
        <w:t xml:space="preserve">he Commonwealth </w:t>
      </w:r>
      <w:r>
        <w:t>must</w:t>
      </w:r>
      <w:r w:rsidR="005A3B8E">
        <w:t xml:space="preserve"> </w:t>
      </w:r>
      <w:r w:rsidR="00317551">
        <w:t xml:space="preserve">prove that </w:t>
      </w:r>
      <w:r>
        <w:t xml:space="preserve">Dft </w:t>
      </w:r>
      <w:r w:rsidR="00317551">
        <w:t xml:space="preserve">confined </w:t>
      </w:r>
      <w:r>
        <w:t>Avm</w:t>
      </w:r>
      <w:r w:rsidR="005A3B8E">
        <w:t xml:space="preserve"> </w:t>
      </w:r>
      <w:r w:rsidR="00317551">
        <w:t xml:space="preserve">against </w:t>
      </w:r>
      <w:r>
        <w:t>Avm</w:t>
      </w:r>
      <w:r w:rsidR="00D27480">
        <w:t>’s</w:t>
      </w:r>
      <w:r w:rsidR="00317551">
        <w:t xml:space="preserve"> will, that is without </w:t>
      </w:r>
      <w:r>
        <w:t>Avm’s</w:t>
      </w:r>
      <w:r w:rsidR="005A3B8E">
        <w:t xml:space="preserve"> </w:t>
      </w:r>
      <w:r w:rsidR="00317551">
        <w:t>consent.</w:t>
      </w:r>
      <w:r w:rsidR="006F5D28">
        <w:rPr>
          <w:rStyle w:val="FootnoteReference"/>
        </w:rPr>
        <w:footnoteReference w:id="6"/>
      </w:r>
      <w:r w:rsidR="00317551">
        <w:t xml:space="preserve"> A person who submits because of force or threat of force has not consented.</w:t>
      </w:r>
      <w:r w:rsidR="00317551">
        <w:rPr>
          <w:rStyle w:val="FootnoteReference"/>
          <w:rFonts w:cs="Segoe UI Historic"/>
        </w:rPr>
        <w:footnoteReference w:id="7"/>
      </w:r>
    </w:p>
    <w:p w14:paraId="68206D45" w14:textId="5FBF185C" w:rsidR="00317551" w:rsidRDefault="00C665A1" w:rsidP="00F30B37">
      <w:pPr>
        <w:pStyle w:val="JuryInstructionText"/>
        <w:rPr>
          <w:b/>
        </w:rPr>
      </w:pPr>
      <w:r>
        <w:t>As for</w:t>
      </w:r>
      <w:r w:rsidR="005A3B8E">
        <w:t xml:space="preserve"> t</w:t>
      </w:r>
      <w:r w:rsidR="00817D57">
        <w:t>he fourth element</w:t>
      </w:r>
      <w:r>
        <w:t>,</w:t>
      </w:r>
      <w:r w:rsidR="00817D57">
        <w:t xml:space="preserve"> </w:t>
      </w:r>
      <w:r w:rsidR="00317551">
        <w:t xml:space="preserve">the Commonwealth </w:t>
      </w:r>
      <w:r>
        <w:t>must</w:t>
      </w:r>
      <w:r w:rsidR="005A3B8E">
        <w:t xml:space="preserve"> </w:t>
      </w:r>
      <w:r w:rsidR="00317551">
        <w:t xml:space="preserve">prove that </w:t>
      </w:r>
      <w:r>
        <w:t>Dft</w:t>
      </w:r>
      <w:r w:rsidR="005A3B8E">
        <w:t xml:space="preserve"> </w:t>
      </w:r>
      <w:r w:rsidR="00317551">
        <w:t xml:space="preserve">did not have lawful authority to confine </w:t>
      </w:r>
      <w:r>
        <w:t>Avm</w:t>
      </w:r>
      <w:r w:rsidR="00317551">
        <w:t xml:space="preserve">. </w:t>
      </w:r>
      <w:r w:rsidR="00317551" w:rsidRPr="002A5721">
        <w:t xml:space="preserve">An act is </w:t>
      </w:r>
      <w:r w:rsidR="00961831">
        <w:t xml:space="preserve">done </w:t>
      </w:r>
      <w:r w:rsidR="00317551" w:rsidRPr="002A5721">
        <w:t xml:space="preserve">under lawful authority if it is permitted by law. For example, a parent, teacher, or other caretaker </w:t>
      </w:r>
      <w:r w:rsidR="00317551">
        <w:t xml:space="preserve">of a child </w:t>
      </w:r>
      <w:r w:rsidR="00317551" w:rsidRPr="002A5721">
        <w:t xml:space="preserve">may reasonably limit </w:t>
      </w:r>
      <w:r w:rsidR="00317551">
        <w:t>th</w:t>
      </w:r>
      <w:r w:rsidR="006366F8">
        <w:t>e</w:t>
      </w:r>
      <w:r w:rsidR="00317551" w:rsidRPr="002A5721">
        <w:t xml:space="preserve"> child’s movement or behavior. </w:t>
      </w:r>
    </w:p>
    <w:p w14:paraId="3F0CE2B5" w14:textId="2AFFEC80" w:rsidR="00317551" w:rsidRPr="000E2744" w:rsidRDefault="00317551" w:rsidP="003E3AA2">
      <w:pPr>
        <w:pStyle w:val="JuryInst3"/>
        <w:numPr>
          <w:ilvl w:val="0"/>
          <w:numId w:val="22"/>
        </w:numPr>
      </w:pPr>
      <w:r>
        <w:t>Carried</w:t>
      </w:r>
      <w:r w:rsidR="00CB5495">
        <w:t xml:space="preserve"> or </w:t>
      </w:r>
      <w:r w:rsidR="003E3AA2">
        <w:t>s</w:t>
      </w:r>
      <w:r>
        <w:t>ent out of Massachusetts</w:t>
      </w:r>
    </w:p>
    <w:p w14:paraId="1D0E2040" w14:textId="4B9BF1A5" w:rsidR="00317551" w:rsidRPr="00D043F6" w:rsidRDefault="00C665A1" w:rsidP="00F30B37">
      <w:pPr>
        <w:pStyle w:val="JuryInstructionText"/>
        <w:rPr>
          <w:b/>
        </w:rPr>
      </w:pPr>
      <w:r>
        <w:t>Dft</w:t>
      </w:r>
      <w:r w:rsidR="005A3B8E">
        <w:t xml:space="preserve"> </w:t>
      </w:r>
      <w:r w:rsidR="00317551">
        <w:t xml:space="preserve">is charged with kidnapping </w:t>
      </w:r>
      <w:r>
        <w:t>Avm</w:t>
      </w:r>
      <w:r w:rsidR="005A3B8E">
        <w:t xml:space="preserve"> </w:t>
      </w:r>
      <w:r w:rsidR="00AA2411" w:rsidRPr="0056572F">
        <w:rPr>
          <w:b/>
          <w:bCs/>
        </w:rPr>
        <w:t>[</w:t>
      </w:r>
      <w:r w:rsidR="00AA2411">
        <w:rPr>
          <w:b/>
          <w:bCs/>
        </w:rPr>
        <w:t>if more than one theory:</w:t>
      </w:r>
      <w:r w:rsidR="007A17D0">
        <w:t xml:space="preserve"> </w:t>
      </w:r>
      <w:r w:rsidR="00AA2411">
        <w:t>by carrying or sending</w:t>
      </w:r>
      <w:r>
        <w:t xml:space="preserve"> Avm</w:t>
      </w:r>
      <w:r w:rsidR="005A3B8E">
        <w:t xml:space="preserve"> </w:t>
      </w:r>
      <w:r w:rsidR="00BC7A39">
        <w:t>out of Massachusetts</w:t>
      </w:r>
      <w:r w:rsidR="00EC79FA" w:rsidRPr="0056572F">
        <w:rPr>
          <w:b/>
          <w:bCs/>
        </w:rPr>
        <w:t>]</w:t>
      </w:r>
      <w:r w:rsidR="00317551">
        <w:t>.</w:t>
      </w:r>
      <w:r w:rsidR="00A87762">
        <w:t xml:space="preserve"> </w:t>
      </w:r>
      <w:r w:rsidR="00317551">
        <w:t xml:space="preserve">To prove </w:t>
      </w:r>
      <w:r>
        <w:t>Df</w:t>
      </w:r>
      <w:r w:rsidR="005A3B8E">
        <w:t>t</w:t>
      </w:r>
      <w:r w:rsidR="00317551">
        <w:t xml:space="preserve"> guilty of kidnapping</w:t>
      </w:r>
      <w:r w:rsidR="00AA2411">
        <w:t xml:space="preserve"> </w:t>
      </w:r>
      <w:r w:rsidR="00AA2411" w:rsidRPr="0056572F">
        <w:rPr>
          <w:b/>
          <w:bCs/>
        </w:rPr>
        <w:t>[</w:t>
      </w:r>
      <w:r w:rsidR="00AA2411">
        <w:rPr>
          <w:b/>
          <w:bCs/>
        </w:rPr>
        <w:t xml:space="preserve">if more than one theory: </w:t>
      </w:r>
      <w:r w:rsidR="00AA2411">
        <w:t>on this theory</w:t>
      </w:r>
      <w:r w:rsidR="00AA2411" w:rsidRPr="0056572F">
        <w:rPr>
          <w:b/>
          <w:bCs/>
        </w:rPr>
        <w:t>]</w:t>
      </w:r>
      <w:r w:rsidR="00317551">
        <w:t xml:space="preserve">, the Commonwealth must prove </w:t>
      </w:r>
      <w:r w:rsidR="00317551" w:rsidRPr="00022622">
        <w:t>three</w:t>
      </w:r>
      <w:r w:rsidR="00317551">
        <w:t xml:space="preserve"> elements beyond a reasonable doubt. </w:t>
      </w:r>
    </w:p>
    <w:p w14:paraId="41F7F43E" w14:textId="520EF150" w:rsidR="00317551" w:rsidRDefault="00317551" w:rsidP="00686535">
      <w:pPr>
        <w:pStyle w:val="JuryInstructionElements"/>
        <w:rPr>
          <w:b/>
        </w:rPr>
      </w:pPr>
      <w:r>
        <w:t>1.</w:t>
      </w:r>
      <w:r>
        <w:tab/>
      </w:r>
      <w:r w:rsidR="00C665A1">
        <w:t>Dft</w:t>
      </w:r>
      <w:r w:rsidR="005A3B8E">
        <w:t xml:space="preserve"> </w:t>
      </w:r>
      <w:r>
        <w:t xml:space="preserve">carried or sent </w:t>
      </w:r>
      <w:r w:rsidR="00C665A1">
        <w:t>Avm</w:t>
      </w:r>
      <w:r w:rsidR="005A3B8E">
        <w:t xml:space="preserve"> </w:t>
      </w:r>
      <w:r>
        <w:t>out of Massachusetts;</w:t>
      </w:r>
    </w:p>
    <w:p w14:paraId="6061C2D1" w14:textId="49525D17" w:rsidR="00317551" w:rsidRDefault="00317551" w:rsidP="00F30B37">
      <w:pPr>
        <w:pStyle w:val="JuryInstructionElements"/>
        <w:rPr>
          <w:b/>
        </w:rPr>
      </w:pPr>
      <w:r>
        <w:t>2.</w:t>
      </w:r>
      <w:r w:rsidR="003E0D04">
        <w:t xml:space="preserve">  </w:t>
      </w:r>
      <w:r w:rsidR="00C665A1">
        <w:t>Dft</w:t>
      </w:r>
      <w:r w:rsidR="005A3B8E">
        <w:t xml:space="preserve"> </w:t>
      </w:r>
      <w:r>
        <w:t xml:space="preserve">did so </w:t>
      </w:r>
      <w:r w:rsidR="00D6054C">
        <w:t>by force</w:t>
      </w:r>
      <w:r>
        <w:t>; and</w:t>
      </w:r>
    </w:p>
    <w:p w14:paraId="217BB308" w14:textId="61C0E87B" w:rsidR="00317551" w:rsidRDefault="00317551" w:rsidP="00F30B37">
      <w:pPr>
        <w:pStyle w:val="JuryInstructionElements"/>
        <w:rPr>
          <w:b/>
        </w:rPr>
      </w:pPr>
      <w:r>
        <w:t>3.</w:t>
      </w:r>
      <w:r>
        <w:tab/>
      </w:r>
      <w:r w:rsidR="00C665A1">
        <w:t>Dft</w:t>
      </w:r>
      <w:r w:rsidR="005A3B8E">
        <w:t xml:space="preserve"> </w:t>
      </w:r>
      <w:r>
        <w:t xml:space="preserve">did so without lawful authority. </w:t>
      </w:r>
    </w:p>
    <w:p w14:paraId="2F680C52" w14:textId="4D17E204" w:rsidR="00317551" w:rsidRDefault="00C665A1" w:rsidP="00F30B37">
      <w:pPr>
        <w:pStyle w:val="JuryInstructionText"/>
        <w:rPr>
          <w:b/>
        </w:rPr>
      </w:pPr>
      <w:r>
        <w:t>As to</w:t>
      </w:r>
      <w:r w:rsidR="00456F86">
        <w:t xml:space="preserve"> </w:t>
      </w:r>
      <w:r w:rsidR="00317551">
        <w:t xml:space="preserve">the first element, the Commonwealth must prove that </w:t>
      </w:r>
      <w:r>
        <w:t>Dft</w:t>
      </w:r>
      <w:r w:rsidR="00456F86">
        <w:t xml:space="preserve"> </w:t>
      </w:r>
      <w:r w:rsidR="00317551">
        <w:t xml:space="preserve">moved, took, or transported </w:t>
      </w:r>
      <w:r>
        <w:t xml:space="preserve">Avm </w:t>
      </w:r>
      <w:r w:rsidR="00317551">
        <w:t xml:space="preserve">out of Massachusetts, or caused </w:t>
      </w:r>
      <w:r>
        <w:t>Avm</w:t>
      </w:r>
      <w:r w:rsidR="00456F86">
        <w:t xml:space="preserve"> </w:t>
      </w:r>
      <w:r w:rsidR="00317551">
        <w:t xml:space="preserve">to be moved, taken, or transported out of Massachusetts. </w:t>
      </w:r>
    </w:p>
    <w:p w14:paraId="287C9DE6" w14:textId="34FB1E8A" w:rsidR="00317551" w:rsidRDefault="00C665A1" w:rsidP="00F30B37">
      <w:pPr>
        <w:pStyle w:val="JuryInstructionText"/>
        <w:rPr>
          <w:b/>
        </w:rPr>
      </w:pPr>
      <w:r>
        <w:lastRenderedPageBreak/>
        <w:t>As to</w:t>
      </w:r>
      <w:r w:rsidR="00456F86">
        <w:t xml:space="preserve"> </w:t>
      </w:r>
      <w:r w:rsidR="00317551">
        <w:t xml:space="preserve">the second element, the Commonwealth must prove that </w:t>
      </w:r>
      <w:r>
        <w:t>Dft</w:t>
      </w:r>
      <w:r w:rsidR="00456F86">
        <w:t xml:space="preserve"> </w:t>
      </w:r>
      <w:r w:rsidR="00317551">
        <w:t xml:space="preserve">used force to carry or send </w:t>
      </w:r>
      <w:r>
        <w:t>Avm</w:t>
      </w:r>
      <w:r w:rsidR="00456F86">
        <w:t xml:space="preserve"> </w:t>
      </w:r>
      <w:r w:rsidR="00317551">
        <w:t>out of Massachusetts. Force may involve actual physical contact or threatened contact. Examples of actual force include grabbing or dragging someone. An example of threatened force is compelling someone to move by using menacing words or gestures.</w:t>
      </w:r>
      <w:r w:rsidR="00317551">
        <w:rPr>
          <w:rStyle w:val="FootnoteReference"/>
          <w:rFonts w:cs="Segoe UI Historic"/>
        </w:rPr>
        <w:footnoteReference w:id="8"/>
      </w:r>
    </w:p>
    <w:p w14:paraId="6D12D1DF" w14:textId="2C86D0AA" w:rsidR="00317551" w:rsidRDefault="00C665A1" w:rsidP="00F30B37">
      <w:pPr>
        <w:pStyle w:val="JuryInstructionText"/>
        <w:rPr>
          <w:b/>
        </w:rPr>
      </w:pPr>
      <w:r>
        <w:t>As to</w:t>
      </w:r>
      <w:r w:rsidR="00456F86">
        <w:t xml:space="preserve"> </w:t>
      </w:r>
      <w:r w:rsidR="008974EB">
        <w:t>the third element</w:t>
      </w:r>
      <w:r w:rsidR="00D6054C">
        <w:t>,</w:t>
      </w:r>
      <w:r w:rsidR="008974EB">
        <w:t xml:space="preserve"> </w:t>
      </w:r>
      <w:r w:rsidR="00317551">
        <w:t xml:space="preserve">the Commonwealth must prove that </w:t>
      </w:r>
      <w:r>
        <w:t>Dft</w:t>
      </w:r>
      <w:r w:rsidR="00456F86">
        <w:t xml:space="preserve"> </w:t>
      </w:r>
      <w:r w:rsidR="00317551">
        <w:t xml:space="preserve">did not have lawful authority to confine </w:t>
      </w:r>
      <w:r>
        <w:t>Avm</w:t>
      </w:r>
      <w:r w:rsidR="00317551">
        <w:t xml:space="preserve">. </w:t>
      </w:r>
      <w:r w:rsidR="00317551" w:rsidRPr="002A5721">
        <w:t xml:space="preserve">An act is </w:t>
      </w:r>
      <w:r w:rsidR="00D6054C">
        <w:t xml:space="preserve">done </w:t>
      </w:r>
      <w:r w:rsidR="00317551" w:rsidRPr="002A5721">
        <w:t xml:space="preserve">under lawful authority if it is permitted by law. For example, a parent, teacher, or other caretaker of a child may reasonably limit </w:t>
      </w:r>
      <w:r w:rsidR="00317551">
        <w:t>th</w:t>
      </w:r>
      <w:r w:rsidR="00746C8A">
        <w:t>e</w:t>
      </w:r>
      <w:r w:rsidR="00317551" w:rsidRPr="002A5721">
        <w:t xml:space="preserve"> child’s movement or behavior.</w:t>
      </w:r>
    </w:p>
    <w:p w14:paraId="060A46E9" w14:textId="72D2710F" w:rsidR="00317551" w:rsidRPr="009864CB" w:rsidRDefault="00474F36" w:rsidP="009864CB">
      <w:pPr>
        <w:pStyle w:val="JuryInst3"/>
        <w:numPr>
          <w:ilvl w:val="0"/>
          <w:numId w:val="22"/>
        </w:numPr>
      </w:pPr>
      <w:bookmarkStart w:id="1" w:name="_Hlk190873874"/>
      <w:r>
        <w:t xml:space="preserve">Seized and confined, or </w:t>
      </w:r>
      <w:r w:rsidR="00C14F75">
        <w:t>inveigled,</w:t>
      </w:r>
      <w:r w:rsidR="00AA2411">
        <w:t xml:space="preserve"> with a </w:t>
      </w:r>
      <w:r w:rsidR="00AC1FD6">
        <w:t>s</w:t>
      </w:r>
      <w:r w:rsidR="00AA2411">
        <w:t xml:space="preserve">pecific </w:t>
      </w:r>
      <w:r w:rsidR="00AC1FD6">
        <w:t>i</w:t>
      </w:r>
      <w:r w:rsidR="00AA2411">
        <w:t>ntent</w:t>
      </w:r>
      <w:r w:rsidR="007443AC" w:rsidRPr="007443AC">
        <w:rPr>
          <w:rStyle w:val="FootnoteReference"/>
          <w:b/>
          <w:bCs/>
        </w:rPr>
        <w:footnoteReference w:id="9"/>
      </w:r>
    </w:p>
    <w:bookmarkEnd w:id="1"/>
    <w:p w14:paraId="467C71B8" w14:textId="4D5738F6" w:rsidR="0062732A" w:rsidRPr="000C6FC7" w:rsidRDefault="00AA2411" w:rsidP="000C6FC7">
      <w:pPr>
        <w:pStyle w:val="JuryInstructionText"/>
        <w:rPr>
          <w:b/>
        </w:rPr>
      </w:pPr>
      <w:r>
        <w:t>Df</w:t>
      </w:r>
      <w:r w:rsidR="00C14F75">
        <w:t>t</w:t>
      </w:r>
      <w:r w:rsidR="009F67A3">
        <w:t xml:space="preserve"> </w:t>
      </w:r>
      <w:r w:rsidR="00317551">
        <w:t xml:space="preserve">is charged with kidnapping </w:t>
      </w:r>
      <w:r>
        <w:t>Avm</w:t>
      </w:r>
      <w:r w:rsidR="009F67A3">
        <w:t xml:space="preserve"> </w:t>
      </w:r>
      <w:r w:rsidRPr="0056572F">
        <w:rPr>
          <w:b/>
          <w:bCs/>
        </w:rPr>
        <w:t>[</w:t>
      </w:r>
      <w:r>
        <w:rPr>
          <w:b/>
          <w:bCs/>
        </w:rPr>
        <w:t xml:space="preserve">if more than one theory: </w:t>
      </w:r>
      <w:r>
        <w:t>by seizing</w:t>
      </w:r>
      <w:r w:rsidR="00C14F75">
        <w:t xml:space="preserve"> and confining</w:t>
      </w:r>
      <w:r w:rsidR="004C2476">
        <w:t>,</w:t>
      </w:r>
      <w:r>
        <w:t xml:space="preserve"> or </w:t>
      </w:r>
      <w:r w:rsidR="004C2476">
        <w:t>inveigling,</w:t>
      </w:r>
      <w:r>
        <w:t xml:space="preserve"> Avm with a specific </w:t>
      </w:r>
      <w:r w:rsidRPr="00AA2411">
        <w:t>intent</w:t>
      </w:r>
      <w:r w:rsidR="00117C9C" w:rsidRPr="0056572F">
        <w:rPr>
          <w:b/>
          <w:bCs/>
        </w:rPr>
        <w:t>]</w:t>
      </w:r>
      <w:r w:rsidR="00117C9C">
        <w:t>.</w:t>
      </w:r>
      <w:r w:rsidR="00A87762">
        <w:t xml:space="preserve"> </w:t>
      </w:r>
      <w:r w:rsidR="00317551">
        <w:t xml:space="preserve">To prove </w:t>
      </w:r>
      <w:r w:rsidR="000178A0">
        <w:t>Dft</w:t>
      </w:r>
      <w:r w:rsidR="009F67A3">
        <w:t xml:space="preserve"> </w:t>
      </w:r>
      <w:r w:rsidR="00317551">
        <w:t>guilty of kidnapping</w:t>
      </w:r>
      <w:r w:rsidR="000178A0">
        <w:t xml:space="preserve"> </w:t>
      </w:r>
      <w:r w:rsidR="000178A0" w:rsidRPr="0056572F">
        <w:rPr>
          <w:b/>
          <w:bCs/>
        </w:rPr>
        <w:t>[</w:t>
      </w:r>
      <w:r w:rsidR="000178A0">
        <w:rPr>
          <w:b/>
          <w:bCs/>
        </w:rPr>
        <w:t>if more than one theory:</w:t>
      </w:r>
      <w:r w:rsidR="00E6783C">
        <w:t xml:space="preserve"> under this theory</w:t>
      </w:r>
      <w:r w:rsidR="000178A0" w:rsidRPr="0056572F">
        <w:rPr>
          <w:b/>
          <w:bCs/>
        </w:rPr>
        <w:t>]</w:t>
      </w:r>
      <w:r w:rsidR="00317551">
        <w:t xml:space="preserve">, the Commonwealth must prove </w:t>
      </w:r>
      <w:r w:rsidR="00317551" w:rsidRPr="00C14F75">
        <w:t>three</w:t>
      </w:r>
      <w:r w:rsidR="00317551">
        <w:t xml:space="preserve"> elements beyond a reasonable doubt.</w:t>
      </w:r>
    </w:p>
    <w:p w14:paraId="536D6DDB" w14:textId="77777777" w:rsidR="00686535" w:rsidRPr="00686535" w:rsidRDefault="00686535" w:rsidP="00686535">
      <w:pPr>
        <w:pStyle w:val="JuryInstructionElements"/>
      </w:pPr>
      <w:r w:rsidRPr="00686535">
        <w:t>1.</w:t>
      </w:r>
      <w:r w:rsidRPr="00686535">
        <w:tab/>
        <w:t>(a) Dft seized and confined Avm, or</w:t>
      </w:r>
    </w:p>
    <w:p w14:paraId="281C3A22" w14:textId="27647D54" w:rsidR="00686535" w:rsidRPr="00686535" w:rsidRDefault="00686535" w:rsidP="00686535">
      <w:pPr>
        <w:pStyle w:val="JuryInstructionElements"/>
      </w:pPr>
      <w:r w:rsidRPr="00686535">
        <w:t xml:space="preserve">    </w:t>
      </w:r>
      <w:r w:rsidR="003E0D04">
        <w:t xml:space="preserve"> </w:t>
      </w:r>
      <w:r w:rsidRPr="00686535">
        <w:t>(b) Dft inveigled Avm;</w:t>
      </w:r>
    </w:p>
    <w:p w14:paraId="5DEF0071" w14:textId="77777777" w:rsidR="00686535" w:rsidRPr="00686535" w:rsidRDefault="00686535" w:rsidP="00686535">
      <w:pPr>
        <w:pStyle w:val="JuryInstructionElements"/>
      </w:pPr>
      <w:r w:rsidRPr="00686535">
        <w:t>2.</w:t>
      </w:r>
      <w:r w:rsidRPr="00686535">
        <w:tab/>
        <w:t>Dft did so without lawful authority; and</w:t>
      </w:r>
    </w:p>
    <w:p w14:paraId="0FF78D5C" w14:textId="7E820A41" w:rsidR="009F67A3" w:rsidRDefault="00686535" w:rsidP="00686535">
      <w:pPr>
        <w:pStyle w:val="JuryInstructionElements"/>
      </w:pPr>
      <w:r w:rsidRPr="00686535">
        <w:t xml:space="preserve">3.  Dft intended to cause Avm </w:t>
      </w:r>
      <w:r w:rsidRPr="00686535">
        <w:rPr>
          <w:b/>
          <w:bCs/>
        </w:rPr>
        <w:t xml:space="preserve">[instruct </w:t>
      </w:r>
      <w:r w:rsidR="00D22C10">
        <w:rPr>
          <w:b/>
          <w:bCs/>
        </w:rPr>
        <w:t>as relevant</w:t>
      </w:r>
      <w:r w:rsidRPr="00686535">
        <w:rPr>
          <w:b/>
          <w:bCs/>
        </w:rPr>
        <w:t xml:space="preserve">: </w:t>
      </w:r>
      <w:r w:rsidRPr="00686535">
        <w:t>to be secretly confined in Massachusetts against Avm’s will, to be sent out of Massachusetts against Avm’s will, or to be held to service against Avm’s will</w:t>
      </w:r>
      <w:r w:rsidRPr="00686535">
        <w:rPr>
          <w:b/>
          <w:bCs/>
        </w:rPr>
        <w:t>]</w:t>
      </w:r>
      <w:r w:rsidR="009F67A3">
        <w:t>.</w:t>
      </w:r>
      <w:r w:rsidR="00F67F2D" w:rsidRPr="00F67F2D">
        <w:rPr>
          <w:b/>
          <w:vertAlign w:val="superscript"/>
        </w:rPr>
        <w:footnoteReference w:id="10"/>
      </w:r>
    </w:p>
    <w:p w14:paraId="2B605709" w14:textId="7139D974" w:rsidR="00522DE1" w:rsidRDefault="00533ECF" w:rsidP="001536F2">
      <w:pPr>
        <w:pStyle w:val="JuryInstructionText"/>
      </w:pPr>
      <w:r>
        <w:lastRenderedPageBreak/>
        <w:t xml:space="preserve">The Commonwealth may prove the first element </w:t>
      </w:r>
      <w:r w:rsidR="00522DE1">
        <w:rPr>
          <w:b/>
          <w:bCs/>
        </w:rPr>
        <w:t xml:space="preserve">[instruct </w:t>
      </w:r>
      <w:r w:rsidR="00BF7A49">
        <w:rPr>
          <w:b/>
          <w:bCs/>
        </w:rPr>
        <w:t>as</w:t>
      </w:r>
      <w:r w:rsidR="00522DE1">
        <w:rPr>
          <w:b/>
          <w:bCs/>
        </w:rPr>
        <w:t xml:space="preserve"> relevant: </w:t>
      </w:r>
      <w:r>
        <w:t>in one of two ways: by proving Dft seized</w:t>
      </w:r>
      <w:r w:rsidR="007C1D40">
        <w:t xml:space="preserve"> and confined</w:t>
      </w:r>
      <w:r>
        <w:t xml:space="preserve"> Avm, or by proving that Dft </w:t>
      </w:r>
      <w:r w:rsidR="00FE003F">
        <w:t>inveigled</w:t>
      </w:r>
      <w:r>
        <w:t xml:space="preserve"> Avm</w:t>
      </w:r>
      <w:r w:rsidR="00522DE1">
        <w:rPr>
          <w:b/>
          <w:bCs/>
        </w:rPr>
        <w:t>]</w:t>
      </w:r>
      <w:r>
        <w:t xml:space="preserve">. </w:t>
      </w:r>
    </w:p>
    <w:p w14:paraId="08A0CF15" w14:textId="06797813" w:rsidR="00533ECF" w:rsidRDefault="00533ECF" w:rsidP="001536F2">
      <w:pPr>
        <w:pStyle w:val="JuryInstructionText"/>
      </w:pPr>
      <w:r>
        <w:t xml:space="preserve">“To seize” means </w:t>
      </w:r>
      <w:r w:rsidR="00522DE1">
        <w:t xml:space="preserve">to </w:t>
      </w:r>
      <w:r>
        <w:t>take possession of a person by force.</w:t>
      </w:r>
      <w:r w:rsidR="00522DE1">
        <w:rPr>
          <w:rStyle w:val="FootnoteReference"/>
          <w:rFonts w:cs="Segoe UI Historic"/>
        </w:rPr>
        <w:footnoteReference w:id="11"/>
      </w:r>
      <w:r>
        <w:t xml:space="preserve"> </w:t>
      </w:r>
      <w:r w:rsidR="00522DE1">
        <w:t>“Force” may involve actual physical contact or threatened contact. Examples of actual force include grabbing or dragging someone. An example of threatened force is compelling someone to move by using menacing words or gestures.</w:t>
      </w:r>
      <w:r w:rsidR="00522DE1">
        <w:rPr>
          <w:rStyle w:val="FootnoteReference"/>
          <w:rFonts w:cs="Segoe UI Historic"/>
        </w:rPr>
        <w:footnoteReference w:id="12"/>
      </w:r>
    </w:p>
    <w:p w14:paraId="3F0E78A5" w14:textId="5BF93F69" w:rsidR="00317551" w:rsidRDefault="00522DE1" w:rsidP="001536F2">
      <w:pPr>
        <w:pStyle w:val="JuryInstructionText"/>
      </w:pPr>
      <w:r>
        <w:t xml:space="preserve">“To confine” means </w:t>
      </w:r>
      <w:r w:rsidR="00317551">
        <w:t>to enclose within bounds, isolate, restrict, re</w:t>
      </w:r>
      <w:r w:rsidR="00E00B4A">
        <w:t>s</w:t>
      </w:r>
      <w:r w:rsidR="00317551">
        <w:t>train, shut up</w:t>
      </w:r>
      <w:r w:rsidR="00E00B4A">
        <w:t>,</w:t>
      </w:r>
      <w:r w:rsidR="00317551">
        <w:t xml:space="preserve"> or keep in.</w:t>
      </w:r>
    </w:p>
    <w:p w14:paraId="5C4AF5D5" w14:textId="6BBC8A10" w:rsidR="00A2028E" w:rsidRPr="00A2028E" w:rsidRDefault="00A2028E" w:rsidP="00A2028E">
      <w:pPr>
        <w:pStyle w:val="JuryInstructionText"/>
      </w:pPr>
      <w:r w:rsidRPr="00A2028E">
        <w:t>“To inveigle” means to lure or entice a person into confinement or restraint by trick, false representations or promises, or other deceitful means.</w:t>
      </w:r>
      <w:r w:rsidR="006242C3">
        <w:rPr>
          <w:rStyle w:val="FootnoteReference"/>
        </w:rPr>
        <w:footnoteReference w:id="13"/>
      </w:r>
      <w:r w:rsidRPr="00A2028E">
        <w:t xml:space="preserve"> For example, lying to a person about the purpose for which a trip is taken in order to lure that person into a vehicle is inveiglement.  </w:t>
      </w:r>
    </w:p>
    <w:p w14:paraId="4E4E1697" w14:textId="6696A332" w:rsidR="00E66399" w:rsidRPr="00E66399" w:rsidRDefault="00E66399" w:rsidP="00E66399">
      <w:pPr>
        <w:pStyle w:val="JuryInstructionText"/>
        <w:rPr>
          <w:b/>
        </w:rPr>
      </w:pPr>
      <w:r w:rsidRPr="00E66399">
        <w:t xml:space="preserve">As to the second element, the Commonwealth must prove that Dft did not have lawful authority to confine Avm. An act is </w:t>
      </w:r>
      <w:r w:rsidR="00485BB3">
        <w:t xml:space="preserve">done </w:t>
      </w:r>
      <w:r w:rsidRPr="00E66399">
        <w:t>under lawful authority if it is permitted by law. For example, a parent, teacher, or other caretaker of a child may reasonably limit th</w:t>
      </w:r>
      <w:r w:rsidR="00485BB3">
        <w:t>e</w:t>
      </w:r>
      <w:r w:rsidRPr="00E66399">
        <w:t xml:space="preserve"> child’s movement or behavior.</w:t>
      </w:r>
    </w:p>
    <w:p w14:paraId="316D8C33" w14:textId="1CAFA08E" w:rsidR="00AC7708" w:rsidRPr="00AC7708" w:rsidRDefault="00AC7708" w:rsidP="00AC7708">
      <w:pPr>
        <w:pStyle w:val="JuryInstructionText"/>
        <w:rPr>
          <w:b/>
        </w:rPr>
      </w:pPr>
      <w:r w:rsidRPr="00AC7708">
        <w:t xml:space="preserve">As to the third element, the Commonwealth must prove that Dft specifically intended to cause Avm </w:t>
      </w:r>
      <w:r w:rsidRPr="00FD139F">
        <w:rPr>
          <w:b/>
          <w:bCs/>
        </w:rPr>
        <w:t>[</w:t>
      </w:r>
      <w:r w:rsidRPr="00AC7708">
        <w:rPr>
          <w:b/>
          <w:bCs/>
        </w:rPr>
        <w:t xml:space="preserve">instruct </w:t>
      </w:r>
      <w:r w:rsidR="00D22C10">
        <w:rPr>
          <w:b/>
          <w:bCs/>
        </w:rPr>
        <w:t>as relevant</w:t>
      </w:r>
      <w:r w:rsidRPr="00AC7708">
        <w:rPr>
          <w:b/>
          <w:bCs/>
        </w:rPr>
        <w:t>:</w:t>
      </w:r>
      <w:r w:rsidRPr="00AC7708">
        <w:t xml:space="preserve"> to be secretly confined in </w:t>
      </w:r>
      <w:r w:rsidRPr="00AC7708">
        <w:lastRenderedPageBreak/>
        <w:t>Massachusetts against Avm’s will, to be sent out of Massachusetts against Avm’s will, or to be held to service against Avm’s will</w:t>
      </w:r>
      <w:r w:rsidRPr="00AC7708">
        <w:rPr>
          <w:b/>
          <w:bCs/>
        </w:rPr>
        <w:t>]</w:t>
      </w:r>
      <w:r w:rsidRPr="00AC7708">
        <w:t xml:space="preserve">. </w:t>
      </w:r>
    </w:p>
    <w:p w14:paraId="5770D483" w14:textId="088028F7" w:rsidR="00A36063" w:rsidRDefault="00520052" w:rsidP="00BA68A4">
      <w:pPr>
        <w:pStyle w:val="JuryInstructionText"/>
        <w:rPr>
          <w:b/>
          <w:bCs/>
        </w:rPr>
      </w:pPr>
      <w:r>
        <w:t>“</w:t>
      </w:r>
      <w:r w:rsidR="00317551" w:rsidRPr="0096351E">
        <w:t>Intent</w:t>
      </w:r>
      <w:r>
        <w:t>”</w:t>
      </w:r>
      <w:r w:rsidR="00317551" w:rsidRPr="0096351E">
        <w:t xml:space="preserve"> is a state of mind. It means a person’s purpose or objective. A person does an act with a specific intent to cause </w:t>
      </w:r>
      <w:r w:rsidR="00F35E4D">
        <w:t>an alleged victim</w:t>
      </w:r>
      <w:r w:rsidR="00317551" w:rsidRPr="0096351E">
        <w:t xml:space="preserve"> </w:t>
      </w:r>
      <w:r w:rsidR="00317551" w:rsidRPr="00F20C47">
        <w:rPr>
          <w:b/>
          <w:bCs/>
        </w:rPr>
        <w:t>[</w:t>
      </w:r>
      <w:r w:rsidR="00D12E14">
        <w:rPr>
          <w:b/>
          <w:bCs/>
        </w:rPr>
        <w:t xml:space="preserve">instruct </w:t>
      </w:r>
      <w:r w:rsidR="004439AA">
        <w:rPr>
          <w:b/>
          <w:bCs/>
        </w:rPr>
        <w:t>as relevant</w:t>
      </w:r>
      <w:r w:rsidR="00D12E14">
        <w:rPr>
          <w:b/>
          <w:bCs/>
        </w:rPr>
        <w:t xml:space="preserve">: </w:t>
      </w:r>
      <w:r w:rsidR="00317551" w:rsidRPr="0096351E">
        <w:t>to be secretly confined in Massachusetts</w:t>
      </w:r>
      <w:r w:rsidR="0062732A">
        <w:t>,</w:t>
      </w:r>
      <w:r w:rsidR="00317551" w:rsidRPr="0096351E">
        <w:t xml:space="preserve"> to be sent out of Massachusetts</w:t>
      </w:r>
      <w:r w:rsidR="0062732A">
        <w:t>, or</w:t>
      </w:r>
      <w:r w:rsidR="00317551" w:rsidRPr="0096351E">
        <w:t xml:space="preserve"> to be held to service</w:t>
      </w:r>
      <w:r w:rsidR="0062732A">
        <w:t>,</w:t>
      </w:r>
      <w:r w:rsidR="00317551" w:rsidRPr="0096351E">
        <w:t xml:space="preserve"> against </w:t>
      </w:r>
      <w:r w:rsidR="005F66CD">
        <w:t>the alleged victim’s</w:t>
      </w:r>
      <w:r w:rsidR="00317551" w:rsidRPr="0096351E">
        <w:t xml:space="preserve"> will</w:t>
      </w:r>
      <w:r w:rsidR="00317551" w:rsidRPr="004439AA">
        <w:rPr>
          <w:b/>
          <w:bCs/>
        </w:rPr>
        <w:t>]</w:t>
      </w:r>
      <w:r w:rsidR="00317551" w:rsidRPr="0096351E">
        <w:t xml:space="preserve"> if</w:t>
      </w:r>
      <w:r w:rsidR="008A5EA7">
        <w:t>, when the person does the act,</w:t>
      </w:r>
      <w:r w:rsidR="00317551" w:rsidRPr="0096351E">
        <w:t xml:space="preserve"> the person has in mind the specific purpose or objective of causing </w:t>
      </w:r>
      <w:r w:rsidR="009A33E8">
        <w:t>the alleged victim</w:t>
      </w:r>
      <w:r w:rsidR="00317551" w:rsidRPr="0096351E">
        <w:t xml:space="preserve"> </w:t>
      </w:r>
      <w:r w:rsidR="00317551" w:rsidRPr="00F20C47">
        <w:rPr>
          <w:b/>
          <w:bCs/>
        </w:rPr>
        <w:t>[</w:t>
      </w:r>
      <w:r w:rsidR="00D12E14">
        <w:rPr>
          <w:b/>
          <w:bCs/>
        </w:rPr>
        <w:t xml:space="preserve">instruct on relevant theory: </w:t>
      </w:r>
      <w:r w:rsidR="00317551" w:rsidRPr="0096351E">
        <w:t>to be secretly confined in Massachusetts</w:t>
      </w:r>
      <w:r w:rsidR="0062732A">
        <w:t xml:space="preserve">, </w:t>
      </w:r>
      <w:r w:rsidR="00317551" w:rsidRPr="0096351E">
        <w:t>to be sent out of Massachusetts</w:t>
      </w:r>
      <w:r w:rsidR="0062732A">
        <w:t xml:space="preserve">, or </w:t>
      </w:r>
      <w:r w:rsidR="00317551" w:rsidRPr="0096351E">
        <w:t>to be held to service</w:t>
      </w:r>
      <w:r w:rsidR="0062732A">
        <w:t>,</w:t>
      </w:r>
      <w:r w:rsidR="00317551" w:rsidRPr="0096351E">
        <w:t xml:space="preserve"> against </w:t>
      </w:r>
      <w:r w:rsidR="000B57D4">
        <w:t>the alleged victim’s</w:t>
      </w:r>
      <w:r w:rsidR="00317551" w:rsidRPr="0096351E">
        <w:t xml:space="preserve"> will</w:t>
      </w:r>
      <w:r w:rsidR="00317551" w:rsidRPr="004439AA">
        <w:rPr>
          <w:b/>
          <w:bCs/>
        </w:rPr>
        <w:t>]</w:t>
      </w:r>
      <w:r w:rsidR="00317551" w:rsidRPr="0096351E">
        <w:t>. The decision to do the act for that purpose requires some period of thought and deliberation, however brief</w:t>
      </w:r>
      <w:r w:rsidR="00317551">
        <w:t>.</w:t>
      </w:r>
    </w:p>
    <w:p w14:paraId="034EB54A" w14:textId="062E0C68" w:rsidR="00E73227" w:rsidRPr="00CC4D48" w:rsidRDefault="00A64732" w:rsidP="00CF3637">
      <w:pPr>
        <w:pStyle w:val="FootnoteText"/>
        <w:spacing w:after="160" w:line="400" w:lineRule="exact"/>
        <w:ind w:left="432" w:firstLine="0"/>
        <w:rPr>
          <w:rFonts w:cs="Segoe UI Historic"/>
          <w:sz w:val="28"/>
          <w:szCs w:val="28"/>
        </w:rPr>
      </w:pPr>
      <w:r w:rsidRPr="00BA68A4">
        <w:rPr>
          <w:b/>
          <w:bCs/>
          <w:sz w:val="28"/>
          <w:szCs w:val="28"/>
        </w:rPr>
        <w:t>[if intent to secretly confine</w:t>
      </w:r>
      <w:r w:rsidR="00AD1623" w:rsidRPr="00BA68A4">
        <w:rPr>
          <w:b/>
          <w:bCs/>
          <w:sz w:val="28"/>
          <w:szCs w:val="28"/>
        </w:rPr>
        <w:t xml:space="preserve"> applies</w:t>
      </w:r>
      <w:r w:rsidRPr="00BA68A4">
        <w:rPr>
          <w:b/>
          <w:bCs/>
          <w:sz w:val="28"/>
          <w:szCs w:val="28"/>
        </w:rPr>
        <w:t>]</w:t>
      </w:r>
      <w:r w:rsidR="00317551" w:rsidRPr="00BA68A4">
        <w:rPr>
          <w:sz w:val="28"/>
          <w:szCs w:val="28"/>
        </w:rPr>
        <w:t xml:space="preserve"> </w:t>
      </w:r>
      <w:r w:rsidR="000445F5" w:rsidRPr="00BA68A4">
        <w:rPr>
          <w:rFonts w:cs="Segoe UI Historic"/>
          <w:sz w:val="28"/>
          <w:szCs w:val="28"/>
        </w:rPr>
        <w:t xml:space="preserve">To prove that </w:t>
      </w:r>
      <w:r w:rsidR="00267239">
        <w:rPr>
          <w:rFonts w:cs="Segoe UI Historic"/>
          <w:sz w:val="28"/>
          <w:szCs w:val="28"/>
        </w:rPr>
        <w:t>Dft</w:t>
      </w:r>
      <w:r w:rsidR="000445F5" w:rsidRPr="00BA68A4">
        <w:rPr>
          <w:rFonts w:cs="Segoe UI Historic"/>
          <w:sz w:val="28"/>
          <w:szCs w:val="28"/>
        </w:rPr>
        <w:t xml:space="preserve"> intended to secretly confine </w:t>
      </w:r>
      <w:r w:rsidR="00267239">
        <w:rPr>
          <w:rFonts w:cs="Segoe UI Historic"/>
          <w:sz w:val="28"/>
          <w:szCs w:val="28"/>
        </w:rPr>
        <w:t>Avm</w:t>
      </w:r>
      <w:r w:rsidR="000445F5" w:rsidRPr="00BA68A4">
        <w:rPr>
          <w:rFonts w:cs="Segoe UI Historic"/>
          <w:sz w:val="28"/>
          <w:szCs w:val="28"/>
        </w:rPr>
        <w:t xml:space="preserve">, the Commonwealth must prove that </w:t>
      </w:r>
      <w:r w:rsidR="00267239">
        <w:rPr>
          <w:rFonts w:cs="Segoe UI Historic"/>
          <w:sz w:val="28"/>
          <w:szCs w:val="28"/>
        </w:rPr>
        <w:t>Dft</w:t>
      </w:r>
      <w:r w:rsidR="000445F5" w:rsidRPr="00BA68A4">
        <w:rPr>
          <w:rFonts w:cs="Segoe UI Historic"/>
          <w:sz w:val="28"/>
          <w:szCs w:val="28"/>
        </w:rPr>
        <w:t xml:space="preserve"> intended to confine </w:t>
      </w:r>
      <w:r w:rsidR="00267239">
        <w:rPr>
          <w:rFonts w:cs="Segoe UI Historic"/>
          <w:sz w:val="28"/>
          <w:szCs w:val="28"/>
        </w:rPr>
        <w:t>Avm</w:t>
      </w:r>
      <w:r w:rsidR="000445F5" w:rsidRPr="00BA68A4">
        <w:rPr>
          <w:rFonts w:cs="Segoe UI Historic"/>
          <w:sz w:val="28"/>
          <w:szCs w:val="28"/>
        </w:rPr>
        <w:t xml:space="preserve"> in a place or in a manner that would make it unlikely that members of the public would know or learn of </w:t>
      </w:r>
      <w:r w:rsidR="008C423F">
        <w:rPr>
          <w:rFonts w:cs="Segoe UI Historic"/>
          <w:sz w:val="28"/>
          <w:szCs w:val="28"/>
        </w:rPr>
        <w:t>Avm’s</w:t>
      </w:r>
      <w:r w:rsidR="000445F5" w:rsidRPr="00BA68A4">
        <w:rPr>
          <w:rFonts w:cs="Segoe UI Historic"/>
          <w:sz w:val="28"/>
          <w:szCs w:val="28"/>
        </w:rPr>
        <w:t xml:space="preserve"> unwilling confinement within a reasonable period of time.</w:t>
      </w:r>
      <w:r w:rsidR="00503318" w:rsidRPr="00503318">
        <w:rPr>
          <w:rFonts w:cs="Segoe UI Historic"/>
          <w:b/>
          <w:sz w:val="28"/>
          <w:szCs w:val="28"/>
          <w:vertAlign w:val="superscript"/>
        </w:rPr>
        <w:footnoteReference w:id="14"/>
      </w:r>
      <w:r w:rsidR="000445F5" w:rsidRPr="00BA68A4">
        <w:rPr>
          <w:rFonts w:cs="Segoe UI Historic"/>
          <w:sz w:val="28"/>
          <w:szCs w:val="28"/>
        </w:rPr>
        <w:t xml:space="preserve">  </w:t>
      </w:r>
    </w:p>
    <w:p w14:paraId="713F3480" w14:textId="79E9E03D" w:rsidR="00317551" w:rsidRDefault="005D17D1" w:rsidP="000B57D4">
      <w:pPr>
        <w:pStyle w:val="JuryInstructionText"/>
        <w:ind w:left="432"/>
        <w:rPr>
          <w:b/>
        </w:rPr>
      </w:pPr>
      <w:r w:rsidRPr="00030BE2">
        <w:rPr>
          <w:b/>
          <w:bCs/>
        </w:rPr>
        <w:t>[if intent to send out of Massachusetts</w:t>
      </w:r>
      <w:r w:rsidR="00AD1623">
        <w:rPr>
          <w:b/>
          <w:bCs/>
        </w:rPr>
        <w:t xml:space="preserve"> applies</w:t>
      </w:r>
      <w:r w:rsidRPr="00030BE2">
        <w:rPr>
          <w:b/>
          <w:bCs/>
        </w:rPr>
        <w:t>]</w:t>
      </w:r>
      <w:r w:rsidR="004558C0">
        <w:t xml:space="preserve"> </w:t>
      </w:r>
      <w:r w:rsidR="00317551">
        <w:t xml:space="preserve">A </w:t>
      </w:r>
      <w:r w:rsidR="001A1F09">
        <w:t>defendant</w:t>
      </w:r>
      <w:r w:rsidR="00317551">
        <w:t xml:space="preserve"> carries or sends </w:t>
      </w:r>
      <w:r w:rsidR="001A1F09">
        <w:t>a person</w:t>
      </w:r>
      <w:r w:rsidR="00317551">
        <w:t xml:space="preserve"> out of Massachusetts if </w:t>
      </w:r>
      <w:r w:rsidR="000D0353">
        <w:t>the defendant</w:t>
      </w:r>
      <w:r w:rsidR="00A95BFC">
        <w:t xml:space="preserve"> </w:t>
      </w:r>
      <w:r w:rsidR="00317551">
        <w:t>moves, takes,</w:t>
      </w:r>
      <w:r w:rsidR="001A1F09">
        <w:t xml:space="preserve"> or</w:t>
      </w:r>
      <w:r w:rsidR="00317551">
        <w:t xml:space="preserve"> transports</w:t>
      </w:r>
      <w:r w:rsidR="00104EC5">
        <w:t xml:space="preserve"> the person out of Massachusetts, or if the defendant </w:t>
      </w:r>
      <w:r w:rsidR="00317551">
        <w:t xml:space="preserve">causes </w:t>
      </w:r>
      <w:r w:rsidR="001A1F09">
        <w:t>the</w:t>
      </w:r>
      <w:r w:rsidR="00317551">
        <w:t xml:space="preserve"> person to be moved, taken, or transported out of Massachusetts.</w:t>
      </w:r>
    </w:p>
    <w:p w14:paraId="20CDF99B" w14:textId="3BC62B81" w:rsidR="00317551" w:rsidRDefault="005D17D1" w:rsidP="000B57D4">
      <w:pPr>
        <w:pStyle w:val="JuryInstructionText"/>
        <w:ind w:left="432"/>
        <w:rPr>
          <w:b/>
        </w:rPr>
      </w:pPr>
      <w:r w:rsidRPr="00030BE2">
        <w:rPr>
          <w:b/>
          <w:bCs/>
        </w:rPr>
        <w:t>[if intent to hold to service</w:t>
      </w:r>
      <w:r w:rsidR="00AD1623">
        <w:rPr>
          <w:b/>
          <w:bCs/>
        </w:rPr>
        <w:t xml:space="preserve"> applies</w:t>
      </w:r>
      <w:r w:rsidRPr="00030BE2">
        <w:rPr>
          <w:b/>
          <w:bCs/>
        </w:rPr>
        <w:t>]</w:t>
      </w:r>
      <w:r w:rsidR="002977C7">
        <w:t xml:space="preserve"> </w:t>
      </w:r>
      <w:r w:rsidR="00317551" w:rsidRPr="0096351E">
        <w:rPr>
          <w:bCs/>
        </w:rPr>
        <w:t>To hold to service means to force a person to work or perform services against</w:t>
      </w:r>
      <w:r w:rsidR="00365B35">
        <w:rPr>
          <w:bCs/>
        </w:rPr>
        <w:t xml:space="preserve"> their</w:t>
      </w:r>
      <w:r w:rsidR="00A95BFC">
        <w:rPr>
          <w:bCs/>
        </w:rPr>
        <w:t xml:space="preserve"> </w:t>
      </w:r>
      <w:r w:rsidR="00317551" w:rsidRPr="0096351E">
        <w:rPr>
          <w:bCs/>
        </w:rPr>
        <w:t>will.</w:t>
      </w:r>
      <w:r w:rsidR="00317551">
        <w:t xml:space="preserve">  </w:t>
      </w:r>
    </w:p>
    <w:p w14:paraId="024F4531" w14:textId="484E5861" w:rsidR="00317551" w:rsidRDefault="00365B35" w:rsidP="00F30B37">
      <w:pPr>
        <w:pStyle w:val="JuryInstructionText"/>
      </w:pPr>
      <w:r>
        <w:t>To do something a</w:t>
      </w:r>
      <w:r w:rsidR="00317551">
        <w:t xml:space="preserve">gainst </w:t>
      </w:r>
      <w:r w:rsidR="00F934C9">
        <w:t>a person’s</w:t>
      </w:r>
      <w:r w:rsidR="00317551">
        <w:t xml:space="preserve"> will means that </w:t>
      </w:r>
      <w:r w:rsidR="00C337EC">
        <w:t xml:space="preserve">the </w:t>
      </w:r>
      <w:r w:rsidR="00761773">
        <w:t>person</w:t>
      </w:r>
      <w:r w:rsidR="00317551">
        <w:t xml:space="preserve"> did not consent to </w:t>
      </w:r>
      <w:r>
        <w:t>the action</w:t>
      </w:r>
      <w:r w:rsidR="00A95BFC">
        <w:t>.</w:t>
      </w:r>
      <w:r w:rsidR="00317551">
        <w:t xml:space="preserve"> </w:t>
      </w:r>
      <w:r w:rsidR="00A95BFC">
        <w:t xml:space="preserve"> </w:t>
      </w:r>
      <w:r w:rsidR="00317551">
        <w:t>A</w:t>
      </w:r>
      <w:r w:rsidR="002977C7">
        <w:t> </w:t>
      </w:r>
      <w:r w:rsidR="00317551">
        <w:t>person who submits because of force or threat of force has not consented.</w:t>
      </w:r>
      <w:r w:rsidR="00317551">
        <w:rPr>
          <w:rStyle w:val="FootnoteReference"/>
          <w:rFonts w:cs="Segoe UI Historic"/>
        </w:rPr>
        <w:footnoteReference w:id="15"/>
      </w:r>
    </w:p>
    <w:p w14:paraId="7C9D4E49" w14:textId="5B07A754" w:rsidR="00F8348F" w:rsidRDefault="00802499" w:rsidP="00F8348F">
      <w:pPr>
        <w:pStyle w:val="JuryInst1"/>
        <w:numPr>
          <w:ilvl w:val="0"/>
          <w:numId w:val="0"/>
        </w:numPr>
        <w:jc w:val="left"/>
        <w:rPr>
          <w:b w:val="0"/>
          <w:bCs/>
          <w:smallCaps w:val="0"/>
        </w:rPr>
      </w:pPr>
      <w:r w:rsidRPr="00802499">
        <w:rPr>
          <w:smallCaps w:val="0"/>
        </w:rPr>
        <w:lastRenderedPageBreak/>
        <w:t xml:space="preserve">Aggravated </w:t>
      </w:r>
      <w:r w:rsidR="00002D2D">
        <w:rPr>
          <w:smallCaps w:val="0"/>
        </w:rPr>
        <w:t>k</w:t>
      </w:r>
      <w:r w:rsidRPr="00802499">
        <w:rPr>
          <w:smallCaps w:val="0"/>
        </w:rPr>
        <w:t>idnapping</w:t>
      </w:r>
      <w:r w:rsidR="00460570">
        <w:rPr>
          <w:smallCaps w:val="0"/>
        </w:rPr>
        <w:t xml:space="preserve"> (</w:t>
      </w:r>
      <w:r w:rsidR="00893ECA">
        <w:rPr>
          <w:smallCaps w:val="0"/>
        </w:rPr>
        <w:t>supplemental instructions</w:t>
      </w:r>
      <w:r w:rsidR="00460570">
        <w:rPr>
          <w:smallCaps w:val="0"/>
        </w:rPr>
        <w:t>)</w:t>
      </w:r>
      <w:r w:rsidR="00A95CDA">
        <w:rPr>
          <w:b w:val="0"/>
          <w:bCs/>
          <w:smallCaps w:val="0"/>
        </w:rPr>
        <w:br/>
      </w:r>
      <w:r w:rsidR="00A95CDA" w:rsidRPr="00BC462D">
        <w:rPr>
          <w:b w:val="0"/>
          <w:bCs/>
          <w:smallCaps w:val="0"/>
        </w:rPr>
        <w:t>[</w:t>
      </w:r>
      <w:r w:rsidR="00F8348F" w:rsidRPr="00BC462D">
        <w:rPr>
          <w:b w:val="0"/>
          <w:bCs/>
          <w:smallCaps w:val="0"/>
        </w:rPr>
        <w:t>E</w:t>
      </w:r>
      <w:r w:rsidR="0006738A" w:rsidRPr="00BC462D">
        <w:rPr>
          <w:b w:val="0"/>
          <w:bCs/>
          <w:smallCaps w:val="0"/>
        </w:rPr>
        <w:t>ach of the following</w:t>
      </w:r>
      <w:r w:rsidR="00A95CDA" w:rsidRPr="00BC462D">
        <w:rPr>
          <w:b w:val="0"/>
          <w:bCs/>
          <w:smallCaps w:val="0"/>
        </w:rPr>
        <w:t xml:space="preserve"> </w:t>
      </w:r>
      <w:r w:rsidR="00AD72E9" w:rsidRPr="00BC462D">
        <w:rPr>
          <w:b w:val="0"/>
          <w:bCs/>
          <w:smallCaps w:val="0"/>
        </w:rPr>
        <w:t>instructions add</w:t>
      </w:r>
      <w:r w:rsidR="0006738A" w:rsidRPr="00BC462D">
        <w:rPr>
          <w:b w:val="0"/>
          <w:bCs/>
          <w:smallCaps w:val="0"/>
        </w:rPr>
        <w:t>s</w:t>
      </w:r>
      <w:r w:rsidR="00AD72E9" w:rsidRPr="00BC462D">
        <w:rPr>
          <w:b w:val="0"/>
          <w:bCs/>
          <w:smallCaps w:val="0"/>
        </w:rPr>
        <w:t xml:space="preserve"> one or </w:t>
      </w:r>
      <w:r w:rsidR="00A17884" w:rsidRPr="00BC462D">
        <w:rPr>
          <w:b w:val="0"/>
          <w:bCs/>
          <w:smallCaps w:val="0"/>
        </w:rPr>
        <w:t>two</w:t>
      </w:r>
      <w:r w:rsidR="00AD72E9" w:rsidRPr="00BC462D">
        <w:rPr>
          <w:b w:val="0"/>
          <w:bCs/>
          <w:smallCaps w:val="0"/>
        </w:rPr>
        <w:t xml:space="preserve"> elements to those for simple kidnapping, </w:t>
      </w:r>
      <w:r w:rsidR="004F3F8A" w:rsidRPr="00BC462D">
        <w:rPr>
          <w:b w:val="0"/>
          <w:bCs/>
          <w:smallCaps w:val="0"/>
        </w:rPr>
        <w:t>set forth</w:t>
      </w:r>
      <w:r w:rsidR="00AD72E9" w:rsidRPr="00BC462D">
        <w:rPr>
          <w:b w:val="0"/>
          <w:bCs/>
          <w:smallCaps w:val="0"/>
        </w:rPr>
        <w:t xml:space="preserve"> in parts (a)</w:t>
      </w:r>
      <w:r w:rsidR="00831B6F" w:rsidRPr="00BC462D">
        <w:rPr>
          <w:b w:val="0"/>
          <w:bCs/>
          <w:smallCaps w:val="0"/>
        </w:rPr>
        <w:t>—</w:t>
      </w:r>
      <w:r w:rsidR="00AD72E9" w:rsidRPr="00BC462D">
        <w:rPr>
          <w:b w:val="0"/>
          <w:bCs/>
          <w:smallCaps w:val="0"/>
        </w:rPr>
        <w:t>(c) above</w:t>
      </w:r>
      <w:r w:rsidR="00F8348F" w:rsidRPr="00BC462D">
        <w:rPr>
          <w:b w:val="0"/>
          <w:bCs/>
          <w:smallCaps w:val="0"/>
        </w:rPr>
        <w:t>.</w:t>
      </w:r>
      <w:r w:rsidR="00AD72E9" w:rsidRPr="00BC462D">
        <w:rPr>
          <w:b w:val="0"/>
          <w:bCs/>
          <w:smallCaps w:val="0"/>
        </w:rPr>
        <w:t>]</w:t>
      </w:r>
    </w:p>
    <w:p w14:paraId="6276E337" w14:textId="475B23D3" w:rsidR="0068359E" w:rsidRDefault="00EF06C3" w:rsidP="00C30B76">
      <w:pPr>
        <w:pStyle w:val="JuryInst4"/>
        <w:numPr>
          <w:ilvl w:val="3"/>
          <w:numId w:val="26"/>
        </w:numPr>
      </w:pPr>
      <w:r>
        <w:t>Of a c</w:t>
      </w:r>
      <w:r w:rsidR="00DA3185">
        <w:t>hild under</w:t>
      </w:r>
      <w:r>
        <w:t xml:space="preserve"> the</w:t>
      </w:r>
      <w:r w:rsidR="00DA3185">
        <w:t xml:space="preserve"> age</w:t>
      </w:r>
      <w:r>
        <w:t xml:space="preserve"> of</w:t>
      </w:r>
      <w:r w:rsidR="00DA3185">
        <w:t xml:space="preserve"> 16</w:t>
      </w:r>
      <w:r w:rsidR="005349E2" w:rsidRPr="00A268BF">
        <w:rPr>
          <w:rStyle w:val="FootnoteReference"/>
          <w:b/>
          <w:bCs/>
        </w:rPr>
        <w:footnoteReference w:id="16"/>
      </w:r>
    </w:p>
    <w:p w14:paraId="08FE1772" w14:textId="3EA06716" w:rsidR="00E85FBD" w:rsidRDefault="00DA48B1" w:rsidP="005349E2">
      <w:pPr>
        <w:pStyle w:val="JuryInstructionText"/>
      </w:pPr>
      <w:r w:rsidRPr="00DA48B1">
        <w:t xml:space="preserve">Kidnapping </w:t>
      </w:r>
      <w:r>
        <w:t>of a child under the age of 16</w:t>
      </w:r>
      <w:r w:rsidRPr="00DA48B1">
        <w:t xml:space="preserve"> has </w:t>
      </w:r>
      <w:r w:rsidRPr="00DA48B1">
        <w:rPr>
          <w:b/>
          <w:bCs/>
        </w:rPr>
        <w:t>one</w:t>
      </w:r>
      <w:r w:rsidRPr="00DA48B1">
        <w:t xml:space="preserve"> element in addition to those required for kidnapping: that</w:t>
      </w:r>
      <w:r>
        <w:t xml:space="preserve">, at the time of the kidnapping, </w:t>
      </w:r>
      <w:r w:rsidR="007C4D88">
        <w:t>Avm</w:t>
      </w:r>
      <w:r w:rsidR="00E85FBD">
        <w:t xml:space="preserve"> was younger than 16 years old</w:t>
      </w:r>
      <w:r w:rsidR="005349E2">
        <w:t>.</w:t>
      </w:r>
      <w:r w:rsidR="008F3AAA">
        <w:t xml:space="preserve"> </w:t>
      </w:r>
    </w:p>
    <w:p w14:paraId="6B74F194" w14:textId="34288A98" w:rsidR="00120DA5" w:rsidRDefault="00120DA5" w:rsidP="005349E2">
      <w:pPr>
        <w:pStyle w:val="JuryInstructionText"/>
      </w:pPr>
      <w:r w:rsidRPr="00EB6F3B">
        <w:rPr>
          <w:b/>
          <w:bCs/>
        </w:rPr>
        <w:t>[Note:</w:t>
      </w:r>
      <w:r>
        <w:t xml:space="preserve"> </w:t>
      </w:r>
      <w:r w:rsidR="001C620D">
        <w:t>as provided in the statute,</w:t>
      </w:r>
      <w:r w:rsidR="00EB6F3B">
        <w:t xml:space="preserve"> see fn.16,</w:t>
      </w:r>
      <w:r w:rsidR="001C620D">
        <w:t xml:space="preserve"> </w:t>
      </w:r>
      <w:r w:rsidR="00910AED">
        <w:t xml:space="preserve">this </w:t>
      </w:r>
      <w:r w:rsidR="00A268BF">
        <w:t>aggravated form of kidnapping</w:t>
      </w:r>
      <w:r w:rsidR="00910AED">
        <w:t xml:space="preserve"> “</w:t>
      </w:r>
      <w:r w:rsidR="00910AED" w:rsidRPr="00910AED">
        <w:t>shall not apply to the parent of a child under 16 years of age who takes custody of such child</w:t>
      </w:r>
      <w:r w:rsidR="00910AED">
        <w:t>.”</w:t>
      </w:r>
      <w:r w:rsidR="001C620D" w:rsidRPr="00EB6F3B">
        <w:rPr>
          <w:b/>
          <w:bCs/>
        </w:rPr>
        <w:t>]</w:t>
      </w:r>
      <w:r w:rsidR="00910AED" w:rsidRPr="00EB6F3B">
        <w:rPr>
          <w:b/>
          <w:bCs/>
        </w:rPr>
        <w:t xml:space="preserve"> </w:t>
      </w:r>
    </w:p>
    <w:p w14:paraId="2AD0A293" w14:textId="149AA2FA" w:rsidR="005349E2" w:rsidRDefault="00E85FBD" w:rsidP="005349E2">
      <w:pPr>
        <w:pStyle w:val="JuryInstructionText"/>
      </w:pPr>
      <w:r w:rsidRPr="00E85FBD">
        <w:t xml:space="preserve">[SUPPLEMENTAL INSTRUCTION—if </w:t>
      </w:r>
      <w:r w:rsidR="00970DEF">
        <w:t>child</w:t>
      </w:r>
      <w:r w:rsidRPr="00E85FBD">
        <w:t xml:space="preserve"> is </w:t>
      </w:r>
      <w:r w:rsidR="00704C39">
        <w:t xml:space="preserve">aged </w:t>
      </w:r>
      <w:r w:rsidRPr="00E85FBD">
        <w:t>12 or younger.]</w:t>
      </w:r>
      <w:r w:rsidRPr="00E85FBD">
        <w:br/>
        <w:t xml:space="preserve">Because Avm was 12 years old [or younger] when the alleged kidnapping occurred, Avm could not consent to being </w:t>
      </w:r>
      <w:r w:rsidRPr="00E85FBD">
        <w:rPr>
          <w:b/>
          <w:bCs/>
        </w:rPr>
        <w:t>[insert as relevant</w:t>
      </w:r>
      <w:r w:rsidRPr="00E85FBD">
        <w:t>: confined, retrained, carried or sent out of Massachusetts, or made to work or perform services</w:t>
      </w:r>
      <w:r w:rsidRPr="00E85FBD">
        <w:rPr>
          <w:b/>
          <w:bCs/>
        </w:rPr>
        <w:t>]</w:t>
      </w:r>
      <w:r w:rsidRPr="00E85FBD">
        <w:t>.</w:t>
      </w:r>
      <w:r w:rsidRPr="00E85FBD">
        <w:rPr>
          <w:b/>
          <w:vertAlign w:val="superscript"/>
        </w:rPr>
        <w:footnoteReference w:id="17"/>
      </w:r>
      <w:r w:rsidR="005349E2">
        <w:t xml:space="preserve"> </w:t>
      </w:r>
    </w:p>
    <w:p w14:paraId="1A8C713B" w14:textId="2E00FE69" w:rsidR="00317551" w:rsidRDefault="0076334E" w:rsidP="001F6C62">
      <w:pPr>
        <w:pStyle w:val="JuryInst4"/>
        <w:numPr>
          <w:ilvl w:val="3"/>
          <w:numId w:val="26"/>
        </w:numPr>
      </w:pPr>
      <w:bookmarkStart w:id="4" w:name="_Hlk179379850"/>
      <w:r>
        <w:lastRenderedPageBreak/>
        <w:t>W</w:t>
      </w:r>
      <w:r w:rsidR="00F30B37" w:rsidRPr="0015248C">
        <w:t xml:space="preserve">ith </w:t>
      </w:r>
      <w:bookmarkEnd w:id="4"/>
      <w:r w:rsidR="008144A3">
        <w:t>intent to extort</w:t>
      </w:r>
      <w:r w:rsidR="00317551" w:rsidRPr="00914368">
        <w:rPr>
          <w:rStyle w:val="FootnoteReference"/>
          <w:rFonts w:cs="Segoe UI Historic"/>
          <w:b/>
          <w:bCs/>
        </w:rPr>
        <w:footnoteReference w:id="18"/>
      </w:r>
    </w:p>
    <w:p w14:paraId="7E77F18D" w14:textId="12F1DDD9" w:rsidR="00317551" w:rsidRPr="00A87762" w:rsidRDefault="00317551" w:rsidP="00F30B37">
      <w:pPr>
        <w:pStyle w:val="JuryInstructionText"/>
      </w:pPr>
      <w:r>
        <w:t xml:space="preserve">Kidnapping with intent to extort </w:t>
      </w:r>
      <w:bookmarkStart w:id="5" w:name="_Hlk190875446"/>
      <w:r>
        <w:t xml:space="preserve">has </w:t>
      </w:r>
      <w:r w:rsidRPr="00724397">
        <w:rPr>
          <w:b/>
          <w:bCs/>
        </w:rPr>
        <w:t>one</w:t>
      </w:r>
      <w:r>
        <w:t xml:space="preserve"> element in addition to those required for kidnapping</w:t>
      </w:r>
      <w:bookmarkEnd w:id="5"/>
      <w:r>
        <w:t xml:space="preserve">: that </w:t>
      </w:r>
      <w:r w:rsidR="007C4D88">
        <w:t>Dft</w:t>
      </w:r>
      <w:r>
        <w:t xml:space="preserve"> committed the </w:t>
      </w:r>
      <w:r w:rsidRPr="00817017">
        <w:t>kidnapping</w:t>
      </w:r>
      <w:r>
        <w:t xml:space="preserve"> </w:t>
      </w:r>
      <w:r w:rsidRPr="00817017">
        <w:t xml:space="preserve">with the specific intent to extort money or </w:t>
      </w:r>
      <w:r w:rsidR="00EC729C">
        <w:t>anything else of value</w:t>
      </w:r>
      <w:r w:rsidRPr="00817017">
        <w:t xml:space="preserve">. </w:t>
      </w:r>
      <w:r>
        <w:t xml:space="preserve"> </w:t>
      </w:r>
    </w:p>
    <w:p w14:paraId="2D54B66F" w14:textId="199CCF70" w:rsidR="00317551" w:rsidRPr="00A87762" w:rsidRDefault="00317551" w:rsidP="00F30B37">
      <w:pPr>
        <w:pStyle w:val="JuryInstructionText"/>
      </w:pPr>
      <w:r>
        <w:rPr>
          <w:spacing w:val="-2"/>
        </w:rPr>
        <w:t>To “extort”</w:t>
      </w:r>
      <w:r w:rsidRPr="005F17FE">
        <w:rPr>
          <w:spacing w:val="-2"/>
        </w:rPr>
        <w:t xml:space="preserve"> means to obtain property, coerce payment of mon</w:t>
      </w:r>
      <w:r>
        <w:t xml:space="preserve">ey, secure a financial </w:t>
      </w:r>
      <w:r w:rsidRPr="005F17FE">
        <w:t xml:space="preserve">advantage for oneself, or compel another to do an act against </w:t>
      </w:r>
      <w:r w:rsidR="001C47C4">
        <w:t>that person’s</w:t>
      </w:r>
      <w:r>
        <w:t xml:space="preserve"> will. </w:t>
      </w:r>
    </w:p>
    <w:p w14:paraId="21F33DD6" w14:textId="0F6BB595" w:rsidR="00B75859" w:rsidRDefault="00881B1C" w:rsidP="00F30B37">
      <w:pPr>
        <w:pStyle w:val="JuryInstructionText"/>
      </w:pPr>
      <w:r>
        <w:t>“</w:t>
      </w:r>
      <w:r w:rsidR="00317551" w:rsidRPr="0096351E">
        <w:t>Intent</w:t>
      </w:r>
      <w:r>
        <w:t>”</w:t>
      </w:r>
      <w:r w:rsidR="00317551" w:rsidRPr="0096351E">
        <w:t xml:space="preserve"> is a state of mind. It means a person’s purpose or objective. A person does an act with a specific intent to </w:t>
      </w:r>
      <w:r w:rsidR="0095097A">
        <w:t xml:space="preserve">extort </w:t>
      </w:r>
      <w:r w:rsidR="00317551" w:rsidRPr="0096351E">
        <w:t>if</w:t>
      </w:r>
      <w:r w:rsidR="00935088">
        <w:t xml:space="preserve">, </w:t>
      </w:r>
      <w:r w:rsidR="00321EA3">
        <w:t>at the time</w:t>
      </w:r>
      <w:r w:rsidR="00935088">
        <w:t xml:space="preserve"> the person does the act,</w:t>
      </w:r>
      <w:r w:rsidR="00317551" w:rsidRPr="0096351E">
        <w:t xml:space="preserve"> the person has in mind the specific purpose or objective of </w:t>
      </w:r>
      <w:r w:rsidR="001558A0">
        <w:t>obtaining or coercing money</w:t>
      </w:r>
      <w:r w:rsidR="006154A4">
        <w:t xml:space="preserve"> or</w:t>
      </w:r>
      <w:r w:rsidR="001558A0">
        <w:t xml:space="preserve"> securing a financial advantage</w:t>
      </w:r>
      <w:r w:rsidR="006154A4">
        <w:t xml:space="preserve"> from the alleged victim</w:t>
      </w:r>
      <w:r w:rsidR="00290568">
        <w:t xml:space="preserve"> or from another person</w:t>
      </w:r>
      <w:r w:rsidR="001558A0">
        <w:t xml:space="preserve">, </w:t>
      </w:r>
      <w:r w:rsidR="006154A4">
        <w:t xml:space="preserve">or </w:t>
      </w:r>
      <w:r w:rsidR="00033DC4" w:rsidRPr="00033DC4">
        <w:t xml:space="preserve">has in mind the specific purpose or objective of </w:t>
      </w:r>
      <w:r w:rsidR="006154A4">
        <w:t xml:space="preserve">compelling the </w:t>
      </w:r>
      <w:r w:rsidR="00466577">
        <w:t xml:space="preserve">alleged </w:t>
      </w:r>
      <w:r w:rsidR="006154A4">
        <w:t xml:space="preserve">victim to do an act </w:t>
      </w:r>
      <w:r w:rsidR="00935088">
        <w:t xml:space="preserve">against </w:t>
      </w:r>
      <w:r w:rsidR="001C47C4">
        <w:t>the alleged victim’s</w:t>
      </w:r>
      <w:r w:rsidR="00935088">
        <w:t xml:space="preserve"> will</w:t>
      </w:r>
      <w:r w:rsidR="00317551" w:rsidRPr="0096351E">
        <w:t>. The decision to do the act for that purpose requires some period of thought and deliberation, however brief</w:t>
      </w:r>
      <w:r w:rsidR="00317551">
        <w:t>.</w:t>
      </w:r>
      <w:r w:rsidR="00317551" w:rsidRPr="00126C67">
        <w:rPr>
          <w:rStyle w:val="FootnoteReference"/>
          <w:rFonts w:cs="Segoe UI Historic"/>
        </w:rPr>
        <w:footnoteReference w:id="19"/>
      </w:r>
      <w:r w:rsidR="00317551" w:rsidRPr="00126C67">
        <w:t xml:space="preserve"> </w:t>
      </w:r>
    </w:p>
    <w:p w14:paraId="1BAF161F" w14:textId="543CD439" w:rsidR="005E1EF0" w:rsidRDefault="00191F76" w:rsidP="002553B7">
      <w:pPr>
        <w:pStyle w:val="JuryInst4"/>
        <w:numPr>
          <w:ilvl w:val="3"/>
          <w:numId w:val="26"/>
        </w:numPr>
      </w:pPr>
      <w:r>
        <w:lastRenderedPageBreak/>
        <w:t>A</w:t>
      </w:r>
      <w:r w:rsidR="002553B7">
        <w:t>rmed with a firearm</w:t>
      </w:r>
      <w:r w:rsidR="00232D53">
        <w:t xml:space="preserve"> </w:t>
      </w:r>
      <w:r w:rsidR="005E1EF0">
        <w:t>or assault weapon</w:t>
      </w:r>
    </w:p>
    <w:p w14:paraId="22A0938F" w14:textId="0861A0EA" w:rsidR="0001020B" w:rsidRPr="004E03D3" w:rsidRDefault="00CD4540" w:rsidP="004E03D3">
      <w:pPr>
        <w:pStyle w:val="JuryInst4"/>
        <w:numPr>
          <w:ilvl w:val="0"/>
          <w:numId w:val="0"/>
        </w:numPr>
      </w:pPr>
      <w:r>
        <w:t>[</w:t>
      </w:r>
      <w:r w:rsidR="00D3711E">
        <w:t>U</w:t>
      </w:r>
      <w:r w:rsidR="002E6B95">
        <w:t>se the following charge</w:t>
      </w:r>
      <w:r w:rsidR="009C64FC">
        <w:t xml:space="preserve"> </w:t>
      </w:r>
      <w:r w:rsidR="004C0353">
        <w:t xml:space="preserve">if </w:t>
      </w:r>
      <w:r w:rsidR="00A95CDA">
        <w:t xml:space="preserve">the </w:t>
      </w:r>
      <w:r w:rsidR="004C0353">
        <w:t>alleged offense occurred</w:t>
      </w:r>
      <w:r w:rsidR="00EA5532">
        <w:t xml:space="preserve"> </w:t>
      </w:r>
      <w:r w:rsidR="009C64FC">
        <w:t>on</w:t>
      </w:r>
      <w:r w:rsidR="0032505E">
        <w:t xml:space="preserve"> or before Oct. 1, 2024</w:t>
      </w:r>
      <w:r w:rsidR="00D3711E">
        <w:t>.</w:t>
      </w:r>
      <w:r w:rsidR="00CA65AB">
        <w:t>]</w:t>
      </w:r>
      <w:r w:rsidR="00BC4B1F" w:rsidRPr="009071C1">
        <w:rPr>
          <w:vertAlign w:val="superscript"/>
        </w:rPr>
        <w:footnoteReference w:id="20"/>
      </w:r>
      <w:r w:rsidR="00FE5133">
        <w:t xml:space="preserve"> </w:t>
      </w:r>
      <w:r w:rsidR="00425897">
        <w:br/>
      </w:r>
      <w:r w:rsidR="00552A8B" w:rsidRPr="004E03D3">
        <w:t>[</w:t>
      </w:r>
      <w:r w:rsidR="00D3711E" w:rsidRPr="004E03D3">
        <w:t>I</w:t>
      </w:r>
      <w:r w:rsidR="0051163B" w:rsidRPr="004E03D3">
        <w:t xml:space="preserve">f </w:t>
      </w:r>
      <w:r w:rsidR="0019003B" w:rsidRPr="004E03D3">
        <w:t xml:space="preserve">the </w:t>
      </w:r>
      <w:r w:rsidR="0051163B" w:rsidRPr="004E03D3">
        <w:t>offense</w:t>
      </w:r>
      <w:r w:rsidR="0006671B" w:rsidRPr="004E03D3">
        <w:t xml:space="preserve"> occurred </w:t>
      </w:r>
      <w:r w:rsidR="00852745" w:rsidRPr="004E03D3">
        <w:t xml:space="preserve">on or after Oct. 2, 2024, </w:t>
      </w:r>
      <w:r w:rsidR="00852745" w:rsidRPr="00D37066">
        <w:t>see pp</w:t>
      </w:r>
      <w:r w:rsidR="00552A8B" w:rsidRPr="00D37066">
        <w:t>.</w:t>
      </w:r>
      <w:r w:rsidR="00852745" w:rsidRPr="00D37066">
        <w:t xml:space="preserve"> </w:t>
      </w:r>
      <w:r w:rsidR="009F6915" w:rsidRPr="00D37066">
        <w:t>1</w:t>
      </w:r>
      <w:r w:rsidR="00D37066" w:rsidRPr="00D37066">
        <w:t>1</w:t>
      </w:r>
      <w:r w:rsidR="009F6915" w:rsidRPr="00D37066">
        <w:t>-1</w:t>
      </w:r>
      <w:r w:rsidR="00130395">
        <w:t>5</w:t>
      </w:r>
      <w:r w:rsidR="004E03D3">
        <w:t>.</w:t>
      </w:r>
      <w:r w:rsidR="00552A8B" w:rsidRPr="004E03D3">
        <w:t>]</w:t>
      </w:r>
    </w:p>
    <w:p w14:paraId="42428214" w14:textId="0BE89F6E" w:rsidR="00D348D9" w:rsidRDefault="00F040E7" w:rsidP="00F30B37">
      <w:pPr>
        <w:pStyle w:val="JuryInstructionText"/>
      </w:pPr>
      <w:r>
        <w:t>Kidnapping</w:t>
      </w:r>
      <w:r w:rsidR="0054111A">
        <w:t xml:space="preserve"> w</w:t>
      </w:r>
      <w:r w:rsidR="00CC77E7">
        <w:t>hile</w:t>
      </w:r>
      <w:r w:rsidR="00075807">
        <w:t xml:space="preserve"> ar</w:t>
      </w:r>
      <w:r w:rsidR="00075807" w:rsidRPr="0069075C">
        <w:t xml:space="preserve">med with </w:t>
      </w:r>
      <w:r w:rsidR="0069075C" w:rsidRPr="0069075C">
        <w:t>a</w:t>
      </w:r>
      <w:r w:rsidR="00752FE0">
        <w:t xml:space="preserve"> </w:t>
      </w:r>
      <w:r w:rsidR="00005EE7" w:rsidRPr="00005EE7">
        <w:rPr>
          <w:b/>
          <w:bCs/>
        </w:rPr>
        <w:t xml:space="preserve">[choose </w:t>
      </w:r>
      <w:r w:rsidR="00182224">
        <w:rPr>
          <w:b/>
          <w:bCs/>
        </w:rPr>
        <w:t>whichever applies</w:t>
      </w:r>
      <w:r w:rsidR="00B05EC5">
        <w:rPr>
          <w:b/>
          <w:bCs/>
        </w:rPr>
        <w:t xml:space="preserve">: </w:t>
      </w:r>
      <w:r w:rsidR="0069075C" w:rsidRPr="0069075C">
        <w:t>firearm, rifle, shotgun, machine gun, assault weapon</w:t>
      </w:r>
      <w:r w:rsidR="00391DB4">
        <w:t>, or stun gun</w:t>
      </w:r>
      <w:r w:rsidR="00704D38" w:rsidRPr="00CC154E">
        <w:rPr>
          <w:b/>
          <w:bCs/>
        </w:rPr>
        <w:t>]</w:t>
      </w:r>
      <w:r w:rsidR="00F23CC3">
        <w:t xml:space="preserve"> has </w:t>
      </w:r>
      <w:r w:rsidR="00F23CC3" w:rsidRPr="000373A4">
        <w:rPr>
          <w:b/>
          <w:bCs/>
        </w:rPr>
        <w:t>one</w:t>
      </w:r>
      <w:r w:rsidR="00F23CC3">
        <w:t xml:space="preserve"> element </w:t>
      </w:r>
      <w:r w:rsidR="0074534E">
        <w:t>in addition to those required for kidnapping</w:t>
      </w:r>
      <w:r w:rsidR="001A6AAA">
        <w:t xml:space="preserve">: </w:t>
      </w:r>
      <w:r w:rsidR="0069075C">
        <w:t>that</w:t>
      </w:r>
      <w:r w:rsidR="00CF76E5">
        <w:t>,</w:t>
      </w:r>
      <w:r w:rsidR="0069075C">
        <w:t xml:space="preserve"> </w:t>
      </w:r>
      <w:r w:rsidR="00B63368">
        <w:t xml:space="preserve">at the time of the </w:t>
      </w:r>
      <w:r w:rsidR="001652E6">
        <w:t xml:space="preserve">kidnapping, </w:t>
      </w:r>
      <w:r w:rsidR="00C96E2C">
        <w:t>Dft</w:t>
      </w:r>
      <w:r w:rsidR="001652E6">
        <w:t xml:space="preserve"> possessed a </w:t>
      </w:r>
      <w:r w:rsidR="00D93E7A">
        <w:t>[</w:t>
      </w:r>
      <w:r w:rsidR="001652E6" w:rsidRPr="001652E6">
        <w:t>firearm, rifle, shotgun, machine gun, assault weapon</w:t>
      </w:r>
      <w:r w:rsidR="00391DB4">
        <w:t>, or stun gun</w:t>
      </w:r>
      <w:r w:rsidR="00D93E7A">
        <w:t>]</w:t>
      </w:r>
      <w:r w:rsidR="00D348D9">
        <w:t>.</w:t>
      </w:r>
      <w:r w:rsidR="00BD4DA5">
        <w:t xml:space="preserve"> The Commonwealth does not have to prove that </w:t>
      </w:r>
      <w:r w:rsidR="00C96E2C">
        <w:t>Dft</w:t>
      </w:r>
      <w:r w:rsidR="00BD4DA5">
        <w:t xml:space="preserve"> used</w:t>
      </w:r>
      <w:r w:rsidR="002F11EC">
        <w:t xml:space="preserve"> the weapon</w:t>
      </w:r>
      <w:r w:rsidR="009D11EC">
        <w:t xml:space="preserve"> during the kidnapping,</w:t>
      </w:r>
      <w:r w:rsidR="002F11EC">
        <w:t xml:space="preserve"> but </w:t>
      </w:r>
      <w:r w:rsidR="009D11EC">
        <w:t xml:space="preserve">it </w:t>
      </w:r>
      <w:r w:rsidR="007D600B">
        <w:t>must prove</w:t>
      </w:r>
      <w:r w:rsidR="009D11EC">
        <w:t>, beyond a reasonable doubt,</w:t>
      </w:r>
      <w:r w:rsidR="007D600B">
        <w:t xml:space="preserve"> that </w:t>
      </w:r>
      <w:r w:rsidR="00C96E2C">
        <w:t>Dft</w:t>
      </w:r>
      <w:r w:rsidR="007D600B">
        <w:t xml:space="preserve"> actually possessed </w:t>
      </w:r>
      <w:r w:rsidR="00CC3095">
        <w:t>the weapon</w:t>
      </w:r>
      <w:r w:rsidR="007D600B">
        <w:t xml:space="preserve"> during the kidnapping.</w:t>
      </w:r>
      <w:r w:rsidR="00AF66BA">
        <w:rPr>
          <w:rStyle w:val="FootnoteReference"/>
        </w:rPr>
        <w:footnoteReference w:id="21"/>
      </w:r>
    </w:p>
    <w:p w14:paraId="3E11AAC5" w14:textId="5EB4C803" w:rsidR="00363425" w:rsidRDefault="00D348D9" w:rsidP="00F30B37">
      <w:pPr>
        <w:pStyle w:val="JuryInstructionText"/>
      </w:pPr>
      <w:bookmarkStart w:id="6" w:name="_Hlk181091215"/>
      <w:r>
        <w:t xml:space="preserve">To actually possess something </w:t>
      </w:r>
      <w:r w:rsidR="00CF76E5">
        <w:t xml:space="preserve">means </w:t>
      </w:r>
      <w:r w:rsidR="00A82AC8">
        <w:t xml:space="preserve">to have </w:t>
      </w:r>
      <w:r w:rsidR="0035560A">
        <w:t>physical custody or control o</w:t>
      </w:r>
      <w:r w:rsidR="00BB0B5E">
        <w:t xml:space="preserve">f </w:t>
      </w:r>
      <w:r w:rsidR="0035560A">
        <w:t xml:space="preserve">it. </w:t>
      </w:r>
      <w:bookmarkEnd w:id="6"/>
      <w:r w:rsidR="00DB7DEB">
        <w:t xml:space="preserve">In this case, the weapon that </w:t>
      </w:r>
      <w:r w:rsidR="005C6621">
        <w:t>Dft</w:t>
      </w:r>
      <w:r w:rsidR="00DB7DEB">
        <w:t xml:space="preserve"> is charged with possessing during the kidnapping is </w:t>
      </w:r>
      <w:r w:rsidR="00242ADD">
        <w:t>a [</w:t>
      </w:r>
      <w:r w:rsidR="00242ADD" w:rsidRPr="00242ADD">
        <w:t>firearm, rifle, shotgun, machine gun, assault weapon</w:t>
      </w:r>
      <w:r w:rsidR="005C6621">
        <w:t xml:space="preserve">, </w:t>
      </w:r>
      <w:r w:rsidR="00971043">
        <w:t xml:space="preserve">or </w:t>
      </w:r>
      <w:r w:rsidR="005C6621">
        <w:t>stun gun</w:t>
      </w:r>
      <w:r w:rsidR="00242ADD">
        <w:t>].</w:t>
      </w:r>
      <w:r w:rsidR="00BE6499">
        <w:rPr>
          <w:rStyle w:val="FootnoteReference"/>
        </w:rPr>
        <w:footnoteReference w:id="22"/>
      </w:r>
    </w:p>
    <w:p w14:paraId="76D6DF19" w14:textId="6CB2F558" w:rsidR="00B1457D" w:rsidRPr="00B1457D" w:rsidRDefault="00B1457D" w:rsidP="00BE474A">
      <w:pPr>
        <w:pStyle w:val="JuryInstructionText"/>
        <w:ind w:firstLine="432"/>
        <w:rPr>
          <w:b/>
          <w:bCs/>
        </w:rPr>
      </w:pPr>
      <w:r w:rsidRPr="00B1457D">
        <w:rPr>
          <w:b/>
          <w:bCs/>
        </w:rPr>
        <w:t>Firearm</w:t>
      </w:r>
    </w:p>
    <w:p w14:paraId="2ED8AFD1" w14:textId="6D745D05" w:rsidR="002601EF" w:rsidRPr="002601EF" w:rsidRDefault="00371F77" w:rsidP="00B1457D">
      <w:pPr>
        <w:pStyle w:val="JuryInstructionText"/>
      </w:pPr>
      <w:r>
        <w:t>A</w:t>
      </w:r>
      <w:r w:rsidR="000777F6" w:rsidRPr="000777F6">
        <w:t xml:space="preserve"> “firearm” is any pistol, revolver,</w:t>
      </w:r>
      <w:r w:rsidR="00E20A3C">
        <w:t xml:space="preserve"> </w:t>
      </w:r>
      <w:r w:rsidR="000777F6" w:rsidRPr="000777F6">
        <w:t>or other weapon that is capable of discharging a shot or bullet and that has a barrel shorter than 16 inches</w:t>
      </w:r>
      <w:r w:rsidR="00A272F9">
        <w:t xml:space="preserve">, </w:t>
      </w:r>
      <w:r w:rsidR="006D6326">
        <w:t>or a stun gun</w:t>
      </w:r>
      <w:r w:rsidR="00956486">
        <w:t>.</w:t>
      </w:r>
      <w:r w:rsidR="00AC2FC1">
        <w:rPr>
          <w:rStyle w:val="FootnoteReference"/>
        </w:rPr>
        <w:footnoteReference w:id="23"/>
      </w:r>
      <w:r w:rsidR="002601EF">
        <w:t xml:space="preserve"> </w:t>
      </w:r>
      <w:r w:rsidR="002601EF" w:rsidRPr="002601EF">
        <w:t>The barrel is the part of a firearm through which a shot or bullet is driven, guided, or stabilized, and includes the chamber.</w:t>
      </w:r>
    </w:p>
    <w:p w14:paraId="514AADE1" w14:textId="3CA6CCD4" w:rsidR="00D307AB" w:rsidRPr="00D307AB" w:rsidRDefault="00D307AB" w:rsidP="00BE474A">
      <w:pPr>
        <w:pStyle w:val="JuryInstructionText"/>
        <w:ind w:firstLine="432"/>
        <w:rPr>
          <w:b/>
          <w:bCs/>
        </w:rPr>
      </w:pPr>
      <w:r w:rsidRPr="00D307AB">
        <w:rPr>
          <w:b/>
          <w:bCs/>
        </w:rPr>
        <w:t>Rifle</w:t>
      </w:r>
    </w:p>
    <w:p w14:paraId="348A04C0" w14:textId="11B0B9C1" w:rsidR="00371F77" w:rsidRDefault="00371F77" w:rsidP="00F30B37">
      <w:pPr>
        <w:pStyle w:val="JuryInstructionText"/>
      </w:pPr>
      <w:r>
        <w:t>A rifle is</w:t>
      </w:r>
      <w:r w:rsidR="004840D3">
        <w:t xml:space="preserve"> </w:t>
      </w:r>
      <w:r w:rsidR="00C75978" w:rsidRPr="00C75978">
        <w:t>any weapon that has a rifled bore, is capable of discharging a shot or bullet for each pull of the trigger, and has a barrel length equal to or greater than 16 inches. The barrel is the part of a rifle through which a shot or bullet is driven, guided, or stabilized, and includes the chamber</w:t>
      </w:r>
      <w:r w:rsidR="004840D3">
        <w:t>.</w:t>
      </w:r>
    </w:p>
    <w:p w14:paraId="14C6271F" w14:textId="50A3765D" w:rsidR="00D307AB" w:rsidRPr="00D307AB" w:rsidRDefault="00D307AB" w:rsidP="00BE474A">
      <w:pPr>
        <w:pStyle w:val="JuryInstructionText"/>
        <w:ind w:firstLine="432"/>
        <w:rPr>
          <w:b/>
          <w:bCs/>
        </w:rPr>
      </w:pPr>
      <w:r w:rsidRPr="00D307AB">
        <w:rPr>
          <w:b/>
          <w:bCs/>
        </w:rPr>
        <w:t>Shotgun</w:t>
      </w:r>
    </w:p>
    <w:p w14:paraId="355E474F" w14:textId="6E6D9244" w:rsidR="00371F77" w:rsidRDefault="00371F77" w:rsidP="00F30B37">
      <w:pPr>
        <w:pStyle w:val="JuryInstructionText"/>
      </w:pPr>
      <w:r>
        <w:t>A shotgun is</w:t>
      </w:r>
      <w:r w:rsidR="0015080F">
        <w:t xml:space="preserve"> </w:t>
      </w:r>
      <w:r w:rsidR="0015080F" w:rsidRPr="0015080F">
        <w:t>any weapon that has a smooth bore, is capable of discharging a shot or bullet for each pull of the trigger, and has a barrel length of at least 18 inches and an overall length of at least 26 inches</w:t>
      </w:r>
      <w:r w:rsidR="00016D2F">
        <w:t>.</w:t>
      </w:r>
      <w:r w:rsidR="0015080F" w:rsidRPr="0015080F">
        <w:t xml:space="preserve"> The barrel is the part of a shotgun through which a shot or bullet is driven, guided, or stabilized, and includes the chamber.</w:t>
      </w:r>
    </w:p>
    <w:p w14:paraId="79F229EC" w14:textId="77818767" w:rsidR="00D307AB" w:rsidRPr="00D307AB" w:rsidRDefault="00D307AB" w:rsidP="00BE474A">
      <w:pPr>
        <w:pStyle w:val="JuryInstructionText"/>
        <w:ind w:firstLine="432"/>
        <w:rPr>
          <w:b/>
          <w:bCs/>
        </w:rPr>
      </w:pPr>
      <w:r w:rsidRPr="00D307AB">
        <w:rPr>
          <w:b/>
          <w:bCs/>
        </w:rPr>
        <w:t>Machine gun</w:t>
      </w:r>
    </w:p>
    <w:p w14:paraId="16F43320" w14:textId="14BD8348" w:rsidR="005230F3" w:rsidRDefault="00371F77" w:rsidP="00525166">
      <w:pPr>
        <w:pStyle w:val="JuryInstructionText"/>
      </w:pPr>
      <w:r>
        <w:t>A machine gun is</w:t>
      </w:r>
      <w:r w:rsidR="003F2123">
        <w:t xml:space="preserve"> </w:t>
      </w:r>
      <w:r w:rsidR="00F224F5" w:rsidRPr="00F224F5">
        <w:t>a weapon of any description, by whatever name known, loaded or unloaded, from which a number of shots or bullets may be rapidly or automatically discharged by one continuous activation of the trigger, including a submachine gun; provided, however, that ''machine gun'' shall include bump stocks and trigger cranks.</w:t>
      </w:r>
    </w:p>
    <w:p w14:paraId="4B93785B" w14:textId="76578773" w:rsidR="00D307AB" w:rsidRPr="00D307AB" w:rsidRDefault="00D307AB" w:rsidP="00BC462D">
      <w:pPr>
        <w:pStyle w:val="JuryInstructionText"/>
        <w:ind w:firstLine="432"/>
        <w:rPr>
          <w:b/>
          <w:bCs/>
        </w:rPr>
      </w:pPr>
      <w:r w:rsidRPr="00D307AB">
        <w:rPr>
          <w:b/>
          <w:bCs/>
        </w:rPr>
        <w:t>Assault weapon</w:t>
      </w:r>
    </w:p>
    <w:p w14:paraId="7DC92CFE" w14:textId="69404C16" w:rsidR="00822BFD" w:rsidRDefault="008905D4" w:rsidP="00937F7B">
      <w:pPr>
        <w:pStyle w:val="JuryInstructionText"/>
        <w:spacing w:after="120"/>
      </w:pPr>
      <w:r>
        <w:lastRenderedPageBreak/>
        <w:t xml:space="preserve">An “assault weapon” is </w:t>
      </w:r>
      <w:r w:rsidR="00D8728E" w:rsidRPr="00EF0908">
        <w:rPr>
          <w:b/>
          <w:bCs/>
        </w:rPr>
        <w:t>[</w:t>
      </w:r>
      <w:bookmarkStart w:id="7" w:name="_Hlk190861847"/>
      <w:r w:rsidR="00C457C9" w:rsidRPr="00EF0908">
        <w:rPr>
          <w:b/>
          <w:bCs/>
        </w:rPr>
        <w:t xml:space="preserve">fashion a case-specific definition from the </w:t>
      </w:r>
      <w:r w:rsidR="00552721">
        <w:rPr>
          <w:b/>
          <w:bCs/>
        </w:rPr>
        <w:t xml:space="preserve">statutory </w:t>
      </w:r>
      <w:r w:rsidR="006C6E28">
        <w:rPr>
          <w:b/>
          <w:bCs/>
        </w:rPr>
        <w:t>description</w:t>
      </w:r>
      <w:r w:rsidR="00A15915" w:rsidRPr="00EF0908">
        <w:rPr>
          <w:b/>
          <w:bCs/>
        </w:rPr>
        <w:t xml:space="preserve"> </w:t>
      </w:r>
      <w:r w:rsidR="005A6463">
        <w:rPr>
          <w:b/>
          <w:bCs/>
        </w:rPr>
        <w:t xml:space="preserve">quoted </w:t>
      </w:r>
      <w:r w:rsidR="003102E0" w:rsidRPr="00EF0908">
        <w:rPr>
          <w:b/>
          <w:bCs/>
        </w:rPr>
        <w:t>in the footnote</w:t>
      </w:r>
      <w:bookmarkEnd w:id="7"/>
      <w:r w:rsidR="003102E0" w:rsidRPr="00EF0908">
        <w:rPr>
          <w:b/>
          <w:bCs/>
        </w:rPr>
        <w:t>]</w:t>
      </w:r>
      <w:r w:rsidR="008A6794">
        <w:rPr>
          <w:b/>
          <w:bCs/>
        </w:rPr>
        <w:t>.</w:t>
      </w:r>
      <w:r w:rsidR="00C06208">
        <w:rPr>
          <w:rStyle w:val="FootnoteReference"/>
        </w:rPr>
        <w:footnoteReference w:id="24"/>
      </w:r>
    </w:p>
    <w:p w14:paraId="4ED50009" w14:textId="77777777" w:rsidR="00822BFD" w:rsidRPr="00822BFD" w:rsidRDefault="00822BFD" w:rsidP="00822BFD">
      <w:pPr>
        <w:pStyle w:val="JuryInstructionText"/>
        <w:spacing w:after="120"/>
        <w:ind w:left="432"/>
        <w:rPr>
          <w:b/>
          <w:bCs/>
        </w:rPr>
      </w:pPr>
      <w:r w:rsidRPr="00822BFD">
        <w:rPr>
          <w:b/>
          <w:bCs/>
        </w:rPr>
        <w:t>Stun gun</w:t>
      </w:r>
    </w:p>
    <w:p w14:paraId="2F1C69F0" w14:textId="79A47570" w:rsidR="007638EF" w:rsidRPr="00552721" w:rsidRDefault="00822BFD" w:rsidP="00552721">
      <w:pPr>
        <w:pStyle w:val="JuryInstructionText"/>
        <w:spacing w:after="120"/>
      </w:pPr>
      <w:r w:rsidRPr="00822BFD">
        <w:t>A “stun gun” is any portable device or weapon that is designed to pass or emit an electrical shock to temporarily incapacitate, injure, or kill someone. Such a device is a stun gun whether is passes an electrical shock by means of a dart or projectile via a wire lead, and whether it does so by emitting an electrical current, impulse, wave</w:t>
      </w:r>
      <w:r w:rsidR="00AA6045">
        <w:t>,</w:t>
      </w:r>
      <w:r w:rsidRPr="00822BFD">
        <w:t xml:space="preserve"> or beam.</w:t>
      </w:r>
    </w:p>
    <w:p w14:paraId="696EB9A9" w14:textId="4AC728B8" w:rsidR="005230F3" w:rsidRDefault="005230F3">
      <w:pPr>
        <w:spacing w:after="0" w:line="240" w:lineRule="auto"/>
        <w:rPr>
          <w:rFonts w:ascii="Segoe UI Historic" w:eastAsia="Calibri" w:hAnsi="Segoe UI Historic"/>
          <w:b/>
          <w:bCs/>
          <w:sz w:val="28"/>
          <w:szCs w:val="28"/>
        </w:rPr>
      </w:pPr>
    </w:p>
    <w:p w14:paraId="17CF0160" w14:textId="62FE055A" w:rsidR="00DE4BA8" w:rsidRPr="00734511" w:rsidRDefault="00FA2177" w:rsidP="00734511">
      <w:pPr>
        <w:pStyle w:val="JuryInstructionText"/>
        <w:rPr>
          <w:b/>
          <w:bCs/>
        </w:rPr>
      </w:pPr>
      <w:r>
        <w:rPr>
          <w:b/>
          <w:bCs/>
        </w:rPr>
        <w:t>[</w:t>
      </w:r>
      <w:r w:rsidR="007F171A" w:rsidRPr="007F171A">
        <w:rPr>
          <w:b/>
          <w:bCs/>
        </w:rPr>
        <w:t>Use the following charge if</w:t>
      </w:r>
      <w:r w:rsidR="00825D77">
        <w:rPr>
          <w:b/>
          <w:bCs/>
        </w:rPr>
        <w:t xml:space="preserve"> the</w:t>
      </w:r>
      <w:r w:rsidR="007F171A" w:rsidRPr="007F171A">
        <w:rPr>
          <w:b/>
          <w:bCs/>
        </w:rPr>
        <w:t xml:space="preserve"> alleged offense occurred </w:t>
      </w:r>
      <w:r w:rsidR="00065DA7" w:rsidRPr="00065DA7">
        <w:rPr>
          <w:b/>
          <w:bCs/>
        </w:rPr>
        <w:t>on or after Oct. 2, 2024</w:t>
      </w:r>
      <w:r w:rsidR="00326ACA">
        <w:rPr>
          <w:b/>
          <w:bCs/>
        </w:rPr>
        <w:t>].</w:t>
      </w:r>
      <w:r w:rsidR="005A6E54" w:rsidRPr="002B6AEA">
        <w:rPr>
          <w:rStyle w:val="FootnoteReference"/>
        </w:rPr>
        <w:footnoteReference w:id="25"/>
      </w:r>
      <w:r>
        <w:rPr>
          <w:b/>
          <w:bCs/>
        </w:rPr>
        <w:br/>
      </w:r>
      <w:r w:rsidR="00DE4BA8" w:rsidRPr="00734511">
        <w:rPr>
          <w:b/>
          <w:bCs/>
        </w:rPr>
        <w:t>[</w:t>
      </w:r>
      <w:r w:rsidRPr="00734511">
        <w:rPr>
          <w:b/>
          <w:bCs/>
        </w:rPr>
        <w:t>I</w:t>
      </w:r>
      <w:r w:rsidR="00D65176" w:rsidRPr="00734511">
        <w:rPr>
          <w:b/>
          <w:bCs/>
        </w:rPr>
        <w:t xml:space="preserve">f </w:t>
      </w:r>
      <w:r w:rsidR="00290E78" w:rsidRPr="00734511">
        <w:rPr>
          <w:b/>
          <w:bCs/>
        </w:rPr>
        <w:t xml:space="preserve">the </w:t>
      </w:r>
      <w:r w:rsidR="00D65176" w:rsidRPr="00734511">
        <w:rPr>
          <w:b/>
          <w:bCs/>
        </w:rPr>
        <w:t>offense</w:t>
      </w:r>
      <w:r w:rsidR="0051163B" w:rsidRPr="00734511">
        <w:rPr>
          <w:b/>
          <w:bCs/>
        </w:rPr>
        <w:t xml:space="preserve"> </w:t>
      </w:r>
      <w:r w:rsidR="00DE4BA8" w:rsidRPr="00734511">
        <w:rPr>
          <w:b/>
          <w:bCs/>
        </w:rPr>
        <w:t>occurred</w:t>
      </w:r>
      <w:r w:rsidR="00065DA7" w:rsidRPr="00734511">
        <w:rPr>
          <w:b/>
          <w:bCs/>
        </w:rPr>
        <w:t xml:space="preserve"> on or before Oct. 1, 2024</w:t>
      </w:r>
      <w:r w:rsidR="00DE4BA8" w:rsidRPr="00734511">
        <w:rPr>
          <w:b/>
          <w:bCs/>
        </w:rPr>
        <w:t xml:space="preserve">, </w:t>
      </w:r>
      <w:r w:rsidR="00DE4BA8" w:rsidRPr="00A402D3">
        <w:rPr>
          <w:b/>
          <w:bCs/>
        </w:rPr>
        <w:t xml:space="preserve">see pp. </w:t>
      </w:r>
      <w:r w:rsidR="00A402D3" w:rsidRPr="00A402D3">
        <w:rPr>
          <w:b/>
          <w:bCs/>
        </w:rPr>
        <w:t>8</w:t>
      </w:r>
      <w:r w:rsidR="00065DA7" w:rsidRPr="00A402D3">
        <w:rPr>
          <w:b/>
          <w:bCs/>
        </w:rPr>
        <w:t>-1</w:t>
      </w:r>
      <w:r w:rsidR="00130395">
        <w:rPr>
          <w:b/>
          <w:bCs/>
        </w:rPr>
        <w:t>1</w:t>
      </w:r>
      <w:r w:rsidRPr="00734511">
        <w:rPr>
          <w:b/>
          <w:bCs/>
        </w:rPr>
        <w:t>.</w:t>
      </w:r>
      <w:r w:rsidR="00DE4BA8" w:rsidRPr="00734511">
        <w:rPr>
          <w:b/>
          <w:bCs/>
        </w:rPr>
        <w:t>]</w:t>
      </w:r>
    </w:p>
    <w:p w14:paraId="054D9389" w14:textId="450D04D9" w:rsidR="008B2A82" w:rsidRPr="00FF4D6C" w:rsidRDefault="00950DF1" w:rsidP="00FF4D6C">
      <w:pPr>
        <w:pStyle w:val="JuryInstructionText"/>
      </w:pPr>
      <w:r w:rsidRPr="00950DF1">
        <w:lastRenderedPageBreak/>
        <w:t xml:space="preserve">Kidnapping while armed with a </w:t>
      </w:r>
      <w:r w:rsidR="008414FA">
        <w:t>firearm</w:t>
      </w:r>
      <w:r w:rsidRPr="00950DF1">
        <w:t xml:space="preserve"> has </w:t>
      </w:r>
      <w:r w:rsidRPr="000373A4">
        <w:rPr>
          <w:b/>
          <w:bCs/>
        </w:rPr>
        <w:t>one</w:t>
      </w:r>
      <w:r w:rsidRPr="00950DF1">
        <w:t xml:space="preserve"> element in addition to those required for kidnapping: that, at the time of the kidnapping, </w:t>
      </w:r>
      <w:r w:rsidR="0022520A">
        <w:t>Dft</w:t>
      </w:r>
      <w:r w:rsidRPr="00950DF1">
        <w:t xml:space="preserve"> possessed a </w:t>
      </w:r>
      <w:r w:rsidR="008414FA">
        <w:t>firearm</w:t>
      </w:r>
      <w:r w:rsidRPr="00950DF1">
        <w:t xml:space="preserve">. The Commonwealth does not have to prove that </w:t>
      </w:r>
      <w:r w:rsidR="0022520A">
        <w:t xml:space="preserve">Dft </w:t>
      </w:r>
      <w:r w:rsidRPr="00950DF1">
        <w:t xml:space="preserve">used the </w:t>
      </w:r>
      <w:r w:rsidR="00B43CEA">
        <w:t>firearm</w:t>
      </w:r>
      <w:r w:rsidRPr="00950DF1">
        <w:t xml:space="preserve"> during the kidnapping, but it must prove, beyond a reasonable doubt, that </w:t>
      </w:r>
      <w:r w:rsidR="0022520A">
        <w:t>Dft</w:t>
      </w:r>
      <w:r w:rsidRPr="00950DF1">
        <w:t xml:space="preserve"> actually possessed the </w:t>
      </w:r>
      <w:r w:rsidR="00B43CEA">
        <w:t>firearm</w:t>
      </w:r>
      <w:r w:rsidRPr="00950DF1">
        <w:t xml:space="preserve"> during the kidnapping.</w:t>
      </w:r>
    </w:p>
    <w:p w14:paraId="5B31B0D5" w14:textId="1C9B1A53" w:rsidR="000E6CA8" w:rsidRPr="00B04436" w:rsidRDefault="009B722A" w:rsidP="004A16A1">
      <w:pPr>
        <w:pStyle w:val="JuryInstructionText"/>
        <w:ind w:firstLine="432"/>
        <w:rPr>
          <w:b/>
          <w:bCs/>
        </w:rPr>
      </w:pPr>
      <w:r w:rsidRPr="00B04436">
        <w:rPr>
          <w:b/>
          <w:bCs/>
        </w:rPr>
        <w:t>Firearm</w:t>
      </w:r>
    </w:p>
    <w:p w14:paraId="0A292014" w14:textId="4A309C88" w:rsidR="00443EC2" w:rsidRDefault="00443EC2" w:rsidP="00F30B37">
      <w:pPr>
        <w:pStyle w:val="JuryInstructionText"/>
      </w:pPr>
      <w:r>
        <w:t xml:space="preserve">A “firearm” is </w:t>
      </w:r>
      <w:r w:rsidR="00A272F9" w:rsidRPr="00A272F9">
        <w:t>a</w:t>
      </w:r>
      <w:r w:rsidR="006D4259">
        <w:t xml:space="preserve"> </w:t>
      </w:r>
      <w:r w:rsidR="00F934DC" w:rsidRPr="004A050A">
        <w:rPr>
          <w:b/>
          <w:bCs/>
        </w:rPr>
        <w:t xml:space="preserve">[choose </w:t>
      </w:r>
      <w:r w:rsidR="00C16744">
        <w:rPr>
          <w:b/>
          <w:bCs/>
        </w:rPr>
        <w:t>whichever applies</w:t>
      </w:r>
      <w:r w:rsidR="00950793">
        <w:rPr>
          <w:b/>
          <w:bCs/>
        </w:rPr>
        <w:t>:</w:t>
      </w:r>
      <w:r w:rsidR="00F934DC">
        <w:t xml:space="preserve"> </w:t>
      </w:r>
      <w:r w:rsidR="00A272F9" w:rsidRPr="00A272F9">
        <w:t xml:space="preserve">pistol, revolver, rifle, shotgun, sawed-off shotgun, large capacity firearm, assault-style firearm </w:t>
      </w:r>
      <w:r w:rsidR="00A272F9">
        <w:t>or</w:t>
      </w:r>
      <w:r w:rsidR="00A272F9" w:rsidRPr="00A272F9">
        <w:t xml:space="preserve"> machine gun</w:t>
      </w:r>
      <w:r w:rsidR="00FA499B" w:rsidRPr="00B9299B">
        <w:rPr>
          <w:b/>
          <w:bCs/>
        </w:rPr>
        <w:t>]</w:t>
      </w:r>
      <w:r w:rsidR="00A272F9" w:rsidRPr="00A272F9">
        <w:t>, loaded or unloaded, which is designed to or may readily be converted to expel a shot or bullet</w:t>
      </w:r>
      <w:r w:rsidR="0069001F">
        <w:t>, [</w:t>
      </w:r>
      <w:r w:rsidR="00A272F9">
        <w:t>or a stun gun</w:t>
      </w:r>
      <w:r w:rsidR="00FA499B">
        <w:t>]</w:t>
      </w:r>
      <w:r w:rsidR="00A272F9">
        <w:t>.</w:t>
      </w:r>
      <w:r w:rsidR="00A5574F" w:rsidRPr="00A5574F">
        <w:rPr>
          <w:b/>
          <w:vertAlign w:val="superscript"/>
        </w:rPr>
        <w:footnoteReference w:id="26"/>
      </w:r>
    </w:p>
    <w:p w14:paraId="2857795D" w14:textId="28C2E2E3" w:rsidR="00B62B85" w:rsidRPr="00B62B85" w:rsidRDefault="00B62B85" w:rsidP="00006745">
      <w:pPr>
        <w:pStyle w:val="JuryInstructionText"/>
        <w:ind w:firstLine="432"/>
        <w:rPr>
          <w:b/>
          <w:bCs/>
        </w:rPr>
      </w:pPr>
      <w:r w:rsidRPr="00B62B85">
        <w:rPr>
          <w:b/>
          <w:bCs/>
        </w:rPr>
        <w:t>Rifle</w:t>
      </w:r>
    </w:p>
    <w:p w14:paraId="72C4D3CF" w14:textId="480144A6" w:rsidR="00B62B85" w:rsidRPr="00B62B85" w:rsidRDefault="001F746F" w:rsidP="00006745">
      <w:pPr>
        <w:pStyle w:val="JuryInstructionText"/>
      </w:pPr>
      <w:r>
        <w:t xml:space="preserve">A “rifle” is </w:t>
      </w:r>
      <w:r w:rsidR="00B62B85" w:rsidRPr="00B62B85">
        <w:t>a firearm having a rifled bore with a barrel length equal to or greater than 16 inches and capable of discharging a shot or bullet for each pull of the trigger.</w:t>
      </w:r>
    </w:p>
    <w:p w14:paraId="03FE8F42" w14:textId="77777777" w:rsidR="00B62B85" w:rsidRPr="00B62B85" w:rsidRDefault="00B62B85" w:rsidP="00006745">
      <w:pPr>
        <w:pStyle w:val="JuryInstructionText"/>
        <w:ind w:firstLine="432"/>
        <w:rPr>
          <w:b/>
          <w:bCs/>
        </w:rPr>
      </w:pPr>
      <w:r w:rsidRPr="00B62B85">
        <w:rPr>
          <w:b/>
          <w:bCs/>
        </w:rPr>
        <w:t>Shotgun</w:t>
      </w:r>
    </w:p>
    <w:p w14:paraId="10F1CD06" w14:textId="7B27F3F5" w:rsidR="00B62B85" w:rsidRPr="00B62B85" w:rsidRDefault="001A3189" w:rsidP="00006745">
      <w:pPr>
        <w:pStyle w:val="JuryInstructionText"/>
      </w:pPr>
      <w:r>
        <w:t xml:space="preserve">A “shotgun” is </w:t>
      </w:r>
      <w:r w:rsidR="00B62B85" w:rsidRPr="00B62B85">
        <w:t>a firearm having a smooth bore with a barrel length equal to or greater than 18 inches with an overall length equal to or greater than 26 inches, and capable of discharging a shot or bullet for each pull of the trigger.</w:t>
      </w:r>
    </w:p>
    <w:p w14:paraId="27530685" w14:textId="57D5848D" w:rsidR="00B62B85" w:rsidRPr="00B62B85" w:rsidRDefault="00B62B85" w:rsidP="00006745">
      <w:pPr>
        <w:pStyle w:val="JuryInstructionText"/>
        <w:ind w:firstLine="432"/>
        <w:rPr>
          <w:b/>
          <w:bCs/>
        </w:rPr>
      </w:pPr>
      <w:r w:rsidRPr="00B62B85">
        <w:rPr>
          <w:b/>
          <w:bCs/>
        </w:rPr>
        <w:t>Sawed-off shotgun</w:t>
      </w:r>
    </w:p>
    <w:p w14:paraId="759D387D" w14:textId="70EF943E" w:rsidR="00B62B85" w:rsidRPr="00B62B85" w:rsidRDefault="001A3189" w:rsidP="00006745">
      <w:pPr>
        <w:pStyle w:val="JuryInstructionText"/>
      </w:pPr>
      <w:r>
        <w:t xml:space="preserve">A “sawed-off shotgun” is </w:t>
      </w:r>
      <w:r w:rsidR="00B62B85" w:rsidRPr="00B62B85">
        <w:t xml:space="preserve">any firearm made from a shotgun, whether by alteration, modification or otherwise, if such firearm as modified has one or </w:t>
      </w:r>
      <w:r w:rsidR="00B62B85" w:rsidRPr="00B62B85">
        <w:lastRenderedPageBreak/>
        <w:t>more barrels less than 18 inches in length or as modified has an overall length of less than 26 inches.</w:t>
      </w:r>
    </w:p>
    <w:p w14:paraId="2B8D1809" w14:textId="77777777" w:rsidR="00B62B85" w:rsidRPr="00B62B85" w:rsidRDefault="00B62B85" w:rsidP="00006745">
      <w:pPr>
        <w:pStyle w:val="JuryInstructionText"/>
        <w:ind w:firstLine="432"/>
        <w:rPr>
          <w:b/>
          <w:bCs/>
        </w:rPr>
      </w:pPr>
      <w:r w:rsidRPr="00B62B85">
        <w:rPr>
          <w:b/>
          <w:bCs/>
        </w:rPr>
        <w:t xml:space="preserve">Large capacity firearm </w:t>
      </w:r>
    </w:p>
    <w:p w14:paraId="5EDFD83A" w14:textId="62B3CF04" w:rsidR="00B62B85" w:rsidRPr="00B62B85" w:rsidRDefault="008F2548" w:rsidP="00006745">
      <w:pPr>
        <w:pStyle w:val="JuryInstructionText"/>
      </w:pPr>
      <w:r>
        <w:t xml:space="preserve">A “large-capacity firearm” is </w:t>
      </w:r>
      <w:r w:rsidR="00B62B85" w:rsidRPr="00B62B85">
        <w:rPr>
          <w:b/>
          <w:bCs/>
        </w:rPr>
        <w:t>[</w:t>
      </w:r>
      <w:r w:rsidR="009B2847" w:rsidRPr="009B2847">
        <w:rPr>
          <w:b/>
          <w:bCs/>
        </w:rPr>
        <w:t xml:space="preserve">fashion a case-specific definition from the </w:t>
      </w:r>
      <w:r w:rsidR="00162F00">
        <w:rPr>
          <w:b/>
          <w:bCs/>
        </w:rPr>
        <w:t xml:space="preserve">statutory </w:t>
      </w:r>
      <w:r w:rsidR="006C6E28">
        <w:rPr>
          <w:b/>
          <w:bCs/>
        </w:rPr>
        <w:t>description</w:t>
      </w:r>
      <w:r w:rsidR="009B2847" w:rsidRPr="009B2847">
        <w:rPr>
          <w:b/>
          <w:bCs/>
        </w:rPr>
        <w:t xml:space="preserve"> quoted in the footnote</w:t>
      </w:r>
      <w:r w:rsidR="00B62B85" w:rsidRPr="00B62B85">
        <w:rPr>
          <w:b/>
          <w:bCs/>
        </w:rPr>
        <w:t>]</w:t>
      </w:r>
      <w:r w:rsidR="008A6794">
        <w:rPr>
          <w:b/>
          <w:bCs/>
        </w:rPr>
        <w:t>.</w:t>
      </w:r>
      <w:r w:rsidRPr="00242EE0">
        <w:rPr>
          <w:rStyle w:val="FootnoteReference"/>
        </w:rPr>
        <w:footnoteReference w:id="27"/>
      </w:r>
    </w:p>
    <w:p w14:paraId="37E78392" w14:textId="77777777" w:rsidR="00B62B85" w:rsidRPr="00B62B85" w:rsidRDefault="00B62B85" w:rsidP="00006745">
      <w:pPr>
        <w:pStyle w:val="JuryInstructionText"/>
        <w:ind w:firstLine="432"/>
        <w:rPr>
          <w:b/>
          <w:bCs/>
        </w:rPr>
      </w:pPr>
      <w:r w:rsidRPr="00B62B85">
        <w:rPr>
          <w:b/>
          <w:bCs/>
        </w:rPr>
        <w:t xml:space="preserve">Assault-style firearm </w:t>
      </w:r>
    </w:p>
    <w:p w14:paraId="47AF5194" w14:textId="2719C34B" w:rsidR="00B62B85" w:rsidRPr="00B62B85" w:rsidRDefault="00FE2E07" w:rsidP="00006745">
      <w:pPr>
        <w:pStyle w:val="JuryInstructionText"/>
      </w:pPr>
      <w:r>
        <w:t xml:space="preserve">An “assault-style firearm” is </w:t>
      </w:r>
      <w:r w:rsidR="00B62B85" w:rsidRPr="00B62B85">
        <w:rPr>
          <w:b/>
          <w:bCs/>
        </w:rPr>
        <w:t>[</w:t>
      </w:r>
      <w:r w:rsidR="009B2847" w:rsidRPr="009B2847">
        <w:rPr>
          <w:b/>
          <w:bCs/>
        </w:rPr>
        <w:t xml:space="preserve">fashion a case-specific definition from the </w:t>
      </w:r>
      <w:r w:rsidR="0098541B">
        <w:rPr>
          <w:b/>
          <w:bCs/>
        </w:rPr>
        <w:t xml:space="preserve">statutory </w:t>
      </w:r>
      <w:r w:rsidR="00351282">
        <w:rPr>
          <w:b/>
          <w:bCs/>
        </w:rPr>
        <w:t>description</w:t>
      </w:r>
      <w:r w:rsidR="009B2847" w:rsidRPr="009B2847">
        <w:rPr>
          <w:b/>
          <w:bCs/>
        </w:rPr>
        <w:t xml:space="preserve"> quoted in the footnote</w:t>
      </w:r>
      <w:r w:rsidR="00B62B85" w:rsidRPr="00B62B85">
        <w:rPr>
          <w:b/>
          <w:bCs/>
        </w:rPr>
        <w:t>]</w:t>
      </w:r>
      <w:r w:rsidR="008A6794">
        <w:rPr>
          <w:b/>
          <w:bCs/>
        </w:rPr>
        <w:t>.</w:t>
      </w:r>
      <w:r w:rsidR="00CC248C">
        <w:rPr>
          <w:rStyle w:val="FootnoteReference"/>
        </w:rPr>
        <w:footnoteReference w:id="28"/>
      </w:r>
    </w:p>
    <w:p w14:paraId="060F0F1A" w14:textId="32C0A222" w:rsidR="00B62B85" w:rsidRPr="00B62B85" w:rsidRDefault="00B62B85" w:rsidP="00006745">
      <w:pPr>
        <w:pStyle w:val="JuryInstructionText"/>
        <w:ind w:firstLine="432"/>
        <w:rPr>
          <w:b/>
          <w:bCs/>
        </w:rPr>
      </w:pPr>
      <w:r w:rsidRPr="00B62B85">
        <w:rPr>
          <w:b/>
          <w:bCs/>
        </w:rPr>
        <w:lastRenderedPageBreak/>
        <w:t xml:space="preserve">Machine gun </w:t>
      </w:r>
      <w:r w:rsidR="00242EE0" w:rsidRPr="00242EE0">
        <w:rPr>
          <w:b/>
          <w:bCs/>
        </w:rPr>
        <w:t>or</w:t>
      </w:r>
      <w:r w:rsidRPr="00B62B85">
        <w:rPr>
          <w:b/>
          <w:bCs/>
        </w:rPr>
        <w:t xml:space="preserve"> submachine gun</w:t>
      </w:r>
    </w:p>
    <w:p w14:paraId="7414D7D2" w14:textId="60EC3F4F" w:rsidR="00A5574F" w:rsidRDefault="00242EE0" w:rsidP="00006745">
      <w:pPr>
        <w:pStyle w:val="JuryInstructionText"/>
      </w:pPr>
      <w:r>
        <w:t xml:space="preserve">A “machine gun” </w:t>
      </w:r>
      <w:r w:rsidRPr="00FC454F">
        <w:rPr>
          <w:b/>
          <w:bCs/>
        </w:rPr>
        <w:t>[or]</w:t>
      </w:r>
      <w:r>
        <w:t xml:space="preserve"> “submachine gun” is </w:t>
      </w:r>
      <w:r w:rsidR="00B62B85" w:rsidRPr="00B62B85">
        <w:t xml:space="preserve">a firearm, loaded or unloaded, which may automatically discharge more than 1 shot by a continuous activation of the trigger, whether originally manufactured as such or modified by automatic conversion, including through the use of an </w:t>
      </w:r>
      <w:r w:rsidR="00B62B85" w:rsidRPr="00B62B85">
        <w:lastRenderedPageBreak/>
        <w:t>automatic part; or any firearm, loaded or unloaded, which has been modified by automatic conversion to alter or increase its rate of fire to mimic automatic fire.</w:t>
      </w:r>
    </w:p>
    <w:p w14:paraId="57709705" w14:textId="0D88A6DA" w:rsidR="00E63DAC" w:rsidRPr="00D97C89" w:rsidRDefault="00E63DAC" w:rsidP="00006745">
      <w:pPr>
        <w:pStyle w:val="JuryInstructionText"/>
        <w:ind w:firstLine="432"/>
        <w:rPr>
          <w:b/>
          <w:bCs/>
        </w:rPr>
      </w:pPr>
      <w:r w:rsidRPr="00D97C89">
        <w:rPr>
          <w:b/>
          <w:bCs/>
        </w:rPr>
        <w:t>Stun gun</w:t>
      </w:r>
    </w:p>
    <w:p w14:paraId="2C87D795" w14:textId="671B890A" w:rsidR="00D97C89" w:rsidRPr="00D97C89" w:rsidRDefault="00D97C89" w:rsidP="00006745">
      <w:pPr>
        <w:pStyle w:val="JuryInstructionText"/>
      </w:pPr>
      <w:r>
        <w:t xml:space="preserve">A “stun gun” is </w:t>
      </w:r>
      <w:r w:rsidRPr="00D97C89">
        <w:t>a portable device or weapon, regardless of whether it passes an electrical shock by means of a dart or projectile via a wire lead, from which an electrical current, impulse, wave or beam that is designed to incapacitate temporarily, injure or kill may be directed.</w:t>
      </w:r>
    </w:p>
    <w:p w14:paraId="2FC93F88" w14:textId="1BA895E8" w:rsidR="00AA7EA6" w:rsidRDefault="007F00C0" w:rsidP="0010748B">
      <w:pPr>
        <w:pStyle w:val="JuryInst4"/>
        <w:numPr>
          <w:ilvl w:val="3"/>
          <w:numId w:val="26"/>
        </w:numPr>
      </w:pPr>
      <w:bookmarkStart w:id="8" w:name="_Hlk209189673"/>
      <w:r>
        <w:t>With</w:t>
      </w:r>
      <w:r w:rsidR="00FC0D6F">
        <w:t xml:space="preserve"> a dangerous weapon</w:t>
      </w:r>
      <w:r w:rsidR="004C449E">
        <w:t>, inflict</w:t>
      </w:r>
      <w:r w:rsidR="00451C97">
        <w:t>ed</w:t>
      </w:r>
      <w:r w:rsidR="004C449E">
        <w:t xml:space="preserve"> </w:t>
      </w:r>
      <w:r w:rsidR="00FC0D6F">
        <w:t>s</w:t>
      </w:r>
      <w:r w:rsidR="0010748B">
        <w:t>erious bodily injury</w:t>
      </w:r>
      <w:bookmarkEnd w:id="8"/>
      <w:r w:rsidR="00706100" w:rsidRPr="00706100">
        <w:rPr>
          <w:vertAlign w:val="superscript"/>
        </w:rPr>
        <w:footnoteReference w:id="29"/>
      </w:r>
    </w:p>
    <w:p w14:paraId="506AF899" w14:textId="27AC7A01" w:rsidR="0085723F" w:rsidRDefault="00695B4D" w:rsidP="00E64D86">
      <w:pPr>
        <w:pStyle w:val="JuryInstructionText"/>
      </w:pPr>
      <w:r w:rsidRPr="00695B4D">
        <w:t>Kidnapping while</w:t>
      </w:r>
      <w:r w:rsidR="00E64D86" w:rsidRPr="00E64D86">
        <w:t xml:space="preserve"> armed with a</w:t>
      </w:r>
      <w:r w:rsidR="002B7DDC">
        <w:t xml:space="preserve"> dangerous weapon</w:t>
      </w:r>
      <w:r w:rsidR="005801D7">
        <w:t xml:space="preserve"> </w:t>
      </w:r>
      <w:r w:rsidR="001A52E4">
        <w:t xml:space="preserve">used </w:t>
      </w:r>
      <w:r w:rsidR="005801D7">
        <w:t xml:space="preserve">to inflict serious bodily injury </w:t>
      </w:r>
      <w:bookmarkStart w:id="9" w:name="_Hlk181093505"/>
      <w:r w:rsidR="00251075" w:rsidRPr="00251075">
        <w:t xml:space="preserve">has </w:t>
      </w:r>
      <w:r w:rsidR="00251075" w:rsidRPr="003C7BB0">
        <w:rPr>
          <w:b/>
          <w:bCs/>
        </w:rPr>
        <w:t>two</w:t>
      </w:r>
      <w:r w:rsidR="00251075">
        <w:t xml:space="preserve"> elements</w:t>
      </w:r>
      <w:r w:rsidR="00251075" w:rsidRPr="00251075">
        <w:t xml:space="preserve"> in addition to those required for kidnapping</w:t>
      </w:r>
      <w:r w:rsidR="0085723F">
        <w:t>:</w:t>
      </w:r>
    </w:p>
    <w:p w14:paraId="3A7069D4" w14:textId="432A8726" w:rsidR="009B0A38" w:rsidRDefault="00FB4D9F" w:rsidP="0085723F">
      <w:pPr>
        <w:pStyle w:val="JuryInstructionText"/>
        <w:numPr>
          <w:ilvl w:val="0"/>
          <w:numId w:val="16"/>
        </w:numPr>
      </w:pPr>
      <w:r>
        <w:t>Dft</w:t>
      </w:r>
      <w:r w:rsidR="009B0A38">
        <w:t xml:space="preserve"> possessed a dangerous weapon; and</w:t>
      </w:r>
    </w:p>
    <w:p w14:paraId="72E29300" w14:textId="440D016C" w:rsidR="00E64D86" w:rsidRDefault="00D348AB" w:rsidP="0085723F">
      <w:pPr>
        <w:pStyle w:val="JuryInstructionText"/>
        <w:numPr>
          <w:ilvl w:val="0"/>
          <w:numId w:val="16"/>
        </w:numPr>
      </w:pPr>
      <w:r>
        <w:t>Dft</w:t>
      </w:r>
      <w:r w:rsidR="007A6431">
        <w:t xml:space="preserve"> used the dangerous weapon </w:t>
      </w:r>
      <w:r w:rsidR="00B9093C">
        <w:t xml:space="preserve">to inflict serious bodily injury on </w:t>
      </w:r>
      <w:r>
        <w:t>Avm</w:t>
      </w:r>
      <w:r w:rsidR="00B9093C">
        <w:t>.</w:t>
      </w:r>
      <w:r w:rsidR="00A41DF5">
        <w:rPr>
          <w:rStyle w:val="FootnoteReference"/>
        </w:rPr>
        <w:footnoteReference w:id="30"/>
      </w:r>
      <w:r w:rsidR="009B0A38">
        <w:t xml:space="preserve"> </w:t>
      </w:r>
    </w:p>
    <w:bookmarkEnd w:id="9"/>
    <w:p w14:paraId="588A8139" w14:textId="01CBD8AD" w:rsidR="008B0C05" w:rsidRDefault="001A52E4" w:rsidP="001A52E4">
      <w:pPr>
        <w:pStyle w:val="JuryInstructionText"/>
      </w:pPr>
      <w:r>
        <w:t xml:space="preserve">Let me explain </w:t>
      </w:r>
      <w:r w:rsidR="00F30CB6">
        <w:t>some of these terms.</w:t>
      </w:r>
      <w:r w:rsidR="002238D5">
        <w:t xml:space="preserve"> </w:t>
      </w:r>
      <w:r w:rsidR="002238D5" w:rsidRPr="002238D5">
        <w:t xml:space="preserve">To </w:t>
      </w:r>
      <w:r w:rsidR="00F53C66">
        <w:t>“</w:t>
      </w:r>
      <w:r w:rsidR="002238D5" w:rsidRPr="002238D5">
        <w:t>possess</w:t>
      </w:r>
      <w:r w:rsidR="00F53C66">
        <w:t>”</w:t>
      </w:r>
      <w:r w:rsidR="002238D5" w:rsidRPr="002238D5">
        <w:t xml:space="preserve"> something means to have physical custody or control </w:t>
      </w:r>
      <w:r w:rsidR="00E14510">
        <w:t>of</w:t>
      </w:r>
      <w:r w:rsidR="002238D5" w:rsidRPr="002238D5">
        <w:t xml:space="preserve"> it.</w:t>
      </w:r>
      <w:r w:rsidR="0098592E">
        <w:t xml:space="preserve"> </w:t>
      </w:r>
    </w:p>
    <w:p w14:paraId="7AB10876" w14:textId="3E4AD998" w:rsidR="00D21717" w:rsidRDefault="00E14510" w:rsidP="001A52E4">
      <w:pPr>
        <w:pStyle w:val="JuryInstructionText"/>
      </w:pPr>
      <w:r>
        <w:t>A</w:t>
      </w:r>
      <w:r w:rsidR="00C44D16" w:rsidRPr="00C44D16">
        <w:t xml:space="preserve"> </w:t>
      </w:r>
      <w:r w:rsidR="00F53C66">
        <w:t>“</w:t>
      </w:r>
      <w:r w:rsidR="00C44D16" w:rsidRPr="00C44D16">
        <w:t>dangerous weapon</w:t>
      </w:r>
      <w:r w:rsidR="00F53C66">
        <w:t>”</w:t>
      </w:r>
      <w:r w:rsidR="00C44D16" w:rsidRPr="00C44D16">
        <w:t xml:space="preserve"> is</w:t>
      </w:r>
      <w:r w:rsidR="00D21717">
        <w:t xml:space="preserve"> </w:t>
      </w:r>
      <w:r w:rsidR="00D21717" w:rsidRPr="00C45702">
        <w:rPr>
          <w:b/>
          <w:bCs/>
        </w:rPr>
        <w:t>[choose</w:t>
      </w:r>
      <w:r w:rsidR="00AA66E4" w:rsidRPr="00C45702">
        <w:rPr>
          <w:b/>
          <w:bCs/>
        </w:rPr>
        <w:t xml:space="preserve"> </w:t>
      </w:r>
      <w:r w:rsidR="00C45702" w:rsidRPr="00C45702">
        <w:rPr>
          <w:b/>
          <w:bCs/>
        </w:rPr>
        <w:t xml:space="preserve">whichever </w:t>
      </w:r>
      <w:r w:rsidR="004A082D">
        <w:rPr>
          <w:b/>
          <w:bCs/>
        </w:rPr>
        <w:t xml:space="preserve">definition </w:t>
      </w:r>
      <w:r w:rsidR="00C45702" w:rsidRPr="00C45702">
        <w:rPr>
          <w:b/>
          <w:bCs/>
        </w:rPr>
        <w:t>applies</w:t>
      </w:r>
      <w:r w:rsidR="00AA66E4" w:rsidRPr="00C45702">
        <w:rPr>
          <w:b/>
          <w:bCs/>
        </w:rPr>
        <w:t>]</w:t>
      </w:r>
      <w:r w:rsidR="006C3C12" w:rsidRPr="00B60677">
        <w:rPr>
          <w:rStyle w:val="FootnoteReference"/>
        </w:rPr>
        <w:footnoteReference w:id="31"/>
      </w:r>
      <w:r w:rsidR="00C44D16" w:rsidRPr="00C44D16">
        <w:t xml:space="preserve"> </w:t>
      </w:r>
    </w:p>
    <w:p w14:paraId="082C4ACF" w14:textId="1B8AF52C" w:rsidR="000C5EF3" w:rsidRDefault="001B4F0F" w:rsidP="004A082D">
      <w:pPr>
        <w:pStyle w:val="JuryInstructionText"/>
        <w:ind w:left="432"/>
      </w:pPr>
      <w:r w:rsidRPr="004A082D">
        <w:rPr>
          <w:b/>
          <w:bCs/>
        </w:rPr>
        <w:lastRenderedPageBreak/>
        <w:t>[</w:t>
      </w:r>
      <w:r w:rsidR="009F1744">
        <w:rPr>
          <w:b/>
          <w:bCs/>
        </w:rPr>
        <w:t>p</w:t>
      </w:r>
      <w:r w:rsidR="00C45702" w:rsidRPr="004A082D">
        <w:rPr>
          <w:b/>
          <w:bCs/>
        </w:rPr>
        <w:t>er se</w:t>
      </w:r>
      <w:r w:rsidRPr="004A082D">
        <w:rPr>
          <w:b/>
          <w:bCs/>
        </w:rPr>
        <w:t>]</w:t>
      </w:r>
      <w:r w:rsidR="000C5EF3">
        <w:t xml:space="preserve"> any object </w:t>
      </w:r>
      <w:r w:rsidR="000C5EF3" w:rsidRPr="000C5EF3">
        <w:t xml:space="preserve">designed and constructed to produce death or </w:t>
      </w:r>
      <w:r w:rsidR="004743A9">
        <w:t>great</w:t>
      </w:r>
      <w:r w:rsidR="000C5EF3" w:rsidRPr="000C5EF3">
        <w:t xml:space="preserve"> bodily harm</w:t>
      </w:r>
      <w:r w:rsidR="003508C2">
        <w:t xml:space="preserve">. For </w:t>
      </w:r>
      <w:r w:rsidR="00375494">
        <w:t>example</w:t>
      </w:r>
      <w:r w:rsidR="003508C2">
        <w:t>, a gun</w:t>
      </w:r>
      <w:r w:rsidR="007F1076">
        <w:t xml:space="preserve"> or dagger is a dangerous weapon because </w:t>
      </w:r>
      <w:r w:rsidR="008235EE">
        <w:t>it is</w:t>
      </w:r>
      <w:r w:rsidR="000C13D9" w:rsidRPr="000C13D9">
        <w:t xml:space="preserve"> designed for the purpose of bodily assault or defense</w:t>
      </w:r>
      <w:r w:rsidR="0062355F">
        <w:t>.</w:t>
      </w:r>
    </w:p>
    <w:p w14:paraId="7776F697" w14:textId="113CD468" w:rsidR="00E6513F" w:rsidRDefault="00E6513F" w:rsidP="004A082D">
      <w:pPr>
        <w:pStyle w:val="JuryInstructionText"/>
        <w:ind w:left="432"/>
      </w:pPr>
      <w:r w:rsidRPr="004A082D">
        <w:rPr>
          <w:b/>
          <w:bCs/>
        </w:rPr>
        <w:t>[</w:t>
      </w:r>
      <w:r w:rsidR="009F1744">
        <w:rPr>
          <w:b/>
          <w:bCs/>
        </w:rPr>
        <w:t xml:space="preserve">as </w:t>
      </w:r>
      <w:r w:rsidRPr="004A082D">
        <w:rPr>
          <w:b/>
          <w:bCs/>
        </w:rPr>
        <w:t>used]</w:t>
      </w:r>
      <w:r>
        <w:t xml:space="preserve"> any object that</w:t>
      </w:r>
      <w:r w:rsidR="00F665D1">
        <w:t xml:space="preserve"> is </w:t>
      </w:r>
      <w:r w:rsidR="00985992">
        <w:t xml:space="preserve">used </w:t>
      </w:r>
      <w:r w:rsidR="00775075">
        <w:t xml:space="preserve">in a way that </w:t>
      </w:r>
      <w:r w:rsidR="009E4156">
        <w:t>can</w:t>
      </w:r>
      <w:r w:rsidR="00CA3B94">
        <w:t xml:space="preserve"> </w:t>
      </w:r>
      <w:r w:rsidR="009E4156">
        <w:t>cause</w:t>
      </w:r>
      <w:r w:rsidR="00775075">
        <w:t xml:space="preserve"> </w:t>
      </w:r>
      <w:r w:rsidR="00EB2E12">
        <w:t xml:space="preserve">serious </w:t>
      </w:r>
      <w:r w:rsidR="00985992">
        <w:t>bodily harm</w:t>
      </w:r>
      <w:r w:rsidR="00490CEB">
        <w:t>.</w:t>
      </w:r>
      <w:r w:rsidR="005E6FB6">
        <w:t xml:space="preserve"> </w:t>
      </w:r>
      <w:r w:rsidR="00376318">
        <w:t xml:space="preserve">In determining whether an object </w:t>
      </w:r>
      <w:r w:rsidR="006362C4">
        <w:t>is</w:t>
      </w:r>
      <w:r w:rsidR="00376318">
        <w:t xml:space="preserve"> </w:t>
      </w:r>
      <w:r w:rsidR="0018596D">
        <w:t>dangerous</w:t>
      </w:r>
      <w:r w:rsidR="00376318">
        <w:t xml:space="preserve"> as used, you must consider </w:t>
      </w:r>
      <w:r w:rsidR="00634DF4">
        <w:t>n</w:t>
      </w:r>
      <w:r w:rsidR="00E66CE2" w:rsidRPr="00E66CE2">
        <w:t xml:space="preserve">ot only </w:t>
      </w:r>
      <w:r w:rsidR="00634DF4">
        <w:t>th</w:t>
      </w:r>
      <w:r w:rsidR="00E66CE2" w:rsidRPr="00E66CE2">
        <w:t xml:space="preserve">e nature and specific features of the object but also the circumstances surrounding </w:t>
      </w:r>
      <w:r w:rsidR="00634DF4">
        <w:t>its use</w:t>
      </w:r>
      <w:r w:rsidR="00E66CE2" w:rsidRPr="00E66CE2">
        <w:t xml:space="preserve"> and the manner in which it was handled or controlled</w:t>
      </w:r>
      <w:r w:rsidR="005A3724">
        <w:t>.</w:t>
      </w:r>
      <w:r w:rsidR="00D666E7">
        <w:t xml:space="preserve"> </w:t>
      </w:r>
      <w:r w:rsidR="008D0A57" w:rsidRPr="008D0A57">
        <w:t xml:space="preserve">The Commonwealth must prove beyond a reasonable doubt that </w:t>
      </w:r>
      <w:r w:rsidR="00716FE0">
        <w:t>Dft</w:t>
      </w:r>
      <w:r w:rsidR="008D0A57" w:rsidRPr="008D0A57">
        <w:t xml:space="preserve"> formed the intent to use the object in a dangerous or potentially dangerous way. </w:t>
      </w:r>
      <w:r w:rsidR="00375494">
        <w:t>For example,</w:t>
      </w:r>
      <w:r w:rsidR="00375494" w:rsidRPr="00375494">
        <w:rPr>
          <w:rFonts w:asciiTheme="minorHAnsi" w:eastAsiaTheme="minorHAnsi" w:hAnsiTheme="minorHAnsi"/>
          <w:sz w:val="22"/>
          <w:szCs w:val="22"/>
        </w:rPr>
        <w:t xml:space="preserve"> </w:t>
      </w:r>
      <w:r w:rsidR="00375494" w:rsidRPr="00375494">
        <w:t>a pocket knife, baseball bat, shoe, or even a pencil</w:t>
      </w:r>
      <w:r w:rsidR="00375494">
        <w:t xml:space="preserve"> may </w:t>
      </w:r>
      <w:r w:rsidR="0042220C">
        <w:t xml:space="preserve">be a dangerous weapon if it is used </w:t>
      </w:r>
      <w:r w:rsidR="0042220C" w:rsidRPr="0042220C">
        <w:t xml:space="preserve">to cut, strike, or otherwise touch someone in a way that </w:t>
      </w:r>
      <w:r w:rsidR="00356ACC">
        <w:t>can cause</w:t>
      </w:r>
      <w:r w:rsidR="0042220C" w:rsidRPr="0042220C">
        <w:t xml:space="preserve"> death</w:t>
      </w:r>
      <w:r w:rsidR="00912DC2">
        <w:t xml:space="preserve"> or great bodily harm.</w:t>
      </w:r>
      <w:r w:rsidR="00375494">
        <w:t xml:space="preserve"> </w:t>
      </w:r>
    </w:p>
    <w:p w14:paraId="29FEF329" w14:textId="47B344E0" w:rsidR="00DF003F" w:rsidRDefault="001B01B7" w:rsidP="001A52E4">
      <w:pPr>
        <w:pStyle w:val="JuryInstructionText"/>
      </w:pPr>
      <w:r>
        <w:t xml:space="preserve">Serious bodily injury, in this case, means </w:t>
      </w:r>
      <w:r w:rsidR="00E46AE7" w:rsidRPr="00E46AE7">
        <w:t xml:space="preserve">bodily injury </w:t>
      </w:r>
      <w:r w:rsidR="00B914E2">
        <w:t>that</w:t>
      </w:r>
      <w:r w:rsidR="00E46AE7" w:rsidRPr="00E46AE7">
        <w:t xml:space="preserve"> results in</w:t>
      </w:r>
      <w:r w:rsidR="00504AAE">
        <w:t xml:space="preserve"> p</w:t>
      </w:r>
      <w:r w:rsidR="00E46AE7" w:rsidRPr="00E46AE7">
        <w:t>ermanent disfigurement</w:t>
      </w:r>
      <w:r w:rsidR="00455AD3">
        <w:t>;</w:t>
      </w:r>
      <w:r w:rsidR="00E46AE7" w:rsidRPr="00E46AE7">
        <w:t xml:space="preserve"> protracted loss or impairment of a bodily function, limb</w:t>
      </w:r>
      <w:r w:rsidR="00455AD3">
        <w:t>,</w:t>
      </w:r>
      <w:r w:rsidR="00E46AE7" w:rsidRPr="00E46AE7">
        <w:t xml:space="preserve"> or organ</w:t>
      </w:r>
      <w:r w:rsidR="00455AD3">
        <w:t>;</w:t>
      </w:r>
      <w:r w:rsidR="00E46AE7" w:rsidRPr="00E46AE7">
        <w:t xml:space="preserve"> or substantial risk of death</w:t>
      </w:r>
      <w:r w:rsidR="00E46AE7">
        <w:t>.</w:t>
      </w:r>
      <w:r w:rsidR="00E46AE7">
        <w:rPr>
          <w:rStyle w:val="FootnoteReference"/>
        </w:rPr>
        <w:footnoteReference w:id="32"/>
      </w:r>
    </w:p>
    <w:p w14:paraId="76658EDC" w14:textId="656C9611" w:rsidR="002747AC" w:rsidRDefault="004C5CC7" w:rsidP="001A52E4">
      <w:pPr>
        <w:pStyle w:val="JuryInstructionText"/>
      </w:pPr>
      <w:r>
        <w:t xml:space="preserve">To summarize, </w:t>
      </w:r>
      <w:r w:rsidR="002C5934">
        <w:t xml:space="preserve">the Commonwealth must prove beyond a reasonable doubt </w:t>
      </w:r>
      <w:r w:rsidR="006524B3">
        <w:t xml:space="preserve">all the elements of kidnapping plus </w:t>
      </w:r>
      <w:r w:rsidR="002C5934">
        <w:t xml:space="preserve">that </w:t>
      </w:r>
      <w:r w:rsidR="0051187F">
        <w:t>Dft</w:t>
      </w:r>
      <w:r w:rsidR="004914EE">
        <w:t xml:space="preserve"> </w:t>
      </w:r>
      <w:r w:rsidR="00BE1B01">
        <w:t xml:space="preserve">possessed a dangerous weapon at the time of the kidnapping and used it to </w:t>
      </w:r>
      <w:r w:rsidR="00C0514C">
        <w:t xml:space="preserve">inflict serious bodily injury on </w:t>
      </w:r>
      <w:r w:rsidR="0051187F">
        <w:t>Avm</w:t>
      </w:r>
      <w:r w:rsidR="00C0514C">
        <w:t>.</w:t>
      </w:r>
    </w:p>
    <w:p w14:paraId="400F3932" w14:textId="296A152E" w:rsidR="001A52E4" w:rsidRDefault="009E76C2" w:rsidP="002747AC">
      <w:pPr>
        <w:pStyle w:val="JuryInst4"/>
        <w:numPr>
          <w:ilvl w:val="3"/>
          <w:numId w:val="26"/>
        </w:numPr>
      </w:pPr>
      <w:r>
        <w:t>With</w:t>
      </w:r>
      <w:r w:rsidR="00DA7847">
        <w:t xml:space="preserve"> a dangerous weapon</w:t>
      </w:r>
      <w:r w:rsidR="004C449E">
        <w:t>, commit</w:t>
      </w:r>
      <w:r w:rsidR="00451C97">
        <w:t>ted</w:t>
      </w:r>
      <w:r w:rsidR="004C449E">
        <w:t xml:space="preserve"> </w:t>
      </w:r>
      <w:r>
        <w:t>sexual assault</w:t>
      </w:r>
      <w:r w:rsidR="00DA7847" w:rsidRPr="00DA7847">
        <w:rPr>
          <w:vertAlign w:val="superscript"/>
        </w:rPr>
        <w:footnoteReference w:id="33"/>
      </w:r>
      <w:r w:rsidR="002C5934">
        <w:t xml:space="preserve"> </w:t>
      </w:r>
      <w:r w:rsidR="00951D34">
        <w:t xml:space="preserve"> </w:t>
      </w:r>
      <w:r w:rsidR="002238D5">
        <w:t xml:space="preserve"> </w:t>
      </w:r>
    </w:p>
    <w:p w14:paraId="22E0F35D" w14:textId="5F6F5DE9" w:rsidR="008B0C05" w:rsidRDefault="001C47C4" w:rsidP="00952C07">
      <w:pPr>
        <w:pStyle w:val="JuryInstructionText"/>
      </w:pPr>
      <w:r>
        <w:t>A k</w:t>
      </w:r>
      <w:r w:rsidR="00912472" w:rsidRPr="00912472">
        <w:t>idnapping while armed with a dangerous weapon</w:t>
      </w:r>
      <w:r w:rsidR="00C611B4">
        <w:t xml:space="preserve"> </w:t>
      </w:r>
      <w:r>
        <w:t xml:space="preserve">and which </w:t>
      </w:r>
      <w:r w:rsidR="00001CA2">
        <w:t>involv</w:t>
      </w:r>
      <w:r>
        <w:t>es</w:t>
      </w:r>
      <w:r w:rsidR="00001CA2">
        <w:t xml:space="preserve"> </w:t>
      </w:r>
      <w:r>
        <w:t xml:space="preserve">a </w:t>
      </w:r>
      <w:r w:rsidR="00001CA2">
        <w:t xml:space="preserve">sexual assault </w:t>
      </w:r>
      <w:r w:rsidR="00001CA2" w:rsidRPr="00001CA2">
        <w:t xml:space="preserve">has </w:t>
      </w:r>
      <w:r w:rsidR="00001CA2" w:rsidRPr="00001CA2">
        <w:rPr>
          <w:b/>
          <w:bCs/>
        </w:rPr>
        <w:t>two</w:t>
      </w:r>
      <w:r w:rsidR="00001CA2" w:rsidRPr="00001CA2">
        <w:t xml:space="preserve"> elements in addition to those required for kidnapping</w:t>
      </w:r>
      <w:r w:rsidR="00336FBE">
        <w:t>:</w:t>
      </w:r>
    </w:p>
    <w:p w14:paraId="35080FB2" w14:textId="755D1409" w:rsidR="00336FBE" w:rsidRDefault="007D3E57" w:rsidP="00336FBE">
      <w:pPr>
        <w:pStyle w:val="JuryInstructionText"/>
        <w:numPr>
          <w:ilvl w:val="0"/>
          <w:numId w:val="18"/>
        </w:numPr>
      </w:pPr>
      <w:r>
        <w:lastRenderedPageBreak/>
        <w:t>Dft</w:t>
      </w:r>
      <w:r w:rsidR="00336FBE">
        <w:t xml:space="preserve"> possessed a dangerous weapon;</w:t>
      </w:r>
      <w:r w:rsidR="00BC71BC">
        <w:rPr>
          <w:rStyle w:val="FootnoteReference"/>
        </w:rPr>
        <w:footnoteReference w:id="34"/>
      </w:r>
      <w:r w:rsidR="00336FBE">
        <w:t xml:space="preserve"> and</w:t>
      </w:r>
    </w:p>
    <w:p w14:paraId="114EE8CC" w14:textId="32C7A52E" w:rsidR="00336FBE" w:rsidRDefault="007D3E57" w:rsidP="00336FBE">
      <w:pPr>
        <w:pStyle w:val="JuryInstructionText"/>
        <w:numPr>
          <w:ilvl w:val="0"/>
          <w:numId w:val="18"/>
        </w:numPr>
      </w:pPr>
      <w:r>
        <w:t>Dft</w:t>
      </w:r>
      <w:r w:rsidR="00336FBE">
        <w:t xml:space="preserve"> sexually assaulted </w:t>
      </w:r>
      <w:r>
        <w:t>Avm</w:t>
      </w:r>
      <w:r w:rsidR="00336FBE">
        <w:t xml:space="preserve">. </w:t>
      </w:r>
    </w:p>
    <w:p w14:paraId="1D060E4C" w14:textId="7967A610" w:rsidR="00E34D86" w:rsidRDefault="00DF25B0" w:rsidP="00912472">
      <w:pPr>
        <w:pStyle w:val="JuryInstructionText"/>
      </w:pPr>
      <w:r>
        <w:t>Let me explain some of these terms.</w:t>
      </w:r>
      <w:r w:rsidR="00450195">
        <w:t xml:space="preserve"> </w:t>
      </w:r>
      <w:r w:rsidR="00450195" w:rsidRPr="00450195">
        <w:t>To possess something means to have physical custody or control over it.</w:t>
      </w:r>
      <w:r w:rsidR="00450195">
        <w:t xml:space="preserve"> </w:t>
      </w:r>
      <w:r w:rsidR="00450195" w:rsidRPr="00450195">
        <w:t xml:space="preserve">The Commonwealth does not have to prove that </w:t>
      </w:r>
      <w:r w:rsidR="00A64271">
        <w:t>Dft</w:t>
      </w:r>
      <w:r w:rsidR="00450195" w:rsidRPr="00450195">
        <w:t xml:space="preserve"> used the weapon, but it must prove, beyond a reasonable doubt, that </w:t>
      </w:r>
      <w:r w:rsidR="00A64271">
        <w:t>Dft</w:t>
      </w:r>
      <w:r w:rsidR="00450195" w:rsidRPr="00450195">
        <w:t xml:space="preserve"> possessed the weapon during the kidnapping</w:t>
      </w:r>
      <w:r w:rsidR="00E34D86">
        <w:t>.</w:t>
      </w:r>
    </w:p>
    <w:p w14:paraId="24DF1D4B" w14:textId="77777777" w:rsidR="00B60677" w:rsidRPr="00B60677" w:rsidRDefault="00B60677" w:rsidP="00B60677">
      <w:pPr>
        <w:pStyle w:val="JuryInstructionText"/>
      </w:pPr>
      <w:r w:rsidRPr="00B60677">
        <w:t xml:space="preserve">A “dangerous weapon” is </w:t>
      </w:r>
      <w:r w:rsidRPr="00B60677">
        <w:rPr>
          <w:b/>
          <w:bCs/>
        </w:rPr>
        <w:t>[choose whichever definition applies]</w:t>
      </w:r>
      <w:r w:rsidRPr="00B60677">
        <w:rPr>
          <w:b/>
          <w:vertAlign w:val="superscript"/>
        </w:rPr>
        <w:footnoteReference w:id="35"/>
      </w:r>
      <w:r w:rsidRPr="00B60677">
        <w:rPr>
          <w:b/>
        </w:rPr>
        <w:t xml:space="preserve"> </w:t>
      </w:r>
    </w:p>
    <w:p w14:paraId="1E739A3E" w14:textId="12719D7D" w:rsidR="00B60677" w:rsidRPr="00B60677" w:rsidRDefault="00B60677" w:rsidP="00B60677">
      <w:pPr>
        <w:pStyle w:val="JuryInstructionText"/>
        <w:ind w:left="432"/>
      </w:pPr>
      <w:r w:rsidRPr="00B60677">
        <w:rPr>
          <w:b/>
          <w:bCs/>
        </w:rPr>
        <w:t>[per se]</w:t>
      </w:r>
      <w:r w:rsidRPr="00B60677">
        <w:t xml:space="preserve"> any object designed and constructed to produce death or great bodily harm. For example, a gun or dagger is a dangerous weapon because </w:t>
      </w:r>
      <w:r w:rsidR="00DE5D23">
        <w:t>it is</w:t>
      </w:r>
      <w:r w:rsidR="0042154D" w:rsidRPr="0042154D">
        <w:t xml:space="preserve"> designed for the purpose of bodily assault or defense</w:t>
      </w:r>
      <w:r w:rsidRPr="00B60677">
        <w:t>.</w:t>
      </w:r>
    </w:p>
    <w:p w14:paraId="53F107C0" w14:textId="14771099" w:rsidR="00B60677" w:rsidRDefault="00B60677" w:rsidP="00B60677">
      <w:pPr>
        <w:pStyle w:val="JuryInstructionText"/>
        <w:ind w:left="432"/>
      </w:pPr>
      <w:r w:rsidRPr="00B60677">
        <w:rPr>
          <w:b/>
          <w:bCs/>
        </w:rPr>
        <w:t>[as used]</w:t>
      </w:r>
      <w:r w:rsidRPr="00B60677">
        <w:t xml:space="preserve"> </w:t>
      </w:r>
      <w:r w:rsidR="005262CE" w:rsidRPr="005262CE">
        <w:t>any object that is used in a way that can</w:t>
      </w:r>
      <w:r w:rsidR="00FA483F">
        <w:t>, or reasonably appears to be able</w:t>
      </w:r>
      <w:r w:rsidR="0057335D">
        <w:t xml:space="preserve"> to</w:t>
      </w:r>
      <w:r w:rsidR="00FA483F">
        <w:t>,</w:t>
      </w:r>
      <w:r w:rsidR="00FA483F">
        <w:rPr>
          <w:rStyle w:val="FootnoteReference"/>
        </w:rPr>
        <w:footnoteReference w:id="36"/>
      </w:r>
      <w:r w:rsidR="00FA483F">
        <w:t xml:space="preserve"> </w:t>
      </w:r>
      <w:r w:rsidR="005262CE" w:rsidRPr="005262CE">
        <w:t xml:space="preserve">cause serious bodily harm. In determining whether an object is dangerous as used, you must consider not only the nature and specific features of the object but also the circumstances surrounding its use and the manner in which it was handled or controlled. The Commonwealth must prove beyond a reasonable doubt that </w:t>
      </w:r>
      <w:r w:rsidR="00036B58">
        <w:t>Dft</w:t>
      </w:r>
      <w:r w:rsidR="005262CE" w:rsidRPr="005262CE">
        <w:t xml:space="preserve"> formed the intent to use the object in a dangerous or potentially dangerous way. For example, a pocket</w:t>
      </w:r>
      <w:r w:rsidR="00480A3B">
        <w:t xml:space="preserve"> </w:t>
      </w:r>
      <w:r w:rsidR="005262CE" w:rsidRPr="005262CE">
        <w:t>knife, baseball bat, shoe, or even a pencil may be a dangerous weapon if it is used to cut, strike, or otherwise touch someone in a way that a reasonable person would recognize could cause death or great bodily harm</w:t>
      </w:r>
      <w:r w:rsidRPr="00B60677">
        <w:t xml:space="preserve">. </w:t>
      </w:r>
    </w:p>
    <w:p w14:paraId="56F64499" w14:textId="31B6FE7D" w:rsidR="004E6041" w:rsidRPr="00B60677" w:rsidRDefault="009D0D99" w:rsidP="00E267EA">
      <w:pPr>
        <w:pStyle w:val="JuryInstructionText"/>
      </w:pPr>
      <w:r w:rsidRPr="009D0D99">
        <w:t>The Commonwealth must also prove that the defendant sexually assaulted the alleged victim. In this case, sexual assault means</w:t>
      </w:r>
      <w:r w:rsidRPr="009D0D99">
        <w:rPr>
          <w:b/>
          <w:bCs/>
        </w:rPr>
        <w:t xml:space="preserve"> [choose applicable </w:t>
      </w:r>
      <w:r w:rsidRPr="009D0D99">
        <w:rPr>
          <w:b/>
          <w:bCs/>
        </w:rPr>
        <w:lastRenderedPageBreak/>
        <w:t>definition under the statute, set forth in the footnote</w:t>
      </w:r>
      <w:r w:rsidR="00F54489">
        <w:rPr>
          <w:b/>
          <w:bCs/>
        </w:rPr>
        <w:t>, and instruct on accordingly</w:t>
      </w:r>
      <w:r w:rsidRPr="009D0D99">
        <w:rPr>
          <w:b/>
          <w:bCs/>
        </w:rPr>
        <w:t>].</w:t>
      </w:r>
      <w:r w:rsidRPr="009D0D99">
        <w:rPr>
          <w:b/>
          <w:vertAlign w:val="superscript"/>
        </w:rPr>
        <w:footnoteReference w:id="37"/>
      </w:r>
    </w:p>
    <w:p w14:paraId="4197F9E0" w14:textId="528B154C" w:rsidR="00D1298F" w:rsidRPr="00D1298F" w:rsidRDefault="004C5CC7" w:rsidP="00E267EA">
      <w:pPr>
        <w:pStyle w:val="JuryInstructionText"/>
      </w:pPr>
      <w:r>
        <w:t xml:space="preserve">To summarize, </w:t>
      </w:r>
      <w:r w:rsidR="00D1298F" w:rsidRPr="00D1298F">
        <w:t xml:space="preserve">the Commonwealth must prove beyond a reasonable doubt all the elements of kidnapping plus that </w:t>
      </w:r>
      <w:r w:rsidR="00725A13">
        <w:t>Dft</w:t>
      </w:r>
      <w:r w:rsidR="00D1298F" w:rsidRPr="00D1298F">
        <w:t xml:space="preserve"> possessed a dangerous weapon at the time of the kidnapping and </w:t>
      </w:r>
      <w:r w:rsidR="00D1298F">
        <w:t xml:space="preserve">that </w:t>
      </w:r>
      <w:r w:rsidR="00725A13">
        <w:t>Dft</w:t>
      </w:r>
      <w:r w:rsidR="00D1298F">
        <w:t xml:space="preserve"> sexually assaulted </w:t>
      </w:r>
      <w:r w:rsidR="00725A13">
        <w:t>Avm</w:t>
      </w:r>
      <w:r w:rsidR="00D1298F" w:rsidRPr="00D1298F">
        <w:t xml:space="preserve">.   </w:t>
      </w:r>
    </w:p>
    <w:sectPr w:rsidR="00D1298F" w:rsidRPr="00D1298F" w:rsidSect="00F74A90">
      <w:footerReference w:type="default" r:id="rId8"/>
      <w:pgSz w:w="12240" w:h="15840" w:code="1"/>
      <w:pgMar w:top="1440" w:right="1440" w:bottom="1440" w:left="1440" w:header="648" w:footer="64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8E5415" w14:textId="77777777" w:rsidR="00A534C9" w:rsidRDefault="00A534C9" w:rsidP="00F74A90">
      <w:r>
        <w:separator/>
      </w:r>
    </w:p>
  </w:endnote>
  <w:endnote w:type="continuationSeparator" w:id="0">
    <w:p w14:paraId="78F156C2" w14:textId="77777777" w:rsidR="00A534C9" w:rsidRDefault="00A534C9" w:rsidP="00F74A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Segoe UI Historic">
    <w:panose1 w:val="020B0502040204020203"/>
    <w:charset w:val="00"/>
    <w:family w:val="swiss"/>
    <w:pitch w:val="variable"/>
    <w:sig w:usb0="800001EF" w:usb1="02000002" w:usb2="0060C080" w:usb3="00000000" w:csb0="00000001" w:csb1="00000000"/>
  </w:font>
  <w:font w:name="Times LT Std">
    <w:altName w:val="Times New Roman"/>
    <w:charset w:val="00"/>
    <w:family w:val="auto"/>
    <w:pitch w:val="variable"/>
    <w:sig w:usb0="E00002FF" w:usb1="5000205A" w:usb2="00000000" w:usb3="00000000" w:csb0="0000019F" w:csb1="00000000"/>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42F6D" w14:textId="2BA91F15" w:rsidR="00DC6747" w:rsidRDefault="00992410" w:rsidP="003511A1">
    <w:pPr>
      <w:tabs>
        <w:tab w:val="right" w:pos="9360"/>
      </w:tabs>
      <w:jc w:val="center"/>
    </w:pPr>
    <w:r>
      <w:t xml:space="preserve">- </w:t>
    </w:r>
    <w:r>
      <w:fldChar w:fldCharType="begin"/>
    </w:r>
    <w:r>
      <w:instrText xml:space="preserve"> PAGE  \* MERGEFORMAT </w:instrText>
    </w:r>
    <w:r>
      <w:fldChar w:fldCharType="separate"/>
    </w:r>
    <w:r>
      <w:rPr>
        <w:noProof/>
      </w:rPr>
      <w:t>2</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0A4F6B" w14:textId="77777777" w:rsidR="00A534C9" w:rsidRDefault="00A534C9" w:rsidP="00F74A90">
      <w:r>
        <w:separator/>
      </w:r>
    </w:p>
  </w:footnote>
  <w:footnote w:type="continuationSeparator" w:id="0">
    <w:p w14:paraId="1380A598" w14:textId="77777777" w:rsidR="00A534C9" w:rsidRDefault="00A534C9" w:rsidP="00F74A90">
      <w:r>
        <w:continuationSeparator/>
      </w:r>
    </w:p>
  </w:footnote>
  <w:footnote w:id="1">
    <w:p w14:paraId="6A0B9423" w14:textId="16147812" w:rsidR="00BF52ED" w:rsidRPr="00FF382D" w:rsidRDefault="00BF52ED" w:rsidP="00BF52ED">
      <w:pPr>
        <w:pStyle w:val="FootnoteText"/>
        <w:rPr>
          <w:rFonts w:cs="Segoe UI Historic"/>
          <w:sz w:val="24"/>
          <w:szCs w:val="24"/>
        </w:rPr>
      </w:pPr>
      <w:r w:rsidRPr="00FF382D">
        <w:rPr>
          <w:rStyle w:val="FootnoteReference"/>
          <w:rFonts w:cs="Segoe UI Historic"/>
          <w:sz w:val="24"/>
          <w:szCs w:val="24"/>
        </w:rPr>
        <w:footnoteRef/>
      </w:r>
      <w:r w:rsidRPr="00FF382D">
        <w:rPr>
          <w:rFonts w:cs="Segoe UI Historic"/>
          <w:sz w:val="24"/>
          <w:szCs w:val="24"/>
        </w:rPr>
        <w:t xml:space="preserve"> </w:t>
      </w:r>
      <w:r>
        <w:rPr>
          <w:rFonts w:cs="Segoe UI Historic"/>
          <w:sz w:val="24"/>
          <w:szCs w:val="24"/>
        </w:rPr>
        <w:tab/>
        <w:t xml:space="preserve">G.L. c. 265, </w:t>
      </w:r>
      <w:r w:rsidRPr="002E70C8">
        <w:rPr>
          <w:rFonts w:cs="Segoe UI Historic"/>
          <w:sz w:val="24"/>
          <w:szCs w:val="24"/>
        </w:rPr>
        <w:t>§</w:t>
      </w:r>
      <w:r>
        <w:rPr>
          <w:rFonts w:cs="Segoe UI Historic"/>
          <w:sz w:val="24"/>
          <w:szCs w:val="24"/>
        </w:rPr>
        <w:t xml:space="preserve"> 26, first par., states: “</w:t>
      </w:r>
      <w:r w:rsidRPr="00FF382D">
        <w:rPr>
          <w:rFonts w:cs="Segoe UI Historic"/>
          <w:sz w:val="24"/>
          <w:szCs w:val="24"/>
        </w:rPr>
        <w:t>Whoever, without lawful authority, [</w:t>
      </w:r>
      <w:r w:rsidR="00280ECD">
        <w:rPr>
          <w:rFonts w:cs="Segoe UI Historic"/>
          <w:sz w:val="24"/>
          <w:szCs w:val="24"/>
        </w:rPr>
        <w:t>a</w:t>
      </w:r>
      <w:r w:rsidRPr="00FF382D">
        <w:rPr>
          <w:rFonts w:cs="Segoe UI Historic"/>
          <w:sz w:val="24"/>
          <w:szCs w:val="24"/>
        </w:rPr>
        <w:t>] forcibly or secretly confines</w:t>
      </w:r>
      <w:r w:rsidR="005A3B8E">
        <w:rPr>
          <w:rFonts w:cs="Segoe UI Historic"/>
          <w:sz w:val="24"/>
          <w:szCs w:val="24"/>
        </w:rPr>
        <w:t xml:space="preserve"> </w:t>
      </w:r>
      <w:r w:rsidRPr="00FF382D">
        <w:rPr>
          <w:rFonts w:cs="Segoe UI Historic"/>
          <w:sz w:val="24"/>
          <w:szCs w:val="24"/>
        </w:rPr>
        <w:t xml:space="preserve">or imprisons another person within this </w:t>
      </w:r>
      <w:r w:rsidR="007A0BA8">
        <w:rPr>
          <w:rFonts w:cs="Segoe UI Historic"/>
          <w:sz w:val="24"/>
          <w:szCs w:val="24"/>
        </w:rPr>
        <w:t>c</w:t>
      </w:r>
      <w:r w:rsidRPr="00FF382D">
        <w:rPr>
          <w:rFonts w:cs="Segoe UI Historic"/>
          <w:sz w:val="24"/>
          <w:szCs w:val="24"/>
        </w:rPr>
        <w:t>ommonwealth against his will, or [</w:t>
      </w:r>
      <w:r w:rsidR="00280ECD">
        <w:rPr>
          <w:rFonts w:cs="Segoe UI Historic"/>
          <w:sz w:val="24"/>
          <w:szCs w:val="24"/>
        </w:rPr>
        <w:t>b</w:t>
      </w:r>
      <w:r w:rsidRPr="00FF382D">
        <w:rPr>
          <w:rFonts w:cs="Segoe UI Historic"/>
          <w:sz w:val="24"/>
          <w:szCs w:val="24"/>
        </w:rPr>
        <w:t>] forcibly carries or sen</w:t>
      </w:r>
      <w:r w:rsidRPr="00FF382D">
        <w:rPr>
          <w:rFonts w:cs="Segoe UI Historic"/>
          <w:spacing w:val="-2"/>
          <w:sz w:val="24"/>
          <w:szCs w:val="24"/>
        </w:rPr>
        <w:t>ds such person out of this commonwea</w:t>
      </w:r>
      <w:r w:rsidRPr="00FF382D">
        <w:rPr>
          <w:rFonts w:cs="Segoe UI Historic"/>
          <w:sz w:val="24"/>
          <w:szCs w:val="24"/>
        </w:rPr>
        <w:t>lth, or [</w:t>
      </w:r>
      <w:r w:rsidR="00280ECD">
        <w:rPr>
          <w:rFonts w:cs="Segoe UI Historic"/>
          <w:sz w:val="24"/>
          <w:szCs w:val="24"/>
        </w:rPr>
        <w:t>c</w:t>
      </w:r>
      <w:r w:rsidRPr="00FF382D">
        <w:rPr>
          <w:rFonts w:cs="Segoe UI Historic"/>
          <w:sz w:val="24"/>
          <w:szCs w:val="24"/>
        </w:rPr>
        <w:t>] forcibly seizes and confines or inveigles or kidnaps another person, with in</w:t>
      </w:r>
      <w:r w:rsidRPr="00FF382D">
        <w:rPr>
          <w:rFonts w:cs="Segoe UI Historic"/>
          <w:spacing w:val="-2"/>
          <w:sz w:val="24"/>
          <w:szCs w:val="24"/>
        </w:rPr>
        <w:t>tent either to cause him to be secretly con</w:t>
      </w:r>
      <w:r w:rsidRPr="00FF382D">
        <w:rPr>
          <w:rFonts w:cs="Segoe UI Historic"/>
          <w:sz w:val="24"/>
          <w:szCs w:val="24"/>
        </w:rPr>
        <w:t>fined or im</w:t>
      </w:r>
      <w:r w:rsidRPr="00FF382D">
        <w:rPr>
          <w:rFonts w:cs="Segoe UI Historic"/>
          <w:spacing w:val="-2"/>
          <w:sz w:val="24"/>
          <w:szCs w:val="24"/>
        </w:rPr>
        <w:t>prisoned within this commonwealth agai</w:t>
      </w:r>
      <w:r w:rsidRPr="00FF382D">
        <w:rPr>
          <w:rFonts w:cs="Segoe UI Historic"/>
          <w:sz w:val="24"/>
          <w:szCs w:val="24"/>
        </w:rPr>
        <w:t xml:space="preserve">nst his will, or to cause him to be sent </w:t>
      </w:r>
      <w:r w:rsidRPr="00FF382D">
        <w:rPr>
          <w:rFonts w:cs="Segoe UI Historic"/>
          <w:spacing w:val="-2"/>
          <w:sz w:val="24"/>
          <w:szCs w:val="24"/>
        </w:rPr>
        <w:t>out of this commonwealth against his will or in any way hel</w:t>
      </w:r>
      <w:r>
        <w:rPr>
          <w:rFonts w:cs="Segoe UI Historic"/>
          <w:spacing w:val="-2"/>
          <w:sz w:val="24"/>
          <w:szCs w:val="24"/>
        </w:rPr>
        <w:t>d to service against his will, shall be punished.”</w:t>
      </w:r>
    </w:p>
  </w:footnote>
  <w:footnote w:id="2">
    <w:p w14:paraId="7C22D49C" w14:textId="29FDA7F9" w:rsidR="00317551" w:rsidRPr="005B7AFD" w:rsidRDefault="00317551" w:rsidP="00317551">
      <w:pPr>
        <w:pStyle w:val="FootnoteText"/>
        <w:rPr>
          <w:rFonts w:cs="Segoe UI Historic"/>
          <w:sz w:val="24"/>
          <w:szCs w:val="24"/>
        </w:rPr>
      </w:pPr>
      <w:r w:rsidRPr="005B7AFD">
        <w:rPr>
          <w:rStyle w:val="FootnoteReference"/>
          <w:rFonts w:cs="Segoe UI Historic"/>
          <w:sz w:val="24"/>
          <w:szCs w:val="24"/>
        </w:rPr>
        <w:footnoteRef/>
      </w:r>
      <w:r w:rsidRPr="005B7AFD">
        <w:rPr>
          <w:rFonts w:cs="Segoe UI Historic"/>
          <w:sz w:val="24"/>
          <w:szCs w:val="24"/>
        </w:rPr>
        <w:t xml:space="preserve"> </w:t>
      </w:r>
      <w:r w:rsidR="00763A3E">
        <w:rPr>
          <w:rFonts w:cs="Segoe UI Historic"/>
          <w:sz w:val="24"/>
          <w:szCs w:val="24"/>
        </w:rPr>
        <w:tab/>
      </w:r>
      <w:r w:rsidRPr="005B7AFD">
        <w:rPr>
          <w:rFonts w:cs="Segoe UI Historic"/>
          <w:sz w:val="24"/>
          <w:szCs w:val="24"/>
        </w:rPr>
        <w:t xml:space="preserve">Massachusetts cases treat the terms “confine” and imprison as </w:t>
      </w:r>
      <w:r w:rsidRPr="005B7AFD">
        <w:rPr>
          <w:rFonts w:cs="Segoe UI Historic"/>
          <w:color w:val="000000"/>
          <w:sz w:val="24"/>
          <w:szCs w:val="24"/>
        </w:rPr>
        <w:t>synonymous under the kidnapping statute</w:t>
      </w:r>
      <w:r w:rsidR="00763A3E">
        <w:rPr>
          <w:rFonts w:cs="Segoe UI Historic"/>
          <w:color w:val="000000"/>
          <w:sz w:val="24"/>
          <w:szCs w:val="24"/>
        </w:rPr>
        <w:t>.</w:t>
      </w:r>
      <w:r w:rsidR="005A3B8E">
        <w:rPr>
          <w:rFonts w:cs="Segoe UI Historic"/>
          <w:color w:val="000000"/>
          <w:sz w:val="24"/>
          <w:szCs w:val="24"/>
        </w:rPr>
        <w:t xml:space="preserve"> </w:t>
      </w:r>
      <w:r w:rsidRPr="00763A3E">
        <w:rPr>
          <w:rFonts w:cs="Segoe UI Historic"/>
          <w:i/>
          <w:iCs/>
          <w:color w:val="000000"/>
          <w:sz w:val="24"/>
          <w:szCs w:val="24"/>
        </w:rPr>
        <w:t>Commonwealth</w:t>
      </w:r>
      <w:r w:rsidRPr="005B7AFD">
        <w:rPr>
          <w:rFonts w:cs="Segoe UI Historic"/>
          <w:color w:val="000000"/>
          <w:sz w:val="24"/>
          <w:szCs w:val="24"/>
        </w:rPr>
        <w:t xml:space="preserve"> v. </w:t>
      </w:r>
      <w:r w:rsidRPr="00763A3E">
        <w:rPr>
          <w:rFonts w:cs="Segoe UI Historic"/>
          <w:i/>
          <w:iCs/>
          <w:color w:val="000000"/>
          <w:sz w:val="24"/>
          <w:szCs w:val="24"/>
        </w:rPr>
        <w:t>Wilcox</w:t>
      </w:r>
      <w:r w:rsidRPr="005B7AFD">
        <w:rPr>
          <w:rFonts w:cs="Segoe UI Historic"/>
          <w:color w:val="000000"/>
          <w:sz w:val="24"/>
          <w:szCs w:val="24"/>
        </w:rPr>
        <w:t>, 72 Mass. App. Ct. 344, 350 (2008)</w:t>
      </w:r>
      <w:r w:rsidR="005A3B8E">
        <w:rPr>
          <w:rFonts w:cs="Segoe UI Historic"/>
          <w:color w:val="000000"/>
          <w:sz w:val="24"/>
          <w:szCs w:val="24"/>
        </w:rPr>
        <w:t xml:space="preserve">.  </w:t>
      </w:r>
      <w:r w:rsidRPr="005B7AFD">
        <w:rPr>
          <w:rFonts w:cs="Segoe UI Historic"/>
          <w:color w:val="000000"/>
          <w:sz w:val="24"/>
          <w:szCs w:val="24"/>
        </w:rPr>
        <w:t xml:space="preserve">To the extent “imprison” has as a meaning “to put in a prison,” </w:t>
      </w:r>
      <w:r w:rsidR="007A0BA8">
        <w:rPr>
          <w:rFonts w:cs="Segoe UI Historic"/>
          <w:color w:val="000000"/>
          <w:sz w:val="24"/>
          <w:szCs w:val="24"/>
        </w:rPr>
        <w:t xml:space="preserve">it is included in the term </w:t>
      </w:r>
      <w:r w:rsidRPr="005B7AFD">
        <w:rPr>
          <w:rFonts w:cs="Segoe UI Historic"/>
          <w:color w:val="000000"/>
          <w:sz w:val="24"/>
          <w:szCs w:val="24"/>
        </w:rPr>
        <w:t>“confine</w:t>
      </w:r>
      <w:r w:rsidR="007A0BA8">
        <w:rPr>
          <w:rFonts w:cs="Segoe UI Historic"/>
          <w:color w:val="000000"/>
          <w:sz w:val="24"/>
          <w:szCs w:val="24"/>
        </w:rPr>
        <w:t>.</w:t>
      </w:r>
      <w:r w:rsidRPr="005B7AFD">
        <w:rPr>
          <w:rFonts w:cs="Segoe UI Historic"/>
          <w:color w:val="000000"/>
          <w:sz w:val="24"/>
          <w:szCs w:val="24"/>
        </w:rPr>
        <w:t>”</w:t>
      </w:r>
    </w:p>
  </w:footnote>
  <w:footnote w:id="3">
    <w:p w14:paraId="36EC3DD9" w14:textId="3B099933" w:rsidR="00317551" w:rsidRPr="00CC4EF3" w:rsidRDefault="00317551" w:rsidP="00317551">
      <w:pPr>
        <w:pStyle w:val="FootnoteText"/>
        <w:rPr>
          <w:rFonts w:cs="Segoe UI Historic"/>
          <w:sz w:val="24"/>
          <w:szCs w:val="24"/>
        </w:rPr>
      </w:pPr>
      <w:r w:rsidRPr="00C26550">
        <w:rPr>
          <w:rStyle w:val="FootnoteReference"/>
          <w:sz w:val="24"/>
          <w:szCs w:val="24"/>
        </w:rPr>
        <w:footnoteRef/>
      </w:r>
      <w:r>
        <w:t xml:space="preserve"> </w:t>
      </w:r>
      <w:r w:rsidR="00763A3E">
        <w:tab/>
      </w:r>
      <w:r w:rsidRPr="00763A3E">
        <w:rPr>
          <w:rFonts w:cs="Segoe UI Historic"/>
          <w:i/>
          <w:iCs/>
          <w:sz w:val="24"/>
          <w:szCs w:val="24"/>
        </w:rPr>
        <w:t>Commonwealth</w:t>
      </w:r>
      <w:r w:rsidRPr="000052EB">
        <w:rPr>
          <w:rFonts w:cs="Segoe UI Historic"/>
          <w:sz w:val="24"/>
          <w:szCs w:val="24"/>
        </w:rPr>
        <w:t xml:space="preserve"> v.</w:t>
      </w:r>
      <w:r w:rsidR="00763A3E">
        <w:rPr>
          <w:rFonts w:cs="Segoe UI Historic"/>
          <w:sz w:val="24"/>
          <w:szCs w:val="24"/>
        </w:rPr>
        <w:t xml:space="preserve"> </w:t>
      </w:r>
      <w:r w:rsidRPr="00763A3E">
        <w:rPr>
          <w:rFonts w:cs="Segoe UI Historic"/>
          <w:i/>
          <w:iCs/>
          <w:sz w:val="24"/>
          <w:szCs w:val="24"/>
        </w:rPr>
        <w:t>Oberle</w:t>
      </w:r>
      <w:r w:rsidRPr="000052EB">
        <w:rPr>
          <w:rFonts w:cs="Segoe UI Historic"/>
          <w:sz w:val="24"/>
          <w:szCs w:val="24"/>
        </w:rPr>
        <w:t>,</w:t>
      </w:r>
      <w:r w:rsidRPr="00CC4EF3">
        <w:rPr>
          <w:rFonts w:cs="Segoe UI Historic"/>
          <w:sz w:val="24"/>
          <w:szCs w:val="24"/>
        </w:rPr>
        <w:t xml:space="preserve"> 476 Mass. 539, 548 (2017);</w:t>
      </w:r>
      <w:r w:rsidR="005A3B8E">
        <w:rPr>
          <w:rFonts w:cs="Segoe UI Historic"/>
          <w:sz w:val="24"/>
          <w:szCs w:val="24"/>
        </w:rPr>
        <w:t xml:space="preserve"> </w:t>
      </w:r>
      <w:r w:rsidRPr="00763A3E">
        <w:rPr>
          <w:rFonts w:cs="Segoe UI Historic"/>
          <w:i/>
          <w:iCs/>
          <w:sz w:val="24"/>
          <w:szCs w:val="24"/>
        </w:rPr>
        <w:t>Commonwealth</w:t>
      </w:r>
      <w:r w:rsidRPr="000052EB">
        <w:rPr>
          <w:rFonts w:cs="Segoe UI Historic"/>
          <w:sz w:val="24"/>
          <w:szCs w:val="24"/>
        </w:rPr>
        <w:t xml:space="preserve"> v. </w:t>
      </w:r>
      <w:r w:rsidRPr="00763A3E">
        <w:rPr>
          <w:rFonts w:cs="Segoe UI Historic"/>
          <w:i/>
          <w:iCs/>
          <w:sz w:val="24"/>
          <w:szCs w:val="24"/>
        </w:rPr>
        <w:t>Rivera</w:t>
      </w:r>
      <w:r w:rsidRPr="00CC4EF3">
        <w:rPr>
          <w:rFonts w:cs="Segoe UI Historic"/>
          <w:sz w:val="24"/>
          <w:szCs w:val="24"/>
        </w:rPr>
        <w:t>, 460 Mass. 139, 142</w:t>
      </w:r>
      <w:r w:rsidR="00C26550">
        <w:rPr>
          <w:rFonts w:cs="Segoe UI Historic"/>
          <w:sz w:val="24"/>
          <w:szCs w:val="24"/>
        </w:rPr>
        <w:t xml:space="preserve"> </w:t>
      </w:r>
      <w:r w:rsidRPr="00CC4EF3">
        <w:rPr>
          <w:rFonts w:cs="Segoe UI Historic"/>
          <w:sz w:val="24"/>
          <w:szCs w:val="24"/>
        </w:rPr>
        <w:t>(2011) (</w:t>
      </w:r>
      <w:r>
        <w:rPr>
          <w:rFonts w:cs="Segoe UI Historic"/>
          <w:sz w:val="24"/>
          <w:szCs w:val="24"/>
        </w:rPr>
        <w:t>“In the context of the kidnapping statu</w:t>
      </w:r>
      <w:r w:rsidR="004E6404">
        <w:rPr>
          <w:rFonts w:cs="Segoe UI Historic"/>
          <w:sz w:val="24"/>
          <w:szCs w:val="24"/>
        </w:rPr>
        <w:t>t</w:t>
      </w:r>
      <w:r>
        <w:rPr>
          <w:rFonts w:cs="Segoe UI Historic"/>
          <w:sz w:val="24"/>
          <w:szCs w:val="24"/>
        </w:rPr>
        <w:t xml:space="preserve">e, the word </w:t>
      </w:r>
      <w:r w:rsidR="0027149A">
        <w:rPr>
          <w:rFonts w:cs="Segoe UI Historic"/>
          <w:sz w:val="24"/>
          <w:szCs w:val="24"/>
        </w:rPr>
        <w:t>‘</w:t>
      </w:r>
      <w:r>
        <w:rPr>
          <w:rFonts w:cs="Segoe UI Historic"/>
          <w:sz w:val="24"/>
          <w:szCs w:val="24"/>
        </w:rPr>
        <w:t>confine</w:t>
      </w:r>
      <w:r w:rsidR="0027149A">
        <w:rPr>
          <w:rFonts w:cs="Segoe UI Historic"/>
          <w:sz w:val="24"/>
          <w:szCs w:val="24"/>
        </w:rPr>
        <w:t>’</w:t>
      </w:r>
      <w:r>
        <w:rPr>
          <w:rFonts w:cs="Segoe UI Historic"/>
          <w:sz w:val="24"/>
          <w:szCs w:val="24"/>
        </w:rPr>
        <w:t xml:space="preserve"> has been interpreted to mean </w:t>
      </w:r>
      <w:r w:rsidR="0027149A">
        <w:rPr>
          <w:rFonts w:cs="Segoe UI Historic"/>
          <w:sz w:val="24"/>
          <w:szCs w:val="24"/>
        </w:rPr>
        <w:t>‘</w:t>
      </w:r>
      <w:r>
        <w:rPr>
          <w:rFonts w:cs="Segoe UI Historic"/>
          <w:sz w:val="24"/>
          <w:szCs w:val="24"/>
        </w:rPr>
        <w:t>any restraint of a person’s movement.‘”)</w:t>
      </w:r>
      <w:r w:rsidR="00C10F94">
        <w:rPr>
          <w:rFonts w:cs="Segoe UI Historic"/>
          <w:sz w:val="24"/>
          <w:szCs w:val="24"/>
        </w:rPr>
        <w:t>.</w:t>
      </w:r>
    </w:p>
  </w:footnote>
  <w:footnote w:id="4">
    <w:p w14:paraId="40B35352" w14:textId="18CE092A" w:rsidR="00317551" w:rsidRPr="000A0531" w:rsidRDefault="00317551" w:rsidP="00317551">
      <w:pPr>
        <w:pStyle w:val="FootnoteText"/>
        <w:rPr>
          <w:rFonts w:cs="Segoe UI Historic"/>
          <w:sz w:val="24"/>
          <w:szCs w:val="24"/>
        </w:rPr>
      </w:pPr>
      <w:r w:rsidRPr="000A0531">
        <w:rPr>
          <w:rStyle w:val="FootnoteReference"/>
          <w:rFonts w:cs="Segoe UI Historic"/>
          <w:sz w:val="24"/>
          <w:szCs w:val="24"/>
        </w:rPr>
        <w:footnoteRef/>
      </w:r>
      <w:r w:rsidRPr="000A0531">
        <w:rPr>
          <w:rFonts w:cs="Segoe UI Historic"/>
          <w:sz w:val="24"/>
          <w:szCs w:val="24"/>
        </w:rPr>
        <w:t xml:space="preserve"> </w:t>
      </w:r>
      <w:r w:rsidR="00763A3E">
        <w:rPr>
          <w:rFonts w:cs="Segoe UI Historic"/>
          <w:sz w:val="24"/>
          <w:szCs w:val="24"/>
        </w:rPr>
        <w:tab/>
      </w:r>
      <w:r w:rsidRPr="00763A3E">
        <w:rPr>
          <w:rFonts w:cs="Segoe UI Historic"/>
          <w:i/>
          <w:iCs/>
          <w:sz w:val="24"/>
          <w:szCs w:val="24"/>
        </w:rPr>
        <w:t>Commonwealth</w:t>
      </w:r>
      <w:r w:rsidRPr="000A0531">
        <w:rPr>
          <w:rFonts w:cs="Segoe UI Historic"/>
          <w:sz w:val="24"/>
          <w:szCs w:val="24"/>
        </w:rPr>
        <w:t xml:space="preserve"> v. </w:t>
      </w:r>
      <w:r w:rsidRPr="00763A3E">
        <w:rPr>
          <w:rFonts w:cs="Segoe UI Historic"/>
          <w:i/>
          <w:iCs/>
          <w:sz w:val="24"/>
          <w:szCs w:val="24"/>
        </w:rPr>
        <w:t>Caracciola</w:t>
      </w:r>
      <w:r w:rsidRPr="000A0531">
        <w:rPr>
          <w:rFonts w:cs="Segoe UI Historic"/>
          <w:sz w:val="24"/>
          <w:szCs w:val="24"/>
        </w:rPr>
        <w:t xml:space="preserve">, 409 Mass. 648, 652 (1991); </w:t>
      </w:r>
      <w:r w:rsidRPr="00763A3E">
        <w:rPr>
          <w:rFonts w:cs="Segoe UI Historic"/>
          <w:i/>
          <w:iCs/>
          <w:sz w:val="24"/>
          <w:szCs w:val="24"/>
        </w:rPr>
        <w:t>Commonwealth</w:t>
      </w:r>
      <w:r w:rsidRPr="000A0531">
        <w:rPr>
          <w:rFonts w:cs="Segoe UI Historic"/>
          <w:sz w:val="24"/>
          <w:szCs w:val="24"/>
        </w:rPr>
        <w:t xml:space="preserve"> v. </w:t>
      </w:r>
      <w:r w:rsidRPr="00763A3E">
        <w:rPr>
          <w:rFonts w:cs="Segoe UI Historic"/>
          <w:i/>
          <w:iCs/>
          <w:sz w:val="24"/>
          <w:szCs w:val="24"/>
        </w:rPr>
        <w:t>LaPlante</w:t>
      </w:r>
      <w:r w:rsidRPr="000A0531">
        <w:rPr>
          <w:rFonts w:cs="Segoe UI Historic"/>
          <w:sz w:val="24"/>
          <w:szCs w:val="24"/>
        </w:rPr>
        <w:t>, 73 Mass. App. Ct. 199, 202-</w:t>
      </w:r>
      <w:r w:rsidR="00DA07D5">
        <w:rPr>
          <w:rFonts w:cs="Segoe UI Historic"/>
          <w:sz w:val="24"/>
          <w:szCs w:val="24"/>
        </w:rPr>
        <w:t>2</w:t>
      </w:r>
      <w:r w:rsidRPr="000A0531">
        <w:rPr>
          <w:rFonts w:cs="Segoe UI Historic"/>
          <w:sz w:val="24"/>
          <w:szCs w:val="24"/>
        </w:rPr>
        <w:t>03 (2008</w:t>
      </w:r>
      <w:r>
        <w:rPr>
          <w:rFonts w:cs="Segoe UI Historic"/>
          <w:sz w:val="24"/>
          <w:szCs w:val="24"/>
        </w:rPr>
        <w:t>)</w:t>
      </w:r>
      <w:r w:rsidRPr="000A0531">
        <w:rPr>
          <w:rFonts w:cs="Segoe UI Historic"/>
          <w:sz w:val="24"/>
          <w:szCs w:val="24"/>
        </w:rPr>
        <w:t xml:space="preserve">. </w:t>
      </w:r>
    </w:p>
  </w:footnote>
  <w:footnote w:id="5">
    <w:p w14:paraId="2C82E4D0" w14:textId="7C23B73E" w:rsidR="00276F91" w:rsidRPr="00AC7959" w:rsidRDefault="00276F91">
      <w:pPr>
        <w:pStyle w:val="FootnoteText"/>
        <w:rPr>
          <w:sz w:val="24"/>
          <w:szCs w:val="24"/>
        </w:rPr>
      </w:pPr>
      <w:r w:rsidRPr="00B23E1E">
        <w:rPr>
          <w:rStyle w:val="FootnoteReference"/>
          <w:sz w:val="24"/>
          <w:szCs w:val="24"/>
        </w:rPr>
        <w:footnoteRef/>
      </w:r>
      <w:r w:rsidRPr="00B23E1E">
        <w:rPr>
          <w:sz w:val="24"/>
          <w:szCs w:val="24"/>
        </w:rPr>
        <w:t xml:space="preserve"> </w:t>
      </w:r>
      <w:r w:rsidR="002E60C5" w:rsidRPr="00B23E1E">
        <w:rPr>
          <w:sz w:val="24"/>
          <w:szCs w:val="24"/>
        </w:rPr>
        <w:tab/>
      </w:r>
      <w:r w:rsidR="00AC7959" w:rsidRPr="00AC7959">
        <w:rPr>
          <w:i/>
          <w:iCs/>
          <w:sz w:val="24"/>
          <w:szCs w:val="24"/>
        </w:rPr>
        <w:t>Commonwealth v. Rivera</w:t>
      </w:r>
      <w:r w:rsidR="00AC7959" w:rsidRPr="00AC7959">
        <w:rPr>
          <w:sz w:val="24"/>
          <w:szCs w:val="24"/>
        </w:rPr>
        <w:t>, 460 Mass. 139, 142</w:t>
      </w:r>
      <w:r w:rsidR="00AC7959" w:rsidRPr="00AC7959">
        <w:rPr>
          <w:sz w:val="24"/>
          <w:szCs w:val="24"/>
        </w:rPr>
        <w:t>–144</w:t>
      </w:r>
      <w:r w:rsidR="00AC7959" w:rsidRPr="00AC7959">
        <w:rPr>
          <w:sz w:val="24"/>
          <w:szCs w:val="24"/>
        </w:rPr>
        <w:t xml:space="preserve"> (2011)</w:t>
      </w:r>
      <w:r w:rsidR="00B23E1E" w:rsidRPr="00AC7959">
        <w:rPr>
          <w:sz w:val="24"/>
          <w:szCs w:val="24"/>
        </w:rPr>
        <w:t>.</w:t>
      </w:r>
    </w:p>
  </w:footnote>
  <w:footnote w:id="6">
    <w:p w14:paraId="49B6D0F6" w14:textId="293E1379" w:rsidR="006F5D28" w:rsidRDefault="006F5D28">
      <w:pPr>
        <w:pStyle w:val="FootnoteText"/>
      </w:pPr>
      <w:r w:rsidRPr="00A07C9B">
        <w:rPr>
          <w:rStyle w:val="FootnoteReference"/>
          <w:sz w:val="24"/>
          <w:szCs w:val="24"/>
        </w:rPr>
        <w:footnoteRef/>
      </w:r>
      <w:r>
        <w:t xml:space="preserve"> </w:t>
      </w:r>
      <w:r>
        <w:tab/>
      </w:r>
      <w:r w:rsidRPr="003856AF">
        <w:rPr>
          <w:rFonts w:cs="Segoe UI Historic"/>
          <w:i/>
          <w:iCs/>
          <w:sz w:val="24"/>
          <w:szCs w:val="24"/>
        </w:rPr>
        <w:t>Commonwealth</w:t>
      </w:r>
      <w:r w:rsidRPr="000052EB">
        <w:rPr>
          <w:rFonts w:cs="Segoe UI Historic"/>
          <w:sz w:val="24"/>
          <w:szCs w:val="24"/>
        </w:rPr>
        <w:t xml:space="preserve"> v. </w:t>
      </w:r>
      <w:r w:rsidRPr="003856AF">
        <w:rPr>
          <w:rFonts w:cs="Segoe UI Historic"/>
          <w:i/>
          <w:iCs/>
          <w:sz w:val="24"/>
          <w:szCs w:val="24"/>
        </w:rPr>
        <w:t>Edgerly</w:t>
      </w:r>
      <w:r w:rsidRPr="00CC4EF3">
        <w:rPr>
          <w:rFonts w:cs="Segoe UI Historic"/>
          <w:sz w:val="24"/>
          <w:szCs w:val="24"/>
        </w:rPr>
        <w:t>, 13 Mass. App. Ct. 562, 580 (1982)</w:t>
      </w:r>
      <w:r w:rsidR="00C10F94">
        <w:rPr>
          <w:rFonts w:cs="Segoe UI Historic"/>
          <w:sz w:val="24"/>
          <w:szCs w:val="24"/>
        </w:rPr>
        <w:t>.</w:t>
      </w:r>
    </w:p>
  </w:footnote>
  <w:footnote w:id="7">
    <w:p w14:paraId="6BED1CFE" w14:textId="7B11E6DB" w:rsidR="00317551" w:rsidRPr="00CC4EF3" w:rsidRDefault="00317551" w:rsidP="00317551">
      <w:pPr>
        <w:pStyle w:val="FootnoteText"/>
        <w:rPr>
          <w:rFonts w:cs="Segoe UI Historic"/>
          <w:sz w:val="24"/>
          <w:szCs w:val="24"/>
        </w:rPr>
      </w:pPr>
      <w:r w:rsidRPr="00CC4EF3">
        <w:rPr>
          <w:rStyle w:val="FootnoteReference"/>
          <w:rFonts w:cs="Segoe UI Historic"/>
          <w:sz w:val="24"/>
          <w:szCs w:val="24"/>
        </w:rPr>
        <w:footnoteRef/>
      </w:r>
      <w:r w:rsidRPr="00CC4EF3">
        <w:rPr>
          <w:rFonts w:cs="Segoe UI Historic"/>
          <w:sz w:val="24"/>
          <w:szCs w:val="24"/>
        </w:rPr>
        <w:t xml:space="preserve"> </w:t>
      </w:r>
      <w:r w:rsidR="003856AF">
        <w:rPr>
          <w:rFonts w:cs="Segoe UI Historic"/>
          <w:sz w:val="24"/>
          <w:szCs w:val="24"/>
        </w:rPr>
        <w:tab/>
      </w:r>
      <w:r w:rsidRPr="003856AF">
        <w:rPr>
          <w:rFonts w:cs="Segoe UI Historic"/>
          <w:i/>
          <w:iCs/>
          <w:sz w:val="24"/>
          <w:szCs w:val="24"/>
        </w:rPr>
        <w:t>Caracciola</w:t>
      </w:r>
      <w:r w:rsidRPr="00CC4EF3">
        <w:rPr>
          <w:rFonts w:cs="Segoe UI Historic"/>
          <w:sz w:val="24"/>
          <w:szCs w:val="24"/>
        </w:rPr>
        <w:t xml:space="preserve">, 409 Mass. </w:t>
      </w:r>
      <w:r w:rsidR="00A85793">
        <w:rPr>
          <w:rFonts w:cs="Segoe UI Historic"/>
          <w:sz w:val="24"/>
          <w:szCs w:val="24"/>
        </w:rPr>
        <w:t>at</w:t>
      </w:r>
      <w:r w:rsidR="00651DF8">
        <w:rPr>
          <w:rFonts w:cs="Segoe UI Historic"/>
          <w:sz w:val="24"/>
          <w:szCs w:val="24"/>
        </w:rPr>
        <w:t xml:space="preserve"> 651</w:t>
      </w:r>
      <w:r>
        <w:rPr>
          <w:rFonts w:cs="Segoe UI Historic"/>
          <w:sz w:val="24"/>
          <w:szCs w:val="24"/>
        </w:rPr>
        <w:t>.</w:t>
      </w:r>
    </w:p>
  </w:footnote>
  <w:footnote w:id="8">
    <w:p w14:paraId="027E33F0" w14:textId="6863110B" w:rsidR="00317551" w:rsidRPr="0094001D" w:rsidRDefault="00317551" w:rsidP="00317551">
      <w:pPr>
        <w:pStyle w:val="FootnoteText"/>
        <w:rPr>
          <w:rFonts w:cs="Segoe UI Historic"/>
          <w:sz w:val="24"/>
          <w:szCs w:val="24"/>
        </w:rPr>
      </w:pPr>
      <w:r w:rsidRPr="0094001D">
        <w:rPr>
          <w:rStyle w:val="FootnoteReference"/>
          <w:rFonts w:cs="Segoe UI Historic"/>
          <w:sz w:val="24"/>
          <w:szCs w:val="24"/>
        </w:rPr>
        <w:footnoteRef/>
      </w:r>
      <w:r w:rsidRPr="0094001D">
        <w:rPr>
          <w:rFonts w:cs="Segoe UI Historic"/>
          <w:sz w:val="24"/>
          <w:szCs w:val="24"/>
        </w:rPr>
        <w:t xml:space="preserve"> </w:t>
      </w:r>
      <w:r w:rsidR="003856AF">
        <w:rPr>
          <w:rFonts w:cs="Segoe UI Historic"/>
          <w:sz w:val="24"/>
          <w:szCs w:val="24"/>
        </w:rPr>
        <w:tab/>
      </w:r>
      <w:r w:rsidR="00770213" w:rsidRPr="00763A3E">
        <w:rPr>
          <w:rFonts w:cs="Segoe UI Historic"/>
          <w:i/>
          <w:iCs/>
          <w:sz w:val="24"/>
          <w:szCs w:val="24"/>
        </w:rPr>
        <w:t>Commonwealth</w:t>
      </w:r>
      <w:r w:rsidR="00770213" w:rsidRPr="000A0531">
        <w:rPr>
          <w:rFonts w:cs="Segoe UI Historic"/>
          <w:sz w:val="24"/>
          <w:szCs w:val="24"/>
        </w:rPr>
        <w:t xml:space="preserve"> v. </w:t>
      </w:r>
      <w:r w:rsidR="00770213" w:rsidRPr="00763A3E">
        <w:rPr>
          <w:rFonts w:cs="Segoe UI Historic"/>
          <w:i/>
          <w:iCs/>
          <w:sz w:val="24"/>
          <w:szCs w:val="24"/>
        </w:rPr>
        <w:t>Caracciola</w:t>
      </w:r>
      <w:r w:rsidR="00770213" w:rsidRPr="000A0531">
        <w:rPr>
          <w:rFonts w:cs="Segoe UI Historic"/>
          <w:sz w:val="24"/>
          <w:szCs w:val="24"/>
        </w:rPr>
        <w:t xml:space="preserve">, 409 Mass. 648, 652 (1991); </w:t>
      </w:r>
      <w:r w:rsidR="00770213" w:rsidRPr="00763A3E">
        <w:rPr>
          <w:rFonts w:cs="Segoe UI Historic"/>
          <w:i/>
          <w:iCs/>
          <w:sz w:val="24"/>
          <w:szCs w:val="24"/>
        </w:rPr>
        <w:t>Commonwealth</w:t>
      </w:r>
      <w:r w:rsidR="00770213" w:rsidRPr="000A0531">
        <w:rPr>
          <w:rFonts w:cs="Segoe UI Historic"/>
          <w:sz w:val="24"/>
          <w:szCs w:val="24"/>
        </w:rPr>
        <w:t xml:space="preserve"> v. </w:t>
      </w:r>
      <w:r w:rsidR="00770213" w:rsidRPr="00763A3E">
        <w:rPr>
          <w:rFonts w:cs="Segoe UI Historic"/>
          <w:i/>
          <w:iCs/>
          <w:sz w:val="24"/>
          <w:szCs w:val="24"/>
        </w:rPr>
        <w:t>LaPlante</w:t>
      </w:r>
      <w:r w:rsidR="00770213" w:rsidRPr="000A0531">
        <w:rPr>
          <w:rFonts w:cs="Segoe UI Historic"/>
          <w:sz w:val="24"/>
          <w:szCs w:val="24"/>
        </w:rPr>
        <w:t>, 73 Mass. App. Ct. 199, 202-</w:t>
      </w:r>
      <w:r w:rsidR="00770213">
        <w:rPr>
          <w:rFonts w:cs="Segoe UI Historic"/>
          <w:sz w:val="24"/>
          <w:szCs w:val="24"/>
        </w:rPr>
        <w:t>2</w:t>
      </w:r>
      <w:r w:rsidR="00770213" w:rsidRPr="000A0531">
        <w:rPr>
          <w:rFonts w:cs="Segoe UI Historic"/>
          <w:sz w:val="24"/>
          <w:szCs w:val="24"/>
        </w:rPr>
        <w:t>03 (2008</w:t>
      </w:r>
      <w:r w:rsidR="00770213">
        <w:rPr>
          <w:rFonts w:cs="Segoe UI Historic"/>
          <w:sz w:val="24"/>
          <w:szCs w:val="24"/>
        </w:rPr>
        <w:t>)</w:t>
      </w:r>
      <w:r w:rsidR="00770213" w:rsidRPr="000A0531">
        <w:rPr>
          <w:rFonts w:cs="Segoe UI Historic"/>
          <w:sz w:val="24"/>
          <w:szCs w:val="24"/>
        </w:rPr>
        <w:t>.</w:t>
      </w:r>
    </w:p>
  </w:footnote>
  <w:footnote w:id="9">
    <w:p w14:paraId="0E484649" w14:textId="4E1E1AF8" w:rsidR="007443AC" w:rsidRPr="007443AC" w:rsidRDefault="007443AC">
      <w:pPr>
        <w:pStyle w:val="FootnoteText"/>
        <w:rPr>
          <w:sz w:val="24"/>
          <w:szCs w:val="24"/>
        </w:rPr>
      </w:pPr>
      <w:r w:rsidRPr="003F0FD5">
        <w:rPr>
          <w:rStyle w:val="FootnoteReference"/>
          <w:sz w:val="24"/>
          <w:szCs w:val="24"/>
        </w:rPr>
        <w:footnoteRef/>
      </w:r>
      <w:r>
        <w:t xml:space="preserve"> </w:t>
      </w:r>
      <w:r>
        <w:tab/>
      </w:r>
      <w:r w:rsidR="00FC70BA">
        <w:rPr>
          <w:sz w:val="24"/>
          <w:szCs w:val="24"/>
        </w:rPr>
        <w:t>This theory has two parts: (a) seizing and confining</w:t>
      </w:r>
      <w:r w:rsidR="0015608A">
        <w:rPr>
          <w:sz w:val="24"/>
          <w:szCs w:val="24"/>
        </w:rPr>
        <w:t xml:space="preserve">, or (b) </w:t>
      </w:r>
      <w:r w:rsidR="00363A93">
        <w:rPr>
          <w:sz w:val="24"/>
          <w:szCs w:val="24"/>
        </w:rPr>
        <w:t>inveigling</w:t>
      </w:r>
      <w:r w:rsidR="00D95089">
        <w:rPr>
          <w:sz w:val="24"/>
          <w:szCs w:val="24"/>
        </w:rPr>
        <w:t xml:space="preserve">, </w:t>
      </w:r>
      <w:r w:rsidR="003902B0">
        <w:rPr>
          <w:sz w:val="24"/>
          <w:szCs w:val="24"/>
        </w:rPr>
        <w:t xml:space="preserve">each </w:t>
      </w:r>
      <w:r w:rsidR="00155A58">
        <w:rPr>
          <w:sz w:val="24"/>
          <w:szCs w:val="24"/>
        </w:rPr>
        <w:t>requiring</w:t>
      </w:r>
      <w:r w:rsidR="00616258">
        <w:rPr>
          <w:sz w:val="24"/>
          <w:szCs w:val="24"/>
        </w:rPr>
        <w:t xml:space="preserve"> a specific intent.</w:t>
      </w:r>
      <w:r w:rsidR="00D04F44">
        <w:rPr>
          <w:sz w:val="24"/>
          <w:szCs w:val="24"/>
        </w:rPr>
        <w:t xml:space="preserve"> </w:t>
      </w:r>
      <w:r w:rsidR="00172890">
        <w:rPr>
          <w:sz w:val="24"/>
          <w:szCs w:val="24"/>
        </w:rPr>
        <w:t>As explained below, part (a) requires force</w:t>
      </w:r>
      <w:r w:rsidR="00B1765E">
        <w:rPr>
          <w:sz w:val="24"/>
          <w:szCs w:val="24"/>
        </w:rPr>
        <w:t>,</w:t>
      </w:r>
      <w:r w:rsidR="00172890">
        <w:rPr>
          <w:sz w:val="24"/>
          <w:szCs w:val="24"/>
        </w:rPr>
        <w:t xml:space="preserve"> while part (b) requires </w:t>
      </w:r>
      <w:r w:rsidR="000A0D60">
        <w:rPr>
          <w:sz w:val="24"/>
          <w:szCs w:val="24"/>
        </w:rPr>
        <w:t>trickery or deceit.</w:t>
      </w:r>
      <w:r w:rsidR="00616258">
        <w:rPr>
          <w:sz w:val="24"/>
          <w:szCs w:val="24"/>
        </w:rPr>
        <w:t xml:space="preserve"> Instruct o</w:t>
      </w:r>
      <w:r w:rsidR="00243069">
        <w:rPr>
          <w:sz w:val="24"/>
          <w:szCs w:val="24"/>
        </w:rPr>
        <w:t xml:space="preserve">n </w:t>
      </w:r>
      <w:r w:rsidR="00413B0A">
        <w:rPr>
          <w:sz w:val="24"/>
          <w:szCs w:val="24"/>
        </w:rPr>
        <w:t xml:space="preserve">whichever parts </w:t>
      </w:r>
      <w:r w:rsidR="00A70FC2">
        <w:rPr>
          <w:sz w:val="24"/>
          <w:szCs w:val="24"/>
        </w:rPr>
        <w:t xml:space="preserve">of this theory </w:t>
      </w:r>
      <w:r w:rsidR="00413B0A">
        <w:rPr>
          <w:sz w:val="24"/>
          <w:szCs w:val="24"/>
        </w:rPr>
        <w:t>are supported by the evidence</w:t>
      </w:r>
      <w:r w:rsidR="00243069">
        <w:rPr>
          <w:sz w:val="24"/>
          <w:szCs w:val="24"/>
        </w:rPr>
        <w:t>.</w:t>
      </w:r>
    </w:p>
  </w:footnote>
  <w:footnote w:id="10">
    <w:p w14:paraId="19C2D9C5" w14:textId="6E966404" w:rsidR="00F67F2D" w:rsidRPr="00771DF1" w:rsidRDefault="00F67F2D" w:rsidP="00F67F2D">
      <w:pPr>
        <w:pStyle w:val="FootnoteText"/>
        <w:rPr>
          <w:sz w:val="24"/>
          <w:szCs w:val="24"/>
        </w:rPr>
      </w:pPr>
      <w:r w:rsidRPr="003F0FD5">
        <w:rPr>
          <w:rStyle w:val="FootnoteReference"/>
          <w:sz w:val="24"/>
          <w:szCs w:val="24"/>
        </w:rPr>
        <w:footnoteRef/>
      </w:r>
      <w:r>
        <w:t xml:space="preserve">  </w:t>
      </w:r>
      <w:r w:rsidRPr="00ED6F22">
        <w:rPr>
          <w:sz w:val="24"/>
          <w:szCs w:val="24"/>
        </w:rPr>
        <w:t xml:space="preserve">Kidnapping </w:t>
      </w:r>
      <w:r w:rsidR="00D941C9">
        <w:rPr>
          <w:sz w:val="24"/>
          <w:szCs w:val="24"/>
        </w:rPr>
        <w:t xml:space="preserve">under </w:t>
      </w:r>
      <w:r w:rsidR="00AA018B">
        <w:rPr>
          <w:sz w:val="24"/>
          <w:szCs w:val="24"/>
        </w:rPr>
        <w:t>parts (a) or (b)</w:t>
      </w:r>
      <w:r w:rsidR="00C74C2C">
        <w:rPr>
          <w:sz w:val="24"/>
          <w:szCs w:val="24"/>
        </w:rPr>
        <w:t xml:space="preserve"> of this theory</w:t>
      </w:r>
      <w:r w:rsidR="00267D49">
        <w:rPr>
          <w:sz w:val="24"/>
          <w:szCs w:val="24"/>
        </w:rPr>
        <w:t xml:space="preserve"> </w:t>
      </w:r>
      <w:r w:rsidR="003708C1">
        <w:rPr>
          <w:sz w:val="24"/>
          <w:szCs w:val="24"/>
        </w:rPr>
        <w:t>requires</w:t>
      </w:r>
      <w:r w:rsidR="00805C10">
        <w:rPr>
          <w:sz w:val="24"/>
          <w:szCs w:val="24"/>
        </w:rPr>
        <w:t xml:space="preserve"> </w:t>
      </w:r>
      <w:r w:rsidR="00654F95">
        <w:rPr>
          <w:sz w:val="24"/>
          <w:szCs w:val="24"/>
        </w:rPr>
        <w:t xml:space="preserve">some </w:t>
      </w:r>
      <w:r>
        <w:rPr>
          <w:sz w:val="24"/>
          <w:szCs w:val="24"/>
        </w:rPr>
        <w:t xml:space="preserve">restraint or confinement to distinguish </w:t>
      </w:r>
      <w:r w:rsidR="007A1B8B">
        <w:rPr>
          <w:sz w:val="24"/>
          <w:szCs w:val="24"/>
        </w:rPr>
        <w:t xml:space="preserve">this theory </w:t>
      </w:r>
      <w:r w:rsidR="00653F2D">
        <w:rPr>
          <w:sz w:val="24"/>
          <w:szCs w:val="24"/>
        </w:rPr>
        <w:t xml:space="preserve">from </w:t>
      </w:r>
      <w:r>
        <w:rPr>
          <w:sz w:val="24"/>
          <w:szCs w:val="24"/>
        </w:rPr>
        <w:t>attempted kidnapping. See</w:t>
      </w:r>
      <w:r w:rsidR="005B3766">
        <w:rPr>
          <w:sz w:val="24"/>
          <w:szCs w:val="24"/>
        </w:rPr>
        <w:t xml:space="preserve"> generally</w:t>
      </w:r>
      <w:r>
        <w:t xml:space="preserve"> </w:t>
      </w:r>
      <w:r w:rsidRPr="00771DF1">
        <w:rPr>
          <w:i/>
          <w:iCs/>
          <w:sz w:val="24"/>
          <w:szCs w:val="24"/>
        </w:rPr>
        <w:t>Commonwealth v. Titus</w:t>
      </w:r>
      <w:r w:rsidRPr="00771DF1">
        <w:rPr>
          <w:sz w:val="24"/>
          <w:szCs w:val="24"/>
        </w:rPr>
        <w:t>,</w:t>
      </w:r>
      <w:r>
        <w:rPr>
          <w:sz w:val="24"/>
          <w:szCs w:val="24"/>
        </w:rPr>
        <w:t xml:space="preserve"> 32 Mass. App. Ct. 216, 221-222 (1992) (approving of instruction to jury that “the essence of kidnapping is restraint, restraint of locomotion”); see also </w:t>
      </w:r>
      <w:r w:rsidRPr="00472C81">
        <w:rPr>
          <w:i/>
          <w:iCs/>
          <w:sz w:val="24"/>
          <w:szCs w:val="24"/>
        </w:rPr>
        <w:t>C</w:t>
      </w:r>
      <w:r w:rsidRPr="00A95BFC">
        <w:rPr>
          <w:i/>
          <w:iCs/>
          <w:sz w:val="24"/>
          <w:szCs w:val="24"/>
        </w:rPr>
        <w:t>ommonwealth v. Trotto</w:t>
      </w:r>
      <w:r>
        <w:rPr>
          <w:sz w:val="24"/>
          <w:szCs w:val="24"/>
        </w:rPr>
        <w:t>, 487 Mass. 708, 735 (2021) (</w:t>
      </w:r>
      <w:r w:rsidR="00B86C5B">
        <w:rPr>
          <w:sz w:val="24"/>
          <w:szCs w:val="24"/>
        </w:rPr>
        <w:t xml:space="preserve">remarking, </w:t>
      </w:r>
      <w:r>
        <w:rPr>
          <w:sz w:val="24"/>
          <w:szCs w:val="24"/>
        </w:rPr>
        <w:t xml:space="preserve">in dicta, </w:t>
      </w:r>
      <w:r w:rsidR="00B86C5B">
        <w:rPr>
          <w:sz w:val="24"/>
          <w:szCs w:val="24"/>
        </w:rPr>
        <w:t>that this theory of kidnapping requires seizing or confining)</w:t>
      </w:r>
      <w:r>
        <w:rPr>
          <w:sz w:val="24"/>
          <w:szCs w:val="24"/>
        </w:rPr>
        <w:t xml:space="preserve">. </w:t>
      </w:r>
    </w:p>
  </w:footnote>
  <w:footnote w:id="11">
    <w:p w14:paraId="3F6B9F61" w14:textId="7594510F" w:rsidR="00522DE1" w:rsidRPr="00DA3514" w:rsidRDefault="00522DE1" w:rsidP="00522DE1">
      <w:pPr>
        <w:pStyle w:val="FootnoteText"/>
        <w:rPr>
          <w:rFonts w:cs="Segoe UI Historic"/>
          <w:sz w:val="24"/>
          <w:szCs w:val="24"/>
        </w:rPr>
      </w:pPr>
      <w:r w:rsidRPr="00DA3514">
        <w:rPr>
          <w:rStyle w:val="FootnoteReference"/>
          <w:rFonts w:cs="Segoe UI Historic"/>
          <w:sz w:val="24"/>
          <w:szCs w:val="24"/>
        </w:rPr>
        <w:footnoteRef/>
      </w:r>
      <w:r w:rsidRPr="00DA3514">
        <w:rPr>
          <w:rFonts w:cs="Segoe UI Historic"/>
          <w:sz w:val="24"/>
          <w:szCs w:val="24"/>
        </w:rPr>
        <w:t xml:space="preserve"> </w:t>
      </w:r>
      <w:r>
        <w:rPr>
          <w:rFonts w:cs="Segoe UI Historic"/>
          <w:sz w:val="24"/>
          <w:szCs w:val="24"/>
        </w:rPr>
        <w:tab/>
        <w:t>Black’s Law Dictionary (11</w:t>
      </w:r>
      <w:r w:rsidRPr="00192E73">
        <w:rPr>
          <w:rFonts w:cs="Segoe UI Historic"/>
          <w:sz w:val="24"/>
          <w:szCs w:val="24"/>
          <w:vertAlign w:val="superscript"/>
        </w:rPr>
        <w:t>th</w:t>
      </w:r>
      <w:r>
        <w:rPr>
          <w:rFonts w:cs="Segoe UI Historic"/>
          <w:sz w:val="24"/>
          <w:szCs w:val="24"/>
        </w:rPr>
        <w:t xml:space="preserve"> ed. 2019).</w:t>
      </w:r>
      <w:r w:rsidR="006242C3">
        <w:rPr>
          <w:rFonts w:cs="Segoe UI Historic"/>
          <w:sz w:val="24"/>
          <w:szCs w:val="24"/>
        </w:rPr>
        <w:t xml:space="preserve"> </w:t>
      </w:r>
    </w:p>
  </w:footnote>
  <w:footnote w:id="12">
    <w:p w14:paraId="34BE4159" w14:textId="18A828FB" w:rsidR="00522DE1" w:rsidRPr="00DA3514" w:rsidRDefault="00522DE1" w:rsidP="00522DE1">
      <w:pPr>
        <w:pStyle w:val="FootnoteText"/>
        <w:rPr>
          <w:rFonts w:cs="Segoe UI Historic"/>
          <w:sz w:val="24"/>
          <w:szCs w:val="24"/>
        </w:rPr>
      </w:pPr>
      <w:r w:rsidRPr="00DA3514">
        <w:rPr>
          <w:rStyle w:val="FootnoteReference"/>
          <w:rFonts w:cs="Segoe UI Historic"/>
          <w:sz w:val="24"/>
          <w:szCs w:val="24"/>
        </w:rPr>
        <w:footnoteRef/>
      </w:r>
      <w:r>
        <w:rPr>
          <w:rFonts w:cs="Segoe UI Historic"/>
          <w:sz w:val="24"/>
          <w:szCs w:val="24"/>
        </w:rPr>
        <w:tab/>
      </w:r>
      <w:bookmarkStart w:id="2" w:name="_Hlk211507444"/>
      <w:r w:rsidR="001A5A68" w:rsidRPr="00763A3E">
        <w:rPr>
          <w:rFonts w:cs="Segoe UI Historic"/>
          <w:i/>
          <w:iCs/>
          <w:sz w:val="24"/>
          <w:szCs w:val="24"/>
        </w:rPr>
        <w:t>Commonwealth</w:t>
      </w:r>
      <w:r w:rsidR="001A5A68" w:rsidRPr="000A0531">
        <w:rPr>
          <w:rFonts w:cs="Segoe UI Historic"/>
          <w:sz w:val="24"/>
          <w:szCs w:val="24"/>
        </w:rPr>
        <w:t xml:space="preserve"> v. </w:t>
      </w:r>
      <w:r w:rsidR="001A5A68" w:rsidRPr="00763A3E">
        <w:rPr>
          <w:rFonts w:cs="Segoe UI Historic"/>
          <w:i/>
          <w:iCs/>
          <w:sz w:val="24"/>
          <w:szCs w:val="24"/>
        </w:rPr>
        <w:t>Caracciola</w:t>
      </w:r>
      <w:r w:rsidR="001A5A68" w:rsidRPr="000A0531">
        <w:rPr>
          <w:rFonts w:cs="Segoe UI Historic"/>
          <w:sz w:val="24"/>
          <w:szCs w:val="24"/>
        </w:rPr>
        <w:t>, 409 Mass. 648, 652 (1991)</w:t>
      </w:r>
      <w:bookmarkEnd w:id="2"/>
      <w:r w:rsidR="001A5A68" w:rsidRPr="000A0531">
        <w:rPr>
          <w:rFonts w:cs="Segoe UI Historic"/>
          <w:sz w:val="24"/>
          <w:szCs w:val="24"/>
        </w:rPr>
        <w:t xml:space="preserve">; </w:t>
      </w:r>
      <w:r w:rsidR="001A5A68" w:rsidRPr="00763A3E">
        <w:rPr>
          <w:rFonts w:cs="Segoe UI Historic"/>
          <w:i/>
          <w:iCs/>
          <w:sz w:val="24"/>
          <w:szCs w:val="24"/>
        </w:rPr>
        <w:t>Commonwealth</w:t>
      </w:r>
      <w:r w:rsidR="001A5A68" w:rsidRPr="000A0531">
        <w:rPr>
          <w:rFonts w:cs="Segoe UI Historic"/>
          <w:sz w:val="24"/>
          <w:szCs w:val="24"/>
        </w:rPr>
        <w:t xml:space="preserve"> v. </w:t>
      </w:r>
      <w:r w:rsidR="001A5A68" w:rsidRPr="00763A3E">
        <w:rPr>
          <w:rFonts w:cs="Segoe UI Historic"/>
          <w:i/>
          <w:iCs/>
          <w:sz w:val="24"/>
          <w:szCs w:val="24"/>
        </w:rPr>
        <w:t>LaPlante</w:t>
      </w:r>
      <w:r w:rsidR="001A5A68" w:rsidRPr="000A0531">
        <w:rPr>
          <w:rFonts w:cs="Segoe UI Historic"/>
          <w:sz w:val="24"/>
          <w:szCs w:val="24"/>
        </w:rPr>
        <w:t>, 73 Mass. App. Ct. 199, 202-</w:t>
      </w:r>
      <w:r w:rsidR="001A5A68">
        <w:rPr>
          <w:rFonts w:cs="Segoe UI Historic"/>
          <w:sz w:val="24"/>
          <w:szCs w:val="24"/>
        </w:rPr>
        <w:t>2</w:t>
      </w:r>
      <w:r w:rsidR="001A5A68" w:rsidRPr="000A0531">
        <w:rPr>
          <w:rFonts w:cs="Segoe UI Historic"/>
          <w:sz w:val="24"/>
          <w:szCs w:val="24"/>
        </w:rPr>
        <w:t>03 (2008</w:t>
      </w:r>
      <w:r w:rsidR="001A5A68">
        <w:rPr>
          <w:rFonts w:cs="Segoe UI Historic"/>
          <w:sz w:val="24"/>
          <w:szCs w:val="24"/>
        </w:rPr>
        <w:t>)</w:t>
      </w:r>
      <w:r w:rsidR="001A5A68" w:rsidRPr="000A0531">
        <w:rPr>
          <w:rFonts w:cs="Segoe UI Historic"/>
          <w:sz w:val="24"/>
          <w:szCs w:val="24"/>
        </w:rPr>
        <w:t>.</w:t>
      </w:r>
    </w:p>
  </w:footnote>
  <w:footnote w:id="13">
    <w:p w14:paraId="3B097B5A" w14:textId="124E4C0A" w:rsidR="006242C3" w:rsidRDefault="006242C3">
      <w:pPr>
        <w:pStyle w:val="FootnoteText"/>
      </w:pPr>
      <w:r w:rsidRPr="000A164F">
        <w:rPr>
          <w:rStyle w:val="FootnoteReference"/>
          <w:sz w:val="24"/>
          <w:szCs w:val="24"/>
        </w:rPr>
        <w:footnoteRef/>
      </w:r>
      <w:r>
        <w:t xml:space="preserve"> </w:t>
      </w:r>
      <w:r>
        <w:tab/>
      </w:r>
      <w:r w:rsidR="009D5514">
        <w:rPr>
          <w:sz w:val="24"/>
          <w:szCs w:val="24"/>
        </w:rPr>
        <w:t xml:space="preserve">Compare </w:t>
      </w:r>
      <w:r w:rsidR="00713ABA">
        <w:rPr>
          <w:sz w:val="24"/>
          <w:szCs w:val="24"/>
        </w:rPr>
        <w:t>inveigl</w:t>
      </w:r>
      <w:r w:rsidR="00815429">
        <w:rPr>
          <w:sz w:val="24"/>
          <w:szCs w:val="24"/>
        </w:rPr>
        <w:t>ing</w:t>
      </w:r>
      <w:r w:rsidR="00713ABA">
        <w:rPr>
          <w:sz w:val="24"/>
          <w:szCs w:val="24"/>
        </w:rPr>
        <w:t xml:space="preserve"> under</w:t>
      </w:r>
      <w:r w:rsidR="007E4A9C">
        <w:rPr>
          <w:sz w:val="24"/>
          <w:szCs w:val="24"/>
        </w:rPr>
        <w:t xml:space="preserve"> the federal kidnapping statute,</w:t>
      </w:r>
      <w:r w:rsidR="00A80A5C" w:rsidRPr="00D6577E">
        <w:rPr>
          <w:sz w:val="24"/>
          <w:szCs w:val="24"/>
        </w:rPr>
        <w:t xml:space="preserve"> </w:t>
      </w:r>
      <w:r w:rsidR="00D6577E" w:rsidRPr="00D6577E">
        <w:rPr>
          <w:sz w:val="24"/>
          <w:szCs w:val="24"/>
        </w:rPr>
        <w:t xml:space="preserve">18 U.S.C. </w:t>
      </w:r>
      <w:r w:rsidR="00D6577E" w:rsidRPr="00D6577E">
        <w:rPr>
          <w:rFonts w:cs="Segoe UI Historic"/>
          <w:sz w:val="24"/>
          <w:szCs w:val="24"/>
        </w:rPr>
        <w:t>§</w:t>
      </w:r>
      <w:r w:rsidR="00D6577E" w:rsidRPr="00D6577E">
        <w:rPr>
          <w:sz w:val="24"/>
          <w:szCs w:val="24"/>
        </w:rPr>
        <w:t xml:space="preserve"> 1201</w:t>
      </w:r>
      <w:r w:rsidR="009D5514">
        <w:rPr>
          <w:sz w:val="24"/>
          <w:szCs w:val="24"/>
        </w:rPr>
        <w:t>(a)</w:t>
      </w:r>
      <w:r w:rsidR="00713ABA">
        <w:rPr>
          <w:sz w:val="24"/>
          <w:szCs w:val="24"/>
        </w:rPr>
        <w:t>, which has been defined as</w:t>
      </w:r>
      <w:r w:rsidR="00E72B30">
        <w:rPr>
          <w:sz w:val="24"/>
          <w:szCs w:val="24"/>
        </w:rPr>
        <w:t xml:space="preserve"> </w:t>
      </w:r>
      <w:r w:rsidR="000A49D8" w:rsidRPr="000A49D8">
        <w:rPr>
          <w:sz w:val="24"/>
          <w:szCs w:val="24"/>
        </w:rPr>
        <w:t>“lur[ing] or entic[ing] through deceit or insincerity.” </w:t>
      </w:r>
      <w:r w:rsidR="000A49D8" w:rsidRPr="000D486C">
        <w:rPr>
          <w:i/>
          <w:iCs/>
          <w:sz w:val="24"/>
          <w:szCs w:val="24"/>
        </w:rPr>
        <w:t xml:space="preserve">United States </w:t>
      </w:r>
      <w:r w:rsidR="000A49D8" w:rsidRPr="000D486C">
        <w:rPr>
          <w:sz w:val="24"/>
          <w:szCs w:val="24"/>
        </w:rPr>
        <w:t>v.</w:t>
      </w:r>
      <w:r w:rsidR="000A49D8" w:rsidRPr="000D486C">
        <w:rPr>
          <w:i/>
          <w:iCs/>
          <w:sz w:val="24"/>
          <w:szCs w:val="24"/>
        </w:rPr>
        <w:t xml:space="preserve"> Walker</w:t>
      </w:r>
      <w:r w:rsidR="000A49D8" w:rsidRPr="000D486C">
        <w:rPr>
          <w:sz w:val="24"/>
          <w:szCs w:val="24"/>
        </w:rPr>
        <w:t>, 934 F.3d 375, 378 (4th Cir. 2019)</w:t>
      </w:r>
      <w:r w:rsidR="000A49D8" w:rsidRPr="000A49D8">
        <w:rPr>
          <w:sz w:val="24"/>
          <w:szCs w:val="24"/>
        </w:rPr>
        <w:t> (quoting </w:t>
      </w:r>
      <w:r w:rsidR="000A49D8" w:rsidRPr="000A49D8">
        <w:rPr>
          <w:i/>
          <w:iCs/>
          <w:sz w:val="24"/>
          <w:szCs w:val="24"/>
        </w:rPr>
        <w:t>Inveigle</w:t>
      </w:r>
      <w:r w:rsidR="000A49D8" w:rsidRPr="000A49D8">
        <w:rPr>
          <w:sz w:val="24"/>
          <w:szCs w:val="24"/>
        </w:rPr>
        <w:t>, Black's Law Dictionary (10th ed. 2014))</w:t>
      </w:r>
      <w:r w:rsidR="004838A0">
        <w:rPr>
          <w:sz w:val="24"/>
          <w:szCs w:val="24"/>
        </w:rPr>
        <w:t xml:space="preserve">. Force is not necessary for inveigling. </w:t>
      </w:r>
      <w:r w:rsidRPr="006242C3">
        <w:rPr>
          <w:i/>
          <w:iCs/>
          <w:sz w:val="24"/>
          <w:szCs w:val="24"/>
        </w:rPr>
        <w:t>Commonwealth</w:t>
      </w:r>
      <w:r w:rsidRPr="006242C3">
        <w:rPr>
          <w:sz w:val="24"/>
          <w:szCs w:val="24"/>
        </w:rPr>
        <w:t xml:space="preserve"> v. </w:t>
      </w:r>
      <w:r w:rsidRPr="006242C3">
        <w:rPr>
          <w:i/>
          <w:iCs/>
          <w:sz w:val="24"/>
          <w:szCs w:val="24"/>
        </w:rPr>
        <w:t>Colon</w:t>
      </w:r>
      <w:r w:rsidRPr="006242C3">
        <w:rPr>
          <w:sz w:val="24"/>
          <w:szCs w:val="24"/>
        </w:rPr>
        <w:t>, 431 Mass. 188, 191 n.6 (2000) (referring to “kidnapping by ‘inveiglement’ without the use of force”).</w:t>
      </w:r>
    </w:p>
  </w:footnote>
  <w:footnote w:id="14">
    <w:p w14:paraId="0E43C996" w14:textId="3CF1AA25" w:rsidR="00503318" w:rsidRDefault="00503318" w:rsidP="00997745">
      <w:pPr>
        <w:pStyle w:val="FootnoteText"/>
      </w:pPr>
      <w:r>
        <w:rPr>
          <w:rStyle w:val="FootnoteReference"/>
        </w:rPr>
        <w:footnoteRef/>
      </w:r>
      <w:r>
        <w:t xml:space="preserve"> </w:t>
      </w:r>
      <w:r>
        <w:tab/>
      </w:r>
      <w:r w:rsidR="00997745" w:rsidRPr="00AC7959">
        <w:rPr>
          <w:i/>
          <w:iCs/>
          <w:sz w:val="24"/>
          <w:szCs w:val="24"/>
        </w:rPr>
        <w:t>Commonwealth v. Rivera</w:t>
      </w:r>
      <w:r w:rsidR="00997745" w:rsidRPr="00AC7959">
        <w:rPr>
          <w:sz w:val="24"/>
          <w:szCs w:val="24"/>
        </w:rPr>
        <w:t>, 460 Mass. 139, 142–144 (2011).</w:t>
      </w:r>
    </w:p>
  </w:footnote>
  <w:footnote w:id="15">
    <w:p w14:paraId="09D40D21" w14:textId="16CD23E4" w:rsidR="00317551" w:rsidRPr="00266F23" w:rsidRDefault="00317551" w:rsidP="00317551">
      <w:pPr>
        <w:pStyle w:val="FootnoteText"/>
        <w:rPr>
          <w:rFonts w:cs="Segoe UI Historic"/>
          <w:sz w:val="24"/>
          <w:szCs w:val="24"/>
        </w:rPr>
      </w:pPr>
      <w:r w:rsidRPr="00975524">
        <w:rPr>
          <w:rStyle w:val="FootnoteReference"/>
          <w:rFonts w:cs="Segoe UI Historic"/>
          <w:sz w:val="24"/>
          <w:szCs w:val="24"/>
        </w:rPr>
        <w:footnoteRef/>
      </w:r>
      <w:r w:rsidR="003856AF">
        <w:rPr>
          <w:rFonts w:cs="Segoe UI Historic"/>
          <w:sz w:val="24"/>
          <w:szCs w:val="24"/>
        </w:rPr>
        <w:tab/>
      </w:r>
      <w:r w:rsidR="00997745" w:rsidRPr="00763A3E">
        <w:rPr>
          <w:rFonts w:cs="Segoe UI Historic"/>
          <w:i/>
          <w:iCs/>
          <w:sz w:val="24"/>
          <w:szCs w:val="24"/>
        </w:rPr>
        <w:t>Commonwealth</w:t>
      </w:r>
      <w:r w:rsidR="00997745" w:rsidRPr="000A0531">
        <w:rPr>
          <w:rFonts w:cs="Segoe UI Historic"/>
          <w:sz w:val="24"/>
          <w:szCs w:val="24"/>
        </w:rPr>
        <w:t xml:space="preserve"> v. </w:t>
      </w:r>
      <w:r w:rsidR="00997745" w:rsidRPr="00763A3E">
        <w:rPr>
          <w:rFonts w:cs="Segoe UI Historic"/>
          <w:i/>
          <w:iCs/>
          <w:sz w:val="24"/>
          <w:szCs w:val="24"/>
        </w:rPr>
        <w:t>Caracciola</w:t>
      </w:r>
      <w:r w:rsidR="00997745" w:rsidRPr="000A0531">
        <w:rPr>
          <w:rFonts w:cs="Segoe UI Historic"/>
          <w:sz w:val="24"/>
          <w:szCs w:val="24"/>
        </w:rPr>
        <w:t>, 409 Mass. 648, 65</w:t>
      </w:r>
      <w:r w:rsidR="00997745">
        <w:rPr>
          <w:rFonts w:cs="Segoe UI Historic"/>
          <w:sz w:val="24"/>
          <w:szCs w:val="24"/>
        </w:rPr>
        <w:t>1</w:t>
      </w:r>
      <w:r w:rsidR="00997745" w:rsidRPr="000A0531">
        <w:rPr>
          <w:rFonts w:cs="Segoe UI Historic"/>
          <w:sz w:val="24"/>
          <w:szCs w:val="24"/>
        </w:rPr>
        <w:t xml:space="preserve"> (1991)</w:t>
      </w:r>
      <w:r w:rsidR="00651DF8">
        <w:rPr>
          <w:rFonts w:cs="Segoe UI Historic"/>
          <w:sz w:val="24"/>
          <w:szCs w:val="24"/>
        </w:rPr>
        <w:t>.</w:t>
      </w:r>
    </w:p>
  </w:footnote>
  <w:footnote w:id="16">
    <w:p w14:paraId="5F514966" w14:textId="6CF438F0" w:rsidR="005349E2" w:rsidRPr="005349E2" w:rsidRDefault="005349E2">
      <w:pPr>
        <w:pStyle w:val="FootnoteText"/>
        <w:rPr>
          <w:sz w:val="24"/>
          <w:szCs w:val="24"/>
        </w:rPr>
      </w:pPr>
      <w:r w:rsidRPr="005349E2">
        <w:rPr>
          <w:rStyle w:val="FootnoteReference"/>
          <w:sz w:val="24"/>
          <w:szCs w:val="24"/>
        </w:rPr>
        <w:footnoteRef/>
      </w:r>
      <w:r w:rsidRPr="005349E2">
        <w:rPr>
          <w:sz w:val="24"/>
          <w:szCs w:val="24"/>
        </w:rPr>
        <w:t xml:space="preserve"> </w:t>
      </w:r>
      <w:r w:rsidRPr="005349E2">
        <w:rPr>
          <w:sz w:val="24"/>
          <w:szCs w:val="24"/>
        </w:rPr>
        <w:tab/>
        <w:t xml:space="preserve">G.L. c. 265, </w:t>
      </w:r>
      <w:r w:rsidRPr="005349E2">
        <w:rPr>
          <w:rFonts w:cs="Segoe UI Historic"/>
          <w:sz w:val="24"/>
          <w:szCs w:val="24"/>
        </w:rPr>
        <w:t>§</w:t>
      </w:r>
      <w:r w:rsidRPr="005349E2">
        <w:rPr>
          <w:sz w:val="24"/>
          <w:szCs w:val="24"/>
        </w:rPr>
        <w:t xml:space="preserve"> 26, fourth par., states: “Whoever, without lawful authority, forcibly or secretly confines or imprisons a child under the age of 16 within the commonwealth against his will or forcibly carries or sends such person out of the commonwealth or forcibly seizes and confines or inveigles or kidnaps a child under the age of 16 with the intent either to cause him to be secretly confined or imprisoned in the commonwealth against his will or to cause him to be sent out of the commonwealth against his will or in any way held to service against his will, shall be punished by imprisonment in the state prison for not more than 15 years. The provisions of the preceding sentence </w:t>
      </w:r>
      <w:bookmarkStart w:id="3" w:name="_Hlk209429108"/>
      <w:r w:rsidRPr="005349E2">
        <w:rPr>
          <w:sz w:val="24"/>
          <w:szCs w:val="24"/>
        </w:rPr>
        <w:t>shall not apply to the parent of a child under 16 years of age who takes custody of such child</w:t>
      </w:r>
      <w:bookmarkEnd w:id="3"/>
      <w:r w:rsidRPr="005349E2">
        <w:rPr>
          <w:sz w:val="24"/>
          <w:szCs w:val="24"/>
        </w:rPr>
        <w:t>.”</w:t>
      </w:r>
    </w:p>
  </w:footnote>
  <w:footnote w:id="17">
    <w:p w14:paraId="036E1548" w14:textId="252F96F2" w:rsidR="00E85FBD" w:rsidRPr="002C39A1" w:rsidRDefault="00E85FBD" w:rsidP="00E85FBD">
      <w:pPr>
        <w:pStyle w:val="FootnoteText"/>
        <w:rPr>
          <w:sz w:val="24"/>
          <w:szCs w:val="24"/>
        </w:rPr>
      </w:pPr>
      <w:r w:rsidRPr="00E85FBD">
        <w:rPr>
          <w:rStyle w:val="FootnoteReference"/>
          <w:sz w:val="24"/>
          <w:szCs w:val="24"/>
        </w:rPr>
        <w:footnoteRef/>
      </w:r>
      <w:r w:rsidRPr="00E85FBD">
        <w:rPr>
          <w:sz w:val="24"/>
          <w:szCs w:val="24"/>
        </w:rPr>
        <w:t xml:space="preserve"> </w:t>
      </w:r>
      <w:r w:rsidR="006369A3" w:rsidRPr="006242C3">
        <w:rPr>
          <w:i/>
          <w:iCs/>
          <w:sz w:val="24"/>
          <w:szCs w:val="24"/>
        </w:rPr>
        <w:t>Commonwealth</w:t>
      </w:r>
      <w:r w:rsidR="006369A3" w:rsidRPr="006242C3">
        <w:rPr>
          <w:sz w:val="24"/>
          <w:szCs w:val="24"/>
        </w:rPr>
        <w:t xml:space="preserve"> v. </w:t>
      </w:r>
      <w:r w:rsidR="006369A3" w:rsidRPr="006242C3">
        <w:rPr>
          <w:i/>
          <w:iCs/>
          <w:sz w:val="24"/>
          <w:szCs w:val="24"/>
        </w:rPr>
        <w:t>Colon</w:t>
      </w:r>
      <w:r w:rsidR="006369A3" w:rsidRPr="006242C3">
        <w:rPr>
          <w:sz w:val="24"/>
          <w:szCs w:val="24"/>
        </w:rPr>
        <w:t xml:space="preserve">, 431 Mass. 188, </w:t>
      </w:r>
      <w:r>
        <w:rPr>
          <w:sz w:val="24"/>
          <w:szCs w:val="24"/>
        </w:rPr>
        <w:t>191-192 &amp; n.8</w:t>
      </w:r>
      <w:r w:rsidR="006A4830">
        <w:rPr>
          <w:sz w:val="24"/>
          <w:szCs w:val="24"/>
        </w:rPr>
        <w:t xml:space="preserve"> (2000)</w:t>
      </w:r>
      <w:r>
        <w:rPr>
          <w:sz w:val="24"/>
          <w:szCs w:val="24"/>
        </w:rPr>
        <w:t xml:space="preserve"> (a twelve-year-old child is too young, as a matter of law, to consent to kidnapping—i.e., cannot consent to leaving the custody of their parents or guardians; in so holding, the court said: “we merely restate the long-standing tender years doctrine,” under which a child under fourteen was incapable of consenting to kidnapping). Because </w:t>
      </w:r>
      <w:r w:rsidRPr="005A3647">
        <w:rPr>
          <w:i/>
          <w:iCs/>
          <w:sz w:val="24"/>
          <w:szCs w:val="24"/>
        </w:rPr>
        <w:t>Colon</w:t>
      </w:r>
      <w:r>
        <w:rPr>
          <w:sz w:val="24"/>
          <w:szCs w:val="24"/>
        </w:rPr>
        <w:t xml:space="preserve"> did not directly address whether a thirteen-year-old child can consent—though the tender years doctrine would suggest not—whether such a child arguably can do so may depend on the child’s maturity (a question that would require findings in a particular case).   </w:t>
      </w:r>
      <w:r w:rsidRPr="002C39A1">
        <w:rPr>
          <w:sz w:val="24"/>
          <w:szCs w:val="24"/>
        </w:rPr>
        <w:t xml:space="preserve"> </w:t>
      </w:r>
    </w:p>
  </w:footnote>
  <w:footnote w:id="18">
    <w:p w14:paraId="04CF876B" w14:textId="0FEE3810" w:rsidR="00317551" w:rsidRPr="00F62A46" w:rsidRDefault="00317551" w:rsidP="00317551">
      <w:pPr>
        <w:pStyle w:val="FootnoteText"/>
        <w:rPr>
          <w:sz w:val="24"/>
          <w:szCs w:val="24"/>
        </w:rPr>
      </w:pPr>
      <w:r w:rsidRPr="00F62A46">
        <w:rPr>
          <w:rStyle w:val="FootnoteReference"/>
          <w:sz w:val="24"/>
          <w:szCs w:val="24"/>
        </w:rPr>
        <w:footnoteRef/>
      </w:r>
      <w:r w:rsidR="003856AF">
        <w:rPr>
          <w:sz w:val="24"/>
          <w:szCs w:val="24"/>
        </w:rPr>
        <w:tab/>
      </w:r>
      <w:r w:rsidRPr="00F62A46">
        <w:rPr>
          <w:sz w:val="24"/>
          <w:szCs w:val="24"/>
        </w:rPr>
        <w:t>G.L. c. 265, § 26</w:t>
      </w:r>
      <w:r w:rsidR="001D4905">
        <w:rPr>
          <w:sz w:val="24"/>
          <w:szCs w:val="24"/>
        </w:rPr>
        <w:t>, first par.,</w:t>
      </w:r>
      <w:r w:rsidRPr="00F62A46">
        <w:rPr>
          <w:sz w:val="24"/>
          <w:szCs w:val="24"/>
        </w:rPr>
        <w:t xml:space="preserve"> states: “Whoever commits any offence described in this section with the intent to extort money or other valuable thing thereby shall be punished.” </w:t>
      </w:r>
    </w:p>
  </w:footnote>
  <w:footnote w:id="19">
    <w:p w14:paraId="288AC7B9" w14:textId="5F500629" w:rsidR="00317551" w:rsidRPr="005C0F86" w:rsidRDefault="00317551" w:rsidP="00317551">
      <w:pPr>
        <w:pStyle w:val="FootnoteText"/>
        <w:rPr>
          <w:rFonts w:cs="Segoe UI Historic"/>
          <w:sz w:val="24"/>
          <w:szCs w:val="24"/>
        </w:rPr>
      </w:pPr>
      <w:r w:rsidRPr="008F7AC4">
        <w:rPr>
          <w:rStyle w:val="FootnoteReference"/>
          <w:rFonts w:cs="Segoe UI Historic"/>
          <w:sz w:val="24"/>
          <w:szCs w:val="24"/>
        </w:rPr>
        <w:footnoteRef/>
      </w:r>
      <w:r w:rsidRPr="008F7AC4">
        <w:rPr>
          <w:rFonts w:cs="Segoe UI Historic"/>
          <w:sz w:val="24"/>
          <w:szCs w:val="24"/>
        </w:rPr>
        <w:t xml:space="preserve"> </w:t>
      </w:r>
      <w:r w:rsidR="003856AF">
        <w:rPr>
          <w:rFonts w:cs="Segoe UI Historic"/>
          <w:sz w:val="24"/>
          <w:szCs w:val="24"/>
        </w:rPr>
        <w:tab/>
      </w:r>
      <w:r w:rsidRPr="008F7AC4">
        <w:rPr>
          <w:rFonts w:cs="Segoe UI Historic"/>
          <w:sz w:val="24"/>
          <w:szCs w:val="24"/>
        </w:rPr>
        <w:t>If the judge previously instructed on specific</w:t>
      </w:r>
      <w:r w:rsidRPr="005C0F86">
        <w:rPr>
          <w:rFonts w:cs="Segoe UI Historic"/>
          <w:sz w:val="24"/>
          <w:szCs w:val="24"/>
        </w:rPr>
        <w:t xml:space="preserve"> intent in the context of kidnappin</w:t>
      </w:r>
      <w:r w:rsidR="00CB22CF">
        <w:rPr>
          <w:rFonts w:cs="Segoe UI Historic"/>
          <w:sz w:val="24"/>
          <w:szCs w:val="24"/>
        </w:rPr>
        <w:t xml:space="preserve">g by seizing and confining, or </w:t>
      </w:r>
      <w:r w:rsidR="004A6652" w:rsidRPr="004A6652">
        <w:rPr>
          <w:rFonts w:cs="Segoe UI Historic"/>
          <w:sz w:val="24"/>
          <w:szCs w:val="24"/>
        </w:rPr>
        <w:t>inveigl</w:t>
      </w:r>
      <w:r w:rsidR="00191F76">
        <w:rPr>
          <w:rFonts w:cs="Segoe UI Historic"/>
          <w:sz w:val="24"/>
          <w:szCs w:val="24"/>
        </w:rPr>
        <w:t>ing</w:t>
      </w:r>
      <w:r w:rsidR="004A6652" w:rsidRPr="004A6652">
        <w:rPr>
          <w:rFonts w:cs="Segoe UI Historic"/>
          <w:sz w:val="24"/>
          <w:szCs w:val="24"/>
        </w:rPr>
        <w:t>, with intent</w:t>
      </w:r>
      <w:r w:rsidRPr="005C0F86">
        <w:rPr>
          <w:rFonts w:cs="Segoe UI Historic"/>
          <w:sz w:val="24"/>
          <w:szCs w:val="24"/>
        </w:rPr>
        <w:t xml:space="preserve">, the judge does </w:t>
      </w:r>
      <w:r w:rsidRPr="00763A3E">
        <w:rPr>
          <w:rFonts w:cs="Times New Roman"/>
        </w:rPr>
        <w:t>not</w:t>
      </w:r>
      <w:r w:rsidRPr="005C0F86">
        <w:rPr>
          <w:rFonts w:cs="Segoe UI Historic"/>
          <w:sz w:val="24"/>
          <w:szCs w:val="24"/>
        </w:rPr>
        <w:t xml:space="preserve"> have to redefine specific intent and may </w:t>
      </w:r>
      <w:r>
        <w:rPr>
          <w:rFonts w:cs="Segoe UI Historic"/>
          <w:sz w:val="24"/>
          <w:szCs w:val="24"/>
        </w:rPr>
        <w:t xml:space="preserve">simply explain that the </w:t>
      </w:r>
      <w:r w:rsidRPr="005C0F86">
        <w:rPr>
          <w:rFonts w:cs="Segoe UI Historic"/>
          <w:sz w:val="24"/>
          <w:szCs w:val="24"/>
        </w:rPr>
        <w:t>words specific intent have the same meaning previously</w:t>
      </w:r>
      <w:r>
        <w:rPr>
          <w:rFonts w:cs="Segoe UI Historic"/>
          <w:sz w:val="24"/>
          <w:szCs w:val="24"/>
        </w:rPr>
        <w:t xml:space="preserve"> given</w:t>
      </w:r>
      <w:r w:rsidRPr="005C0F86">
        <w:rPr>
          <w:rFonts w:cs="Segoe UI Historic"/>
          <w:sz w:val="24"/>
          <w:szCs w:val="24"/>
        </w:rPr>
        <w:t>.</w:t>
      </w:r>
    </w:p>
  </w:footnote>
  <w:footnote w:id="20">
    <w:p w14:paraId="4EB2FB22" w14:textId="18F45369" w:rsidR="00BC4B1F" w:rsidRPr="00A24561" w:rsidRDefault="00BC4B1F" w:rsidP="00BC4B1F">
      <w:pPr>
        <w:pStyle w:val="FootnoteText"/>
        <w:rPr>
          <w:sz w:val="24"/>
          <w:szCs w:val="24"/>
        </w:rPr>
      </w:pPr>
      <w:r w:rsidRPr="00A24561">
        <w:rPr>
          <w:rStyle w:val="FootnoteReference"/>
          <w:sz w:val="24"/>
          <w:szCs w:val="24"/>
        </w:rPr>
        <w:footnoteRef/>
      </w:r>
      <w:r w:rsidRPr="00A24561">
        <w:rPr>
          <w:sz w:val="24"/>
          <w:szCs w:val="24"/>
        </w:rPr>
        <w:t xml:space="preserve"> </w:t>
      </w:r>
      <w:r>
        <w:rPr>
          <w:sz w:val="24"/>
          <w:szCs w:val="24"/>
        </w:rPr>
        <w:t xml:space="preserve">G.L. c. 265, </w:t>
      </w:r>
      <w:r>
        <w:rPr>
          <w:rFonts w:cs="Segoe UI Historic"/>
          <w:sz w:val="24"/>
          <w:szCs w:val="24"/>
        </w:rPr>
        <w:t>§</w:t>
      </w:r>
      <w:r>
        <w:rPr>
          <w:sz w:val="24"/>
          <w:szCs w:val="24"/>
        </w:rPr>
        <w:t xml:space="preserve"> 26, second par., </w:t>
      </w:r>
      <w:r w:rsidR="00E608B3">
        <w:rPr>
          <w:sz w:val="24"/>
          <w:szCs w:val="24"/>
        </w:rPr>
        <w:t xml:space="preserve">as </w:t>
      </w:r>
      <w:r w:rsidR="00340670">
        <w:rPr>
          <w:sz w:val="24"/>
          <w:szCs w:val="24"/>
        </w:rPr>
        <w:t>in effect</w:t>
      </w:r>
      <w:r>
        <w:rPr>
          <w:sz w:val="24"/>
          <w:szCs w:val="24"/>
        </w:rPr>
        <w:t xml:space="preserve"> </w:t>
      </w:r>
      <w:r w:rsidR="00A765B4">
        <w:rPr>
          <w:sz w:val="24"/>
          <w:szCs w:val="24"/>
        </w:rPr>
        <w:t>through</w:t>
      </w:r>
      <w:r>
        <w:rPr>
          <w:sz w:val="24"/>
          <w:szCs w:val="24"/>
        </w:rPr>
        <w:t xml:space="preserve"> Oct. 1, 2024, states: </w:t>
      </w:r>
      <w:r w:rsidRPr="00A24561">
        <w:rPr>
          <w:sz w:val="24"/>
          <w:szCs w:val="24"/>
        </w:rPr>
        <w:t>“Whoever commits any offense described in this section while armed with a firearm, rifle, shotgun, machine gun or assault weapon shall be punished.”</w:t>
      </w:r>
      <w:r w:rsidR="006135B5">
        <w:rPr>
          <w:sz w:val="24"/>
          <w:szCs w:val="24"/>
        </w:rPr>
        <w:t xml:space="preserve"> The statute includes the following </w:t>
      </w:r>
      <w:r w:rsidR="00D67773">
        <w:rPr>
          <w:sz w:val="24"/>
          <w:szCs w:val="24"/>
        </w:rPr>
        <w:t>exception: “</w:t>
      </w:r>
      <w:r w:rsidR="00AD17A1" w:rsidRPr="00AD17A1">
        <w:rPr>
          <w:sz w:val="24"/>
          <w:szCs w:val="24"/>
        </w:rPr>
        <w:t>The provisions of the preceding sentence shall not apply to the parent of a child under 18 years of age who takes custody of such child.</w:t>
      </w:r>
      <w:r w:rsidR="00AD17A1">
        <w:rPr>
          <w:sz w:val="24"/>
          <w:szCs w:val="24"/>
        </w:rPr>
        <w:t>”</w:t>
      </w:r>
    </w:p>
  </w:footnote>
  <w:footnote w:id="21">
    <w:p w14:paraId="4C19D72D" w14:textId="600E7902" w:rsidR="00AF66BA" w:rsidRPr="00C97F63" w:rsidRDefault="00AF66BA">
      <w:pPr>
        <w:pStyle w:val="FootnoteText"/>
        <w:rPr>
          <w:sz w:val="24"/>
          <w:szCs w:val="24"/>
        </w:rPr>
      </w:pPr>
      <w:r w:rsidRPr="00C97F63">
        <w:rPr>
          <w:rStyle w:val="FootnoteReference"/>
          <w:sz w:val="24"/>
          <w:szCs w:val="24"/>
        </w:rPr>
        <w:footnoteRef/>
      </w:r>
      <w:r w:rsidRPr="00C97F63">
        <w:rPr>
          <w:sz w:val="24"/>
          <w:szCs w:val="24"/>
        </w:rPr>
        <w:t xml:space="preserve"> </w:t>
      </w:r>
      <w:r w:rsidRPr="00C97F63">
        <w:rPr>
          <w:sz w:val="24"/>
          <w:szCs w:val="24"/>
        </w:rPr>
        <w:tab/>
      </w:r>
      <w:r w:rsidR="000877DD" w:rsidRPr="00C97F63">
        <w:rPr>
          <w:sz w:val="24"/>
          <w:szCs w:val="24"/>
        </w:rPr>
        <w:t xml:space="preserve">The Legislature often has used </w:t>
      </w:r>
      <w:r w:rsidR="00A75A56">
        <w:rPr>
          <w:sz w:val="24"/>
          <w:szCs w:val="24"/>
        </w:rPr>
        <w:t>“</w:t>
      </w:r>
      <w:r w:rsidR="00BD5BCD" w:rsidRPr="00C97F63">
        <w:rPr>
          <w:sz w:val="24"/>
          <w:szCs w:val="24"/>
        </w:rPr>
        <w:t>armed</w:t>
      </w:r>
      <w:r w:rsidR="00A75A56">
        <w:rPr>
          <w:sz w:val="24"/>
          <w:szCs w:val="24"/>
        </w:rPr>
        <w:t>”</w:t>
      </w:r>
      <w:r w:rsidR="00BD5BCD" w:rsidRPr="00C97F63">
        <w:rPr>
          <w:sz w:val="24"/>
          <w:szCs w:val="24"/>
        </w:rPr>
        <w:t xml:space="preserve"> </w:t>
      </w:r>
      <w:r w:rsidR="000877DD" w:rsidRPr="00C97F63">
        <w:rPr>
          <w:sz w:val="24"/>
          <w:szCs w:val="24"/>
        </w:rPr>
        <w:t>to mean</w:t>
      </w:r>
      <w:r w:rsidR="00BD5BCD" w:rsidRPr="00C97F63">
        <w:rPr>
          <w:sz w:val="24"/>
          <w:szCs w:val="24"/>
        </w:rPr>
        <w:t xml:space="preserve"> possessing but not necessarily using a weapon. See, e.g., </w:t>
      </w:r>
      <w:r w:rsidR="00BD5BCD" w:rsidRPr="006069D8">
        <w:rPr>
          <w:i/>
          <w:iCs/>
          <w:sz w:val="24"/>
          <w:szCs w:val="24"/>
        </w:rPr>
        <w:t>Commonwealth v. Nickologines</w:t>
      </w:r>
      <w:r w:rsidR="00BD5BCD" w:rsidRPr="006069D8">
        <w:rPr>
          <w:sz w:val="24"/>
          <w:szCs w:val="24"/>
        </w:rPr>
        <w:t>, 322 Mass. 274, 277 (1948)</w:t>
      </w:r>
      <w:r w:rsidR="00BD5BCD" w:rsidRPr="00C97F63">
        <w:rPr>
          <w:sz w:val="24"/>
          <w:szCs w:val="24"/>
        </w:rPr>
        <w:t> (armed robbery); </w:t>
      </w:r>
      <w:r w:rsidR="00BD5BCD" w:rsidRPr="006069D8">
        <w:rPr>
          <w:i/>
          <w:iCs/>
          <w:sz w:val="24"/>
          <w:szCs w:val="24"/>
        </w:rPr>
        <w:t>Commonwealth v. Werner</w:t>
      </w:r>
      <w:r w:rsidR="00BD5BCD" w:rsidRPr="006069D8">
        <w:rPr>
          <w:sz w:val="24"/>
          <w:szCs w:val="24"/>
        </w:rPr>
        <w:t>, 73 Mass. App. Ct. 97, 101-103 (2008)</w:t>
      </w:r>
      <w:r w:rsidR="00BD5BCD" w:rsidRPr="00C97F63">
        <w:rPr>
          <w:sz w:val="24"/>
          <w:szCs w:val="24"/>
        </w:rPr>
        <w:t xml:space="preserve"> (armed assault in </w:t>
      </w:r>
      <w:r w:rsidR="00A75A56">
        <w:rPr>
          <w:sz w:val="24"/>
          <w:szCs w:val="24"/>
        </w:rPr>
        <w:t xml:space="preserve">a </w:t>
      </w:r>
      <w:r w:rsidR="00BD5BCD" w:rsidRPr="00C97F63">
        <w:rPr>
          <w:sz w:val="24"/>
          <w:szCs w:val="24"/>
        </w:rPr>
        <w:t>dwelling house)</w:t>
      </w:r>
      <w:r w:rsidR="00B945A8" w:rsidRPr="00C97F63">
        <w:rPr>
          <w:sz w:val="24"/>
          <w:szCs w:val="24"/>
        </w:rPr>
        <w:t xml:space="preserve">; </w:t>
      </w:r>
      <w:r w:rsidR="00776417" w:rsidRPr="00C97F63">
        <w:rPr>
          <w:i/>
          <w:iCs/>
          <w:sz w:val="24"/>
          <w:szCs w:val="24"/>
        </w:rPr>
        <w:t>Commonwealth v. King</w:t>
      </w:r>
      <w:r w:rsidR="00776417" w:rsidRPr="00C97F63">
        <w:rPr>
          <w:sz w:val="24"/>
          <w:szCs w:val="24"/>
        </w:rPr>
        <w:t>, 69 Mass. App. Ct. 113</w:t>
      </w:r>
      <w:r w:rsidR="00DB4651" w:rsidRPr="00C97F63">
        <w:rPr>
          <w:sz w:val="24"/>
          <w:szCs w:val="24"/>
        </w:rPr>
        <w:t>, 115-116</w:t>
      </w:r>
      <w:r w:rsidR="00776417" w:rsidRPr="00C97F63">
        <w:rPr>
          <w:sz w:val="24"/>
          <w:szCs w:val="24"/>
        </w:rPr>
        <w:t xml:space="preserve"> (2007)</w:t>
      </w:r>
      <w:r w:rsidR="00DB4651" w:rsidRPr="00C97F63">
        <w:rPr>
          <w:sz w:val="24"/>
          <w:szCs w:val="24"/>
        </w:rPr>
        <w:t xml:space="preserve"> (armed robbery)</w:t>
      </w:r>
      <w:r w:rsidR="00BD5BCD" w:rsidRPr="00C97F63">
        <w:rPr>
          <w:sz w:val="24"/>
          <w:szCs w:val="24"/>
        </w:rPr>
        <w:t xml:space="preserve">. </w:t>
      </w:r>
      <w:r w:rsidR="000877DD" w:rsidRPr="00C97F63">
        <w:rPr>
          <w:sz w:val="24"/>
          <w:szCs w:val="24"/>
        </w:rPr>
        <w:t>“</w:t>
      </w:r>
      <w:r w:rsidR="00DA25D1">
        <w:rPr>
          <w:sz w:val="24"/>
          <w:szCs w:val="24"/>
        </w:rPr>
        <w:t>[</w:t>
      </w:r>
      <w:r w:rsidR="000877DD" w:rsidRPr="00C97F63">
        <w:rPr>
          <w:sz w:val="24"/>
          <w:szCs w:val="24"/>
        </w:rPr>
        <w:t>W</w:t>
      </w:r>
      <w:r w:rsidR="00DA25D1">
        <w:rPr>
          <w:sz w:val="24"/>
          <w:szCs w:val="24"/>
        </w:rPr>
        <w:t>]</w:t>
      </w:r>
      <w:r w:rsidR="000877DD" w:rsidRPr="00C97F63">
        <w:rPr>
          <w:sz w:val="24"/>
          <w:szCs w:val="24"/>
        </w:rPr>
        <w:t>hen</w:t>
      </w:r>
      <w:r w:rsidR="00BD5BCD" w:rsidRPr="00C97F63">
        <w:rPr>
          <w:sz w:val="24"/>
          <w:szCs w:val="24"/>
        </w:rPr>
        <w:t xml:space="preserve"> the Legislature has intended to distinguish crimes that are committed ‘by means of a dangerous weapon’ from other crimes that are committed simply by ‘being armed with a dangerous weapon,’ whether or not the weapon is actually used, it has</w:t>
      </w:r>
      <w:r w:rsidR="007F4063">
        <w:rPr>
          <w:sz w:val="24"/>
          <w:szCs w:val="24"/>
        </w:rPr>
        <w:t xml:space="preserve"> . . . </w:t>
      </w:r>
      <w:r w:rsidR="00BD5BCD" w:rsidRPr="00C97F63">
        <w:rPr>
          <w:sz w:val="24"/>
          <w:szCs w:val="24"/>
        </w:rPr>
        <w:t>done</w:t>
      </w:r>
      <w:r w:rsidR="00E83A1E">
        <w:rPr>
          <w:sz w:val="24"/>
          <w:szCs w:val="24"/>
        </w:rPr>
        <w:t xml:space="preserve"> so</w:t>
      </w:r>
      <w:r w:rsidR="0090257D">
        <w:rPr>
          <w:sz w:val="24"/>
          <w:szCs w:val="24"/>
        </w:rPr>
        <w:t>.’</w:t>
      </w:r>
      <w:r w:rsidR="00DA25D1">
        <w:rPr>
          <w:sz w:val="24"/>
          <w:szCs w:val="24"/>
        </w:rPr>
        <w:t>”</w:t>
      </w:r>
      <w:r w:rsidR="0090257D">
        <w:rPr>
          <w:sz w:val="24"/>
          <w:szCs w:val="24"/>
        </w:rPr>
        <w:t xml:space="preserve"> </w:t>
      </w:r>
      <w:r w:rsidR="0090257D" w:rsidRPr="0090257D">
        <w:rPr>
          <w:i/>
          <w:iCs/>
          <w:sz w:val="24"/>
          <w:szCs w:val="24"/>
        </w:rPr>
        <w:t>Commonwealth v. Dunn</w:t>
      </w:r>
      <w:r w:rsidR="00BD5BCD" w:rsidRPr="006069D8">
        <w:rPr>
          <w:sz w:val="24"/>
          <w:szCs w:val="24"/>
        </w:rPr>
        <w:t>, 43 Mass. App. Ct. 58, 61-62 (1997)</w:t>
      </w:r>
      <w:r w:rsidR="00DA25D1">
        <w:rPr>
          <w:sz w:val="24"/>
          <w:szCs w:val="24"/>
        </w:rPr>
        <w:t>.</w:t>
      </w:r>
    </w:p>
  </w:footnote>
  <w:footnote w:id="22">
    <w:p w14:paraId="7C97875C" w14:textId="15983FCC" w:rsidR="00BE6499" w:rsidRPr="00614B9D" w:rsidRDefault="00BE6499">
      <w:pPr>
        <w:pStyle w:val="FootnoteText"/>
        <w:rPr>
          <w:sz w:val="24"/>
          <w:szCs w:val="24"/>
        </w:rPr>
      </w:pPr>
      <w:r w:rsidRPr="00614B9D">
        <w:rPr>
          <w:rStyle w:val="FootnoteReference"/>
          <w:sz w:val="24"/>
          <w:szCs w:val="24"/>
        </w:rPr>
        <w:footnoteRef/>
      </w:r>
      <w:r w:rsidRPr="00614B9D">
        <w:rPr>
          <w:sz w:val="24"/>
          <w:szCs w:val="24"/>
        </w:rPr>
        <w:t xml:space="preserve"> </w:t>
      </w:r>
      <w:r w:rsidR="00614B9D" w:rsidRPr="00614B9D">
        <w:rPr>
          <w:sz w:val="24"/>
          <w:szCs w:val="24"/>
        </w:rPr>
        <w:t xml:space="preserve">Definitions of </w:t>
      </w:r>
      <w:r w:rsidR="00CF7ADA">
        <w:rPr>
          <w:sz w:val="24"/>
          <w:szCs w:val="24"/>
        </w:rPr>
        <w:t>these weapons</w:t>
      </w:r>
      <w:r w:rsidR="00614B9D" w:rsidRPr="00614B9D">
        <w:rPr>
          <w:sz w:val="24"/>
          <w:szCs w:val="24"/>
        </w:rPr>
        <w:t xml:space="preserve"> are set forth in G.L. c 140, </w:t>
      </w:r>
      <w:r w:rsidR="00614B9D" w:rsidRPr="00614B9D">
        <w:rPr>
          <w:rFonts w:cs="Segoe UI Historic"/>
          <w:sz w:val="24"/>
          <w:szCs w:val="24"/>
        </w:rPr>
        <w:t>§</w:t>
      </w:r>
      <w:r w:rsidR="00614B9D" w:rsidRPr="00614B9D">
        <w:rPr>
          <w:sz w:val="24"/>
          <w:szCs w:val="24"/>
        </w:rPr>
        <w:t xml:space="preserve"> 121</w:t>
      </w:r>
      <w:r w:rsidR="00E608B3">
        <w:rPr>
          <w:sz w:val="24"/>
          <w:szCs w:val="24"/>
        </w:rPr>
        <w:t xml:space="preserve">, </w:t>
      </w:r>
      <w:r w:rsidR="00E608B3" w:rsidRPr="00E608B3">
        <w:rPr>
          <w:sz w:val="24"/>
          <w:szCs w:val="24"/>
        </w:rPr>
        <w:t>as in effect through Oct. 1, 2024</w:t>
      </w:r>
      <w:r w:rsidR="00614B9D" w:rsidRPr="00614B9D">
        <w:rPr>
          <w:sz w:val="24"/>
          <w:szCs w:val="24"/>
        </w:rPr>
        <w:t>.</w:t>
      </w:r>
    </w:p>
  </w:footnote>
  <w:footnote w:id="23">
    <w:p w14:paraId="49C5E5F4" w14:textId="26BD3B52" w:rsidR="00AC2FC1" w:rsidRPr="00C97F63" w:rsidRDefault="00AC2FC1" w:rsidP="00971378">
      <w:pPr>
        <w:pStyle w:val="FootnoteText"/>
        <w:rPr>
          <w:sz w:val="24"/>
          <w:szCs w:val="24"/>
        </w:rPr>
      </w:pPr>
      <w:r w:rsidRPr="00C97F63">
        <w:rPr>
          <w:rStyle w:val="FootnoteReference"/>
          <w:sz w:val="24"/>
          <w:szCs w:val="24"/>
        </w:rPr>
        <w:footnoteRef/>
      </w:r>
      <w:r w:rsidRPr="00C97F63">
        <w:rPr>
          <w:sz w:val="24"/>
          <w:szCs w:val="24"/>
        </w:rPr>
        <w:t xml:space="preserve"> </w:t>
      </w:r>
      <w:r w:rsidRPr="00C97F63">
        <w:rPr>
          <w:sz w:val="24"/>
          <w:szCs w:val="24"/>
        </w:rPr>
        <w:tab/>
      </w:r>
      <w:r w:rsidR="00530D8F">
        <w:rPr>
          <w:sz w:val="24"/>
          <w:szCs w:val="24"/>
        </w:rPr>
        <w:t>“Firearm”</w:t>
      </w:r>
      <w:r w:rsidR="008D11AA">
        <w:rPr>
          <w:sz w:val="24"/>
          <w:szCs w:val="24"/>
        </w:rPr>
        <w:t xml:space="preserve"> </w:t>
      </w:r>
      <w:r w:rsidR="00B40507" w:rsidRPr="00B40507">
        <w:rPr>
          <w:sz w:val="24"/>
          <w:szCs w:val="24"/>
        </w:rPr>
        <w:t>excludes</w:t>
      </w:r>
      <w:r w:rsidR="00BE016D">
        <w:rPr>
          <w:sz w:val="24"/>
          <w:szCs w:val="24"/>
        </w:rPr>
        <w:t xml:space="preserve"> </w:t>
      </w:r>
      <w:r w:rsidR="00B40507" w:rsidRPr="00B40507">
        <w:rPr>
          <w:sz w:val="24"/>
          <w:szCs w:val="24"/>
        </w:rPr>
        <w:t xml:space="preserve">“any weapon that is: (i) constructed in a shape that does not resemble a handgun, short-barreled rifle or short-barreled shotgun including, but not limited to, covert weapons that resemble key-chains, pens, cigarette-lighters or cigarette-packages; or (ii) not detectable as a weapon or potential weapon by x-ray machines commonly used at airports or walk-through metal detectors.” G.L. c. 140, </w:t>
      </w:r>
      <w:r w:rsidR="00A71899">
        <w:rPr>
          <w:sz w:val="24"/>
          <w:szCs w:val="24"/>
        </w:rPr>
        <w:br/>
      </w:r>
      <w:r w:rsidR="00B40507" w:rsidRPr="00B40507">
        <w:rPr>
          <w:sz w:val="24"/>
          <w:szCs w:val="24"/>
        </w:rPr>
        <w:t>§ 121</w:t>
      </w:r>
      <w:r w:rsidR="00AA7EA6">
        <w:rPr>
          <w:sz w:val="24"/>
          <w:szCs w:val="24"/>
        </w:rPr>
        <w:t>.</w:t>
      </w:r>
    </w:p>
  </w:footnote>
  <w:footnote w:id="24">
    <w:p w14:paraId="372ECF00" w14:textId="797135AC" w:rsidR="00C06208" w:rsidRPr="007250CB" w:rsidRDefault="00C06208">
      <w:pPr>
        <w:pStyle w:val="FootnoteText"/>
        <w:rPr>
          <w:sz w:val="24"/>
          <w:szCs w:val="24"/>
        </w:rPr>
      </w:pPr>
      <w:r w:rsidRPr="007250CB">
        <w:rPr>
          <w:rStyle w:val="FootnoteReference"/>
          <w:sz w:val="24"/>
          <w:szCs w:val="24"/>
        </w:rPr>
        <w:footnoteRef/>
      </w:r>
      <w:r w:rsidRPr="007250CB">
        <w:rPr>
          <w:sz w:val="24"/>
          <w:szCs w:val="24"/>
        </w:rPr>
        <w:t xml:space="preserve"> </w:t>
      </w:r>
      <w:r w:rsidR="00D97B81">
        <w:rPr>
          <w:sz w:val="24"/>
          <w:szCs w:val="24"/>
        </w:rPr>
        <w:t xml:space="preserve">G.L. c. 140, </w:t>
      </w:r>
      <w:r w:rsidR="00D97B81">
        <w:rPr>
          <w:rFonts w:cs="Segoe UI Historic"/>
          <w:sz w:val="24"/>
          <w:szCs w:val="24"/>
        </w:rPr>
        <w:t>§</w:t>
      </w:r>
      <w:r w:rsidR="00D97B81">
        <w:rPr>
          <w:sz w:val="24"/>
          <w:szCs w:val="24"/>
        </w:rPr>
        <w:t xml:space="preserve"> 121, </w:t>
      </w:r>
      <w:r w:rsidR="00EF0908">
        <w:rPr>
          <w:sz w:val="24"/>
          <w:szCs w:val="24"/>
        </w:rPr>
        <w:t>“</w:t>
      </w:r>
      <w:r w:rsidR="00D97B81" w:rsidRPr="00D97B81">
        <w:rPr>
          <w:sz w:val="24"/>
          <w:szCs w:val="24"/>
        </w:rPr>
        <w:t>Assault weapon</w:t>
      </w:r>
      <w:r w:rsidR="00EF0908">
        <w:rPr>
          <w:sz w:val="24"/>
          <w:szCs w:val="24"/>
        </w:rPr>
        <w:t>,” “</w:t>
      </w:r>
      <w:r w:rsidR="00D97B81" w:rsidRPr="00D97B81">
        <w:rPr>
          <w:sz w:val="24"/>
          <w:szCs w:val="24"/>
        </w:rPr>
        <w:t>shall have the same meaning as a semiautomatic assault weapon as defined in the federal Public Safety and Recreational Firearms Use Protection Act, 18 U.S.C. section 921(a)(30) as appearing in such section on September 13, 1994, and shall include, but not be limited to, any of the weapons, or copies or duplicates of the weapons, of any caliber, known as: (i) Avtomat Kalashnikov (AK) (all models); (ii) Action Arms Israeli Military Industries UZI and Galil; (iii) Beretta Ar70 (SC–70); (iv) Colt AR–15; (v) Fabrique National FN/FAL, FN/LAR and FNC; (vi) SWD M–10, M–11, M–11/9 and M–12; (vi) Steyr AUG; (vii) INTRATEC TEC–9, TEC–DC9 and TEC–22; and (viii) revolving cylinder shotguns, such as, or similar to, the Street Sweeper and Striker 12; provided, however, that the term assault weapon shall not include: (i) any of the weapons, or replicas or duplicates of such weapons, specified in appendix A to 18 U.S.C. section 922 as appearing in such appendix on September 13, 1994, as such weapons were manufactured on October 1, 1993; (ii) any weapon that is operated by manual bolt, pump, lever or slide action; (iii) any weapon that has been rendered permanently inoperable or otherwise rendered permanently unable to be designated a semiautomatic assault weapon; (iv) any weapon that was manufactured prior to the year 1899; (v) any weapon that is an antique or relic, theatrical prop or other weapon that is not capable of firing a projectile and which is not intended for use as a functional weapon and cannot be readily modified through a combination of available parts into an operable assault weapon; (vi) any semiautomatic rifle that cannot accept a detachable magazine that holds more than five rounds of ammunition; or (vii) any semiautomatic shotgun that cannot hold more than five rounds of ammunition in a fixed or detachable magazine.</w:t>
      </w:r>
      <w:r w:rsidR="00E17FF2">
        <w:rPr>
          <w:sz w:val="24"/>
          <w:szCs w:val="24"/>
        </w:rPr>
        <w:t>”</w:t>
      </w:r>
    </w:p>
  </w:footnote>
  <w:footnote w:id="25">
    <w:p w14:paraId="2EF1B0E3" w14:textId="61EEB96D" w:rsidR="005A6E54" w:rsidRPr="009C1470" w:rsidRDefault="005A6E54">
      <w:pPr>
        <w:pStyle w:val="FootnoteText"/>
        <w:rPr>
          <w:sz w:val="24"/>
          <w:szCs w:val="24"/>
        </w:rPr>
      </w:pPr>
      <w:r w:rsidRPr="009C1470">
        <w:rPr>
          <w:rStyle w:val="FootnoteReference"/>
          <w:sz w:val="24"/>
          <w:szCs w:val="24"/>
        </w:rPr>
        <w:footnoteRef/>
      </w:r>
      <w:r w:rsidRPr="009C1470">
        <w:rPr>
          <w:sz w:val="24"/>
          <w:szCs w:val="24"/>
        </w:rPr>
        <w:t xml:space="preserve"> G.L. c. 265, § 26, second par., </w:t>
      </w:r>
      <w:r w:rsidR="00937853" w:rsidRPr="009C1470">
        <w:rPr>
          <w:sz w:val="24"/>
          <w:szCs w:val="24"/>
        </w:rPr>
        <w:t>as amended by St. 2024, c. 135,</w:t>
      </w:r>
      <w:r w:rsidR="00A864E6" w:rsidRPr="009C1470">
        <w:rPr>
          <w:sz w:val="24"/>
          <w:szCs w:val="24"/>
        </w:rPr>
        <w:t xml:space="preserve"> </w:t>
      </w:r>
      <w:r w:rsidR="00A864E6" w:rsidRPr="009C1470">
        <w:rPr>
          <w:rFonts w:cs="Segoe UI Historic"/>
          <w:sz w:val="24"/>
          <w:szCs w:val="24"/>
        </w:rPr>
        <w:t>§</w:t>
      </w:r>
      <w:r w:rsidR="00A864E6" w:rsidRPr="009C1470">
        <w:rPr>
          <w:sz w:val="24"/>
          <w:szCs w:val="24"/>
        </w:rPr>
        <w:t xml:space="preserve"> 1</w:t>
      </w:r>
      <w:r w:rsidR="00517898" w:rsidRPr="009C1470">
        <w:rPr>
          <w:sz w:val="24"/>
          <w:szCs w:val="24"/>
        </w:rPr>
        <w:t>0</w:t>
      </w:r>
      <w:r w:rsidR="00A864E6" w:rsidRPr="009C1470">
        <w:rPr>
          <w:sz w:val="24"/>
          <w:szCs w:val="24"/>
        </w:rPr>
        <w:t>7,</w:t>
      </w:r>
      <w:r w:rsidR="00937853" w:rsidRPr="009C1470">
        <w:rPr>
          <w:sz w:val="24"/>
          <w:szCs w:val="24"/>
        </w:rPr>
        <w:t xml:space="preserve"> effective Oct. 2, 2024, </w:t>
      </w:r>
      <w:r w:rsidRPr="009C1470">
        <w:rPr>
          <w:sz w:val="24"/>
          <w:szCs w:val="24"/>
        </w:rPr>
        <w:t xml:space="preserve">states: </w:t>
      </w:r>
      <w:r w:rsidR="000636B7" w:rsidRPr="009C1470">
        <w:rPr>
          <w:sz w:val="24"/>
          <w:szCs w:val="24"/>
        </w:rPr>
        <w:t>“Whoever commits any offense described in this section while armed with a firearm, as defined in section 121 of chapter 140, shall be punished.”</w:t>
      </w:r>
      <w:r w:rsidR="00B5343A">
        <w:rPr>
          <w:sz w:val="24"/>
          <w:szCs w:val="24"/>
        </w:rPr>
        <w:t xml:space="preserve"> </w:t>
      </w:r>
      <w:r w:rsidR="002D76EF" w:rsidRPr="002D76EF">
        <w:rPr>
          <w:sz w:val="24"/>
          <w:szCs w:val="24"/>
        </w:rPr>
        <w:t xml:space="preserve">The statute includes the following exception: </w:t>
      </w:r>
      <w:r w:rsidR="002D76EF">
        <w:rPr>
          <w:sz w:val="24"/>
          <w:szCs w:val="24"/>
        </w:rPr>
        <w:t>“</w:t>
      </w:r>
      <w:r w:rsidR="00B5343A" w:rsidRPr="00B5343A">
        <w:rPr>
          <w:sz w:val="24"/>
          <w:szCs w:val="24"/>
        </w:rPr>
        <w:t>The provisions of the preceding sentence shall not apply to the parent of a child under 18 years of age who takes custody of such child.</w:t>
      </w:r>
      <w:r w:rsidR="002D76EF">
        <w:rPr>
          <w:sz w:val="24"/>
          <w:szCs w:val="24"/>
        </w:rPr>
        <w:t>”</w:t>
      </w:r>
    </w:p>
  </w:footnote>
  <w:footnote w:id="26">
    <w:p w14:paraId="041E96B1" w14:textId="4F92822B" w:rsidR="00A5574F" w:rsidRPr="009C1470" w:rsidRDefault="00A5574F" w:rsidP="009C1470">
      <w:pPr>
        <w:pStyle w:val="FootnoteText"/>
        <w:rPr>
          <w:sz w:val="24"/>
          <w:szCs w:val="24"/>
        </w:rPr>
      </w:pPr>
      <w:r w:rsidRPr="009C1470">
        <w:rPr>
          <w:rStyle w:val="FootnoteReference"/>
          <w:sz w:val="24"/>
          <w:szCs w:val="24"/>
        </w:rPr>
        <w:footnoteRef/>
      </w:r>
      <w:r w:rsidR="009C1470" w:rsidRPr="009C1470">
        <w:rPr>
          <w:sz w:val="24"/>
          <w:szCs w:val="24"/>
        </w:rPr>
        <w:t xml:space="preserve"> </w:t>
      </w:r>
      <w:r w:rsidR="00553125" w:rsidRPr="009C1470">
        <w:rPr>
          <w:sz w:val="24"/>
          <w:szCs w:val="24"/>
        </w:rPr>
        <w:t xml:space="preserve">Definitions of </w:t>
      </w:r>
      <w:r w:rsidR="00583034">
        <w:rPr>
          <w:sz w:val="24"/>
          <w:szCs w:val="24"/>
        </w:rPr>
        <w:t>these</w:t>
      </w:r>
      <w:r w:rsidR="00553125" w:rsidRPr="009C1470">
        <w:rPr>
          <w:sz w:val="24"/>
          <w:szCs w:val="24"/>
        </w:rPr>
        <w:t xml:space="preserve"> weapons are set forth in G.L. c 140, § 121</w:t>
      </w:r>
      <w:r w:rsidR="00583034">
        <w:rPr>
          <w:sz w:val="24"/>
          <w:szCs w:val="24"/>
        </w:rPr>
        <w:t>, as amended by St. 2024, c. 135</w:t>
      </w:r>
      <w:r w:rsidR="00A85135">
        <w:rPr>
          <w:sz w:val="24"/>
          <w:szCs w:val="24"/>
        </w:rPr>
        <w:t>, effective Oct. 2, 2024</w:t>
      </w:r>
      <w:r w:rsidR="00553125" w:rsidRPr="009C1470">
        <w:rPr>
          <w:sz w:val="24"/>
          <w:szCs w:val="24"/>
        </w:rPr>
        <w:t>.</w:t>
      </w:r>
      <w:r w:rsidRPr="009C1470">
        <w:rPr>
          <w:sz w:val="24"/>
          <w:szCs w:val="24"/>
        </w:rPr>
        <w:t xml:space="preserve"> </w:t>
      </w:r>
      <w:r w:rsidR="00491C2E" w:rsidRPr="009C1470">
        <w:rPr>
          <w:sz w:val="24"/>
          <w:szCs w:val="24"/>
        </w:rPr>
        <w:t>“Firearm” excludes</w:t>
      </w:r>
      <w:r w:rsidRPr="009C1470">
        <w:rPr>
          <w:sz w:val="24"/>
          <w:szCs w:val="24"/>
        </w:rPr>
        <w:t xml:space="preserve"> </w:t>
      </w:r>
      <w:r w:rsidR="00491C2E" w:rsidRPr="009C1470">
        <w:rPr>
          <w:sz w:val="24"/>
          <w:szCs w:val="24"/>
        </w:rPr>
        <w:t>“</w:t>
      </w:r>
      <w:r w:rsidRPr="009C1470">
        <w:rPr>
          <w:sz w:val="24"/>
          <w:szCs w:val="24"/>
        </w:rPr>
        <w:t>any antique firearm or permanently inoperable firearm.”</w:t>
      </w:r>
    </w:p>
  </w:footnote>
  <w:footnote w:id="27">
    <w:p w14:paraId="412AFE42" w14:textId="3DE99535" w:rsidR="008F2548" w:rsidRPr="00A034A7" w:rsidRDefault="008F2548">
      <w:pPr>
        <w:pStyle w:val="FootnoteText"/>
        <w:rPr>
          <w:sz w:val="24"/>
          <w:szCs w:val="24"/>
        </w:rPr>
      </w:pPr>
      <w:r w:rsidRPr="00A034A7">
        <w:rPr>
          <w:rStyle w:val="FootnoteReference"/>
          <w:sz w:val="24"/>
          <w:szCs w:val="24"/>
        </w:rPr>
        <w:footnoteRef/>
      </w:r>
      <w:r w:rsidRPr="00A034A7">
        <w:rPr>
          <w:sz w:val="24"/>
          <w:szCs w:val="24"/>
        </w:rPr>
        <w:t xml:space="preserve"> </w:t>
      </w:r>
      <w:r w:rsidR="000B1AB9" w:rsidRPr="00A034A7">
        <w:rPr>
          <w:sz w:val="24"/>
          <w:szCs w:val="24"/>
        </w:rPr>
        <w:t xml:space="preserve"> G.L. c. 140, </w:t>
      </w:r>
      <w:r w:rsidR="000B1AB9" w:rsidRPr="00A034A7">
        <w:rPr>
          <w:rFonts w:cs="Segoe UI Historic"/>
          <w:sz w:val="24"/>
          <w:szCs w:val="24"/>
        </w:rPr>
        <w:t>§</w:t>
      </w:r>
      <w:r w:rsidR="000B1AB9" w:rsidRPr="00A034A7">
        <w:rPr>
          <w:sz w:val="24"/>
          <w:szCs w:val="24"/>
        </w:rPr>
        <w:t xml:space="preserve"> 121, “Large capacity firearm” is </w:t>
      </w:r>
      <w:r w:rsidR="00652AB0" w:rsidRPr="00A034A7">
        <w:rPr>
          <w:sz w:val="24"/>
          <w:szCs w:val="24"/>
        </w:rPr>
        <w:t>“</w:t>
      </w:r>
      <w:r w:rsidRPr="00A034A7">
        <w:rPr>
          <w:sz w:val="24"/>
          <w:szCs w:val="24"/>
        </w:rPr>
        <w:t>any firearm that: (i) is semiautomatic with a fixed large capacity feeding device; (ii) is semiautomatic and capable of accepting, or readily modifiable to accept, any detachable large capacity feeding device when both are in the same person's possession or under their control in a vehicle; (iii) employs a rotating cylinder capable of accepting more than 10 rounds of ammunition or more than 5 shotgun shells; or (iv) is an assault-style firearm; provided, however, that “large capacity firearm” shall be a secondary designation and shall apply to a firearm in addition to its primary designation as a firearm, and shall not include, any firearm that: (a) operates by manual bolt, pump, lever or slide action; (b) is a single-shot firearm; (c) has been modified so as to render it permanently inoperable or otherwise rendered permanently unable to be designated a large capacity firearm; or (d) is an antique or relic, theatrical prop or other firearm that is not capable of firing a projectile and which is not intended for use as a functional firearm and cannot be readily modified through a combination of available parts into an operable large capacity firearm.</w:t>
      </w:r>
      <w:r w:rsidR="00652AB0" w:rsidRPr="00A034A7">
        <w:rPr>
          <w:sz w:val="24"/>
          <w:szCs w:val="24"/>
        </w:rPr>
        <w:t>”</w:t>
      </w:r>
    </w:p>
  </w:footnote>
  <w:footnote w:id="28">
    <w:p w14:paraId="09DBB29D" w14:textId="592E4115" w:rsidR="00CC248C" w:rsidRPr="00A034A7" w:rsidRDefault="00CC248C" w:rsidP="00CC248C">
      <w:pPr>
        <w:pStyle w:val="FootnoteText"/>
        <w:rPr>
          <w:sz w:val="24"/>
          <w:szCs w:val="24"/>
        </w:rPr>
      </w:pPr>
      <w:r w:rsidRPr="00A034A7">
        <w:rPr>
          <w:rStyle w:val="FootnoteReference"/>
          <w:sz w:val="24"/>
          <w:szCs w:val="24"/>
        </w:rPr>
        <w:footnoteRef/>
      </w:r>
      <w:r w:rsidRPr="00A034A7">
        <w:rPr>
          <w:sz w:val="24"/>
          <w:szCs w:val="24"/>
        </w:rPr>
        <w:t xml:space="preserve">  G.L. c. 140, </w:t>
      </w:r>
      <w:r w:rsidRPr="00A034A7">
        <w:rPr>
          <w:rFonts w:cs="Segoe UI Historic"/>
          <w:sz w:val="24"/>
          <w:szCs w:val="24"/>
        </w:rPr>
        <w:t>§</w:t>
      </w:r>
      <w:r w:rsidRPr="00A034A7">
        <w:rPr>
          <w:sz w:val="24"/>
          <w:szCs w:val="24"/>
        </w:rPr>
        <w:t xml:space="preserve"> 121, “</w:t>
      </w:r>
      <w:r w:rsidR="00B8111F" w:rsidRPr="00A034A7">
        <w:rPr>
          <w:sz w:val="24"/>
          <w:szCs w:val="24"/>
        </w:rPr>
        <w:t>Assault-style firearm” is “</w:t>
      </w:r>
      <w:r w:rsidRPr="00A034A7">
        <w:rPr>
          <w:sz w:val="24"/>
          <w:szCs w:val="24"/>
        </w:rPr>
        <w:t>any firearm which is:</w:t>
      </w:r>
    </w:p>
    <w:p w14:paraId="4C5FF332" w14:textId="5E6312B2" w:rsidR="00CC248C" w:rsidRPr="00A034A7" w:rsidRDefault="00CC248C" w:rsidP="00B8111F">
      <w:pPr>
        <w:pStyle w:val="FootnoteText"/>
        <w:ind w:left="576"/>
        <w:rPr>
          <w:sz w:val="24"/>
          <w:szCs w:val="24"/>
        </w:rPr>
      </w:pPr>
      <w:r w:rsidRPr="00A034A7">
        <w:rPr>
          <w:sz w:val="24"/>
          <w:szCs w:val="24"/>
        </w:rPr>
        <w:t>(a) a semiautomatic, centerfire rifle with the capacity to accept a detachable feeding device and includes at least 2 of the following features: (i) a folding or telescopic stock; (ii) a thumbhole stock or pistol grip; (iii) a forward grip or second handgrip or protruding grip that can be held by the non-trigger hand; (iv) a threaded barrel designed to accommodate a flash suppressor or muzzle break or similar feature; or (v) a shroud that encircles either all or part of the barrel designed to shield the bearer's hand from heat, excluding a slide that encloses the barrel</w:t>
      </w:r>
      <w:r w:rsidR="001E4253">
        <w:rPr>
          <w:sz w:val="24"/>
          <w:szCs w:val="24"/>
        </w:rPr>
        <w:t>;</w:t>
      </w:r>
    </w:p>
    <w:p w14:paraId="1801ADEB" w14:textId="08E54353" w:rsidR="00CC248C" w:rsidRPr="00A034A7" w:rsidRDefault="00CC248C" w:rsidP="00B8111F">
      <w:pPr>
        <w:pStyle w:val="FootnoteText"/>
        <w:ind w:left="576"/>
        <w:rPr>
          <w:sz w:val="24"/>
          <w:szCs w:val="24"/>
        </w:rPr>
      </w:pPr>
      <w:r w:rsidRPr="00A034A7">
        <w:rPr>
          <w:sz w:val="24"/>
          <w:szCs w:val="24"/>
        </w:rPr>
        <w:t>(b) a semiautomatic pistol with the capacity to accept a detachable feeding device and includes at least 2 of the following features: (i) the capacity to accept a feeding device that attaches to the pistol outside of the pistol grip; (ii) a second handgrip or a protruding grip that can be held by the non-trigger hand; (iii) a threaded barrel capable of accepting a flash suppressor, forward handgrip or silencer; or (iv) a shroud that encircles either all or part of the barrel designed to shield the bearer's hand from heat, excluding a slide that encloses the barrel</w:t>
      </w:r>
      <w:r w:rsidR="001E4253">
        <w:rPr>
          <w:sz w:val="24"/>
          <w:szCs w:val="24"/>
        </w:rPr>
        <w:t>;</w:t>
      </w:r>
    </w:p>
    <w:p w14:paraId="1379C14D" w14:textId="6C86666A" w:rsidR="00CC248C" w:rsidRPr="00A034A7" w:rsidRDefault="00CC248C" w:rsidP="00B8111F">
      <w:pPr>
        <w:pStyle w:val="FootnoteText"/>
        <w:ind w:left="576"/>
        <w:rPr>
          <w:sz w:val="24"/>
          <w:szCs w:val="24"/>
        </w:rPr>
      </w:pPr>
      <w:r w:rsidRPr="00A034A7">
        <w:rPr>
          <w:sz w:val="24"/>
          <w:szCs w:val="24"/>
        </w:rPr>
        <w:t>(c) a semiautomatic shotgun that includes at least 2 of the following features: (i) a folding or telescopic stock; (ii) a thumbhole stock or pistol grip; (iii) a protruding grip for the non-trigger hand; or (iv) the capacity to accept a detachable feeding device</w:t>
      </w:r>
      <w:r w:rsidR="001E4253">
        <w:rPr>
          <w:sz w:val="24"/>
          <w:szCs w:val="24"/>
        </w:rPr>
        <w:t>;</w:t>
      </w:r>
    </w:p>
    <w:p w14:paraId="40F971E7" w14:textId="51C791F4" w:rsidR="00CC248C" w:rsidRPr="00A034A7" w:rsidRDefault="00CC248C" w:rsidP="00B8111F">
      <w:pPr>
        <w:pStyle w:val="FootnoteText"/>
        <w:ind w:left="576"/>
        <w:rPr>
          <w:sz w:val="24"/>
          <w:szCs w:val="24"/>
        </w:rPr>
      </w:pPr>
      <w:r w:rsidRPr="00A034A7">
        <w:rPr>
          <w:sz w:val="24"/>
          <w:szCs w:val="24"/>
        </w:rPr>
        <w:t>(d) Any firearm listed on the assault-style firearm roster pursuant to section 131¾</w:t>
      </w:r>
      <w:r w:rsidR="001E4253">
        <w:rPr>
          <w:sz w:val="24"/>
          <w:szCs w:val="24"/>
        </w:rPr>
        <w:t>;</w:t>
      </w:r>
    </w:p>
    <w:p w14:paraId="3C9376F9" w14:textId="70371E4C" w:rsidR="00CC248C" w:rsidRPr="00A034A7" w:rsidRDefault="00CC248C" w:rsidP="00B8111F">
      <w:pPr>
        <w:pStyle w:val="FootnoteText"/>
        <w:ind w:left="576"/>
        <w:rPr>
          <w:sz w:val="24"/>
          <w:szCs w:val="24"/>
        </w:rPr>
      </w:pPr>
      <w:r w:rsidRPr="00A034A7">
        <w:rPr>
          <w:sz w:val="24"/>
          <w:szCs w:val="24"/>
        </w:rPr>
        <w:t>(e) Any of the following firearms, or copies or duplicates of these firearms, of any caliber, identified as: (i) Avtomat Kalashnikov, or AK, all models; (ii) Action Arms Israeli Military Industries UZI and Galil; (iii) Beretta AR70 (SC-70); (iv) Colt AR-15; (v) Fabrique National FN/FAL, FN/LAR and FNC; (vi) SWD M-10, M-11, M-</w:t>
      </w:r>
      <w:r w:rsidRPr="00A034A7">
        <w:rPr>
          <w:sz w:val="24"/>
          <w:szCs w:val="24"/>
          <w:vertAlign w:val="superscript"/>
        </w:rPr>
        <w:t>11</w:t>
      </w:r>
      <w:r w:rsidRPr="00A034A7">
        <w:rPr>
          <w:sz w:val="24"/>
          <w:szCs w:val="24"/>
        </w:rPr>
        <w:t>/</w:t>
      </w:r>
      <w:r w:rsidRPr="00A034A7">
        <w:rPr>
          <w:sz w:val="24"/>
          <w:szCs w:val="24"/>
          <w:vertAlign w:val="subscript"/>
        </w:rPr>
        <w:t>9</w:t>
      </w:r>
      <w:r w:rsidRPr="00A034A7">
        <w:rPr>
          <w:sz w:val="24"/>
          <w:szCs w:val="24"/>
        </w:rPr>
        <w:t> and M-12; (vii) Steyr AUG; (viii) INTRATEC TEC-9, TEC-DC9 and TEC-22; and (ix) revolving cylinder shotguns including, but not limited to, the Street Sweeper and Striker 12;</w:t>
      </w:r>
    </w:p>
    <w:p w14:paraId="0047EFF3" w14:textId="498E25B5" w:rsidR="00CC248C" w:rsidRPr="00A034A7" w:rsidRDefault="00CC248C" w:rsidP="00B8111F">
      <w:pPr>
        <w:pStyle w:val="FootnoteText"/>
        <w:ind w:left="576"/>
        <w:rPr>
          <w:sz w:val="24"/>
          <w:szCs w:val="24"/>
        </w:rPr>
      </w:pPr>
      <w:r w:rsidRPr="00A034A7">
        <w:rPr>
          <w:sz w:val="24"/>
          <w:szCs w:val="24"/>
        </w:rPr>
        <w:t>(f) a copy or duplicate of any firearm meeting the standards of or enumerated in clauses (d) and (e); provided, that for the purposes of this subsection, “copy or duplicate” shall mean a firearm: (A) that was manufactured or subsequently configured with an ability to accept a detachable magazine; and (B)(i) that has internal functional components that are substantially similar in construction and configuration to those of an enumerated firearm in clauses (d) and (e); or (ii) that has a receiver that is the same as or interchangeable with the receiver of an enumerated firearm in said clauses (d) and (e); provided further, that the firearm shall not be considered a copy or duplicate of a firearm identified in clauses (d) and (e) if sold, owned and registered prior to July 20, 2016</w:t>
      </w:r>
      <w:r w:rsidR="00E931EF">
        <w:rPr>
          <w:sz w:val="24"/>
          <w:szCs w:val="24"/>
        </w:rPr>
        <w:t>;</w:t>
      </w:r>
    </w:p>
    <w:p w14:paraId="1BB101C0" w14:textId="4627EB53" w:rsidR="00CC248C" w:rsidRPr="00A034A7" w:rsidRDefault="00CC248C" w:rsidP="00B8111F">
      <w:pPr>
        <w:pStyle w:val="FootnoteText"/>
        <w:ind w:left="576"/>
        <w:rPr>
          <w:sz w:val="24"/>
          <w:szCs w:val="24"/>
        </w:rPr>
      </w:pPr>
      <w:r w:rsidRPr="00A034A7">
        <w:rPr>
          <w:sz w:val="24"/>
          <w:szCs w:val="24"/>
        </w:rPr>
        <w:t>(g) “Assault-style firearm” shall not include any: (i) firearm that is operated by manual bolt, pump, lever or slide action; (ii) firearm that has been rendered permanently inoperable or otherwise rendered permanently unable to be designated as a semiautomatic assault-style firearm; (iii) firearm that is an antique or relic, theatrical prop or other firearm that is not capable of firing a projectile and which is not intended for use as a functional firearm and cannot be readily modified through a combination of available parts into an assault-style firearm; (iv) any of the firearms, or replicas or duplicates of such firearms, specified in appendix A to 18 U.S.C. section 922 as appearing in such appendix on September 13, 1994, as such firearms were manufactured on October 1, 1993; or (v) semiautomatic shotgun that cannot hold more than 5 rounds of ammunition in a fixed or detachable feeding device.</w:t>
      </w:r>
      <w:r w:rsidR="00B8111F" w:rsidRPr="00A034A7">
        <w:rPr>
          <w:sz w:val="24"/>
          <w:szCs w:val="24"/>
        </w:rPr>
        <w:t>”</w:t>
      </w:r>
    </w:p>
  </w:footnote>
  <w:footnote w:id="29">
    <w:p w14:paraId="1B87C914" w14:textId="77777777" w:rsidR="00706100" w:rsidRPr="0069262A" w:rsidRDefault="00706100" w:rsidP="00706100">
      <w:pPr>
        <w:pStyle w:val="FootnoteText"/>
        <w:rPr>
          <w:sz w:val="24"/>
          <w:szCs w:val="24"/>
        </w:rPr>
      </w:pPr>
      <w:r w:rsidRPr="0069262A">
        <w:rPr>
          <w:rStyle w:val="FootnoteReference"/>
          <w:sz w:val="24"/>
          <w:szCs w:val="24"/>
        </w:rPr>
        <w:footnoteRef/>
      </w:r>
      <w:r w:rsidRPr="0069262A">
        <w:rPr>
          <w:sz w:val="24"/>
          <w:szCs w:val="24"/>
        </w:rPr>
        <w:t xml:space="preserve"> </w:t>
      </w:r>
      <w:r w:rsidRPr="0069262A">
        <w:rPr>
          <w:sz w:val="24"/>
          <w:szCs w:val="24"/>
        </w:rPr>
        <w:tab/>
        <w:t xml:space="preserve">G.L. c. 265, </w:t>
      </w:r>
      <w:r w:rsidRPr="0069262A">
        <w:rPr>
          <w:rFonts w:cs="Segoe UI Historic"/>
          <w:sz w:val="24"/>
          <w:szCs w:val="24"/>
        </w:rPr>
        <w:t>§</w:t>
      </w:r>
      <w:r w:rsidRPr="0069262A">
        <w:rPr>
          <w:sz w:val="24"/>
          <w:szCs w:val="24"/>
        </w:rPr>
        <w:t xml:space="preserve"> 26, third par.</w:t>
      </w:r>
      <w:r>
        <w:rPr>
          <w:sz w:val="24"/>
          <w:szCs w:val="24"/>
        </w:rPr>
        <w:t>, states: “</w:t>
      </w:r>
      <w:r w:rsidRPr="007353AB">
        <w:rPr>
          <w:sz w:val="24"/>
          <w:szCs w:val="24"/>
        </w:rPr>
        <w:t xml:space="preserve">Whoever commits any </w:t>
      </w:r>
      <w:r>
        <w:rPr>
          <w:sz w:val="24"/>
          <w:szCs w:val="24"/>
        </w:rPr>
        <w:t xml:space="preserve">[kidnapping] </w:t>
      </w:r>
      <w:r w:rsidRPr="007353AB">
        <w:rPr>
          <w:sz w:val="24"/>
          <w:szCs w:val="24"/>
        </w:rPr>
        <w:t xml:space="preserve">offense described in this section while armed with a dangerous weapon and inflicts serious bodily injury thereby upon another person </w:t>
      </w:r>
      <w:r>
        <w:rPr>
          <w:sz w:val="24"/>
          <w:szCs w:val="24"/>
        </w:rPr>
        <w:t>. . .</w:t>
      </w:r>
      <w:r w:rsidRPr="007353AB">
        <w:rPr>
          <w:sz w:val="24"/>
          <w:szCs w:val="24"/>
        </w:rPr>
        <w:t xml:space="preserve"> shall be punished</w:t>
      </w:r>
      <w:r>
        <w:rPr>
          <w:sz w:val="24"/>
          <w:szCs w:val="24"/>
        </w:rPr>
        <w:t xml:space="preserve">.” </w:t>
      </w:r>
    </w:p>
  </w:footnote>
  <w:footnote w:id="30">
    <w:p w14:paraId="5BD48026" w14:textId="3798D31A" w:rsidR="00A41DF5" w:rsidRPr="00054AFD" w:rsidRDefault="00A41DF5">
      <w:pPr>
        <w:pStyle w:val="FootnoteText"/>
        <w:rPr>
          <w:sz w:val="24"/>
          <w:szCs w:val="24"/>
        </w:rPr>
      </w:pPr>
      <w:r w:rsidRPr="00054AFD">
        <w:rPr>
          <w:rStyle w:val="FootnoteReference"/>
          <w:sz w:val="24"/>
          <w:szCs w:val="24"/>
        </w:rPr>
        <w:footnoteRef/>
      </w:r>
      <w:r w:rsidRPr="00054AFD">
        <w:rPr>
          <w:sz w:val="24"/>
          <w:szCs w:val="24"/>
        </w:rPr>
        <w:t xml:space="preserve"> </w:t>
      </w:r>
      <w:r w:rsidRPr="00054AFD">
        <w:rPr>
          <w:sz w:val="24"/>
          <w:szCs w:val="24"/>
        </w:rPr>
        <w:tab/>
      </w:r>
      <w:r w:rsidR="00607373" w:rsidRPr="00D80A1E">
        <w:rPr>
          <w:i/>
          <w:iCs/>
          <w:sz w:val="24"/>
          <w:szCs w:val="24"/>
        </w:rPr>
        <w:t>Commonwealth v. Morrison</w:t>
      </w:r>
      <w:r w:rsidR="00607373" w:rsidRPr="00054AFD">
        <w:rPr>
          <w:sz w:val="24"/>
          <w:szCs w:val="24"/>
        </w:rPr>
        <w:t xml:space="preserve">, </w:t>
      </w:r>
      <w:r w:rsidR="00054AFD" w:rsidRPr="00054AFD">
        <w:rPr>
          <w:sz w:val="24"/>
          <w:szCs w:val="24"/>
        </w:rPr>
        <w:t xml:space="preserve">494 Mass. 763, </w:t>
      </w:r>
      <w:r w:rsidR="0068707B">
        <w:rPr>
          <w:sz w:val="24"/>
          <w:szCs w:val="24"/>
        </w:rPr>
        <w:t xml:space="preserve">769–771 </w:t>
      </w:r>
      <w:r w:rsidR="00054AFD" w:rsidRPr="00054AFD">
        <w:rPr>
          <w:sz w:val="24"/>
          <w:szCs w:val="24"/>
        </w:rPr>
        <w:t>(2024)</w:t>
      </w:r>
      <w:r w:rsidR="00C63D5E">
        <w:rPr>
          <w:sz w:val="24"/>
          <w:szCs w:val="24"/>
        </w:rPr>
        <w:t xml:space="preserve">. </w:t>
      </w:r>
      <w:r w:rsidR="00020AE5">
        <w:rPr>
          <w:sz w:val="24"/>
          <w:szCs w:val="24"/>
        </w:rPr>
        <w:t xml:space="preserve">If </w:t>
      </w:r>
      <w:r w:rsidR="00EF7B6C">
        <w:rPr>
          <w:sz w:val="24"/>
          <w:szCs w:val="24"/>
        </w:rPr>
        <w:t xml:space="preserve">more than one dangerous weapon is involved, </w:t>
      </w:r>
      <w:r w:rsidR="00C66DE5">
        <w:rPr>
          <w:sz w:val="24"/>
          <w:szCs w:val="24"/>
        </w:rPr>
        <w:t xml:space="preserve">the Commonwealth bears the burden of proving that the </w:t>
      </w:r>
      <w:r w:rsidR="008D771D">
        <w:rPr>
          <w:sz w:val="24"/>
          <w:szCs w:val="24"/>
        </w:rPr>
        <w:t>defendant used the same weapon</w:t>
      </w:r>
      <w:r w:rsidR="00177753">
        <w:rPr>
          <w:sz w:val="24"/>
          <w:szCs w:val="24"/>
        </w:rPr>
        <w:t>(s)</w:t>
      </w:r>
      <w:r w:rsidR="008D771D">
        <w:rPr>
          <w:sz w:val="24"/>
          <w:szCs w:val="24"/>
        </w:rPr>
        <w:t xml:space="preserve"> he or she possessed to </w:t>
      </w:r>
      <w:r w:rsidR="00BB11E8">
        <w:rPr>
          <w:sz w:val="24"/>
          <w:szCs w:val="24"/>
        </w:rPr>
        <w:t>seriously injure the victim</w:t>
      </w:r>
      <w:r w:rsidR="008D771D">
        <w:rPr>
          <w:sz w:val="24"/>
          <w:szCs w:val="24"/>
        </w:rPr>
        <w:t xml:space="preserve">. See </w:t>
      </w:r>
      <w:r w:rsidR="008D771D" w:rsidRPr="00E27BD4">
        <w:rPr>
          <w:sz w:val="24"/>
          <w:szCs w:val="24"/>
          <w:u w:val="single"/>
        </w:rPr>
        <w:t>id.</w:t>
      </w:r>
      <w:r w:rsidR="00E27BD4">
        <w:rPr>
          <w:sz w:val="24"/>
          <w:szCs w:val="24"/>
        </w:rPr>
        <w:t xml:space="preserve"> at 774</w:t>
      </w:r>
      <w:r w:rsidR="008D771D">
        <w:rPr>
          <w:sz w:val="24"/>
          <w:szCs w:val="24"/>
        </w:rPr>
        <w:t xml:space="preserve"> </w:t>
      </w:r>
      <w:r w:rsidR="00A94400">
        <w:rPr>
          <w:sz w:val="24"/>
          <w:szCs w:val="24"/>
        </w:rPr>
        <w:t>(</w:t>
      </w:r>
      <w:r w:rsidR="00BB64FC">
        <w:rPr>
          <w:sz w:val="24"/>
          <w:szCs w:val="24"/>
        </w:rPr>
        <w:t xml:space="preserve">where </w:t>
      </w:r>
      <w:r w:rsidR="007709C1">
        <w:rPr>
          <w:sz w:val="24"/>
          <w:szCs w:val="24"/>
        </w:rPr>
        <w:t xml:space="preserve">defendant possessed </w:t>
      </w:r>
      <w:r w:rsidR="00EB2A3E">
        <w:rPr>
          <w:sz w:val="24"/>
          <w:szCs w:val="24"/>
        </w:rPr>
        <w:t xml:space="preserve">a gun and </w:t>
      </w:r>
      <w:r w:rsidR="007709C1">
        <w:rPr>
          <w:sz w:val="24"/>
          <w:szCs w:val="24"/>
        </w:rPr>
        <w:t xml:space="preserve">a </w:t>
      </w:r>
      <w:r w:rsidR="00B839BA">
        <w:rPr>
          <w:sz w:val="24"/>
          <w:szCs w:val="24"/>
        </w:rPr>
        <w:t>co</w:t>
      </w:r>
      <w:r w:rsidR="007709C1">
        <w:rPr>
          <w:sz w:val="24"/>
          <w:szCs w:val="24"/>
        </w:rPr>
        <w:t xml:space="preserve">venturer possessed </w:t>
      </w:r>
      <w:r w:rsidR="00EB2A3E">
        <w:rPr>
          <w:sz w:val="24"/>
          <w:szCs w:val="24"/>
        </w:rPr>
        <w:t>a police baton</w:t>
      </w:r>
      <w:r w:rsidR="004C5CF6">
        <w:rPr>
          <w:sz w:val="24"/>
          <w:szCs w:val="24"/>
        </w:rPr>
        <w:t>,</w:t>
      </w:r>
      <w:r w:rsidR="007709C1">
        <w:rPr>
          <w:sz w:val="24"/>
          <w:szCs w:val="24"/>
        </w:rPr>
        <w:t xml:space="preserve"> but </w:t>
      </w:r>
      <w:r w:rsidR="004C5CF6">
        <w:rPr>
          <w:sz w:val="24"/>
          <w:szCs w:val="24"/>
        </w:rPr>
        <w:t xml:space="preserve">where </w:t>
      </w:r>
      <w:r w:rsidR="007709C1">
        <w:rPr>
          <w:sz w:val="24"/>
          <w:szCs w:val="24"/>
        </w:rPr>
        <w:t>the e</w:t>
      </w:r>
      <w:r w:rsidR="00E417D6">
        <w:rPr>
          <w:sz w:val="24"/>
          <w:szCs w:val="24"/>
        </w:rPr>
        <w:t xml:space="preserve">vidence </w:t>
      </w:r>
      <w:r w:rsidR="00BD2D16">
        <w:rPr>
          <w:sz w:val="24"/>
          <w:szCs w:val="24"/>
        </w:rPr>
        <w:t>linked</w:t>
      </w:r>
      <w:r w:rsidR="00417E96">
        <w:rPr>
          <w:sz w:val="24"/>
          <w:szCs w:val="24"/>
        </w:rPr>
        <w:t xml:space="preserve"> </w:t>
      </w:r>
      <w:r w:rsidR="00E417D6">
        <w:rPr>
          <w:sz w:val="24"/>
          <w:szCs w:val="24"/>
        </w:rPr>
        <w:t xml:space="preserve">only the baton </w:t>
      </w:r>
      <w:r w:rsidR="00BD2D16">
        <w:rPr>
          <w:sz w:val="24"/>
          <w:szCs w:val="24"/>
        </w:rPr>
        <w:t>to the victim’s injuries</w:t>
      </w:r>
      <w:r w:rsidR="00751268">
        <w:rPr>
          <w:sz w:val="24"/>
          <w:szCs w:val="24"/>
        </w:rPr>
        <w:t xml:space="preserve">, </w:t>
      </w:r>
      <w:r w:rsidR="00CF4D3D">
        <w:rPr>
          <w:sz w:val="24"/>
          <w:szCs w:val="24"/>
        </w:rPr>
        <w:t xml:space="preserve">it was reversible error to instruct the jury </w:t>
      </w:r>
      <w:r w:rsidR="00315810">
        <w:rPr>
          <w:sz w:val="24"/>
          <w:szCs w:val="24"/>
        </w:rPr>
        <w:t xml:space="preserve">that </w:t>
      </w:r>
      <w:r w:rsidR="001B2976">
        <w:rPr>
          <w:sz w:val="24"/>
          <w:szCs w:val="24"/>
        </w:rPr>
        <w:t xml:space="preserve">the weapon possessed need </w:t>
      </w:r>
      <w:r w:rsidR="003C671E">
        <w:rPr>
          <w:sz w:val="24"/>
          <w:szCs w:val="24"/>
        </w:rPr>
        <w:t xml:space="preserve">not </w:t>
      </w:r>
      <w:r w:rsidR="0084176D">
        <w:rPr>
          <w:sz w:val="24"/>
          <w:szCs w:val="24"/>
        </w:rPr>
        <w:t>have been</w:t>
      </w:r>
      <w:r w:rsidR="003C671E">
        <w:rPr>
          <w:sz w:val="24"/>
          <w:szCs w:val="24"/>
        </w:rPr>
        <w:t xml:space="preserve"> the </w:t>
      </w:r>
      <w:r w:rsidR="001B2976">
        <w:rPr>
          <w:sz w:val="24"/>
          <w:szCs w:val="24"/>
        </w:rPr>
        <w:t>weapon</w:t>
      </w:r>
      <w:r w:rsidR="003C671E">
        <w:rPr>
          <w:sz w:val="24"/>
          <w:szCs w:val="24"/>
        </w:rPr>
        <w:t xml:space="preserve"> used to injure</w:t>
      </w:r>
      <w:r w:rsidR="0084176D">
        <w:rPr>
          <w:sz w:val="24"/>
          <w:szCs w:val="24"/>
        </w:rPr>
        <w:t xml:space="preserve">, where </w:t>
      </w:r>
      <w:r w:rsidR="002B60D8">
        <w:rPr>
          <w:sz w:val="24"/>
          <w:szCs w:val="24"/>
        </w:rPr>
        <w:t xml:space="preserve">the jury </w:t>
      </w:r>
      <w:r w:rsidR="0084176D">
        <w:rPr>
          <w:sz w:val="24"/>
          <w:szCs w:val="24"/>
        </w:rPr>
        <w:t xml:space="preserve">did not specify </w:t>
      </w:r>
      <w:r w:rsidR="003C6D3B">
        <w:rPr>
          <w:sz w:val="24"/>
          <w:szCs w:val="24"/>
        </w:rPr>
        <w:t>which</w:t>
      </w:r>
      <w:r w:rsidR="0084176D">
        <w:rPr>
          <w:sz w:val="24"/>
          <w:szCs w:val="24"/>
        </w:rPr>
        <w:t xml:space="preserve"> weapon they found</w:t>
      </w:r>
      <w:r w:rsidR="00AC3541">
        <w:rPr>
          <w:sz w:val="24"/>
          <w:szCs w:val="24"/>
        </w:rPr>
        <w:t xml:space="preserve"> was used</w:t>
      </w:r>
      <w:r w:rsidR="00A94400">
        <w:rPr>
          <w:sz w:val="24"/>
          <w:szCs w:val="24"/>
        </w:rPr>
        <w:t>)</w:t>
      </w:r>
      <w:r w:rsidR="00054AFD" w:rsidRPr="00054AFD">
        <w:rPr>
          <w:sz w:val="24"/>
          <w:szCs w:val="24"/>
        </w:rPr>
        <w:t>.</w:t>
      </w:r>
    </w:p>
  </w:footnote>
  <w:footnote w:id="31">
    <w:p w14:paraId="1E86F848" w14:textId="7AD3D690" w:rsidR="006C3C12" w:rsidRPr="00E2217D" w:rsidRDefault="006C3C12">
      <w:pPr>
        <w:pStyle w:val="FootnoteText"/>
        <w:rPr>
          <w:sz w:val="24"/>
          <w:szCs w:val="24"/>
        </w:rPr>
      </w:pPr>
      <w:r w:rsidRPr="00E2217D">
        <w:rPr>
          <w:rStyle w:val="FootnoteReference"/>
          <w:sz w:val="24"/>
          <w:szCs w:val="24"/>
        </w:rPr>
        <w:footnoteRef/>
      </w:r>
      <w:r w:rsidRPr="00E2217D">
        <w:rPr>
          <w:sz w:val="24"/>
          <w:szCs w:val="24"/>
        </w:rPr>
        <w:t xml:space="preserve"> </w:t>
      </w:r>
      <w:r w:rsidRPr="004A082D">
        <w:rPr>
          <w:i/>
          <w:iCs/>
          <w:sz w:val="24"/>
          <w:szCs w:val="24"/>
        </w:rPr>
        <w:t>Commonwealth v. Tevlin</w:t>
      </w:r>
      <w:r w:rsidRPr="00E2217D">
        <w:rPr>
          <w:sz w:val="24"/>
          <w:szCs w:val="24"/>
        </w:rPr>
        <w:t>, 433 Mass. 305, 310 (2001);</w:t>
      </w:r>
      <w:r w:rsidR="00E2217D" w:rsidRPr="00E2217D">
        <w:rPr>
          <w:sz w:val="24"/>
          <w:szCs w:val="24"/>
        </w:rPr>
        <w:t xml:space="preserve"> </w:t>
      </w:r>
      <w:r w:rsidR="00E2217D" w:rsidRPr="004A082D">
        <w:rPr>
          <w:i/>
          <w:iCs/>
          <w:sz w:val="24"/>
          <w:szCs w:val="24"/>
        </w:rPr>
        <w:t>Commonwealth v. Appleby</w:t>
      </w:r>
      <w:r w:rsidR="00E2217D" w:rsidRPr="00E2217D">
        <w:rPr>
          <w:sz w:val="24"/>
          <w:szCs w:val="24"/>
        </w:rPr>
        <w:t>, 380 Mass. 296, 303</w:t>
      </w:r>
      <w:r w:rsidR="004A6352">
        <w:rPr>
          <w:sz w:val="24"/>
          <w:szCs w:val="24"/>
        </w:rPr>
        <w:t>-304</w:t>
      </w:r>
      <w:r w:rsidR="00563332">
        <w:rPr>
          <w:sz w:val="24"/>
          <w:szCs w:val="24"/>
        </w:rPr>
        <w:t>, 308</w:t>
      </w:r>
      <w:r w:rsidR="00E2217D" w:rsidRPr="00E2217D">
        <w:rPr>
          <w:sz w:val="24"/>
          <w:szCs w:val="24"/>
        </w:rPr>
        <w:t xml:space="preserve"> (1980)</w:t>
      </w:r>
      <w:r w:rsidR="00040B8B">
        <w:rPr>
          <w:sz w:val="24"/>
          <w:szCs w:val="24"/>
        </w:rPr>
        <w:t>;</w:t>
      </w:r>
      <w:r w:rsidR="00040B8B" w:rsidRPr="00040B8B">
        <w:rPr>
          <w:rFonts w:ascii="Source Sans Pro" w:eastAsiaTheme="minorHAnsi" w:hAnsi="Source Sans Pro"/>
          <w:color w:val="1F1F1F"/>
          <w:szCs w:val="22"/>
          <w:shd w:val="clear" w:color="auto" w:fill="FFFFFF"/>
        </w:rPr>
        <w:t xml:space="preserve"> </w:t>
      </w:r>
      <w:r w:rsidR="00040B8B" w:rsidRPr="00040B8B">
        <w:rPr>
          <w:i/>
          <w:iCs/>
          <w:sz w:val="24"/>
          <w:szCs w:val="24"/>
        </w:rPr>
        <w:t>Commonwealth v. Marrero,</w:t>
      </w:r>
      <w:r w:rsidR="00040B8B" w:rsidRPr="00040B8B">
        <w:rPr>
          <w:sz w:val="24"/>
          <w:szCs w:val="24"/>
        </w:rPr>
        <w:t> 19 Mass.</w:t>
      </w:r>
      <w:r w:rsidR="00040B8B">
        <w:rPr>
          <w:sz w:val="24"/>
          <w:szCs w:val="24"/>
        </w:rPr>
        <w:t xml:space="preserve"> </w:t>
      </w:r>
      <w:r w:rsidR="00040B8B" w:rsidRPr="00040B8B">
        <w:rPr>
          <w:sz w:val="24"/>
          <w:szCs w:val="24"/>
        </w:rPr>
        <w:t>App.</w:t>
      </w:r>
      <w:r w:rsidR="00040B8B">
        <w:rPr>
          <w:sz w:val="24"/>
          <w:szCs w:val="24"/>
        </w:rPr>
        <w:t xml:space="preserve"> </w:t>
      </w:r>
      <w:r w:rsidR="00040B8B" w:rsidRPr="00040B8B">
        <w:rPr>
          <w:sz w:val="24"/>
          <w:szCs w:val="24"/>
        </w:rPr>
        <w:t>Ct. 921, 922</w:t>
      </w:r>
      <w:r w:rsidR="00040B8B">
        <w:rPr>
          <w:sz w:val="24"/>
          <w:szCs w:val="24"/>
        </w:rPr>
        <w:t xml:space="preserve"> </w:t>
      </w:r>
      <w:r w:rsidR="00040B8B" w:rsidRPr="00040B8B">
        <w:rPr>
          <w:sz w:val="24"/>
          <w:szCs w:val="24"/>
        </w:rPr>
        <w:t>(1984).</w:t>
      </w:r>
    </w:p>
  </w:footnote>
  <w:footnote w:id="32">
    <w:p w14:paraId="428D93CA" w14:textId="3E77C745" w:rsidR="00E46AE7" w:rsidRDefault="00E46AE7">
      <w:pPr>
        <w:pStyle w:val="FootnoteText"/>
      </w:pPr>
      <w:r w:rsidRPr="00E46AE7">
        <w:rPr>
          <w:rStyle w:val="FootnoteReference"/>
          <w:sz w:val="24"/>
          <w:szCs w:val="24"/>
        </w:rPr>
        <w:footnoteRef/>
      </w:r>
      <w:r w:rsidRPr="00E46AE7">
        <w:rPr>
          <w:sz w:val="24"/>
          <w:szCs w:val="24"/>
        </w:rPr>
        <w:t xml:space="preserve"> </w:t>
      </w:r>
      <w:r w:rsidRPr="00E46AE7">
        <w:rPr>
          <w:sz w:val="24"/>
          <w:szCs w:val="24"/>
        </w:rPr>
        <w:tab/>
        <w:t xml:space="preserve">G.L. c. 265, </w:t>
      </w:r>
      <w:r w:rsidRPr="00E46AE7">
        <w:rPr>
          <w:rFonts w:cs="Segoe UI Historic"/>
          <w:sz w:val="24"/>
          <w:szCs w:val="24"/>
        </w:rPr>
        <w:t>§</w:t>
      </w:r>
      <w:r w:rsidRPr="00E46AE7">
        <w:rPr>
          <w:sz w:val="24"/>
          <w:szCs w:val="24"/>
        </w:rPr>
        <w:t xml:space="preserve"> 26, third par.</w:t>
      </w:r>
    </w:p>
  </w:footnote>
  <w:footnote w:id="33">
    <w:p w14:paraId="5046DE45" w14:textId="77777777" w:rsidR="00DA7847" w:rsidRPr="003F76A6" w:rsidRDefault="00DA7847" w:rsidP="00DA7847">
      <w:pPr>
        <w:pStyle w:val="FootnoteText"/>
        <w:rPr>
          <w:sz w:val="24"/>
          <w:szCs w:val="24"/>
        </w:rPr>
      </w:pPr>
      <w:r w:rsidRPr="003F76A6">
        <w:rPr>
          <w:rStyle w:val="FootnoteReference"/>
          <w:sz w:val="24"/>
          <w:szCs w:val="24"/>
        </w:rPr>
        <w:footnoteRef/>
      </w:r>
      <w:r w:rsidRPr="003F76A6">
        <w:rPr>
          <w:sz w:val="24"/>
          <w:szCs w:val="24"/>
        </w:rPr>
        <w:t xml:space="preserve"> </w:t>
      </w:r>
      <w:r w:rsidRPr="003F76A6">
        <w:rPr>
          <w:sz w:val="24"/>
          <w:szCs w:val="24"/>
        </w:rPr>
        <w:tab/>
        <w:t>G.L. c. 265, § 26, third par., states: “Whoever commits any [kidnapping] offense described in this section while armed with a dangerous weapon and . . . sexually assaults [another] person shall be punished.”</w:t>
      </w:r>
    </w:p>
  </w:footnote>
  <w:footnote w:id="34">
    <w:p w14:paraId="452482EA" w14:textId="71034C30" w:rsidR="00BC71BC" w:rsidRPr="009C5331" w:rsidRDefault="00BC71BC">
      <w:pPr>
        <w:pStyle w:val="FootnoteText"/>
        <w:rPr>
          <w:sz w:val="24"/>
          <w:szCs w:val="24"/>
        </w:rPr>
      </w:pPr>
      <w:r w:rsidRPr="009C5331">
        <w:rPr>
          <w:rStyle w:val="FootnoteReference"/>
          <w:sz w:val="24"/>
          <w:szCs w:val="24"/>
        </w:rPr>
        <w:footnoteRef/>
      </w:r>
      <w:r w:rsidRPr="009C5331">
        <w:rPr>
          <w:sz w:val="24"/>
          <w:szCs w:val="24"/>
        </w:rPr>
        <w:t xml:space="preserve"> </w:t>
      </w:r>
      <w:r w:rsidRPr="009C5331">
        <w:rPr>
          <w:sz w:val="24"/>
          <w:szCs w:val="24"/>
        </w:rPr>
        <w:tab/>
      </w:r>
      <w:r w:rsidRPr="009C5331">
        <w:rPr>
          <w:i/>
          <w:iCs/>
          <w:sz w:val="24"/>
          <w:szCs w:val="24"/>
        </w:rPr>
        <w:t>Commonwealth v. Rodriguez</w:t>
      </w:r>
      <w:r w:rsidR="009C5331" w:rsidRPr="009C5331">
        <w:rPr>
          <w:sz w:val="24"/>
          <w:szCs w:val="24"/>
        </w:rPr>
        <w:t>, 83 Mass. App. Ct. 267, 270–272 (2013).</w:t>
      </w:r>
    </w:p>
  </w:footnote>
  <w:footnote w:id="35">
    <w:p w14:paraId="60C338AD" w14:textId="6142ECB5" w:rsidR="00B60677" w:rsidRPr="00BC6FFB" w:rsidRDefault="00B60677" w:rsidP="00BC6FFB">
      <w:pPr>
        <w:pStyle w:val="FootnoteText"/>
        <w:rPr>
          <w:sz w:val="24"/>
          <w:szCs w:val="24"/>
        </w:rPr>
      </w:pPr>
      <w:r w:rsidRPr="00E2217D">
        <w:rPr>
          <w:rStyle w:val="FootnoteReference"/>
          <w:sz w:val="24"/>
          <w:szCs w:val="24"/>
        </w:rPr>
        <w:footnoteRef/>
      </w:r>
      <w:r w:rsidRPr="00E2217D">
        <w:rPr>
          <w:sz w:val="24"/>
          <w:szCs w:val="24"/>
        </w:rPr>
        <w:t xml:space="preserve"> </w:t>
      </w:r>
      <w:r w:rsidR="00AE0C51" w:rsidRPr="004A082D">
        <w:rPr>
          <w:i/>
          <w:iCs/>
          <w:sz w:val="24"/>
          <w:szCs w:val="24"/>
        </w:rPr>
        <w:t>Commonwealth v. Tevlin</w:t>
      </w:r>
      <w:r w:rsidR="00AE0C51" w:rsidRPr="00E2217D">
        <w:rPr>
          <w:sz w:val="24"/>
          <w:szCs w:val="24"/>
        </w:rPr>
        <w:t xml:space="preserve">, 433 Mass. 305, 310 (2001); </w:t>
      </w:r>
      <w:r w:rsidR="00AE0C51" w:rsidRPr="004A082D">
        <w:rPr>
          <w:i/>
          <w:iCs/>
          <w:sz w:val="24"/>
          <w:szCs w:val="24"/>
        </w:rPr>
        <w:t>Commonwealth v. Appleby</w:t>
      </w:r>
      <w:r w:rsidR="00AE0C51" w:rsidRPr="00E2217D">
        <w:rPr>
          <w:sz w:val="24"/>
          <w:szCs w:val="24"/>
        </w:rPr>
        <w:t>, 380 Mass. 296, 303</w:t>
      </w:r>
      <w:r w:rsidR="00AE0C51">
        <w:rPr>
          <w:sz w:val="24"/>
          <w:szCs w:val="24"/>
        </w:rPr>
        <w:t>-304, 308</w:t>
      </w:r>
      <w:r w:rsidR="00AE0C51" w:rsidRPr="00E2217D">
        <w:rPr>
          <w:sz w:val="24"/>
          <w:szCs w:val="24"/>
        </w:rPr>
        <w:t xml:space="preserve"> (1980)</w:t>
      </w:r>
      <w:r w:rsidR="00AE0C51">
        <w:rPr>
          <w:sz w:val="24"/>
          <w:szCs w:val="24"/>
        </w:rPr>
        <w:t>;</w:t>
      </w:r>
      <w:r w:rsidR="00AE0C51" w:rsidRPr="00040B8B">
        <w:rPr>
          <w:rFonts w:ascii="Source Sans Pro" w:eastAsiaTheme="minorHAnsi" w:hAnsi="Source Sans Pro"/>
          <w:color w:val="1F1F1F"/>
          <w:szCs w:val="22"/>
          <w:shd w:val="clear" w:color="auto" w:fill="FFFFFF"/>
        </w:rPr>
        <w:t xml:space="preserve"> </w:t>
      </w:r>
      <w:r w:rsidR="00AE0C51" w:rsidRPr="00040B8B">
        <w:rPr>
          <w:i/>
          <w:iCs/>
          <w:sz w:val="24"/>
          <w:szCs w:val="24"/>
        </w:rPr>
        <w:t>Commonwealth v. Marrero,</w:t>
      </w:r>
      <w:r w:rsidR="00AE0C51" w:rsidRPr="00040B8B">
        <w:rPr>
          <w:sz w:val="24"/>
          <w:szCs w:val="24"/>
        </w:rPr>
        <w:t> 19 Mass.</w:t>
      </w:r>
      <w:r w:rsidR="00AE0C51">
        <w:rPr>
          <w:sz w:val="24"/>
          <w:szCs w:val="24"/>
        </w:rPr>
        <w:t xml:space="preserve"> </w:t>
      </w:r>
      <w:r w:rsidR="00AE0C51" w:rsidRPr="00040B8B">
        <w:rPr>
          <w:sz w:val="24"/>
          <w:szCs w:val="24"/>
        </w:rPr>
        <w:t>App.</w:t>
      </w:r>
      <w:r w:rsidR="00AE0C51">
        <w:rPr>
          <w:sz w:val="24"/>
          <w:szCs w:val="24"/>
        </w:rPr>
        <w:t xml:space="preserve"> </w:t>
      </w:r>
      <w:r w:rsidR="00AE0C51" w:rsidRPr="00040B8B">
        <w:rPr>
          <w:sz w:val="24"/>
          <w:szCs w:val="24"/>
        </w:rPr>
        <w:t>Ct. 921, 922</w:t>
      </w:r>
      <w:r w:rsidR="00AE0C51">
        <w:rPr>
          <w:sz w:val="24"/>
          <w:szCs w:val="24"/>
        </w:rPr>
        <w:t xml:space="preserve"> </w:t>
      </w:r>
      <w:r w:rsidR="00AE0C51" w:rsidRPr="00040B8B">
        <w:rPr>
          <w:sz w:val="24"/>
          <w:szCs w:val="24"/>
        </w:rPr>
        <w:t>(1984)</w:t>
      </w:r>
      <w:r w:rsidR="007C7232" w:rsidRPr="00BC6FFB">
        <w:rPr>
          <w:sz w:val="24"/>
          <w:szCs w:val="24"/>
        </w:rPr>
        <w:t>.</w:t>
      </w:r>
    </w:p>
  </w:footnote>
  <w:footnote w:id="36">
    <w:p w14:paraId="359C9169" w14:textId="369C1204" w:rsidR="00FA483F" w:rsidRPr="00987E54" w:rsidRDefault="00FA483F" w:rsidP="00987E54">
      <w:pPr>
        <w:pStyle w:val="FootnoteText"/>
        <w:rPr>
          <w:sz w:val="24"/>
          <w:szCs w:val="24"/>
        </w:rPr>
      </w:pPr>
      <w:r w:rsidRPr="00987E54">
        <w:rPr>
          <w:rStyle w:val="FootnoteReference"/>
          <w:sz w:val="24"/>
          <w:szCs w:val="24"/>
        </w:rPr>
        <w:footnoteRef/>
      </w:r>
      <w:r w:rsidRPr="00987E54">
        <w:rPr>
          <w:sz w:val="24"/>
          <w:szCs w:val="24"/>
        </w:rPr>
        <w:t xml:space="preserve"> </w:t>
      </w:r>
      <w:r w:rsidR="00987E54" w:rsidRPr="00987E54">
        <w:rPr>
          <w:sz w:val="24"/>
          <w:szCs w:val="24"/>
        </w:rPr>
        <w:tab/>
      </w:r>
      <w:r w:rsidR="00987E54" w:rsidRPr="00987E54">
        <w:rPr>
          <w:i/>
          <w:iCs/>
          <w:sz w:val="24"/>
          <w:szCs w:val="24"/>
        </w:rPr>
        <w:t>Commonwealth v. Powell</w:t>
      </w:r>
      <w:r w:rsidR="00987E54" w:rsidRPr="00987E54">
        <w:rPr>
          <w:sz w:val="24"/>
          <w:szCs w:val="24"/>
        </w:rPr>
        <w:t>, 433 Mass. 399, 401 (2001) (</w:t>
      </w:r>
      <w:r w:rsidR="00AE5B31">
        <w:rPr>
          <w:sz w:val="24"/>
          <w:szCs w:val="24"/>
        </w:rPr>
        <w:t>“an</w:t>
      </w:r>
      <w:r w:rsidR="00987E54" w:rsidRPr="00987E54">
        <w:rPr>
          <w:sz w:val="24"/>
          <w:szCs w:val="24"/>
        </w:rPr>
        <w:t xml:space="preserve"> object that is, on closer inspection, incapable of inflicting serious injury or death can still be a dangerous weapon if, at the time of the offense, it would have been reasonable to believe that it was capable of inflicting such injury”)</w:t>
      </w:r>
    </w:p>
  </w:footnote>
  <w:footnote w:id="37">
    <w:p w14:paraId="4E22C102" w14:textId="77777777" w:rsidR="009D0D99" w:rsidRPr="00F71E91" w:rsidRDefault="009D0D99" w:rsidP="009D0D99">
      <w:pPr>
        <w:pStyle w:val="FootnoteText"/>
        <w:rPr>
          <w:sz w:val="24"/>
          <w:szCs w:val="24"/>
        </w:rPr>
      </w:pPr>
      <w:r w:rsidRPr="00F71E91">
        <w:rPr>
          <w:rStyle w:val="FootnoteReference"/>
          <w:sz w:val="24"/>
          <w:szCs w:val="24"/>
        </w:rPr>
        <w:footnoteRef/>
      </w:r>
      <w:r w:rsidRPr="00F71E91">
        <w:rPr>
          <w:sz w:val="24"/>
          <w:szCs w:val="24"/>
        </w:rPr>
        <w:t xml:space="preserve"> </w:t>
      </w:r>
      <w:r w:rsidRPr="00F71E91">
        <w:rPr>
          <w:sz w:val="24"/>
          <w:szCs w:val="24"/>
        </w:rPr>
        <w:tab/>
        <w:t>“For purposes of [kidnapping involving sexual assault], the term ‘sexual assault’ shall mean the commission of any [indecent assault and battery, rape, or assault with intent to commit rape] set forth in sections 13B, 13B</w:t>
      </w:r>
      <w:r w:rsidRPr="00F71E91">
        <w:rPr>
          <w:rFonts w:cs="Segoe UI Historic"/>
          <w:sz w:val="24"/>
          <w:szCs w:val="24"/>
        </w:rPr>
        <w:t xml:space="preserve">½, </w:t>
      </w:r>
      <w:r w:rsidRPr="00F71E91">
        <w:rPr>
          <w:sz w:val="24"/>
          <w:szCs w:val="24"/>
        </w:rPr>
        <w:t>13B</w:t>
      </w:r>
      <w:r w:rsidRPr="00F71E91">
        <w:rPr>
          <w:rFonts w:cs="Segoe UI Historic"/>
          <w:sz w:val="24"/>
          <w:szCs w:val="24"/>
        </w:rPr>
        <w:t>¾</w:t>
      </w:r>
      <w:r w:rsidRPr="00F71E91">
        <w:rPr>
          <w:sz w:val="24"/>
          <w:szCs w:val="24"/>
        </w:rPr>
        <w:t>, 13F, 13H, 22, 22A, 22B, 22C, 23, 23A, 23B, 24 or 24B [of Chapter 265].” G.L. c. 265, § 26, third par.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7D0CB6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852E2B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47055E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E1E0AF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6E64A8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724F96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DF0A6C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65880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3F28CD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E46FF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25632C3"/>
    <w:multiLevelType w:val="multilevel"/>
    <w:tmpl w:val="86D633D2"/>
    <w:lvl w:ilvl="0">
      <w:start w:val="1"/>
      <w:numFmt w:val="none"/>
      <w:suff w:val="nothing"/>
      <w:lvlText w:val=""/>
      <w:lvlJc w:val="center"/>
      <w:pPr>
        <w:ind w:left="0" w:firstLine="0"/>
      </w:pPr>
      <w:rPr>
        <w:rFonts w:hint="default"/>
      </w:rPr>
    </w:lvl>
    <w:lvl w:ilvl="1">
      <w:start w:val="1"/>
      <w:numFmt w:val="none"/>
      <w:lvlText w:val=""/>
      <w:lvlJc w:val="left"/>
      <w:pPr>
        <w:ind w:left="0" w:firstLine="0"/>
      </w:pPr>
      <w:rPr>
        <w:rFonts w:hint="default"/>
      </w:rPr>
    </w:lvl>
    <w:lvl w:ilvl="2">
      <w:start w:val="1"/>
      <w:numFmt w:val="lowerLetter"/>
      <w:lvlText w:val="(%3)"/>
      <w:lvlJc w:val="left"/>
      <w:pPr>
        <w:ind w:left="864" w:hanging="432"/>
      </w:pPr>
      <w:rPr>
        <w:rFonts w:hint="default"/>
      </w:rPr>
    </w:lvl>
    <w:lvl w:ilvl="3">
      <w:start w:val="1"/>
      <w:numFmt w:val="decimal"/>
      <w:lvlText w:val="(%4)"/>
      <w:lvlJc w:val="left"/>
      <w:pPr>
        <w:ind w:left="1296" w:hanging="432"/>
      </w:pPr>
      <w:rPr>
        <w:rFonts w:hint="default"/>
      </w:rPr>
    </w:lvl>
    <w:lvl w:ilvl="4">
      <w:start w:val="1"/>
      <w:numFmt w:val="lowerLetter"/>
      <w:lvlText w:val="%5."/>
      <w:lvlJc w:val="left"/>
      <w:pPr>
        <w:ind w:left="1728" w:hanging="432"/>
      </w:pPr>
      <w:rPr>
        <w:rFonts w:hint="default"/>
      </w:rPr>
    </w:lvl>
    <w:lvl w:ilvl="5">
      <w:start w:val="1"/>
      <w:numFmt w:val="lowerRoman"/>
      <w:lvlText w:val="%6."/>
      <w:lvlJc w:val="left"/>
      <w:pPr>
        <w:ind w:left="2160" w:hanging="432"/>
      </w:pPr>
      <w:rPr>
        <w:rFonts w:hint="default"/>
      </w:rPr>
    </w:lvl>
    <w:lvl w:ilvl="6">
      <w:start w:val="1"/>
      <w:numFmt w:val="decimal"/>
      <w:lvlText w:val="%7."/>
      <w:lvlJc w:val="left"/>
      <w:pPr>
        <w:ind w:left="2592" w:hanging="432"/>
      </w:pPr>
      <w:rPr>
        <w:rFonts w:hint="default"/>
      </w:rPr>
    </w:lvl>
    <w:lvl w:ilvl="7">
      <w:start w:val="1"/>
      <w:numFmt w:val="lowerLetter"/>
      <w:lvlText w:val="%8."/>
      <w:lvlJc w:val="left"/>
      <w:pPr>
        <w:ind w:left="3024" w:hanging="173"/>
      </w:pPr>
      <w:rPr>
        <w:rFonts w:hint="default"/>
      </w:rPr>
    </w:lvl>
    <w:lvl w:ilvl="8">
      <w:start w:val="1"/>
      <w:numFmt w:val="lowerRoman"/>
      <w:lvlText w:val="%9."/>
      <w:lvlJc w:val="left"/>
      <w:pPr>
        <w:ind w:left="3456" w:hanging="432"/>
      </w:pPr>
      <w:rPr>
        <w:rFonts w:hint="default"/>
      </w:rPr>
    </w:lvl>
  </w:abstractNum>
  <w:abstractNum w:abstractNumId="11" w15:restartNumberingAfterBreak="0">
    <w:nsid w:val="19517CD4"/>
    <w:multiLevelType w:val="hybridMultilevel"/>
    <w:tmpl w:val="3230D0DE"/>
    <w:lvl w:ilvl="0" w:tplc="04090001">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12" w15:restartNumberingAfterBreak="0">
    <w:nsid w:val="1B722686"/>
    <w:multiLevelType w:val="multilevel"/>
    <w:tmpl w:val="EAC2DAB2"/>
    <w:lvl w:ilvl="0">
      <w:start w:val="1"/>
      <w:numFmt w:val="none"/>
      <w:pStyle w:val="JuryInst1"/>
      <w:suff w:val="nothing"/>
      <w:lvlText w:val=""/>
      <w:lvlJc w:val="center"/>
      <w:pPr>
        <w:ind w:left="0" w:firstLine="0"/>
      </w:pPr>
      <w:rPr>
        <w:rFonts w:hint="default"/>
      </w:rPr>
    </w:lvl>
    <w:lvl w:ilvl="1">
      <w:start w:val="1"/>
      <w:numFmt w:val="none"/>
      <w:pStyle w:val="JuryInst2"/>
      <w:lvlText w:val=""/>
      <w:lvlJc w:val="left"/>
      <w:pPr>
        <w:ind w:left="0" w:firstLine="0"/>
      </w:pPr>
      <w:rPr>
        <w:rFonts w:hint="default"/>
      </w:rPr>
    </w:lvl>
    <w:lvl w:ilvl="2">
      <w:start w:val="1"/>
      <w:numFmt w:val="bullet"/>
      <w:pStyle w:val="JuryInst3"/>
      <w:lvlText w:val=""/>
      <w:lvlJc w:val="left"/>
      <w:pPr>
        <w:ind w:left="810" w:hanging="360"/>
      </w:pPr>
      <w:rPr>
        <w:rFonts w:ascii="Symbol" w:hAnsi="Symbol" w:hint="default"/>
      </w:rPr>
    </w:lvl>
    <w:lvl w:ilvl="3">
      <w:start w:val="1"/>
      <w:numFmt w:val="lowerLetter"/>
      <w:pStyle w:val="JuryInst4"/>
      <w:lvlText w:val="%4)"/>
      <w:lvlJc w:val="left"/>
      <w:pPr>
        <w:ind w:left="1224" w:hanging="360"/>
      </w:pPr>
      <w:rPr>
        <w:rFonts w:hint="default"/>
      </w:rPr>
    </w:lvl>
    <w:lvl w:ilvl="4">
      <w:start w:val="1"/>
      <w:numFmt w:val="lowerLetter"/>
      <w:pStyle w:val="JuryInst5"/>
      <w:lvlText w:val="%5."/>
      <w:lvlJc w:val="left"/>
      <w:pPr>
        <w:ind w:left="1728" w:hanging="432"/>
      </w:pPr>
      <w:rPr>
        <w:rFonts w:hint="default"/>
      </w:rPr>
    </w:lvl>
    <w:lvl w:ilvl="5">
      <w:start w:val="1"/>
      <w:numFmt w:val="lowerRoman"/>
      <w:pStyle w:val="JuryInst6"/>
      <w:lvlText w:val="%6."/>
      <w:lvlJc w:val="left"/>
      <w:pPr>
        <w:ind w:left="2160" w:hanging="432"/>
      </w:pPr>
      <w:rPr>
        <w:rFonts w:hint="default"/>
      </w:rPr>
    </w:lvl>
    <w:lvl w:ilvl="6">
      <w:start w:val="1"/>
      <w:numFmt w:val="decimal"/>
      <w:lvlText w:val="%7."/>
      <w:lvlJc w:val="left"/>
      <w:pPr>
        <w:ind w:left="2592" w:hanging="432"/>
      </w:pPr>
      <w:rPr>
        <w:rFonts w:hint="default"/>
      </w:rPr>
    </w:lvl>
    <w:lvl w:ilvl="7">
      <w:start w:val="1"/>
      <w:numFmt w:val="lowerLetter"/>
      <w:lvlText w:val="%8."/>
      <w:lvlJc w:val="left"/>
      <w:pPr>
        <w:ind w:left="3024" w:hanging="173"/>
      </w:pPr>
      <w:rPr>
        <w:rFonts w:hint="default"/>
      </w:rPr>
    </w:lvl>
    <w:lvl w:ilvl="8">
      <w:start w:val="1"/>
      <w:numFmt w:val="lowerRoman"/>
      <w:lvlText w:val="%9."/>
      <w:lvlJc w:val="left"/>
      <w:pPr>
        <w:ind w:left="3456" w:hanging="432"/>
      </w:pPr>
      <w:rPr>
        <w:rFonts w:hint="default"/>
      </w:rPr>
    </w:lvl>
  </w:abstractNum>
  <w:abstractNum w:abstractNumId="13" w15:restartNumberingAfterBreak="0">
    <w:nsid w:val="1DCA7C81"/>
    <w:multiLevelType w:val="multilevel"/>
    <w:tmpl w:val="763C3ECE"/>
    <w:lvl w:ilvl="0">
      <w:start w:val="1"/>
      <w:numFmt w:val="none"/>
      <w:suff w:val="nothing"/>
      <w:lvlText w:val=""/>
      <w:lvlJc w:val="center"/>
      <w:pPr>
        <w:ind w:left="0" w:firstLine="0"/>
      </w:pPr>
      <w:rPr>
        <w:rFonts w:hint="default"/>
      </w:rPr>
    </w:lvl>
    <w:lvl w:ilvl="1">
      <w:start w:val="1"/>
      <w:numFmt w:val="none"/>
      <w:lvlText w:val=""/>
      <w:lvlJc w:val="left"/>
      <w:pPr>
        <w:ind w:left="0" w:firstLine="0"/>
      </w:pPr>
      <w:rPr>
        <w:rFonts w:hint="default"/>
      </w:rPr>
    </w:lvl>
    <w:lvl w:ilvl="2">
      <w:start w:val="1"/>
      <w:numFmt w:val="bullet"/>
      <w:lvlText w:val=""/>
      <w:lvlJc w:val="left"/>
      <w:pPr>
        <w:ind w:left="792" w:hanging="360"/>
      </w:pPr>
      <w:rPr>
        <w:rFonts w:ascii="Symbol" w:hAnsi="Symbol" w:hint="default"/>
      </w:rPr>
    </w:lvl>
    <w:lvl w:ilvl="3">
      <w:start w:val="1"/>
      <w:numFmt w:val="lowerLetter"/>
      <w:lvlText w:val="%4)"/>
      <w:lvlJc w:val="left"/>
      <w:pPr>
        <w:ind w:left="1224" w:hanging="360"/>
      </w:pPr>
    </w:lvl>
    <w:lvl w:ilvl="4">
      <w:start w:val="1"/>
      <w:numFmt w:val="bullet"/>
      <w:lvlText w:val=""/>
      <w:lvlJc w:val="left"/>
      <w:pPr>
        <w:ind w:left="1656" w:hanging="360"/>
      </w:pPr>
      <w:rPr>
        <w:rFonts w:ascii="Symbol" w:hAnsi="Symbol" w:hint="default"/>
      </w:rPr>
    </w:lvl>
    <w:lvl w:ilvl="5">
      <w:start w:val="1"/>
      <w:numFmt w:val="lowerRoman"/>
      <w:lvlText w:val="%6."/>
      <w:lvlJc w:val="left"/>
      <w:pPr>
        <w:ind w:left="2160" w:hanging="432"/>
      </w:pPr>
      <w:rPr>
        <w:rFonts w:hint="default"/>
      </w:rPr>
    </w:lvl>
    <w:lvl w:ilvl="6">
      <w:start w:val="1"/>
      <w:numFmt w:val="decimal"/>
      <w:lvlText w:val="%7."/>
      <w:lvlJc w:val="left"/>
      <w:pPr>
        <w:ind w:left="2592" w:hanging="432"/>
      </w:pPr>
      <w:rPr>
        <w:rFonts w:hint="default"/>
      </w:rPr>
    </w:lvl>
    <w:lvl w:ilvl="7">
      <w:start w:val="1"/>
      <w:numFmt w:val="lowerLetter"/>
      <w:lvlText w:val="%8."/>
      <w:lvlJc w:val="left"/>
      <w:pPr>
        <w:ind w:left="3024" w:hanging="173"/>
      </w:pPr>
      <w:rPr>
        <w:rFonts w:hint="default"/>
      </w:rPr>
    </w:lvl>
    <w:lvl w:ilvl="8">
      <w:start w:val="1"/>
      <w:numFmt w:val="lowerRoman"/>
      <w:lvlText w:val="%9."/>
      <w:lvlJc w:val="left"/>
      <w:pPr>
        <w:ind w:left="3456" w:hanging="432"/>
      </w:pPr>
      <w:rPr>
        <w:rFonts w:hint="default"/>
      </w:rPr>
    </w:lvl>
  </w:abstractNum>
  <w:abstractNum w:abstractNumId="14" w15:restartNumberingAfterBreak="0">
    <w:nsid w:val="30FD1F13"/>
    <w:multiLevelType w:val="hybridMultilevel"/>
    <w:tmpl w:val="8C2292CC"/>
    <w:lvl w:ilvl="0" w:tplc="04090001">
      <w:start w:val="1"/>
      <w:numFmt w:val="bullet"/>
      <w:lvlText w:val=""/>
      <w:lvlJc w:val="left"/>
      <w:pPr>
        <w:ind w:left="870" w:hanging="360"/>
      </w:pPr>
      <w:rPr>
        <w:rFonts w:ascii="Symbol" w:hAnsi="Symbol" w:hint="default"/>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15" w15:restartNumberingAfterBreak="0">
    <w:nsid w:val="327628A4"/>
    <w:multiLevelType w:val="hybridMultilevel"/>
    <w:tmpl w:val="91C25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0C6B5A"/>
    <w:multiLevelType w:val="hybridMultilevel"/>
    <w:tmpl w:val="9168EAB2"/>
    <w:lvl w:ilvl="0" w:tplc="FFFFFFFF">
      <w:start w:val="1"/>
      <w:numFmt w:val="decimal"/>
      <w:lvlText w:val="%1."/>
      <w:lvlJc w:val="left"/>
      <w:pPr>
        <w:ind w:left="870" w:hanging="360"/>
      </w:pPr>
    </w:lvl>
    <w:lvl w:ilvl="1" w:tplc="FFFFFFFF" w:tentative="1">
      <w:start w:val="1"/>
      <w:numFmt w:val="lowerLetter"/>
      <w:lvlText w:val="%2."/>
      <w:lvlJc w:val="left"/>
      <w:pPr>
        <w:ind w:left="1590" w:hanging="360"/>
      </w:pPr>
    </w:lvl>
    <w:lvl w:ilvl="2" w:tplc="FFFFFFFF" w:tentative="1">
      <w:start w:val="1"/>
      <w:numFmt w:val="lowerRoman"/>
      <w:lvlText w:val="%3."/>
      <w:lvlJc w:val="right"/>
      <w:pPr>
        <w:ind w:left="2310" w:hanging="180"/>
      </w:pPr>
    </w:lvl>
    <w:lvl w:ilvl="3" w:tplc="FFFFFFFF" w:tentative="1">
      <w:start w:val="1"/>
      <w:numFmt w:val="decimal"/>
      <w:lvlText w:val="%4."/>
      <w:lvlJc w:val="left"/>
      <w:pPr>
        <w:ind w:left="3030" w:hanging="360"/>
      </w:pPr>
    </w:lvl>
    <w:lvl w:ilvl="4" w:tplc="FFFFFFFF" w:tentative="1">
      <w:start w:val="1"/>
      <w:numFmt w:val="lowerLetter"/>
      <w:lvlText w:val="%5."/>
      <w:lvlJc w:val="left"/>
      <w:pPr>
        <w:ind w:left="3750" w:hanging="360"/>
      </w:pPr>
    </w:lvl>
    <w:lvl w:ilvl="5" w:tplc="FFFFFFFF" w:tentative="1">
      <w:start w:val="1"/>
      <w:numFmt w:val="lowerRoman"/>
      <w:lvlText w:val="%6."/>
      <w:lvlJc w:val="right"/>
      <w:pPr>
        <w:ind w:left="4470" w:hanging="180"/>
      </w:pPr>
    </w:lvl>
    <w:lvl w:ilvl="6" w:tplc="FFFFFFFF" w:tentative="1">
      <w:start w:val="1"/>
      <w:numFmt w:val="decimal"/>
      <w:lvlText w:val="%7."/>
      <w:lvlJc w:val="left"/>
      <w:pPr>
        <w:ind w:left="5190" w:hanging="360"/>
      </w:pPr>
    </w:lvl>
    <w:lvl w:ilvl="7" w:tplc="FFFFFFFF" w:tentative="1">
      <w:start w:val="1"/>
      <w:numFmt w:val="lowerLetter"/>
      <w:lvlText w:val="%8."/>
      <w:lvlJc w:val="left"/>
      <w:pPr>
        <w:ind w:left="5910" w:hanging="360"/>
      </w:pPr>
    </w:lvl>
    <w:lvl w:ilvl="8" w:tplc="FFFFFFFF" w:tentative="1">
      <w:start w:val="1"/>
      <w:numFmt w:val="lowerRoman"/>
      <w:lvlText w:val="%9."/>
      <w:lvlJc w:val="right"/>
      <w:pPr>
        <w:ind w:left="6630" w:hanging="180"/>
      </w:pPr>
    </w:lvl>
  </w:abstractNum>
  <w:abstractNum w:abstractNumId="17" w15:restartNumberingAfterBreak="0">
    <w:nsid w:val="3DAF28CB"/>
    <w:multiLevelType w:val="hybridMultilevel"/>
    <w:tmpl w:val="6B40D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0C20F8"/>
    <w:multiLevelType w:val="hybridMultilevel"/>
    <w:tmpl w:val="FC8E5BC2"/>
    <w:lvl w:ilvl="0" w:tplc="B6209AF6">
      <w:start w:val="1"/>
      <w:numFmt w:val="bullet"/>
      <w:pStyle w:val="JuryInstructionBullets"/>
      <w:lvlText w:val="o"/>
      <w:lvlJc w:val="left"/>
      <w:pPr>
        <w:ind w:left="1584" w:hanging="360"/>
      </w:pPr>
      <w:rPr>
        <w:rFonts w:ascii="Courier New" w:hAnsi="Courier New" w:hint="default"/>
      </w:rPr>
    </w:lvl>
    <w:lvl w:ilvl="1" w:tplc="04090003" w:tentative="1">
      <w:start w:val="1"/>
      <w:numFmt w:val="bullet"/>
      <w:lvlText w:val="o"/>
      <w:lvlJc w:val="left"/>
      <w:pPr>
        <w:ind w:left="2304" w:hanging="360"/>
      </w:pPr>
      <w:rPr>
        <w:rFonts w:ascii="Courier New" w:hAnsi="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19" w15:restartNumberingAfterBreak="0">
    <w:nsid w:val="4AA1362C"/>
    <w:multiLevelType w:val="hybridMultilevel"/>
    <w:tmpl w:val="EC3088BA"/>
    <w:lvl w:ilvl="0" w:tplc="04090001">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0" w15:restartNumberingAfterBreak="0">
    <w:nsid w:val="67352D3A"/>
    <w:multiLevelType w:val="hybridMultilevel"/>
    <w:tmpl w:val="7EAE72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4052784"/>
    <w:multiLevelType w:val="hybridMultilevel"/>
    <w:tmpl w:val="3DFEA400"/>
    <w:lvl w:ilvl="0" w:tplc="04090001">
      <w:start w:val="1"/>
      <w:numFmt w:val="bullet"/>
      <w:lvlText w:val=""/>
      <w:lvlJc w:val="left"/>
      <w:pPr>
        <w:ind w:left="870" w:hanging="360"/>
      </w:pPr>
      <w:rPr>
        <w:rFonts w:ascii="Symbol" w:hAnsi="Symbol" w:hint="default"/>
      </w:rPr>
    </w:lvl>
    <w:lvl w:ilvl="1" w:tplc="FFFFFFFF" w:tentative="1">
      <w:start w:val="1"/>
      <w:numFmt w:val="lowerLetter"/>
      <w:lvlText w:val="%2."/>
      <w:lvlJc w:val="left"/>
      <w:pPr>
        <w:ind w:left="1590" w:hanging="360"/>
      </w:pPr>
    </w:lvl>
    <w:lvl w:ilvl="2" w:tplc="FFFFFFFF" w:tentative="1">
      <w:start w:val="1"/>
      <w:numFmt w:val="lowerRoman"/>
      <w:lvlText w:val="%3."/>
      <w:lvlJc w:val="right"/>
      <w:pPr>
        <w:ind w:left="2310" w:hanging="180"/>
      </w:pPr>
    </w:lvl>
    <w:lvl w:ilvl="3" w:tplc="FFFFFFFF" w:tentative="1">
      <w:start w:val="1"/>
      <w:numFmt w:val="decimal"/>
      <w:lvlText w:val="%4."/>
      <w:lvlJc w:val="left"/>
      <w:pPr>
        <w:ind w:left="3030" w:hanging="360"/>
      </w:pPr>
    </w:lvl>
    <w:lvl w:ilvl="4" w:tplc="FFFFFFFF" w:tentative="1">
      <w:start w:val="1"/>
      <w:numFmt w:val="lowerLetter"/>
      <w:lvlText w:val="%5."/>
      <w:lvlJc w:val="left"/>
      <w:pPr>
        <w:ind w:left="3750" w:hanging="360"/>
      </w:pPr>
    </w:lvl>
    <w:lvl w:ilvl="5" w:tplc="FFFFFFFF" w:tentative="1">
      <w:start w:val="1"/>
      <w:numFmt w:val="lowerRoman"/>
      <w:lvlText w:val="%6."/>
      <w:lvlJc w:val="right"/>
      <w:pPr>
        <w:ind w:left="4470" w:hanging="180"/>
      </w:pPr>
    </w:lvl>
    <w:lvl w:ilvl="6" w:tplc="FFFFFFFF" w:tentative="1">
      <w:start w:val="1"/>
      <w:numFmt w:val="decimal"/>
      <w:lvlText w:val="%7."/>
      <w:lvlJc w:val="left"/>
      <w:pPr>
        <w:ind w:left="5190" w:hanging="360"/>
      </w:pPr>
    </w:lvl>
    <w:lvl w:ilvl="7" w:tplc="FFFFFFFF" w:tentative="1">
      <w:start w:val="1"/>
      <w:numFmt w:val="lowerLetter"/>
      <w:lvlText w:val="%8."/>
      <w:lvlJc w:val="left"/>
      <w:pPr>
        <w:ind w:left="5910" w:hanging="360"/>
      </w:pPr>
    </w:lvl>
    <w:lvl w:ilvl="8" w:tplc="FFFFFFFF" w:tentative="1">
      <w:start w:val="1"/>
      <w:numFmt w:val="lowerRoman"/>
      <w:lvlText w:val="%9."/>
      <w:lvlJc w:val="right"/>
      <w:pPr>
        <w:ind w:left="6630" w:hanging="180"/>
      </w:pPr>
    </w:lvl>
  </w:abstractNum>
  <w:abstractNum w:abstractNumId="22" w15:restartNumberingAfterBreak="0">
    <w:nsid w:val="769F0F8C"/>
    <w:multiLevelType w:val="hybridMultilevel"/>
    <w:tmpl w:val="BE6A719C"/>
    <w:lvl w:ilvl="0" w:tplc="04090017">
      <w:start w:val="1"/>
      <w:numFmt w:val="lowerLetter"/>
      <w:lvlText w:val="%1)"/>
      <w:lvlJc w:val="left"/>
      <w:pPr>
        <w:ind w:left="1158" w:hanging="360"/>
      </w:pPr>
    </w:lvl>
    <w:lvl w:ilvl="1" w:tplc="04090019" w:tentative="1">
      <w:start w:val="1"/>
      <w:numFmt w:val="lowerLetter"/>
      <w:lvlText w:val="%2."/>
      <w:lvlJc w:val="left"/>
      <w:pPr>
        <w:ind w:left="1878" w:hanging="360"/>
      </w:pPr>
    </w:lvl>
    <w:lvl w:ilvl="2" w:tplc="0409001B" w:tentative="1">
      <w:start w:val="1"/>
      <w:numFmt w:val="lowerRoman"/>
      <w:lvlText w:val="%3."/>
      <w:lvlJc w:val="right"/>
      <w:pPr>
        <w:ind w:left="2598" w:hanging="180"/>
      </w:pPr>
    </w:lvl>
    <w:lvl w:ilvl="3" w:tplc="0409000F" w:tentative="1">
      <w:start w:val="1"/>
      <w:numFmt w:val="decimal"/>
      <w:lvlText w:val="%4."/>
      <w:lvlJc w:val="left"/>
      <w:pPr>
        <w:ind w:left="3318" w:hanging="360"/>
      </w:pPr>
    </w:lvl>
    <w:lvl w:ilvl="4" w:tplc="04090019" w:tentative="1">
      <w:start w:val="1"/>
      <w:numFmt w:val="lowerLetter"/>
      <w:lvlText w:val="%5."/>
      <w:lvlJc w:val="left"/>
      <w:pPr>
        <w:ind w:left="4038" w:hanging="360"/>
      </w:pPr>
    </w:lvl>
    <w:lvl w:ilvl="5" w:tplc="0409001B" w:tentative="1">
      <w:start w:val="1"/>
      <w:numFmt w:val="lowerRoman"/>
      <w:lvlText w:val="%6."/>
      <w:lvlJc w:val="right"/>
      <w:pPr>
        <w:ind w:left="4758" w:hanging="180"/>
      </w:pPr>
    </w:lvl>
    <w:lvl w:ilvl="6" w:tplc="0409000F" w:tentative="1">
      <w:start w:val="1"/>
      <w:numFmt w:val="decimal"/>
      <w:lvlText w:val="%7."/>
      <w:lvlJc w:val="left"/>
      <w:pPr>
        <w:ind w:left="5478" w:hanging="360"/>
      </w:pPr>
    </w:lvl>
    <w:lvl w:ilvl="7" w:tplc="04090019" w:tentative="1">
      <w:start w:val="1"/>
      <w:numFmt w:val="lowerLetter"/>
      <w:lvlText w:val="%8."/>
      <w:lvlJc w:val="left"/>
      <w:pPr>
        <w:ind w:left="6198" w:hanging="360"/>
      </w:pPr>
    </w:lvl>
    <w:lvl w:ilvl="8" w:tplc="0409001B" w:tentative="1">
      <w:start w:val="1"/>
      <w:numFmt w:val="lowerRoman"/>
      <w:lvlText w:val="%9."/>
      <w:lvlJc w:val="right"/>
      <w:pPr>
        <w:ind w:left="6918" w:hanging="180"/>
      </w:pPr>
    </w:lvl>
  </w:abstractNum>
  <w:num w:numId="1" w16cid:durableId="773329654">
    <w:abstractNumId w:val="18"/>
  </w:num>
  <w:num w:numId="2" w16cid:durableId="286356709">
    <w:abstractNumId w:val="12"/>
  </w:num>
  <w:num w:numId="3" w16cid:durableId="547451668">
    <w:abstractNumId w:val="0"/>
  </w:num>
  <w:num w:numId="4" w16cid:durableId="1868062175">
    <w:abstractNumId w:val="1"/>
  </w:num>
  <w:num w:numId="5" w16cid:durableId="944775421">
    <w:abstractNumId w:val="2"/>
  </w:num>
  <w:num w:numId="6" w16cid:durableId="614752347">
    <w:abstractNumId w:val="3"/>
  </w:num>
  <w:num w:numId="7" w16cid:durableId="1158573689">
    <w:abstractNumId w:val="8"/>
  </w:num>
  <w:num w:numId="8" w16cid:durableId="546920120">
    <w:abstractNumId w:val="4"/>
  </w:num>
  <w:num w:numId="9" w16cid:durableId="1228222476">
    <w:abstractNumId w:val="5"/>
  </w:num>
  <w:num w:numId="10" w16cid:durableId="1045830920">
    <w:abstractNumId w:val="6"/>
  </w:num>
  <w:num w:numId="11" w16cid:durableId="608972262">
    <w:abstractNumId w:val="7"/>
  </w:num>
  <w:num w:numId="12" w16cid:durableId="11417782">
    <w:abstractNumId w:val="9"/>
  </w:num>
  <w:num w:numId="13" w16cid:durableId="1713194110">
    <w:abstractNumId w:val="12"/>
  </w:num>
  <w:num w:numId="14" w16cid:durableId="2064331052">
    <w:abstractNumId w:val="10"/>
  </w:num>
  <w:num w:numId="15" w16cid:durableId="419914796">
    <w:abstractNumId w:val="15"/>
  </w:num>
  <w:num w:numId="16" w16cid:durableId="1006633894">
    <w:abstractNumId w:val="14"/>
  </w:num>
  <w:num w:numId="17" w16cid:durableId="399059377">
    <w:abstractNumId w:val="16"/>
  </w:num>
  <w:num w:numId="18" w16cid:durableId="947273349">
    <w:abstractNumId w:val="21"/>
  </w:num>
  <w:num w:numId="19" w16cid:durableId="777023760">
    <w:abstractNumId w:val="13"/>
  </w:num>
  <w:num w:numId="20" w16cid:durableId="168096527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9814467">
    <w:abstractNumId w:val="12"/>
    <w:lvlOverride w:ilvl="0">
      <w:startOverride w:val="1"/>
    </w:lvlOverride>
    <w:lvlOverride w:ilvl="1">
      <w:startOverride w:val="1"/>
    </w:lvlOverride>
    <w:lvlOverride w:ilvl="2">
      <w:startOverride w:val="1"/>
    </w:lvlOverride>
    <w:lvlOverride w:ilvl="3">
      <w:startOverride w:val="4"/>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0828178">
    <w:abstractNumId w:val="22"/>
  </w:num>
  <w:num w:numId="23" w16cid:durableId="534318758">
    <w:abstractNumId w:val="11"/>
  </w:num>
  <w:num w:numId="24" w16cid:durableId="116488882">
    <w:abstractNumId w:val="19"/>
  </w:num>
  <w:num w:numId="25" w16cid:durableId="167212538">
    <w:abstractNumId w:val="17"/>
  </w:num>
  <w:num w:numId="26" w16cid:durableId="2050490661">
    <w:abstractNumId w:val="12"/>
    <w:lvlOverride w:ilvl="0">
      <w:startOverride w:val="1"/>
    </w:lvlOverride>
    <w:lvlOverride w:ilvl="1">
      <w:startOverride w:val="1"/>
    </w:lvlOverride>
    <w:lvlOverride w:ilvl="2">
      <w:startOverride w:val="1"/>
    </w:lvlOverride>
    <w:lvlOverride w:ilvl="3">
      <w:startOverride w:val="4"/>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22784166">
    <w:abstractNumId w:val="2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43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A90"/>
    <w:rsid w:val="00000EF9"/>
    <w:rsid w:val="000018AC"/>
    <w:rsid w:val="00001CA2"/>
    <w:rsid w:val="00002D2D"/>
    <w:rsid w:val="00004FF7"/>
    <w:rsid w:val="00005EE7"/>
    <w:rsid w:val="00006745"/>
    <w:rsid w:val="00007A1C"/>
    <w:rsid w:val="0001020B"/>
    <w:rsid w:val="000102E8"/>
    <w:rsid w:val="00010568"/>
    <w:rsid w:val="00011046"/>
    <w:rsid w:val="000118DB"/>
    <w:rsid w:val="00011B74"/>
    <w:rsid w:val="00011BD1"/>
    <w:rsid w:val="000124CA"/>
    <w:rsid w:val="000158A3"/>
    <w:rsid w:val="00015D25"/>
    <w:rsid w:val="00016CA0"/>
    <w:rsid w:val="00016D2F"/>
    <w:rsid w:val="0001778F"/>
    <w:rsid w:val="000178A0"/>
    <w:rsid w:val="000178B7"/>
    <w:rsid w:val="00020444"/>
    <w:rsid w:val="00020AE5"/>
    <w:rsid w:val="00022622"/>
    <w:rsid w:val="000309CC"/>
    <w:rsid w:val="00030B09"/>
    <w:rsid w:val="00030BE2"/>
    <w:rsid w:val="000324B5"/>
    <w:rsid w:val="00032D51"/>
    <w:rsid w:val="00033DC4"/>
    <w:rsid w:val="00033F89"/>
    <w:rsid w:val="00036B58"/>
    <w:rsid w:val="00036C23"/>
    <w:rsid w:val="00037245"/>
    <w:rsid w:val="000372EE"/>
    <w:rsid w:val="000373A4"/>
    <w:rsid w:val="0004030B"/>
    <w:rsid w:val="000407EF"/>
    <w:rsid w:val="00040ABB"/>
    <w:rsid w:val="00040B8B"/>
    <w:rsid w:val="000445F5"/>
    <w:rsid w:val="00044AB6"/>
    <w:rsid w:val="0005368B"/>
    <w:rsid w:val="00054792"/>
    <w:rsid w:val="00054AFD"/>
    <w:rsid w:val="00055AED"/>
    <w:rsid w:val="00056286"/>
    <w:rsid w:val="000577A2"/>
    <w:rsid w:val="00061B31"/>
    <w:rsid w:val="00061F6C"/>
    <w:rsid w:val="000621ED"/>
    <w:rsid w:val="000636B7"/>
    <w:rsid w:val="00063BC5"/>
    <w:rsid w:val="00064E8C"/>
    <w:rsid w:val="00065DA7"/>
    <w:rsid w:val="0006671B"/>
    <w:rsid w:val="0006738A"/>
    <w:rsid w:val="00071C61"/>
    <w:rsid w:val="000744BF"/>
    <w:rsid w:val="00075408"/>
    <w:rsid w:val="00075807"/>
    <w:rsid w:val="000764A4"/>
    <w:rsid w:val="000777F6"/>
    <w:rsid w:val="000802EE"/>
    <w:rsid w:val="00081179"/>
    <w:rsid w:val="00081818"/>
    <w:rsid w:val="000835B7"/>
    <w:rsid w:val="00083A24"/>
    <w:rsid w:val="00085C9B"/>
    <w:rsid w:val="00085F92"/>
    <w:rsid w:val="000877DD"/>
    <w:rsid w:val="00087960"/>
    <w:rsid w:val="000913E9"/>
    <w:rsid w:val="0009239E"/>
    <w:rsid w:val="000960FB"/>
    <w:rsid w:val="000A0D60"/>
    <w:rsid w:val="000A164F"/>
    <w:rsid w:val="000A3461"/>
    <w:rsid w:val="000A49D8"/>
    <w:rsid w:val="000B05DB"/>
    <w:rsid w:val="000B1AB9"/>
    <w:rsid w:val="000B57D4"/>
    <w:rsid w:val="000B5EF9"/>
    <w:rsid w:val="000B71C0"/>
    <w:rsid w:val="000B7B9E"/>
    <w:rsid w:val="000C13D9"/>
    <w:rsid w:val="000C2912"/>
    <w:rsid w:val="000C5EF3"/>
    <w:rsid w:val="000C6FC7"/>
    <w:rsid w:val="000D0353"/>
    <w:rsid w:val="000D271D"/>
    <w:rsid w:val="000D486C"/>
    <w:rsid w:val="000D5328"/>
    <w:rsid w:val="000D5851"/>
    <w:rsid w:val="000D5B14"/>
    <w:rsid w:val="000D5D7A"/>
    <w:rsid w:val="000D70C6"/>
    <w:rsid w:val="000E1C60"/>
    <w:rsid w:val="000E29C6"/>
    <w:rsid w:val="000E3E48"/>
    <w:rsid w:val="000E52E3"/>
    <w:rsid w:val="000E6C48"/>
    <w:rsid w:val="000E6CA8"/>
    <w:rsid w:val="000E7622"/>
    <w:rsid w:val="000E7676"/>
    <w:rsid w:val="000F2379"/>
    <w:rsid w:val="000F5715"/>
    <w:rsid w:val="0010027E"/>
    <w:rsid w:val="00100965"/>
    <w:rsid w:val="001031F1"/>
    <w:rsid w:val="00104EC5"/>
    <w:rsid w:val="00104F7A"/>
    <w:rsid w:val="00106DCC"/>
    <w:rsid w:val="0010739E"/>
    <w:rsid w:val="0010748B"/>
    <w:rsid w:val="00112A37"/>
    <w:rsid w:val="00117283"/>
    <w:rsid w:val="00117A9F"/>
    <w:rsid w:val="00117C9C"/>
    <w:rsid w:val="00120DA5"/>
    <w:rsid w:val="001216F5"/>
    <w:rsid w:val="001222B3"/>
    <w:rsid w:val="00123148"/>
    <w:rsid w:val="00123892"/>
    <w:rsid w:val="00130395"/>
    <w:rsid w:val="00130F23"/>
    <w:rsid w:val="001324B3"/>
    <w:rsid w:val="00132C6F"/>
    <w:rsid w:val="001335F4"/>
    <w:rsid w:val="001339D1"/>
    <w:rsid w:val="00135692"/>
    <w:rsid w:val="00136A71"/>
    <w:rsid w:val="00140C05"/>
    <w:rsid w:val="0014137B"/>
    <w:rsid w:val="00141B2C"/>
    <w:rsid w:val="001437AF"/>
    <w:rsid w:val="00143D8F"/>
    <w:rsid w:val="0014546E"/>
    <w:rsid w:val="001454A7"/>
    <w:rsid w:val="00146E7F"/>
    <w:rsid w:val="0015080F"/>
    <w:rsid w:val="00150BEB"/>
    <w:rsid w:val="001514DF"/>
    <w:rsid w:val="00151FA9"/>
    <w:rsid w:val="001536F2"/>
    <w:rsid w:val="001558A0"/>
    <w:rsid w:val="00155A58"/>
    <w:rsid w:val="0015608A"/>
    <w:rsid w:val="00161135"/>
    <w:rsid w:val="00162F00"/>
    <w:rsid w:val="00164603"/>
    <w:rsid w:val="001652E6"/>
    <w:rsid w:val="001655C8"/>
    <w:rsid w:val="00165B39"/>
    <w:rsid w:val="0016715D"/>
    <w:rsid w:val="001677A0"/>
    <w:rsid w:val="00171FA1"/>
    <w:rsid w:val="00172890"/>
    <w:rsid w:val="0017397B"/>
    <w:rsid w:val="00177753"/>
    <w:rsid w:val="00180EEF"/>
    <w:rsid w:val="00181C27"/>
    <w:rsid w:val="00182224"/>
    <w:rsid w:val="00182D0C"/>
    <w:rsid w:val="0018311B"/>
    <w:rsid w:val="001843A3"/>
    <w:rsid w:val="0018596D"/>
    <w:rsid w:val="00187F2A"/>
    <w:rsid w:val="0019003B"/>
    <w:rsid w:val="00191751"/>
    <w:rsid w:val="00191F76"/>
    <w:rsid w:val="001922F5"/>
    <w:rsid w:val="0019236E"/>
    <w:rsid w:val="00192388"/>
    <w:rsid w:val="00195BC3"/>
    <w:rsid w:val="00195F3E"/>
    <w:rsid w:val="001A0DCF"/>
    <w:rsid w:val="001A1F09"/>
    <w:rsid w:val="001A3189"/>
    <w:rsid w:val="001A3CB0"/>
    <w:rsid w:val="001A3CE2"/>
    <w:rsid w:val="001A4CB1"/>
    <w:rsid w:val="001A52E4"/>
    <w:rsid w:val="001A5A68"/>
    <w:rsid w:val="001A6AAA"/>
    <w:rsid w:val="001B01B7"/>
    <w:rsid w:val="001B0810"/>
    <w:rsid w:val="001B243F"/>
    <w:rsid w:val="001B2976"/>
    <w:rsid w:val="001B38DF"/>
    <w:rsid w:val="001B4F0F"/>
    <w:rsid w:val="001B7748"/>
    <w:rsid w:val="001C02D0"/>
    <w:rsid w:val="001C47C4"/>
    <w:rsid w:val="001C5FA5"/>
    <w:rsid w:val="001C620D"/>
    <w:rsid w:val="001D009D"/>
    <w:rsid w:val="001D15D9"/>
    <w:rsid w:val="001D1E51"/>
    <w:rsid w:val="001D3B45"/>
    <w:rsid w:val="001D4905"/>
    <w:rsid w:val="001D5B09"/>
    <w:rsid w:val="001D701D"/>
    <w:rsid w:val="001E064C"/>
    <w:rsid w:val="001E1479"/>
    <w:rsid w:val="001E2162"/>
    <w:rsid w:val="001E4253"/>
    <w:rsid w:val="001F0869"/>
    <w:rsid w:val="001F1C46"/>
    <w:rsid w:val="001F2D84"/>
    <w:rsid w:val="001F3FA2"/>
    <w:rsid w:val="001F6C62"/>
    <w:rsid w:val="001F737A"/>
    <w:rsid w:val="001F746F"/>
    <w:rsid w:val="001F7877"/>
    <w:rsid w:val="0020047B"/>
    <w:rsid w:val="002053C2"/>
    <w:rsid w:val="002070D7"/>
    <w:rsid w:val="00212B46"/>
    <w:rsid w:val="00215A4D"/>
    <w:rsid w:val="00217EB0"/>
    <w:rsid w:val="00221552"/>
    <w:rsid w:val="0022239E"/>
    <w:rsid w:val="002238D5"/>
    <w:rsid w:val="002244EE"/>
    <w:rsid w:val="0022520A"/>
    <w:rsid w:val="00226879"/>
    <w:rsid w:val="00227A6F"/>
    <w:rsid w:val="00227F95"/>
    <w:rsid w:val="002313C2"/>
    <w:rsid w:val="00231B54"/>
    <w:rsid w:val="00232D53"/>
    <w:rsid w:val="00234E3B"/>
    <w:rsid w:val="00236629"/>
    <w:rsid w:val="00237079"/>
    <w:rsid w:val="002402EF"/>
    <w:rsid w:val="00241194"/>
    <w:rsid w:val="00242649"/>
    <w:rsid w:val="00242ADD"/>
    <w:rsid w:val="00242EE0"/>
    <w:rsid w:val="00243069"/>
    <w:rsid w:val="00245361"/>
    <w:rsid w:val="00251075"/>
    <w:rsid w:val="00252ECD"/>
    <w:rsid w:val="00253AC1"/>
    <w:rsid w:val="002553B7"/>
    <w:rsid w:val="00257345"/>
    <w:rsid w:val="002601EF"/>
    <w:rsid w:val="00264281"/>
    <w:rsid w:val="00267239"/>
    <w:rsid w:val="00267D49"/>
    <w:rsid w:val="00270026"/>
    <w:rsid w:val="00270539"/>
    <w:rsid w:val="0027149A"/>
    <w:rsid w:val="002721A8"/>
    <w:rsid w:val="00272F68"/>
    <w:rsid w:val="002747AC"/>
    <w:rsid w:val="00275AF5"/>
    <w:rsid w:val="00276F91"/>
    <w:rsid w:val="0028014A"/>
    <w:rsid w:val="00280ECD"/>
    <w:rsid w:val="0028109A"/>
    <w:rsid w:val="002811DB"/>
    <w:rsid w:val="00281686"/>
    <w:rsid w:val="0028289A"/>
    <w:rsid w:val="00283CA1"/>
    <w:rsid w:val="00290568"/>
    <w:rsid w:val="00290E78"/>
    <w:rsid w:val="00291836"/>
    <w:rsid w:val="00293F19"/>
    <w:rsid w:val="00294E5B"/>
    <w:rsid w:val="00294E8F"/>
    <w:rsid w:val="00294F89"/>
    <w:rsid w:val="00295458"/>
    <w:rsid w:val="002977C7"/>
    <w:rsid w:val="00297EBA"/>
    <w:rsid w:val="002A010A"/>
    <w:rsid w:val="002A28AB"/>
    <w:rsid w:val="002A2C60"/>
    <w:rsid w:val="002A525D"/>
    <w:rsid w:val="002A64E8"/>
    <w:rsid w:val="002A6FCB"/>
    <w:rsid w:val="002B2423"/>
    <w:rsid w:val="002B60D8"/>
    <w:rsid w:val="002B6AEA"/>
    <w:rsid w:val="002B7DDC"/>
    <w:rsid w:val="002C1DEA"/>
    <w:rsid w:val="002C27F8"/>
    <w:rsid w:val="002C39A1"/>
    <w:rsid w:val="002C5934"/>
    <w:rsid w:val="002C6119"/>
    <w:rsid w:val="002D0007"/>
    <w:rsid w:val="002D0BA3"/>
    <w:rsid w:val="002D3955"/>
    <w:rsid w:val="002D6691"/>
    <w:rsid w:val="002D6DBF"/>
    <w:rsid w:val="002D7402"/>
    <w:rsid w:val="002D76EF"/>
    <w:rsid w:val="002E083D"/>
    <w:rsid w:val="002E0A03"/>
    <w:rsid w:val="002E0EAB"/>
    <w:rsid w:val="002E3B16"/>
    <w:rsid w:val="002E3D40"/>
    <w:rsid w:val="002E4670"/>
    <w:rsid w:val="002E5505"/>
    <w:rsid w:val="002E5D2F"/>
    <w:rsid w:val="002E60C5"/>
    <w:rsid w:val="002E6B95"/>
    <w:rsid w:val="002E7076"/>
    <w:rsid w:val="002F02D3"/>
    <w:rsid w:val="002F11EC"/>
    <w:rsid w:val="002F4D72"/>
    <w:rsid w:val="002F6E27"/>
    <w:rsid w:val="003029A1"/>
    <w:rsid w:val="00303039"/>
    <w:rsid w:val="003036C2"/>
    <w:rsid w:val="00303FAA"/>
    <w:rsid w:val="00305C11"/>
    <w:rsid w:val="003068B9"/>
    <w:rsid w:val="003102E0"/>
    <w:rsid w:val="00311B32"/>
    <w:rsid w:val="00312B56"/>
    <w:rsid w:val="00313DD9"/>
    <w:rsid w:val="0031536B"/>
    <w:rsid w:val="00315810"/>
    <w:rsid w:val="003168E8"/>
    <w:rsid w:val="00317551"/>
    <w:rsid w:val="00321EA3"/>
    <w:rsid w:val="00322A63"/>
    <w:rsid w:val="0032402A"/>
    <w:rsid w:val="0032505E"/>
    <w:rsid w:val="003251CE"/>
    <w:rsid w:val="0032589A"/>
    <w:rsid w:val="00326ACA"/>
    <w:rsid w:val="0032762F"/>
    <w:rsid w:val="0033043E"/>
    <w:rsid w:val="00334464"/>
    <w:rsid w:val="00335633"/>
    <w:rsid w:val="00335F38"/>
    <w:rsid w:val="00336FBE"/>
    <w:rsid w:val="00340670"/>
    <w:rsid w:val="00346C44"/>
    <w:rsid w:val="003508C2"/>
    <w:rsid w:val="00351282"/>
    <w:rsid w:val="00352FE2"/>
    <w:rsid w:val="003533EC"/>
    <w:rsid w:val="0035560A"/>
    <w:rsid w:val="00355805"/>
    <w:rsid w:val="00356267"/>
    <w:rsid w:val="00356ACC"/>
    <w:rsid w:val="003600B7"/>
    <w:rsid w:val="00361079"/>
    <w:rsid w:val="00361216"/>
    <w:rsid w:val="00363425"/>
    <w:rsid w:val="00363A93"/>
    <w:rsid w:val="00365B35"/>
    <w:rsid w:val="00366A52"/>
    <w:rsid w:val="0036709C"/>
    <w:rsid w:val="003708C1"/>
    <w:rsid w:val="003708C9"/>
    <w:rsid w:val="00371F77"/>
    <w:rsid w:val="003722FF"/>
    <w:rsid w:val="003751A5"/>
    <w:rsid w:val="00375494"/>
    <w:rsid w:val="00376318"/>
    <w:rsid w:val="003774E2"/>
    <w:rsid w:val="00377708"/>
    <w:rsid w:val="003777CA"/>
    <w:rsid w:val="0038069F"/>
    <w:rsid w:val="00380E7A"/>
    <w:rsid w:val="003856AF"/>
    <w:rsid w:val="00385F66"/>
    <w:rsid w:val="003866D7"/>
    <w:rsid w:val="003866F4"/>
    <w:rsid w:val="003902B0"/>
    <w:rsid w:val="00391DB4"/>
    <w:rsid w:val="0039361A"/>
    <w:rsid w:val="00393A86"/>
    <w:rsid w:val="003A0273"/>
    <w:rsid w:val="003A049B"/>
    <w:rsid w:val="003A1B59"/>
    <w:rsid w:val="003A1DB2"/>
    <w:rsid w:val="003A1E13"/>
    <w:rsid w:val="003A2850"/>
    <w:rsid w:val="003A627E"/>
    <w:rsid w:val="003A6F67"/>
    <w:rsid w:val="003B1CBB"/>
    <w:rsid w:val="003B3067"/>
    <w:rsid w:val="003B39AC"/>
    <w:rsid w:val="003B3D31"/>
    <w:rsid w:val="003B4E8B"/>
    <w:rsid w:val="003B6EC2"/>
    <w:rsid w:val="003B70B1"/>
    <w:rsid w:val="003C0CBC"/>
    <w:rsid w:val="003C1184"/>
    <w:rsid w:val="003C12F4"/>
    <w:rsid w:val="003C1BFC"/>
    <w:rsid w:val="003C2314"/>
    <w:rsid w:val="003C4D8C"/>
    <w:rsid w:val="003C57AD"/>
    <w:rsid w:val="003C6097"/>
    <w:rsid w:val="003C671E"/>
    <w:rsid w:val="003C6D3B"/>
    <w:rsid w:val="003C7BB0"/>
    <w:rsid w:val="003D0FCC"/>
    <w:rsid w:val="003D3334"/>
    <w:rsid w:val="003D4D6C"/>
    <w:rsid w:val="003D6D0C"/>
    <w:rsid w:val="003D6D3E"/>
    <w:rsid w:val="003D7278"/>
    <w:rsid w:val="003D72A2"/>
    <w:rsid w:val="003E0D04"/>
    <w:rsid w:val="003E2C53"/>
    <w:rsid w:val="003E2F15"/>
    <w:rsid w:val="003E3AA2"/>
    <w:rsid w:val="003E3ACB"/>
    <w:rsid w:val="003F0FD5"/>
    <w:rsid w:val="003F2123"/>
    <w:rsid w:val="003F2EE2"/>
    <w:rsid w:val="003F35D9"/>
    <w:rsid w:val="003F3E74"/>
    <w:rsid w:val="003F76A6"/>
    <w:rsid w:val="004054A6"/>
    <w:rsid w:val="004061B4"/>
    <w:rsid w:val="0040671C"/>
    <w:rsid w:val="00410767"/>
    <w:rsid w:val="0041324D"/>
    <w:rsid w:val="00413B0A"/>
    <w:rsid w:val="00416966"/>
    <w:rsid w:val="00417E96"/>
    <w:rsid w:val="00420329"/>
    <w:rsid w:val="0042154D"/>
    <w:rsid w:val="0042220C"/>
    <w:rsid w:val="004229F5"/>
    <w:rsid w:val="00424B4F"/>
    <w:rsid w:val="0042503F"/>
    <w:rsid w:val="00425897"/>
    <w:rsid w:val="0043513A"/>
    <w:rsid w:val="0043613B"/>
    <w:rsid w:val="00437C34"/>
    <w:rsid w:val="004439AA"/>
    <w:rsid w:val="00443EC2"/>
    <w:rsid w:val="00450195"/>
    <w:rsid w:val="00451C97"/>
    <w:rsid w:val="00451D7D"/>
    <w:rsid w:val="0045586F"/>
    <w:rsid w:val="004558C0"/>
    <w:rsid w:val="00455AD3"/>
    <w:rsid w:val="00456F86"/>
    <w:rsid w:val="0046003D"/>
    <w:rsid w:val="004603C8"/>
    <w:rsid w:val="004603F1"/>
    <w:rsid w:val="00460570"/>
    <w:rsid w:val="00460C34"/>
    <w:rsid w:val="00460EFA"/>
    <w:rsid w:val="00466577"/>
    <w:rsid w:val="00471ECD"/>
    <w:rsid w:val="00472C81"/>
    <w:rsid w:val="004743A9"/>
    <w:rsid w:val="00474F36"/>
    <w:rsid w:val="00480A3B"/>
    <w:rsid w:val="00480F81"/>
    <w:rsid w:val="004814F3"/>
    <w:rsid w:val="004819E3"/>
    <w:rsid w:val="00481B90"/>
    <w:rsid w:val="00482943"/>
    <w:rsid w:val="004838A0"/>
    <w:rsid w:val="004840D3"/>
    <w:rsid w:val="00484668"/>
    <w:rsid w:val="004848CB"/>
    <w:rsid w:val="0048538B"/>
    <w:rsid w:val="00485BB3"/>
    <w:rsid w:val="00486BAF"/>
    <w:rsid w:val="00490CEB"/>
    <w:rsid w:val="004914EE"/>
    <w:rsid w:val="00491C2E"/>
    <w:rsid w:val="00493EA5"/>
    <w:rsid w:val="00494C9D"/>
    <w:rsid w:val="004961DB"/>
    <w:rsid w:val="00496320"/>
    <w:rsid w:val="00497B6C"/>
    <w:rsid w:val="004A050A"/>
    <w:rsid w:val="004A082D"/>
    <w:rsid w:val="004A16A1"/>
    <w:rsid w:val="004A17DF"/>
    <w:rsid w:val="004A21FB"/>
    <w:rsid w:val="004A2FE2"/>
    <w:rsid w:val="004A2FEC"/>
    <w:rsid w:val="004A3BE2"/>
    <w:rsid w:val="004A6352"/>
    <w:rsid w:val="004A6652"/>
    <w:rsid w:val="004A6F59"/>
    <w:rsid w:val="004B12F8"/>
    <w:rsid w:val="004B31B1"/>
    <w:rsid w:val="004B3CC5"/>
    <w:rsid w:val="004B436D"/>
    <w:rsid w:val="004B5DDF"/>
    <w:rsid w:val="004C0353"/>
    <w:rsid w:val="004C0E3A"/>
    <w:rsid w:val="004C20B8"/>
    <w:rsid w:val="004C2476"/>
    <w:rsid w:val="004C277E"/>
    <w:rsid w:val="004C27A4"/>
    <w:rsid w:val="004C308D"/>
    <w:rsid w:val="004C449E"/>
    <w:rsid w:val="004C50A7"/>
    <w:rsid w:val="004C5CC7"/>
    <w:rsid w:val="004C5CF6"/>
    <w:rsid w:val="004C7DF1"/>
    <w:rsid w:val="004D09EE"/>
    <w:rsid w:val="004D39C5"/>
    <w:rsid w:val="004D5277"/>
    <w:rsid w:val="004D604F"/>
    <w:rsid w:val="004D715A"/>
    <w:rsid w:val="004D77D4"/>
    <w:rsid w:val="004D782F"/>
    <w:rsid w:val="004D7DBE"/>
    <w:rsid w:val="004E03D3"/>
    <w:rsid w:val="004E2C0D"/>
    <w:rsid w:val="004E6041"/>
    <w:rsid w:val="004E6404"/>
    <w:rsid w:val="004E7662"/>
    <w:rsid w:val="004E7777"/>
    <w:rsid w:val="004F139A"/>
    <w:rsid w:val="004F3E02"/>
    <w:rsid w:val="004F3F8A"/>
    <w:rsid w:val="004F45FA"/>
    <w:rsid w:val="004F5BA4"/>
    <w:rsid w:val="004F6210"/>
    <w:rsid w:val="00501ABF"/>
    <w:rsid w:val="00502FCA"/>
    <w:rsid w:val="005031F3"/>
    <w:rsid w:val="00503318"/>
    <w:rsid w:val="00503E11"/>
    <w:rsid w:val="00504AAE"/>
    <w:rsid w:val="00505657"/>
    <w:rsid w:val="00505E6D"/>
    <w:rsid w:val="0050603A"/>
    <w:rsid w:val="00507E98"/>
    <w:rsid w:val="0051163B"/>
    <w:rsid w:val="0051187F"/>
    <w:rsid w:val="00511A08"/>
    <w:rsid w:val="00512A8D"/>
    <w:rsid w:val="0051651C"/>
    <w:rsid w:val="00516C98"/>
    <w:rsid w:val="0051710E"/>
    <w:rsid w:val="00517898"/>
    <w:rsid w:val="00520052"/>
    <w:rsid w:val="00520E16"/>
    <w:rsid w:val="00521686"/>
    <w:rsid w:val="00522A22"/>
    <w:rsid w:val="00522DE1"/>
    <w:rsid w:val="005230F3"/>
    <w:rsid w:val="00525166"/>
    <w:rsid w:val="005262CE"/>
    <w:rsid w:val="0052687D"/>
    <w:rsid w:val="00530D8F"/>
    <w:rsid w:val="00532DFF"/>
    <w:rsid w:val="0053333C"/>
    <w:rsid w:val="00533ECF"/>
    <w:rsid w:val="00534178"/>
    <w:rsid w:val="005349E2"/>
    <w:rsid w:val="00536F8F"/>
    <w:rsid w:val="005404DF"/>
    <w:rsid w:val="005404F1"/>
    <w:rsid w:val="0054111A"/>
    <w:rsid w:val="00541DC0"/>
    <w:rsid w:val="005446C0"/>
    <w:rsid w:val="00544AF6"/>
    <w:rsid w:val="0054675E"/>
    <w:rsid w:val="005474DF"/>
    <w:rsid w:val="00550249"/>
    <w:rsid w:val="00550AA4"/>
    <w:rsid w:val="00551411"/>
    <w:rsid w:val="00551811"/>
    <w:rsid w:val="00552721"/>
    <w:rsid w:val="00552A8B"/>
    <w:rsid w:val="00553125"/>
    <w:rsid w:val="00553D94"/>
    <w:rsid w:val="005555F8"/>
    <w:rsid w:val="00555DDA"/>
    <w:rsid w:val="00556C1E"/>
    <w:rsid w:val="005604E0"/>
    <w:rsid w:val="00561913"/>
    <w:rsid w:val="00562403"/>
    <w:rsid w:val="00563332"/>
    <w:rsid w:val="00564F32"/>
    <w:rsid w:val="0056572F"/>
    <w:rsid w:val="0057335D"/>
    <w:rsid w:val="005739CB"/>
    <w:rsid w:val="00574808"/>
    <w:rsid w:val="0057593E"/>
    <w:rsid w:val="00577994"/>
    <w:rsid w:val="005801D7"/>
    <w:rsid w:val="005807B2"/>
    <w:rsid w:val="00581250"/>
    <w:rsid w:val="00581E81"/>
    <w:rsid w:val="00583034"/>
    <w:rsid w:val="0058658F"/>
    <w:rsid w:val="00591A76"/>
    <w:rsid w:val="00592941"/>
    <w:rsid w:val="00593B0D"/>
    <w:rsid w:val="00594672"/>
    <w:rsid w:val="00594EC7"/>
    <w:rsid w:val="0059558F"/>
    <w:rsid w:val="00596768"/>
    <w:rsid w:val="00596E5A"/>
    <w:rsid w:val="005A11EB"/>
    <w:rsid w:val="005A1838"/>
    <w:rsid w:val="005A3647"/>
    <w:rsid w:val="005A3724"/>
    <w:rsid w:val="005A3A5C"/>
    <w:rsid w:val="005A3B8E"/>
    <w:rsid w:val="005A4A37"/>
    <w:rsid w:val="005A551C"/>
    <w:rsid w:val="005A6463"/>
    <w:rsid w:val="005A661F"/>
    <w:rsid w:val="005A694C"/>
    <w:rsid w:val="005A697C"/>
    <w:rsid w:val="005A6E54"/>
    <w:rsid w:val="005B122C"/>
    <w:rsid w:val="005B2BA8"/>
    <w:rsid w:val="005B3766"/>
    <w:rsid w:val="005B4CE8"/>
    <w:rsid w:val="005B5C72"/>
    <w:rsid w:val="005B6299"/>
    <w:rsid w:val="005C0676"/>
    <w:rsid w:val="005C1A47"/>
    <w:rsid w:val="005C28C3"/>
    <w:rsid w:val="005C5816"/>
    <w:rsid w:val="005C6621"/>
    <w:rsid w:val="005C72DF"/>
    <w:rsid w:val="005C789B"/>
    <w:rsid w:val="005D17D1"/>
    <w:rsid w:val="005D5BDE"/>
    <w:rsid w:val="005E0BB1"/>
    <w:rsid w:val="005E1EF0"/>
    <w:rsid w:val="005E2517"/>
    <w:rsid w:val="005E4A02"/>
    <w:rsid w:val="005E5A2A"/>
    <w:rsid w:val="005E6CCD"/>
    <w:rsid w:val="005E6FB6"/>
    <w:rsid w:val="005E77EB"/>
    <w:rsid w:val="005E78C0"/>
    <w:rsid w:val="005E7FD5"/>
    <w:rsid w:val="005F3738"/>
    <w:rsid w:val="005F645A"/>
    <w:rsid w:val="005F66CD"/>
    <w:rsid w:val="005F765A"/>
    <w:rsid w:val="005F7DFC"/>
    <w:rsid w:val="0060353B"/>
    <w:rsid w:val="006042F3"/>
    <w:rsid w:val="006069D8"/>
    <w:rsid w:val="00607373"/>
    <w:rsid w:val="00607A0D"/>
    <w:rsid w:val="00610667"/>
    <w:rsid w:val="006135B5"/>
    <w:rsid w:val="00613CCA"/>
    <w:rsid w:val="00614B9D"/>
    <w:rsid w:val="006150E8"/>
    <w:rsid w:val="006154A4"/>
    <w:rsid w:val="00615B81"/>
    <w:rsid w:val="00616258"/>
    <w:rsid w:val="006222E7"/>
    <w:rsid w:val="0062355F"/>
    <w:rsid w:val="006242C3"/>
    <w:rsid w:val="006243D9"/>
    <w:rsid w:val="00626CC7"/>
    <w:rsid w:val="0062732A"/>
    <w:rsid w:val="0063431D"/>
    <w:rsid w:val="006346C1"/>
    <w:rsid w:val="00634DF4"/>
    <w:rsid w:val="006362C4"/>
    <w:rsid w:val="006366F8"/>
    <w:rsid w:val="006369A3"/>
    <w:rsid w:val="00641417"/>
    <w:rsid w:val="0064141D"/>
    <w:rsid w:val="006414E0"/>
    <w:rsid w:val="00642B2D"/>
    <w:rsid w:val="00643ACC"/>
    <w:rsid w:val="00645832"/>
    <w:rsid w:val="00651DF8"/>
    <w:rsid w:val="00652082"/>
    <w:rsid w:val="00652330"/>
    <w:rsid w:val="006524B3"/>
    <w:rsid w:val="006524C9"/>
    <w:rsid w:val="00652AB0"/>
    <w:rsid w:val="00652D45"/>
    <w:rsid w:val="00653F2D"/>
    <w:rsid w:val="00654F95"/>
    <w:rsid w:val="00661517"/>
    <w:rsid w:val="00662EBC"/>
    <w:rsid w:val="00664A3D"/>
    <w:rsid w:val="00665AA7"/>
    <w:rsid w:val="006735C8"/>
    <w:rsid w:val="00673AAD"/>
    <w:rsid w:val="00676B44"/>
    <w:rsid w:val="00680EBF"/>
    <w:rsid w:val="0068158D"/>
    <w:rsid w:val="0068359E"/>
    <w:rsid w:val="00686535"/>
    <w:rsid w:val="0068695F"/>
    <w:rsid w:val="0068707B"/>
    <w:rsid w:val="0069001F"/>
    <w:rsid w:val="0069075C"/>
    <w:rsid w:val="006909B9"/>
    <w:rsid w:val="0069262A"/>
    <w:rsid w:val="006959F1"/>
    <w:rsid w:val="00695B4D"/>
    <w:rsid w:val="00696BAC"/>
    <w:rsid w:val="006A04E8"/>
    <w:rsid w:val="006A0BB7"/>
    <w:rsid w:val="006A4830"/>
    <w:rsid w:val="006A52FD"/>
    <w:rsid w:val="006A5569"/>
    <w:rsid w:val="006A7252"/>
    <w:rsid w:val="006B4836"/>
    <w:rsid w:val="006B5827"/>
    <w:rsid w:val="006B5F71"/>
    <w:rsid w:val="006B6227"/>
    <w:rsid w:val="006B6E97"/>
    <w:rsid w:val="006B72F5"/>
    <w:rsid w:val="006B7CAC"/>
    <w:rsid w:val="006C009C"/>
    <w:rsid w:val="006C02CE"/>
    <w:rsid w:val="006C3C12"/>
    <w:rsid w:val="006C4303"/>
    <w:rsid w:val="006C4D08"/>
    <w:rsid w:val="006C588C"/>
    <w:rsid w:val="006C6E28"/>
    <w:rsid w:val="006D3677"/>
    <w:rsid w:val="006D37C7"/>
    <w:rsid w:val="006D4259"/>
    <w:rsid w:val="006D5D11"/>
    <w:rsid w:val="006D6326"/>
    <w:rsid w:val="006E0B58"/>
    <w:rsid w:val="006E3526"/>
    <w:rsid w:val="006E5A51"/>
    <w:rsid w:val="006E6BA2"/>
    <w:rsid w:val="006F266B"/>
    <w:rsid w:val="006F2864"/>
    <w:rsid w:val="006F5D28"/>
    <w:rsid w:val="0070233F"/>
    <w:rsid w:val="007038C2"/>
    <w:rsid w:val="00703E70"/>
    <w:rsid w:val="00704C39"/>
    <w:rsid w:val="00704D38"/>
    <w:rsid w:val="00706100"/>
    <w:rsid w:val="007068E6"/>
    <w:rsid w:val="00710C9C"/>
    <w:rsid w:val="00712203"/>
    <w:rsid w:val="00713786"/>
    <w:rsid w:val="00713ABA"/>
    <w:rsid w:val="0071676C"/>
    <w:rsid w:val="00716D7C"/>
    <w:rsid w:val="00716FE0"/>
    <w:rsid w:val="007203B3"/>
    <w:rsid w:val="0072354E"/>
    <w:rsid w:val="007241CA"/>
    <w:rsid w:val="00724397"/>
    <w:rsid w:val="007250CB"/>
    <w:rsid w:val="00725234"/>
    <w:rsid w:val="00725A13"/>
    <w:rsid w:val="00726243"/>
    <w:rsid w:val="007263C0"/>
    <w:rsid w:val="0073076D"/>
    <w:rsid w:val="0073089C"/>
    <w:rsid w:val="007308C6"/>
    <w:rsid w:val="007339D4"/>
    <w:rsid w:val="00734080"/>
    <w:rsid w:val="00734101"/>
    <w:rsid w:val="007343F2"/>
    <w:rsid w:val="00734511"/>
    <w:rsid w:val="007353AB"/>
    <w:rsid w:val="007370CC"/>
    <w:rsid w:val="0073771F"/>
    <w:rsid w:val="007443AC"/>
    <w:rsid w:val="007445BA"/>
    <w:rsid w:val="0074534E"/>
    <w:rsid w:val="00745B3F"/>
    <w:rsid w:val="00746C8A"/>
    <w:rsid w:val="00751268"/>
    <w:rsid w:val="00752FE0"/>
    <w:rsid w:val="007531FB"/>
    <w:rsid w:val="007544CE"/>
    <w:rsid w:val="00754C7D"/>
    <w:rsid w:val="00760653"/>
    <w:rsid w:val="00760D62"/>
    <w:rsid w:val="00761773"/>
    <w:rsid w:val="0076305C"/>
    <w:rsid w:val="0076334E"/>
    <w:rsid w:val="007638EF"/>
    <w:rsid w:val="00763A3E"/>
    <w:rsid w:val="00764CBA"/>
    <w:rsid w:val="00767F84"/>
    <w:rsid w:val="00770213"/>
    <w:rsid w:val="007709C1"/>
    <w:rsid w:val="007713D0"/>
    <w:rsid w:val="007714D2"/>
    <w:rsid w:val="00771DF1"/>
    <w:rsid w:val="0077291E"/>
    <w:rsid w:val="007732AB"/>
    <w:rsid w:val="00775075"/>
    <w:rsid w:val="00776417"/>
    <w:rsid w:val="00777403"/>
    <w:rsid w:val="007817C8"/>
    <w:rsid w:val="00781F26"/>
    <w:rsid w:val="00783D8C"/>
    <w:rsid w:val="0078661D"/>
    <w:rsid w:val="007873EA"/>
    <w:rsid w:val="00791984"/>
    <w:rsid w:val="0079282A"/>
    <w:rsid w:val="00795DA7"/>
    <w:rsid w:val="007968FF"/>
    <w:rsid w:val="007971F8"/>
    <w:rsid w:val="007A0BA8"/>
    <w:rsid w:val="007A17D0"/>
    <w:rsid w:val="007A1B8B"/>
    <w:rsid w:val="007A367F"/>
    <w:rsid w:val="007A62AA"/>
    <w:rsid w:val="007A6431"/>
    <w:rsid w:val="007B19AC"/>
    <w:rsid w:val="007B40EB"/>
    <w:rsid w:val="007B472A"/>
    <w:rsid w:val="007B4BA6"/>
    <w:rsid w:val="007B5466"/>
    <w:rsid w:val="007B5E6F"/>
    <w:rsid w:val="007B7953"/>
    <w:rsid w:val="007C1998"/>
    <w:rsid w:val="007C1D40"/>
    <w:rsid w:val="007C4D88"/>
    <w:rsid w:val="007C5B67"/>
    <w:rsid w:val="007C6989"/>
    <w:rsid w:val="007C7232"/>
    <w:rsid w:val="007C7574"/>
    <w:rsid w:val="007C77B3"/>
    <w:rsid w:val="007D0389"/>
    <w:rsid w:val="007D1867"/>
    <w:rsid w:val="007D3E57"/>
    <w:rsid w:val="007D4D7E"/>
    <w:rsid w:val="007D549F"/>
    <w:rsid w:val="007D600B"/>
    <w:rsid w:val="007E0ACE"/>
    <w:rsid w:val="007E11BA"/>
    <w:rsid w:val="007E21EB"/>
    <w:rsid w:val="007E3CF7"/>
    <w:rsid w:val="007E4A9C"/>
    <w:rsid w:val="007E5C7D"/>
    <w:rsid w:val="007E5FF0"/>
    <w:rsid w:val="007E6F47"/>
    <w:rsid w:val="007E705B"/>
    <w:rsid w:val="007E7B77"/>
    <w:rsid w:val="007F00C0"/>
    <w:rsid w:val="007F1076"/>
    <w:rsid w:val="007F1509"/>
    <w:rsid w:val="007F1615"/>
    <w:rsid w:val="007F171A"/>
    <w:rsid w:val="007F3981"/>
    <w:rsid w:val="007F4063"/>
    <w:rsid w:val="007F5065"/>
    <w:rsid w:val="007F5777"/>
    <w:rsid w:val="007F689E"/>
    <w:rsid w:val="007F6D91"/>
    <w:rsid w:val="007F7B87"/>
    <w:rsid w:val="0080024E"/>
    <w:rsid w:val="008008BF"/>
    <w:rsid w:val="00801A0E"/>
    <w:rsid w:val="00801D24"/>
    <w:rsid w:val="00802499"/>
    <w:rsid w:val="00804671"/>
    <w:rsid w:val="00805C10"/>
    <w:rsid w:val="00806579"/>
    <w:rsid w:val="008079E3"/>
    <w:rsid w:val="00811982"/>
    <w:rsid w:val="00813463"/>
    <w:rsid w:val="00813BFD"/>
    <w:rsid w:val="0081446A"/>
    <w:rsid w:val="008144A3"/>
    <w:rsid w:val="00815429"/>
    <w:rsid w:val="008166E6"/>
    <w:rsid w:val="00816E76"/>
    <w:rsid w:val="00817D57"/>
    <w:rsid w:val="00822A98"/>
    <w:rsid w:val="00822BFD"/>
    <w:rsid w:val="008235EE"/>
    <w:rsid w:val="00824086"/>
    <w:rsid w:val="00825D77"/>
    <w:rsid w:val="008314BF"/>
    <w:rsid w:val="00831A2B"/>
    <w:rsid w:val="00831B6F"/>
    <w:rsid w:val="0083249B"/>
    <w:rsid w:val="00834E34"/>
    <w:rsid w:val="0083723D"/>
    <w:rsid w:val="00840310"/>
    <w:rsid w:val="008414FA"/>
    <w:rsid w:val="0084176D"/>
    <w:rsid w:val="00842FED"/>
    <w:rsid w:val="00844702"/>
    <w:rsid w:val="00844B75"/>
    <w:rsid w:val="00845F50"/>
    <w:rsid w:val="00847F56"/>
    <w:rsid w:val="008511AE"/>
    <w:rsid w:val="00851545"/>
    <w:rsid w:val="00852591"/>
    <w:rsid w:val="00852745"/>
    <w:rsid w:val="00852B9F"/>
    <w:rsid w:val="008537DA"/>
    <w:rsid w:val="00855D1F"/>
    <w:rsid w:val="0085723F"/>
    <w:rsid w:val="00863688"/>
    <w:rsid w:val="00864BB5"/>
    <w:rsid w:val="00864E86"/>
    <w:rsid w:val="00865402"/>
    <w:rsid w:val="008705B7"/>
    <w:rsid w:val="008709D9"/>
    <w:rsid w:val="00870D81"/>
    <w:rsid w:val="00871C98"/>
    <w:rsid w:val="008733AA"/>
    <w:rsid w:val="00873EB6"/>
    <w:rsid w:val="008745F9"/>
    <w:rsid w:val="00880AA6"/>
    <w:rsid w:val="00881B1C"/>
    <w:rsid w:val="008821DA"/>
    <w:rsid w:val="00887D56"/>
    <w:rsid w:val="008905D4"/>
    <w:rsid w:val="008908F7"/>
    <w:rsid w:val="00892E30"/>
    <w:rsid w:val="00893ECA"/>
    <w:rsid w:val="00894260"/>
    <w:rsid w:val="00894343"/>
    <w:rsid w:val="00896E91"/>
    <w:rsid w:val="008974EB"/>
    <w:rsid w:val="008A281D"/>
    <w:rsid w:val="008A47D6"/>
    <w:rsid w:val="008A49E3"/>
    <w:rsid w:val="008A5EA7"/>
    <w:rsid w:val="008A6794"/>
    <w:rsid w:val="008B0124"/>
    <w:rsid w:val="008B0C05"/>
    <w:rsid w:val="008B1062"/>
    <w:rsid w:val="008B1580"/>
    <w:rsid w:val="008B2A82"/>
    <w:rsid w:val="008B49D3"/>
    <w:rsid w:val="008B5DCA"/>
    <w:rsid w:val="008B795A"/>
    <w:rsid w:val="008C354E"/>
    <w:rsid w:val="008C423F"/>
    <w:rsid w:val="008C442C"/>
    <w:rsid w:val="008C4C41"/>
    <w:rsid w:val="008C53FE"/>
    <w:rsid w:val="008C6F8A"/>
    <w:rsid w:val="008D08EF"/>
    <w:rsid w:val="008D0A57"/>
    <w:rsid w:val="008D0BAD"/>
    <w:rsid w:val="008D11AA"/>
    <w:rsid w:val="008D1DDE"/>
    <w:rsid w:val="008D73BC"/>
    <w:rsid w:val="008D771D"/>
    <w:rsid w:val="008E05C0"/>
    <w:rsid w:val="008E25CF"/>
    <w:rsid w:val="008E3990"/>
    <w:rsid w:val="008E44D2"/>
    <w:rsid w:val="008F0156"/>
    <w:rsid w:val="008F1775"/>
    <w:rsid w:val="008F2548"/>
    <w:rsid w:val="008F3AAA"/>
    <w:rsid w:val="008F5506"/>
    <w:rsid w:val="008F6E8B"/>
    <w:rsid w:val="0090257D"/>
    <w:rsid w:val="0090267D"/>
    <w:rsid w:val="00905755"/>
    <w:rsid w:val="00905C4D"/>
    <w:rsid w:val="009071C1"/>
    <w:rsid w:val="00910AED"/>
    <w:rsid w:val="00912472"/>
    <w:rsid w:val="00912DC2"/>
    <w:rsid w:val="009139F7"/>
    <w:rsid w:val="00913A98"/>
    <w:rsid w:val="00914368"/>
    <w:rsid w:val="009155CB"/>
    <w:rsid w:val="00920549"/>
    <w:rsid w:val="00922E91"/>
    <w:rsid w:val="00925656"/>
    <w:rsid w:val="00927B0C"/>
    <w:rsid w:val="00931F0C"/>
    <w:rsid w:val="00933ACE"/>
    <w:rsid w:val="00935088"/>
    <w:rsid w:val="0093508B"/>
    <w:rsid w:val="00936116"/>
    <w:rsid w:val="00937436"/>
    <w:rsid w:val="00937853"/>
    <w:rsid w:val="00937DA3"/>
    <w:rsid w:val="00937F7B"/>
    <w:rsid w:val="009406BD"/>
    <w:rsid w:val="00942A97"/>
    <w:rsid w:val="00942FDA"/>
    <w:rsid w:val="009430CF"/>
    <w:rsid w:val="00944C05"/>
    <w:rsid w:val="0094500B"/>
    <w:rsid w:val="0094780C"/>
    <w:rsid w:val="00950793"/>
    <w:rsid w:val="0095097A"/>
    <w:rsid w:val="00950DF1"/>
    <w:rsid w:val="00951D34"/>
    <w:rsid w:val="009527E4"/>
    <w:rsid w:val="00952C07"/>
    <w:rsid w:val="00952EDE"/>
    <w:rsid w:val="009559E8"/>
    <w:rsid w:val="00956486"/>
    <w:rsid w:val="0096069A"/>
    <w:rsid w:val="00960D8A"/>
    <w:rsid w:val="009616CF"/>
    <w:rsid w:val="00961831"/>
    <w:rsid w:val="009622C1"/>
    <w:rsid w:val="0096419D"/>
    <w:rsid w:val="00965AF5"/>
    <w:rsid w:val="00966ADD"/>
    <w:rsid w:val="00970748"/>
    <w:rsid w:val="00970DEF"/>
    <w:rsid w:val="00971043"/>
    <w:rsid w:val="00971206"/>
    <w:rsid w:val="00971378"/>
    <w:rsid w:val="00974412"/>
    <w:rsid w:val="00976011"/>
    <w:rsid w:val="009766C0"/>
    <w:rsid w:val="009810FB"/>
    <w:rsid w:val="0098541B"/>
    <w:rsid w:val="0098592E"/>
    <w:rsid w:val="00985992"/>
    <w:rsid w:val="009864CB"/>
    <w:rsid w:val="009868D7"/>
    <w:rsid w:val="00987E54"/>
    <w:rsid w:val="00987F5B"/>
    <w:rsid w:val="00990548"/>
    <w:rsid w:val="009911AD"/>
    <w:rsid w:val="009911DE"/>
    <w:rsid w:val="0099239C"/>
    <w:rsid w:val="00992410"/>
    <w:rsid w:val="00992739"/>
    <w:rsid w:val="0099432B"/>
    <w:rsid w:val="0099567C"/>
    <w:rsid w:val="00996A75"/>
    <w:rsid w:val="0099728F"/>
    <w:rsid w:val="00997491"/>
    <w:rsid w:val="00997745"/>
    <w:rsid w:val="00997E63"/>
    <w:rsid w:val="009A010D"/>
    <w:rsid w:val="009A0806"/>
    <w:rsid w:val="009A1CDC"/>
    <w:rsid w:val="009A2B3B"/>
    <w:rsid w:val="009A2E35"/>
    <w:rsid w:val="009A33E8"/>
    <w:rsid w:val="009A3BB1"/>
    <w:rsid w:val="009B0A38"/>
    <w:rsid w:val="009B2847"/>
    <w:rsid w:val="009B3598"/>
    <w:rsid w:val="009B481F"/>
    <w:rsid w:val="009B4FB8"/>
    <w:rsid w:val="009B59B3"/>
    <w:rsid w:val="009B722A"/>
    <w:rsid w:val="009B7A73"/>
    <w:rsid w:val="009B7C79"/>
    <w:rsid w:val="009C13B3"/>
    <w:rsid w:val="009C1470"/>
    <w:rsid w:val="009C5331"/>
    <w:rsid w:val="009C64FC"/>
    <w:rsid w:val="009C6CB4"/>
    <w:rsid w:val="009C6DCF"/>
    <w:rsid w:val="009D0403"/>
    <w:rsid w:val="009D059B"/>
    <w:rsid w:val="009D0D99"/>
    <w:rsid w:val="009D11EC"/>
    <w:rsid w:val="009D162E"/>
    <w:rsid w:val="009D3477"/>
    <w:rsid w:val="009D5514"/>
    <w:rsid w:val="009D79A1"/>
    <w:rsid w:val="009E1B4F"/>
    <w:rsid w:val="009E220E"/>
    <w:rsid w:val="009E4043"/>
    <w:rsid w:val="009E4156"/>
    <w:rsid w:val="009E584A"/>
    <w:rsid w:val="009E76C2"/>
    <w:rsid w:val="009F0A19"/>
    <w:rsid w:val="009F1744"/>
    <w:rsid w:val="009F2A33"/>
    <w:rsid w:val="009F67A3"/>
    <w:rsid w:val="009F6915"/>
    <w:rsid w:val="009F75B1"/>
    <w:rsid w:val="00A00DE0"/>
    <w:rsid w:val="00A01083"/>
    <w:rsid w:val="00A034A7"/>
    <w:rsid w:val="00A03882"/>
    <w:rsid w:val="00A05B86"/>
    <w:rsid w:val="00A07C9B"/>
    <w:rsid w:val="00A10004"/>
    <w:rsid w:val="00A10BD9"/>
    <w:rsid w:val="00A11373"/>
    <w:rsid w:val="00A145B5"/>
    <w:rsid w:val="00A151DA"/>
    <w:rsid w:val="00A153F5"/>
    <w:rsid w:val="00A15915"/>
    <w:rsid w:val="00A164C0"/>
    <w:rsid w:val="00A16517"/>
    <w:rsid w:val="00A17884"/>
    <w:rsid w:val="00A2028E"/>
    <w:rsid w:val="00A216D0"/>
    <w:rsid w:val="00A21D4F"/>
    <w:rsid w:val="00A220AF"/>
    <w:rsid w:val="00A22749"/>
    <w:rsid w:val="00A24561"/>
    <w:rsid w:val="00A2500A"/>
    <w:rsid w:val="00A268BF"/>
    <w:rsid w:val="00A272F9"/>
    <w:rsid w:val="00A2789E"/>
    <w:rsid w:val="00A335E4"/>
    <w:rsid w:val="00A34C35"/>
    <w:rsid w:val="00A36063"/>
    <w:rsid w:val="00A36CDC"/>
    <w:rsid w:val="00A374D2"/>
    <w:rsid w:val="00A37BC8"/>
    <w:rsid w:val="00A402D3"/>
    <w:rsid w:val="00A41DF5"/>
    <w:rsid w:val="00A43019"/>
    <w:rsid w:val="00A43F6E"/>
    <w:rsid w:val="00A4464E"/>
    <w:rsid w:val="00A45B4E"/>
    <w:rsid w:val="00A534C9"/>
    <w:rsid w:val="00A53AAB"/>
    <w:rsid w:val="00A546B1"/>
    <w:rsid w:val="00A5574F"/>
    <w:rsid w:val="00A55E4E"/>
    <w:rsid w:val="00A56498"/>
    <w:rsid w:val="00A56C91"/>
    <w:rsid w:val="00A56FD7"/>
    <w:rsid w:val="00A57158"/>
    <w:rsid w:val="00A5779B"/>
    <w:rsid w:val="00A61881"/>
    <w:rsid w:val="00A623DE"/>
    <w:rsid w:val="00A635FE"/>
    <w:rsid w:val="00A63B45"/>
    <w:rsid w:val="00A64271"/>
    <w:rsid w:val="00A64732"/>
    <w:rsid w:val="00A66893"/>
    <w:rsid w:val="00A67DFB"/>
    <w:rsid w:val="00A70198"/>
    <w:rsid w:val="00A703EB"/>
    <w:rsid w:val="00A70FC2"/>
    <w:rsid w:val="00A71723"/>
    <w:rsid w:val="00A71899"/>
    <w:rsid w:val="00A72A17"/>
    <w:rsid w:val="00A73378"/>
    <w:rsid w:val="00A73D85"/>
    <w:rsid w:val="00A7530E"/>
    <w:rsid w:val="00A75A56"/>
    <w:rsid w:val="00A76084"/>
    <w:rsid w:val="00A76145"/>
    <w:rsid w:val="00A765B4"/>
    <w:rsid w:val="00A767EC"/>
    <w:rsid w:val="00A775A6"/>
    <w:rsid w:val="00A77CAB"/>
    <w:rsid w:val="00A80A5C"/>
    <w:rsid w:val="00A80D9E"/>
    <w:rsid w:val="00A82AC8"/>
    <w:rsid w:val="00A84AC4"/>
    <w:rsid w:val="00A85135"/>
    <w:rsid w:val="00A85793"/>
    <w:rsid w:val="00A864E6"/>
    <w:rsid w:val="00A87762"/>
    <w:rsid w:val="00A87D25"/>
    <w:rsid w:val="00A917A4"/>
    <w:rsid w:val="00A923A3"/>
    <w:rsid w:val="00A94400"/>
    <w:rsid w:val="00A9505F"/>
    <w:rsid w:val="00A956EF"/>
    <w:rsid w:val="00A95BFC"/>
    <w:rsid w:val="00A95CDA"/>
    <w:rsid w:val="00A95D33"/>
    <w:rsid w:val="00A95EAD"/>
    <w:rsid w:val="00A96D31"/>
    <w:rsid w:val="00A97EA2"/>
    <w:rsid w:val="00AA018B"/>
    <w:rsid w:val="00AA2411"/>
    <w:rsid w:val="00AA3D19"/>
    <w:rsid w:val="00AA5D97"/>
    <w:rsid w:val="00AA6045"/>
    <w:rsid w:val="00AA66E4"/>
    <w:rsid w:val="00AA6D16"/>
    <w:rsid w:val="00AA7EA6"/>
    <w:rsid w:val="00AB4AF2"/>
    <w:rsid w:val="00AB59A6"/>
    <w:rsid w:val="00AB6ED7"/>
    <w:rsid w:val="00AC1B71"/>
    <w:rsid w:val="00AC1FD6"/>
    <w:rsid w:val="00AC2FC1"/>
    <w:rsid w:val="00AC3541"/>
    <w:rsid w:val="00AC4024"/>
    <w:rsid w:val="00AC7708"/>
    <w:rsid w:val="00AC7959"/>
    <w:rsid w:val="00AC7A11"/>
    <w:rsid w:val="00AC7E27"/>
    <w:rsid w:val="00AD1623"/>
    <w:rsid w:val="00AD17A1"/>
    <w:rsid w:val="00AD1F58"/>
    <w:rsid w:val="00AD4393"/>
    <w:rsid w:val="00AD499F"/>
    <w:rsid w:val="00AD55E7"/>
    <w:rsid w:val="00AD688D"/>
    <w:rsid w:val="00AD72E9"/>
    <w:rsid w:val="00AD7BFF"/>
    <w:rsid w:val="00AE0C51"/>
    <w:rsid w:val="00AE14D9"/>
    <w:rsid w:val="00AE5B31"/>
    <w:rsid w:val="00AE5DE1"/>
    <w:rsid w:val="00AF0EF4"/>
    <w:rsid w:val="00AF1041"/>
    <w:rsid w:val="00AF1913"/>
    <w:rsid w:val="00AF38DE"/>
    <w:rsid w:val="00AF42E5"/>
    <w:rsid w:val="00AF43C0"/>
    <w:rsid w:val="00AF660A"/>
    <w:rsid w:val="00AF66BA"/>
    <w:rsid w:val="00AF6831"/>
    <w:rsid w:val="00AF6E28"/>
    <w:rsid w:val="00AF74B9"/>
    <w:rsid w:val="00B02468"/>
    <w:rsid w:val="00B04436"/>
    <w:rsid w:val="00B05EC5"/>
    <w:rsid w:val="00B07A1A"/>
    <w:rsid w:val="00B07BB5"/>
    <w:rsid w:val="00B121A9"/>
    <w:rsid w:val="00B1457D"/>
    <w:rsid w:val="00B148C0"/>
    <w:rsid w:val="00B14C09"/>
    <w:rsid w:val="00B17444"/>
    <w:rsid w:val="00B1765E"/>
    <w:rsid w:val="00B20F92"/>
    <w:rsid w:val="00B21639"/>
    <w:rsid w:val="00B21992"/>
    <w:rsid w:val="00B21B3E"/>
    <w:rsid w:val="00B23A78"/>
    <w:rsid w:val="00B23E1E"/>
    <w:rsid w:val="00B241A9"/>
    <w:rsid w:val="00B2579A"/>
    <w:rsid w:val="00B26029"/>
    <w:rsid w:val="00B306D4"/>
    <w:rsid w:val="00B315EA"/>
    <w:rsid w:val="00B31D86"/>
    <w:rsid w:val="00B3212C"/>
    <w:rsid w:val="00B32E9A"/>
    <w:rsid w:val="00B34844"/>
    <w:rsid w:val="00B37F6C"/>
    <w:rsid w:val="00B40507"/>
    <w:rsid w:val="00B41D36"/>
    <w:rsid w:val="00B43CEA"/>
    <w:rsid w:val="00B46D03"/>
    <w:rsid w:val="00B46F3A"/>
    <w:rsid w:val="00B47FF4"/>
    <w:rsid w:val="00B515C9"/>
    <w:rsid w:val="00B520AB"/>
    <w:rsid w:val="00B53202"/>
    <w:rsid w:val="00B5343A"/>
    <w:rsid w:val="00B55B7F"/>
    <w:rsid w:val="00B60677"/>
    <w:rsid w:val="00B61992"/>
    <w:rsid w:val="00B61BA0"/>
    <w:rsid w:val="00B62A33"/>
    <w:rsid w:val="00B62B85"/>
    <w:rsid w:val="00B63368"/>
    <w:rsid w:val="00B6340E"/>
    <w:rsid w:val="00B6362F"/>
    <w:rsid w:val="00B64F57"/>
    <w:rsid w:val="00B677C1"/>
    <w:rsid w:val="00B67A0D"/>
    <w:rsid w:val="00B72560"/>
    <w:rsid w:val="00B73DBB"/>
    <w:rsid w:val="00B74209"/>
    <w:rsid w:val="00B75859"/>
    <w:rsid w:val="00B77AA5"/>
    <w:rsid w:val="00B804F7"/>
    <w:rsid w:val="00B8111F"/>
    <w:rsid w:val="00B8278B"/>
    <w:rsid w:val="00B83184"/>
    <w:rsid w:val="00B839BA"/>
    <w:rsid w:val="00B83F04"/>
    <w:rsid w:val="00B84124"/>
    <w:rsid w:val="00B86C5B"/>
    <w:rsid w:val="00B8775E"/>
    <w:rsid w:val="00B9093C"/>
    <w:rsid w:val="00B91270"/>
    <w:rsid w:val="00B914E2"/>
    <w:rsid w:val="00B91539"/>
    <w:rsid w:val="00B91D07"/>
    <w:rsid w:val="00B9299B"/>
    <w:rsid w:val="00B945A8"/>
    <w:rsid w:val="00B95644"/>
    <w:rsid w:val="00B96948"/>
    <w:rsid w:val="00BA2B2D"/>
    <w:rsid w:val="00BA351C"/>
    <w:rsid w:val="00BA68A4"/>
    <w:rsid w:val="00BA6B1D"/>
    <w:rsid w:val="00BB0592"/>
    <w:rsid w:val="00BB0810"/>
    <w:rsid w:val="00BB0B5E"/>
    <w:rsid w:val="00BB0E40"/>
    <w:rsid w:val="00BB11E8"/>
    <w:rsid w:val="00BB146A"/>
    <w:rsid w:val="00BB2036"/>
    <w:rsid w:val="00BB4975"/>
    <w:rsid w:val="00BB64FC"/>
    <w:rsid w:val="00BB7E2E"/>
    <w:rsid w:val="00BC1CFA"/>
    <w:rsid w:val="00BC2F0D"/>
    <w:rsid w:val="00BC462D"/>
    <w:rsid w:val="00BC4B1F"/>
    <w:rsid w:val="00BC4BAF"/>
    <w:rsid w:val="00BC5C1B"/>
    <w:rsid w:val="00BC6FFB"/>
    <w:rsid w:val="00BC71BC"/>
    <w:rsid w:val="00BC7A39"/>
    <w:rsid w:val="00BC7EDD"/>
    <w:rsid w:val="00BD0C5B"/>
    <w:rsid w:val="00BD2900"/>
    <w:rsid w:val="00BD2D16"/>
    <w:rsid w:val="00BD3984"/>
    <w:rsid w:val="00BD4DA5"/>
    <w:rsid w:val="00BD5BCD"/>
    <w:rsid w:val="00BD7C3F"/>
    <w:rsid w:val="00BD7E24"/>
    <w:rsid w:val="00BE016D"/>
    <w:rsid w:val="00BE042D"/>
    <w:rsid w:val="00BE050E"/>
    <w:rsid w:val="00BE183F"/>
    <w:rsid w:val="00BE1B01"/>
    <w:rsid w:val="00BE474A"/>
    <w:rsid w:val="00BE4A36"/>
    <w:rsid w:val="00BE6499"/>
    <w:rsid w:val="00BE6629"/>
    <w:rsid w:val="00BE7335"/>
    <w:rsid w:val="00BE789B"/>
    <w:rsid w:val="00BF0717"/>
    <w:rsid w:val="00BF08B5"/>
    <w:rsid w:val="00BF2CF9"/>
    <w:rsid w:val="00BF52ED"/>
    <w:rsid w:val="00BF6A16"/>
    <w:rsid w:val="00BF7208"/>
    <w:rsid w:val="00BF7A49"/>
    <w:rsid w:val="00C00FE1"/>
    <w:rsid w:val="00C03B69"/>
    <w:rsid w:val="00C0514C"/>
    <w:rsid w:val="00C06208"/>
    <w:rsid w:val="00C06CC3"/>
    <w:rsid w:val="00C10083"/>
    <w:rsid w:val="00C107A0"/>
    <w:rsid w:val="00C10F94"/>
    <w:rsid w:val="00C112A2"/>
    <w:rsid w:val="00C13713"/>
    <w:rsid w:val="00C14F75"/>
    <w:rsid w:val="00C16744"/>
    <w:rsid w:val="00C21A05"/>
    <w:rsid w:val="00C23510"/>
    <w:rsid w:val="00C23E72"/>
    <w:rsid w:val="00C24BFC"/>
    <w:rsid w:val="00C25B4D"/>
    <w:rsid w:val="00C2611A"/>
    <w:rsid w:val="00C26550"/>
    <w:rsid w:val="00C30B76"/>
    <w:rsid w:val="00C31E95"/>
    <w:rsid w:val="00C337EC"/>
    <w:rsid w:val="00C358E6"/>
    <w:rsid w:val="00C35E1E"/>
    <w:rsid w:val="00C3787C"/>
    <w:rsid w:val="00C40650"/>
    <w:rsid w:val="00C406ED"/>
    <w:rsid w:val="00C40D31"/>
    <w:rsid w:val="00C41EB7"/>
    <w:rsid w:val="00C43AEF"/>
    <w:rsid w:val="00C44D16"/>
    <w:rsid w:val="00C45702"/>
    <w:rsid w:val="00C457C9"/>
    <w:rsid w:val="00C45DAA"/>
    <w:rsid w:val="00C46BAA"/>
    <w:rsid w:val="00C47679"/>
    <w:rsid w:val="00C53EF4"/>
    <w:rsid w:val="00C55497"/>
    <w:rsid w:val="00C560D7"/>
    <w:rsid w:val="00C5670C"/>
    <w:rsid w:val="00C57C2F"/>
    <w:rsid w:val="00C611B4"/>
    <w:rsid w:val="00C62D9D"/>
    <w:rsid w:val="00C636AD"/>
    <w:rsid w:val="00C6399E"/>
    <w:rsid w:val="00C63D5E"/>
    <w:rsid w:val="00C63DF7"/>
    <w:rsid w:val="00C648D6"/>
    <w:rsid w:val="00C649C0"/>
    <w:rsid w:val="00C665A1"/>
    <w:rsid w:val="00C66DE5"/>
    <w:rsid w:val="00C706F2"/>
    <w:rsid w:val="00C71A45"/>
    <w:rsid w:val="00C72B20"/>
    <w:rsid w:val="00C73F18"/>
    <w:rsid w:val="00C74C2C"/>
    <w:rsid w:val="00C75978"/>
    <w:rsid w:val="00C75D00"/>
    <w:rsid w:val="00C76342"/>
    <w:rsid w:val="00C77B57"/>
    <w:rsid w:val="00C80623"/>
    <w:rsid w:val="00C807FA"/>
    <w:rsid w:val="00C808F8"/>
    <w:rsid w:val="00C81E60"/>
    <w:rsid w:val="00C82ADB"/>
    <w:rsid w:val="00C830C3"/>
    <w:rsid w:val="00C83F6E"/>
    <w:rsid w:val="00C862B2"/>
    <w:rsid w:val="00C86CDC"/>
    <w:rsid w:val="00C872A1"/>
    <w:rsid w:val="00C926B5"/>
    <w:rsid w:val="00C96E2C"/>
    <w:rsid w:val="00C97F63"/>
    <w:rsid w:val="00CA0C5B"/>
    <w:rsid w:val="00CA2327"/>
    <w:rsid w:val="00CA3B94"/>
    <w:rsid w:val="00CA6227"/>
    <w:rsid w:val="00CA65AB"/>
    <w:rsid w:val="00CA6A3D"/>
    <w:rsid w:val="00CA73F5"/>
    <w:rsid w:val="00CB1945"/>
    <w:rsid w:val="00CB2184"/>
    <w:rsid w:val="00CB22CF"/>
    <w:rsid w:val="00CB2941"/>
    <w:rsid w:val="00CB2B9D"/>
    <w:rsid w:val="00CB3DCD"/>
    <w:rsid w:val="00CB40EA"/>
    <w:rsid w:val="00CB4673"/>
    <w:rsid w:val="00CB4CD0"/>
    <w:rsid w:val="00CB5495"/>
    <w:rsid w:val="00CB5EE1"/>
    <w:rsid w:val="00CB7061"/>
    <w:rsid w:val="00CC154E"/>
    <w:rsid w:val="00CC248C"/>
    <w:rsid w:val="00CC2969"/>
    <w:rsid w:val="00CC3095"/>
    <w:rsid w:val="00CC334D"/>
    <w:rsid w:val="00CC37C4"/>
    <w:rsid w:val="00CC4D48"/>
    <w:rsid w:val="00CC5B73"/>
    <w:rsid w:val="00CC77E7"/>
    <w:rsid w:val="00CD4540"/>
    <w:rsid w:val="00CD68F8"/>
    <w:rsid w:val="00CD71F1"/>
    <w:rsid w:val="00CD7576"/>
    <w:rsid w:val="00CE02D0"/>
    <w:rsid w:val="00CE225C"/>
    <w:rsid w:val="00CE285F"/>
    <w:rsid w:val="00CE4875"/>
    <w:rsid w:val="00CF14CB"/>
    <w:rsid w:val="00CF3637"/>
    <w:rsid w:val="00CF4D3D"/>
    <w:rsid w:val="00CF504C"/>
    <w:rsid w:val="00CF53DC"/>
    <w:rsid w:val="00CF6EE5"/>
    <w:rsid w:val="00CF76E5"/>
    <w:rsid w:val="00CF7ADA"/>
    <w:rsid w:val="00D013F2"/>
    <w:rsid w:val="00D01602"/>
    <w:rsid w:val="00D018A1"/>
    <w:rsid w:val="00D02442"/>
    <w:rsid w:val="00D04B85"/>
    <w:rsid w:val="00D04F44"/>
    <w:rsid w:val="00D07641"/>
    <w:rsid w:val="00D1018E"/>
    <w:rsid w:val="00D1298F"/>
    <w:rsid w:val="00D12AFE"/>
    <w:rsid w:val="00D12E14"/>
    <w:rsid w:val="00D13726"/>
    <w:rsid w:val="00D15579"/>
    <w:rsid w:val="00D17113"/>
    <w:rsid w:val="00D17A7E"/>
    <w:rsid w:val="00D20637"/>
    <w:rsid w:val="00D20D67"/>
    <w:rsid w:val="00D20E11"/>
    <w:rsid w:val="00D21717"/>
    <w:rsid w:val="00D220CF"/>
    <w:rsid w:val="00D22C10"/>
    <w:rsid w:val="00D260C6"/>
    <w:rsid w:val="00D27476"/>
    <w:rsid w:val="00D27480"/>
    <w:rsid w:val="00D307AB"/>
    <w:rsid w:val="00D311E8"/>
    <w:rsid w:val="00D32865"/>
    <w:rsid w:val="00D348AB"/>
    <w:rsid w:val="00D348D9"/>
    <w:rsid w:val="00D3557A"/>
    <w:rsid w:val="00D36B3A"/>
    <w:rsid w:val="00D36D89"/>
    <w:rsid w:val="00D37066"/>
    <w:rsid w:val="00D3711E"/>
    <w:rsid w:val="00D37A2B"/>
    <w:rsid w:val="00D466F2"/>
    <w:rsid w:val="00D46EBE"/>
    <w:rsid w:val="00D4747B"/>
    <w:rsid w:val="00D47A49"/>
    <w:rsid w:val="00D513AB"/>
    <w:rsid w:val="00D5474A"/>
    <w:rsid w:val="00D55FA7"/>
    <w:rsid w:val="00D56A56"/>
    <w:rsid w:val="00D6054C"/>
    <w:rsid w:val="00D610A3"/>
    <w:rsid w:val="00D622D0"/>
    <w:rsid w:val="00D63F06"/>
    <w:rsid w:val="00D6483F"/>
    <w:rsid w:val="00D64BDE"/>
    <w:rsid w:val="00D65176"/>
    <w:rsid w:val="00D6577E"/>
    <w:rsid w:val="00D65ADA"/>
    <w:rsid w:val="00D666E7"/>
    <w:rsid w:val="00D67773"/>
    <w:rsid w:val="00D71FE5"/>
    <w:rsid w:val="00D74365"/>
    <w:rsid w:val="00D74DED"/>
    <w:rsid w:val="00D75760"/>
    <w:rsid w:val="00D76634"/>
    <w:rsid w:val="00D76746"/>
    <w:rsid w:val="00D805CF"/>
    <w:rsid w:val="00D80A1E"/>
    <w:rsid w:val="00D81823"/>
    <w:rsid w:val="00D85C97"/>
    <w:rsid w:val="00D8632C"/>
    <w:rsid w:val="00D87162"/>
    <w:rsid w:val="00D8728E"/>
    <w:rsid w:val="00D8732A"/>
    <w:rsid w:val="00D90B31"/>
    <w:rsid w:val="00D9196F"/>
    <w:rsid w:val="00D93035"/>
    <w:rsid w:val="00D933D2"/>
    <w:rsid w:val="00D93E7A"/>
    <w:rsid w:val="00D941C9"/>
    <w:rsid w:val="00D94A1A"/>
    <w:rsid w:val="00D95089"/>
    <w:rsid w:val="00D95202"/>
    <w:rsid w:val="00D956E3"/>
    <w:rsid w:val="00D95A96"/>
    <w:rsid w:val="00D97B81"/>
    <w:rsid w:val="00D97C89"/>
    <w:rsid w:val="00DA07D5"/>
    <w:rsid w:val="00DA115F"/>
    <w:rsid w:val="00DA25D1"/>
    <w:rsid w:val="00DA2FFD"/>
    <w:rsid w:val="00DA3185"/>
    <w:rsid w:val="00DA48B1"/>
    <w:rsid w:val="00DA4DCE"/>
    <w:rsid w:val="00DA69D7"/>
    <w:rsid w:val="00DA7847"/>
    <w:rsid w:val="00DB4651"/>
    <w:rsid w:val="00DB4C87"/>
    <w:rsid w:val="00DB6604"/>
    <w:rsid w:val="00DB7DEB"/>
    <w:rsid w:val="00DC08B4"/>
    <w:rsid w:val="00DC0C8F"/>
    <w:rsid w:val="00DC33CD"/>
    <w:rsid w:val="00DC61A7"/>
    <w:rsid w:val="00DC6307"/>
    <w:rsid w:val="00DC6747"/>
    <w:rsid w:val="00DD0DB6"/>
    <w:rsid w:val="00DD107B"/>
    <w:rsid w:val="00DD13BC"/>
    <w:rsid w:val="00DD1DD4"/>
    <w:rsid w:val="00DD2FAA"/>
    <w:rsid w:val="00DD33A4"/>
    <w:rsid w:val="00DD5D0E"/>
    <w:rsid w:val="00DD601C"/>
    <w:rsid w:val="00DE0638"/>
    <w:rsid w:val="00DE4BA8"/>
    <w:rsid w:val="00DE5D23"/>
    <w:rsid w:val="00DF003F"/>
    <w:rsid w:val="00DF25B0"/>
    <w:rsid w:val="00DF35F2"/>
    <w:rsid w:val="00DF462A"/>
    <w:rsid w:val="00DF4949"/>
    <w:rsid w:val="00E00B4A"/>
    <w:rsid w:val="00E03165"/>
    <w:rsid w:val="00E06492"/>
    <w:rsid w:val="00E10B7B"/>
    <w:rsid w:val="00E14510"/>
    <w:rsid w:val="00E174B0"/>
    <w:rsid w:val="00E17C42"/>
    <w:rsid w:val="00E17FF2"/>
    <w:rsid w:val="00E20A3C"/>
    <w:rsid w:val="00E2217D"/>
    <w:rsid w:val="00E229BA"/>
    <w:rsid w:val="00E26395"/>
    <w:rsid w:val="00E264E5"/>
    <w:rsid w:val="00E267EA"/>
    <w:rsid w:val="00E2786B"/>
    <w:rsid w:val="00E27BD4"/>
    <w:rsid w:val="00E34D86"/>
    <w:rsid w:val="00E40B5D"/>
    <w:rsid w:val="00E417D6"/>
    <w:rsid w:val="00E446D0"/>
    <w:rsid w:val="00E44FCC"/>
    <w:rsid w:val="00E460D9"/>
    <w:rsid w:val="00E4638C"/>
    <w:rsid w:val="00E46AE7"/>
    <w:rsid w:val="00E50480"/>
    <w:rsid w:val="00E51DD8"/>
    <w:rsid w:val="00E54082"/>
    <w:rsid w:val="00E54177"/>
    <w:rsid w:val="00E555EF"/>
    <w:rsid w:val="00E6060A"/>
    <w:rsid w:val="00E608B3"/>
    <w:rsid w:val="00E609BE"/>
    <w:rsid w:val="00E62229"/>
    <w:rsid w:val="00E62917"/>
    <w:rsid w:val="00E63DAC"/>
    <w:rsid w:val="00E64D86"/>
    <w:rsid w:val="00E6513F"/>
    <w:rsid w:val="00E66399"/>
    <w:rsid w:val="00E66808"/>
    <w:rsid w:val="00E66CE2"/>
    <w:rsid w:val="00E6783C"/>
    <w:rsid w:val="00E72B30"/>
    <w:rsid w:val="00E7307F"/>
    <w:rsid w:val="00E73227"/>
    <w:rsid w:val="00E745B4"/>
    <w:rsid w:val="00E74734"/>
    <w:rsid w:val="00E76241"/>
    <w:rsid w:val="00E7699B"/>
    <w:rsid w:val="00E8069D"/>
    <w:rsid w:val="00E83A1E"/>
    <w:rsid w:val="00E85FBD"/>
    <w:rsid w:val="00E86BD5"/>
    <w:rsid w:val="00E90701"/>
    <w:rsid w:val="00E9246E"/>
    <w:rsid w:val="00E931EF"/>
    <w:rsid w:val="00E933BD"/>
    <w:rsid w:val="00E976EA"/>
    <w:rsid w:val="00EA01BA"/>
    <w:rsid w:val="00EA0787"/>
    <w:rsid w:val="00EA1820"/>
    <w:rsid w:val="00EA44AC"/>
    <w:rsid w:val="00EA4634"/>
    <w:rsid w:val="00EA4C35"/>
    <w:rsid w:val="00EA5532"/>
    <w:rsid w:val="00EA5D30"/>
    <w:rsid w:val="00EA5E6D"/>
    <w:rsid w:val="00EA632C"/>
    <w:rsid w:val="00EA7029"/>
    <w:rsid w:val="00EA7A0A"/>
    <w:rsid w:val="00EB069A"/>
    <w:rsid w:val="00EB2A3E"/>
    <w:rsid w:val="00EB2E12"/>
    <w:rsid w:val="00EB418F"/>
    <w:rsid w:val="00EB4DA9"/>
    <w:rsid w:val="00EB6F3B"/>
    <w:rsid w:val="00EC1F19"/>
    <w:rsid w:val="00EC3C22"/>
    <w:rsid w:val="00EC5EC6"/>
    <w:rsid w:val="00EC6494"/>
    <w:rsid w:val="00EC729C"/>
    <w:rsid w:val="00EC79FA"/>
    <w:rsid w:val="00ED089C"/>
    <w:rsid w:val="00ED0E92"/>
    <w:rsid w:val="00ED3ABB"/>
    <w:rsid w:val="00ED6F22"/>
    <w:rsid w:val="00ED6F5C"/>
    <w:rsid w:val="00ED7CD2"/>
    <w:rsid w:val="00ED7F4F"/>
    <w:rsid w:val="00EE10F0"/>
    <w:rsid w:val="00EE33B8"/>
    <w:rsid w:val="00EF06C3"/>
    <w:rsid w:val="00EF0908"/>
    <w:rsid w:val="00EF2377"/>
    <w:rsid w:val="00EF2B3A"/>
    <w:rsid w:val="00EF5F40"/>
    <w:rsid w:val="00EF60ED"/>
    <w:rsid w:val="00EF6FC1"/>
    <w:rsid w:val="00EF7031"/>
    <w:rsid w:val="00EF7B6C"/>
    <w:rsid w:val="00F0259A"/>
    <w:rsid w:val="00F03370"/>
    <w:rsid w:val="00F040E7"/>
    <w:rsid w:val="00F07D4E"/>
    <w:rsid w:val="00F10AE9"/>
    <w:rsid w:val="00F11C6F"/>
    <w:rsid w:val="00F14519"/>
    <w:rsid w:val="00F15EA8"/>
    <w:rsid w:val="00F17E1D"/>
    <w:rsid w:val="00F20AC9"/>
    <w:rsid w:val="00F20C47"/>
    <w:rsid w:val="00F224F5"/>
    <w:rsid w:val="00F22A76"/>
    <w:rsid w:val="00F23CC3"/>
    <w:rsid w:val="00F250C4"/>
    <w:rsid w:val="00F266C3"/>
    <w:rsid w:val="00F30B37"/>
    <w:rsid w:val="00F30CB6"/>
    <w:rsid w:val="00F30EAF"/>
    <w:rsid w:val="00F320BA"/>
    <w:rsid w:val="00F32B1B"/>
    <w:rsid w:val="00F35E4D"/>
    <w:rsid w:val="00F361AE"/>
    <w:rsid w:val="00F37635"/>
    <w:rsid w:val="00F37D33"/>
    <w:rsid w:val="00F404EB"/>
    <w:rsid w:val="00F40E73"/>
    <w:rsid w:val="00F40E75"/>
    <w:rsid w:val="00F413AC"/>
    <w:rsid w:val="00F428CF"/>
    <w:rsid w:val="00F44328"/>
    <w:rsid w:val="00F44A82"/>
    <w:rsid w:val="00F507A0"/>
    <w:rsid w:val="00F51F66"/>
    <w:rsid w:val="00F52B5A"/>
    <w:rsid w:val="00F52F63"/>
    <w:rsid w:val="00F53C66"/>
    <w:rsid w:val="00F541DF"/>
    <w:rsid w:val="00F54489"/>
    <w:rsid w:val="00F553DC"/>
    <w:rsid w:val="00F558F8"/>
    <w:rsid w:val="00F56642"/>
    <w:rsid w:val="00F56CA3"/>
    <w:rsid w:val="00F5717B"/>
    <w:rsid w:val="00F579A2"/>
    <w:rsid w:val="00F63817"/>
    <w:rsid w:val="00F63B7E"/>
    <w:rsid w:val="00F647FF"/>
    <w:rsid w:val="00F65873"/>
    <w:rsid w:val="00F665D1"/>
    <w:rsid w:val="00F67039"/>
    <w:rsid w:val="00F678FA"/>
    <w:rsid w:val="00F67F2D"/>
    <w:rsid w:val="00F7189C"/>
    <w:rsid w:val="00F71E91"/>
    <w:rsid w:val="00F7382F"/>
    <w:rsid w:val="00F73FC0"/>
    <w:rsid w:val="00F74A90"/>
    <w:rsid w:val="00F74BD0"/>
    <w:rsid w:val="00F7673E"/>
    <w:rsid w:val="00F80A8A"/>
    <w:rsid w:val="00F83046"/>
    <w:rsid w:val="00F8348F"/>
    <w:rsid w:val="00F84B25"/>
    <w:rsid w:val="00F869CC"/>
    <w:rsid w:val="00F87913"/>
    <w:rsid w:val="00F90BD3"/>
    <w:rsid w:val="00F91700"/>
    <w:rsid w:val="00F934C9"/>
    <w:rsid w:val="00F934DC"/>
    <w:rsid w:val="00F94486"/>
    <w:rsid w:val="00FA1780"/>
    <w:rsid w:val="00FA2177"/>
    <w:rsid w:val="00FA2884"/>
    <w:rsid w:val="00FA3956"/>
    <w:rsid w:val="00FA483F"/>
    <w:rsid w:val="00FA499B"/>
    <w:rsid w:val="00FA5786"/>
    <w:rsid w:val="00FA5ADF"/>
    <w:rsid w:val="00FB2ACA"/>
    <w:rsid w:val="00FB3BF1"/>
    <w:rsid w:val="00FB4D9F"/>
    <w:rsid w:val="00FC04B7"/>
    <w:rsid w:val="00FC0D6F"/>
    <w:rsid w:val="00FC1213"/>
    <w:rsid w:val="00FC22B4"/>
    <w:rsid w:val="00FC454F"/>
    <w:rsid w:val="00FC4F07"/>
    <w:rsid w:val="00FC4F20"/>
    <w:rsid w:val="00FC549D"/>
    <w:rsid w:val="00FC635A"/>
    <w:rsid w:val="00FC6A93"/>
    <w:rsid w:val="00FC70BA"/>
    <w:rsid w:val="00FD139F"/>
    <w:rsid w:val="00FD2262"/>
    <w:rsid w:val="00FD58F8"/>
    <w:rsid w:val="00FD6881"/>
    <w:rsid w:val="00FD6F96"/>
    <w:rsid w:val="00FD6FA7"/>
    <w:rsid w:val="00FE003F"/>
    <w:rsid w:val="00FE2E07"/>
    <w:rsid w:val="00FE4F7E"/>
    <w:rsid w:val="00FE5133"/>
    <w:rsid w:val="00FE6EE7"/>
    <w:rsid w:val="00FF14FB"/>
    <w:rsid w:val="00FF1535"/>
    <w:rsid w:val="00FF3E43"/>
    <w:rsid w:val="00FF4D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F33E3"/>
  <w15:chartTrackingRefBased/>
  <w15:docId w15:val="{F0DCD95B-F6BC-7E4C-A645-37CF44BDD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Calibr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0"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7551"/>
    <w:pPr>
      <w:spacing w:after="160" w:line="259" w:lineRule="auto"/>
    </w:pPr>
    <w:rPr>
      <w:rFonts w:eastAsiaTheme="minorHAnsi"/>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qFormat/>
    <w:rsid w:val="00F10AE9"/>
    <w:pPr>
      <w:spacing w:line="480" w:lineRule="exact"/>
      <w:ind w:firstLine="720"/>
    </w:pPr>
  </w:style>
  <w:style w:type="character" w:customStyle="1" w:styleId="BodyTextChar">
    <w:name w:val="Body Text Char"/>
    <w:link w:val="BodyText"/>
    <w:uiPriority w:val="99"/>
    <w:rsid w:val="00F10AE9"/>
    <w:rPr>
      <w:rFonts w:ascii="Century" w:eastAsia="Calibri" w:hAnsi="Century" w:cs="Times New Roman"/>
    </w:rPr>
  </w:style>
  <w:style w:type="paragraph" w:customStyle="1" w:styleId="CenterBold">
    <w:name w:val="Center Bold"/>
    <w:basedOn w:val="Normal"/>
    <w:qFormat/>
    <w:rsid w:val="00F83046"/>
    <w:pPr>
      <w:spacing w:after="60"/>
      <w:jc w:val="center"/>
    </w:pPr>
    <w:rPr>
      <w:b/>
    </w:rPr>
  </w:style>
  <w:style w:type="paragraph" w:styleId="FootnoteText">
    <w:name w:val="footnote text"/>
    <w:basedOn w:val="JuryInstructionText"/>
    <w:link w:val="FootnoteTextChar"/>
    <w:uiPriority w:val="99"/>
    <w:unhideWhenUsed/>
    <w:rsid w:val="00257345"/>
    <w:pPr>
      <w:spacing w:before="60" w:after="0" w:line="280" w:lineRule="exact"/>
      <w:ind w:left="288" w:hanging="288"/>
    </w:pPr>
    <w:rPr>
      <w:sz w:val="22"/>
      <w:szCs w:val="20"/>
    </w:rPr>
  </w:style>
  <w:style w:type="character" w:customStyle="1" w:styleId="FootnoteTextChar">
    <w:name w:val="Footnote Text Char"/>
    <w:basedOn w:val="DefaultParagraphFont"/>
    <w:link w:val="FootnoteText"/>
    <w:uiPriority w:val="99"/>
    <w:rsid w:val="00257345"/>
    <w:rPr>
      <w:rFonts w:ascii="Segoe UI Historic" w:hAnsi="Segoe UI Historic" w:cs="Times New Roman"/>
      <w:kern w:val="20"/>
      <w:sz w:val="22"/>
      <w:szCs w:val="20"/>
    </w:rPr>
  </w:style>
  <w:style w:type="paragraph" w:customStyle="1" w:styleId="Notes">
    <w:name w:val="Notes"/>
    <w:basedOn w:val="Normal"/>
    <w:qFormat/>
    <w:rsid w:val="00594672"/>
    <w:pPr>
      <w:spacing w:after="120"/>
    </w:pPr>
  </w:style>
  <w:style w:type="paragraph" w:styleId="TOC1">
    <w:name w:val="toc 1"/>
    <w:basedOn w:val="Normal"/>
    <w:next w:val="Normal"/>
    <w:autoRedefine/>
    <w:uiPriority w:val="39"/>
    <w:qFormat/>
    <w:rsid w:val="008733AA"/>
    <w:pPr>
      <w:tabs>
        <w:tab w:val="right" w:leader="dot" w:pos="9350"/>
      </w:tabs>
      <w:spacing w:after="120"/>
      <w:ind w:right="720"/>
    </w:pPr>
    <w:rPr>
      <w:rFonts w:ascii="Segoe UI Historic" w:hAnsi="Segoe UI Historic"/>
    </w:rPr>
  </w:style>
  <w:style w:type="paragraph" w:styleId="TOC2">
    <w:name w:val="toc 2"/>
    <w:basedOn w:val="Normal"/>
    <w:next w:val="Normal"/>
    <w:autoRedefine/>
    <w:uiPriority w:val="39"/>
    <w:qFormat/>
    <w:rsid w:val="008733AA"/>
    <w:pPr>
      <w:keepNext/>
      <w:tabs>
        <w:tab w:val="left" w:pos="1440"/>
        <w:tab w:val="right" w:leader="dot" w:pos="9350"/>
      </w:tabs>
      <w:spacing w:after="120"/>
      <w:ind w:left="432" w:right="720"/>
    </w:pPr>
    <w:rPr>
      <w:rFonts w:ascii="Segoe UI Historic" w:hAnsi="Segoe UI Historic"/>
    </w:rPr>
  </w:style>
  <w:style w:type="paragraph" w:styleId="TOC3">
    <w:name w:val="toc 3"/>
    <w:basedOn w:val="Normal"/>
    <w:next w:val="Normal"/>
    <w:uiPriority w:val="39"/>
    <w:qFormat/>
    <w:rsid w:val="008733AA"/>
    <w:pPr>
      <w:tabs>
        <w:tab w:val="left" w:pos="1296"/>
        <w:tab w:val="right" w:leader="dot" w:pos="9346"/>
      </w:tabs>
      <w:spacing w:after="120"/>
      <w:ind w:left="864" w:right="720"/>
    </w:pPr>
    <w:rPr>
      <w:rFonts w:ascii="Segoe UI Historic" w:hAnsi="Segoe UI Historic"/>
    </w:rPr>
  </w:style>
  <w:style w:type="paragraph" w:styleId="TOC4">
    <w:name w:val="toc 4"/>
    <w:basedOn w:val="Normal"/>
    <w:next w:val="Normal"/>
    <w:uiPriority w:val="39"/>
    <w:rsid w:val="008733AA"/>
    <w:pPr>
      <w:tabs>
        <w:tab w:val="left" w:pos="1728"/>
        <w:tab w:val="right" w:leader="dot" w:pos="9346"/>
      </w:tabs>
      <w:spacing w:after="120"/>
      <w:ind w:left="1296" w:right="720"/>
    </w:pPr>
    <w:rPr>
      <w:rFonts w:ascii="Segoe UI Historic" w:hAnsi="Segoe UI Historic"/>
    </w:rPr>
  </w:style>
  <w:style w:type="paragraph" w:styleId="TOC9">
    <w:name w:val="toc 9"/>
    <w:basedOn w:val="Normal"/>
    <w:next w:val="Normal"/>
    <w:qFormat/>
    <w:rsid w:val="00F10AE9"/>
    <w:pPr>
      <w:spacing w:after="240"/>
      <w:ind w:left="1440" w:right="720" w:hanging="720"/>
    </w:pPr>
  </w:style>
  <w:style w:type="paragraph" w:styleId="TOC5">
    <w:name w:val="toc 5"/>
    <w:basedOn w:val="Normal"/>
    <w:next w:val="Normal"/>
    <w:autoRedefine/>
    <w:uiPriority w:val="39"/>
    <w:rsid w:val="008733AA"/>
    <w:pPr>
      <w:tabs>
        <w:tab w:val="left" w:pos="2160"/>
        <w:tab w:val="right" w:leader="dot" w:pos="9346"/>
      </w:tabs>
      <w:spacing w:after="120"/>
      <w:ind w:left="1728" w:right="720"/>
    </w:pPr>
    <w:rPr>
      <w:rFonts w:ascii="Segoe UI Historic" w:hAnsi="Segoe UI Historic"/>
    </w:rPr>
  </w:style>
  <w:style w:type="paragraph" w:customStyle="1" w:styleId="Notes-Hanging">
    <w:name w:val="Notes - Hanging"/>
    <w:basedOn w:val="Notes"/>
    <w:next w:val="Notes"/>
    <w:qFormat/>
    <w:rsid w:val="00594672"/>
    <w:pPr>
      <w:ind w:left="432" w:hanging="432"/>
    </w:pPr>
  </w:style>
  <w:style w:type="character" w:styleId="FootnoteReference">
    <w:name w:val="footnote reference"/>
    <w:uiPriority w:val="99"/>
    <w:rsid w:val="00F74A90"/>
    <w:rPr>
      <w:b/>
      <w:vertAlign w:val="superscript"/>
    </w:rPr>
  </w:style>
  <w:style w:type="paragraph" w:customStyle="1" w:styleId="JuryInst2">
    <w:name w:val="JuryInst2"/>
    <w:basedOn w:val="JuryInst1"/>
    <w:next w:val="JuryInstructionText"/>
    <w:rsid w:val="00B75859"/>
    <w:pPr>
      <w:keepLines/>
      <w:numPr>
        <w:ilvl w:val="1"/>
      </w:numPr>
      <w:spacing w:before="0"/>
      <w:jc w:val="left"/>
      <w:outlineLvl w:val="1"/>
    </w:pPr>
    <w:rPr>
      <w:smallCaps w:val="0"/>
      <w:spacing w:val="12"/>
    </w:rPr>
  </w:style>
  <w:style w:type="paragraph" w:customStyle="1" w:styleId="JuryInstructionText">
    <w:name w:val="Jury Instruction Text"/>
    <w:basedOn w:val="Normal"/>
    <w:qFormat/>
    <w:rsid w:val="004848CB"/>
    <w:pPr>
      <w:spacing w:line="400" w:lineRule="exact"/>
    </w:pPr>
    <w:rPr>
      <w:rFonts w:ascii="Segoe UI Historic" w:eastAsia="Calibri" w:hAnsi="Segoe UI Historic"/>
      <w:sz w:val="28"/>
      <w:szCs w:val="28"/>
    </w:rPr>
  </w:style>
  <w:style w:type="paragraph" w:customStyle="1" w:styleId="JuryInstructionElements">
    <w:name w:val="Jury Instruction Elements"/>
    <w:basedOn w:val="JuryInstructionText"/>
    <w:qFormat/>
    <w:rsid w:val="005446C0"/>
    <w:pPr>
      <w:spacing w:after="120" w:line="340" w:lineRule="exact"/>
      <w:ind w:left="864" w:right="432" w:hanging="360"/>
    </w:pPr>
  </w:style>
  <w:style w:type="paragraph" w:customStyle="1" w:styleId="JuryInst1">
    <w:name w:val="JuryInst1"/>
    <w:basedOn w:val="JuryInstructionText"/>
    <w:next w:val="JuryInstructionText"/>
    <w:rsid w:val="00B75859"/>
    <w:pPr>
      <w:keepNext/>
      <w:numPr>
        <w:numId w:val="2"/>
      </w:numPr>
      <w:spacing w:before="80"/>
      <w:jc w:val="center"/>
      <w:outlineLvl w:val="0"/>
    </w:pPr>
    <w:rPr>
      <w:b/>
      <w:smallCaps/>
      <w:spacing w:val="20"/>
      <w:szCs w:val="20"/>
    </w:rPr>
  </w:style>
  <w:style w:type="paragraph" w:customStyle="1" w:styleId="JuryInst3">
    <w:name w:val="JuryInst3"/>
    <w:basedOn w:val="JuryInstructionText"/>
    <w:next w:val="JuryInstructionText"/>
    <w:rsid w:val="00FD6881"/>
    <w:pPr>
      <w:keepNext/>
      <w:keepLines/>
      <w:numPr>
        <w:ilvl w:val="2"/>
        <w:numId w:val="2"/>
      </w:numPr>
      <w:snapToGrid w:val="0"/>
      <w:ind w:left="792"/>
      <w:outlineLvl w:val="2"/>
    </w:pPr>
    <w:rPr>
      <w:b/>
    </w:rPr>
  </w:style>
  <w:style w:type="paragraph" w:customStyle="1" w:styleId="JuryInst4">
    <w:name w:val="JuryInst4"/>
    <w:basedOn w:val="JuryInst3"/>
    <w:next w:val="JuryInstructionText"/>
    <w:rsid w:val="00BF08B5"/>
    <w:pPr>
      <w:numPr>
        <w:ilvl w:val="3"/>
      </w:numPr>
      <w:outlineLvl w:val="3"/>
    </w:pPr>
  </w:style>
  <w:style w:type="paragraph" w:customStyle="1" w:styleId="JuryInst5">
    <w:name w:val="JuryInst5"/>
    <w:basedOn w:val="JuryInst4"/>
    <w:next w:val="JuryInstructionText"/>
    <w:rsid w:val="00BF08B5"/>
    <w:pPr>
      <w:numPr>
        <w:ilvl w:val="4"/>
      </w:numPr>
      <w:spacing w:after="120"/>
      <w:outlineLvl w:val="4"/>
    </w:pPr>
  </w:style>
  <w:style w:type="paragraph" w:customStyle="1" w:styleId="JuryInst6">
    <w:name w:val="JuryInst6"/>
    <w:basedOn w:val="JuryInst5"/>
    <w:next w:val="JuryInstructionText"/>
    <w:rsid w:val="00BF08B5"/>
    <w:pPr>
      <w:numPr>
        <w:ilvl w:val="5"/>
      </w:numPr>
      <w:outlineLvl w:val="5"/>
    </w:pPr>
  </w:style>
  <w:style w:type="paragraph" w:customStyle="1" w:styleId="JuryInstructionBullets">
    <w:name w:val="Jury Instruction Bullets"/>
    <w:basedOn w:val="JuryInstructionElements"/>
    <w:qFormat/>
    <w:rsid w:val="005446C0"/>
    <w:pPr>
      <w:numPr>
        <w:numId w:val="1"/>
      </w:numPr>
      <w:ind w:left="864"/>
    </w:pPr>
  </w:style>
  <w:style w:type="paragraph" w:customStyle="1" w:styleId="JuryInstructionIndent">
    <w:name w:val="Jury Instruction Indent"/>
    <w:basedOn w:val="JuryInstructionText"/>
    <w:next w:val="JuryInstructionText"/>
    <w:qFormat/>
    <w:rsid w:val="00016CA0"/>
    <w:pPr>
      <w:ind w:left="432"/>
    </w:pPr>
  </w:style>
  <w:style w:type="paragraph" w:styleId="TOC6">
    <w:name w:val="toc 6"/>
    <w:basedOn w:val="Normal"/>
    <w:next w:val="Normal"/>
    <w:autoRedefine/>
    <w:uiPriority w:val="39"/>
    <w:unhideWhenUsed/>
    <w:rsid w:val="008733AA"/>
    <w:pPr>
      <w:tabs>
        <w:tab w:val="left" w:pos="2592"/>
        <w:tab w:val="right" w:leader="dot" w:pos="9346"/>
      </w:tabs>
      <w:spacing w:after="120"/>
      <w:ind w:left="2160" w:right="720"/>
    </w:pPr>
    <w:rPr>
      <w:rFonts w:ascii="Segoe UI Historic" w:hAnsi="Segoe UI Historic"/>
    </w:rPr>
  </w:style>
  <w:style w:type="character" w:styleId="UnresolvedMention">
    <w:name w:val="Unresolved Mention"/>
    <w:basedOn w:val="DefaultParagraphFont"/>
    <w:uiPriority w:val="99"/>
    <w:semiHidden/>
    <w:unhideWhenUsed/>
    <w:rsid w:val="004B31B1"/>
    <w:rPr>
      <w:color w:val="605E5C"/>
      <w:shd w:val="clear" w:color="auto" w:fill="E1DFDD"/>
    </w:rPr>
  </w:style>
  <w:style w:type="paragraph" w:styleId="EndnoteText">
    <w:name w:val="endnote text"/>
    <w:basedOn w:val="Normal"/>
    <w:link w:val="EndnoteTextChar"/>
    <w:semiHidden/>
    <w:rsid w:val="00317551"/>
    <w:pPr>
      <w:spacing w:after="120" w:line="240" w:lineRule="exact"/>
      <w:jc w:val="both"/>
    </w:pPr>
    <w:rPr>
      <w:rFonts w:ascii="Times LT Std" w:eastAsia="Times New Roman" w:hAnsi="Times LT Std" w:cs="Times New Roman"/>
      <w:kern w:val="20"/>
      <w:sz w:val="20"/>
      <w:szCs w:val="20"/>
    </w:rPr>
  </w:style>
  <w:style w:type="character" w:customStyle="1" w:styleId="EndnoteTextChar">
    <w:name w:val="Endnote Text Char"/>
    <w:basedOn w:val="DefaultParagraphFont"/>
    <w:link w:val="EndnoteText"/>
    <w:semiHidden/>
    <w:rsid w:val="00317551"/>
    <w:rPr>
      <w:rFonts w:ascii="Times LT Std" w:eastAsia="Times New Roman" w:hAnsi="Times LT Std" w:cs="Times New Roman"/>
      <w:kern w:val="20"/>
      <w:sz w:val="20"/>
      <w:szCs w:val="20"/>
    </w:rPr>
  </w:style>
  <w:style w:type="character" w:styleId="Hyperlink">
    <w:name w:val="Hyperlink"/>
    <w:basedOn w:val="DefaultParagraphFont"/>
    <w:uiPriority w:val="99"/>
    <w:unhideWhenUsed/>
    <w:rsid w:val="00317551"/>
    <w:rPr>
      <w:color w:val="0000FF"/>
      <w:u w:val="single"/>
    </w:rPr>
  </w:style>
  <w:style w:type="paragraph" w:styleId="Revision">
    <w:name w:val="Revision"/>
    <w:hidden/>
    <w:uiPriority w:val="99"/>
    <w:semiHidden/>
    <w:rsid w:val="00B121A9"/>
    <w:rPr>
      <w:rFonts w:eastAsiaTheme="minorHAnsi"/>
      <w:sz w:val="22"/>
      <w:szCs w:val="22"/>
    </w:rPr>
  </w:style>
  <w:style w:type="paragraph" w:styleId="Header">
    <w:name w:val="header"/>
    <w:basedOn w:val="Normal"/>
    <w:link w:val="HeaderChar"/>
    <w:uiPriority w:val="99"/>
    <w:unhideWhenUsed/>
    <w:rsid w:val="00B174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7444"/>
    <w:rPr>
      <w:rFonts w:eastAsiaTheme="minorHAnsi"/>
      <w:sz w:val="22"/>
      <w:szCs w:val="22"/>
    </w:rPr>
  </w:style>
  <w:style w:type="paragraph" w:styleId="Footer">
    <w:name w:val="footer"/>
    <w:basedOn w:val="Normal"/>
    <w:link w:val="FooterChar"/>
    <w:unhideWhenUsed/>
    <w:rsid w:val="00B17444"/>
    <w:pPr>
      <w:tabs>
        <w:tab w:val="center" w:pos="4680"/>
        <w:tab w:val="right" w:pos="9360"/>
      </w:tabs>
      <w:spacing w:after="0" w:line="240" w:lineRule="auto"/>
    </w:pPr>
  </w:style>
  <w:style w:type="character" w:customStyle="1" w:styleId="FooterChar">
    <w:name w:val="Footer Char"/>
    <w:basedOn w:val="DefaultParagraphFont"/>
    <w:link w:val="Footer"/>
    <w:rsid w:val="00B17444"/>
    <w:rPr>
      <w:rFonts w:eastAsiaTheme="minorHAnsi"/>
      <w:sz w:val="22"/>
      <w:szCs w:val="22"/>
    </w:rPr>
  </w:style>
  <w:style w:type="character" w:styleId="FollowedHyperlink">
    <w:name w:val="FollowedHyperlink"/>
    <w:basedOn w:val="DefaultParagraphFont"/>
    <w:uiPriority w:val="99"/>
    <w:semiHidden/>
    <w:unhideWhenUsed/>
    <w:rsid w:val="003E3AA2"/>
    <w:rPr>
      <w:color w:val="954F72" w:themeColor="followedHyperlink"/>
      <w:u w:val="single"/>
    </w:rPr>
  </w:style>
  <w:style w:type="character" w:styleId="CommentReference">
    <w:name w:val="annotation reference"/>
    <w:basedOn w:val="DefaultParagraphFont"/>
    <w:uiPriority w:val="99"/>
    <w:semiHidden/>
    <w:unhideWhenUsed/>
    <w:rsid w:val="00DD13BC"/>
    <w:rPr>
      <w:sz w:val="16"/>
      <w:szCs w:val="16"/>
    </w:rPr>
  </w:style>
  <w:style w:type="paragraph" w:styleId="CommentText">
    <w:name w:val="annotation text"/>
    <w:basedOn w:val="Normal"/>
    <w:link w:val="CommentTextChar"/>
    <w:uiPriority w:val="99"/>
    <w:unhideWhenUsed/>
    <w:rsid w:val="00DD13BC"/>
    <w:pPr>
      <w:spacing w:line="240" w:lineRule="auto"/>
    </w:pPr>
    <w:rPr>
      <w:sz w:val="20"/>
      <w:szCs w:val="20"/>
    </w:rPr>
  </w:style>
  <w:style w:type="character" w:customStyle="1" w:styleId="CommentTextChar">
    <w:name w:val="Comment Text Char"/>
    <w:basedOn w:val="DefaultParagraphFont"/>
    <w:link w:val="CommentText"/>
    <w:uiPriority w:val="99"/>
    <w:rsid w:val="00DD13BC"/>
    <w:rPr>
      <w:rFonts w:eastAsiaTheme="minorHAnsi"/>
      <w:sz w:val="20"/>
      <w:szCs w:val="20"/>
    </w:rPr>
  </w:style>
  <w:style w:type="paragraph" w:styleId="CommentSubject">
    <w:name w:val="annotation subject"/>
    <w:basedOn w:val="CommentText"/>
    <w:next w:val="CommentText"/>
    <w:link w:val="CommentSubjectChar"/>
    <w:uiPriority w:val="99"/>
    <w:semiHidden/>
    <w:unhideWhenUsed/>
    <w:rsid w:val="00DD13BC"/>
    <w:rPr>
      <w:b/>
      <w:bCs/>
    </w:rPr>
  </w:style>
  <w:style w:type="character" w:customStyle="1" w:styleId="CommentSubjectChar">
    <w:name w:val="Comment Subject Char"/>
    <w:basedOn w:val="CommentTextChar"/>
    <w:link w:val="CommentSubject"/>
    <w:uiPriority w:val="99"/>
    <w:semiHidden/>
    <w:rsid w:val="00DD13BC"/>
    <w:rPr>
      <w:rFonts w:eastAsiaTheme="minorHAns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538482">
      <w:bodyDiv w:val="1"/>
      <w:marLeft w:val="0"/>
      <w:marRight w:val="0"/>
      <w:marTop w:val="0"/>
      <w:marBottom w:val="0"/>
      <w:divBdr>
        <w:top w:val="none" w:sz="0" w:space="0" w:color="auto"/>
        <w:left w:val="none" w:sz="0" w:space="0" w:color="auto"/>
        <w:bottom w:val="none" w:sz="0" w:space="0" w:color="auto"/>
        <w:right w:val="none" w:sz="0" w:space="0" w:color="auto"/>
      </w:divBdr>
    </w:div>
    <w:div w:id="473453126">
      <w:bodyDiv w:val="1"/>
      <w:marLeft w:val="0"/>
      <w:marRight w:val="0"/>
      <w:marTop w:val="0"/>
      <w:marBottom w:val="0"/>
      <w:divBdr>
        <w:top w:val="none" w:sz="0" w:space="0" w:color="auto"/>
        <w:left w:val="none" w:sz="0" w:space="0" w:color="auto"/>
        <w:bottom w:val="none" w:sz="0" w:space="0" w:color="auto"/>
        <w:right w:val="none" w:sz="0" w:space="0" w:color="auto"/>
      </w:divBdr>
    </w:div>
    <w:div w:id="610473715">
      <w:bodyDiv w:val="1"/>
      <w:marLeft w:val="0"/>
      <w:marRight w:val="0"/>
      <w:marTop w:val="0"/>
      <w:marBottom w:val="0"/>
      <w:divBdr>
        <w:top w:val="none" w:sz="0" w:space="0" w:color="auto"/>
        <w:left w:val="none" w:sz="0" w:space="0" w:color="auto"/>
        <w:bottom w:val="none" w:sz="0" w:space="0" w:color="auto"/>
        <w:right w:val="none" w:sz="0" w:space="0" w:color="auto"/>
      </w:divBdr>
    </w:div>
    <w:div w:id="836001544">
      <w:bodyDiv w:val="1"/>
      <w:marLeft w:val="0"/>
      <w:marRight w:val="0"/>
      <w:marTop w:val="0"/>
      <w:marBottom w:val="0"/>
      <w:divBdr>
        <w:top w:val="none" w:sz="0" w:space="0" w:color="auto"/>
        <w:left w:val="none" w:sz="0" w:space="0" w:color="auto"/>
        <w:bottom w:val="none" w:sz="0" w:space="0" w:color="auto"/>
        <w:right w:val="none" w:sz="0" w:space="0" w:color="auto"/>
      </w:divBdr>
    </w:div>
    <w:div w:id="874191913">
      <w:bodyDiv w:val="1"/>
      <w:marLeft w:val="0"/>
      <w:marRight w:val="0"/>
      <w:marTop w:val="0"/>
      <w:marBottom w:val="0"/>
      <w:divBdr>
        <w:top w:val="none" w:sz="0" w:space="0" w:color="auto"/>
        <w:left w:val="none" w:sz="0" w:space="0" w:color="auto"/>
        <w:bottom w:val="none" w:sz="0" w:space="0" w:color="auto"/>
        <w:right w:val="none" w:sz="0" w:space="0" w:color="auto"/>
      </w:divBdr>
    </w:div>
    <w:div w:id="1564028930">
      <w:bodyDiv w:val="1"/>
      <w:marLeft w:val="0"/>
      <w:marRight w:val="0"/>
      <w:marTop w:val="0"/>
      <w:marBottom w:val="0"/>
      <w:divBdr>
        <w:top w:val="none" w:sz="0" w:space="0" w:color="auto"/>
        <w:left w:val="none" w:sz="0" w:space="0" w:color="auto"/>
        <w:bottom w:val="none" w:sz="0" w:space="0" w:color="auto"/>
        <w:right w:val="none" w:sz="0" w:space="0" w:color="auto"/>
      </w:divBdr>
      <w:divsChild>
        <w:div w:id="1991277989">
          <w:marLeft w:val="89"/>
          <w:marRight w:val="0"/>
          <w:marTop w:val="0"/>
          <w:marBottom w:val="0"/>
          <w:divBdr>
            <w:top w:val="none" w:sz="0" w:space="0" w:color="auto"/>
            <w:left w:val="none" w:sz="0" w:space="0" w:color="auto"/>
            <w:bottom w:val="none" w:sz="0" w:space="0" w:color="auto"/>
            <w:right w:val="none" w:sz="0" w:space="0" w:color="auto"/>
          </w:divBdr>
        </w:div>
        <w:div w:id="1500580546">
          <w:marLeft w:val="180"/>
          <w:marRight w:val="0"/>
          <w:marTop w:val="0"/>
          <w:marBottom w:val="0"/>
          <w:divBdr>
            <w:top w:val="none" w:sz="0" w:space="0" w:color="auto"/>
            <w:left w:val="none" w:sz="0" w:space="0" w:color="auto"/>
            <w:bottom w:val="none" w:sz="0" w:space="0" w:color="auto"/>
            <w:right w:val="none" w:sz="0" w:space="0" w:color="auto"/>
          </w:divBdr>
        </w:div>
        <w:div w:id="1385641448">
          <w:marLeft w:val="180"/>
          <w:marRight w:val="0"/>
          <w:marTop w:val="0"/>
          <w:marBottom w:val="0"/>
          <w:divBdr>
            <w:top w:val="none" w:sz="0" w:space="0" w:color="auto"/>
            <w:left w:val="none" w:sz="0" w:space="0" w:color="auto"/>
            <w:bottom w:val="none" w:sz="0" w:space="0" w:color="auto"/>
            <w:right w:val="none" w:sz="0" w:space="0" w:color="auto"/>
          </w:divBdr>
        </w:div>
        <w:div w:id="798499128">
          <w:marLeft w:val="180"/>
          <w:marRight w:val="0"/>
          <w:marTop w:val="0"/>
          <w:marBottom w:val="0"/>
          <w:divBdr>
            <w:top w:val="none" w:sz="0" w:space="0" w:color="auto"/>
            <w:left w:val="none" w:sz="0" w:space="0" w:color="auto"/>
            <w:bottom w:val="none" w:sz="0" w:space="0" w:color="auto"/>
            <w:right w:val="none" w:sz="0" w:space="0" w:color="auto"/>
          </w:divBdr>
        </w:div>
        <w:div w:id="2117093021">
          <w:marLeft w:val="180"/>
          <w:marRight w:val="0"/>
          <w:marTop w:val="0"/>
          <w:marBottom w:val="0"/>
          <w:divBdr>
            <w:top w:val="none" w:sz="0" w:space="0" w:color="auto"/>
            <w:left w:val="none" w:sz="0" w:space="0" w:color="auto"/>
            <w:bottom w:val="none" w:sz="0" w:space="0" w:color="auto"/>
            <w:right w:val="none" w:sz="0" w:space="0" w:color="auto"/>
          </w:divBdr>
        </w:div>
        <w:div w:id="51657614">
          <w:marLeft w:val="180"/>
          <w:marRight w:val="0"/>
          <w:marTop w:val="0"/>
          <w:marBottom w:val="0"/>
          <w:divBdr>
            <w:top w:val="none" w:sz="0" w:space="0" w:color="auto"/>
            <w:left w:val="none" w:sz="0" w:space="0" w:color="auto"/>
            <w:bottom w:val="none" w:sz="0" w:space="0" w:color="auto"/>
            <w:right w:val="none" w:sz="0" w:space="0" w:color="auto"/>
          </w:divBdr>
        </w:div>
        <w:div w:id="1348168041">
          <w:marLeft w:val="180"/>
          <w:marRight w:val="0"/>
          <w:marTop w:val="0"/>
          <w:marBottom w:val="0"/>
          <w:divBdr>
            <w:top w:val="none" w:sz="0" w:space="0" w:color="auto"/>
            <w:left w:val="none" w:sz="0" w:space="0" w:color="auto"/>
            <w:bottom w:val="none" w:sz="0" w:space="0" w:color="auto"/>
            <w:right w:val="none" w:sz="0" w:space="0" w:color="auto"/>
          </w:divBdr>
        </w:div>
        <w:div w:id="322858233">
          <w:marLeft w:val="180"/>
          <w:marRight w:val="0"/>
          <w:marTop w:val="0"/>
          <w:marBottom w:val="0"/>
          <w:divBdr>
            <w:top w:val="none" w:sz="0" w:space="0" w:color="auto"/>
            <w:left w:val="none" w:sz="0" w:space="0" w:color="auto"/>
            <w:bottom w:val="none" w:sz="0" w:space="0" w:color="auto"/>
            <w:right w:val="none" w:sz="0" w:space="0" w:color="auto"/>
          </w:divBdr>
        </w:div>
        <w:div w:id="1086150362">
          <w:marLeft w:val="180"/>
          <w:marRight w:val="0"/>
          <w:marTop w:val="0"/>
          <w:marBottom w:val="0"/>
          <w:divBdr>
            <w:top w:val="none" w:sz="0" w:space="0" w:color="auto"/>
            <w:left w:val="none" w:sz="0" w:space="0" w:color="auto"/>
            <w:bottom w:val="none" w:sz="0" w:space="0" w:color="auto"/>
            <w:right w:val="none" w:sz="0" w:space="0" w:color="auto"/>
          </w:divBdr>
        </w:div>
        <w:div w:id="189492945">
          <w:marLeft w:val="180"/>
          <w:marRight w:val="0"/>
          <w:marTop w:val="0"/>
          <w:marBottom w:val="0"/>
          <w:divBdr>
            <w:top w:val="none" w:sz="0" w:space="0" w:color="auto"/>
            <w:left w:val="none" w:sz="0" w:space="0" w:color="auto"/>
            <w:bottom w:val="none" w:sz="0" w:space="0" w:color="auto"/>
            <w:right w:val="none" w:sz="0" w:space="0" w:color="auto"/>
          </w:divBdr>
        </w:div>
        <w:div w:id="1650287870">
          <w:marLeft w:val="89"/>
          <w:marRight w:val="0"/>
          <w:marTop w:val="0"/>
          <w:marBottom w:val="0"/>
          <w:divBdr>
            <w:top w:val="none" w:sz="0" w:space="0" w:color="auto"/>
            <w:left w:val="none" w:sz="0" w:space="0" w:color="auto"/>
            <w:bottom w:val="none" w:sz="0" w:space="0" w:color="auto"/>
            <w:right w:val="none" w:sz="0" w:space="0" w:color="auto"/>
          </w:divBdr>
        </w:div>
        <w:div w:id="363602826">
          <w:marLeft w:val="180"/>
          <w:marRight w:val="0"/>
          <w:marTop w:val="0"/>
          <w:marBottom w:val="0"/>
          <w:divBdr>
            <w:top w:val="none" w:sz="0" w:space="0" w:color="auto"/>
            <w:left w:val="none" w:sz="0" w:space="0" w:color="auto"/>
            <w:bottom w:val="none" w:sz="0" w:space="0" w:color="auto"/>
            <w:right w:val="none" w:sz="0" w:space="0" w:color="auto"/>
          </w:divBdr>
        </w:div>
        <w:div w:id="1721786295">
          <w:marLeft w:val="180"/>
          <w:marRight w:val="0"/>
          <w:marTop w:val="0"/>
          <w:marBottom w:val="0"/>
          <w:divBdr>
            <w:top w:val="none" w:sz="0" w:space="0" w:color="auto"/>
            <w:left w:val="none" w:sz="0" w:space="0" w:color="auto"/>
            <w:bottom w:val="none" w:sz="0" w:space="0" w:color="auto"/>
            <w:right w:val="none" w:sz="0" w:space="0" w:color="auto"/>
          </w:divBdr>
        </w:div>
        <w:div w:id="467210191">
          <w:marLeft w:val="180"/>
          <w:marRight w:val="0"/>
          <w:marTop w:val="0"/>
          <w:marBottom w:val="0"/>
          <w:divBdr>
            <w:top w:val="none" w:sz="0" w:space="0" w:color="auto"/>
            <w:left w:val="none" w:sz="0" w:space="0" w:color="auto"/>
            <w:bottom w:val="none" w:sz="0" w:space="0" w:color="auto"/>
            <w:right w:val="none" w:sz="0" w:space="0" w:color="auto"/>
          </w:divBdr>
        </w:div>
        <w:div w:id="271014339">
          <w:marLeft w:val="180"/>
          <w:marRight w:val="0"/>
          <w:marTop w:val="0"/>
          <w:marBottom w:val="0"/>
          <w:divBdr>
            <w:top w:val="none" w:sz="0" w:space="0" w:color="auto"/>
            <w:left w:val="none" w:sz="0" w:space="0" w:color="auto"/>
            <w:bottom w:val="none" w:sz="0" w:space="0" w:color="auto"/>
            <w:right w:val="none" w:sz="0" w:space="0" w:color="auto"/>
          </w:divBdr>
        </w:div>
        <w:div w:id="806969340">
          <w:marLeft w:val="180"/>
          <w:marRight w:val="0"/>
          <w:marTop w:val="0"/>
          <w:marBottom w:val="0"/>
          <w:divBdr>
            <w:top w:val="none" w:sz="0" w:space="0" w:color="auto"/>
            <w:left w:val="none" w:sz="0" w:space="0" w:color="auto"/>
            <w:bottom w:val="none" w:sz="0" w:space="0" w:color="auto"/>
            <w:right w:val="none" w:sz="0" w:space="0" w:color="auto"/>
          </w:divBdr>
        </w:div>
        <w:div w:id="1504397767">
          <w:marLeft w:val="89"/>
          <w:marRight w:val="0"/>
          <w:marTop w:val="0"/>
          <w:marBottom w:val="0"/>
          <w:divBdr>
            <w:top w:val="none" w:sz="0" w:space="0" w:color="auto"/>
            <w:left w:val="none" w:sz="0" w:space="0" w:color="auto"/>
            <w:bottom w:val="none" w:sz="0" w:space="0" w:color="auto"/>
            <w:right w:val="none" w:sz="0" w:space="0" w:color="auto"/>
          </w:divBdr>
        </w:div>
        <w:div w:id="2025551182">
          <w:marLeft w:val="180"/>
          <w:marRight w:val="0"/>
          <w:marTop w:val="0"/>
          <w:marBottom w:val="0"/>
          <w:divBdr>
            <w:top w:val="none" w:sz="0" w:space="0" w:color="auto"/>
            <w:left w:val="none" w:sz="0" w:space="0" w:color="auto"/>
            <w:bottom w:val="none" w:sz="0" w:space="0" w:color="auto"/>
            <w:right w:val="none" w:sz="0" w:space="0" w:color="auto"/>
          </w:divBdr>
        </w:div>
        <w:div w:id="1295480992">
          <w:marLeft w:val="180"/>
          <w:marRight w:val="0"/>
          <w:marTop w:val="0"/>
          <w:marBottom w:val="0"/>
          <w:divBdr>
            <w:top w:val="none" w:sz="0" w:space="0" w:color="auto"/>
            <w:left w:val="none" w:sz="0" w:space="0" w:color="auto"/>
            <w:bottom w:val="none" w:sz="0" w:space="0" w:color="auto"/>
            <w:right w:val="none" w:sz="0" w:space="0" w:color="auto"/>
          </w:divBdr>
        </w:div>
        <w:div w:id="1218511359">
          <w:marLeft w:val="180"/>
          <w:marRight w:val="0"/>
          <w:marTop w:val="0"/>
          <w:marBottom w:val="0"/>
          <w:divBdr>
            <w:top w:val="none" w:sz="0" w:space="0" w:color="auto"/>
            <w:left w:val="none" w:sz="0" w:space="0" w:color="auto"/>
            <w:bottom w:val="none" w:sz="0" w:space="0" w:color="auto"/>
            <w:right w:val="none" w:sz="0" w:space="0" w:color="auto"/>
          </w:divBdr>
        </w:div>
        <w:div w:id="669059735">
          <w:marLeft w:val="180"/>
          <w:marRight w:val="0"/>
          <w:marTop w:val="0"/>
          <w:marBottom w:val="0"/>
          <w:divBdr>
            <w:top w:val="none" w:sz="0" w:space="0" w:color="auto"/>
            <w:left w:val="none" w:sz="0" w:space="0" w:color="auto"/>
            <w:bottom w:val="none" w:sz="0" w:space="0" w:color="auto"/>
            <w:right w:val="none" w:sz="0" w:space="0" w:color="auto"/>
          </w:divBdr>
        </w:div>
        <w:div w:id="1621645244">
          <w:marLeft w:val="180"/>
          <w:marRight w:val="0"/>
          <w:marTop w:val="0"/>
          <w:marBottom w:val="0"/>
          <w:divBdr>
            <w:top w:val="none" w:sz="0" w:space="0" w:color="auto"/>
            <w:left w:val="none" w:sz="0" w:space="0" w:color="auto"/>
            <w:bottom w:val="none" w:sz="0" w:space="0" w:color="auto"/>
            <w:right w:val="none" w:sz="0" w:space="0" w:color="auto"/>
          </w:divBdr>
        </w:div>
        <w:div w:id="1886942239">
          <w:marLeft w:val="89"/>
          <w:marRight w:val="0"/>
          <w:marTop w:val="0"/>
          <w:marBottom w:val="0"/>
          <w:divBdr>
            <w:top w:val="none" w:sz="0" w:space="0" w:color="auto"/>
            <w:left w:val="none" w:sz="0" w:space="0" w:color="auto"/>
            <w:bottom w:val="none" w:sz="0" w:space="0" w:color="auto"/>
            <w:right w:val="none" w:sz="0" w:space="0" w:color="auto"/>
          </w:divBdr>
        </w:div>
        <w:div w:id="78450397">
          <w:marLeft w:val="180"/>
          <w:marRight w:val="0"/>
          <w:marTop w:val="0"/>
          <w:marBottom w:val="0"/>
          <w:divBdr>
            <w:top w:val="none" w:sz="0" w:space="0" w:color="auto"/>
            <w:left w:val="none" w:sz="0" w:space="0" w:color="auto"/>
            <w:bottom w:val="none" w:sz="0" w:space="0" w:color="auto"/>
            <w:right w:val="none" w:sz="0" w:space="0" w:color="auto"/>
          </w:divBdr>
        </w:div>
        <w:div w:id="937639773">
          <w:marLeft w:val="180"/>
          <w:marRight w:val="0"/>
          <w:marTop w:val="0"/>
          <w:marBottom w:val="0"/>
          <w:divBdr>
            <w:top w:val="none" w:sz="0" w:space="0" w:color="auto"/>
            <w:left w:val="none" w:sz="0" w:space="0" w:color="auto"/>
            <w:bottom w:val="none" w:sz="0" w:space="0" w:color="auto"/>
            <w:right w:val="none" w:sz="0" w:space="0" w:color="auto"/>
          </w:divBdr>
        </w:div>
        <w:div w:id="1668902433">
          <w:marLeft w:val="180"/>
          <w:marRight w:val="0"/>
          <w:marTop w:val="0"/>
          <w:marBottom w:val="0"/>
          <w:divBdr>
            <w:top w:val="none" w:sz="0" w:space="0" w:color="auto"/>
            <w:left w:val="none" w:sz="0" w:space="0" w:color="auto"/>
            <w:bottom w:val="none" w:sz="0" w:space="0" w:color="auto"/>
            <w:right w:val="none" w:sz="0" w:space="0" w:color="auto"/>
          </w:divBdr>
        </w:div>
        <w:div w:id="333186151">
          <w:marLeft w:val="180"/>
          <w:marRight w:val="0"/>
          <w:marTop w:val="0"/>
          <w:marBottom w:val="0"/>
          <w:divBdr>
            <w:top w:val="none" w:sz="0" w:space="0" w:color="auto"/>
            <w:left w:val="none" w:sz="0" w:space="0" w:color="auto"/>
            <w:bottom w:val="none" w:sz="0" w:space="0" w:color="auto"/>
            <w:right w:val="none" w:sz="0" w:space="0" w:color="auto"/>
          </w:divBdr>
        </w:div>
      </w:divsChild>
    </w:div>
    <w:div w:id="1985162382">
      <w:bodyDiv w:val="1"/>
      <w:marLeft w:val="0"/>
      <w:marRight w:val="0"/>
      <w:marTop w:val="0"/>
      <w:marBottom w:val="0"/>
      <w:divBdr>
        <w:top w:val="none" w:sz="0" w:space="0" w:color="auto"/>
        <w:left w:val="none" w:sz="0" w:space="0" w:color="auto"/>
        <w:bottom w:val="none" w:sz="0" w:space="0" w:color="auto"/>
        <w:right w:val="none" w:sz="0" w:space="0" w:color="auto"/>
      </w:divBdr>
    </w:div>
    <w:div w:id="2079358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70D230-A2EB-47DB-A1CA-4FF9B8C77D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18</Pages>
  <Words>2774</Words>
  <Characters>15814</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KWS</dc:creator>
  <cp:keywords/>
  <dc:description/>
  <cp:lastModifiedBy>Alex G Philipson</cp:lastModifiedBy>
  <cp:revision>16</cp:revision>
  <cp:lastPrinted>2025-05-08T21:27:00Z</cp:lastPrinted>
  <dcterms:created xsi:type="dcterms:W3CDTF">2025-10-16T15:35:00Z</dcterms:created>
  <dcterms:modified xsi:type="dcterms:W3CDTF">2025-10-16T16:02:00Z</dcterms:modified>
</cp:coreProperties>
</file>