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FE21" w14:textId="139B5F3B" w:rsidR="006254D4" w:rsidRPr="006254D4" w:rsidRDefault="006254D4" w:rsidP="006254D4">
      <w:pPr>
        <w:pStyle w:val="JuryInstructionText"/>
        <w:jc w:val="right"/>
        <w:rPr>
          <w:i/>
          <w:iCs/>
          <w:sz w:val="24"/>
          <w:szCs w:val="24"/>
        </w:rPr>
      </w:pPr>
      <w:r>
        <w:rPr>
          <w:i/>
          <w:iCs/>
          <w:sz w:val="24"/>
          <w:szCs w:val="24"/>
        </w:rPr>
        <w:t xml:space="preserve">Publication Date: </w:t>
      </w:r>
      <w:r w:rsidR="00344246">
        <w:rPr>
          <w:i/>
          <w:iCs/>
          <w:sz w:val="24"/>
          <w:szCs w:val="24"/>
        </w:rPr>
        <w:t xml:space="preserve">May </w:t>
      </w:r>
      <w:r w:rsidR="00314479">
        <w:rPr>
          <w:i/>
          <w:iCs/>
          <w:sz w:val="24"/>
          <w:szCs w:val="24"/>
        </w:rPr>
        <w:t>22</w:t>
      </w:r>
      <w:r w:rsidR="00344246">
        <w:rPr>
          <w:i/>
          <w:iCs/>
          <w:sz w:val="24"/>
          <w:szCs w:val="24"/>
        </w:rPr>
        <w:t>, 2025</w:t>
      </w:r>
    </w:p>
    <w:p w14:paraId="3CCA7B4D" w14:textId="3E8D617B" w:rsidR="00F2123D" w:rsidRDefault="00F2123D" w:rsidP="00F2123D">
      <w:pPr>
        <w:pStyle w:val="JuryInst2"/>
      </w:pPr>
      <w:bookmarkStart w:id="0" w:name="_Hlk118276359"/>
      <w:r>
        <w:t>Sex Trafficking</w:t>
      </w:r>
      <w:r>
        <w:rPr>
          <w:rStyle w:val="FootnoteReference"/>
        </w:rPr>
        <w:footnoteReference w:id="2"/>
      </w:r>
    </w:p>
    <w:p w14:paraId="0CB1DC30" w14:textId="6E350013" w:rsidR="00F2123D" w:rsidRPr="000124CA" w:rsidRDefault="00F2123D" w:rsidP="00F2123D">
      <w:pPr>
        <w:pStyle w:val="JuryInstructionText"/>
      </w:pPr>
      <w:proofErr w:type="spellStart"/>
      <w:r>
        <w:t>D</w:t>
      </w:r>
      <w:r w:rsidR="00BC47B0">
        <w:t>ft</w:t>
      </w:r>
      <w:proofErr w:type="spellEnd"/>
      <w:r>
        <w:t xml:space="preserve"> is charged with trafficking </w:t>
      </w:r>
      <w:proofErr w:type="spellStart"/>
      <w:r>
        <w:t>A</w:t>
      </w:r>
      <w:r w:rsidR="00BC47B0">
        <w:t>vm</w:t>
      </w:r>
      <w:proofErr w:type="spellEnd"/>
      <w:r>
        <w:t xml:space="preserve"> for sex.</w:t>
      </w:r>
      <w:r>
        <w:rPr>
          <w:rStyle w:val="FootnoteReference"/>
        </w:rPr>
        <w:footnoteReference w:id="3"/>
      </w:r>
      <w:r>
        <w:t xml:space="preserve"> To prove </w:t>
      </w:r>
      <w:proofErr w:type="spellStart"/>
      <w:r>
        <w:t>D</w:t>
      </w:r>
      <w:r w:rsidR="00BC47B0">
        <w:t>ft</w:t>
      </w:r>
      <w:proofErr w:type="spellEnd"/>
      <w:r>
        <w:t xml:space="preserve"> guilty of this offense, the Commonwealth must prove the following two elements beyond a reasonable doubt: </w:t>
      </w:r>
    </w:p>
    <w:p w14:paraId="74CF66DF" w14:textId="0250C04F" w:rsidR="006A6F90" w:rsidRDefault="00F2123D" w:rsidP="00F2123D">
      <w:pPr>
        <w:pStyle w:val="JuryInstructionElements"/>
      </w:pPr>
      <w:r>
        <w:t>1.</w:t>
      </w:r>
      <w:r>
        <w:tab/>
      </w:r>
      <w:proofErr w:type="spellStart"/>
      <w:r w:rsidR="00BC47B0">
        <w:t>Dft</w:t>
      </w:r>
      <w:proofErr w:type="spellEnd"/>
      <w:r w:rsidR="00BC47B0">
        <w:t xml:space="preserve"> </w:t>
      </w:r>
      <w:r w:rsidR="006A6F90">
        <w:t>committed an act of sex trafficking, which I will define in a moment</w:t>
      </w:r>
      <w:r w:rsidR="001E4611">
        <w:t>, or received money or anything of value as a result of an act of sex trafficking</w:t>
      </w:r>
      <w:r w:rsidR="006A6F90">
        <w:t>;</w:t>
      </w:r>
      <w:r w:rsidR="006A6F90">
        <w:rPr>
          <w:rStyle w:val="FootnoteReference"/>
        </w:rPr>
        <w:footnoteReference w:id="4"/>
      </w:r>
      <w:r w:rsidR="006A6F90">
        <w:t xml:space="preserve"> and </w:t>
      </w:r>
    </w:p>
    <w:p w14:paraId="529258D0" w14:textId="6EEE3D49" w:rsidR="00F2123D" w:rsidRDefault="00F2123D" w:rsidP="00F2123D">
      <w:pPr>
        <w:pStyle w:val="JuryInstructionElements"/>
      </w:pPr>
      <w:r>
        <w:t>2.</w:t>
      </w:r>
      <w:r>
        <w:tab/>
        <w:t xml:space="preserve">That </w:t>
      </w:r>
      <w:proofErr w:type="spellStart"/>
      <w:r w:rsidR="00BC47B0">
        <w:t>Dft</w:t>
      </w:r>
      <w:proofErr w:type="spellEnd"/>
      <w:r w:rsidR="00BC47B0">
        <w:t xml:space="preserve"> </w:t>
      </w:r>
      <w:r>
        <w:t>did so knowingly.</w:t>
      </w:r>
      <w:r>
        <w:rPr>
          <w:rStyle w:val="FootnoteReference"/>
        </w:rPr>
        <w:footnoteReference w:id="5"/>
      </w:r>
      <w:r>
        <w:t xml:space="preserve"> </w:t>
      </w:r>
    </w:p>
    <w:p w14:paraId="0063F32A" w14:textId="42667D55" w:rsidR="006A6F90" w:rsidRDefault="006A6F90" w:rsidP="006A6F90">
      <w:pPr>
        <w:pStyle w:val="JuryInstructionText"/>
      </w:pPr>
      <w:r>
        <w:lastRenderedPageBreak/>
        <w:t xml:space="preserve">An “act of sex trafficking” means an act that subjects, recruits, entices, harbors, transports, provides, or obtains </w:t>
      </w:r>
      <w:proofErr w:type="spellStart"/>
      <w:r w:rsidR="00BC47B0">
        <w:t>Avm</w:t>
      </w:r>
      <w:proofErr w:type="spellEnd"/>
      <w:r>
        <w:rPr>
          <w:rStyle w:val="FootnoteReference"/>
        </w:rPr>
        <w:footnoteReference w:id="6"/>
      </w:r>
      <w:r w:rsidR="001E4611">
        <w:t xml:space="preserve"> [</w:t>
      </w:r>
      <w:r>
        <w:t xml:space="preserve">, or that attempts to subject, recruit, entice, harbor, transport, provide, or obtain </w:t>
      </w:r>
      <w:proofErr w:type="spellStart"/>
      <w:r w:rsidR="00BC47B0">
        <w:t>Avm</w:t>
      </w:r>
      <w:proofErr w:type="spellEnd"/>
      <w:r>
        <w:t>,]</w:t>
      </w:r>
      <w:r>
        <w:rPr>
          <w:rStyle w:val="FootnoteReference"/>
        </w:rPr>
        <w:footnoteReference w:id="7"/>
      </w:r>
      <w:r>
        <w:t xml:space="preserve"> by any means to engage in </w:t>
      </w:r>
      <w:r w:rsidRPr="00A0715D">
        <w:rPr>
          <w:spacing w:val="-2"/>
        </w:rPr>
        <w:t>commercial sexual activity, [a sexually-</w:t>
      </w:r>
      <w:r>
        <w:t>explicit performance or the production of unlawful pornography in violation of chapter 272],</w:t>
      </w:r>
      <w:r>
        <w:rPr>
          <w:rStyle w:val="FootnoteReference"/>
        </w:rPr>
        <w:footnoteReference w:id="8"/>
      </w:r>
      <w:r>
        <w:t xml:space="preserve"> or</w:t>
      </w:r>
      <w:r w:rsidRPr="006A7D9F">
        <w:t xml:space="preserve"> </w:t>
      </w:r>
      <w:r>
        <w:rPr>
          <w:spacing w:val="-2"/>
        </w:rPr>
        <w:t xml:space="preserve">causes </w:t>
      </w:r>
      <w:proofErr w:type="spellStart"/>
      <w:r w:rsidR="00E43272">
        <w:rPr>
          <w:spacing w:val="-2"/>
        </w:rPr>
        <w:lastRenderedPageBreak/>
        <w:t>Avm</w:t>
      </w:r>
      <w:proofErr w:type="spellEnd"/>
      <w:r w:rsidR="00E43272" w:rsidRPr="00A0715D">
        <w:rPr>
          <w:spacing w:val="-2"/>
        </w:rPr>
        <w:t xml:space="preserve"> </w:t>
      </w:r>
      <w:r w:rsidRPr="00A0715D">
        <w:rPr>
          <w:spacing w:val="-2"/>
        </w:rPr>
        <w:t>to engage in commercial</w:t>
      </w:r>
      <w:r>
        <w:t xml:space="preserve"> sexual activity [a sexually-explicit performance or the production of unlawful pornography in violation of chapter 272].</w:t>
      </w:r>
    </w:p>
    <w:p w14:paraId="0FFED84B" w14:textId="683BDCF5" w:rsidR="00525D01" w:rsidRDefault="00F2123D" w:rsidP="00525D01">
      <w:pPr>
        <w:pStyle w:val="JuryInstructionText"/>
        <w:keepNext/>
      </w:pPr>
      <w:r>
        <w:t>As used here</w:t>
      </w:r>
      <w:r w:rsidR="008A7293">
        <w:t>:</w:t>
      </w:r>
    </w:p>
    <w:p w14:paraId="4BBAF119" w14:textId="50D59933" w:rsidR="00525D01" w:rsidRDefault="00F2123D" w:rsidP="00525D01">
      <w:pPr>
        <w:pStyle w:val="JuryInstructionBullets"/>
        <w:keepNext/>
      </w:pPr>
      <w:r>
        <w:t>“</w:t>
      </w:r>
      <w:r w:rsidR="008A7293">
        <w:t>S</w:t>
      </w:r>
      <w:r>
        <w:t>ubject” means to cause</w:t>
      </w:r>
      <w:r w:rsidR="006A6F90">
        <w:t>.</w:t>
      </w:r>
    </w:p>
    <w:p w14:paraId="26CDAE8F" w14:textId="02C5F7E0" w:rsidR="00525D01" w:rsidRDefault="00F2123D" w:rsidP="006A6F90">
      <w:pPr>
        <w:pStyle w:val="JuryInstructionBullets"/>
      </w:pPr>
      <w:r>
        <w:t xml:space="preserve">“Recruit” means </w:t>
      </w:r>
      <w:r w:rsidR="001962BC">
        <w:t>to persuade a person to join a scheme, organization, or enterprise</w:t>
      </w:r>
      <w:r w:rsidR="006A6F90">
        <w:t>;</w:t>
      </w:r>
      <w:r>
        <w:rPr>
          <w:rStyle w:val="FootnoteReference"/>
        </w:rPr>
        <w:footnoteReference w:id="9"/>
      </w:r>
      <w:r w:rsidR="006A6F90">
        <w:t xml:space="preserve"> and “entice” means to attract or to tempt.</w:t>
      </w:r>
      <w:r>
        <w:rPr>
          <w:rStyle w:val="FootnoteReference"/>
        </w:rPr>
        <w:footnoteReference w:id="10"/>
      </w:r>
      <w:r w:rsidR="0078280B" w:rsidRPr="0078280B">
        <w:rPr>
          <w:vertAlign w:val="superscript"/>
        </w:rPr>
        <w:t>,</w:t>
      </w:r>
      <w:r w:rsidR="006A6F90">
        <w:rPr>
          <w:rStyle w:val="FootnoteReference"/>
        </w:rPr>
        <w:footnoteReference w:id="11"/>
      </w:r>
    </w:p>
    <w:p w14:paraId="6EE2A124" w14:textId="505CE6FF" w:rsidR="00525D01" w:rsidRDefault="00F2123D" w:rsidP="00525D01">
      <w:pPr>
        <w:pStyle w:val="JuryInstructionBullets"/>
      </w:pPr>
      <w:r>
        <w:t>“Harbor” means to shelter or to conceal</w:t>
      </w:r>
      <w:r w:rsidR="006A6F90">
        <w:t>.</w:t>
      </w:r>
    </w:p>
    <w:p w14:paraId="23D813CB" w14:textId="58381219" w:rsidR="00525D01" w:rsidRDefault="00F2123D" w:rsidP="00525D01">
      <w:pPr>
        <w:pStyle w:val="JuryInstructionBullets"/>
      </w:pPr>
      <w:r>
        <w:t>“Transport” means to take or convey</w:t>
      </w:r>
      <w:r w:rsidR="006A6F90">
        <w:t>.</w:t>
      </w:r>
    </w:p>
    <w:p w14:paraId="4CB37D8C" w14:textId="62698C03" w:rsidR="00525D01" w:rsidRDefault="00F2123D" w:rsidP="00525D01">
      <w:pPr>
        <w:pStyle w:val="JuryInstructionBullets"/>
      </w:pPr>
      <w:r>
        <w:t>“Provide” means to make available</w:t>
      </w:r>
      <w:r w:rsidR="006A6F90">
        <w:t>.</w:t>
      </w:r>
    </w:p>
    <w:p w14:paraId="74191F27" w14:textId="707CED36" w:rsidR="00F2123D" w:rsidRDefault="00F2123D" w:rsidP="00525D01">
      <w:pPr>
        <w:pStyle w:val="JuryInstructionBullets"/>
      </w:pPr>
      <w:r>
        <w:t xml:space="preserve">“Obtain” means to </w:t>
      </w:r>
      <w:r w:rsidR="00031AF3">
        <w:t xml:space="preserve">take possession </w:t>
      </w:r>
      <w:r w:rsidR="006A6F90">
        <w:t xml:space="preserve">or control </w:t>
      </w:r>
      <w:r w:rsidR="002C00BB">
        <w:t xml:space="preserve">of </w:t>
      </w:r>
      <w:r w:rsidR="006A6F90">
        <w:t>someone.</w:t>
      </w:r>
      <w:r w:rsidR="006A6F90">
        <w:rPr>
          <w:rStyle w:val="FootnoteReference"/>
        </w:rPr>
        <w:footnoteReference w:id="12"/>
      </w:r>
    </w:p>
    <w:p w14:paraId="0F0999C4" w14:textId="4BD6CB92" w:rsidR="00525D01" w:rsidRDefault="00525D01" w:rsidP="00525D01">
      <w:pPr>
        <w:pStyle w:val="JuryInstructionBullets"/>
      </w:pPr>
      <w:r>
        <w:lastRenderedPageBreak/>
        <w:t>An act is done “knowingly” if it was done voluntarily or intentionally and not by accident or mistake.</w:t>
      </w:r>
    </w:p>
    <w:p w14:paraId="529D758F" w14:textId="77777777" w:rsidR="008A7293" w:rsidRDefault="008A7293" w:rsidP="008A7293">
      <w:pPr>
        <w:pStyle w:val="JuryInstructionText"/>
        <w:keepNext/>
      </w:pPr>
      <w:r w:rsidRPr="008A7293">
        <w:rPr>
          <w:b/>
          <w:bCs/>
        </w:rPr>
        <w:t>&lt;</w:t>
      </w:r>
      <w:r w:rsidR="00F2123D" w:rsidRPr="008A7293">
        <w:rPr>
          <w:b/>
          <w:bCs/>
          <w:i/>
          <w:iCs/>
        </w:rPr>
        <w:t>If the case involves commercial sexual activit</w:t>
      </w:r>
      <w:r>
        <w:rPr>
          <w:b/>
          <w:bCs/>
          <w:i/>
          <w:iCs/>
        </w:rPr>
        <w:t>y, add the next two paragraphs.</w:t>
      </w:r>
      <w:r>
        <w:t>&gt;</w:t>
      </w:r>
      <w:r w:rsidR="00F2123D">
        <w:t xml:space="preserve"> </w:t>
      </w:r>
    </w:p>
    <w:p w14:paraId="02CD0605" w14:textId="5E2528DC" w:rsidR="00F2123D" w:rsidRDefault="00F2123D" w:rsidP="00F2123D">
      <w:pPr>
        <w:pStyle w:val="JuryInstructionText"/>
      </w:pPr>
      <w:r>
        <w:t>Commercial sexual activity is any sexual act involving physical contact for</w:t>
      </w:r>
      <w:r w:rsidRPr="00F058A7">
        <w:t xml:space="preserve"> which anything of value is given, promised to, or received by any person.</w:t>
      </w:r>
      <w:r>
        <w:rPr>
          <w:rStyle w:val="FootnoteReference"/>
        </w:rPr>
        <w:footnoteReference w:id="13"/>
      </w:r>
    </w:p>
    <w:p w14:paraId="0E6CA232" w14:textId="282A9DDD" w:rsidR="00F2123D" w:rsidRPr="00F2123D" w:rsidRDefault="00F2123D" w:rsidP="00F2123D">
      <w:pPr>
        <w:pStyle w:val="JuryInstructionText"/>
      </w:pPr>
      <w:r w:rsidRPr="00F2123D">
        <w:t>Sexual conduct is</w:t>
      </w:r>
      <w:r w:rsidR="008C5051">
        <w:t xml:space="preserve"> h</w:t>
      </w:r>
      <w:r w:rsidRPr="00F2123D">
        <w:t>uman masturbation, sexual intercourse actual or simulated, or any touching of the genitals, pubic areas or buttocks of the human male or female, or the breasts of the female, whether alone or between members of the same or opposite sex or between humans and animals, any depiction or representation of excretory functions, any lewd exhibitions of the genitals, flagellation or torture in the context of a sexual relationship. Sexual intercourse is simulated when it depicts explicit sexual intercourse which gives the appearance of the consummation of sexual intercourse</w:t>
      </w:r>
      <w:r w:rsidR="008C5051">
        <w:t>.</w:t>
      </w:r>
      <w:r w:rsidR="00C455E8">
        <w:rPr>
          <w:rStyle w:val="FootnoteReference"/>
        </w:rPr>
        <w:footnoteReference w:id="14"/>
      </w:r>
    </w:p>
    <w:p w14:paraId="0A5A587C" w14:textId="2AEB24E8" w:rsidR="00E90E67" w:rsidRDefault="00E90E67" w:rsidP="00E90E67">
      <w:pPr>
        <w:pStyle w:val="JuryInstructionText"/>
        <w:keepNext/>
      </w:pPr>
      <w:r w:rsidRPr="00E90E67">
        <w:rPr>
          <w:b/>
          <w:bCs/>
          <w:i/>
          <w:iCs/>
        </w:rPr>
        <w:lastRenderedPageBreak/>
        <w:t>&lt;</w:t>
      </w:r>
      <w:r w:rsidR="00F2123D" w:rsidRPr="00E90E67">
        <w:rPr>
          <w:b/>
          <w:bCs/>
          <w:i/>
          <w:iCs/>
        </w:rPr>
        <w:t>If the case involves a sexually-explicit performanc</w:t>
      </w:r>
      <w:r>
        <w:rPr>
          <w:b/>
          <w:bCs/>
          <w:i/>
          <w:iCs/>
        </w:rPr>
        <w:t xml:space="preserve">e, add the next four </w:t>
      </w:r>
      <w:proofErr w:type="spellStart"/>
      <w:r>
        <w:rPr>
          <w:b/>
          <w:bCs/>
          <w:i/>
          <w:iCs/>
        </w:rPr>
        <w:t>paragaraphs</w:t>
      </w:r>
      <w:proofErr w:type="spellEnd"/>
      <w:r w:rsidR="00F2123D">
        <w:t>:</w:t>
      </w:r>
      <w:r>
        <w:t>&gt;</w:t>
      </w:r>
    </w:p>
    <w:p w14:paraId="55759D73" w14:textId="37D58B77" w:rsidR="00F2123D" w:rsidRDefault="00F2123D" w:rsidP="00F2123D">
      <w:pPr>
        <w:pStyle w:val="JuryInstructionText"/>
      </w:pPr>
      <w:r>
        <w:t>A s</w:t>
      </w:r>
      <w:r w:rsidRPr="00F058A7">
        <w:t>ex</w:t>
      </w:r>
      <w:r>
        <w:t>ually-explicit performance</w:t>
      </w:r>
      <w:r w:rsidRPr="00A75E28">
        <w:t xml:space="preserve"> is an unlawful</w:t>
      </w:r>
      <w:r>
        <w:rPr>
          <w:rStyle w:val="FootnoteReference"/>
        </w:rPr>
        <w:footnoteReference w:id="15"/>
      </w:r>
      <w:r w:rsidRPr="00A75E28">
        <w:t xml:space="preserve"> live</w:t>
      </w:r>
      <w:r w:rsidRPr="00F058A7">
        <w:t xml:space="preserve"> or public act or show intended to arouse or satisfy the sexual desires or appeal to the prurient interests</w:t>
      </w:r>
      <w:r w:rsidR="008C5051">
        <w:t xml:space="preserve"> </w:t>
      </w:r>
      <w:r w:rsidRPr="00F058A7">
        <w:t>of</w:t>
      </w:r>
      <w:r>
        <w:t xml:space="preserve"> patrons</w:t>
      </w:r>
      <w:r w:rsidR="001E4611">
        <w:t>.</w:t>
      </w:r>
      <w:r>
        <w:rPr>
          <w:rStyle w:val="FootnoteReference"/>
        </w:rPr>
        <w:footnoteReference w:id="16"/>
      </w:r>
    </w:p>
    <w:p w14:paraId="1C2634CC" w14:textId="61A6C097" w:rsidR="00F2123D" w:rsidRDefault="00F2123D" w:rsidP="00F2123D">
      <w:pPr>
        <w:pStyle w:val="JuryInstructionText"/>
        <w:rPr>
          <w:rFonts w:cs="Segoe UI Historic"/>
        </w:rPr>
      </w:pPr>
      <w:r w:rsidRPr="0062798E">
        <w:rPr>
          <w:rFonts w:cs="Segoe UI Historic"/>
        </w:rPr>
        <w:t>A sexually explicit performance is unlawful if it is “obscene</w:t>
      </w:r>
      <w:r>
        <w:rPr>
          <w:rFonts w:cs="Segoe UI Historic"/>
        </w:rPr>
        <w:t xml:space="preserve">.” </w:t>
      </w:r>
      <w:r w:rsidRPr="0062798E">
        <w:rPr>
          <w:rFonts w:cs="Segoe UI Historic"/>
        </w:rPr>
        <w:t>An “obscene” performance is one that depicts s</w:t>
      </w:r>
      <w:r w:rsidRPr="0062798E">
        <w:rPr>
          <w:rStyle w:val="ssleftalign"/>
          <w:rFonts w:cs="Segoe UI Historic"/>
        </w:rPr>
        <w:t xml:space="preserve">exual conduct in a patently offensive way. Offensiveness is to be determined with reference to contemporary community norms. </w:t>
      </w:r>
      <w:r w:rsidRPr="0062798E">
        <w:rPr>
          <w:rFonts w:cs="Segoe UI Historic"/>
        </w:rPr>
        <w:t>While nude dancing is protected speech, it may lose its protected status when it involves "hard-core" sexual conduct</w:t>
      </w:r>
      <w:r>
        <w:rPr>
          <w:rFonts w:cs="Segoe UI Historic"/>
        </w:rPr>
        <w:t xml:space="preserve">. </w:t>
      </w:r>
      <w:r w:rsidRPr="0062798E">
        <w:rPr>
          <w:rFonts w:cs="Segoe UI Historic"/>
        </w:rPr>
        <w:t>Conduct which has been found obscene by courts include patrons grabbing at a dancer, lewd exposure of the genitals, particularly when accompanied by lewd conduct, and masturbation or fondling oneself.</w:t>
      </w:r>
      <w:r>
        <w:rPr>
          <w:rStyle w:val="FootnoteReference"/>
          <w:rFonts w:cs="Segoe UI Historic"/>
        </w:rPr>
        <w:footnoteReference w:id="17"/>
      </w:r>
      <w:r w:rsidRPr="0062798E">
        <w:rPr>
          <w:rFonts w:cs="Segoe UI Historic"/>
        </w:rPr>
        <w:t xml:space="preserve"> </w:t>
      </w:r>
    </w:p>
    <w:p w14:paraId="00C43ECB" w14:textId="673485D8" w:rsidR="00F2123D" w:rsidRDefault="00F2123D" w:rsidP="00F2123D">
      <w:pPr>
        <w:pStyle w:val="JuryInstructionText"/>
        <w:rPr>
          <w:shd w:val="clear" w:color="auto" w:fill="FFFFFF"/>
        </w:rPr>
      </w:pPr>
      <w:r w:rsidRPr="00EC3E3B">
        <w:rPr>
          <w:shd w:val="clear" w:color="auto" w:fill="FFFFFF"/>
        </w:rPr>
        <w:t>Sexual conduct is</w:t>
      </w:r>
      <w:r w:rsidR="008C5051">
        <w:rPr>
          <w:shd w:val="clear" w:color="auto" w:fill="FFFFFF"/>
        </w:rPr>
        <w:t xml:space="preserve"> h</w:t>
      </w:r>
      <w:r w:rsidRPr="00EC3E3B">
        <w:rPr>
          <w:shd w:val="clear" w:color="auto" w:fill="FFFFFF"/>
        </w:rPr>
        <w:t xml:space="preserve">uman masturbation, sexual intercourse actual or simulated, normal or perverted, or any touching of the genitals, pubic areas or buttocks of the human male or female, or the breasts of the female, whether alone or between members of the same or opposite sex or between humans and animals, any depiction or representation of excretory functions, any lewd exhibitions of the genitals, flagellation or torture in the context of a sexual relationship. Sexual intercourse is simulated when it </w:t>
      </w:r>
      <w:r w:rsidRPr="00EC3E3B">
        <w:rPr>
          <w:shd w:val="clear" w:color="auto" w:fill="FFFFFF"/>
        </w:rPr>
        <w:lastRenderedPageBreak/>
        <w:t>depicts explicit sexual intercourse which gives the appearance of the consummation of sexual intercourse</w:t>
      </w:r>
      <w:r w:rsidR="008C5051">
        <w:rPr>
          <w:shd w:val="clear" w:color="auto" w:fill="FFFFFF"/>
        </w:rPr>
        <w:t>.</w:t>
      </w:r>
      <w:r w:rsidRPr="00EC3E3B">
        <w:rPr>
          <w:rStyle w:val="FootnoteReference"/>
          <w:rFonts w:ascii="Lato" w:hAnsi="Lato"/>
          <w:shd w:val="clear" w:color="auto" w:fill="FFFFFF"/>
        </w:rPr>
        <w:footnoteReference w:id="18"/>
      </w:r>
      <w:r w:rsidRPr="00EC3E3B">
        <w:rPr>
          <w:shd w:val="clear" w:color="auto" w:fill="FFFFFF"/>
        </w:rPr>
        <w:t> </w:t>
      </w:r>
    </w:p>
    <w:p w14:paraId="03A9AC92" w14:textId="72D66B5F" w:rsidR="00F2123D" w:rsidRPr="00EC3E3B" w:rsidRDefault="00F2123D" w:rsidP="00F2123D">
      <w:pPr>
        <w:pStyle w:val="JuryInstructionText"/>
        <w:rPr>
          <w:rFonts w:cs="Segoe UI Historic"/>
        </w:rPr>
      </w:pPr>
      <w:r w:rsidRPr="00EC3E3B">
        <w:rPr>
          <w:rFonts w:cs="Segoe UI Historic"/>
        </w:rPr>
        <w:t>A “prurient interest</w:t>
      </w:r>
      <w:r w:rsidR="008C5051">
        <w:rPr>
          <w:rFonts w:cs="Segoe UI Historic"/>
        </w:rPr>
        <w:t>”</w:t>
      </w:r>
      <w:r w:rsidRPr="00EC3E3B">
        <w:rPr>
          <w:rFonts w:cs="Segoe UI Historic"/>
        </w:rPr>
        <w:t xml:space="preserve"> is a shameful or morbid interest in nudity, sex, or excretion, an </w:t>
      </w:r>
      <w:proofErr w:type="spellStart"/>
      <w:r w:rsidRPr="00EC3E3B">
        <w:rPr>
          <w:rFonts w:cs="Segoe UI Historic"/>
        </w:rPr>
        <w:t>unhealty</w:t>
      </w:r>
      <w:proofErr w:type="spellEnd"/>
      <w:r w:rsidRPr="00EC3E3B">
        <w:rPr>
          <w:rFonts w:cs="Segoe UI Historic"/>
        </w:rPr>
        <w:t xml:space="preserve"> interest about sexual matters which is repugnant to prevailing moral standards.</w:t>
      </w:r>
      <w:r>
        <w:rPr>
          <w:rStyle w:val="FootnoteReference"/>
          <w:rFonts w:cs="Segoe UI Historic"/>
        </w:rPr>
        <w:footnoteReference w:id="19"/>
      </w:r>
      <w:r w:rsidRPr="00EC3E3B">
        <w:rPr>
          <w:rFonts w:cs="Segoe UI Historic"/>
        </w:rPr>
        <w:t xml:space="preserve"> </w:t>
      </w:r>
    </w:p>
    <w:p w14:paraId="1F4E00B5" w14:textId="4CCA7105" w:rsidR="00F2123D" w:rsidRPr="00EC3E3B" w:rsidRDefault="00C455E8" w:rsidP="00F2123D">
      <w:pPr>
        <w:pStyle w:val="JuryInstructionText"/>
        <w:rPr>
          <w:rFonts w:cs="Segoe UI Historic"/>
          <w:shd w:val="clear" w:color="auto" w:fill="FFFFFF"/>
        </w:rPr>
      </w:pPr>
      <w:r>
        <w:rPr>
          <w:rFonts w:cs="Segoe UI Historic"/>
          <w:b/>
          <w:bCs/>
          <w:shd w:val="clear" w:color="auto" w:fill="FFFFFF"/>
        </w:rPr>
        <w:t>&lt;</w:t>
      </w:r>
      <w:r w:rsidR="00F2123D" w:rsidRPr="00C455E8">
        <w:rPr>
          <w:rFonts w:cs="Segoe UI Historic"/>
          <w:b/>
          <w:bCs/>
          <w:i/>
          <w:iCs/>
          <w:shd w:val="clear" w:color="auto" w:fill="FFFFFF"/>
        </w:rPr>
        <w:t>If the case involves production of child pornograph</w:t>
      </w:r>
      <w:r>
        <w:rPr>
          <w:rFonts w:cs="Segoe UI Historic"/>
          <w:b/>
          <w:bCs/>
          <w:i/>
          <w:iCs/>
          <w:shd w:val="clear" w:color="auto" w:fill="FFFFFF"/>
        </w:rPr>
        <w:t xml:space="preserve">y, add the </w:t>
      </w:r>
      <w:r w:rsidR="00E90E67">
        <w:rPr>
          <w:rFonts w:cs="Segoe UI Historic"/>
          <w:b/>
          <w:bCs/>
          <w:i/>
          <w:iCs/>
          <w:shd w:val="clear" w:color="auto" w:fill="FFFFFF"/>
        </w:rPr>
        <w:t>next</w:t>
      </w:r>
      <w:r>
        <w:rPr>
          <w:rFonts w:cs="Segoe UI Historic"/>
          <w:b/>
          <w:bCs/>
          <w:i/>
          <w:iCs/>
          <w:shd w:val="clear" w:color="auto" w:fill="FFFFFF"/>
        </w:rPr>
        <w:t xml:space="preserve"> paragraph and whichever </w:t>
      </w:r>
      <w:r w:rsidR="00E90E67">
        <w:rPr>
          <w:rFonts w:cs="Segoe UI Historic"/>
          <w:b/>
          <w:bCs/>
          <w:i/>
          <w:iCs/>
          <w:shd w:val="clear" w:color="auto" w:fill="FFFFFF"/>
        </w:rPr>
        <w:t xml:space="preserve">of the subsequent </w:t>
      </w:r>
      <w:r>
        <w:rPr>
          <w:rFonts w:cs="Segoe UI Historic"/>
          <w:b/>
          <w:bCs/>
          <w:i/>
          <w:iCs/>
          <w:shd w:val="clear" w:color="auto" w:fill="FFFFFF"/>
        </w:rPr>
        <w:t>bullets are relevant</w:t>
      </w:r>
      <w:r w:rsidR="00F2123D" w:rsidRPr="00EC3E3B">
        <w:rPr>
          <w:rFonts w:cs="Segoe UI Historic"/>
          <w:shd w:val="clear" w:color="auto" w:fill="FFFFFF"/>
        </w:rPr>
        <w:t>:</w:t>
      </w:r>
      <w:r w:rsidR="00F2123D" w:rsidRPr="00EC3E3B">
        <w:rPr>
          <w:rStyle w:val="FootnoteReference"/>
          <w:rFonts w:cs="Segoe UI Historic"/>
          <w:shd w:val="clear" w:color="auto" w:fill="FFFFFF"/>
        </w:rPr>
        <w:footnoteReference w:id="20"/>
      </w:r>
      <w:r>
        <w:rPr>
          <w:rFonts w:cs="Segoe UI Historic"/>
          <w:shd w:val="clear" w:color="auto" w:fill="FFFFFF"/>
        </w:rPr>
        <w:t>&gt;</w:t>
      </w:r>
    </w:p>
    <w:p w14:paraId="0E7DF06A" w14:textId="37E536E5" w:rsidR="00F2123D" w:rsidRPr="00EC3E3B" w:rsidRDefault="00F2123D" w:rsidP="00F2123D">
      <w:pPr>
        <w:pStyle w:val="JuryInstructionText"/>
      </w:pPr>
      <w:r w:rsidRPr="00EC3E3B">
        <w:t xml:space="preserve">Child pornography is unlawful. </w:t>
      </w:r>
      <w:r>
        <w:t>C</w:t>
      </w:r>
      <w:r w:rsidRPr="00EC3E3B">
        <w:t xml:space="preserve">hild pornography includes </w:t>
      </w:r>
      <w:r w:rsidR="008C5051">
        <w:t xml:space="preserve">any </w:t>
      </w:r>
      <w:r w:rsidRPr="00EC3E3B">
        <w:t>negative, slide, book, magazine, film, videotape, photograph or other similar visual reproduction, or depiction by computer, of any child whom a person knows or reasonably should know to be under the age of 18 years of age and such child is:</w:t>
      </w:r>
    </w:p>
    <w:p w14:paraId="107CBFBB" w14:textId="2BD5CA2B" w:rsidR="00F2123D" w:rsidRPr="00EC3E3B" w:rsidRDefault="00F2123D" w:rsidP="00F2123D">
      <w:pPr>
        <w:pStyle w:val="JuryInstructionBullets"/>
      </w:pPr>
      <w:r w:rsidRPr="00EC3E3B">
        <w:t>actually or by simulation engaged in any act of sexual intercourse with any person or animal;</w:t>
      </w:r>
    </w:p>
    <w:p w14:paraId="1CD42105" w14:textId="43B9B075" w:rsidR="00F2123D" w:rsidRPr="00EC3E3B" w:rsidRDefault="00F2123D" w:rsidP="00F2123D">
      <w:pPr>
        <w:pStyle w:val="JuryInstructionBullets"/>
        <w:rPr>
          <w:kern w:val="0"/>
        </w:rPr>
      </w:pPr>
      <w:r w:rsidRPr="00EC3E3B">
        <w:rPr>
          <w:kern w:val="0"/>
        </w:rPr>
        <w:t>actually or by simulation engaged in any act of sexual contact involving the sex organs of the child and the mouth, anus or sex organs of the child and the sex organs of another person or animal;</w:t>
      </w:r>
    </w:p>
    <w:p w14:paraId="110381DE" w14:textId="45B3545E" w:rsidR="00F2123D" w:rsidRPr="00EC3E3B" w:rsidRDefault="00F2123D" w:rsidP="00F2123D">
      <w:pPr>
        <w:pStyle w:val="JuryInstructionBullets"/>
        <w:rPr>
          <w:kern w:val="0"/>
        </w:rPr>
      </w:pPr>
      <w:r w:rsidRPr="00EC3E3B">
        <w:rPr>
          <w:kern w:val="0"/>
        </w:rPr>
        <w:t>actually or by simulation engaged in any act of masturbation;</w:t>
      </w:r>
    </w:p>
    <w:p w14:paraId="4E99D097" w14:textId="0BB86827" w:rsidR="00F2123D" w:rsidRPr="00EC3E3B" w:rsidRDefault="00F2123D" w:rsidP="00F2123D">
      <w:pPr>
        <w:pStyle w:val="JuryInstructionBullets"/>
        <w:rPr>
          <w:kern w:val="0"/>
        </w:rPr>
      </w:pPr>
      <w:r w:rsidRPr="00EC3E3B">
        <w:rPr>
          <w:kern w:val="0"/>
        </w:rPr>
        <w:t>actually or by simulation portrayed as being the object of, or otherwise engaged in, any act of lewd fondling, touching, or caressing involving another person or animal;</w:t>
      </w:r>
    </w:p>
    <w:p w14:paraId="7DE4161E" w14:textId="3C805704" w:rsidR="00F2123D" w:rsidRPr="00EC3E3B" w:rsidRDefault="00F2123D" w:rsidP="00F2123D">
      <w:pPr>
        <w:pStyle w:val="JuryInstructionBullets"/>
        <w:rPr>
          <w:kern w:val="0"/>
        </w:rPr>
      </w:pPr>
      <w:r w:rsidRPr="00EC3E3B">
        <w:rPr>
          <w:kern w:val="0"/>
        </w:rPr>
        <w:t>actually or by simulation engaged in any act of excretion or urination within a sexual context;</w:t>
      </w:r>
    </w:p>
    <w:p w14:paraId="32317C94" w14:textId="22970CCC" w:rsidR="00F2123D" w:rsidRPr="00EC3E3B" w:rsidRDefault="00F2123D" w:rsidP="00F2123D">
      <w:pPr>
        <w:pStyle w:val="JuryInstructionBullets"/>
        <w:rPr>
          <w:kern w:val="0"/>
        </w:rPr>
      </w:pPr>
      <w:r w:rsidRPr="00EC3E3B">
        <w:rPr>
          <w:kern w:val="0"/>
        </w:rPr>
        <w:t>actually or by simulation portrayed or depicted as bound, fettered, or subject to sadistic, masochistic, or sadomasochistic abuse in any sexual context; or</w:t>
      </w:r>
    </w:p>
    <w:p w14:paraId="2F850106" w14:textId="1E6F2D29" w:rsidR="00F2123D" w:rsidRPr="00EC3E3B" w:rsidRDefault="00F2123D" w:rsidP="00F2123D">
      <w:pPr>
        <w:pStyle w:val="JuryInstructionBullets"/>
      </w:pPr>
      <w:r w:rsidRPr="00EC3E3B">
        <w:rPr>
          <w:kern w:val="0"/>
        </w:rPr>
        <w:lastRenderedPageBreak/>
        <w:t>depicted or portrayed in any pose, posture or setting involving a lewd exhibition of the unclothed genitals, pubic area, buttocks or</w:t>
      </w:r>
      <w:r w:rsidR="008C5051">
        <w:rPr>
          <w:kern w:val="0"/>
        </w:rPr>
        <w:t xml:space="preserve"> </w:t>
      </w:r>
      <w:r w:rsidRPr="00EC3E3B">
        <w:rPr>
          <w:kern w:val="0"/>
        </w:rPr>
        <w:t>a fully or partially developed</w:t>
      </w:r>
      <w:r w:rsidR="008C5051">
        <w:rPr>
          <w:kern w:val="0"/>
        </w:rPr>
        <w:t xml:space="preserve"> female</w:t>
      </w:r>
      <w:r w:rsidRPr="00EC3E3B">
        <w:rPr>
          <w:kern w:val="0"/>
        </w:rPr>
        <w:t xml:space="preserve"> breast of the child</w:t>
      </w:r>
      <w:r>
        <w:rPr>
          <w:kern w:val="0"/>
        </w:rPr>
        <w:t xml:space="preserve">. </w:t>
      </w:r>
    </w:p>
    <w:p w14:paraId="3838CBB0" w14:textId="248BF637" w:rsidR="00F2123D" w:rsidRPr="00EC3E3B" w:rsidRDefault="00C455E8" w:rsidP="00F2123D">
      <w:pPr>
        <w:pStyle w:val="JuryInstructionText"/>
      </w:pPr>
      <w:r>
        <w:rPr>
          <w:b/>
          <w:bCs/>
        </w:rPr>
        <w:t>&lt;</w:t>
      </w:r>
      <w:r w:rsidR="00F2123D" w:rsidRPr="00C455E8">
        <w:rPr>
          <w:b/>
          <w:bCs/>
          <w:i/>
          <w:iCs/>
        </w:rPr>
        <w:t>If the case involves production of unlawful adult pornograph</w:t>
      </w:r>
      <w:r>
        <w:rPr>
          <w:b/>
          <w:bCs/>
          <w:i/>
          <w:iCs/>
        </w:rPr>
        <w:t>y, add the following paragraph.</w:t>
      </w:r>
      <w:r>
        <w:rPr>
          <w:b/>
          <w:bCs/>
        </w:rPr>
        <w:t>&gt;</w:t>
      </w:r>
    </w:p>
    <w:p w14:paraId="75EB0357" w14:textId="165418CB" w:rsidR="00F2123D" w:rsidRDefault="00F2123D" w:rsidP="00F2123D">
      <w:pPr>
        <w:pStyle w:val="JuryInstructionText"/>
      </w:pPr>
      <w:r w:rsidRPr="00EC3E3B">
        <w:t>Pornography is unlawful if it is obscene</w:t>
      </w:r>
      <w:r>
        <w:t xml:space="preserve">. </w:t>
      </w:r>
      <w:r w:rsidRPr="00EC3E3B">
        <w:t xml:space="preserve">Matter is “obscene” if, taken as a whole it: </w:t>
      </w:r>
      <w:r w:rsidRPr="00EC3E3B">
        <w:rPr>
          <w:rStyle w:val="ssbf"/>
          <w:rFonts w:cs="Segoe UI Historic"/>
        </w:rPr>
        <w:t>(1)</w:t>
      </w:r>
      <w:r w:rsidRPr="00EC3E3B">
        <w:rPr>
          <w:rStyle w:val="ssparalabel"/>
          <w:rFonts w:cs="Segoe UI Historic"/>
        </w:rPr>
        <w:t xml:space="preserve"> </w:t>
      </w:r>
      <w:r w:rsidRPr="00EC3E3B">
        <w:rPr>
          <w:rStyle w:val="ssparacontent"/>
          <w:rFonts w:cs="Segoe UI Historic"/>
        </w:rPr>
        <w:t>appeals to the prurient interest of the average person applying the contemporary standards of the county where the offense was committed;</w:t>
      </w:r>
      <w:r>
        <w:rPr>
          <w:rStyle w:val="ssbf"/>
          <w:rFonts w:cs="Segoe UI Historic"/>
        </w:rPr>
        <w:t xml:space="preserve"> (2) depicts or describes sexual conduct in a patently offensive way; and (3) lacks serious literary, artistic, political, or scientific value. </w:t>
      </w:r>
      <w:r w:rsidRPr="00EC3E3B">
        <w:t>A</w:t>
      </w:r>
      <w:r w:rsidR="00C455E8">
        <w:t> </w:t>
      </w:r>
      <w:r w:rsidRPr="00EC3E3B">
        <w:t>“prurient interest</w:t>
      </w:r>
      <w:r w:rsidR="008C5051">
        <w:t>”</w:t>
      </w:r>
      <w:r w:rsidRPr="00EC3E3B">
        <w:t xml:space="preserve"> is a shameful or morbid interest in nudity, sex, or excretion, an </w:t>
      </w:r>
      <w:proofErr w:type="spellStart"/>
      <w:r w:rsidRPr="00EC3E3B">
        <w:t>unhealty</w:t>
      </w:r>
      <w:proofErr w:type="spellEnd"/>
      <w:r w:rsidRPr="00EC3E3B">
        <w:t xml:space="preserve"> interest about sexual matters which is repugnant to prevailing moral standards</w:t>
      </w:r>
      <w:r>
        <w:t>.</w:t>
      </w:r>
      <w:r>
        <w:rPr>
          <w:rStyle w:val="FootnoteReference"/>
          <w:rFonts w:cs="Segoe UI Historic"/>
        </w:rPr>
        <w:footnoteReference w:id="21"/>
      </w:r>
    </w:p>
    <w:p w14:paraId="20BC8DC0" w14:textId="7358806C" w:rsidR="00C455E8" w:rsidRDefault="00C455E8" w:rsidP="00F2123D">
      <w:pPr>
        <w:pStyle w:val="JuryInstructionText"/>
      </w:pPr>
      <w:r>
        <w:t>&lt;</w:t>
      </w:r>
      <w:r>
        <w:rPr>
          <w:b/>
          <w:bCs/>
          <w:i/>
          <w:iCs/>
        </w:rPr>
        <w:t>The following three paragraphs apply in all human sex trafficking cases</w:t>
      </w:r>
      <w:r>
        <w:t>.&gt;</w:t>
      </w:r>
    </w:p>
    <w:p w14:paraId="53EC09BB" w14:textId="540E8016" w:rsidR="00F2123D" w:rsidRDefault="00F2123D" w:rsidP="00F2123D">
      <w:pPr>
        <w:pStyle w:val="JuryInstructionText"/>
      </w:pPr>
      <w:r w:rsidRPr="00F058A7">
        <w:t>The Commonwealth is not requ</w:t>
      </w:r>
      <w:r>
        <w:t xml:space="preserve">ired to prove that </w:t>
      </w:r>
      <w:proofErr w:type="spellStart"/>
      <w:r w:rsidR="00351CB8">
        <w:t>Dft</w:t>
      </w:r>
      <w:proofErr w:type="spellEnd"/>
      <w:r w:rsidR="00351CB8" w:rsidRPr="00F058A7">
        <w:t xml:space="preserve"> </w:t>
      </w:r>
      <w:r w:rsidRPr="00F058A7">
        <w:t>used force or coercion in committing the alleged acts.</w:t>
      </w:r>
      <w:r>
        <w:rPr>
          <w:rStyle w:val="FootnoteReference"/>
        </w:rPr>
        <w:footnoteReference w:id="22"/>
      </w:r>
      <w:r w:rsidRPr="00F058A7">
        <w:t xml:space="preserve"> </w:t>
      </w:r>
    </w:p>
    <w:p w14:paraId="213E1EC8" w14:textId="13796E4B" w:rsidR="00F2123D" w:rsidRPr="00F058A7" w:rsidRDefault="00F2123D" w:rsidP="00F2123D">
      <w:pPr>
        <w:pStyle w:val="JuryInstructionText"/>
      </w:pPr>
      <w:r w:rsidRPr="00F058A7">
        <w:t xml:space="preserve">The Commonwealth is </w:t>
      </w:r>
      <w:r w:rsidR="001E4611">
        <w:t xml:space="preserve">also </w:t>
      </w:r>
      <w:r w:rsidRPr="00F058A7">
        <w:t>not required to p</w:t>
      </w:r>
      <w:r>
        <w:t xml:space="preserve">rove that </w:t>
      </w:r>
      <w:proofErr w:type="spellStart"/>
      <w:r w:rsidR="00351CB8">
        <w:t>Avm</w:t>
      </w:r>
      <w:proofErr w:type="spellEnd"/>
      <w:r w:rsidR="00351CB8">
        <w:t xml:space="preserve"> </w:t>
      </w:r>
      <w:r>
        <w:t>did not consent</w:t>
      </w:r>
      <w:r w:rsidRPr="00F058A7">
        <w:t>. It is irrele</w:t>
      </w:r>
      <w:r>
        <w:t xml:space="preserve">vant whether or not </w:t>
      </w:r>
      <w:proofErr w:type="spellStart"/>
      <w:r w:rsidR="00351CB8">
        <w:t>Avm</w:t>
      </w:r>
      <w:proofErr w:type="spellEnd"/>
      <w:r w:rsidR="00351CB8" w:rsidRPr="00F058A7">
        <w:t xml:space="preserve"> </w:t>
      </w:r>
      <w:r w:rsidRPr="00F058A7">
        <w:t xml:space="preserve">consented to engage in commercial sexual activity, [a </w:t>
      </w:r>
      <w:proofErr w:type="gramStart"/>
      <w:r w:rsidRPr="00F058A7">
        <w:t>sexually-explicit</w:t>
      </w:r>
      <w:proofErr w:type="gramEnd"/>
      <w:r w:rsidRPr="00F058A7">
        <w:t xml:space="preserve"> performance or the production of unlawful pornography in violation of chapter 272].</w:t>
      </w:r>
      <w:r>
        <w:rPr>
          <w:rStyle w:val="FootnoteReference"/>
        </w:rPr>
        <w:footnoteReference w:id="23"/>
      </w:r>
    </w:p>
    <w:p w14:paraId="672F9BF2" w14:textId="22CEBB33" w:rsidR="00F2123D" w:rsidRDefault="00F2123D" w:rsidP="00F2123D">
      <w:pPr>
        <w:pStyle w:val="JuryInstructionText"/>
      </w:pPr>
      <w:r>
        <w:t xml:space="preserve">To act knowingly means to act with an awareness of the unlawful act. For example, a taxi driver who transports a </w:t>
      </w:r>
      <w:r w:rsidR="008C5051">
        <w:t>person</w:t>
      </w:r>
      <w:r>
        <w:t xml:space="preserve"> to a hotel where she engages in commercial sexual activity does not “knowingly” transport the </w:t>
      </w:r>
      <w:r w:rsidR="008C5051">
        <w:t>person</w:t>
      </w:r>
      <w:r>
        <w:t xml:space="preserve"> to engage in commercial sexual activity unless the taxi driver actually knows that the </w:t>
      </w:r>
      <w:r w:rsidR="008C5051">
        <w:t>person</w:t>
      </w:r>
      <w:r>
        <w:t xml:space="preserve"> was going to the hotel to engage in the commercial sexual activity.</w:t>
      </w:r>
    </w:p>
    <w:p w14:paraId="18779340" w14:textId="4CDB060D" w:rsidR="00F2123D" w:rsidRDefault="00F2123D" w:rsidP="00F2123D">
      <w:pPr>
        <w:pStyle w:val="JuryInst2"/>
      </w:pPr>
      <w:r w:rsidRPr="00D074F3">
        <w:lastRenderedPageBreak/>
        <w:t>Sex Trafficking of a Person Under 18</w:t>
      </w:r>
      <w:r w:rsidR="008A7293">
        <w:t xml:space="preserve"> &lt;</w:t>
      </w:r>
      <w:r w:rsidR="008A7293">
        <w:rPr>
          <w:i/>
          <w:iCs/>
        </w:rPr>
        <w:t>supplemental instruction</w:t>
      </w:r>
      <w:r w:rsidR="008A7293">
        <w:t>&gt;</w:t>
      </w:r>
      <w:r>
        <w:rPr>
          <w:rStyle w:val="FootnoteReference"/>
        </w:rPr>
        <w:footnoteReference w:id="24"/>
      </w:r>
    </w:p>
    <w:p w14:paraId="3E58B0D4" w14:textId="7E98430A" w:rsidR="00F2123D" w:rsidRDefault="00F2123D" w:rsidP="00F2123D">
      <w:pPr>
        <w:pStyle w:val="JuryInstructionText"/>
      </w:pPr>
      <w:r>
        <w:t xml:space="preserve">Sex trafficking of a person under 18 has one additional element to those required for sex trafficking. </w:t>
      </w:r>
    </w:p>
    <w:p w14:paraId="6B847FCB" w14:textId="3488F1D0" w:rsidR="00F2123D" w:rsidRDefault="00F2123D" w:rsidP="00F2123D">
      <w:pPr>
        <w:pStyle w:val="JuryInstructionElements"/>
      </w:pPr>
      <w:r>
        <w:t xml:space="preserve">3. </w:t>
      </w:r>
      <w:proofErr w:type="spellStart"/>
      <w:r w:rsidR="00351CB8">
        <w:t>Avm</w:t>
      </w:r>
      <w:proofErr w:type="spellEnd"/>
      <w:r w:rsidR="00351CB8">
        <w:t xml:space="preserve"> </w:t>
      </w:r>
      <w:r>
        <w:t>was under 18 years of age.</w:t>
      </w:r>
    </w:p>
    <w:p w14:paraId="21F33DD6" w14:textId="2D1F206D" w:rsidR="00B75859" w:rsidRPr="00B75859" w:rsidRDefault="00F2123D" w:rsidP="00085437">
      <w:pPr>
        <w:pStyle w:val="JuryInstructionText"/>
      </w:pPr>
      <w:r>
        <w:t xml:space="preserve">This last element is self-explanatory. </w:t>
      </w:r>
      <w:bookmarkEnd w:id="0"/>
    </w:p>
    <w:sectPr w:rsidR="00B75859" w:rsidRPr="00B75859"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999B" w14:textId="77777777" w:rsidR="00347BE8" w:rsidRDefault="00347BE8" w:rsidP="00F74A90">
      <w:r>
        <w:separator/>
      </w:r>
    </w:p>
  </w:endnote>
  <w:endnote w:type="continuationSeparator" w:id="0">
    <w:p w14:paraId="75F6DB06" w14:textId="77777777" w:rsidR="00347BE8" w:rsidRDefault="00347BE8"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EA214A"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1118" w14:textId="77777777" w:rsidR="00347BE8" w:rsidRDefault="00347BE8" w:rsidP="00F74A90">
      <w:r>
        <w:separator/>
      </w:r>
    </w:p>
  </w:footnote>
  <w:footnote w:type="continuationSeparator" w:id="0">
    <w:p w14:paraId="0F981A6C" w14:textId="77777777" w:rsidR="00347BE8" w:rsidRDefault="00347BE8" w:rsidP="00F74A90">
      <w:r>
        <w:continuationSeparator/>
      </w:r>
    </w:p>
  </w:footnote>
  <w:footnote w:type="continuationNotice" w:id="1">
    <w:p w14:paraId="2C666C16" w14:textId="77777777" w:rsidR="00347BE8" w:rsidRDefault="00347BE8" w:rsidP="00046730">
      <w:pPr>
        <w:jc w:val="right"/>
      </w:pPr>
      <w:r>
        <w:t>&lt;</w:t>
      </w:r>
      <w:r>
        <w:rPr>
          <w:i/>
          <w:iCs/>
        </w:rPr>
        <w:t>continued…</w:t>
      </w:r>
      <w:r>
        <w:t>&gt;</w:t>
      </w:r>
    </w:p>
  </w:footnote>
  <w:footnote w:id="2">
    <w:p w14:paraId="7EF6C3D3" w14:textId="71B1F6BF" w:rsidR="00F2123D" w:rsidRPr="00C37126" w:rsidRDefault="00F2123D" w:rsidP="00F2123D">
      <w:pPr>
        <w:pStyle w:val="FootnoteText"/>
        <w:rPr>
          <w:rFonts w:cs="Segoe UI Historic"/>
          <w:kern w:val="0"/>
        </w:rPr>
      </w:pPr>
      <w:r>
        <w:rPr>
          <w:rStyle w:val="FootnoteReference"/>
        </w:rPr>
        <w:footnoteRef/>
      </w:r>
      <w:r>
        <w:t xml:space="preserve"> </w:t>
      </w:r>
      <w:r w:rsidRPr="00C37126">
        <w:tab/>
      </w:r>
      <w:r w:rsidRPr="00C37126">
        <w:rPr>
          <w:rFonts w:cs="Segoe UI Historic"/>
        </w:rPr>
        <w:t xml:space="preserve">G.L. c. 265, § 50 states: </w:t>
      </w:r>
      <w:r>
        <w:rPr>
          <w:rFonts w:cs="Segoe UI Historic"/>
        </w:rPr>
        <w:t>“</w:t>
      </w:r>
      <w:r w:rsidRPr="00C37126">
        <w:rPr>
          <w:rFonts w:cs="Segoe UI Historic"/>
          <w:bCs/>
          <w:kern w:val="0"/>
          <w:bdr w:val="none" w:sz="0" w:space="0" w:color="auto" w:frame="1"/>
        </w:rPr>
        <w:t>(a)</w:t>
      </w:r>
      <w:r w:rsidRPr="00C37126">
        <w:rPr>
          <w:rFonts w:cs="Segoe UI Historic"/>
          <w:kern w:val="0"/>
          <w:bdr w:val="none" w:sz="0" w:space="0" w:color="auto" w:frame="1"/>
        </w:rPr>
        <w:t> Whoever knowingly: (i) subjects, or attempts to subject, or recruits, entices, harbors, transports, provides or obtains by any means, or attempts to recruit, entice, harbor, transport, provide or obtain by any means, another person to engage in commercial sexual activity, a sexually-explicit performance or the production of unlawful pornography in violation of chapter 272, or causes a person to engage in commercial sexual activity, a sexually-explicit performance or the production of unlawful pornography in violation of said chapter 272; or (ii) benefits, financially or by receiving anything of value, as a result of a violation of clause (i), shall be guilty of the crime of trafficking of persons for sexual servitude and shall be punished</w:t>
      </w:r>
      <w:r>
        <w:rPr>
          <w:rFonts w:cs="Segoe UI Historic"/>
          <w:kern w:val="0"/>
          <w:bdr w:val="none" w:sz="0" w:space="0" w:color="auto" w:frame="1"/>
        </w:rPr>
        <w:t>….</w:t>
      </w:r>
    </w:p>
    <w:p w14:paraId="5BC3619F" w14:textId="7CF6B8FA" w:rsidR="00F2123D" w:rsidRPr="00C37126" w:rsidRDefault="00F2123D" w:rsidP="00F2123D">
      <w:pPr>
        <w:pStyle w:val="FootnoteText"/>
        <w:rPr>
          <w:rFonts w:cs="Segoe UI Historic"/>
          <w:kern w:val="0"/>
        </w:rPr>
      </w:pPr>
      <w:r>
        <w:rPr>
          <w:rFonts w:cs="Segoe UI Historic"/>
          <w:bCs/>
          <w:kern w:val="0"/>
          <w:bdr w:val="none" w:sz="0" w:space="0" w:color="auto" w:frame="1"/>
        </w:rPr>
        <w:tab/>
        <w:t>“</w:t>
      </w:r>
      <w:r w:rsidRPr="00C37126">
        <w:rPr>
          <w:rFonts w:cs="Segoe UI Historic"/>
          <w:bCs/>
          <w:kern w:val="0"/>
          <w:bdr w:val="none" w:sz="0" w:space="0" w:color="auto" w:frame="1"/>
        </w:rPr>
        <w:t>(b)</w:t>
      </w:r>
      <w:r w:rsidRPr="00C37126">
        <w:rPr>
          <w:rFonts w:cs="Segoe UI Historic"/>
          <w:kern w:val="0"/>
          <w:bdr w:val="none" w:sz="0" w:space="0" w:color="auto" w:frame="1"/>
        </w:rPr>
        <w:t xml:space="preserve"> Whoever commits the crime of trafficking of persons for sexual servitude upon a person under 18 years of age shall be punished </w:t>
      </w:r>
      <w:r>
        <w:rPr>
          <w:rFonts w:cs="Segoe UI Historic"/>
          <w:kern w:val="0"/>
          <w:bdr w:val="none" w:sz="0" w:space="0" w:color="auto" w:frame="1"/>
        </w:rPr>
        <w:t>….”</w:t>
      </w:r>
    </w:p>
  </w:footnote>
  <w:footnote w:id="3">
    <w:p w14:paraId="71850738" w14:textId="1E2BC10E" w:rsidR="00F2123D" w:rsidRPr="00C37126" w:rsidRDefault="00F2123D" w:rsidP="00F2123D">
      <w:pPr>
        <w:pStyle w:val="FootnoteText"/>
        <w:rPr>
          <w:sz w:val="24"/>
          <w:szCs w:val="24"/>
        </w:rPr>
      </w:pPr>
      <w:r w:rsidRPr="00C37126">
        <w:rPr>
          <w:rStyle w:val="FootnoteReference"/>
          <w:sz w:val="24"/>
          <w:szCs w:val="24"/>
        </w:rPr>
        <w:footnoteRef/>
      </w:r>
      <w:r w:rsidRPr="00C37126">
        <w:rPr>
          <w:sz w:val="24"/>
          <w:szCs w:val="24"/>
        </w:rPr>
        <w:t xml:space="preserve"> </w:t>
      </w:r>
      <w:r w:rsidRPr="00C37126">
        <w:rPr>
          <w:sz w:val="24"/>
          <w:szCs w:val="24"/>
        </w:rPr>
        <w:tab/>
      </w:r>
      <w:r w:rsidRPr="00F2123D">
        <w:rPr>
          <w:szCs w:val="22"/>
        </w:rPr>
        <w:t>Although the Commonwealth must prove beyond a reasonable doubt that there was a victim</w:t>
      </w:r>
      <w:r w:rsidR="00085437">
        <w:rPr>
          <w:szCs w:val="22"/>
        </w:rPr>
        <w:t>,</w:t>
      </w:r>
      <w:r w:rsidRPr="00F2123D">
        <w:rPr>
          <w:szCs w:val="22"/>
        </w:rPr>
        <w:t xml:space="preserve"> it need not prove the identity of that person as an element of the offense. </w:t>
      </w:r>
      <w:r w:rsidRPr="00F2123D">
        <w:rPr>
          <w:i/>
          <w:iCs/>
          <w:szCs w:val="22"/>
        </w:rPr>
        <w:t>Commonwealth v. Fan</w:t>
      </w:r>
      <w:r w:rsidRPr="00F2123D">
        <w:rPr>
          <w:szCs w:val="22"/>
        </w:rPr>
        <w:t>, 490 Mass. 433, 448 (2022).</w:t>
      </w:r>
    </w:p>
  </w:footnote>
  <w:footnote w:id="4">
    <w:p w14:paraId="4CC6BD3D" w14:textId="60C65959" w:rsidR="006A6F90" w:rsidRDefault="006A6F90">
      <w:pPr>
        <w:pStyle w:val="FootnoteText"/>
      </w:pPr>
      <w:r>
        <w:rPr>
          <w:rStyle w:val="FootnoteReference"/>
        </w:rPr>
        <w:footnoteRef/>
      </w:r>
      <w:r>
        <w:t xml:space="preserve"> </w:t>
      </w:r>
      <w:r>
        <w:tab/>
        <w:t xml:space="preserve">The judge should instruct only on the applicable subclause. See </w:t>
      </w:r>
      <w:r w:rsidRPr="00F2123D">
        <w:rPr>
          <w:rFonts w:cs="Segoe UI Historic"/>
          <w:i/>
          <w:szCs w:val="22"/>
        </w:rPr>
        <w:t>Commonwealth</w:t>
      </w:r>
      <w:r w:rsidRPr="00F2123D">
        <w:rPr>
          <w:rFonts w:cs="Segoe UI Historic"/>
          <w:szCs w:val="22"/>
        </w:rPr>
        <w:t xml:space="preserve"> v. </w:t>
      </w:r>
      <w:r w:rsidRPr="00F2123D">
        <w:rPr>
          <w:rFonts w:cs="Segoe UI Historic"/>
          <w:i/>
          <w:szCs w:val="22"/>
        </w:rPr>
        <w:t>Dabney</w:t>
      </w:r>
      <w:r w:rsidRPr="00F2123D">
        <w:rPr>
          <w:rFonts w:cs="Segoe UI Historic"/>
          <w:szCs w:val="22"/>
        </w:rPr>
        <w:t>, 478 Mass. 839,</w:t>
      </w:r>
      <w:r>
        <w:rPr>
          <w:rFonts w:cs="Segoe UI Historic"/>
          <w:szCs w:val="22"/>
        </w:rPr>
        <w:t xml:space="preserve"> 853, n.11, </w:t>
      </w:r>
      <w:r w:rsidRPr="00F2123D">
        <w:rPr>
          <w:rFonts w:cs="Segoe UI Historic"/>
          <w:szCs w:val="22"/>
        </w:rPr>
        <w:t>cert. denied, 139 S. Ct. 127</w:t>
      </w:r>
      <w:r w:rsidRPr="00F2123D">
        <w:rPr>
          <w:szCs w:val="22"/>
        </w:rPr>
        <w:t xml:space="preserve"> (2018).</w:t>
      </w:r>
      <w:r>
        <w:rPr>
          <w:szCs w:val="22"/>
        </w:rPr>
        <w:t xml:space="preserve"> If the defendant is the only person who engaged in the act of sex trafficking, then the Commonwealth must prove the defendant guilty of sex trafficking under the first part of the first element, in order to prove the defendant guilty of the second part of the first element, receiving anything of value as a result of the sex trafficking. Ordinarily, the second part of the first element will only be relevant or necessary if a person other than the defendant committed the act of sex trafficking, but the defendant knowingly benefitted from it. The second part of the first element is different from, and sometimes charged together with, the offense of deriving support from prostitution, G.L. c. 272, § 7, which does not require proof of an act of sex trafficking. See </w:t>
      </w:r>
      <w:r w:rsidRPr="006A6F90">
        <w:rPr>
          <w:i/>
          <w:iCs/>
          <w:szCs w:val="22"/>
        </w:rPr>
        <w:t>Commonwealth</w:t>
      </w:r>
      <w:r>
        <w:rPr>
          <w:szCs w:val="22"/>
        </w:rPr>
        <w:t xml:space="preserve"> v. </w:t>
      </w:r>
      <w:r w:rsidRPr="006A6F90">
        <w:rPr>
          <w:i/>
          <w:iCs/>
          <w:szCs w:val="22"/>
        </w:rPr>
        <w:t>Brown</w:t>
      </w:r>
      <w:r>
        <w:rPr>
          <w:szCs w:val="22"/>
        </w:rPr>
        <w:t>, 481 Mass. 77, 89–90 (2018).</w:t>
      </w:r>
    </w:p>
  </w:footnote>
  <w:footnote w:id="5">
    <w:p w14:paraId="1369D824" w14:textId="47EFB3EA" w:rsidR="00F2123D" w:rsidRDefault="00F2123D" w:rsidP="00F2123D">
      <w:pPr>
        <w:pStyle w:val="FootnoteText"/>
      </w:pPr>
      <w:r w:rsidRPr="00B55734">
        <w:rPr>
          <w:rStyle w:val="FootnoteReference"/>
        </w:rPr>
        <w:footnoteRef/>
      </w:r>
      <w:r>
        <w:tab/>
        <w:t>A judge may choose to define knowingly after defining “obtain” below as follows:  An act is done knowingly if it was done voluntarily or intentionally and not by accident or mistake.</w:t>
      </w:r>
    </w:p>
  </w:footnote>
  <w:footnote w:id="6">
    <w:p w14:paraId="2902EAB4" w14:textId="15232A46" w:rsidR="006A6F90" w:rsidRPr="00C37126" w:rsidRDefault="006A6F90" w:rsidP="006A6F90">
      <w:pPr>
        <w:pStyle w:val="FootnoteText"/>
        <w:rPr>
          <w:sz w:val="24"/>
          <w:szCs w:val="24"/>
        </w:rPr>
      </w:pPr>
      <w:r w:rsidRPr="00C37126">
        <w:rPr>
          <w:rStyle w:val="FootnoteReference"/>
          <w:sz w:val="24"/>
          <w:szCs w:val="24"/>
        </w:rPr>
        <w:footnoteRef/>
      </w:r>
      <w:r w:rsidRPr="00C37126">
        <w:rPr>
          <w:sz w:val="24"/>
          <w:szCs w:val="24"/>
        </w:rPr>
        <w:t xml:space="preserve"> </w:t>
      </w:r>
      <w:r w:rsidRPr="00C37126">
        <w:rPr>
          <w:sz w:val="24"/>
          <w:szCs w:val="24"/>
        </w:rPr>
        <w:tab/>
      </w:r>
      <w:r w:rsidRPr="00F2123D">
        <w:rPr>
          <w:szCs w:val="22"/>
        </w:rPr>
        <w:t xml:space="preserve">The </w:t>
      </w:r>
      <w:r>
        <w:rPr>
          <w:szCs w:val="22"/>
        </w:rPr>
        <w:t xml:space="preserve">act of sex trafficking </w:t>
      </w:r>
      <w:r w:rsidRPr="00F2123D">
        <w:rPr>
          <w:szCs w:val="22"/>
        </w:rPr>
        <w:t xml:space="preserve">may be proved in a number of different ways. The judge should charge on the theories pressed at trial and delete the others. The judge </w:t>
      </w:r>
      <w:r>
        <w:rPr>
          <w:szCs w:val="22"/>
        </w:rPr>
        <w:t xml:space="preserve">should </w:t>
      </w:r>
      <w:r w:rsidRPr="00F2123D">
        <w:rPr>
          <w:szCs w:val="22"/>
        </w:rPr>
        <w:t>discuss the theories of the defendant’s potential culpability during the charge conference.</w:t>
      </w:r>
    </w:p>
  </w:footnote>
  <w:footnote w:id="7">
    <w:p w14:paraId="6FF2CE3D" w14:textId="6905618C" w:rsidR="006A6F90" w:rsidRDefault="006A6F90" w:rsidP="006A6F90">
      <w:pPr>
        <w:pStyle w:val="FootnoteText"/>
        <w:rPr>
          <w:szCs w:val="22"/>
        </w:rPr>
      </w:pPr>
      <w:r w:rsidRPr="00B8411A">
        <w:rPr>
          <w:rStyle w:val="FootnoteReference"/>
          <w:szCs w:val="22"/>
        </w:rPr>
        <w:footnoteRef/>
      </w:r>
      <w:r w:rsidRPr="00C37126">
        <w:rPr>
          <w:sz w:val="24"/>
          <w:szCs w:val="24"/>
        </w:rPr>
        <w:t xml:space="preserve"> </w:t>
      </w:r>
      <w:r w:rsidRPr="00C37126">
        <w:rPr>
          <w:sz w:val="24"/>
          <w:szCs w:val="24"/>
        </w:rPr>
        <w:tab/>
      </w:r>
      <w:r w:rsidRPr="00F2123D">
        <w:rPr>
          <w:szCs w:val="22"/>
        </w:rPr>
        <w:t xml:space="preserve">In </w:t>
      </w:r>
      <w:r w:rsidRPr="00F2123D">
        <w:rPr>
          <w:i/>
          <w:iCs/>
          <w:szCs w:val="22"/>
        </w:rPr>
        <w:t>Fan</w:t>
      </w:r>
      <w:r>
        <w:rPr>
          <w:szCs w:val="22"/>
        </w:rPr>
        <w:t>,</w:t>
      </w:r>
      <w:r w:rsidRPr="00F2123D">
        <w:rPr>
          <w:i/>
          <w:iCs/>
          <w:szCs w:val="22"/>
        </w:rPr>
        <w:t xml:space="preserve"> </w:t>
      </w:r>
      <w:r w:rsidRPr="00F2123D">
        <w:rPr>
          <w:szCs w:val="22"/>
        </w:rPr>
        <w:t>the Supreme Judicial Court noted that “enabling” or “causing” prostitution are “short</w:t>
      </w:r>
      <w:r>
        <w:rPr>
          <w:szCs w:val="22"/>
        </w:rPr>
        <w:t>-</w:t>
      </w:r>
      <w:r w:rsidRPr="00F2123D">
        <w:rPr>
          <w:szCs w:val="22"/>
        </w:rPr>
        <w:t>hand means of describing the various ways in which a person may violate the human trafficking statute as enumerated in</w:t>
      </w:r>
      <w:r>
        <w:rPr>
          <w:szCs w:val="22"/>
        </w:rPr>
        <w:t xml:space="preserve"> G.L. c. 265, § 50(a).” </w:t>
      </w:r>
      <w:r w:rsidRPr="006A6F90">
        <w:rPr>
          <w:szCs w:val="22"/>
        </w:rPr>
        <w:t xml:space="preserve">490 Mass. at 448, citing </w:t>
      </w:r>
      <w:r w:rsidRPr="006A6F90">
        <w:rPr>
          <w:i/>
          <w:iCs/>
          <w:szCs w:val="22"/>
        </w:rPr>
        <w:t>Dabney</w:t>
      </w:r>
      <w:r w:rsidRPr="006A6F90">
        <w:rPr>
          <w:szCs w:val="22"/>
        </w:rPr>
        <w:t xml:space="preserve">, 478 Mass. </w:t>
      </w:r>
      <w:r>
        <w:rPr>
          <w:szCs w:val="22"/>
        </w:rPr>
        <w:t xml:space="preserve">at </w:t>
      </w:r>
      <w:r w:rsidRPr="006A6F90">
        <w:rPr>
          <w:szCs w:val="22"/>
        </w:rPr>
        <w:t xml:space="preserve">857. A judge may choose to use the “enabling” or “causing” language in describing the first element, and then use the statutory language to define those terms. </w:t>
      </w:r>
    </w:p>
    <w:p w14:paraId="185A4474" w14:textId="42DCAD8C" w:rsidR="00C1309C" w:rsidRPr="00C37126" w:rsidRDefault="00C1309C" w:rsidP="006A6F90">
      <w:pPr>
        <w:pStyle w:val="FootnoteText"/>
        <w:rPr>
          <w:sz w:val="24"/>
          <w:szCs w:val="24"/>
        </w:rPr>
      </w:pPr>
      <w:r>
        <w:rPr>
          <w:szCs w:val="22"/>
        </w:rPr>
        <w:tab/>
        <w:t>G.L. c. 265</w:t>
      </w:r>
      <w:r w:rsidRPr="00F2123D">
        <w:rPr>
          <w:rFonts w:cs="Segoe UI Historic"/>
          <w:szCs w:val="22"/>
        </w:rPr>
        <w:t>, §</w:t>
      </w:r>
      <w:r w:rsidR="00B254BA">
        <w:rPr>
          <w:rFonts w:cs="Segoe UI Historic"/>
          <w:szCs w:val="22"/>
        </w:rPr>
        <w:t xml:space="preserve"> </w:t>
      </w:r>
      <w:r>
        <w:rPr>
          <w:rFonts w:cs="Segoe UI Historic"/>
          <w:szCs w:val="22"/>
        </w:rPr>
        <w:t xml:space="preserve">50(a) uses the term “another person” </w:t>
      </w:r>
      <w:r w:rsidR="0037328B">
        <w:rPr>
          <w:rFonts w:cs="Segoe UI Historic"/>
          <w:szCs w:val="22"/>
        </w:rPr>
        <w:t>for</w:t>
      </w:r>
      <w:r>
        <w:rPr>
          <w:rFonts w:cs="Segoe UI Historic"/>
          <w:szCs w:val="22"/>
        </w:rPr>
        <w:t xml:space="preserve"> </w:t>
      </w:r>
      <w:r w:rsidR="009E1CDC">
        <w:rPr>
          <w:rFonts w:cs="Segoe UI Historic"/>
          <w:szCs w:val="22"/>
        </w:rPr>
        <w:t>alleged victim</w:t>
      </w:r>
      <w:r>
        <w:rPr>
          <w:rFonts w:cs="Segoe UI Historic"/>
          <w:szCs w:val="22"/>
        </w:rPr>
        <w:t xml:space="preserve">. Factual impossibility </w:t>
      </w:r>
      <w:r w:rsidR="00795A43">
        <w:rPr>
          <w:rFonts w:cs="Segoe UI Historic"/>
          <w:szCs w:val="22"/>
        </w:rPr>
        <w:t>(e.g.</w:t>
      </w:r>
      <w:r w:rsidR="00C02BC0">
        <w:rPr>
          <w:rFonts w:cs="Segoe UI Historic"/>
          <w:szCs w:val="22"/>
        </w:rPr>
        <w:t>,</w:t>
      </w:r>
      <w:r w:rsidR="00795A43">
        <w:rPr>
          <w:rFonts w:cs="Segoe UI Historic"/>
          <w:szCs w:val="22"/>
        </w:rPr>
        <w:t xml:space="preserve"> an undercover operation</w:t>
      </w:r>
      <w:r w:rsidR="00A82A1E">
        <w:rPr>
          <w:rFonts w:cs="Segoe UI Historic"/>
          <w:szCs w:val="22"/>
        </w:rPr>
        <w:t xml:space="preserve"> where a police officer poses as </w:t>
      </w:r>
      <w:r w:rsidR="0078344A">
        <w:rPr>
          <w:rFonts w:cs="Segoe UI Historic"/>
          <w:szCs w:val="22"/>
        </w:rPr>
        <w:t>a provider or c</w:t>
      </w:r>
      <w:r w:rsidR="00B80E68">
        <w:rPr>
          <w:rFonts w:cs="Segoe UI Historic"/>
          <w:szCs w:val="22"/>
        </w:rPr>
        <w:t>onsumer of commercial sexual services</w:t>
      </w:r>
      <w:r w:rsidR="00795A43">
        <w:rPr>
          <w:rFonts w:cs="Segoe UI Historic"/>
          <w:szCs w:val="22"/>
        </w:rPr>
        <w:t xml:space="preserve">) is not a defense to sex trafficking. </w:t>
      </w:r>
      <w:r w:rsidR="00795A43" w:rsidRPr="002510A9">
        <w:rPr>
          <w:rFonts w:cs="Segoe UI Historic"/>
          <w:i/>
          <w:iCs/>
          <w:szCs w:val="22"/>
        </w:rPr>
        <w:t>Commonwealth</w:t>
      </w:r>
      <w:r w:rsidR="00795A43">
        <w:rPr>
          <w:rFonts w:cs="Segoe UI Historic"/>
          <w:szCs w:val="22"/>
        </w:rPr>
        <w:t xml:space="preserve"> v. </w:t>
      </w:r>
      <w:proofErr w:type="spellStart"/>
      <w:r w:rsidR="00795A43" w:rsidRPr="002510A9">
        <w:rPr>
          <w:rFonts w:cs="Segoe UI Historic"/>
          <w:i/>
          <w:iCs/>
          <w:szCs w:val="22"/>
        </w:rPr>
        <w:t>Garafolo</w:t>
      </w:r>
      <w:proofErr w:type="spellEnd"/>
      <w:r w:rsidR="00795A43">
        <w:rPr>
          <w:rFonts w:cs="Segoe UI Historic"/>
          <w:szCs w:val="22"/>
        </w:rPr>
        <w:t xml:space="preserve">, </w:t>
      </w:r>
      <w:r w:rsidR="00C91F42">
        <w:rPr>
          <w:rFonts w:cs="Segoe UI Historic"/>
          <w:szCs w:val="22"/>
        </w:rPr>
        <w:t>495</w:t>
      </w:r>
      <w:r w:rsidR="00795A43">
        <w:rPr>
          <w:rFonts w:cs="Segoe UI Historic"/>
          <w:szCs w:val="22"/>
        </w:rPr>
        <w:t xml:space="preserve"> Mass. </w:t>
      </w:r>
      <w:r w:rsidR="00A83DA7">
        <w:rPr>
          <w:rFonts w:cs="Segoe UI Historic"/>
          <w:szCs w:val="22"/>
        </w:rPr>
        <w:t>746</w:t>
      </w:r>
      <w:r w:rsidR="00795A43">
        <w:rPr>
          <w:rFonts w:cs="Segoe UI Historic"/>
          <w:szCs w:val="22"/>
        </w:rPr>
        <w:t>,</w:t>
      </w:r>
      <w:r w:rsidR="00A83DA7">
        <w:rPr>
          <w:rFonts w:cs="Segoe UI Historic"/>
          <w:szCs w:val="22"/>
        </w:rPr>
        <w:t xml:space="preserve"> </w:t>
      </w:r>
      <w:r w:rsidR="008E10F3">
        <w:rPr>
          <w:rFonts w:cs="Segoe UI Historic"/>
          <w:szCs w:val="22"/>
        </w:rPr>
        <w:t>749-750</w:t>
      </w:r>
      <w:r w:rsidR="00795A43">
        <w:rPr>
          <w:rFonts w:cs="Segoe UI Historic"/>
          <w:szCs w:val="22"/>
        </w:rPr>
        <w:t xml:space="preserve"> &amp; n.</w:t>
      </w:r>
      <w:r w:rsidR="00BC47B0">
        <w:rPr>
          <w:rFonts w:cs="Segoe UI Historic"/>
          <w:szCs w:val="22"/>
        </w:rPr>
        <w:t>6</w:t>
      </w:r>
      <w:r w:rsidR="00A83DA7">
        <w:rPr>
          <w:rFonts w:cs="Segoe UI Historic"/>
          <w:szCs w:val="22"/>
        </w:rPr>
        <w:t xml:space="preserve"> (2025)</w:t>
      </w:r>
      <w:r w:rsidR="00BC47B0">
        <w:rPr>
          <w:rFonts w:cs="Segoe UI Historic"/>
          <w:szCs w:val="22"/>
        </w:rPr>
        <w:t>.</w:t>
      </w:r>
    </w:p>
  </w:footnote>
  <w:footnote w:id="8">
    <w:p w14:paraId="50DEFE2F" w14:textId="77777777" w:rsidR="006A6F90" w:rsidRPr="00F2123D" w:rsidRDefault="006A6F90" w:rsidP="006A6F90">
      <w:pPr>
        <w:pStyle w:val="FootnoteText"/>
        <w:rPr>
          <w:rFonts w:cs="Segoe UI Historic"/>
          <w:szCs w:val="22"/>
        </w:rPr>
      </w:pPr>
      <w:r>
        <w:rPr>
          <w:rStyle w:val="FootnoteReference"/>
        </w:rPr>
        <w:footnoteRef/>
      </w:r>
      <w:r>
        <w:rPr>
          <w:rFonts w:cs="Segoe UI Historic"/>
          <w:sz w:val="24"/>
          <w:szCs w:val="24"/>
        </w:rPr>
        <w:tab/>
      </w:r>
      <w:r w:rsidRPr="00046730">
        <w:rPr>
          <w:rFonts w:cs="Segoe UI Historic"/>
          <w:kern w:val="0"/>
          <w:szCs w:val="22"/>
        </w:rPr>
        <w:t>Where appropriate</w:t>
      </w:r>
      <w:r>
        <w:rPr>
          <w:rFonts w:cs="Segoe UI Historic"/>
          <w:kern w:val="0"/>
          <w:szCs w:val="22"/>
        </w:rPr>
        <w:t>,</w:t>
      </w:r>
      <w:r w:rsidRPr="00046730">
        <w:rPr>
          <w:rFonts w:cs="Segoe UI Historic"/>
          <w:kern w:val="0"/>
          <w:szCs w:val="22"/>
        </w:rPr>
        <w:t xml:space="preserve"> the judge should instruct the jury on the elements of the alleged crime involving child pornography or obscene adult pornography pursuant to </w:t>
      </w:r>
      <w:r w:rsidRPr="00046730">
        <w:rPr>
          <w:rFonts w:cs="Segoe UI Historic"/>
          <w:szCs w:val="22"/>
        </w:rPr>
        <w:t>G.L. c. 272, as shown below.</w:t>
      </w:r>
      <w:r>
        <w:rPr>
          <w:rFonts w:cs="Segoe UI Historic"/>
          <w:szCs w:val="22"/>
        </w:rPr>
        <w:t xml:space="preserve"> Both of these crimes are defined by statute, as follows:</w:t>
      </w:r>
    </w:p>
    <w:p w14:paraId="15CA2CDD" w14:textId="77777777" w:rsidR="006A6F90" w:rsidRPr="00F2123D" w:rsidRDefault="006A6F90" w:rsidP="006A6F90">
      <w:pPr>
        <w:pStyle w:val="FootnoteText"/>
        <w:rPr>
          <w:rFonts w:cs="Segoe UI Historic"/>
          <w:szCs w:val="22"/>
        </w:rPr>
      </w:pPr>
      <w:r>
        <w:rPr>
          <w:rFonts w:cs="Segoe UI Historic"/>
          <w:sz w:val="24"/>
          <w:szCs w:val="24"/>
        </w:rPr>
        <w:tab/>
      </w:r>
      <w:r w:rsidRPr="00F2123D">
        <w:rPr>
          <w:rFonts w:cs="Segoe UI Historic"/>
          <w:szCs w:val="22"/>
        </w:rPr>
        <w:t>G.L. c. 272,  § 29C defines child pornography as a negative, slide, book, magazine, film, videotape, photograph or other similar visual reproduction, or depiction by computer, of any child whom a person knows or reasonably should know to be under the age of 18 years of age and such child is:</w:t>
      </w:r>
    </w:p>
    <w:p w14:paraId="0827E152" w14:textId="77777777" w:rsidR="006A6F90" w:rsidRPr="00F2123D" w:rsidRDefault="006A6F90" w:rsidP="006A6F90">
      <w:pPr>
        <w:pStyle w:val="FootnoteText"/>
        <w:ind w:left="720"/>
        <w:rPr>
          <w:rFonts w:cs="Segoe UI Historic"/>
          <w:szCs w:val="22"/>
        </w:rPr>
      </w:pPr>
      <w:r w:rsidRPr="00F2123D">
        <w:rPr>
          <w:rFonts w:cs="Segoe UI Historic"/>
          <w:szCs w:val="22"/>
        </w:rPr>
        <w:t>(i) actually or by simulation engaged in any act of sexual intercourse with any person or animal;</w:t>
      </w:r>
    </w:p>
    <w:p w14:paraId="7CFBC1C1" w14:textId="77777777" w:rsidR="006A6F90" w:rsidRPr="00F2123D" w:rsidRDefault="006A6F90" w:rsidP="006A6F90">
      <w:pPr>
        <w:pStyle w:val="FootnoteText"/>
        <w:ind w:left="720"/>
        <w:rPr>
          <w:rFonts w:cs="Segoe UI Historic"/>
          <w:kern w:val="0"/>
          <w:szCs w:val="22"/>
        </w:rPr>
      </w:pPr>
      <w:r w:rsidRPr="00F2123D">
        <w:rPr>
          <w:rFonts w:cs="Segoe UI Historic"/>
          <w:kern w:val="0"/>
          <w:szCs w:val="22"/>
        </w:rPr>
        <w:t>(ii) actually or by simulation engaged in any act of sexual contact involving the sex organs of the child and the mouth, anus or sex organs of the child and the sex organs of another person or animal;</w:t>
      </w:r>
    </w:p>
    <w:p w14:paraId="61450771" w14:textId="77777777" w:rsidR="006A6F90" w:rsidRPr="00F2123D" w:rsidRDefault="006A6F90" w:rsidP="006A6F90">
      <w:pPr>
        <w:pStyle w:val="FootnoteText"/>
        <w:ind w:left="720"/>
        <w:rPr>
          <w:rFonts w:cs="Segoe UI Historic"/>
          <w:kern w:val="0"/>
          <w:szCs w:val="22"/>
        </w:rPr>
      </w:pPr>
      <w:r w:rsidRPr="00F2123D">
        <w:rPr>
          <w:rFonts w:cs="Segoe UI Historic"/>
          <w:kern w:val="0"/>
          <w:szCs w:val="22"/>
        </w:rPr>
        <w:t>(iii) actually or by simulation engaged in any act of masturbation;</w:t>
      </w:r>
    </w:p>
    <w:p w14:paraId="303B5D55" w14:textId="77777777" w:rsidR="006A6F90" w:rsidRPr="00F2123D" w:rsidRDefault="006A6F90" w:rsidP="006A6F90">
      <w:pPr>
        <w:pStyle w:val="FootnoteText"/>
        <w:ind w:left="720"/>
        <w:rPr>
          <w:rFonts w:cs="Segoe UI Historic"/>
          <w:kern w:val="0"/>
          <w:szCs w:val="22"/>
        </w:rPr>
      </w:pPr>
      <w:r w:rsidRPr="00F2123D">
        <w:rPr>
          <w:rFonts w:cs="Segoe UI Historic"/>
          <w:kern w:val="0"/>
          <w:szCs w:val="22"/>
        </w:rPr>
        <w:t xml:space="preserve">(iv) actually or by simulation portrayed as being the object of, or otherwise engaged in, any act of lewd fondling, touching, or caressing </w:t>
      </w:r>
      <w:r w:rsidRPr="00F2123D">
        <w:rPr>
          <w:szCs w:val="22"/>
        </w:rPr>
        <w:t>involving</w:t>
      </w:r>
      <w:r w:rsidRPr="00F2123D">
        <w:rPr>
          <w:rFonts w:cs="Segoe UI Historic"/>
          <w:kern w:val="0"/>
          <w:szCs w:val="22"/>
        </w:rPr>
        <w:t xml:space="preserve"> another person or animal;</w:t>
      </w:r>
    </w:p>
    <w:p w14:paraId="70785334" w14:textId="77777777" w:rsidR="006A6F90" w:rsidRPr="00F2123D" w:rsidRDefault="006A6F90" w:rsidP="006A6F90">
      <w:pPr>
        <w:pStyle w:val="FootnoteText"/>
        <w:ind w:left="720"/>
        <w:rPr>
          <w:rFonts w:cs="Segoe UI Historic"/>
          <w:kern w:val="0"/>
          <w:szCs w:val="22"/>
        </w:rPr>
      </w:pPr>
      <w:r w:rsidRPr="00F2123D">
        <w:rPr>
          <w:rFonts w:cs="Segoe UI Historic"/>
          <w:kern w:val="0"/>
          <w:szCs w:val="22"/>
        </w:rPr>
        <w:t>(v) actually or by simulation engaged in any act of excretion or urination within a sexual context;</w:t>
      </w:r>
    </w:p>
    <w:p w14:paraId="531CDD1D" w14:textId="77777777" w:rsidR="006A6F90" w:rsidRPr="00F2123D" w:rsidRDefault="006A6F90" w:rsidP="006A6F90">
      <w:pPr>
        <w:pStyle w:val="FootnoteText"/>
        <w:ind w:left="720"/>
        <w:rPr>
          <w:rFonts w:cs="Segoe UI Historic"/>
          <w:kern w:val="0"/>
          <w:szCs w:val="22"/>
        </w:rPr>
      </w:pPr>
      <w:r w:rsidRPr="00F2123D">
        <w:rPr>
          <w:rFonts w:cs="Segoe UI Historic"/>
          <w:kern w:val="0"/>
          <w:szCs w:val="22"/>
        </w:rPr>
        <w:t>(vi) actually or by simulation portrayed or depicted as bound, fettered, or subject to sadistic, masochistic, or sadomasochistic abuse in any sexual context; or</w:t>
      </w:r>
    </w:p>
    <w:p w14:paraId="155B78AE" w14:textId="77777777" w:rsidR="006A6F90" w:rsidRDefault="006A6F90" w:rsidP="006A6F90">
      <w:pPr>
        <w:pStyle w:val="FootnoteText"/>
        <w:ind w:left="720"/>
        <w:rPr>
          <w:rFonts w:cs="Segoe UI Historic"/>
          <w:kern w:val="0"/>
          <w:szCs w:val="22"/>
        </w:rPr>
      </w:pPr>
      <w:r w:rsidRPr="00F2123D">
        <w:rPr>
          <w:rFonts w:cs="Segoe UI Historic"/>
          <w:kern w:val="0"/>
          <w:szCs w:val="22"/>
        </w:rPr>
        <w:t xml:space="preserve">(vii) depicted or portrayed in any pose, posture or setting involving a lewd exhibition of the unclothed genitals, pubic area, buttocks or, if such person is female, a fully or partially developed breast of the child. </w:t>
      </w:r>
    </w:p>
    <w:p w14:paraId="71316833" w14:textId="77777777" w:rsidR="006A6F90" w:rsidRPr="00F2123D" w:rsidRDefault="006A6F90" w:rsidP="006A6F90">
      <w:pPr>
        <w:pStyle w:val="FootnoteText"/>
        <w:rPr>
          <w:rFonts w:cs="Segoe UI Historic"/>
          <w:kern w:val="0"/>
          <w:szCs w:val="22"/>
        </w:rPr>
      </w:pPr>
      <w:r>
        <w:rPr>
          <w:rFonts w:cs="Segoe UI Historic"/>
          <w:szCs w:val="22"/>
        </w:rPr>
        <w:tab/>
      </w:r>
      <w:r w:rsidRPr="00F2123D">
        <w:rPr>
          <w:rFonts w:cs="Segoe UI Historic"/>
          <w:szCs w:val="22"/>
        </w:rPr>
        <w:t xml:space="preserve">Pornography depicting persons over 18 is unlawful </w:t>
      </w:r>
      <w:r>
        <w:rPr>
          <w:rFonts w:cs="Segoe UI Historic"/>
          <w:szCs w:val="22"/>
        </w:rPr>
        <w:t xml:space="preserve">only </w:t>
      </w:r>
      <w:r w:rsidRPr="00F2123D">
        <w:rPr>
          <w:rFonts w:cs="Segoe UI Historic"/>
          <w:szCs w:val="22"/>
        </w:rPr>
        <w:t xml:space="preserve">if is it “obscene.” </w:t>
      </w:r>
      <w:r>
        <w:rPr>
          <w:rFonts w:cs="Segoe UI Historic"/>
          <w:szCs w:val="22"/>
        </w:rPr>
        <w:t xml:space="preserve">See </w:t>
      </w:r>
      <w:r w:rsidRPr="00F2123D">
        <w:rPr>
          <w:rStyle w:val="ssparacontent"/>
          <w:rFonts w:cs="Segoe UI Historic"/>
          <w:szCs w:val="22"/>
        </w:rPr>
        <w:t xml:space="preserve">G.L. c. 272, </w:t>
      </w:r>
      <w:r w:rsidRPr="00F2123D">
        <w:rPr>
          <w:rFonts w:cs="Segoe UI Historic"/>
          <w:szCs w:val="22"/>
        </w:rPr>
        <w:t>§ 29. Matter is “obscene” if taken as a whole it:</w:t>
      </w:r>
    </w:p>
    <w:p w14:paraId="0F776730" w14:textId="77777777" w:rsidR="006A6F90" w:rsidRPr="00F2123D" w:rsidRDefault="006A6F90" w:rsidP="006A6F90">
      <w:pPr>
        <w:pStyle w:val="FootnoteText"/>
        <w:ind w:left="720"/>
        <w:rPr>
          <w:rFonts w:cs="Segoe UI Historic"/>
          <w:szCs w:val="22"/>
        </w:rPr>
      </w:pPr>
      <w:r w:rsidRPr="00F2123D">
        <w:rPr>
          <w:rStyle w:val="ssbf"/>
          <w:rFonts w:cs="Segoe UI Historic"/>
          <w:szCs w:val="22"/>
        </w:rPr>
        <w:t>(1)</w:t>
      </w:r>
      <w:r w:rsidRPr="00F2123D">
        <w:rPr>
          <w:rStyle w:val="ssparalabel"/>
          <w:rFonts w:cs="Segoe UI Historic"/>
          <w:szCs w:val="22"/>
        </w:rPr>
        <w:t xml:space="preserve"> </w:t>
      </w:r>
      <w:r w:rsidRPr="00F2123D">
        <w:rPr>
          <w:rStyle w:val="ssparacontent"/>
          <w:rFonts w:cs="Segoe UI Historic"/>
          <w:szCs w:val="22"/>
        </w:rPr>
        <w:t>appeals to the prurient interest of the average person applying the contemporary standards of the county where the offense was committed;</w:t>
      </w:r>
    </w:p>
    <w:p w14:paraId="72BE5D3F" w14:textId="77777777" w:rsidR="006A6F90" w:rsidRPr="00F2123D" w:rsidRDefault="006A6F90" w:rsidP="006A6F90">
      <w:pPr>
        <w:pStyle w:val="FootnoteText"/>
        <w:ind w:left="720"/>
        <w:rPr>
          <w:rFonts w:cs="Segoe UI Historic"/>
          <w:szCs w:val="22"/>
        </w:rPr>
      </w:pPr>
      <w:r w:rsidRPr="00F2123D">
        <w:rPr>
          <w:rStyle w:val="ssbf"/>
          <w:rFonts w:cs="Segoe UI Historic"/>
          <w:szCs w:val="22"/>
        </w:rPr>
        <w:t>(2)</w:t>
      </w:r>
      <w:r w:rsidRPr="00F2123D">
        <w:rPr>
          <w:rStyle w:val="ssparalabel"/>
          <w:rFonts w:cs="Segoe UI Historic"/>
          <w:szCs w:val="22"/>
        </w:rPr>
        <w:t xml:space="preserve"> </w:t>
      </w:r>
      <w:r w:rsidRPr="00F2123D">
        <w:rPr>
          <w:rStyle w:val="ssparacontent"/>
          <w:rFonts w:cs="Segoe UI Historic"/>
          <w:szCs w:val="22"/>
        </w:rPr>
        <w:t>depicts or describes sexual conduct in a patently offensive way; and</w:t>
      </w:r>
    </w:p>
    <w:p w14:paraId="0C0C3EAA" w14:textId="77777777" w:rsidR="006A6F90" w:rsidRDefault="006A6F90" w:rsidP="006A6F90">
      <w:pPr>
        <w:pStyle w:val="FootnoteText"/>
        <w:ind w:left="720"/>
        <w:rPr>
          <w:rStyle w:val="ssparacontent"/>
          <w:rFonts w:cs="Segoe UI Historic"/>
          <w:szCs w:val="22"/>
        </w:rPr>
      </w:pPr>
      <w:r w:rsidRPr="00F2123D">
        <w:rPr>
          <w:rStyle w:val="ssbf"/>
          <w:rFonts w:cs="Segoe UI Historic"/>
          <w:szCs w:val="22"/>
        </w:rPr>
        <w:t>(3)</w:t>
      </w:r>
      <w:r w:rsidRPr="00F2123D">
        <w:rPr>
          <w:rStyle w:val="ssparalabel"/>
          <w:rFonts w:cs="Segoe UI Historic"/>
          <w:szCs w:val="22"/>
        </w:rPr>
        <w:t xml:space="preserve"> </w:t>
      </w:r>
      <w:r w:rsidRPr="00F2123D">
        <w:rPr>
          <w:rStyle w:val="ssparacontent"/>
          <w:rFonts w:cs="Segoe UI Historic"/>
          <w:szCs w:val="22"/>
        </w:rPr>
        <w:t xml:space="preserve">lacks serious literary, artistic, political or scientific value. </w:t>
      </w:r>
    </w:p>
    <w:p w14:paraId="4CCCAE23" w14:textId="77777777" w:rsidR="006A6F90" w:rsidRPr="00B8411A" w:rsidRDefault="006A6F90" w:rsidP="006A6F90">
      <w:pPr>
        <w:pStyle w:val="FootnoteText"/>
        <w:ind w:left="576"/>
        <w:rPr>
          <w:rFonts w:cs="Segoe UI Historic"/>
          <w:szCs w:val="22"/>
        </w:rPr>
      </w:pPr>
      <w:r>
        <w:rPr>
          <w:rStyle w:val="ssparacontent"/>
          <w:rFonts w:cs="Segoe UI Historic"/>
          <w:szCs w:val="22"/>
        </w:rPr>
        <w:t xml:space="preserve">See </w:t>
      </w:r>
      <w:r w:rsidRPr="00F2123D">
        <w:rPr>
          <w:rStyle w:val="ssparacontent"/>
          <w:rFonts w:cs="Segoe UI Historic"/>
          <w:szCs w:val="22"/>
        </w:rPr>
        <w:t xml:space="preserve">G.L. c. 272, </w:t>
      </w:r>
      <w:r w:rsidRPr="00F2123D">
        <w:rPr>
          <w:rFonts w:cs="Segoe UI Historic"/>
          <w:szCs w:val="22"/>
        </w:rPr>
        <w:t>§ 31.</w:t>
      </w:r>
    </w:p>
  </w:footnote>
  <w:footnote w:id="9">
    <w:p w14:paraId="5E95A6BB" w14:textId="35145E39" w:rsidR="00F2123D" w:rsidRDefault="00F2123D" w:rsidP="00F2123D">
      <w:pPr>
        <w:pStyle w:val="FootnoteText"/>
      </w:pPr>
      <w:r>
        <w:rPr>
          <w:rStyle w:val="FootnoteReference"/>
        </w:rPr>
        <w:footnoteRef/>
      </w:r>
      <w:r>
        <w:t xml:space="preserve"> </w:t>
      </w:r>
      <w:r>
        <w:tab/>
      </w:r>
      <w:proofErr w:type="spellStart"/>
      <w:r w:rsidR="006F2B9D" w:rsidRPr="00491675">
        <w:rPr>
          <w:i/>
          <w:iCs/>
        </w:rPr>
        <w:t>Garafalo</w:t>
      </w:r>
      <w:proofErr w:type="spellEnd"/>
      <w:r w:rsidR="006F2B9D">
        <w:t xml:space="preserve">, </w:t>
      </w:r>
      <w:r w:rsidR="00026289">
        <w:t>495</w:t>
      </w:r>
      <w:r w:rsidR="006F2B9D">
        <w:t xml:space="preserve"> Mass.</w:t>
      </w:r>
      <w:r w:rsidR="00FE3F4C">
        <w:t xml:space="preserve"> at </w:t>
      </w:r>
      <w:r w:rsidR="00543681">
        <w:t xml:space="preserve">752 </w:t>
      </w:r>
      <w:r w:rsidR="00983E04">
        <w:t>&amp; n.10</w:t>
      </w:r>
      <w:r w:rsidR="00FE3F4C">
        <w:t>.</w:t>
      </w:r>
    </w:p>
  </w:footnote>
  <w:footnote w:id="10">
    <w:p w14:paraId="2E2A42FB" w14:textId="0845E529" w:rsidR="00F2123D" w:rsidRPr="006A6F90" w:rsidRDefault="00F2123D" w:rsidP="00F2123D">
      <w:pPr>
        <w:pStyle w:val="FootnoteText"/>
      </w:pPr>
      <w:r>
        <w:rPr>
          <w:rStyle w:val="FootnoteReference"/>
        </w:rPr>
        <w:footnoteRef/>
      </w:r>
      <w:r>
        <w:tab/>
      </w:r>
      <w:r w:rsidR="00491675" w:rsidRPr="00491675">
        <w:rPr>
          <w:i/>
          <w:iCs/>
        </w:rPr>
        <w:t>Id</w:t>
      </w:r>
      <w:r w:rsidR="00491675">
        <w:t xml:space="preserve">. at </w:t>
      </w:r>
      <w:r w:rsidR="00B20DA2">
        <w:t>751</w:t>
      </w:r>
      <w:r w:rsidR="009D26DE">
        <w:t xml:space="preserve">; </w:t>
      </w:r>
      <w:r w:rsidR="009D26DE" w:rsidRPr="002550F6">
        <w:rPr>
          <w:i/>
          <w:iCs/>
        </w:rPr>
        <w:t>Dabney</w:t>
      </w:r>
      <w:r w:rsidR="002550F6">
        <w:t>,</w:t>
      </w:r>
      <w:r w:rsidR="009D26DE">
        <w:t xml:space="preserve"> 478 Mass. at 856 (“one may entice, for example, </w:t>
      </w:r>
      <w:r w:rsidR="002550F6">
        <w:t>simply by making an attractive offer”)</w:t>
      </w:r>
      <w:r w:rsidR="00491675">
        <w:t>.</w:t>
      </w:r>
      <w:r w:rsidR="005A4F73">
        <w:t xml:space="preserve"> </w:t>
      </w:r>
    </w:p>
  </w:footnote>
  <w:footnote w:id="11">
    <w:p w14:paraId="5C359AAA" w14:textId="5883F45C" w:rsidR="006A6F90" w:rsidRPr="005F59A7" w:rsidRDefault="006A6F90" w:rsidP="006A6F90">
      <w:pPr>
        <w:pStyle w:val="FootnoteText"/>
      </w:pPr>
      <w:r>
        <w:rPr>
          <w:rStyle w:val="FootnoteReference"/>
        </w:rPr>
        <w:footnoteRef/>
      </w:r>
      <w:r>
        <w:t xml:space="preserve"> </w:t>
      </w:r>
      <w:r>
        <w:tab/>
      </w:r>
      <w:r w:rsidR="00332E44">
        <w:t>“[A]</w:t>
      </w:r>
      <w:proofErr w:type="spellStart"/>
      <w:r w:rsidR="00332E44" w:rsidRPr="00332E44">
        <w:t>lthough</w:t>
      </w:r>
      <w:proofErr w:type="spellEnd"/>
      <w:r w:rsidR="00332E44" w:rsidRPr="00332E44">
        <w:t xml:space="preserve"> the terms </w:t>
      </w:r>
      <w:r w:rsidR="00C809D9">
        <w:t>‘</w:t>
      </w:r>
      <w:r w:rsidR="00332E44" w:rsidRPr="00332E44">
        <w:t>entice</w:t>
      </w:r>
      <w:r w:rsidR="00C809D9">
        <w:t>’</w:t>
      </w:r>
      <w:r w:rsidR="00332E44" w:rsidRPr="00332E44">
        <w:t xml:space="preserve"> and </w:t>
      </w:r>
      <w:r w:rsidR="00C809D9">
        <w:t>‘</w:t>
      </w:r>
      <w:r w:rsidR="00332E44" w:rsidRPr="00332E44">
        <w:t>recruit</w:t>
      </w:r>
      <w:r w:rsidR="00C809D9">
        <w:t>’</w:t>
      </w:r>
      <w:r w:rsidR="00332E44" w:rsidRPr="00332E44">
        <w:t xml:space="preserve"> require proof that the defendant engaged in conduct aimed at alluring, attracting, tempting, or persuading the victim to engage in commercial sexual activity, </w:t>
      </w:r>
      <w:r w:rsidR="00A16F55">
        <w:t>. . .</w:t>
      </w:r>
      <w:r w:rsidR="00332E44" w:rsidRPr="00332E44">
        <w:t xml:space="preserve"> these acts </w:t>
      </w:r>
      <w:r w:rsidR="00A16F55">
        <w:t xml:space="preserve">[do not] </w:t>
      </w:r>
      <w:r w:rsidR="00332E44" w:rsidRPr="00332E44">
        <w:t>require proof of the victim's state of mind</w:t>
      </w:r>
      <w:proofErr w:type="gramStart"/>
      <w:r w:rsidR="00332E44" w:rsidRPr="00332E44">
        <w:t xml:space="preserve">. </w:t>
      </w:r>
      <w:r w:rsidR="007741D4">
        <w:t>. . .</w:t>
      </w:r>
      <w:proofErr w:type="gramEnd"/>
      <w:r w:rsidR="00332E44" w:rsidRPr="00332E44">
        <w:t xml:space="preserve"> </w:t>
      </w:r>
      <w:r w:rsidR="007741D4">
        <w:t>[T]</w:t>
      </w:r>
      <w:r w:rsidR="00332E44" w:rsidRPr="00332E44">
        <w:t>he central focus of the statute is the defendant's conduct and the defendant's state of mind; whether the victim was predisposed or otherwise willing to engage in commercial sexual activity is not an element of the crime proscribed</w:t>
      </w:r>
      <w:r w:rsidR="007741D4">
        <w:t xml:space="preserve">.” </w:t>
      </w:r>
      <w:proofErr w:type="spellStart"/>
      <w:r w:rsidR="00AD0A48" w:rsidRPr="00AD0A48">
        <w:rPr>
          <w:i/>
          <w:iCs/>
        </w:rPr>
        <w:t>Garafalo</w:t>
      </w:r>
      <w:proofErr w:type="spellEnd"/>
      <w:r w:rsidR="00AD0A48" w:rsidRPr="00AD0A48">
        <w:rPr>
          <w:i/>
          <w:iCs/>
        </w:rPr>
        <w:t xml:space="preserve">, </w:t>
      </w:r>
      <w:r w:rsidR="00AD0A48">
        <w:t>495</w:t>
      </w:r>
      <w:r w:rsidR="00AD0A48" w:rsidRPr="00AD0A48">
        <w:t xml:space="preserve"> Mass. at 752.</w:t>
      </w:r>
      <w:r w:rsidR="00AD0A48" w:rsidRPr="00AD0A48">
        <w:rPr>
          <w:i/>
          <w:iCs/>
        </w:rPr>
        <w:t xml:space="preserve"> </w:t>
      </w:r>
      <w:r w:rsidR="00C809D9">
        <w:t>“</w:t>
      </w:r>
      <w:r w:rsidR="00C809D9" w:rsidRPr="00C809D9">
        <w:t xml:space="preserve">A person may </w:t>
      </w:r>
      <w:r w:rsidR="00C809D9">
        <w:t>‘</w:t>
      </w:r>
      <w:r w:rsidR="00C809D9" w:rsidRPr="00C809D9">
        <w:t>entice</w:t>
      </w:r>
      <w:r w:rsidR="00C809D9">
        <w:t>’</w:t>
      </w:r>
      <w:r w:rsidR="00C809D9" w:rsidRPr="00C809D9">
        <w:t xml:space="preserve"> or </w:t>
      </w:r>
      <w:r w:rsidR="00C809D9">
        <w:t>‘</w:t>
      </w:r>
      <w:r w:rsidR="00C809D9" w:rsidRPr="00C809D9">
        <w:t>recruit</w:t>
      </w:r>
      <w:r w:rsidR="00C809D9">
        <w:t>’</w:t>
      </w:r>
      <w:r w:rsidR="00C809D9" w:rsidRPr="00C809D9">
        <w:t xml:space="preserve"> another to engage in commercial sexual activity through, for example, words or acts of encouragement, assistance, incentives, gifts, money, housing, benefits, promises, drugs, or alcohol, without engaging in threats of serious harm (coercion), physical force, or fraud.</w:t>
      </w:r>
      <w:r w:rsidR="005704B3">
        <w:t xml:space="preserve">” </w:t>
      </w:r>
      <w:r w:rsidR="005704B3" w:rsidRPr="005704B3">
        <w:rPr>
          <w:i/>
          <w:iCs/>
        </w:rPr>
        <w:t>Id</w:t>
      </w:r>
      <w:r w:rsidR="005704B3">
        <w:t xml:space="preserve">. at </w:t>
      </w:r>
      <w:r w:rsidR="00695B91">
        <w:t>753</w:t>
      </w:r>
      <w:r w:rsidR="005704B3">
        <w:t>.</w:t>
      </w:r>
      <w:r w:rsidR="007741D4">
        <w:t xml:space="preserve"> </w:t>
      </w:r>
    </w:p>
  </w:footnote>
  <w:footnote w:id="12">
    <w:p w14:paraId="53719478" w14:textId="6ED521B2" w:rsidR="006A6F90" w:rsidRPr="008F1232" w:rsidRDefault="006A6F90" w:rsidP="006A6F90">
      <w:pPr>
        <w:pStyle w:val="FootnoteText"/>
      </w:pPr>
      <w:r>
        <w:rPr>
          <w:rStyle w:val="FootnoteReference"/>
        </w:rPr>
        <w:footnoteRef/>
      </w:r>
      <w:r>
        <w:t xml:space="preserve">  </w:t>
      </w:r>
      <w:r>
        <w:rPr>
          <w:i/>
          <w:iCs/>
        </w:rPr>
        <w:t>Id</w:t>
      </w:r>
      <w:r>
        <w:t xml:space="preserve">. at </w:t>
      </w:r>
      <w:r w:rsidR="00136C94">
        <w:t>754</w:t>
      </w:r>
      <w:r w:rsidR="004A149F">
        <w:t xml:space="preserve"> </w:t>
      </w:r>
      <w:r w:rsidR="001A6C65">
        <w:t xml:space="preserve">&amp; </w:t>
      </w:r>
      <w:r w:rsidR="00C90FD1">
        <w:t xml:space="preserve">755 </w:t>
      </w:r>
      <w:r w:rsidR="001A6C65">
        <w:t>n.13</w:t>
      </w:r>
      <w:r>
        <w:t>.</w:t>
      </w:r>
      <w:r w:rsidR="00691F98">
        <w:t xml:space="preserve"> </w:t>
      </w:r>
      <w:r w:rsidR="008B57BD">
        <w:t xml:space="preserve">A </w:t>
      </w:r>
      <w:r w:rsidR="00693E0C">
        <w:t>person</w:t>
      </w:r>
      <w:r w:rsidR="00691F98" w:rsidRPr="00691F98">
        <w:t xml:space="preserve"> who only </w:t>
      </w:r>
      <w:r w:rsidR="00A001F1">
        <w:t>respond</w:t>
      </w:r>
      <w:r w:rsidR="008B57BD">
        <w:t>s</w:t>
      </w:r>
      <w:r w:rsidR="00A001F1">
        <w:t xml:space="preserve"> to</w:t>
      </w:r>
      <w:r w:rsidR="00707796">
        <w:t xml:space="preserve"> </w:t>
      </w:r>
      <w:r w:rsidR="008B57BD">
        <w:t xml:space="preserve">an </w:t>
      </w:r>
      <w:proofErr w:type="spellStart"/>
      <w:r w:rsidR="00464FD3">
        <w:t>an</w:t>
      </w:r>
      <w:proofErr w:type="spellEnd"/>
      <w:r w:rsidR="008B57BD">
        <w:t xml:space="preserve"> </w:t>
      </w:r>
      <w:r w:rsidR="00707796">
        <w:t>advertisement for</w:t>
      </w:r>
      <w:r w:rsidR="00190D65">
        <w:t xml:space="preserve">, and </w:t>
      </w:r>
      <w:r w:rsidR="00655386">
        <w:t>agrees to pay</w:t>
      </w:r>
      <w:r w:rsidR="00190D65">
        <w:t xml:space="preserve"> for,</w:t>
      </w:r>
      <w:r w:rsidR="00707796">
        <w:t xml:space="preserve"> sexual </w:t>
      </w:r>
      <w:r w:rsidR="00464FD3">
        <w:t>services by a sex worker acting independently</w:t>
      </w:r>
      <w:r w:rsidR="00190D65">
        <w:t xml:space="preserve"> </w:t>
      </w:r>
      <w:r w:rsidR="00691F98" w:rsidRPr="00691F98">
        <w:t>(</w:t>
      </w:r>
      <w:r w:rsidR="00190D65">
        <w:t xml:space="preserve">a </w:t>
      </w:r>
      <w:r w:rsidR="00691F98" w:rsidRPr="00691F98">
        <w:t>so-called “John”)</w:t>
      </w:r>
      <w:r w:rsidR="00691F98">
        <w:t xml:space="preserve"> do</w:t>
      </w:r>
      <w:r w:rsidR="00190D65">
        <w:t>es</w:t>
      </w:r>
      <w:r w:rsidR="00691F98">
        <w:t xml:space="preserve"> not </w:t>
      </w:r>
      <w:r w:rsidR="000F1C1F">
        <w:t>“entice,” “recruit,” or “</w:t>
      </w:r>
      <w:r w:rsidR="0086474E">
        <w:t xml:space="preserve">obtain” </w:t>
      </w:r>
      <w:r w:rsidR="00000EB1">
        <w:t>the sex worker</w:t>
      </w:r>
      <w:r w:rsidR="0086474E">
        <w:t xml:space="preserve">, within the meaning of </w:t>
      </w:r>
      <w:r w:rsidR="002E4C20">
        <w:t xml:space="preserve">the </w:t>
      </w:r>
      <w:r w:rsidR="00EF463D">
        <w:t xml:space="preserve">sex-trafficking </w:t>
      </w:r>
      <w:r w:rsidR="002E4C20">
        <w:t>statute</w:t>
      </w:r>
      <w:r w:rsidR="00691F98" w:rsidRPr="00691F98">
        <w:t>.</w:t>
      </w:r>
      <w:r w:rsidR="0086474E">
        <w:t xml:space="preserve"> </w:t>
      </w:r>
      <w:r w:rsidR="0086474E" w:rsidRPr="000921DB">
        <w:rPr>
          <w:i/>
          <w:iCs/>
        </w:rPr>
        <w:t>Id</w:t>
      </w:r>
      <w:r w:rsidR="0086474E">
        <w:t xml:space="preserve">. at </w:t>
      </w:r>
      <w:r w:rsidR="00785B17">
        <w:t>761</w:t>
      </w:r>
      <w:r w:rsidR="0086474E">
        <w:t>.</w:t>
      </w:r>
      <w:r w:rsidR="00691F98" w:rsidRPr="00691F98">
        <w:t xml:space="preserve"> </w:t>
      </w:r>
      <w:r w:rsidR="00691F98">
        <w:t xml:space="preserve"> </w:t>
      </w:r>
    </w:p>
  </w:footnote>
  <w:footnote w:id="13">
    <w:p w14:paraId="26585201" w14:textId="306C5CBF" w:rsidR="00F2123D" w:rsidRDefault="00F2123D" w:rsidP="00F2123D">
      <w:pPr>
        <w:pStyle w:val="FootnoteText"/>
      </w:pPr>
      <w:r w:rsidRPr="004B0F3E">
        <w:rPr>
          <w:rStyle w:val="FootnoteReference"/>
        </w:rPr>
        <w:footnoteRef/>
      </w:r>
      <w:r>
        <w:tab/>
        <w:t xml:space="preserve">G. L. c. 265,  </w:t>
      </w:r>
      <w:r w:rsidRPr="0052623B">
        <w:rPr>
          <w:szCs w:val="22"/>
        </w:rPr>
        <w:t>§</w:t>
      </w:r>
      <w:r>
        <w:rPr>
          <w:szCs w:val="22"/>
        </w:rPr>
        <w:t xml:space="preserve"> 49; </w:t>
      </w:r>
      <w:r w:rsidR="00537DD9" w:rsidRPr="00387D46">
        <w:rPr>
          <w:i/>
          <w:iCs/>
          <w:szCs w:val="22"/>
        </w:rPr>
        <w:t>Commonwealth v.</w:t>
      </w:r>
      <w:r w:rsidR="00537DD9">
        <w:rPr>
          <w:szCs w:val="22"/>
        </w:rPr>
        <w:t xml:space="preserve"> </w:t>
      </w:r>
      <w:r w:rsidRPr="002D29BC">
        <w:rPr>
          <w:i/>
        </w:rPr>
        <w:t>McGhee</w:t>
      </w:r>
      <w:r w:rsidRPr="002D29BC">
        <w:t xml:space="preserve">, 472 Mass. </w:t>
      </w:r>
      <w:r w:rsidR="00387D46">
        <w:t>405,</w:t>
      </w:r>
      <w:r w:rsidRPr="002D29BC">
        <w:t xml:space="preserve"> 419</w:t>
      </w:r>
      <w:r w:rsidR="00387D46">
        <w:t xml:space="preserve"> (2015)</w:t>
      </w:r>
      <w:r>
        <w:t xml:space="preserve">. In a case where the issues of the lack of evidence of force or coercion are raised by the defendant a judge may consider giving the following instruction: The Commonwealth does not have to prove that </w:t>
      </w:r>
      <w:proofErr w:type="spellStart"/>
      <w:r w:rsidR="00572222">
        <w:t>Dft</w:t>
      </w:r>
      <w:proofErr w:type="spellEnd"/>
      <w:r w:rsidR="00572222">
        <w:t xml:space="preserve"> </w:t>
      </w:r>
      <w:r>
        <w:t xml:space="preserve">used “coercion” or “force” to compel </w:t>
      </w:r>
      <w:proofErr w:type="spellStart"/>
      <w:r w:rsidR="00D11088">
        <w:t>Avm</w:t>
      </w:r>
      <w:proofErr w:type="spellEnd"/>
      <w:r w:rsidR="00D11088">
        <w:t xml:space="preserve"> </w:t>
      </w:r>
      <w:r>
        <w:t xml:space="preserve">to engage in commercial sexual </w:t>
      </w:r>
      <w:r w:rsidRPr="00F2123D">
        <w:rPr>
          <w:sz w:val="24"/>
          <w:szCs w:val="24"/>
        </w:rPr>
        <w:t>activity</w:t>
      </w:r>
      <w:r>
        <w:t xml:space="preserve">. </w:t>
      </w:r>
      <w:r w:rsidRPr="009B5582">
        <w:rPr>
          <w:i/>
          <w:iCs/>
        </w:rPr>
        <w:t>Dabney</w:t>
      </w:r>
      <w:r>
        <w:t xml:space="preserve">, 478 Mass. at 763.   </w:t>
      </w:r>
    </w:p>
  </w:footnote>
  <w:footnote w:id="14">
    <w:p w14:paraId="0E96E750" w14:textId="5DCB4E79" w:rsidR="00C455E8" w:rsidRDefault="00C455E8">
      <w:pPr>
        <w:pStyle w:val="FootnoteText"/>
      </w:pPr>
      <w:r>
        <w:rPr>
          <w:rStyle w:val="FootnoteReference"/>
        </w:rPr>
        <w:footnoteRef/>
      </w:r>
      <w:r>
        <w:tab/>
      </w:r>
      <w:r w:rsidRPr="00BD0C7F">
        <w:t xml:space="preserve">G.L. c. 272, </w:t>
      </w:r>
      <w:r w:rsidRPr="00BD0C7F">
        <w:rPr>
          <w:szCs w:val="22"/>
        </w:rPr>
        <w:t>§ 31</w:t>
      </w:r>
      <w:r>
        <w:rPr>
          <w:szCs w:val="22"/>
        </w:rPr>
        <w:t>.</w:t>
      </w:r>
    </w:p>
  </w:footnote>
  <w:footnote w:id="15">
    <w:p w14:paraId="585179D9" w14:textId="657E6E1B" w:rsidR="00F2123D" w:rsidRPr="0062798E" w:rsidRDefault="00F2123D" w:rsidP="00F2123D">
      <w:pPr>
        <w:pStyle w:val="FootnoteText"/>
        <w:rPr>
          <w:rFonts w:cs="Segoe UI Historic"/>
        </w:rPr>
      </w:pPr>
      <w:r>
        <w:rPr>
          <w:rStyle w:val="FootnoteReference"/>
        </w:rPr>
        <w:footnoteRef/>
      </w:r>
      <w:r>
        <w:t xml:space="preserve"> </w:t>
      </w:r>
      <w:r>
        <w:tab/>
      </w:r>
      <w:r w:rsidRPr="0062798E">
        <w:rPr>
          <w:rFonts w:cs="Segoe UI Historic"/>
        </w:rPr>
        <w:t xml:space="preserve">A sexually explicit performance is unlawful if it is “obscene” as defined in </w:t>
      </w:r>
      <w:r w:rsidRPr="0062798E">
        <w:rPr>
          <w:rStyle w:val="ssparacontent"/>
          <w:rFonts w:cs="Segoe UI Historic"/>
        </w:rPr>
        <w:t xml:space="preserve">G.L. c. 272, </w:t>
      </w:r>
      <w:r w:rsidRPr="0062798E">
        <w:rPr>
          <w:rFonts w:cs="Segoe UI Historic"/>
        </w:rPr>
        <w:t>§ 31</w:t>
      </w:r>
      <w:r>
        <w:rPr>
          <w:rFonts w:cs="Segoe UI Historic"/>
        </w:rPr>
        <w:t xml:space="preserve">. </w:t>
      </w:r>
      <w:r w:rsidRPr="0062798E">
        <w:rPr>
          <w:rFonts w:cs="Segoe UI Historic"/>
        </w:rPr>
        <w:t>See</w:t>
      </w:r>
      <w:r w:rsidR="00E90E67">
        <w:rPr>
          <w:rFonts w:cs="Segoe UI Historic"/>
        </w:rPr>
        <w:t> </w:t>
      </w:r>
      <w:r w:rsidRPr="0062798E">
        <w:rPr>
          <w:rStyle w:val="ssparacontent"/>
          <w:rFonts w:cs="Segoe UI Historic"/>
        </w:rPr>
        <w:t xml:space="preserve">G.L. c. 272, </w:t>
      </w:r>
      <w:r w:rsidRPr="0062798E">
        <w:rPr>
          <w:rFonts w:cs="Segoe UI Historic"/>
        </w:rPr>
        <w:t>§ 29</w:t>
      </w:r>
      <w:r>
        <w:rPr>
          <w:rFonts w:cs="Segoe UI Historic"/>
        </w:rPr>
        <w:t xml:space="preserve">. </w:t>
      </w:r>
      <w:r w:rsidRPr="0062798E">
        <w:rPr>
          <w:rFonts w:cs="Segoe UI Historic"/>
        </w:rPr>
        <w:t>An “obscene” performance is one that depicts s</w:t>
      </w:r>
      <w:r w:rsidRPr="0062798E">
        <w:rPr>
          <w:rStyle w:val="ssleftalign"/>
          <w:rFonts w:cs="Segoe UI Historic"/>
        </w:rPr>
        <w:t xml:space="preserve">exual conduct in a patently offensive way. Offensiveness is to be determined with reference to contemporary community norms. </w:t>
      </w:r>
      <w:r w:rsidRPr="0062798E">
        <w:rPr>
          <w:rFonts w:cs="Segoe UI Historic"/>
        </w:rPr>
        <w:t xml:space="preserve">While nude dancing is protected speech, it may lose its protected status when it involves </w:t>
      </w:r>
      <w:r w:rsidR="00525D01">
        <w:rPr>
          <w:rFonts w:cs="Segoe UI Historic"/>
        </w:rPr>
        <w:t>“</w:t>
      </w:r>
      <w:r w:rsidRPr="0062798E">
        <w:rPr>
          <w:rFonts w:cs="Segoe UI Historic"/>
        </w:rPr>
        <w:t>hard-core</w:t>
      </w:r>
      <w:r w:rsidR="00525D01">
        <w:rPr>
          <w:rFonts w:cs="Segoe UI Historic"/>
        </w:rPr>
        <w:t>”</w:t>
      </w:r>
      <w:r w:rsidRPr="0062798E">
        <w:rPr>
          <w:rFonts w:cs="Segoe UI Historic"/>
        </w:rPr>
        <w:t xml:space="preserve"> sexual conduct</w:t>
      </w:r>
      <w:r>
        <w:rPr>
          <w:rFonts w:cs="Segoe UI Historic"/>
        </w:rPr>
        <w:t xml:space="preserve">. </w:t>
      </w:r>
      <w:r w:rsidRPr="0062798E">
        <w:rPr>
          <w:rFonts w:cs="Segoe UI Historic"/>
        </w:rPr>
        <w:t xml:space="preserve">Conduct which has been found obscene by courts include patrons grabbing at a dancer, lewd exposure of the genitals, particularly when accompanied by lewd conduct, and masturbation or fondling oneself. </w:t>
      </w:r>
      <w:r w:rsidRPr="0062798E">
        <w:rPr>
          <w:rFonts w:cs="Segoe UI Historic"/>
          <w:i/>
        </w:rPr>
        <w:t>New Palm Gardens v. Alcoholic Beverages Control Commission</w:t>
      </w:r>
      <w:r w:rsidRPr="0062798E">
        <w:rPr>
          <w:rFonts w:cs="Segoe UI Historic"/>
        </w:rPr>
        <w:t>, 11 Mass. App. Ct. 785, 794</w:t>
      </w:r>
      <w:r w:rsidR="00E90E67">
        <w:rPr>
          <w:rFonts w:cs="Segoe UI Historic"/>
        </w:rPr>
        <w:t>–</w:t>
      </w:r>
      <w:r w:rsidRPr="0062798E">
        <w:rPr>
          <w:rFonts w:cs="Segoe UI Historic"/>
        </w:rPr>
        <w:t>795 (1981);</w:t>
      </w:r>
      <w:r w:rsidR="00E90E67">
        <w:rPr>
          <w:rFonts w:cs="Segoe UI Historic"/>
        </w:rPr>
        <w:t xml:space="preserve"> </w:t>
      </w:r>
      <w:r w:rsidRPr="0062798E">
        <w:rPr>
          <w:rFonts w:cs="Segoe UI Historic"/>
          <w:i/>
        </w:rPr>
        <w:t>Commonwealth</w:t>
      </w:r>
      <w:r w:rsidRPr="0062798E">
        <w:rPr>
          <w:rFonts w:cs="Segoe UI Historic"/>
        </w:rPr>
        <w:t xml:space="preserve"> </w:t>
      </w:r>
      <w:r w:rsidRPr="0062798E">
        <w:rPr>
          <w:rFonts w:cs="Segoe UI Historic"/>
          <w:i/>
        </w:rPr>
        <w:t xml:space="preserve">v. </w:t>
      </w:r>
      <w:proofErr w:type="spellStart"/>
      <w:r w:rsidRPr="0062798E">
        <w:rPr>
          <w:rFonts w:cs="Segoe UI Historic"/>
          <w:i/>
        </w:rPr>
        <w:t>Kocinski</w:t>
      </w:r>
      <w:proofErr w:type="spellEnd"/>
      <w:r w:rsidRPr="0062798E">
        <w:rPr>
          <w:rFonts w:cs="Segoe UI Historic"/>
        </w:rPr>
        <w:t>, 11 Mass. App. Ct. 120, 122</w:t>
      </w:r>
      <w:r w:rsidR="00E90E67">
        <w:rPr>
          <w:rFonts w:cs="Segoe UI Historic"/>
        </w:rPr>
        <w:t>–</w:t>
      </w:r>
      <w:r w:rsidRPr="0062798E">
        <w:rPr>
          <w:rFonts w:cs="Segoe UI Historic"/>
        </w:rPr>
        <w:t>122 (1981);</w:t>
      </w:r>
      <w:r w:rsidR="00E90E67">
        <w:rPr>
          <w:rFonts w:cs="Segoe UI Historic"/>
        </w:rPr>
        <w:t xml:space="preserve"> see</w:t>
      </w:r>
      <w:r w:rsidR="00525D01">
        <w:rPr>
          <w:rFonts w:cs="Segoe UI Historic"/>
        </w:rPr>
        <w:t xml:space="preserve"> also</w:t>
      </w:r>
      <w:r w:rsidRPr="0062798E">
        <w:rPr>
          <w:rFonts w:cs="Segoe UI Historic"/>
        </w:rPr>
        <w:t xml:space="preserve"> G.L. c. 272, § 31 </w:t>
      </w:r>
      <w:r w:rsidR="00E90E67">
        <w:rPr>
          <w:rFonts w:cs="Segoe UI Historic"/>
        </w:rPr>
        <w:t>(</w:t>
      </w:r>
      <w:r w:rsidR="00525D01">
        <w:rPr>
          <w:rFonts w:cs="Segoe UI Historic"/>
        </w:rPr>
        <w:t>definition of “obscene”</w:t>
      </w:r>
      <w:r w:rsidR="00E90E67">
        <w:rPr>
          <w:rFonts w:cs="Segoe UI Historic"/>
        </w:rPr>
        <w:t>)</w:t>
      </w:r>
      <w:r w:rsidRPr="0062798E">
        <w:rPr>
          <w:rFonts w:cs="Segoe UI Historic"/>
        </w:rPr>
        <w:t>.</w:t>
      </w:r>
    </w:p>
  </w:footnote>
  <w:footnote w:id="16">
    <w:p w14:paraId="48BC6CC6" w14:textId="40A20048" w:rsidR="00F2123D" w:rsidRPr="00713167" w:rsidRDefault="00F2123D" w:rsidP="00F2123D">
      <w:pPr>
        <w:pStyle w:val="FootnoteText"/>
        <w:rPr>
          <w:sz w:val="24"/>
          <w:szCs w:val="24"/>
        </w:rPr>
      </w:pPr>
      <w:r w:rsidRPr="00713167">
        <w:rPr>
          <w:rStyle w:val="FootnoteReference"/>
          <w:sz w:val="24"/>
          <w:szCs w:val="24"/>
        </w:rPr>
        <w:footnoteRef/>
      </w:r>
      <w:r>
        <w:rPr>
          <w:sz w:val="24"/>
          <w:szCs w:val="24"/>
        </w:rPr>
        <w:tab/>
      </w:r>
      <w:r w:rsidRPr="00F2123D">
        <w:rPr>
          <w:szCs w:val="22"/>
        </w:rPr>
        <w:t>G. L. c. 265,  § 49.</w:t>
      </w:r>
    </w:p>
  </w:footnote>
  <w:footnote w:id="17">
    <w:p w14:paraId="7FA5B3D4" w14:textId="5F65C979" w:rsidR="00F2123D" w:rsidRPr="00AE0538" w:rsidRDefault="00F2123D" w:rsidP="00F2123D">
      <w:pPr>
        <w:pStyle w:val="FootnoteText"/>
      </w:pPr>
      <w:r w:rsidRPr="00AE0538">
        <w:rPr>
          <w:rStyle w:val="FootnoteReference"/>
        </w:rPr>
        <w:footnoteRef/>
      </w:r>
      <w:r>
        <w:tab/>
      </w:r>
      <w:r w:rsidRPr="00AE0538">
        <w:rPr>
          <w:rFonts w:cs="Segoe UI Historic"/>
          <w:i/>
        </w:rPr>
        <w:t>New Palm Gardens v. Alcoholic Beverages Control Commission</w:t>
      </w:r>
      <w:r w:rsidRPr="00AE0538">
        <w:rPr>
          <w:rFonts w:cs="Segoe UI Historic"/>
        </w:rPr>
        <w:t>, 11 Mass. App. Ct. 785, 794</w:t>
      </w:r>
      <w:r w:rsidR="00E90E67">
        <w:rPr>
          <w:rFonts w:cs="Segoe UI Historic"/>
        </w:rPr>
        <w:t>–</w:t>
      </w:r>
      <w:r w:rsidRPr="00AE0538">
        <w:rPr>
          <w:rFonts w:cs="Segoe UI Historic"/>
        </w:rPr>
        <w:t>795 (1981);</w:t>
      </w:r>
      <w:r w:rsidRPr="00AE0538">
        <w:rPr>
          <w:rFonts w:cs="Segoe UI Historic"/>
          <w:i/>
        </w:rPr>
        <w:t>Commonwealth</w:t>
      </w:r>
      <w:r w:rsidRPr="00AE0538">
        <w:rPr>
          <w:rFonts w:cs="Segoe UI Historic"/>
        </w:rPr>
        <w:t xml:space="preserve"> </w:t>
      </w:r>
      <w:r w:rsidRPr="00AE0538">
        <w:rPr>
          <w:rFonts w:cs="Segoe UI Historic"/>
          <w:i/>
        </w:rPr>
        <w:t xml:space="preserve">v. </w:t>
      </w:r>
      <w:proofErr w:type="spellStart"/>
      <w:r w:rsidRPr="00AE0538">
        <w:rPr>
          <w:rFonts w:cs="Segoe UI Historic"/>
          <w:i/>
        </w:rPr>
        <w:t>Kocinski</w:t>
      </w:r>
      <w:proofErr w:type="spellEnd"/>
      <w:r w:rsidRPr="00AE0538">
        <w:rPr>
          <w:rFonts w:cs="Segoe UI Historic"/>
        </w:rPr>
        <w:t>, 11 Mass. App. Ct. 120, 122</w:t>
      </w:r>
      <w:r w:rsidR="00E90E67">
        <w:rPr>
          <w:rFonts w:cs="Segoe UI Historic"/>
        </w:rPr>
        <w:t>–</w:t>
      </w:r>
      <w:r w:rsidRPr="00AE0538">
        <w:rPr>
          <w:rFonts w:cs="Segoe UI Historic"/>
        </w:rPr>
        <w:t>12</w:t>
      </w:r>
      <w:r w:rsidR="00E90E67">
        <w:rPr>
          <w:rFonts w:cs="Segoe UI Historic"/>
        </w:rPr>
        <w:t>3</w:t>
      </w:r>
      <w:r w:rsidRPr="00AE0538">
        <w:rPr>
          <w:rFonts w:cs="Segoe UI Historic"/>
        </w:rPr>
        <w:t xml:space="preserve"> (1981);</w:t>
      </w:r>
      <w:r w:rsidR="00085437">
        <w:rPr>
          <w:rFonts w:cs="Segoe UI Historic"/>
        </w:rPr>
        <w:t xml:space="preserve"> s</w:t>
      </w:r>
      <w:r w:rsidRPr="00AE0538">
        <w:rPr>
          <w:rFonts w:cs="Segoe UI Historic"/>
        </w:rPr>
        <w:t>ee</w:t>
      </w:r>
      <w:r w:rsidR="00525D01">
        <w:rPr>
          <w:rFonts w:cs="Segoe UI Historic"/>
        </w:rPr>
        <w:t xml:space="preserve"> also</w:t>
      </w:r>
      <w:r w:rsidRPr="00AE0538">
        <w:rPr>
          <w:rFonts w:cs="Segoe UI Historic"/>
        </w:rPr>
        <w:t xml:space="preserve"> G.L. c.</w:t>
      </w:r>
      <w:r w:rsidR="00525D01">
        <w:rPr>
          <w:rFonts w:cs="Segoe UI Historic"/>
        </w:rPr>
        <w:t> </w:t>
      </w:r>
      <w:r w:rsidRPr="00AE0538">
        <w:rPr>
          <w:rFonts w:cs="Segoe UI Historic"/>
        </w:rPr>
        <w:t xml:space="preserve">272,  § 31 </w:t>
      </w:r>
      <w:r w:rsidR="00085437">
        <w:rPr>
          <w:rFonts w:cs="Segoe UI Historic"/>
        </w:rPr>
        <w:t>(</w:t>
      </w:r>
      <w:r w:rsidR="00525D01">
        <w:rPr>
          <w:rFonts w:cs="Segoe UI Historic"/>
        </w:rPr>
        <w:t>definition of “obscene”</w:t>
      </w:r>
      <w:r w:rsidR="00085437">
        <w:rPr>
          <w:rFonts w:cs="Segoe UI Historic"/>
        </w:rPr>
        <w:t>)</w:t>
      </w:r>
      <w:r w:rsidRPr="00AE0538">
        <w:rPr>
          <w:rFonts w:cs="Segoe UI Historic"/>
        </w:rPr>
        <w:t>.</w:t>
      </w:r>
    </w:p>
  </w:footnote>
  <w:footnote w:id="18">
    <w:p w14:paraId="12F0CC4C" w14:textId="4EF36824" w:rsidR="00F2123D" w:rsidRPr="00465211" w:rsidRDefault="00F2123D" w:rsidP="00F2123D">
      <w:pPr>
        <w:pStyle w:val="FootnoteText"/>
      </w:pPr>
      <w:r w:rsidRPr="00BD0C7F">
        <w:rPr>
          <w:rStyle w:val="FootnoteReference"/>
        </w:rPr>
        <w:footnoteRef/>
      </w:r>
      <w:r w:rsidRPr="00BD0C7F">
        <w:t xml:space="preserve"> </w:t>
      </w:r>
      <w:r w:rsidRPr="00BD0C7F">
        <w:tab/>
        <w:t xml:space="preserve">G.L. c. 272, </w:t>
      </w:r>
      <w:r w:rsidRPr="00BD0C7F">
        <w:rPr>
          <w:szCs w:val="22"/>
        </w:rPr>
        <w:t>§ 31</w:t>
      </w:r>
      <w:r w:rsidRPr="00465211">
        <w:rPr>
          <w:rFonts w:ascii="Lato" w:hAnsi="Lato"/>
          <w:shd w:val="clear" w:color="auto" w:fill="FFFFFF"/>
        </w:rPr>
        <w:t>.</w:t>
      </w:r>
    </w:p>
  </w:footnote>
  <w:footnote w:id="19">
    <w:p w14:paraId="3ADA31E3" w14:textId="16B6538D" w:rsidR="00F2123D" w:rsidRDefault="00F2123D" w:rsidP="00F2123D">
      <w:pPr>
        <w:pStyle w:val="FootnoteText"/>
      </w:pPr>
      <w:r w:rsidRPr="00EC3E3B">
        <w:rPr>
          <w:rStyle w:val="FootnoteReference"/>
        </w:rPr>
        <w:footnoteRef/>
      </w:r>
      <w:r w:rsidR="00085437">
        <w:tab/>
      </w:r>
      <w:r w:rsidRPr="00085437">
        <w:rPr>
          <w:szCs w:val="22"/>
        </w:rPr>
        <w:t>Massachusetts</w:t>
      </w:r>
      <w:r w:rsidRPr="00085437">
        <w:rPr>
          <w:rFonts w:cs="Segoe UI Historic"/>
          <w:szCs w:val="22"/>
        </w:rPr>
        <w:t xml:space="preserve"> District Court Jury Criminal Instruction 7.180.</w:t>
      </w:r>
    </w:p>
  </w:footnote>
  <w:footnote w:id="20">
    <w:p w14:paraId="5FB8A6BB" w14:textId="48EDF582" w:rsidR="00F2123D" w:rsidRDefault="00F2123D" w:rsidP="00F2123D">
      <w:pPr>
        <w:pStyle w:val="FootnoteText"/>
      </w:pPr>
      <w:r>
        <w:rPr>
          <w:rStyle w:val="FootnoteReference"/>
        </w:rPr>
        <w:footnoteRef/>
      </w:r>
      <w:r w:rsidR="00085437">
        <w:tab/>
      </w:r>
      <w:r>
        <w:t xml:space="preserve">The judge should charge only on the theory pressed at trial. </w:t>
      </w:r>
    </w:p>
  </w:footnote>
  <w:footnote w:id="21">
    <w:p w14:paraId="49E148E5" w14:textId="7BFAB4AD" w:rsidR="00F2123D" w:rsidRPr="00085437" w:rsidRDefault="00F2123D" w:rsidP="00F2123D">
      <w:pPr>
        <w:pStyle w:val="FootnoteText"/>
        <w:rPr>
          <w:szCs w:val="22"/>
        </w:rPr>
      </w:pPr>
      <w:r>
        <w:rPr>
          <w:rStyle w:val="FootnoteReference"/>
        </w:rPr>
        <w:footnoteRef/>
      </w:r>
      <w:r w:rsidRPr="00EC3E3B">
        <w:tab/>
      </w:r>
      <w:r w:rsidRPr="00085437">
        <w:rPr>
          <w:rFonts w:cs="Segoe UI Historic"/>
          <w:szCs w:val="22"/>
        </w:rPr>
        <w:t>Massachusetts District Court Jury Criminal Instruction 7.180.</w:t>
      </w:r>
    </w:p>
  </w:footnote>
  <w:footnote w:id="22">
    <w:p w14:paraId="62B667C9" w14:textId="19B5D7AC" w:rsidR="00F2123D" w:rsidRPr="00085437" w:rsidRDefault="00F2123D" w:rsidP="00F2123D">
      <w:pPr>
        <w:pStyle w:val="FootnoteText"/>
        <w:rPr>
          <w:szCs w:val="22"/>
        </w:rPr>
      </w:pPr>
      <w:r w:rsidRPr="00085437">
        <w:rPr>
          <w:rStyle w:val="FootnoteReference"/>
          <w:szCs w:val="22"/>
        </w:rPr>
        <w:footnoteRef/>
      </w:r>
      <w:r w:rsidRPr="00085437">
        <w:rPr>
          <w:szCs w:val="22"/>
        </w:rPr>
        <w:tab/>
      </w:r>
      <w:r w:rsidRPr="00085437">
        <w:rPr>
          <w:i/>
          <w:szCs w:val="22"/>
        </w:rPr>
        <w:t>Dabney</w:t>
      </w:r>
      <w:r w:rsidRPr="00085437">
        <w:rPr>
          <w:szCs w:val="22"/>
        </w:rPr>
        <w:t xml:space="preserve">, 478 Mass. at 852-854; </w:t>
      </w:r>
      <w:r w:rsidRPr="00085437">
        <w:rPr>
          <w:i/>
          <w:szCs w:val="22"/>
        </w:rPr>
        <w:t>McGhee</w:t>
      </w:r>
      <w:r w:rsidRPr="00085437">
        <w:rPr>
          <w:szCs w:val="22"/>
        </w:rPr>
        <w:t>, 472 Mass. at 415</w:t>
      </w:r>
      <w:r w:rsidR="00E90E67">
        <w:rPr>
          <w:szCs w:val="22"/>
        </w:rPr>
        <w:t>–</w:t>
      </w:r>
      <w:r w:rsidRPr="00085437">
        <w:rPr>
          <w:szCs w:val="22"/>
        </w:rPr>
        <w:t xml:space="preserve">416. </w:t>
      </w:r>
    </w:p>
  </w:footnote>
  <w:footnote w:id="23">
    <w:p w14:paraId="0AB867C2" w14:textId="4439762B" w:rsidR="00F2123D" w:rsidRPr="00713167" w:rsidRDefault="00F2123D" w:rsidP="00F2123D">
      <w:pPr>
        <w:pStyle w:val="FootnoteText"/>
        <w:rPr>
          <w:sz w:val="24"/>
          <w:szCs w:val="24"/>
        </w:rPr>
      </w:pPr>
      <w:r w:rsidRPr="00085437">
        <w:rPr>
          <w:rStyle w:val="FootnoteReference"/>
          <w:szCs w:val="22"/>
        </w:rPr>
        <w:footnoteRef/>
      </w:r>
      <w:r w:rsidR="00C455E8">
        <w:rPr>
          <w:szCs w:val="22"/>
        </w:rPr>
        <w:tab/>
      </w:r>
      <w:r w:rsidRPr="00085437">
        <w:rPr>
          <w:i/>
          <w:szCs w:val="22"/>
        </w:rPr>
        <w:t>McGhee</w:t>
      </w:r>
      <w:r w:rsidRPr="00085437">
        <w:rPr>
          <w:szCs w:val="22"/>
        </w:rPr>
        <w:t>, 472 Mass. at 416.</w:t>
      </w:r>
    </w:p>
  </w:footnote>
  <w:footnote w:id="24">
    <w:p w14:paraId="5F7139DE" w14:textId="57A9EE12" w:rsidR="00F2123D" w:rsidRDefault="00F2123D" w:rsidP="00F2123D">
      <w:pPr>
        <w:pStyle w:val="FootnoteText"/>
      </w:pPr>
      <w:r>
        <w:rPr>
          <w:rStyle w:val="FootnoteReference"/>
        </w:rPr>
        <w:footnoteRef/>
      </w:r>
      <w:r w:rsidR="00085437">
        <w:tab/>
      </w:r>
      <w:r>
        <w:rPr>
          <w:rFonts w:cs="Segoe UI Historic"/>
        </w:rPr>
        <w:t>G.L. c. 265, § 50(b) states: “Whoever commits the crime of trafficking of persons for sexual servitude upon a person under 18 years of age shall be punished.”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4EF2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0945E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828A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22D2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3E33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2E92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B081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3E61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630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CE2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958605174">
    <w:abstractNumId w:val="12"/>
  </w:num>
  <w:num w:numId="2" w16cid:durableId="2053075445">
    <w:abstractNumId w:val="11"/>
  </w:num>
  <w:num w:numId="3" w16cid:durableId="1623802417">
    <w:abstractNumId w:val="0"/>
  </w:num>
  <w:num w:numId="4" w16cid:durableId="1530685701">
    <w:abstractNumId w:val="1"/>
  </w:num>
  <w:num w:numId="5" w16cid:durableId="2074967582">
    <w:abstractNumId w:val="2"/>
  </w:num>
  <w:num w:numId="6" w16cid:durableId="1790780168">
    <w:abstractNumId w:val="3"/>
  </w:num>
  <w:num w:numId="7" w16cid:durableId="392974747">
    <w:abstractNumId w:val="8"/>
  </w:num>
  <w:num w:numId="8" w16cid:durableId="1954093019">
    <w:abstractNumId w:val="4"/>
  </w:num>
  <w:num w:numId="9" w16cid:durableId="1925845644">
    <w:abstractNumId w:val="5"/>
  </w:num>
  <w:num w:numId="10" w16cid:durableId="1457019347">
    <w:abstractNumId w:val="6"/>
  </w:num>
  <w:num w:numId="11" w16cid:durableId="12346967">
    <w:abstractNumId w:val="7"/>
  </w:num>
  <w:num w:numId="12" w16cid:durableId="1815948001">
    <w:abstractNumId w:val="9"/>
  </w:num>
  <w:num w:numId="13" w16cid:durableId="649485726">
    <w:abstractNumId w:val="11"/>
  </w:num>
  <w:num w:numId="14" w16cid:durableId="2818827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00EB1"/>
    <w:rsid w:val="000124CA"/>
    <w:rsid w:val="00016CA0"/>
    <w:rsid w:val="00020581"/>
    <w:rsid w:val="00026289"/>
    <w:rsid w:val="00031AF3"/>
    <w:rsid w:val="00037245"/>
    <w:rsid w:val="00046730"/>
    <w:rsid w:val="00055FBA"/>
    <w:rsid w:val="00085437"/>
    <w:rsid w:val="000921DB"/>
    <w:rsid w:val="000933F5"/>
    <w:rsid w:val="000A0556"/>
    <w:rsid w:val="000A3EC1"/>
    <w:rsid w:val="000A76AB"/>
    <w:rsid w:val="000B08DB"/>
    <w:rsid w:val="000B7B9E"/>
    <w:rsid w:val="000C626D"/>
    <w:rsid w:val="000D70C6"/>
    <w:rsid w:val="000E7622"/>
    <w:rsid w:val="000F1C1F"/>
    <w:rsid w:val="0010739E"/>
    <w:rsid w:val="001255FB"/>
    <w:rsid w:val="00130F23"/>
    <w:rsid w:val="00136C94"/>
    <w:rsid w:val="00171068"/>
    <w:rsid w:val="0017397B"/>
    <w:rsid w:val="00182E4E"/>
    <w:rsid w:val="00190D65"/>
    <w:rsid w:val="001962BC"/>
    <w:rsid w:val="001A6C65"/>
    <w:rsid w:val="001B7748"/>
    <w:rsid w:val="001C00AF"/>
    <w:rsid w:val="001C5FA5"/>
    <w:rsid w:val="001D701D"/>
    <w:rsid w:val="001E2162"/>
    <w:rsid w:val="001E441F"/>
    <w:rsid w:val="001E4611"/>
    <w:rsid w:val="001F024D"/>
    <w:rsid w:val="001F443D"/>
    <w:rsid w:val="001F59BB"/>
    <w:rsid w:val="00221552"/>
    <w:rsid w:val="0022362E"/>
    <w:rsid w:val="002510A9"/>
    <w:rsid w:val="002550F6"/>
    <w:rsid w:val="00257345"/>
    <w:rsid w:val="0027587C"/>
    <w:rsid w:val="00294F89"/>
    <w:rsid w:val="002A2C60"/>
    <w:rsid w:val="002A3919"/>
    <w:rsid w:val="002C00BB"/>
    <w:rsid w:val="002C17E8"/>
    <w:rsid w:val="002C4618"/>
    <w:rsid w:val="002E4C20"/>
    <w:rsid w:val="00303039"/>
    <w:rsid w:val="00314479"/>
    <w:rsid w:val="0032567E"/>
    <w:rsid w:val="00332E44"/>
    <w:rsid w:val="00344246"/>
    <w:rsid w:val="00347BE8"/>
    <w:rsid w:val="00351CB8"/>
    <w:rsid w:val="00357E0F"/>
    <w:rsid w:val="0037328B"/>
    <w:rsid w:val="00387D46"/>
    <w:rsid w:val="00420329"/>
    <w:rsid w:val="00424546"/>
    <w:rsid w:val="00432D63"/>
    <w:rsid w:val="00462A12"/>
    <w:rsid w:val="00464FD3"/>
    <w:rsid w:val="00473267"/>
    <w:rsid w:val="00482882"/>
    <w:rsid w:val="004848CB"/>
    <w:rsid w:val="004859F0"/>
    <w:rsid w:val="00491675"/>
    <w:rsid w:val="004A149F"/>
    <w:rsid w:val="004A3BE2"/>
    <w:rsid w:val="004A78D9"/>
    <w:rsid w:val="004F14FA"/>
    <w:rsid w:val="004F27DC"/>
    <w:rsid w:val="0051035E"/>
    <w:rsid w:val="00513A7B"/>
    <w:rsid w:val="00516C98"/>
    <w:rsid w:val="00525D01"/>
    <w:rsid w:val="00527076"/>
    <w:rsid w:val="00537DD9"/>
    <w:rsid w:val="00543681"/>
    <w:rsid w:val="005446C0"/>
    <w:rsid w:val="00550249"/>
    <w:rsid w:val="005704B3"/>
    <w:rsid w:val="00572222"/>
    <w:rsid w:val="00594672"/>
    <w:rsid w:val="00595685"/>
    <w:rsid w:val="00596E5A"/>
    <w:rsid w:val="005A4F73"/>
    <w:rsid w:val="005F1E30"/>
    <w:rsid w:val="006254D4"/>
    <w:rsid w:val="00645626"/>
    <w:rsid w:val="00655386"/>
    <w:rsid w:val="00667379"/>
    <w:rsid w:val="00676B44"/>
    <w:rsid w:val="00691F98"/>
    <w:rsid w:val="00693E0C"/>
    <w:rsid w:val="00695B91"/>
    <w:rsid w:val="006A6F90"/>
    <w:rsid w:val="006B156F"/>
    <w:rsid w:val="006C7AD2"/>
    <w:rsid w:val="006D34CC"/>
    <w:rsid w:val="006F2B9D"/>
    <w:rsid w:val="006F6644"/>
    <w:rsid w:val="00707796"/>
    <w:rsid w:val="007433D7"/>
    <w:rsid w:val="0075264A"/>
    <w:rsid w:val="007741D4"/>
    <w:rsid w:val="0078280B"/>
    <w:rsid w:val="0078344A"/>
    <w:rsid w:val="00785B17"/>
    <w:rsid w:val="00795A43"/>
    <w:rsid w:val="007B1FA9"/>
    <w:rsid w:val="007E0402"/>
    <w:rsid w:val="007E7B77"/>
    <w:rsid w:val="00834E34"/>
    <w:rsid w:val="0086474E"/>
    <w:rsid w:val="008733AA"/>
    <w:rsid w:val="00880478"/>
    <w:rsid w:val="00880AA6"/>
    <w:rsid w:val="008A7293"/>
    <w:rsid w:val="008B57BD"/>
    <w:rsid w:val="008C5051"/>
    <w:rsid w:val="008C6442"/>
    <w:rsid w:val="008E10F3"/>
    <w:rsid w:val="00904A5C"/>
    <w:rsid w:val="0094060D"/>
    <w:rsid w:val="0094500B"/>
    <w:rsid w:val="009749D5"/>
    <w:rsid w:val="00983E04"/>
    <w:rsid w:val="00992410"/>
    <w:rsid w:val="00996339"/>
    <w:rsid w:val="009B481F"/>
    <w:rsid w:val="009B5582"/>
    <w:rsid w:val="009C6746"/>
    <w:rsid w:val="009D26DE"/>
    <w:rsid w:val="009E1CDC"/>
    <w:rsid w:val="00A001F1"/>
    <w:rsid w:val="00A00657"/>
    <w:rsid w:val="00A025E7"/>
    <w:rsid w:val="00A05B86"/>
    <w:rsid w:val="00A164C0"/>
    <w:rsid w:val="00A16F55"/>
    <w:rsid w:val="00A2789E"/>
    <w:rsid w:val="00A55E4E"/>
    <w:rsid w:val="00A56498"/>
    <w:rsid w:val="00A679E4"/>
    <w:rsid w:val="00A76145"/>
    <w:rsid w:val="00A82A1E"/>
    <w:rsid w:val="00A83DA7"/>
    <w:rsid w:val="00A908D1"/>
    <w:rsid w:val="00A917A4"/>
    <w:rsid w:val="00A95628"/>
    <w:rsid w:val="00A95EAD"/>
    <w:rsid w:val="00AB4582"/>
    <w:rsid w:val="00AC27F0"/>
    <w:rsid w:val="00AD0A48"/>
    <w:rsid w:val="00AD58FB"/>
    <w:rsid w:val="00AF6831"/>
    <w:rsid w:val="00B02468"/>
    <w:rsid w:val="00B12FB2"/>
    <w:rsid w:val="00B15109"/>
    <w:rsid w:val="00B175C4"/>
    <w:rsid w:val="00B20DA2"/>
    <w:rsid w:val="00B254BA"/>
    <w:rsid w:val="00B2579A"/>
    <w:rsid w:val="00B520AB"/>
    <w:rsid w:val="00B64E73"/>
    <w:rsid w:val="00B679F3"/>
    <w:rsid w:val="00B73040"/>
    <w:rsid w:val="00B75859"/>
    <w:rsid w:val="00B80E68"/>
    <w:rsid w:val="00B8411A"/>
    <w:rsid w:val="00B85AD0"/>
    <w:rsid w:val="00B975D8"/>
    <w:rsid w:val="00BA526C"/>
    <w:rsid w:val="00BC47B0"/>
    <w:rsid w:val="00BC555F"/>
    <w:rsid w:val="00BE3D0C"/>
    <w:rsid w:val="00BE7335"/>
    <w:rsid w:val="00BF0717"/>
    <w:rsid w:val="00BF08B5"/>
    <w:rsid w:val="00C02BC0"/>
    <w:rsid w:val="00C1309C"/>
    <w:rsid w:val="00C43AEF"/>
    <w:rsid w:val="00C455E8"/>
    <w:rsid w:val="00C5670C"/>
    <w:rsid w:val="00C809D9"/>
    <w:rsid w:val="00C8496E"/>
    <w:rsid w:val="00C90FD1"/>
    <w:rsid w:val="00C91F42"/>
    <w:rsid w:val="00CA7F17"/>
    <w:rsid w:val="00CD293D"/>
    <w:rsid w:val="00CD7576"/>
    <w:rsid w:val="00CF0A30"/>
    <w:rsid w:val="00CF5C99"/>
    <w:rsid w:val="00D11088"/>
    <w:rsid w:val="00D47BF2"/>
    <w:rsid w:val="00D71FE5"/>
    <w:rsid w:val="00D7544F"/>
    <w:rsid w:val="00D81C43"/>
    <w:rsid w:val="00D8732A"/>
    <w:rsid w:val="00D9196F"/>
    <w:rsid w:val="00DB437F"/>
    <w:rsid w:val="00DB6604"/>
    <w:rsid w:val="00DC61A7"/>
    <w:rsid w:val="00DF1EAE"/>
    <w:rsid w:val="00E174B0"/>
    <w:rsid w:val="00E43272"/>
    <w:rsid w:val="00E75621"/>
    <w:rsid w:val="00E90E67"/>
    <w:rsid w:val="00EA214A"/>
    <w:rsid w:val="00EB4214"/>
    <w:rsid w:val="00ED415B"/>
    <w:rsid w:val="00EE4FA6"/>
    <w:rsid w:val="00EF463D"/>
    <w:rsid w:val="00F10AE9"/>
    <w:rsid w:val="00F11C6F"/>
    <w:rsid w:val="00F2123D"/>
    <w:rsid w:val="00F64386"/>
    <w:rsid w:val="00F658C7"/>
    <w:rsid w:val="00F6646C"/>
    <w:rsid w:val="00F74A90"/>
    <w:rsid w:val="00F83046"/>
    <w:rsid w:val="00FA1A89"/>
    <w:rsid w:val="00FA4F34"/>
    <w:rsid w:val="00FD6881"/>
    <w:rsid w:val="00FE3F4C"/>
    <w:rsid w:val="00FF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paragraph" w:styleId="Heading2">
    <w:name w:val="heading 2"/>
    <w:basedOn w:val="Normal"/>
    <w:link w:val="Heading2Char"/>
    <w:uiPriority w:val="9"/>
    <w:qFormat/>
    <w:rsid w:val="00F2123D"/>
    <w:pPr>
      <w:spacing w:before="100" w:beforeAutospacing="1" w:after="100" w:afterAutospacing="1"/>
      <w:outlineLvl w:val="1"/>
    </w:pPr>
    <w:rPr>
      <w:rFonts w:ascii="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character" w:customStyle="1" w:styleId="Heading2Char">
    <w:name w:val="Heading 2 Char"/>
    <w:basedOn w:val="DefaultParagraphFont"/>
    <w:link w:val="Heading2"/>
    <w:uiPriority w:val="9"/>
    <w:rsid w:val="00F2123D"/>
    <w:rPr>
      <w:rFonts w:ascii="Times New Roman" w:eastAsia="Times New Roman" w:hAnsi="Times New Roman" w:cs="Times New Roman"/>
      <w:b/>
      <w:bCs/>
      <w:sz w:val="36"/>
      <w:szCs w:val="36"/>
    </w:rPr>
  </w:style>
  <w:style w:type="character" w:customStyle="1" w:styleId="ssparalabel">
    <w:name w:val="ss_paralabel"/>
    <w:basedOn w:val="DefaultParagraphFont"/>
    <w:rsid w:val="00F2123D"/>
  </w:style>
  <w:style w:type="character" w:customStyle="1" w:styleId="ssbf">
    <w:name w:val="ss_bf"/>
    <w:basedOn w:val="DefaultParagraphFont"/>
    <w:rsid w:val="00F2123D"/>
  </w:style>
  <w:style w:type="character" w:customStyle="1" w:styleId="ssparacontent">
    <w:name w:val="ss_paracontent"/>
    <w:basedOn w:val="DefaultParagraphFont"/>
    <w:rsid w:val="00F2123D"/>
  </w:style>
  <w:style w:type="character" w:styleId="Hyperlink">
    <w:name w:val="Hyperlink"/>
    <w:basedOn w:val="DefaultParagraphFont"/>
    <w:uiPriority w:val="99"/>
    <w:semiHidden/>
    <w:unhideWhenUsed/>
    <w:rsid w:val="00F2123D"/>
    <w:rPr>
      <w:color w:val="0000FF"/>
      <w:u w:val="single"/>
    </w:rPr>
  </w:style>
  <w:style w:type="character" w:customStyle="1" w:styleId="ssleftalign">
    <w:name w:val="ss_leftalign"/>
    <w:basedOn w:val="DefaultParagraphFont"/>
    <w:rsid w:val="00F2123D"/>
  </w:style>
  <w:style w:type="character" w:styleId="FollowedHyperlink">
    <w:name w:val="FollowedHyperlink"/>
    <w:basedOn w:val="DefaultParagraphFont"/>
    <w:uiPriority w:val="99"/>
    <w:semiHidden/>
    <w:unhideWhenUsed/>
    <w:rsid w:val="00B8411A"/>
    <w:rPr>
      <w:color w:val="954F72" w:themeColor="followedHyperlink"/>
      <w:u w:val="single"/>
    </w:rPr>
  </w:style>
  <w:style w:type="paragraph" w:styleId="Revision">
    <w:name w:val="Revision"/>
    <w:hidden/>
    <w:uiPriority w:val="99"/>
    <w:semiHidden/>
    <w:rsid w:val="00344246"/>
    <w:rPr>
      <w:rFonts w:ascii="Palatino Linotype" w:eastAsia="Times New Roman" w:hAnsi="Palatino Linotype" w:cs="Times New Roman"/>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Karmen Chong</cp:lastModifiedBy>
  <cp:revision>2</cp:revision>
  <dcterms:created xsi:type="dcterms:W3CDTF">2025-05-22T13:00:00Z</dcterms:created>
  <dcterms:modified xsi:type="dcterms:W3CDTF">2025-05-22T13:00:00Z</dcterms:modified>
</cp:coreProperties>
</file>