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96C5" w14:textId="00FDBBF5" w:rsidR="00A439DC" w:rsidRPr="00A439DC" w:rsidRDefault="00C24494" w:rsidP="00A439DC">
      <w:pPr>
        <w:pStyle w:val="JuryInstructionText"/>
        <w:jc w:val="right"/>
        <w:rPr>
          <w:i/>
          <w:iCs/>
          <w:sz w:val="24"/>
          <w:szCs w:val="24"/>
        </w:rPr>
      </w:pPr>
      <w:r>
        <w:rPr>
          <w:i/>
          <w:iCs/>
          <w:sz w:val="24"/>
          <w:szCs w:val="24"/>
        </w:rPr>
        <w:t xml:space="preserve">Publication Date: </w:t>
      </w:r>
      <w:r w:rsidR="00A439DC">
        <w:rPr>
          <w:i/>
          <w:iCs/>
          <w:sz w:val="24"/>
          <w:szCs w:val="24"/>
        </w:rPr>
        <w:t>August 28, 2023</w:t>
      </w:r>
    </w:p>
    <w:p w14:paraId="2268A81F" w14:textId="46012980" w:rsidR="00A439DC" w:rsidRDefault="00A439DC" w:rsidP="00A439DC">
      <w:pPr>
        <w:pStyle w:val="JuryInst2"/>
      </w:pPr>
      <w:r>
        <w:t>Unarmed Robbery</w:t>
      </w:r>
      <w:r>
        <w:rPr>
          <w:rStyle w:val="FootnoteReference"/>
        </w:rPr>
        <w:footnoteReference w:id="1"/>
      </w:r>
    </w:p>
    <w:p w14:paraId="24067558" w14:textId="17C4B32C" w:rsidR="00A439DC" w:rsidRPr="00FC3D6C" w:rsidRDefault="00A439DC" w:rsidP="00A439DC">
      <w:pPr>
        <w:pStyle w:val="JuryInstructionText"/>
      </w:pPr>
      <w:r>
        <w:t xml:space="preserve">The [first] indictment charges DFT with unarmed robbery of AVM on or about [Date]. </w:t>
      </w:r>
      <w:r w:rsidRPr="00FC3D6C">
        <w:t xml:space="preserve">To prove this offense, the Commonwealth must prove four </w:t>
      </w:r>
      <w:r>
        <w:t>elements</w:t>
      </w:r>
      <w:r w:rsidRPr="00FC3D6C">
        <w:t xml:space="preserve"> beyond a reasonable doubt:</w:t>
      </w:r>
    </w:p>
    <w:p w14:paraId="26D080C5" w14:textId="6A1997F7" w:rsidR="00A439DC" w:rsidRPr="00FC3D6C" w:rsidRDefault="00A439DC" w:rsidP="00A439DC">
      <w:pPr>
        <w:pStyle w:val="JuryInstructionElements"/>
      </w:pPr>
      <w:r w:rsidRPr="00FC3D6C">
        <w:t>1.</w:t>
      </w:r>
      <w:r w:rsidRPr="00FC3D6C">
        <w:tab/>
      </w:r>
      <w:r>
        <w:t xml:space="preserve">DFT </w:t>
      </w:r>
      <w:r w:rsidRPr="00FC3D6C">
        <w:t xml:space="preserve">took money </w:t>
      </w:r>
      <w:r>
        <w:t>[</w:t>
      </w:r>
      <w:r w:rsidRPr="00FC3D6C">
        <w:t>property</w:t>
      </w:r>
      <w:r>
        <w:t>]</w:t>
      </w:r>
      <w:r>
        <w:rPr>
          <w:rStyle w:val="FootnoteReference"/>
        </w:rPr>
        <w:footnoteReference w:id="2"/>
      </w:r>
      <w:r w:rsidRPr="00FC3D6C">
        <w:t xml:space="preserve"> from </w:t>
      </w:r>
      <w:r>
        <w:t>AVM</w:t>
      </w:r>
      <w:r w:rsidRPr="00FC3D6C">
        <w:t xml:space="preserve"> or from </w:t>
      </w:r>
      <w:r>
        <w:t>his/</w:t>
      </w:r>
      <w:r w:rsidRPr="00FC3D6C">
        <w:t xml:space="preserve">her immediate control;  </w:t>
      </w:r>
    </w:p>
    <w:p w14:paraId="27E8CA34" w14:textId="57D90689" w:rsidR="00A439DC" w:rsidRPr="00FC3D6C" w:rsidRDefault="00A439DC" w:rsidP="00A439DC">
      <w:pPr>
        <w:pStyle w:val="JuryInstructionElements"/>
      </w:pPr>
      <w:r w:rsidRPr="00FC3D6C">
        <w:t>2.</w:t>
      </w:r>
      <w:r w:rsidRPr="00FC3D6C">
        <w:tab/>
      </w:r>
      <w:r>
        <w:t xml:space="preserve">DFT </w:t>
      </w:r>
      <w:r w:rsidRPr="00FC3D6C">
        <w:t xml:space="preserve">either applied force to </w:t>
      </w:r>
      <w:r>
        <w:t>AVM</w:t>
      </w:r>
      <w:r w:rsidRPr="00FC3D6C">
        <w:t>’s body,</w:t>
      </w:r>
      <w:r>
        <w:rPr>
          <w:rStyle w:val="FootnoteReference"/>
        </w:rPr>
        <w:footnoteReference w:id="3"/>
      </w:r>
      <w:r w:rsidRPr="00FC3D6C">
        <w:t xml:space="preserve"> or put </w:t>
      </w:r>
      <w:r>
        <w:t>him/her</w:t>
      </w:r>
      <w:r w:rsidRPr="00FC3D6C">
        <w:t xml:space="preserve"> in fear by threatening words or gestures; </w:t>
      </w:r>
    </w:p>
    <w:p w14:paraId="28A1EF0E" w14:textId="36FC5787" w:rsidR="00A439DC" w:rsidRPr="00FC3D6C" w:rsidRDefault="00A439DC" w:rsidP="00A439DC">
      <w:pPr>
        <w:pStyle w:val="JuryInstructionElements"/>
      </w:pPr>
      <w:r w:rsidRPr="00FC3D6C">
        <w:t>3.</w:t>
      </w:r>
      <w:r w:rsidRPr="00FC3D6C">
        <w:tab/>
        <w:t xml:space="preserve">The force, or the threatening words or gestures, were the cause of </w:t>
      </w:r>
      <w:r>
        <w:t>DFT</w:t>
      </w:r>
      <w:r w:rsidRPr="00FC3D6C">
        <w:t xml:space="preserve"> obtaining possession of the </w:t>
      </w:r>
      <w:r>
        <w:t>money [property];</w:t>
      </w:r>
      <w:r w:rsidRPr="00FC3D6C">
        <w:t xml:space="preserve"> and</w:t>
      </w:r>
    </w:p>
    <w:p w14:paraId="675CAE78" w14:textId="09BA66C7" w:rsidR="00A439DC" w:rsidRDefault="00A439DC" w:rsidP="00A439DC">
      <w:pPr>
        <w:pStyle w:val="JuryInstructionElements"/>
      </w:pPr>
      <w:r w:rsidRPr="00FC3D6C">
        <w:t>4.</w:t>
      </w:r>
      <w:r w:rsidRPr="00FC3D6C">
        <w:tab/>
      </w:r>
      <w:r>
        <w:t>DFT</w:t>
      </w:r>
      <w:r w:rsidRPr="00FC3D6C">
        <w:t xml:space="preserve"> intended to steal the </w:t>
      </w:r>
      <w:r>
        <w:t>money [property]</w:t>
      </w:r>
      <w:r w:rsidRPr="00FC3D6C">
        <w:t>.</w:t>
      </w:r>
    </w:p>
    <w:p w14:paraId="699E2F3F" w14:textId="646B85F7" w:rsidR="00A439DC" w:rsidRPr="00BA2406" w:rsidRDefault="00A439DC" w:rsidP="00A439DC">
      <w:pPr>
        <w:pStyle w:val="JuryInstructionText"/>
      </w:pPr>
      <w:r w:rsidRPr="00A439DC">
        <w:rPr>
          <w:b/>
          <w:bCs/>
        </w:rPr>
        <w:t>First</w:t>
      </w:r>
      <w:r>
        <w:t xml:space="preserve">, the Commonwealth must prove that DFT took money [property] from AVM or from AVM’s immediate control. </w:t>
      </w:r>
      <w:r w:rsidR="00B27427">
        <w:t>[</w:t>
      </w:r>
      <w:r>
        <w:rPr>
          <w:b/>
          <w:bCs/>
          <w:i/>
          <w:iCs/>
        </w:rPr>
        <w:t>&lt;If the evidence presents a question about whether the money or property was taken, include:</w:t>
      </w:r>
      <w:r w:rsidR="00B27427">
        <w:rPr>
          <w:b/>
          <w:bCs/>
        </w:rPr>
        <w:t>&gt;</w:t>
      </w:r>
      <w:r>
        <w:t xml:space="preserve">  A person “takes” money [property] when he transfers money [property] from the alleged victim’s control to his own. It does not matter how far he carried the money [property], as long as DFT transferred possession or control from AVM to himself.</w:t>
      </w:r>
      <w:r w:rsidRPr="00BA2406">
        <w:rPr>
          <w:rStyle w:val="FootnoteReference"/>
        </w:rPr>
        <w:footnoteReference w:id="4"/>
      </w:r>
      <w:r>
        <w:t xml:space="preserve"> </w:t>
      </w:r>
      <w:r w:rsidR="00B27427">
        <w:t>]</w:t>
      </w:r>
    </w:p>
    <w:p w14:paraId="7487752D" w14:textId="5C3E3461" w:rsidR="00A439DC" w:rsidRDefault="00A439DC" w:rsidP="00A439DC">
      <w:pPr>
        <w:pStyle w:val="JuryInstructionText"/>
      </w:pPr>
      <w:r>
        <w:lastRenderedPageBreak/>
        <w:t>AVM did not have to own or physically possess the money [property]. The</w:t>
      </w:r>
      <w:r w:rsidR="00B27427">
        <w:t> </w:t>
      </w:r>
      <w:r>
        <w:t xml:space="preserve">money [property] was within AVM’s “immediate control” if s/he could have readily possessed it physically, but violence or fear overcame his/her will or ability to do so. [The value of the property does not matter as long as it has some value.] </w:t>
      </w:r>
    </w:p>
    <w:p w14:paraId="0BA731C4" w14:textId="59B5912C" w:rsidR="00A439DC" w:rsidRDefault="00A439DC" w:rsidP="00A439DC">
      <w:pPr>
        <w:pStyle w:val="JuryInstructionText"/>
      </w:pPr>
      <w:r w:rsidRPr="00B27427">
        <w:rPr>
          <w:b/>
          <w:bCs/>
        </w:rPr>
        <w:t>Second</w:t>
      </w:r>
      <w:r>
        <w:t xml:space="preserve">, the Commonwealth must prove that DFT either applied force to AVM or put him/her in fear by threatening words or gestures. If he used actual force, the Commonwealth must prove that he applied that force to AVM’s body. The amount of force does not matter as long as it was enough for DFT to obtain AVM’s money [property] against his/her will. When a person uses actual force, the Commonwealth does not have to prove that the person put the alleged victim in fear. </w:t>
      </w:r>
    </w:p>
    <w:p w14:paraId="282CEDC4" w14:textId="5DC03958" w:rsidR="00A439DC" w:rsidRPr="00B27427" w:rsidRDefault="00A439DC" w:rsidP="00A439DC">
      <w:pPr>
        <w:pStyle w:val="JuryInstructionText"/>
      </w:pPr>
      <w:r>
        <w:t xml:space="preserve">If DFT threatened AVM by words or gestures, then, to prove that he used force, the Commonwealth must prove both that AVM was aware of the threat and that s/he was put in fear. </w:t>
      </w:r>
      <w:r w:rsidR="00B27427">
        <w:t>[</w:t>
      </w:r>
      <w:r>
        <w:rPr>
          <w:b/>
          <w:bCs/>
          <w:i/>
          <w:iCs/>
        </w:rPr>
        <w:t>&lt;If threat is made to someone other than AVM, include:</w:t>
      </w:r>
      <w:r w:rsidR="00B27427">
        <w:rPr>
          <w:b/>
          <w:bCs/>
        </w:rPr>
        <w:t>&gt;</w:t>
      </w:r>
      <w:r>
        <w:rPr>
          <w:b/>
          <w:bCs/>
          <w:i/>
          <w:iCs/>
        </w:rPr>
        <w:t xml:space="preserve"> </w:t>
      </w:r>
      <w:r>
        <w:t>The threatening words or gestures do not have to be directed at AVM, as long as AVM was aware that they were directed at another person and was thereby put in fear.</w:t>
      </w:r>
      <w:r w:rsidR="00B27427">
        <w:rPr>
          <w:b/>
          <w:bCs/>
        </w:rPr>
        <w:t>]</w:t>
      </w:r>
    </w:p>
    <w:p w14:paraId="5EAA4F91" w14:textId="77777777" w:rsidR="00A439DC" w:rsidRDefault="00A439DC" w:rsidP="00A439DC">
      <w:pPr>
        <w:pStyle w:val="JuryInstructionText"/>
      </w:pPr>
      <w:r w:rsidRPr="00B27427">
        <w:rPr>
          <w:b/>
          <w:bCs/>
        </w:rPr>
        <w:t>Third</w:t>
      </w:r>
      <w:r>
        <w:t xml:space="preserve">, the actual force, or the threatening words or gestures, must be the cause of DFT obtaining possession of the money [property]. </w:t>
      </w:r>
    </w:p>
    <w:p w14:paraId="46BB65F0" w14:textId="30E14F4A" w:rsidR="00A439DC" w:rsidRDefault="00A439DC" w:rsidP="00A439DC">
      <w:pPr>
        <w:pStyle w:val="JuryInstructionText"/>
      </w:pPr>
      <w:r w:rsidRPr="00B27427">
        <w:rPr>
          <w:b/>
          <w:bCs/>
        </w:rPr>
        <w:t>Fourth</w:t>
      </w:r>
      <w:r>
        <w:t xml:space="preserve">, the Commonwealth must prove that DFT intended to steal the money [property]. The Commonwealth must prove that, at the time he took the money [property] against AVM’s will, DFT intended to deprive AVM of it permanently. Intent is a state of mind. It means a person’s purpose or objective. [DFT] acted with an intent to deprive [AVM] of possession of an object </w:t>
      </w:r>
      <w:proofErr w:type="gramStart"/>
      <w:r>
        <w:t>permanently, if</w:t>
      </w:r>
      <w:proofErr w:type="gramEnd"/>
      <w:r>
        <w:t xml:space="preserve"> he had the specific purpose or objective of permanently depriving [AVM] of possession of the object when he did the act. </w:t>
      </w:r>
    </w:p>
    <w:p w14:paraId="1E42701F" w14:textId="1D5921E3" w:rsidR="00A439DC" w:rsidRDefault="00A439DC" w:rsidP="00A439DC">
      <w:pPr>
        <w:pStyle w:val="JuryInst2"/>
      </w:pPr>
      <w:r>
        <w:lastRenderedPageBreak/>
        <w:t xml:space="preserve">Unarmed </w:t>
      </w:r>
      <w:r w:rsidR="00B609C1">
        <w:t>Robbery of a</w:t>
      </w:r>
      <w:r>
        <w:t xml:space="preserve"> Person over 60 Years Old</w:t>
      </w:r>
      <w:r w:rsidR="00B609C1">
        <w:rPr>
          <w:rStyle w:val="FootnoteReference"/>
        </w:rPr>
        <w:footnoteReference w:id="5"/>
      </w:r>
    </w:p>
    <w:p w14:paraId="75D4171F" w14:textId="208B3D65" w:rsidR="00A439DC" w:rsidRDefault="00A439DC" w:rsidP="00B27427">
      <w:pPr>
        <w:pStyle w:val="JuryInstructionText"/>
        <w:keepNext/>
      </w:pPr>
      <w:r>
        <w:t>&lt;</w:t>
      </w:r>
      <w:r w:rsidRPr="00B27427">
        <w:rPr>
          <w:b/>
          <w:bCs/>
          <w:i/>
          <w:iCs/>
        </w:rPr>
        <w:t xml:space="preserve">Unarmed robbery of a person over 60 years old has one element in addition to those required for unarmed robbery. </w:t>
      </w:r>
      <w:r w:rsidR="00697903">
        <w:rPr>
          <w:b/>
          <w:bCs/>
          <w:i/>
          <w:iCs/>
        </w:rPr>
        <w:t>A</w:t>
      </w:r>
      <w:r w:rsidRPr="00B27427">
        <w:rPr>
          <w:b/>
          <w:bCs/>
          <w:i/>
          <w:iCs/>
        </w:rPr>
        <w:t>dd the following element to the instructions for unarmed robbery:</w:t>
      </w:r>
      <w:r>
        <w:t xml:space="preserve">&gt;   </w:t>
      </w:r>
    </w:p>
    <w:p w14:paraId="6487F380" w14:textId="3D96DE34" w:rsidR="00A439DC" w:rsidRDefault="00A439DC" w:rsidP="00A439DC">
      <w:pPr>
        <w:pStyle w:val="JuryInstructionElements"/>
      </w:pPr>
      <w:r>
        <w:t>5.</w:t>
      </w:r>
      <w:r>
        <w:tab/>
      </w:r>
      <w:r w:rsidRPr="00673609">
        <w:t>At the time, AVM was 60 years old or older.</w:t>
      </w:r>
      <w:r w:rsidR="00B609C1">
        <w:rPr>
          <w:rStyle w:val="FootnoteReference"/>
        </w:rPr>
        <w:footnoteReference w:id="6"/>
      </w:r>
    </w:p>
    <w:p w14:paraId="144EE589" w14:textId="77777777" w:rsidR="00697903" w:rsidRDefault="00697903" w:rsidP="00697903">
      <w:pPr>
        <w:pStyle w:val="JuryInstructionText"/>
        <w:keepNext/>
      </w:pPr>
      <w:r>
        <w:t>&lt;</w:t>
      </w:r>
      <w:r w:rsidRPr="00CE2D9C">
        <w:rPr>
          <w:b/>
          <w:bCs/>
          <w:i/>
          <w:iCs/>
        </w:rPr>
        <w:t>Add the following explanation of the additional element:</w:t>
      </w:r>
      <w:r>
        <w:t>&gt;</w:t>
      </w:r>
    </w:p>
    <w:p w14:paraId="21F33DD6" w14:textId="10188A52" w:rsidR="00B75859" w:rsidRPr="00B75859" w:rsidRDefault="00A439DC" w:rsidP="00A439DC">
      <w:pPr>
        <w:pStyle w:val="JuryInstructionText"/>
      </w:pPr>
      <w:r>
        <w:t xml:space="preserve">The </w:t>
      </w:r>
      <w:r w:rsidRPr="00B27427">
        <w:rPr>
          <w:b/>
          <w:bCs/>
        </w:rPr>
        <w:t xml:space="preserve">fifth </w:t>
      </w:r>
      <w:r w:rsidR="00B27427" w:rsidRPr="00B27427">
        <w:rPr>
          <w:b/>
          <w:bCs/>
        </w:rPr>
        <w:t>element</w:t>
      </w:r>
      <w:r w:rsidR="00B27427">
        <w:t>—that AVM was at least 60 years old</w:t>
      </w:r>
      <w:r w:rsidR="00B609C1">
        <w:t xml:space="preserve"> at the time of the alleged robbery</w:t>
      </w:r>
      <w:r w:rsidR="00B27427">
        <w:t>—</w:t>
      </w:r>
      <w:r>
        <w:t xml:space="preserve">is self-explanatory. </w:t>
      </w:r>
    </w:p>
    <w:sectPr w:rsidR="00B75859" w:rsidRPr="00B75859"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3B96" w14:textId="77777777" w:rsidR="00E6700E" w:rsidRDefault="00E6700E" w:rsidP="00F74A90">
      <w:r>
        <w:separator/>
      </w:r>
    </w:p>
  </w:endnote>
  <w:endnote w:type="continuationSeparator" w:id="0">
    <w:p w14:paraId="0250C1BF" w14:textId="77777777" w:rsidR="00E6700E" w:rsidRDefault="00E6700E"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296303"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458CC" w14:textId="77777777" w:rsidR="00E6700E" w:rsidRDefault="00E6700E" w:rsidP="00F74A90">
      <w:r>
        <w:separator/>
      </w:r>
    </w:p>
  </w:footnote>
  <w:footnote w:type="continuationSeparator" w:id="0">
    <w:p w14:paraId="17208BEE" w14:textId="77777777" w:rsidR="00E6700E" w:rsidRDefault="00E6700E" w:rsidP="00F74A90">
      <w:r>
        <w:continuationSeparator/>
      </w:r>
    </w:p>
  </w:footnote>
  <w:footnote w:id="1">
    <w:p w14:paraId="1FB76644" w14:textId="79A67CA1" w:rsidR="00A439DC" w:rsidRDefault="00A439DC">
      <w:pPr>
        <w:pStyle w:val="FootnoteText"/>
      </w:pPr>
      <w:r>
        <w:rPr>
          <w:rStyle w:val="FootnoteReference"/>
        </w:rPr>
        <w:footnoteRef/>
      </w:r>
      <w:r>
        <w:t xml:space="preserve"> </w:t>
      </w:r>
      <w:r>
        <w:tab/>
      </w:r>
      <w:r w:rsidRPr="008561BC">
        <w:rPr>
          <w:rFonts w:cs="Segoe UI Historic"/>
          <w:sz w:val="24"/>
          <w:szCs w:val="24"/>
        </w:rPr>
        <w:t>G.L. c. 265, § 19(b) states: “Whoever, not being armed with a dangerous weapon, by force and violence, or by assault and putting in fear robs, steals or takes from the person of another, or from his immediate control, money or other property . . . shall be punished.”</w:t>
      </w:r>
    </w:p>
  </w:footnote>
  <w:footnote w:id="2">
    <w:p w14:paraId="4BC6AE92" w14:textId="035835EE" w:rsidR="00A439DC" w:rsidRDefault="00A439DC">
      <w:pPr>
        <w:pStyle w:val="FootnoteText"/>
      </w:pPr>
      <w:r>
        <w:rPr>
          <w:rStyle w:val="FootnoteReference"/>
        </w:rPr>
        <w:footnoteRef/>
      </w:r>
      <w:r>
        <w:t xml:space="preserve"> </w:t>
      </w:r>
      <w:r>
        <w:tab/>
      </w:r>
      <w:r w:rsidRPr="008561BC">
        <w:rPr>
          <w:rFonts w:cs="Segoe UI Historic"/>
          <w:sz w:val="24"/>
          <w:szCs w:val="24"/>
        </w:rPr>
        <w:t>If both money and property are at issue, the judge should globally replace this with “money or property” throughout this instruction.</w:t>
      </w:r>
    </w:p>
  </w:footnote>
  <w:footnote w:id="3">
    <w:p w14:paraId="43C50F7B" w14:textId="666B04EB" w:rsidR="00A439DC" w:rsidRDefault="00A439DC">
      <w:pPr>
        <w:pStyle w:val="FootnoteText"/>
      </w:pPr>
      <w:r>
        <w:rPr>
          <w:rStyle w:val="FootnoteReference"/>
        </w:rPr>
        <w:footnoteRef/>
      </w:r>
      <w:r>
        <w:t xml:space="preserve"> </w:t>
      </w:r>
      <w:r>
        <w:tab/>
      </w:r>
      <w:r w:rsidRPr="008561BC">
        <w:rPr>
          <w:rFonts w:cs="Segoe UI Historic"/>
          <w:sz w:val="24"/>
          <w:szCs w:val="24"/>
        </w:rPr>
        <w:t xml:space="preserve">The traditional phrase “force and violence” is redundant and has been omitted. See </w:t>
      </w:r>
      <w:r w:rsidRPr="00B27427">
        <w:rPr>
          <w:rFonts w:cs="Segoe UI Historic"/>
          <w:i/>
          <w:iCs/>
          <w:sz w:val="24"/>
          <w:szCs w:val="24"/>
        </w:rPr>
        <w:t>Commonwealth</w:t>
      </w:r>
      <w:r w:rsidRPr="008561BC">
        <w:rPr>
          <w:rFonts w:cs="Segoe UI Historic"/>
          <w:sz w:val="24"/>
          <w:szCs w:val="24"/>
        </w:rPr>
        <w:t xml:space="preserve"> v. </w:t>
      </w:r>
      <w:r w:rsidRPr="00B27427">
        <w:rPr>
          <w:rFonts w:cs="Segoe UI Historic"/>
          <w:i/>
          <w:iCs/>
          <w:sz w:val="24"/>
          <w:szCs w:val="24"/>
        </w:rPr>
        <w:t>Benitez</w:t>
      </w:r>
      <w:r w:rsidRPr="008561BC">
        <w:rPr>
          <w:rFonts w:cs="Segoe UI Historic"/>
          <w:sz w:val="24"/>
          <w:szCs w:val="24"/>
        </w:rPr>
        <w:t>, 464 Mass. 686, 689</w:t>
      </w:r>
      <w:r w:rsidR="00B27427">
        <w:rPr>
          <w:rFonts w:cs="Segoe UI Historic"/>
          <w:sz w:val="24"/>
          <w:szCs w:val="24"/>
        </w:rPr>
        <w:t>–</w:t>
      </w:r>
      <w:r w:rsidRPr="008561BC">
        <w:rPr>
          <w:rFonts w:cs="Segoe UI Historic"/>
          <w:sz w:val="24"/>
          <w:szCs w:val="24"/>
        </w:rPr>
        <w:t xml:space="preserve">690 (2013), citing </w:t>
      </w:r>
      <w:r w:rsidRPr="00B27427">
        <w:rPr>
          <w:rFonts w:cs="Segoe UI Historic"/>
          <w:i/>
          <w:iCs/>
          <w:sz w:val="24"/>
          <w:szCs w:val="24"/>
        </w:rPr>
        <w:t>Commonwealth</w:t>
      </w:r>
      <w:r w:rsidRPr="008561BC">
        <w:rPr>
          <w:rFonts w:cs="Segoe UI Historic"/>
          <w:sz w:val="24"/>
          <w:szCs w:val="24"/>
        </w:rPr>
        <w:t xml:space="preserve"> v. </w:t>
      </w:r>
      <w:r w:rsidRPr="00B27427">
        <w:rPr>
          <w:rFonts w:cs="Segoe UI Historic"/>
          <w:i/>
          <w:iCs/>
          <w:sz w:val="24"/>
          <w:szCs w:val="24"/>
        </w:rPr>
        <w:t>Rogers</w:t>
      </w:r>
      <w:r w:rsidRPr="008561BC">
        <w:rPr>
          <w:rFonts w:cs="Segoe UI Historic"/>
          <w:sz w:val="24"/>
          <w:szCs w:val="24"/>
        </w:rPr>
        <w:t xml:space="preserve">, 459 Mass. 249, 252 n.4, </w:t>
      </w:r>
      <w:r w:rsidRPr="00B27427">
        <w:rPr>
          <w:rFonts w:cs="Segoe UI Historic"/>
          <w:i/>
          <w:iCs/>
          <w:sz w:val="24"/>
          <w:szCs w:val="24"/>
        </w:rPr>
        <w:t>cert. denied</w:t>
      </w:r>
      <w:r w:rsidRPr="008561BC">
        <w:rPr>
          <w:rFonts w:cs="Segoe UI Historic"/>
          <w:sz w:val="24"/>
          <w:szCs w:val="24"/>
        </w:rPr>
        <w:t xml:space="preserve">, 565 U.S. 1080 (2011) (“crime of armed robbery” required “Commonwealth to prove that the defendant or [co-defendant] . . . either applied actual force </w:t>
      </w:r>
      <w:r w:rsidRPr="000A6DCF">
        <w:rPr>
          <w:rFonts w:cs="Segoe UI Historic"/>
          <w:b/>
          <w:bCs/>
          <w:sz w:val="24"/>
          <w:szCs w:val="24"/>
          <w:u w:val="single"/>
        </w:rPr>
        <w:t>or</w:t>
      </w:r>
      <w:r w:rsidRPr="008561BC">
        <w:rPr>
          <w:rFonts w:cs="Segoe UI Historic"/>
          <w:sz w:val="24"/>
          <w:szCs w:val="24"/>
        </w:rPr>
        <w:t xml:space="preserve"> violence to the body of the person identified in the indictment, or by words or gestures put him in fear”) (emphasis added).</w:t>
      </w:r>
    </w:p>
  </w:footnote>
  <w:footnote w:id="4">
    <w:p w14:paraId="19CE4AB5" w14:textId="669EE472" w:rsidR="00A439DC" w:rsidRDefault="00A439DC">
      <w:pPr>
        <w:pStyle w:val="FootnoteText"/>
      </w:pPr>
      <w:r>
        <w:rPr>
          <w:rStyle w:val="FootnoteReference"/>
        </w:rPr>
        <w:footnoteRef/>
      </w:r>
      <w:r>
        <w:t xml:space="preserve"> </w:t>
      </w:r>
      <w:r>
        <w:tab/>
      </w:r>
      <w:r w:rsidRPr="00B27427">
        <w:rPr>
          <w:rFonts w:cs="Segoe UI Historic"/>
          <w:i/>
          <w:iCs/>
          <w:sz w:val="24"/>
          <w:szCs w:val="24"/>
        </w:rPr>
        <w:t>Commonwealth</w:t>
      </w:r>
      <w:r w:rsidRPr="008561BC">
        <w:rPr>
          <w:rFonts w:cs="Segoe UI Historic"/>
          <w:sz w:val="24"/>
          <w:szCs w:val="24"/>
        </w:rPr>
        <w:t xml:space="preserve"> v. </w:t>
      </w:r>
      <w:r w:rsidRPr="00B27427">
        <w:rPr>
          <w:rFonts w:cs="Segoe UI Historic"/>
          <w:i/>
          <w:iCs/>
          <w:sz w:val="24"/>
          <w:szCs w:val="24"/>
        </w:rPr>
        <w:t>Flowers</w:t>
      </w:r>
      <w:r w:rsidRPr="008561BC">
        <w:rPr>
          <w:rFonts w:cs="Segoe UI Historic"/>
          <w:sz w:val="24"/>
          <w:szCs w:val="24"/>
        </w:rPr>
        <w:t>, 1 Mass. App. Ct. 415, 418</w:t>
      </w:r>
      <w:r w:rsidR="00B27427">
        <w:rPr>
          <w:rFonts w:cs="Segoe UI Historic"/>
          <w:sz w:val="24"/>
          <w:szCs w:val="24"/>
        </w:rPr>
        <w:t>–</w:t>
      </w:r>
      <w:r w:rsidRPr="008561BC">
        <w:rPr>
          <w:rFonts w:cs="Segoe UI Historic"/>
          <w:sz w:val="24"/>
          <w:szCs w:val="24"/>
        </w:rPr>
        <w:t>419 (1973).</w:t>
      </w:r>
    </w:p>
  </w:footnote>
  <w:footnote w:id="5">
    <w:p w14:paraId="6171B345" w14:textId="1716B6B0" w:rsidR="00B609C1" w:rsidRDefault="00B609C1">
      <w:pPr>
        <w:pStyle w:val="FootnoteText"/>
      </w:pPr>
      <w:r>
        <w:rPr>
          <w:rStyle w:val="FootnoteReference"/>
        </w:rPr>
        <w:footnoteRef/>
      </w:r>
      <w:r>
        <w:t xml:space="preserve"> </w:t>
      </w:r>
      <w:r>
        <w:tab/>
      </w:r>
      <w:r w:rsidRPr="008561BC">
        <w:rPr>
          <w:rFonts w:cs="Segoe UI Historic"/>
          <w:sz w:val="24"/>
          <w:szCs w:val="24"/>
        </w:rPr>
        <w:t>G.L. c. 265, § 19(a) states: “Whoever, not being armed with a dangerous weapon, by force and violence, or by assault and putting in fear robs, steals or takes from the person of a person sixty years or older, or from his immediate control, money or other property . . . shall be punished.”</w:t>
      </w:r>
    </w:p>
  </w:footnote>
  <w:footnote w:id="6">
    <w:p w14:paraId="63EFF919" w14:textId="37D33B4E" w:rsidR="00B609C1" w:rsidRDefault="00B609C1">
      <w:pPr>
        <w:pStyle w:val="FootnoteText"/>
      </w:pPr>
      <w:r>
        <w:rPr>
          <w:rStyle w:val="FootnoteReference"/>
        </w:rPr>
        <w:footnoteRef/>
      </w:r>
      <w:r>
        <w:t xml:space="preserve"> </w:t>
      </w:r>
      <w:r>
        <w:tab/>
      </w:r>
      <w:r w:rsidRPr="008561BC">
        <w:rPr>
          <w:rFonts w:cs="Segoe UI Historic"/>
          <w:sz w:val="24"/>
          <w:szCs w:val="24"/>
        </w:rPr>
        <w:t>Because of this additional element, unarmed robbery of a person 60 years old or older is not a lesser included offense of armed robbery.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12BC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160A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1A35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52EAA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66E1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E2D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CAAE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3C39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F8F6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7ACC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D1205"/>
    <w:multiLevelType w:val="hybridMultilevel"/>
    <w:tmpl w:val="80688A7A"/>
    <w:lvl w:ilvl="0" w:tplc="4A9255E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262685137">
    <w:abstractNumId w:val="13"/>
  </w:num>
  <w:num w:numId="2" w16cid:durableId="103810046">
    <w:abstractNumId w:val="12"/>
  </w:num>
  <w:num w:numId="3" w16cid:durableId="358627051">
    <w:abstractNumId w:val="0"/>
  </w:num>
  <w:num w:numId="4" w16cid:durableId="1844858841">
    <w:abstractNumId w:val="1"/>
  </w:num>
  <w:num w:numId="5" w16cid:durableId="1420637238">
    <w:abstractNumId w:val="2"/>
  </w:num>
  <w:num w:numId="6" w16cid:durableId="510295727">
    <w:abstractNumId w:val="3"/>
  </w:num>
  <w:num w:numId="7" w16cid:durableId="1024135582">
    <w:abstractNumId w:val="8"/>
  </w:num>
  <w:num w:numId="8" w16cid:durableId="161046453">
    <w:abstractNumId w:val="4"/>
  </w:num>
  <w:num w:numId="9" w16cid:durableId="1932273426">
    <w:abstractNumId w:val="5"/>
  </w:num>
  <w:num w:numId="10" w16cid:durableId="805005143">
    <w:abstractNumId w:val="6"/>
  </w:num>
  <w:num w:numId="11" w16cid:durableId="2142720979">
    <w:abstractNumId w:val="7"/>
  </w:num>
  <w:num w:numId="12" w16cid:durableId="1321542188">
    <w:abstractNumId w:val="9"/>
  </w:num>
  <w:num w:numId="13" w16cid:durableId="491679309">
    <w:abstractNumId w:val="12"/>
  </w:num>
  <w:num w:numId="14" w16cid:durableId="1568609425">
    <w:abstractNumId w:val="11"/>
  </w:num>
  <w:num w:numId="15" w16cid:durableId="1057162527">
    <w:abstractNumId w:val="10"/>
  </w:num>
  <w:num w:numId="16" w16cid:durableId="1018310565">
    <w:abstractNumId w:val="0"/>
  </w:num>
  <w:num w:numId="17" w16cid:durableId="1060638156">
    <w:abstractNumId w:val="1"/>
  </w:num>
  <w:num w:numId="18" w16cid:durableId="2035182841">
    <w:abstractNumId w:val="2"/>
  </w:num>
  <w:num w:numId="19" w16cid:durableId="1725565065">
    <w:abstractNumId w:val="3"/>
  </w:num>
  <w:num w:numId="20" w16cid:durableId="550269947">
    <w:abstractNumId w:val="8"/>
  </w:num>
  <w:num w:numId="21" w16cid:durableId="1170560723">
    <w:abstractNumId w:val="4"/>
  </w:num>
  <w:num w:numId="22" w16cid:durableId="449590203">
    <w:abstractNumId w:val="5"/>
  </w:num>
  <w:num w:numId="23" w16cid:durableId="2145150527">
    <w:abstractNumId w:val="6"/>
  </w:num>
  <w:num w:numId="24" w16cid:durableId="1727333473">
    <w:abstractNumId w:val="7"/>
  </w:num>
  <w:num w:numId="25" w16cid:durableId="259414980">
    <w:abstractNumId w:val="9"/>
  </w:num>
  <w:num w:numId="26" w16cid:durableId="2005738620">
    <w:abstractNumId w:val="0"/>
  </w:num>
  <w:num w:numId="27" w16cid:durableId="838303722">
    <w:abstractNumId w:val="1"/>
  </w:num>
  <w:num w:numId="28" w16cid:durableId="278755697">
    <w:abstractNumId w:val="2"/>
  </w:num>
  <w:num w:numId="29" w16cid:durableId="60099609">
    <w:abstractNumId w:val="3"/>
  </w:num>
  <w:num w:numId="30" w16cid:durableId="2086486490">
    <w:abstractNumId w:val="8"/>
  </w:num>
  <w:num w:numId="31" w16cid:durableId="1934776786">
    <w:abstractNumId w:val="4"/>
  </w:num>
  <w:num w:numId="32" w16cid:durableId="1823545205">
    <w:abstractNumId w:val="5"/>
  </w:num>
  <w:num w:numId="33" w16cid:durableId="1241521802">
    <w:abstractNumId w:val="6"/>
  </w:num>
  <w:num w:numId="34" w16cid:durableId="1839879767">
    <w:abstractNumId w:val="7"/>
  </w:num>
  <w:num w:numId="35" w16cid:durableId="1044674730">
    <w:abstractNumId w:val="9"/>
  </w:num>
  <w:num w:numId="36" w16cid:durableId="1639993530">
    <w:abstractNumId w:val="0"/>
  </w:num>
  <w:num w:numId="37" w16cid:durableId="834220103">
    <w:abstractNumId w:val="1"/>
  </w:num>
  <w:num w:numId="38" w16cid:durableId="729695826">
    <w:abstractNumId w:val="2"/>
  </w:num>
  <w:num w:numId="39" w16cid:durableId="1044255005">
    <w:abstractNumId w:val="3"/>
  </w:num>
  <w:num w:numId="40" w16cid:durableId="368339313">
    <w:abstractNumId w:val="8"/>
  </w:num>
  <w:num w:numId="41" w16cid:durableId="1560827652">
    <w:abstractNumId w:val="4"/>
  </w:num>
  <w:num w:numId="42" w16cid:durableId="1172600296">
    <w:abstractNumId w:val="5"/>
  </w:num>
  <w:num w:numId="43" w16cid:durableId="2058435378">
    <w:abstractNumId w:val="6"/>
  </w:num>
  <w:num w:numId="44" w16cid:durableId="892733995">
    <w:abstractNumId w:val="7"/>
  </w:num>
  <w:num w:numId="45" w16cid:durableId="1143039289">
    <w:abstractNumId w:val="9"/>
  </w:num>
  <w:num w:numId="46" w16cid:durableId="1468352835">
    <w:abstractNumId w:val="0"/>
  </w:num>
  <w:num w:numId="47" w16cid:durableId="1418751922">
    <w:abstractNumId w:val="1"/>
  </w:num>
  <w:num w:numId="48" w16cid:durableId="494345751">
    <w:abstractNumId w:val="2"/>
  </w:num>
  <w:num w:numId="49" w16cid:durableId="1358969419">
    <w:abstractNumId w:val="3"/>
  </w:num>
  <w:num w:numId="50" w16cid:durableId="2062827113">
    <w:abstractNumId w:val="8"/>
  </w:num>
  <w:num w:numId="51" w16cid:durableId="1612741766">
    <w:abstractNumId w:val="4"/>
  </w:num>
  <w:num w:numId="52" w16cid:durableId="1045132616">
    <w:abstractNumId w:val="5"/>
  </w:num>
  <w:num w:numId="53" w16cid:durableId="679501727">
    <w:abstractNumId w:val="6"/>
  </w:num>
  <w:num w:numId="54" w16cid:durableId="996347393">
    <w:abstractNumId w:val="7"/>
  </w:num>
  <w:num w:numId="55" w16cid:durableId="1660115173">
    <w:abstractNumId w:val="9"/>
  </w:num>
  <w:num w:numId="56" w16cid:durableId="83957454">
    <w:abstractNumId w:val="0"/>
  </w:num>
  <w:num w:numId="57" w16cid:durableId="1771002898">
    <w:abstractNumId w:val="1"/>
  </w:num>
  <w:num w:numId="58" w16cid:durableId="1216623546">
    <w:abstractNumId w:val="2"/>
  </w:num>
  <w:num w:numId="59" w16cid:durableId="146823419">
    <w:abstractNumId w:val="3"/>
  </w:num>
  <w:num w:numId="60" w16cid:durableId="533228615">
    <w:abstractNumId w:val="8"/>
  </w:num>
  <w:num w:numId="61" w16cid:durableId="536357202">
    <w:abstractNumId w:val="4"/>
  </w:num>
  <w:num w:numId="62" w16cid:durableId="2095125307">
    <w:abstractNumId w:val="5"/>
  </w:num>
  <w:num w:numId="63" w16cid:durableId="1192497679">
    <w:abstractNumId w:val="6"/>
  </w:num>
  <w:num w:numId="64" w16cid:durableId="2086103380">
    <w:abstractNumId w:val="7"/>
  </w:num>
  <w:num w:numId="65" w16cid:durableId="74477474">
    <w:abstractNumId w:val="9"/>
  </w:num>
  <w:num w:numId="66" w16cid:durableId="1338968463">
    <w:abstractNumId w:val="0"/>
  </w:num>
  <w:num w:numId="67" w16cid:durableId="1375470856">
    <w:abstractNumId w:val="1"/>
  </w:num>
  <w:num w:numId="68" w16cid:durableId="461045815">
    <w:abstractNumId w:val="2"/>
  </w:num>
  <w:num w:numId="69" w16cid:durableId="1405881714">
    <w:abstractNumId w:val="3"/>
  </w:num>
  <w:num w:numId="70" w16cid:durableId="943535918">
    <w:abstractNumId w:val="8"/>
  </w:num>
  <w:num w:numId="71" w16cid:durableId="1479109410">
    <w:abstractNumId w:val="4"/>
  </w:num>
  <w:num w:numId="72" w16cid:durableId="1511483189">
    <w:abstractNumId w:val="5"/>
  </w:num>
  <w:num w:numId="73" w16cid:durableId="476729033">
    <w:abstractNumId w:val="6"/>
  </w:num>
  <w:num w:numId="74" w16cid:durableId="799347388">
    <w:abstractNumId w:val="7"/>
  </w:num>
  <w:num w:numId="75" w16cid:durableId="972757344">
    <w:abstractNumId w:val="9"/>
  </w:num>
  <w:num w:numId="76" w16cid:durableId="342709818">
    <w:abstractNumId w:val="0"/>
  </w:num>
  <w:num w:numId="77" w16cid:durableId="2008365991">
    <w:abstractNumId w:val="1"/>
  </w:num>
  <w:num w:numId="78" w16cid:durableId="166676014">
    <w:abstractNumId w:val="2"/>
  </w:num>
  <w:num w:numId="79" w16cid:durableId="912084096">
    <w:abstractNumId w:val="3"/>
  </w:num>
  <w:num w:numId="80" w16cid:durableId="149517941">
    <w:abstractNumId w:val="8"/>
  </w:num>
  <w:num w:numId="81" w16cid:durableId="549464299">
    <w:abstractNumId w:val="4"/>
  </w:num>
  <w:num w:numId="82" w16cid:durableId="1716737655">
    <w:abstractNumId w:val="5"/>
  </w:num>
  <w:num w:numId="83" w16cid:durableId="1231036123">
    <w:abstractNumId w:val="6"/>
  </w:num>
  <w:num w:numId="84" w16cid:durableId="1573781578">
    <w:abstractNumId w:val="7"/>
  </w:num>
  <w:num w:numId="85" w16cid:durableId="1047293221">
    <w:abstractNumId w:val="9"/>
  </w:num>
  <w:num w:numId="86" w16cid:durableId="611211354">
    <w:abstractNumId w:val="0"/>
  </w:num>
  <w:num w:numId="87" w16cid:durableId="799618166">
    <w:abstractNumId w:val="1"/>
  </w:num>
  <w:num w:numId="88" w16cid:durableId="1852838497">
    <w:abstractNumId w:val="2"/>
  </w:num>
  <w:num w:numId="89" w16cid:durableId="638460736">
    <w:abstractNumId w:val="3"/>
  </w:num>
  <w:num w:numId="90" w16cid:durableId="1335642774">
    <w:abstractNumId w:val="8"/>
  </w:num>
  <w:num w:numId="91" w16cid:durableId="1437675572">
    <w:abstractNumId w:val="4"/>
  </w:num>
  <w:num w:numId="92" w16cid:durableId="1463694951">
    <w:abstractNumId w:val="5"/>
  </w:num>
  <w:num w:numId="93" w16cid:durableId="654382951">
    <w:abstractNumId w:val="6"/>
  </w:num>
  <w:num w:numId="94" w16cid:durableId="1022390543">
    <w:abstractNumId w:val="7"/>
  </w:num>
  <w:num w:numId="95" w16cid:durableId="218787921">
    <w:abstractNumId w:val="9"/>
  </w:num>
  <w:num w:numId="96" w16cid:durableId="2053990311">
    <w:abstractNumId w:val="0"/>
  </w:num>
  <w:num w:numId="97" w16cid:durableId="1782333789">
    <w:abstractNumId w:val="1"/>
  </w:num>
  <w:num w:numId="98" w16cid:durableId="1543054835">
    <w:abstractNumId w:val="2"/>
  </w:num>
  <w:num w:numId="99" w16cid:durableId="17125450">
    <w:abstractNumId w:val="3"/>
  </w:num>
  <w:num w:numId="100" w16cid:durableId="138497442">
    <w:abstractNumId w:val="8"/>
  </w:num>
  <w:num w:numId="101" w16cid:durableId="230774513">
    <w:abstractNumId w:val="4"/>
  </w:num>
  <w:num w:numId="102" w16cid:durableId="129640275">
    <w:abstractNumId w:val="5"/>
  </w:num>
  <w:num w:numId="103" w16cid:durableId="1953321416">
    <w:abstractNumId w:val="6"/>
  </w:num>
  <w:num w:numId="104" w16cid:durableId="21442720">
    <w:abstractNumId w:val="7"/>
  </w:num>
  <w:num w:numId="105" w16cid:durableId="1692340070">
    <w:abstractNumId w:val="9"/>
  </w:num>
  <w:num w:numId="106" w16cid:durableId="1925452959">
    <w:abstractNumId w:val="0"/>
  </w:num>
  <w:num w:numId="107" w16cid:durableId="1690063332">
    <w:abstractNumId w:val="1"/>
  </w:num>
  <w:num w:numId="108" w16cid:durableId="2140803340">
    <w:abstractNumId w:val="2"/>
  </w:num>
  <w:num w:numId="109" w16cid:durableId="483202972">
    <w:abstractNumId w:val="3"/>
  </w:num>
  <w:num w:numId="110" w16cid:durableId="1944221976">
    <w:abstractNumId w:val="8"/>
  </w:num>
  <w:num w:numId="111" w16cid:durableId="1163011786">
    <w:abstractNumId w:val="4"/>
  </w:num>
  <w:num w:numId="112" w16cid:durableId="909118613">
    <w:abstractNumId w:val="5"/>
  </w:num>
  <w:num w:numId="113" w16cid:durableId="1335692867">
    <w:abstractNumId w:val="6"/>
  </w:num>
  <w:num w:numId="114" w16cid:durableId="662002420">
    <w:abstractNumId w:val="7"/>
  </w:num>
  <w:num w:numId="115" w16cid:durableId="182549373">
    <w:abstractNumId w:val="9"/>
  </w:num>
  <w:num w:numId="116" w16cid:durableId="879435488">
    <w:abstractNumId w:val="0"/>
  </w:num>
  <w:num w:numId="117" w16cid:durableId="1342779461">
    <w:abstractNumId w:val="1"/>
  </w:num>
  <w:num w:numId="118" w16cid:durableId="1217280236">
    <w:abstractNumId w:val="2"/>
  </w:num>
  <w:num w:numId="119" w16cid:durableId="246354558">
    <w:abstractNumId w:val="3"/>
  </w:num>
  <w:num w:numId="120" w16cid:durableId="881669142">
    <w:abstractNumId w:val="8"/>
  </w:num>
  <w:num w:numId="121" w16cid:durableId="1541362415">
    <w:abstractNumId w:val="4"/>
  </w:num>
  <w:num w:numId="122" w16cid:durableId="539977867">
    <w:abstractNumId w:val="5"/>
  </w:num>
  <w:num w:numId="123" w16cid:durableId="1273585574">
    <w:abstractNumId w:val="6"/>
  </w:num>
  <w:num w:numId="124" w16cid:durableId="754592453">
    <w:abstractNumId w:val="7"/>
  </w:num>
  <w:num w:numId="125" w16cid:durableId="760491853">
    <w:abstractNumId w:val="9"/>
  </w:num>
  <w:num w:numId="126" w16cid:durableId="237445377">
    <w:abstractNumId w:val="0"/>
  </w:num>
  <w:num w:numId="127" w16cid:durableId="698774624">
    <w:abstractNumId w:val="1"/>
  </w:num>
  <w:num w:numId="128" w16cid:durableId="539897033">
    <w:abstractNumId w:val="2"/>
  </w:num>
  <w:num w:numId="129" w16cid:durableId="55978521">
    <w:abstractNumId w:val="3"/>
  </w:num>
  <w:num w:numId="130" w16cid:durableId="1688217223">
    <w:abstractNumId w:val="8"/>
  </w:num>
  <w:num w:numId="131" w16cid:durableId="794832947">
    <w:abstractNumId w:val="4"/>
  </w:num>
  <w:num w:numId="132" w16cid:durableId="172501336">
    <w:abstractNumId w:val="5"/>
  </w:num>
  <w:num w:numId="133" w16cid:durableId="1956860394">
    <w:abstractNumId w:val="6"/>
  </w:num>
  <w:num w:numId="134" w16cid:durableId="457452563">
    <w:abstractNumId w:val="7"/>
  </w:num>
  <w:num w:numId="135" w16cid:durableId="2008169882">
    <w:abstractNumId w:val="9"/>
  </w:num>
  <w:num w:numId="136" w16cid:durableId="1020358948">
    <w:abstractNumId w:val="0"/>
  </w:num>
  <w:num w:numId="137" w16cid:durableId="1980063221">
    <w:abstractNumId w:val="1"/>
  </w:num>
  <w:num w:numId="138" w16cid:durableId="1204289580">
    <w:abstractNumId w:val="2"/>
  </w:num>
  <w:num w:numId="139" w16cid:durableId="1065958498">
    <w:abstractNumId w:val="3"/>
  </w:num>
  <w:num w:numId="140" w16cid:durableId="1033192205">
    <w:abstractNumId w:val="8"/>
  </w:num>
  <w:num w:numId="141" w16cid:durableId="1754740188">
    <w:abstractNumId w:val="4"/>
  </w:num>
  <w:num w:numId="142" w16cid:durableId="627780050">
    <w:abstractNumId w:val="5"/>
  </w:num>
  <w:num w:numId="143" w16cid:durableId="1436098698">
    <w:abstractNumId w:val="6"/>
  </w:num>
  <w:num w:numId="144" w16cid:durableId="289630925">
    <w:abstractNumId w:val="7"/>
  </w:num>
  <w:num w:numId="145" w16cid:durableId="101203142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A6DCF"/>
    <w:rsid w:val="000B7B9E"/>
    <w:rsid w:val="000D70C6"/>
    <w:rsid w:val="000E7622"/>
    <w:rsid w:val="0010739E"/>
    <w:rsid w:val="00130F23"/>
    <w:rsid w:val="0017397B"/>
    <w:rsid w:val="001B7748"/>
    <w:rsid w:val="001C5FA5"/>
    <w:rsid w:val="001D701D"/>
    <w:rsid w:val="001E2162"/>
    <w:rsid w:val="00221552"/>
    <w:rsid w:val="00257345"/>
    <w:rsid w:val="00294F89"/>
    <w:rsid w:val="00296303"/>
    <w:rsid w:val="002A2C60"/>
    <w:rsid w:val="00303039"/>
    <w:rsid w:val="003E7234"/>
    <w:rsid w:val="00420329"/>
    <w:rsid w:val="004848CB"/>
    <w:rsid w:val="004A3BE2"/>
    <w:rsid w:val="00516C98"/>
    <w:rsid w:val="005446C0"/>
    <w:rsid w:val="00550249"/>
    <w:rsid w:val="00594672"/>
    <w:rsid w:val="00596E5A"/>
    <w:rsid w:val="006071CF"/>
    <w:rsid w:val="00676B44"/>
    <w:rsid w:val="00697903"/>
    <w:rsid w:val="007E7B77"/>
    <w:rsid w:val="00834E34"/>
    <w:rsid w:val="008733AA"/>
    <w:rsid w:val="00880AA6"/>
    <w:rsid w:val="0094500B"/>
    <w:rsid w:val="00992410"/>
    <w:rsid w:val="009B481F"/>
    <w:rsid w:val="00A05B86"/>
    <w:rsid w:val="00A164C0"/>
    <w:rsid w:val="00A2789E"/>
    <w:rsid w:val="00A439DC"/>
    <w:rsid w:val="00A55E4E"/>
    <w:rsid w:val="00A56498"/>
    <w:rsid w:val="00A76145"/>
    <w:rsid w:val="00A917A4"/>
    <w:rsid w:val="00A95EAD"/>
    <w:rsid w:val="00AF6831"/>
    <w:rsid w:val="00B02468"/>
    <w:rsid w:val="00B2579A"/>
    <w:rsid w:val="00B27427"/>
    <w:rsid w:val="00B520AB"/>
    <w:rsid w:val="00B609C1"/>
    <w:rsid w:val="00B75859"/>
    <w:rsid w:val="00BA2406"/>
    <w:rsid w:val="00BE7335"/>
    <w:rsid w:val="00BF0717"/>
    <w:rsid w:val="00BF08B5"/>
    <w:rsid w:val="00C24494"/>
    <w:rsid w:val="00C43AEF"/>
    <w:rsid w:val="00C5670C"/>
    <w:rsid w:val="00CD7576"/>
    <w:rsid w:val="00D71FE5"/>
    <w:rsid w:val="00D8732A"/>
    <w:rsid w:val="00D9196F"/>
    <w:rsid w:val="00DB6604"/>
    <w:rsid w:val="00DC61A7"/>
    <w:rsid w:val="00E174B0"/>
    <w:rsid w:val="00E57F29"/>
    <w:rsid w:val="00E6700E"/>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ListParagraph">
    <w:name w:val="List Paragraph"/>
    <w:basedOn w:val="Normal"/>
    <w:uiPriority w:val="34"/>
    <w:qFormat/>
    <w:rsid w:val="00A439DC"/>
    <w:pPr>
      <w:spacing w:after="160" w:line="254" w:lineRule="auto"/>
      <w:ind w:left="720"/>
      <w:contextualSpacing/>
    </w:pPr>
    <w:rPr>
      <w:rFonts w:asciiTheme="minorHAnsi" w:eastAsiaTheme="minorHAnsi" w:hAnsiTheme="minorHAnsi" w:cstheme="minorBidi"/>
      <w:kern w:val="0"/>
      <w:sz w:val="22"/>
      <w:szCs w:val="22"/>
    </w:rPr>
  </w:style>
  <w:style w:type="character" w:styleId="CommentReference">
    <w:name w:val="annotation reference"/>
    <w:basedOn w:val="DefaultParagraphFont"/>
    <w:uiPriority w:val="99"/>
    <w:semiHidden/>
    <w:unhideWhenUsed/>
    <w:rsid w:val="00A439DC"/>
    <w:rPr>
      <w:sz w:val="16"/>
      <w:szCs w:val="16"/>
    </w:rPr>
  </w:style>
  <w:style w:type="paragraph" w:styleId="CommentText">
    <w:name w:val="annotation text"/>
    <w:basedOn w:val="Normal"/>
    <w:link w:val="CommentTextChar"/>
    <w:uiPriority w:val="99"/>
    <w:semiHidden/>
    <w:unhideWhenUsed/>
    <w:rsid w:val="00A439DC"/>
    <w:pPr>
      <w:spacing w:after="160"/>
    </w:pPr>
    <w:rPr>
      <w:rFonts w:asciiTheme="minorHAnsi" w:eastAsiaTheme="minorHAnsi" w:hAnsiTheme="minorHAnsi" w:cstheme="minorBidi"/>
      <w:kern w:val="0"/>
      <w:sz w:val="20"/>
      <w:szCs w:val="20"/>
    </w:rPr>
  </w:style>
  <w:style w:type="character" w:customStyle="1" w:styleId="CommentTextChar">
    <w:name w:val="Comment Text Char"/>
    <w:basedOn w:val="DefaultParagraphFont"/>
    <w:link w:val="CommentText"/>
    <w:uiPriority w:val="99"/>
    <w:semiHidden/>
    <w:rsid w:val="00A439DC"/>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Kenneth W Salinger</cp:lastModifiedBy>
  <cp:revision>7</cp:revision>
  <dcterms:created xsi:type="dcterms:W3CDTF">2023-08-28T13:55:00Z</dcterms:created>
  <dcterms:modified xsi:type="dcterms:W3CDTF">2023-08-28T14:46:00Z</dcterms:modified>
</cp:coreProperties>
</file>