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BBE2" w14:textId="77777777" w:rsidR="00AD55A2" w:rsidRDefault="00AD55A2">
      <w:pPr>
        <w:pStyle w:val="BodyText"/>
        <w:spacing w:before="11"/>
        <w:rPr>
          <w:rFonts w:ascii="Times New Roman"/>
          <w:sz w:val="9"/>
        </w:rPr>
      </w:pPr>
    </w:p>
    <w:p w14:paraId="4FC2BBE3" w14:textId="2C193D80" w:rsidR="00AD55A2" w:rsidRDefault="0024639D">
      <w:pPr>
        <w:tabs>
          <w:tab w:val="left" w:pos="9299"/>
        </w:tabs>
        <w:spacing w:line="23" w:lineRule="exact"/>
        <w:ind w:left="112"/>
        <w:rPr>
          <w:rFonts w:ascii="Times New Roman"/>
          <w:sz w:val="2"/>
        </w:rPr>
      </w:pPr>
      <w:r>
        <w:rPr>
          <w:rFonts w:ascii="Times New Roman"/>
          <w:sz w:val="2"/>
        </w:rPr>
        <w:tab/>
      </w:r>
    </w:p>
    <w:p w14:paraId="4FC2BBE4" w14:textId="5C4C8D7D" w:rsidR="00AD55A2" w:rsidRDefault="0024639D">
      <w:pPr>
        <w:pStyle w:val="BodyText"/>
        <w:spacing w:before="10"/>
        <w:rPr>
          <w:rFonts w:ascii="Times New Roman"/>
          <w:sz w:val="27"/>
        </w:rPr>
      </w:pPr>
      <w:r>
        <w:rPr>
          <w:rFonts w:ascii="Times New Roman"/>
          <w:sz w:val="27"/>
        </w:rPr>
        <w:pict w14:anchorId="4FC2BC13">
          <v:rect id="docshape5" o:spid="_x0000_s1060" alt="Decorative - ignore" style="width:458.8pt;height:.6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fillcolor="#e0e0e0" stroked="f">
            <w10:wrap anchorx="page"/>
            <w10:anchorlock/>
          </v:rect>
        </w:pict>
      </w:r>
    </w:p>
    <w:p w14:paraId="4FC2BBE5" w14:textId="77777777" w:rsidR="00AD55A2" w:rsidRDefault="0024639D">
      <w:pPr>
        <w:pStyle w:val="BodyText"/>
        <w:spacing w:before="45"/>
        <w:ind w:left="112"/>
      </w:pPr>
      <w:r>
        <w:rPr>
          <w:rFonts w:ascii="Calibri"/>
          <w:b/>
        </w:rPr>
        <w:t xml:space="preserve">From: </w:t>
      </w:r>
      <w:r>
        <w:t>Bloom,</w:t>
      </w:r>
      <w:r>
        <w:rPr>
          <w:spacing w:val="1"/>
        </w:rPr>
        <w:t xml:space="preserve"> </w:t>
      </w:r>
      <w:r>
        <w:t>Crystal</w:t>
      </w:r>
      <w:r>
        <w:rPr>
          <w:spacing w:val="1"/>
        </w:rPr>
        <w:t xml:space="preserve"> </w:t>
      </w:r>
      <w:r>
        <w:rPr>
          <w:spacing w:val="-2"/>
        </w:rPr>
        <w:t>&lt;</w:t>
      </w:r>
      <w:hyperlink r:id="rId5">
        <w:r>
          <w:rPr>
            <w:color w:val="0562C1"/>
            <w:spacing w:val="-2"/>
            <w:u w:val="single" w:color="0562C1"/>
          </w:rPr>
          <w:t>Crystal.Bloom@huschblackwell.com</w:t>
        </w:r>
      </w:hyperlink>
      <w:r>
        <w:rPr>
          <w:spacing w:val="-2"/>
        </w:rPr>
        <w:t>&gt;</w:t>
      </w:r>
    </w:p>
    <w:p w14:paraId="4FC2BBE6" w14:textId="77777777" w:rsidR="00AD55A2" w:rsidRDefault="0024639D">
      <w:pPr>
        <w:pStyle w:val="BodyText"/>
        <w:spacing w:before="23"/>
        <w:ind w:left="112"/>
      </w:pPr>
      <w:r>
        <w:rPr>
          <w:rFonts w:ascii="Calibri"/>
          <w:b/>
        </w:rPr>
        <w:t>Sent:</w:t>
      </w:r>
      <w:r>
        <w:rPr>
          <w:rFonts w:ascii="Calibri"/>
          <w:b/>
          <w:spacing w:val="3"/>
        </w:rPr>
        <w:t xml:space="preserve"> </w:t>
      </w:r>
      <w:r>
        <w:t>Monday,</w:t>
      </w:r>
      <w:r>
        <w:rPr>
          <w:spacing w:val="4"/>
        </w:rPr>
        <w:t xml:space="preserve"> </w:t>
      </w:r>
      <w:r>
        <w:t>January</w:t>
      </w:r>
      <w:r>
        <w:rPr>
          <w:spacing w:val="4"/>
        </w:rPr>
        <w:t xml:space="preserve"> </w:t>
      </w:r>
      <w:r>
        <w:t>23,</w:t>
      </w:r>
      <w:r>
        <w:rPr>
          <w:spacing w:val="4"/>
        </w:rPr>
        <w:t xml:space="preserve"> </w:t>
      </w:r>
      <w:proofErr w:type="gramStart"/>
      <w:r>
        <w:t>2023</w:t>
      </w:r>
      <w:proofErr w:type="gramEnd"/>
      <w:r>
        <w:rPr>
          <w:spacing w:val="4"/>
        </w:rPr>
        <w:t xml:space="preserve"> </w:t>
      </w:r>
      <w:r>
        <w:t>5:30</w:t>
      </w:r>
      <w:r>
        <w:rPr>
          <w:spacing w:val="4"/>
        </w:rPr>
        <w:t xml:space="preserve"> </w:t>
      </w:r>
      <w:r>
        <w:rPr>
          <w:spacing w:val="-5"/>
        </w:rPr>
        <w:t>P</w:t>
      </w:r>
      <w:r>
        <w:rPr>
          <w:spacing w:val="-5"/>
        </w:rPr>
        <w:t>M</w:t>
      </w:r>
    </w:p>
    <w:p w14:paraId="4FC2BBE7" w14:textId="77777777" w:rsidR="00AD55A2" w:rsidRDefault="0024639D">
      <w:pPr>
        <w:pStyle w:val="BodyText"/>
        <w:spacing w:before="22" w:line="266" w:lineRule="auto"/>
        <w:ind w:left="112" w:right="262"/>
      </w:pPr>
      <w:r>
        <w:rPr>
          <w:rFonts w:ascii="Calibri"/>
          <w:b/>
        </w:rPr>
        <w:t xml:space="preserve">To: </w:t>
      </w:r>
      <w:r>
        <w:t>Renaud, Dennis (DPH) &lt;</w:t>
      </w:r>
      <w:hyperlink r:id="rId6">
        <w:r>
          <w:rPr>
            <w:color w:val="0562C1"/>
            <w:u w:val="single" w:color="0562C1"/>
          </w:rPr>
          <w:t>Dennis.Renaud@mass.gov</w:t>
        </w:r>
      </w:hyperlink>
      <w:r>
        <w:t>&gt;; Rodman, Rebecca (DPH) &lt;</w:t>
      </w:r>
      <w:hyperlink r:id="rId7">
        <w:r>
          <w:rPr>
            <w:color w:val="0562C1"/>
            <w:u w:val="single" w:color="0562C1"/>
          </w:rPr>
          <w:t>rebecca.rodman@mass.gov</w:t>
        </w:r>
      </w:hyperlink>
      <w:r>
        <w:t>&gt;; Conover, Lynn</w:t>
      </w:r>
      <w:r>
        <w:rPr>
          <w:spacing w:val="40"/>
        </w:rPr>
        <w:t xml:space="preserve"> </w:t>
      </w:r>
      <w:r>
        <w:t>(DPH)</w:t>
      </w:r>
      <w:r>
        <w:rPr>
          <w:spacing w:val="-2"/>
        </w:rPr>
        <w:t xml:space="preserve"> </w:t>
      </w:r>
      <w:r>
        <w:t>&lt;</w:t>
      </w:r>
      <w:hyperlink r:id="rId8">
        <w:r>
          <w:rPr>
            <w:color w:val="0562C1"/>
            <w:u w:val="single" w:color="0562C1"/>
          </w:rPr>
          <w:t>lynn.conover@mass.gov</w:t>
        </w:r>
      </w:hyperlink>
      <w:r>
        <w:t>&gt;</w:t>
      </w:r>
    </w:p>
    <w:p w14:paraId="4FC2BBE8" w14:textId="77777777" w:rsidR="00AD55A2" w:rsidRDefault="0024639D">
      <w:pPr>
        <w:pStyle w:val="BodyText"/>
        <w:ind w:left="112"/>
      </w:pPr>
      <w:r>
        <w:rPr>
          <w:rFonts w:ascii="Calibri"/>
          <w:b/>
        </w:rPr>
        <w:t>Cc:</w:t>
      </w:r>
      <w:r>
        <w:rPr>
          <w:rFonts w:ascii="Calibri"/>
          <w:b/>
          <w:spacing w:val="-1"/>
        </w:rPr>
        <w:t xml:space="preserve"> </w:t>
      </w:r>
      <w:r>
        <w:t>Ciolfi,</w:t>
      </w:r>
      <w:r>
        <w:rPr>
          <w:spacing w:val="-1"/>
        </w:rPr>
        <w:t xml:space="preserve"> </w:t>
      </w:r>
      <w:r>
        <w:t>Kasey</w:t>
      </w:r>
      <w:r>
        <w:rPr>
          <w:spacing w:val="-1"/>
        </w:rPr>
        <w:t xml:space="preserve"> </w:t>
      </w:r>
      <w:r>
        <w:rPr>
          <w:spacing w:val="-2"/>
        </w:rPr>
        <w:t>&lt;</w:t>
      </w:r>
      <w:hyperlink r:id="rId9">
        <w:r>
          <w:rPr>
            <w:color w:val="0562C1"/>
            <w:spacing w:val="-2"/>
            <w:u w:val="single" w:color="0562C1"/>
          </w:rPr>
          <w:t>Kasey.Ciolfi@huschblackwell.com</w:t>
        </w:r>
      </w:hyperlink>
      <w:r>
        <w:rPr>
          <w:spacing w:val="-2"/>
        </w:rPr>
        <w:t>&gt;</w:t>
      </w:r>
    </w:p>
    <w:p w14:paraId="4FC2BBE9" w14:textId="77777777" w:rsidR="00AD55A2" w:rsidRDefault="0024639D">
      <w:pPr>
        <w:spacing w:before="23"/>
        <w:ind w:left="112"/>
        <w:rPr>
          <w:sz w:val="17"/>
        </w:rPr>
      </w:pPr>
      <w:r>
        <w:rPr>
          <w:rFonts w:ascii="Calibri"/>
          <w:b/>
          <w:sz w:val="17"/>
        </w:rPr>
        <w:t>Subject:</w:t>
      </w:r>
      <w:r>
        <w:rPr>
          <w:rFonts w:ascii="Calibri"/>
          <w:b/>
          <w:spacing w:val="1"/>
          <w:sz w:val="17"/>
        </w:rPr>
        <w:t xml:space="preserve"> </w:t>
      </w:r>
      <w:r>
        <w:rPr>
          <w:sz w:val="17"/>
        </w:rPr>
        <w:t>Navigator</w:t>
      </w:r>
      <w:r>
        <w:rPr>
          <w:spacing w:val="1"/>
          <w:sz w:val="17"/>
        </w:rPr>
        <w:t xml:space="preserve"> </w:t>
      </w:r>
      <w:r>
        <w:rPr>
          <w:sz w:val="17"/>
        </w:rPr>
        <w:t>Homes</w:t>
      </w:r>
      <w:r>
        <w:rPr>
          <w:spacing w:val="2"/>
          <w:sz w:val="17"/>
        </w:rPr>
        <w:t xml:space="preserve"> </w:t>
      </w:r>
      <w:r>
        <w:rPr>
          <w:sz w:val="17"/>
        </w:rPr>
        <w:t>of</w:t>
      </w:r>
      <w:r>
        <w:rPr>
          <w:spacing w:val="1"/>
          <w:sz w:val="17"/>
        </w:rPr>
        <w:t xml:space="preserve"> </w:t>
      </w:r>
      <w:r>
        <w:rPr>
          <w:spacing w:val="-5"/>
          <w:sz w:val="17"/>
        </w:rPr>
        <w:t>MV</w:t>
      </w:r>
    </w:p>
    <w:p w14:paraId="4FC2BBEA" w14:textId="4E9ABEFE" w:rsidR="00AD55A2" w:rsidRDefault="00AD55A2">
      <w:pPr>
        <w:pStyle w:val="BodyText"/>
        <w:spacing w:before="10"/>
        <w:rPr>
          <w:sz w:val="18"/>
        </w:rPr>
      </w:pPr>
    </w:p>
    <w:p w14:paraId="4661B0F3" w14:textId="77777777" w:rsidR="000A2644" w:rsidRDefault="000A2644" w:rsidP="000A2644">
      <w:pPr>
        <w:pStyle w:val="BodyText"/>
        <w:spacing w:before="47" w:line="254" w:lineRule="auto"/>
        <w:ind w:left="46" w:right="49"/>
        <w:rPr>
          <w:rFonts w:ascii="Arial"/>
          <w:color w:val="000000"/>
        </w:rPr>
      </w:pPr>
      <w:r>
        <w:rPr>
          <w:rFonts w:ascii="Arial"/>
          <w:color w:val="000000"/>
        </w:rPr>
        <w:t>CAUTION: This email originated from a sender outside of the Commonwealth of Massachusetts mail system.</w:t>
      </w:r>
      <w:r>
        <w:rPr>
          <w:rFonts w:ascii="Arial"/>
          <w:color w:val="000000"/>
          <w:spacing w:val="40"/>
        </w:rPr>
        <w:t xml:space="preserve"> </w:t>
      </w:r>
      <w:r>
        <w:rPr>
          <w:rFonts w:ascii="Arial"/>
          <w:color w:val="000000"/>
        </w:rPr>
        <w:t>Do not click on links or open attachments unless you recognize the sender and know the content is safe.</w:t>
      </w:r>
    </w:p>
    <w:p w14:paraId="4FC2BBEB" w14:textId="77777777" w:rsidR="00AD55A2" w:rsidRDefault="00AD55A2">
      <w:pPr>
        <w:pStyle w:val="BodyText"/>
        <w:rPr>
          <w:sz w:val="16"/>
        </w:rPr>
      </w:pPr>
    </w:p>
    <w:p w14:paraId="4FC2BBEC" w14:textId="77777777" w:rsidR="00AD55A2" w:rsidRDefault="00AD55A2">
      <w:pPr>
        <w:pStyle w:val="BodyText"/>
        <w:spacing w:before="10"/>
      </w:pPr>
    </w:p>
    <w:p w14:paraId="4FC2BBED" w14:textId="77777777" w:rsidR="00AD55A2" w:rsidRDefault="0024639D">
      <w:pPr>
        <w:pStyle w:val="BodyText"/>
        <w:spacing w:before="1"/>
        <w:ind w:left="112"/>
      </w:pPr>
      <w:r>
        <w:rPr>
          <w:spacing w:val="-2"/>
        </w:rPr>
        <w:t>Hello,</w:t>
      </w:r>
    </w:p>
    <w:p w14:paraId="4FC2BBEE" w14:textId="77777777" w:rsidR="00AD55A2" w:rsidRDefault="00AD55A2">
      <w:pPr>
        <w:pStyle w:val="BodyText"/>
        <w:spacing w:before="8"/>
        <w:rPr>
          <w:sz w:val="20"/>
        </w:rPr>
      </w:pPr>
    </w:p>
    <w:p w14:paraId="4FC2BBEF" w14:textId="77777777" w:rsidR="00AD55A2" w:rsidRDefault="0024639D">
      <w:pPr>
        <w:pStyle w:val="BodyText"/>
        <w:spacing w:line="266" w:lineRule="auto"/>
        <w:ind w:left="112" w:right="243"/>
      </w:pPr>
      <w:r>
        <w:t>Thanks again for the discussion regarding the CHI requirement for Navigator Homes of Martha’s Vineyard (NHMV). THE CHI</w:t>
      </w:r>
      <w:r>
        <w:rPr>
          <w:spacing w:val="40"/>
        </w:rPr>
        <w:t xml:space="preserve"> </w:t>
      </w:r>
      <w:r>
        <w:t xml:space="preserve">contribution tied to the project is $1,605,913 and is the largest CHI for a </w:t>
      </w:r>
      <w:proofErr w:type="gramStart"/>
      <w:r>
        <w:t>long term</w:t>
      </w:r>
      <w:proofErr w:type="gramEnd"/>
      <w:r>
        <w:t xml:space="preserve"> care substantial capital expenditure to date. The</w:t>
      </w:r>
      <w:r>
        <w:rPr>
          <w:spacing w:val="40"/>
        </w:rPr>
        <w:t xml:space="preserve"> </w:t>
      </w:r>
      <w:r>
        <w:t>p</w:t>
      </w:r>
      <w:r>
        <w:t>roject is for the replacement of Martha’s Vineyard’s only skilled nursing facility. The replacement facility will be built and operated</w:t>
      </w:r>
      <w:r>
        <w:rPr>
          <w:spacing w:val="40"/>
        </w:rPr>
        <w:t xml:space="preserve"> </w:t>
      </w:r>
      <w:r>
        <w:t>under the Green House Model of Care which is tied to improved health outcomes and quality of life as detailed throughout</w:t>
      </w:r>
      <w:r>
        <w:t xml:space="preserve"> the </w:t>
      </w:r>
      <w:proofErr w:type="spellStart"/>
      <w:r>
        <w:t>DoN</w:t>
      </w:r>
      <w:proofErr w:type="spellEnd"/>
      <w:r>
        <w:rPr>
          <w:spacing w:val="40"/>
        </w:rPr>
        <w:t xml:space="preserve"> </w:t>
      </w:r>
      <w:r>
        <w:t>filing. This model of care moves away from an institutional care setting and allows for a homelike environment and opportunities for</w:t>
      </w:r>
      <w:r>
        <w:rPr>
          <w:spacing w:val="40"/>
        </w:rPr>
        <w:t xml:space="preserve"> </w:t>
      </w:r>
      <w:r>
        <w:t>more social involvement of residents addressing both the physical and mental health needs of residents.</w:t>
      </w:r>
    </w:p>
    <w:p w14:paraId="4FC2BBF0" w14:textId="77777777" w:rsidR="00AD55A2" w:rsidRDefault="00AD55A2">
      <w:pPr>
        <w:pStyle w:val="BodyText"/>
        <w:spacing w:before="10"/>
        <w:rPr>
          <w:sz w:val="18"/>
        </w:rPr>
      </w:pPr>
    </w:p>
    <w:p w14:paraId="4FC2BBF1" w14:textId="77777777" w:rsidR="00AD55A2" w:rsidRDefault="0024639D">
      <w:pPr>
        <w:pStyle w:val="BodyText"/>
        <w:spacing w:line="266" w:lineRule="auto"/>
        <w:ind w:left="112" w:right="243"/>
      </w:pPr>
      <w:r>
        <w:t>Due to it</w:t>
      </w:r>
      <w:r>
        <w:t>s location on a geographically isolated island, an integral component of the new facility operation is the development of</w:t>
      </w:r>
      <w:r>
        <w:rPr>
          <w:spacing w:val="40"/>
        </w:rPr>
        <w:t xml:space="preserve"> </w:t>
      </w:r>
      <w:r>
        <w:t>workforce housing to mitigate the high cost of living on the island and address historical staffing issues that have been exacerbated</w:t>
      </w:r>
      <w:r>
        <w:rPr>
          <w:spacing w:val="80"/>
        </w:rPr>
        <w:t xml:space="preserve"> </w:t>
      </w:r>
      <w:r>
        <w:t>by the pandemic.</w:t>
      </w:r>
      <w:r>
        <w:rPr>
          <w:spacing w:val="40"/>
        </w:rPr>
        <w:t xml:space="preserve"> </w:t>
      </w:r>
      <w:r>
        <w:t>As we discussed, we request the Department to consider acknowledging that the workforce housing satisfies part</w:t>
      </w:r>
      <w:r>
        <w:rPr>
          <w:spacing w:val="40"/>
        </w:rPr>
        <w:t xml:space="preserve"> </w:t>
      </w:r>
      <w:r>
        <w:t xml:space="preserve">of the CHI requirement for the NHMV </w:t>
      </w:r>
      <w:proofErr w:type="spellStart"/>
      <w:r>
        <w:t>DoN</w:t>
      </w:r>
      <w:proofErr w:type="spellEnd"/>
      <w:r>
        <w:t>. NHMV is committed to supporting the creation of workforce housing on Martha’s</w:t>
      </w:r>
      <w:r>
        <w:rPr>
          <w:spacing w:val="40"/>
        </w:rPr>
        <w:t xml:space="preserve"> </w:t>
      </w:r>
      <w:r>
        <w:t xml:space="preserve">Vineyard </w:t>
      </w:r>
      <w:r>
        <w:t xml:space="preserve">to provide subsidize rent to its employees. This commitment is consistent with the Department’s </w:t>
      </w:r>
      <w:proofErr w:type="spellStart"/>
      <w:r>
        <w:t>DoN</w:t>
      </w:r>
      <w:proofErr w:type="spellEnd"/>
      <w:r>
        <w:t xml:space="preserve"> Health Priorities of</w:t>
      </w:r>
      <w:r>
        <w:rPr>
          <w:spacing w:val="40"/>
        </w:rPr>
        <w:t xml:space="preserve"> </w:t>
      </w:r>
      <w:r>
        <w:t>housing and employment. The workforce housing will address the need for affordable housing and allow individuals who seek</w:t>
      </w:r>
      <w:r>
        <w:rPr>
          <w:spacing w:val="40"/>
        </w:rPr>
        <w:t xml:space="preserve"> </w:t>
      </w:r>
      <w:r>
        <w:t>employment on</w:t>
      </w:r>
      <w:r>
        <w:t xml:space="preserve"> the island to live in the community.</w:t>
      </w:r>
      <w:r>
        <w:rPr>
          <w:spacing w:val="40"/>
        </w:rPr>
        <w:t xml:space="preserve"> </w:t>
      </w:r>
      <w:r>
        <w:t>This need was verified by the 2022 CHNA conducted by Martha’s Vineyard</w:t>
      </w:r>
      <w:r>
        <w:rPr>
          <w:spacing w:val="40"/>
        </w:rPr>
        <w:t xml:space="preserve"> </w:t>
      </w:r>
      <w:r>
        <w:rPr>
          <w:spacing w:val="-2"/>
        </w:rPr>
        <w:t>Hospital.</w:t>
      </w:r>
    </w:p>
    <w:p w14:paraId="4FC2BBF2" w14:textId="77777777" w:rsidR="00AD55A2" w:rsidRDefault="00AD55A2">
      <w:pPr>
        <w:pStyle w:val="BodyText"/>
        <w:spacing w:before="9"/>
        <w:rPr>
          <w:sz w:val="18"/>
        </w:rPr>
      </w:pPr>
    </w:p>
    <w:p w14:paraId="4FC2BBF3" w14:textId="77777777" w:rsidR="00AD55A2" w:rsidRDefault="0024639D">
      <w:pPr>
        <w:pStyle w:val="BodyText"/>
        <w:spacing w:line="266" w:lineRule="auto"/>
        <w:ind w:left="112" w:right="326"/>
      </w:pPr>
      <w:r>
        <w:t>Please find additional information regarding the findings of the Martha’s Vineyard Hospital CHNA and the plan for workforce</w:t>
      </w:r>
      <w:r>
        <w:rPr>
          <w:spacing w:val="40"/>
        </w:rPr>
        <w:t xml:space="preserve"> </w:t>
      </w:r>
      <w:r>
        <w:t>housing that</w:t>
      </w:r>
      <w:r>
        <w:t xml:space="preserve"> is related to the proposed </w:t>
      </w:r>
      <w:proofErr w:type="spellStart"/>
      <w:r>
        <w:t>DoN</w:t>
      </w:r>
      <w:proofErr w:type="spellEnd"/>
      <w:r>
        <w:t xml:space="preserve"> project.</w:t>
      </w:r>
    </w:p>
    <w:p w14:paraId="4FC2BBF4" w14:textId="77777777" w:rsidR="00AD55A2" w:rsidRDefault="00AD55A2">
      <w:pPr>
        <w:pStyle w:val="BodyText"/>
        <w:spacing w:before="10"/>
        <w:rPr>
          <w:sz w:val="18"/>
        </w:rPr>
      </w:pPr>
    </w:p>
    <w:p w14:paraId="6A963B4D" w14:textId="77777777" w:rsidR="00F06A5C" w:rsidRDefault="0024639D">
      <w:pPr>
        <w:pStyle w:val="BodyText"/>
        <w:spacing w:line="268" w:lineRule="auto"/>
        <w:ind w:left="572" w:right="2911" w:hanging="461"/>
        <w:rPr>
          <w:spacing w:val="40"/>
        </w:rPr>
      </w:pPr>
      <w:r>
        <w:t>2022 Community Health Needs Assessment conducted by Martha’s Vineyard Hospital:</w:t>
      </w:r>
    </w:p>
    <w:p w14:paraId="3C657E92" w14:textId="77777777" w:rsidR="00F06A5C" w:rsidRDefault="0024639D" w:rsidP="00F06A5C">
      <w:pPr>
        <w:pStyle w:val="BodyText"/>
        <w:numPr>
          <w:ilvl w:val="0"/>
          <w:numId w:val="1"/>
        </w:numPr>
        <w:spacing w:line="268" w:lineRule="auto"/>
        <w:ind w:right="-10"/>
      </w:pPr>
      <w:r>
        <w:t>Housing was identified as one of the top four community health needs on the island.</w:t>
      </w:r>
    </w:p>
    <w:p w14:paraId="5185D1C0" w14:textId="77777777" w:rsidR="00973B06" w:rsidRPr="00973B06" w:rsidRDefault="0024639D" w:rsidP="00F06A5C">
      <w:pPr>
        <w:pStyle w:val="BodyText"/>
        <w:numPr>
          <w:ilvl w:val="0"/>
          <w:numId w:val="1"/>
        </w:numPr>
        <w:spacing w:line="268" w:lineRule="auto"/>
        <w:ind w:right="-10"/>
      </w:pPr>
      <w:r>
        <w:t>The</w:t>
      </w:r>
      <w:r w:rsidRPr="00F06A5C">
        <w:rPr>
          <w:spacing w:val="15"/>
        </w:rPr>
        <w:t xml:space="preserve"> </w:t>
      </w:r>
      <w:r>
        <w:t>key</w:t>
      </w:r>
      <w:r w:rsidRPr="00F06A5C">
        <w:rPr>
          <w:spacing w:val="15"/>
        </w:rPr>
        <w:t xml:space="preserve"> </w:t>
      </w:r>
      <w:r>
        <w:t>informants</w:t>
      </w:r>
      <w:r w:rsidRPr="00F06A5C">
        <w:rPr>
          <w:spacing w:val="15"/>
        </w:rPr>
        <w:t xml:space="preserve"> </w:t>
      </w:r>
      <w:r>
        <w:t>explained</w:t>
      </w:r>
      <w:r w:rsidRPr="00F06A5C">
        <w:rPr>
          <w:spacing w:val="15"/>
        </w:rPr>
        <w:t xml:space="preserve"> </w:t>
      </w:r>
      <w:r>
        <w:t>that</w:t>
      </w:r>
      <w:r w:rsidRPr="00F06A5C">
        <w:rPr>
          <w:spacing w:val="15"/>
        </w:rPr>
        <w:t xml:space="preserve"> </w:t>
      </w:r>
      <w:r>
        <w:t>creatin</w:t>
      </w:r>
      <w:r>
        <w:t>g</w:t>
      </w:r>
      <w:r w:rsidRPr="00F06A5C">
        <w:rPr>
          <w:spacing w:val="15"/>
        </w:rPr>
        <w:t xml:space="preserve"> </w:t>
      </w:r>
      <w:r>
        <w:t>affordable</w:t>
      </w:r>
      <w:r w:rsidRPr="00F06A5C">
        <w:rPr>
          <w:spacing w:val="15"/>
        </w:rPr>
        <w:t xml:space="preserve"> </w:t>
      </w:r>
      <w:r>
        <w:t>housing</w:t>
      </w:r>
      <w:r w:rsidRPr="00F06A5C">
        <w:rPr>
          <w:spacing w:val="15"/>
        </w:rPr>
        <w:t xml:space="preserve"> </w:t>
      </w:r>
      <w:r>
        <w:t>will</w:t>
      </w:r>
      <w:r w:rsidRPr="00F06A5C">
        <w:rPr>
          <w:spacing w:val="15"/>
        </w:rPr>
        <w:t xml:space="preserve"> </w:t>
      </w:r>
      <w:r>
        <w:t>help</w:t>
      </w:r>
      <w:r w:rsidRPr="00F06A5C">
        <w:rPr>
          <w:spacing w:val="15"/>
        </w:rPr>
        <w:t xml:space="preserve"> </w:t>
      </w:r>
      <w:r>
        <w:t>to</w:t>
      </w:r>
      <w:r w:rsidRPr="00F06A5C">
        <w:rPr>
          <w:spacing w:val="15"/>
        </w:rPr>
        <w:t xml:space="preserve"> </w:t>
      </w:r>
      <w:r>
        <w:t>alleviate</w:t>
      </w:r>
      <w:r w:rsidRPr="00F06A5C">
        <w:rPr>
          <w:spacing w:val="15"/>
        </w:rPr>
        <w:t xml:space="preserve"> </w:t>
      </w:r>
      <w:r>
        <w:t>stress</w:t>
      </w:r>
      <w:r w:rsidRPr="00F06A5C">
        <w:rPr>
          <w:spacing w:val="15"/>
        </w:rPr>
        <w:t xml:space="preserve"> </w:t>
      </w:r>
      <w:r>
        <w:t>and</w:t>
      </w:r>
      <w:r w:rsidRPr="00F06A5C">
        <w:rPr>
          <w:spacing w:val="15"/>
        </w:rPr>
        <w:t xml:space="preserve"> </w:t>
      </w:r>
      <w:r>
        <w:t>the</w:t>
      </w:r>
      <w:r w:rsidRPr="00F06A5C">
        <w:rPr>
          <w:spacing w:val="15"/>
        </w:rPr>
        <w:t xml:space="preserve"> </w:t>
      </w:r>
      <w:r>
        <w:t>difficult</w:t>
      </w:r>
      <w:r w:rsidRPr="00F06A5C">
        <w:rPr>
          <w:spacing w:val="15"/>
        </w:rPr>
        <w:t xml:space="preserve"> </w:t>
      </w:r>
      <w:r>
        <w:t>choices</w:t>
      </w:r>
      <w:r w:rsidRPr="00F06A5C">
        <w:rPr>
          <w:spacing w:val="15"/>
        </w:rPr>
        <w:t xml:space="preserve"> </w:t>
      </w:r>
      <w:r>
        <w:t>residents</w:t>
      </w:r>
      <w:r w:rsidRPr="00F06A5C">
        <w:rPr>
          <w:spacing w:val="40"/>
        </w:rPr>
        <w:t xml:space="preserve"> </w:t>
      </w:r>
      <w:r>
        <w:t>are</w:t>
      </w:r>
      <w:r w:rsidRPr="00F06A5C">
        <w:rPr>
          <w:spacing w:val="15"/>
        </w:rPr>
        <w:t xml:space="preserve"> </w:t>
      </w:r>
      <w:r>
        <w:t>making</w:t>
      </w:r>
      <w:r w:rsidRPr="00F06A5C">
        <w:rPr>
          <w:spacing w:val="15"/>
        </w:rPr>
        <w:t xml:space="preserve"> </w:t>
      </w:r>
      <w:r>
        <w:t>between</w:t>
      </w:r>
      <w:r w:rsidRPr="00F06A5C">
        <w:rPr>
          <w:spacing w:val="15"/>
        </w:rPr>
        <w:t xml:space="preserve"> </w:t>
      </w:r>
      <w:r>
        <w:t>housing</w:t>
      </w:r>
      <w:r w:rsidRPr="00F06A5C">
        <w:rPr>
          <w:spacing w:val="15"/>
        </w:rPr>
        <w:t xml:space="preserve"> </w:t>
      </w:r>
      <w:r>
        <w:t>costs</w:t>
      </w:r>
      <w:r w:rsidRPr="00F06A5C">
        <w:rPr>
          <w:spacing w:val="15"/>
        </w:rPr>
        <w:t xml:space="preserve"> </w:t>
      </w:r>
      <w:r>
        <w:t>and</w:t>
      </w:r>
      <w:r w:rsidRPr="00F06A5C">
        <w:rPr>
          <w:spacing w:val="15"/>
        </w:rPr>
        <w:t xml:space="preserve"> </w:t>
      </w:r>
      <w:r>
        <w:t>other</w:t>
      </w:r>
      <w:r w:rsidRPr="00F06A5C">
        <w:rPr>
          <w:spacing w:val="15"/>
        </w:rPr>
        <w:t xml:space="preserve"> </w:t>
      </w:r>
      <w:r>
        <w:t>living</w:t>
      </w:r>
      <w:r w:rsidRPr="00F06A5C">
        <w:rPr>
          <w:spacing w:val="15"/>
        </w:rPr>
        <w:t xml:space="preserve"> </w:t>
      </w:r>
      <w:r>
        <w:t>and</w:t>
      </w:r>
      <w:r w:rsidRPr="00F06A5C">
        <w:rPr>
          <w:spacing w:val="15"/>
        </w:rPr>
        <w:t xml:space="preserve"> </w:t>
      </w:r>
      <w:r>
        <w:t>medical</w:t>
      </w:r>
      <w:r w:rsidRPr="00F06A5C">
        <w:rPr>
          <w:spacing w:val="15"/>
        </w:rPr>
        <w:t xml:space="preserve"> </w:t>
      </w:r>
      <w:r>
        <w:t>expenses.</w:t>
      </w:r>
      <w:r w:rsidRPr="00F06A5C">
        <w:rPr>
          <w:spacing w:val="15"/>
        </w:rPr>
        <w:t xml:space="preserve"> </w:t>
      </w:r>
      <w:r>
        <w:t>They</w:t>
      </w:r>
      <w:r w:rsidRPr="00F06A5C">
        <w:rPr>
          <w:spacing w:val="15"/>
        </w:rPr>
        <w:t xml:space="preserve"> </w:t>
      </w:r>
      <w:r>
        <w:t>further</w:t>
      </w:r>
      <w:r w:rsidRPr="00F06A5C">
        <w:rPr>
          <w:spacing w:val="15"/>
        </w:rPr>
        <w:t xml:space="preserve"> </w:t>
      </w:r>
      <w:r>
        <w:t>argued</w:t>
      </w:r>
      <w:r w:rsidRPr="00F06A5C">
        <w:rPr>
          <w:spacing w:val="15"/>
        </w:rPr>
        <w:t xml:space="preserve"> </w:t>
      </w:r>
      <w:r>
        <w:t>that,</w:t>
      </w:r>
      <w:r w:rsidRPr="00F06A5C">
        <w:rPr>
          <w:spacing w:val="15"/>
        </w:rPr>
        <w:t xml:space="preserve"> </w:t>
      </w:r>
      <w:r>
        <w:t>if</w:t>
      </w:r>
      <w:r w:rsidRPr="00F06A5C">
        <w:rPr>
          <w:spacing w:val="15"/>
        </w:rPr>
        <w:t xml:space="preserve"> </w:t>
      </w:r>
      <w:r>
        <w:t>affordable</w:t>
      </w:r>
      <w:r w:rsidRPr="00F06A5C">
        <w:rPr>
          <w:spacing w:val="15"/>
        </w:rPr>
        <w:t xml:space="preserve"> </w:t>
      </w:r>
      <w:r>
        <w:t>housing</w:t>
      </w:r>
      <w:r w:rsidRPr="00F06A5C">
        <w:rPr>
          <w:spacing w:val="40"/>
        </w:rPr>
        <w:t xml:space="preserve"> </w:t>
      </w:r>
      <w:r>
        <w:t>were available, it would be easier to attract and retain primary care providers, behavioral health clinicians, and medical</w:t>
      </w:r>
      <w:r w:rsidRPr="00F06A5C">
        <w:rPr>
          <w:spacing w:val="40"/>
        </w:rPr>
        <w:t xml:space="preserve"> </w:t>
      </w:r>
      <w:r>
        <w:t>specialists and healthcare staff, including culturally and linguistically diverse providers and staff who</w:t>
      </w:r>
      <w:r w:rsidR="00F06A5C">
        <w:t xml:space="preserve"> </w:t>
      </w:r>
      <w:r>
        <w:t>are so critically needed.</w:t>
      </w:r>
      <w:r w:rsidRPr="00F06A5C">
        <w:rPr>
          <w:spacing w:val="40"/>
        </w:rPr>
        <w:t xml:space="preserve"> </w:t>
      </w:r>
    </w:p>
    <w:p w14:paraId="5148A686" w14:textId="77777777" w:rsidR="00DF3C02" w:rsidRDefault="0024639D" w:rsidP="00DF3C02">
      <w:pPr>
        <w:pStyle w:val="BodyText"/>
        <w:numPr>
          <w:ilvl w:val="0"/>
          <w:numId w:val="1"/>
        </w:numPr>
        <w:spacing w:line="268" w:lineRule="auto"/>
        <w:ind w:right="-10"/>
      </w:pPr>
      <w:r>
        <w:t>H</w:t>
      </w:r>
      <w:r>
        <w:t xml:space="preserve">ousing was the second </w:t>
      </w:r>
      <w:proofErr w:type="gramStart"/>
      <w:r>
        <w:t>most commonly reported</w:t>
      </w:r>
      <w:proofErr w:type="gramEnd"/>
      <w:r>
        <w:t xml:space="preserve"> need among MVH patients who were screened for SDOH. Community</w:t>
      </w:r>
      <w:r w:rsidRPr="00F06A5C">
        <w:rPr>
          <w:spacing w:val="80"/>
        </w:rPr>
        <w:t xml:space="preserve"> </w:t>
      </w:r>
      <w:r>
        <w:t xml:space="preserve">survey respondents were asked to select from among </w:t>
      </w:r>
      <w:proofErr w:type="gramStart"/>
      <w:r>
        <w:t>a number of</w:t>
      </w:r>
      <w:proofErr w:type="gramEnd"/>
      <w:r>
        <w:t xml:space="preserve"> issues that are challenges in their own lives; the third most</w:t>
      </w:r>
      <w:r w:rsidRPr="00F06A5C">
        <w:rPr>
          <w:spacing w:val="40"/>
        </w:rPr>
        <w:t xml:space="preserve"> </w:t>
      </w:r>
      <w:r>
        <w:t>frequently selected issu</w:t>
      </w:r>
      <w:r>
        <w:t>e among year-round residents was housing (at 19.3%).</w:t>
      </w:r>
    </w:p>
    <w:p w14:paraId="63C92296" w14:textId="77777777" w:rsidR="00DF3C02" w:rsidRDefault="0024639D" w:rsidP="00DF3C02">
      <w:pPr>
        <w:pStyle w:val="BodyText"/>
        <w:numPr>
          <w:ilvl w:val="0"/>
          <w:numId w:val="1"/>
        </w:numPr>
        <w:spacing w:line="268" w:lineRule="auto"/>
        <w:ind w:right="-10"/>
      </w:pPr>
      <w:r>
        <w:t>While the key informants did not discuss job opportunities as a key to improving community health, they did note that …</w:t>
      </w:r>
      <w:r w:rsidRPr="00DF3C02">
        <w:rPr>
          <w:spacing w:val="40"/>
        </w:rPr>
        <w:t xml:space="preserve"> </w:t>
      </w:r>
      <w:r>
        <w:t xml:space="preserve">residents often </w:t>
      </w:r>
      <w:proofErr w:type="gramStart"/>
      <w:r>
        <w:t>have to</w:t>
      </w:r>
      <w:proofErr w:type="gramEnd"/>
      <w:r>
        <w:t xml:space="preserve"> work multiple jobs to afford the cost of living on the i</w:t>
      </w:r>
      <w:r>
        <w:t>sland. Most of the key informants’ discussion of</w:t>
      </w:r>
      <w:r w:rsidRPr="00DF3C02">
        <w:rPr>
          <w:spacing w:val="40"/>
        </w:rPr>
        <w:t xml:space="preserve"> </w:t>
      </w:r>
      <w:r>
        <w:t>jobs centered on the difficulty of attracting people to fill healthcare and other positions on the island because housing is</w:t>
      </w:r>
      <w:r w:rsidRPr="00DF3C02">
        <w:rPr>
          <w:spacing w:val="40"/>
        </w:rPr>
        <w:t xml:space="preserve"> </w:t>
      </w:r>
      <w:r>
        <w:t>scarce and unaffordable.</w:t>
      </w:r>
    </w:p>
    <w:p w14:paraId="4FC2BBF8" w14:textId="4878F7D9" w:rsidR="00AD55A2" w:rsidRDefault="0024639D" w:rsidP="00DF3C02">
      <w:pPr>
        <w:pStyle w:val="BodyText"/>
        <w:numPr>
          <w:ilvl w:val="0"/>
          <w:numId w:val="1"/>
        </w:numPr>
        <w:spacing w:line="268" w:lineRule="auto"/>
        <w:ind w:right="-10"/>
      </w:pPr>
      <w:r>
        <w:t>The potential closing of Windemere, the nursing and re</w:t>
      </w:r>
      <w:r>
        <w:t>habilitation center on the island, is a stressor since the Navigator</w:t>
      </w:r>
      <w:r w:rsidRPr="00DF3C02">
        <w:rPr>
          <w:spacing w:val="40"/>
        </w:rPr>
        <w:t xml:space="preserve"> </w:t>
      </w:r>
      <w:r>
        <w:t>Homes project has not yet broken ground. The key informants said that island residents are excited for Navigator Homes, as</w:t>
      </w:r>
      <w:r w:rsidRPr="00DF3C02">
        <w:rPr>
          <w:spacing w:val="80"/>
        </w:rPr>
        <w:t xml:space="preserve"> </w:t>
      </w:r>
      <w:r>
        <w:t>it will provide housing for its own staff as well as comprehensi</w:t>
      </w:r>
      <w:r>
        <w:t>ve services for older adults. However, the informants fear that</w:t>
      </w:r>
      <w:r w:rsidRPr="00DF3C02">
        <w:rPr>
          <w:spacing w:val="80"/>
        </w:rPr>
        <w:t xml:space="preserve"> </w:t>
      </w:r>
      <w:r>
        <w:t xml:space="preserve">it </w:t>
      </w:r>
      <w:proofErr w:type="gramStart"/>
      <w:r>
        <w:t>won’t</w:t>
      </w:r>
      <w:proofErr w:type="gramEnd"/>
      <w:r>
        <w:t xml:space="preserve"> be open soon enough to care for many seniors currently living on the island.</w:t>
      </w:r>
    </w:p>
    <w:p w14:paraId="4FC2BBF9" w14:textId="77777777" w:rsidR="00AD55A2" w:rsidRDefault="00AD55A2">
      <w:pPr>
        <w:pStyle w:val="BodyText"/>
      </w:pPr>
    </w:p>
    <w:p w14:paraId="5A9A0650" w14:textId="77777777" w:rsidR="00DF3C02" w:rsidRDefault="0024639D" w:rsidP="00DF3C02">
      <w:pPr>
        <w:pStyle w:val="BodyText"/>
        <w:spacing w:before="1"/>
        <w:ind w:left="112"/>
      </w:pPr>
      <w:r>
        <w:t>Proposed</w:t>
      </w:r>
      <w:r>
        <w:rPr>
          <w:spacing w:val="6"/>
        </w:rPr>
        <w:t xml:space="preserve"> </w:t>
      </w:r>
      <w:r>
        <w:t>Workforce</w:t>
      </w:r>
      <w:r>
        <w:rPr>
          <w:spacing w:val="7"/>
        </w:rPr>
        <w:t xml:space="preserve"> </w:t>
      </w:r>
      <w:r>
        <w:rPr>
          <w:spacing w:val="-2"/>
        </w:rPr>
        <w:t>Housing:</w:t>
      </w:r>
    </w:p>
    <w:p w14:paraId="4FC2BBFC" w14:textId="3D831DED" w:rsidR="00AD55A2" w:rsidRDefault="0024639D" w:rsidP="00DF3C02">
      <w:pPr>
        <w:pStyle w:val="BodyText"/>
        <w:numPr>
          <w:ilvl w:val="0"/>
          <w:numId w:val="2"/>
        </w:numPr>
        <w:spacing w:before="1"/>
        <w:sectPr w:rsidR="00AD55A2">
          <w:type w:val="continuous"/>
          <w:pgSz w:w="12240" w:h="15840"/>
          <w:pgMar w:top="1820" w:right="1380" w:bottom="280" w:left="1420" w:header="720" w:footer="720" w:gutter="0"/>
          <w:cols w:space="720"/>
        </w:sectPr>
      </w:pPr>
      <w:r>
        <w:t>A $25M commitment is being made to establish workforce housing on Martha’s Vineyard to serve the proposed relocated</w:t>
      </w:r>
      <w:r>
        <w:rPr>
          <w:spacing w:val="40"/>
        </w:rPr>
        <w:t xml:space="preserve"> </w:t>
      </w:r>
      <w:r>
        <w:t>skilled nursing facility as well as Martha’s Vineyard Hospital</w:t>
      </w:r>
      <w:r>
        <w:t>.</w:t>
      </w:r>
    </w:p>
    <w:p w14:paraId="0CC27EF7" w14:textId="77777777" w:rsidR="00F0783A" w:rsidRDefault="0024639D" w:rsidP="00F0783A">
      <w:pPr>
        <w:pStyle w:val="BodyText"/>
        <w:numPr>
          <w:ilvl w:val="0"/>
          <w:numId w:val="2"/>
        </w:numPr>
        <w:spacing w:before="42" w:line="266" w:lineRule="auto"/>
        <w:ind w:right="398"/>
        <w:jc w:val="both"/>
      </w:pPr>
      <w:r>
        <w:lastRenderedPageBreak/>
        <w:t>T</w:t>
      </w:r>
      <w:r>
        <w:t>he housing will consist of 75 bedrooms, of which Navigator Homes of Martha’s Vineyard (NHMV) is committed to rent 30</w:t>
      </w:r>
      <w:r>
        <w:rPr>
          <w:spacing w:val="40"/>
        </w:rPr>
        <w:t xml:space="preserve"> </w:t>
      </w:r>
      <w:r>
        <w:rPr>
          <w:spacing w:val="-2"/>
        </w:rPr>
        <w:t>bedrooms.</w:t>
      </w:r>
    </w:p>
    <w:p w14:paraId="7936C258" w14:textId="77777777" w:rsidR="00F0783A" w:rsidRDefault="0024639D" w:rsidP="00F0783A">
      <w:pPr>
        <w:pStyle w:val="BodyText"/>
        <w:numPr>
          <w:ilvl w:val="0"/>
          <w:numId w:val="2"/>
        </w:numPr>
        <w:spacing w:before="42" w:line="266" w:lineRule="auto"/>
        <w:ind w:right="398"/>
        <w:jc w:val="both"/>
      </w:pPr>
      <w:r>
        <w:t>Dukes County Regional Housing Authority (“DCRHA”) will process all applications for housing and select the applicants for</w:t>
      </w:r>
      <w:r w:rsidRPr="00F0783A">
        <w:rPr>
          <w:spacing w:val="40"/>
        </w:rPr>
        <w:t xml:space="preserve"> </w:t>
      </w:r>
      <w:r>
        <w:t>pla</w:t>
      </w:r>
      <w:r>
        <w:t>cement in available units. DHRCA will charge of this service. Rents will be set by DCRHA.</w:t>
      </w:r>
    </w:p>
    <w:p w14:paraId="0383FFA8" w14:textId="77777777" w:rsidR="00F0783A" w:rsidRDefault="0024639D" w:rsidP="00F0783A">
      <w:pPr>
        <w:pStyle w:val="BodyText"/>
        <w:numPr>
          <w:ilvl w:val="0"/>
          <w:numId w:val="2"/>
        </w:numPr>
        <w:spacing w:before="42" w:line="266" w:lineRule="auto"/>
        <w:ind w:right="398"/>
        <w:jc w:val="both"/>
      </w:pPr>
      <w:r>
        <w:t>Rents will be subsidized, with 85% of the housing targeted to staff earning less than 120% of the Area Median Income. The</w:t>
      </w:r>
      <w:r w:rsidRPr="00F0783A">
        <w:rPr>
          <w:spacing w:val="40"/>
        </w:rPr>
        <w:t xml:space="preserve"> </w:t>
      </w:r>
      <w:r>
        <w:t>Martha’s Vineyard Commission considers th</w:t>
      </w:r>
      <w:r>
        <w:t>ese income levels to be “community housing” and has approved the proposed</w:t>
      </w:r>
      <w:r w:rsidRPr="00F0783A">
        <w:rPr>
          <w:spacing w:val="40"/>
        </w:rPr>
        <w:t xml:space="preserve"> </w:t>
      </w:r>
      <w:r w:rsidRPr="00F0783A">
        <w:rPr>
          <w:spacing w:val="-2"/>
        </w:rPr>
        <w:t>housing.</w:t>
      </w:r>
    </w:p>
    <w:p w14:paraId="4FC2BC00" w14:textId="7EAE65CA" w:rsidR="00AD55A2" w:rsidRDefault="0024639D" w:rsidP="00F0783A">
      <w:pPr>
        <w:pStyle w:val="BodyText"/>
        <w:numPr>
          <w:ilvl w:val="0"/>
          <w:numId w:val="2"/>
        </w:numPr>
        <w:spacing w:before="42" w:line="266" w:lineRule="auto"/>
        <w:ind w:right="398"/>
        <w:jc w:val="both"/>
      </w:pPr>
      <w:r>
        <w:t>NHMV</w:t>
      </w:r>
      <w:r w:rsidRPr="00F0783A">
        <w:rPr>
          <w:spacing w:val="2"/>
        </w:rPr>
        <w:t xml:space="preserve"> </w:t>
      </w:r>
      <w:r>
        <w:t>will</w:t>
      </w:r>
      <w:r w:rsidRPr="00F0783A">
        <w:rPr>
          <w:spacing w:val="2"/>
        </w:rPr>
        <w:t xml:space="preserve"> </w:t>
      </w:r>
      <w:r>
        <w:t>be</w:t>
      </w:r>
      <w:r w:rsidRPr="00F0783A">
        <w:rPr>
          <w:spacing w:val="2"/>
        </w:rPr>
        <w:t xml:space="preserve"> </w:t>
      </w:r>
      <w:r>
        <w:t>responsible</w:t>
      </w:r>
      <w:r w:rsidRPr="00F0783A">
        <w:rPr>
          <w:spacing w:val="2"/>
        </w:rPr>
        <w:t xml:space="preserve"> </w:t>
      </w:r>
      <w:r>
        <w:t>for</w:t>
      </w:r>
      <w:r w:rsidRPr="00F0783A">
        <w:rPr>
          <w:spacing w:val="2"/>
        </w:rPr>
        <w:t xml:space="preserve"> </w:t>
      </w:r>
      <w:r>
        <w:t>its</w:t>
      </w:r>
      <w:r w:rsidRPr="00F0783A">
        <w:rPr>
          <w:spacing w:val="2"/>
        </w:rPr>
        <w:t xml:space="preserve"> </w:t>
      </w:r>
      <w:r>
        <w:t>portion</w:t>
      </w:r>
      <w:r w:rsidRPr="00F0783A">
        <w:rPr>
          <w:spacing w:val="2"/>
        </w:rPr>
        <w:t xml:space="preserve"> </w:t>
      </w:r>
      <w:r>
        <w:t>of</w:t>
      </w:r>
      <w:r w:rsidRPr="00F0783A">
        <w:rPr>
          <w:spacing w:val="3"/>
        </w:rPr>
        <w:t xml:space="preserve"> </w:t>
      </w:r>
      <w:r>
        <w:t>the</w:t>
      </w:r>
      <w:r w:rsidRPr="00F0783A">
        <w:rPr>
          <w:spacing w:val="2"/>
        </w:rPr>
        <w:t xml:space="preserve"> </w:t>
      </w:r>
      <w:r>
        <w:t>housing</w:t>
      </w:r>
      <w:r w:rsidRPr="00F0783A">
        <w:rPr>
          <w:spacing w:val="2"/>
        </w:rPr>
        <w:t xml:space="preserve"> </w:t>
      </w:r>
      <w:r>
        <w:t>operating</w:t>
      </w:r>
      <w:r w:rsidRPr="00F0783A">
        <w:rPr>
          <w:spacing w:val="2"/>
        </w:rPr>
        <w:t xml:space="preserve"> </w:t>
      </w:r>
      <w:r>
        <w:t>costs</w:t>
      </w:r>
      <w:r w:rsidRPr="00F0783A">
        <w:rPr>
          <w:spacing w:val="2"/>
        </w:rPr>
        <w:t xml:space="preserve"> </w:t>
      </w:r>
      <w:r>
        <w:t>that</w:t>
      </w:r>
      <w:r w:rsidRPr="00F0783A">
        <w:rPr>
          <w:spacing w:val="2"/>
        </w:rPr>
        <w:t xml:space="preserve"> </w:t>
      </w:r>
      <w:r>
        <w:t>is</w:t>
      </w:r>
      <w:r w:rsidRPr="00F0783A">
        <w:rPr>
          <w:spacing w:val="2"/>
        </w:rPr>
        <w:t xml:space="preserve"> </w:t>
      </w:r>
      <w:r>
        <w:t>not</w:t>
      </w:r>
      <w:r w:rsidRPr="00F0783A">
        <w:rPr>
          <w:spacing w:val="3"/>
        </w:rPr>
        <w:t xml:space="preserve"> </w:t>
      </w:r>
      <w:r>
        <w:t>offset</w:t>
      </w:r>
      <w:r w:rsidRPr="00F0783A">
        <w:rPr>
          <w:spacing w:val="2"/>
        </w:rPr>
        <w:t xml:space="preserve"> </w:t>
      </w:r>
      <w:r>
        <w:t>by</w:t>
      </w:r>
      <w:r w:rsidRPr="00F0783A">
        <w:rPr>
          <w:spacing w:val="2"/>
        </w:rPr>
        <w:t xml:space="preserve"> </w:t>
      </w:r>
      <w:r>
        <w:t>rents</w:t>
      </w:r>
      <w:r w:rsidRPr="00F0783A">
        <w:rPr>
          <w:spacing w:val="2"/>
        </w:rPr>
        <w:t xml:space="preserve"> </w:t>
      </w:r>
      <w:r w:rsidRPr="00F0783A">
        <w:rPr>
          <w:spacing w:val="-2"/>
        </w:rPr>
        <w:t>collected.</w:t>
      </w:r>
    </w:p>
    <w:p w14:paraId="4FC2BC01" w14:textId="77777777" w:rsidR="00AD55A2" w:rsidRDefault="00AD55A2">
      <w:pPr>
        <w:pStyle w:val="BodyText"/>
        <w:spacing w:before="8"/>
        <w:rPr>
          <w:sz w:val="20"/>
        </w:rPr>
      </w:pPr>
    </w:p>
    <w:p w14:paraId="4FC2BC02" w14:textId="77777777" w:rsidR="00AD55A2" w:rsidRDefault="0024639D">
      <w:pPr>
        <w:pStyle w:val="BodyText"/>
        <w:spacing w:line="532" w:lineRule="auto"/>
        <w:ind w:left="112" w:right="3337"/>
      </w:pPr>
      <w:r>
        <w:t xml:space="preserve">We hope this information is helpful. Please contact me if </w:t>
      </w:r>
      <w:r>
        <w:t>you have any questions.</w:t>
      </w:r>
      <w:r>
        <w:rPr>
          <w:spacing w:val="40"/>
        </w:rPr>
        <w:t xml:space="preserve"> </w:t>
      </w:r>
      <w:r>
        <w:rPr>
          <w:spacing w:val="-2"/>
        </w:rPr>
        <w:t>Thanks</w:t>
      </w:r>
    </w:p>
    <w:p w14:paraId="4FC2BC03" w14:textId="77777777" w:rsidR="00AD55A2" w:rsidRDefault="0024639D">
      <w:pPr>
        <w:spacing w:line="247" w:lineRule="auto"/>
        <w:ind w:left="112" w:right="8336" w:hanging="1"/>
        <w:rPr>
          <w:rFonts w:ascii="Verdana"/>
          <w:b/>
          <w:sz w:val="12"/>
        </w:rPr>
      </w:pPr>
      <w:r>
        <w:rPr>
          <w:rFonts w:ascii="Verdana"/>
          <w:b/>
          <w:color w:val="000001"/>
          <w:w w:val="105"/>
          <w:sz w:val="12"/>
        </w:rPr>
        <w:t>Crystal</w:t>
      </w:r>
      <w:r>
        <w:rPr>
          <w:rFonts w:ascii="Verdana"/>
          <w:b/>
          <w:color w:val="000001"/>
          <w:spacing w:val="-11"/>
          <w:w w:val="105"/>
          <w:sz w:val="12"/>
        </w:rPr>
        <w:t xml:space="preserve"> </w:t>
      </w:r>
      <w:r>
        <w:rPr>
          <w:rFonts w:ascii="Verdana"/>
          <w:b/>
          <w:color w:val="000001"/>
          <w:w w:val="105"/>
          <w:sz w:val="12"/>
        </w:rPr>
        <w:t xml:space="preserve">Bloom </w:t>
      </w:r>
      <w:r>
        <w:rPr>
          <w:rFonts w:ascii="Verdana"/>
          <w:b/>
          <w:color w:val="000001"/>
          <w:spacing w:val="-2"/>
          <w:w w:val="105"/>
          <w:sz w:val="12"/>
        </w:rPr>
        <w:t>Partner</w:t>
      </w:r>
    </w:p>
    <w:p w14:paraId="4FC2BC04" w14:textId="77777777" w:rsidR="00AD55A2" w:rsidRDefault="0024639D">
      <w:pPr>
        <w:spacing w:before="108"/>
        <w:ind w:left="112"/>
        <w:rPr>
          <w:rFonts w:ascii="Verdana"/>
          <w:b/>
          <w:sz w:val="11"/>
        </w:rPr>
      </w:pPr>
      <w:r>
        <w:rPr>
          <w:rFonts w:ascii="Verdana"/>
          <w:b/>
          <w:color w:val="00339F"/>
          <w:w w:val="105"/>
          <w:sz w:val="11"/>
        </w:rPr>
        <w:t>HUSCH</w:t>
      </w:r>
      <w:r>
        <w:rPr>
          <w:rFonts w:ascii="Verdana"/>
          <w:b/>
          <w:color w:val="00339F"/>
          <w:spacing w:val="-9"/>
          <w:w w:val="105"/>
          <w:sz w:val="11"/>
        </w:rPr>
        <w:t xml:space="preserve"> </w:t>
      </w:r>
      <w:r>
        <w:rPr>
          <w:rFonts w:ascii="Verdana"/>
          <w:b/>
          <w:color w:val="000001"/>
          <w:w w:val="105"/>
          <w:sz w:val="11"/>
        </w:rPr>
        <w:t>BLACKWELL</w:t>
      </w:r>
      <w:r>
        <w:rPr>
          <w:rFonts w:ascii="Verdana"/>
          <w:b/>
          <w:color w:val="000001"/>
          <w:spacing w:val="-9"/>
          <w:w w:val="105"/>
          <w:sz w:val="11"/>
        </w:rPr>
        <w:t xml:space="preserve"> </w:t>
      </w:r>
      <w:r>
        <w:rPr>
          <w:rFonts w:ascii="Verdana"/>
          <w:b/>
          <w:color w:val="000001"/>
          <w:spacing w:val="-5"/>
          <w:w w:val="105"/>
          <w:sz w:val="11"/>
        </w:rPr>
        <w:t>LLP</w:t>
      </w:r>
    </w:p>
    <w:p w14:paraId="4FC2BC05" w14:textId="77777777" w:rsidR="00AD55A2" w:rsidRDefault="0024639D">
      <w:pPr>
        <w:spacing w:before="29" w:line="247" w:lineRule="auto"/>
        <w:ind w:left="112" w:right="7809"/>
        <w:rPr>
          <w:rFonts w:ascii="Verdana"/>
          <w:sz w:val="12"/>
        </w:rPr>
      </w:pPr>
      <w:r>
        <w:rPr>
          <w:rFonts w:ascii="Verdana"/>
          <w:color w:val="000001"/>
          <w:w w:val="105"/>
          <w:sz w:val="12"/>
        </w:rPr>
        <w:t>One</w:t>
      </w:r>
      <w:r>
        <w:rPr>
          <w:rFonts w:ascii="Verdana"/>
          <w:color w:val="000001"/>
          <w:spacing w:val="-12"/>
          <w:w w:val="105"/>
          <w:sz w:val="12"/>
        </w:rPr>
        <w:t xml:space="preserve"> </w:t>
      </w:r>
      <w:r>
        <w:rPr>
          <w:rFonts w:ascii="Verdana"/>
          <w:color w:val="000001"/>
          <w:w w:val="105"/>
          <w:sz w:val="12"/>
        </w:rPr>
        <w:t>Beacon</w:t>
      </w:r>
      <w:r>
        <w:rPr>
          <w:rFonts w:ascii="Verdana"/>
          <w:color w:val="000001"/>
          <w:spacing w:val="-11"/>
          <w:w w:val="105"/>
          <w:sz w:val="12"/>
        </w:rPr>
        <w:t xml:space="preserve"> </w:t>
      </w:r>
      <w:r>
        <w:rPr>
          <w:rFonts w:ascii="Verdana"/>
          <w:color w:val="000001"/>
          <w:w w:val="105"/>
          <w:sz w:val="12"/>
        </w:rPr>
        <w:t>Street, Suite 1320</w:t>
      </w:r>
    </w:p>
    <w:p w14:paraId="4FC2BC06" w14:textId="77777777" w:rsidR="00AD55A2" w:rsidRDefault="0024639D">
      <w:pPr>
        <w:spacing w:line="146" w:lineRule="exact"/>
        <w:ind w:left="112"/>
        <w:rPr>
          <w:rFonts w:ascii="Verdana" w:hAnsi="Verdana"/>
          <w:sz w:val="12"/>
        </w:rPr>
      </w:pPr>
      <w:r>
        <w:rPr>
          <w:rFonts w:ascii="Verdana" w:hAnsi="Verdana"/>
          <w:color w:val="000001"/>
          <w:w w:val="105"/>
          <w:sz w:val="12"/>
        </w:rPr>
        <w:t>Boston,</w:t>
      </w:r>
      <w:r>
        <w:rPr>
          <w:rFonts w:ascii="Verdana" w:hAnsi="Verdana"/>
          <w:color w:val="000001"/>
          <w:spacing w:val="-1"/>
          <w:w w:val="105"/>
          <w:sz w:val="12"/>
        </w:rPr>
        <w:t xml:space="preserve"> </w:t>
      </w:r>
      <w:r>
        <w:rPr>
          <w:rFonts w:ascii="Verdana" w:hAnsi="Verdana"/>
          <w:color w:val="000001"/>
          <w:w w:val="105"/>
          <w:sz w:val="12"/>
        </w:rPr>
        <w:t xml:space="preserve">MA </w:t>
      </w:r>
      <w:r>
        <w:rPr>
          <w:rFonts w:ascii="Verdana" w:hAnsi="Verdana"/>
          <w:color w:val="000001"/>
          <w:spacing w:val="-2"/>
          <w:w w:val="105"/>
          <w:sz w:val="12"/>
        </w:rPr>
        <w:t>02108</w:t>
      </w:r>
      <w:r>
        <w:rPr>
          <w:rFonts w:ascii="Times New Roman" w:hAnsi="Times New Roman"/>
          <w:color w:val="000001"/>
          <w:spacing w:val="-2"/>
          <w:w w:val="105"/>
          <w:sz w:val="12"/>
        </w:rPr>
        <w:t>‑</w:t>
      </w:r>
      <w:r>
        <w:rPr>
          <w:rFonts w:ascii="Verdana" w:hAnsi="Verdana"/>
          <w:color w:val="000001"/>
          <w:spacing w:val="-2"/>
          <w:w w:val="105"/>
          <w:sz w:val="12"/>
        </w:rPr>
        <w:t>3106</w:t>
      </w:r>
    </w:p>
    <w:p w14:paraId="4FC2BC07" w14:textId="77777777" w:rsidR="00AD55A2" w:rsidRDefault="0024639D">
      <w:pPr>
        <w:spacing w:before="60"/>
        <w:ind w:left="112"/>
        <w:rPr>
          <w:rFonts w:ascii="Verdana"/>
          <w:sz w:val="12"/>
        </w:rPr>
      </w:pPr>
      <w:r>
        <w:rPr>
          <w:rFonts w:ascii="Verdana"/>
          <w:color w:val="000001"/>
          <w:w w:val="105"/>
          <w:sz w:val="12"/>
        </w:rPr>
        <w:t>Direct:</w:t>
      </w:r>
      <w:r>
        <w:rPr>
          <w:rFonts w:ascii="Verdana"/>
          <w:color w:val="000001"/>
          <w:spacing w:val="-2"/>
          <w:w w:val="105"/>
          <w:sz w:val="12"/>
        </w:rPr>
        <w:t xml:space="preserve"> </w:t>
      </w:r>
      <w:r>
        <w:rPr>
          <w:rFonts w:ascii="Verdana"/>
          <w:color w:val="000001"/>
          <w:w w:val="105"/>
          <w:sz w:val="12"/>
          <w:u w:val="single" w:color="0562C1"/>
        </w:rPr>
        <w:t>617-598-</w:t>
      </w:r>
      <w:r>
        <w:rPr>
          <w:rFonts w:ascii="Verdana"/>
          <w:color w:val="000001"/>
          <w:spacing w:val="-4"/>
          <w:w w:val="105"/>
          <w:sz w:val="12"/>
          <w:u w:val="single" w:color="0562C1"/>
        </w:rPr>
        <w:t>6783</w:t>
      </w:r>
    </w:p>
    <w:p w14:paraId="4FC2BC08" w14:textId="77777777" w:rsidR="00AD55A2" w:rsidRDefault="0024639D">
      <w:pPr>
        <w:spacing w:before="4"/>
        <w:ind w:left="112"/>
        <w:rPr>
          <w:rFonts w:ascii="Verdana"/>
          <w:sz w:val="12"/>
        </w:rPr>
      </w:pPr>
      <w:r>
        <w:rPr>
          <w:rFonts w:ascii="Verdana"/>
          <w:color w:val="000001"/>
          <w:w w:val="105"/>
          <w:sz w:val="12"/>
        </w:rPr>
        <w:t>Fax:</w:t>
      </w:r>
      <w:r>
        <w:rPr>
          <w:rFonts w:ascii="Verdana"/>
          <w:color w:val="000001"/>
          <w:spacing w:val="-1"/>
          <w:w w:val="105"/>
          <w:sz w:val="12"/>
        </w:rPr>
        <w:t xml:space="preserve"> </w:t>
      </w:r>
      <w:r>
        <w:rPr>
          <w:rFonts w:ascii="Verdana"/>
          <w:color w:val="000001"/>
          <w:w w:val="105"/>
          <w:sz w:val="12"/>
          <w:u w:val="single" w:color="0562C1"/>
        </w:rPr>
        <w:t>617-720-</w:t>
      </w:r>
      <w:r>
        <w:rPr>
          <w:rFonts w:ascii="Verdana"/>
          <w:color w:val="000001"/>
          <w:spacing w:val="-4"/>
          <w:w w:val="105"/>
          <w:sz w:val="12"/>
          <w:u w:val="single" w:color="0562C1"/>
        </w:rPr>
        <w:t>5092</w:t>
      </w:r>
    </w:p>
    <w:p w14:paraId="4FC2BC09" w14:textId="0B4D6440" w:rsidR="00AD55A2" w:rsidRDefault="0024639D">
      <w:pPr>
        <w:spacing w:before="4" w:line="247" w:lineRule="auto"/>
        <w:ind w:left="112" w:right="5941"/>
        <w:rPr>
          <w:rFonts w:ascii="Verdana"/>
          <w:sz w:val="12"/>
        </w:rPr>
      </w:pPr>
      <w:hyperlink r:id="rId10">
        <w:r>
          <w:rPr>
            <w:rFonts w:ascii="Verdana"/>
            <w:color w:val="0000FF"/>
            <w:spacing w:val="-2"/>
            <w:w w:val="105"/>
            <w:sz w:val="12"/>
            <w:u w:val="single" w:color="0562C1"/>
          </w:rPr>
          <w:t>Crystal.Bloom@huschblackwell.com</w:t>
        </w:r>
      </w:hyperlink>
      <w:r>
        <w:rPr>
          <w:rFonts w:ascii="Verdana"/>
          <w:color w:val="0000FF"/>
          <w:spacing w:val="-2"/>
          <w:w w:val="105"/>
          <w:sz w:val="12"/>
        </w:rPr>
        <w:t xml:space="preserve"> </w:t>
      </w:r>
      <w:hyperlink r:id="rId11" w:history="1">
        <w:r w:rsidRPr="00CC3317">
          <w:rPr>
            <w:rStyle w:val="Hyperlink"/>
            <w:rFonts w:ascii="Verdana"/>
            <w:spacing w:val="-2"/>
            <w:w w:val="105"/>
            <w:sz w:val="12"/>
          </w:rPr>
          <w:t>huschblackwell.com</w:t>
        </w:r>
      </w:hyperlink>
    </w:p>
    <w:p w14:paraId="4FC2BC0A" w14:textId="77777777" w:rsidR="00AD55A2" w:rsidRPr="00CC3317" w:rsidRDefault="0024639D">
      <w:pPr>
        <w:spacing w:before="22"/>
        <w:ind w:left="135"/>
        <w:rPr>
          <w:rFonts w:ascii="Verdana"/>
          <w:sz w:val="12"/>
          <w:u w:val="single"/>
        </w:rPr>
      </w:pPr>
      <w:proofErr w:type="spellStart"/>
      <w:r w:rsidRPr="00CC3317">
        <w:rPr>
          <w:rFonts w:ascii="Verdana"/>
          <w:color w:val="0000FF"/>
          <w:spacing w:val="-2"/>
          <w:w w:val="105"/>
          <w:sz w:val="12"/>
          <w:u w:val="single" w:color="0562C1"/>
        </w:rPr>
        <w:t>vBio</w:t>
      </w:r>
      <w:r w:rsidRPr="00CC3317">
        <w:rPr>
          <w:rFonts w:ascii="Verdana"/>
          <w:color w:val="0000FF"/>
          <w:spacing w:val="-2"/>
          <w:w w:val="105"/>
          <w:sz w:val="12"/>
          <w:u w:val="single"/>
        </w:rPr>
        <w:t>|vCard</w:t>
      </w:r>
      <w:proofErr w:type="spellEnd"/>
    </w:p>
    <w:p w14:paraId="4FC2BC0B" w14:textId="3DD6F44E" w:rsidR="00AD55A2" w:rsidRDefault="00AD55A2">
      <w:pPr>
        <w:pStyle w:val="BodyText"/>
        <w:spacing w:line="20" w:lineRule="exact"/>
        <w:ind w:left="469"/>
        <w:rPr>
          <w:rFonts w:ascii="Verdana"/>
          <w:sz w:val="2"/>
        </w:rPr>
      </w:pPr>
    </w:p>
    <w:p w14:paraId="4FC2BC0C" w14:textId="77777777" w:rsidR="00AD55A2" w:rsidRDefault="0024639D">
      <w:pPr>
        <w:spacing w:before="110" w:line="321" w:lineRule="auto"/>
        <w:ind w:left="112" w:right="5941"/>
        <w:rPr>
          <w:rFonts w:ascii="Verdana"/>
          <w:b/>
          <w:sz w:val="12"/>
        </w:rPr>
      </w:pPr>
      <w:r>
        <w:rPr>
          <w:rFonts w:ascii="Verdana"/>
          <w:b/>
          <w:color w:val="000001"/>
          <w:w w:val="105"/>
          <w:sz w:val="12"/>
        </w:rPr>
        <w:t>Healthcare,</w:t>
      </w:r>
      <w:r>
        <w:rPr>
          <w:rFonts w:ascii="Verdana"/>
          <w:b/>
          <w:color w:val="000001"/>
          <w:spacing w:val="-7"/>
          <w:w w:val="105"/>
          <w:sz w:val="12"/>
        </w:rPr>
        <w:t xml:space="preserve"> </w:t>
      </w:r>
      <w:r>
        <w:rPr>
          <w:rFonts w:ascii="Verdana"/>
          <w:b/>
          <w:color w:val="000001"/>
          <w:w w:val="105"/>
          <w:sz w:val="12"/>
        </w:rPr>
        <w:t>Life</w:t>
      </w:r>
      <w:r>
        <w:rPr>
          <w:rFonts w:ascii="Verdana"/>
          <w:b/>
          <w:color w:val="000001"/>
          <w:spacing w:val="-7"/>
          <w:w w:val="105"/>
          <w:sz w:val="12"/>
        </w:rPr>
        <w:t xml:space="preserve"> </w:t>
      </w:r>
      <w:r>
        <w:rPr>
          <w:rFonts w:ascii="Verdana"/>
          <w:b/>
          <w:color w:val="000001"/>
          <w:w w:val="105"/>
          <w:sz w:val="12"/>
        </w:rPr>
        <w:t>Sciences</w:t>
      </w:r>
      <w:r>
        <w:rPr>
          <w:rFonts w:ascii="Verdana"/>
          <w:b/>
          <w:color w:val="000001"/>
          <w:spacing w:val="-7"/>
          <w:w w:val="105"/>
          <w:sz w:val="12"/>
        </w:rPr>
        <w:t xml:space="preserve"> </w:t>
      </w:r>
      <w:r>
        <w:rPr>
          <w:rFonts w:ascii="Verdana"/>
          <w:b/>
          <w:color w:val="000001"/>
          <w:w w:val="105"/>
          <w:sz w:val="12"/>
        </w:rPr>
        <w:t>&amp;</w:t>
      </w:r>
      <w:r>
        <w:rPr>
          <w:rFonts w:ascii="Verdana"/>
          <w:b/>
          <w:color w:val="000001"/>
          <w:spacing w:val="-7"/>
          <w:w w:val="105"/>
          <w:sz w:val="12"/>
        </w:rPr>
        <w:t xml:space="preserve"> </w:t>
      </w:r>
      <w:r>
        <w:rPr>
          <w:rFonts w:ascii="Verdana"/>
          <w:b/>
          <w:color w:val="000001"/>
          <w:w w:val="105"/>
          <w:sz w:val="12"/>
        </w:rPr>
        <w:t>Education Healthcare Regulatory</w:t>
      </w:r>
    </w:p>
    <w:p w14:paraId="4FC2BC0D" w14:textId="61BF98E6" w:rsidR="00AD55A2" w:rsidRDefault="0024639D">
      <w:pPr>
        <w:spacing w:before="93" w:line="266" w:lineRule="auto"/>
        <w:ind w:left="112"/>
        <w:rPr>
          <w:rFonts w:ascii="Verdana" w:hAnsi="Verdana"/>
          <w:b/>
          <w:sz w:val="12"/>
        </w:rPr>
      </w:pPr>
      <w:r>
        <w:rPr>
          <w:rFonts w:ascii="Verdana" w:hAnsi="Verdana"/>
          <w:b/>
          <w:color w:val="00339F"/>
          <w:w w:val="105"/>
          <w:sz w:val="12"/>
        </w:rPr>
        <w:t xml:space="preserve">Husch Blackwell is redefining partnership and client service. With 800+ lawyers in more than 20 offices across the United States, including </w:t>
      </w:r>
      <w:r w:rsidRPr="008E4591">
        <w:rPr>
          <w:rFonts w:ascii="Verdana" w:hAnsi="Verdana"/>
          <w:b/>
          <w:color w:val="00339F"/>
          <w:w w:val="105"/>
          <w:sz w:val="12"/>
          <w:u w:val="single"/>
        </w:rPr>
        <w:t>The Link</w:t>
      </w:r>
      <w:r>
        <w:rPr>
          <w:rFonts w:ascii="Verdana" w:hAnsi="Verdana"/>
          <w:b/>
          <w:color w:val="00339F"/>
          <w:w w:val="105"/>
          <w:sz w:val="12"/>
        </w:rPr>
        <w:t xml:space="preserve"> virtual office, we are a national law firm with a coast</w:t>
      </w:r>
      <w:r>
        <w:rPr>
          <w:rFonts w:ascii="Times New Roman" w:hAnsi="Times New Roman"/>
          <w:color w:val="00339F"/>
          <w:w w:val="105"/>
          <w:sz w:val="12"/>
        </w:rPr>
        <w:t>‑</w:t>
      </w:r>
      <w:r>
        <w:rPr>
          <w:rFonts w:ascii="Verdana" w:hAnsi="Verdana"/>
          <w:b/>
          <w:color w:val="00339F"/>
          <w:w w:val="105"/>
          <w:sz w:val="12"/>
        </w:rPr>
        <w:t>to</w:t>
      </w:r>
      <w:r>
        <w:rPr>
          <w:rFonts w:ascii="Times New Roman" w:hAnsi="Times New Roman"/>
          <w:color w:val="00339F"/>
          <w:w w:val="105"/>
          <w:sz w:val="12"/>
        </w:rPr>
        <w:t>‑</w:t>
      </w:r>
      <w:r>
        <w:rPr>
          <w:rFonts w:ascii="Verdana" w:hAnsi="Verdana"/>
          <w:b/>
          <w:color w:val="00339F"/>
          <w:w w:val="105"/>
          <w:sz w:val="12"/>
        </w:rPr>
        <w:t>coast footprint</w:t>
      </w:r>
    </w:p>
    <w:p w14:paraId="4FC2BC0E" w14:textId="77777777" w:rsidR="00AD55A2" w:rsidRDefault="0024639D">
      <w:pPr>
        <w:spacing w:line="144" w:lineRule="exact"/>
        <w:ind w:left="112"/>
        <w:rPr>
          <w:rFonts w:ascii="Verdana"/>
          <w:b/>
          <w:sz w:val="12"/>
        </w:rPr>
      </w:pPr>
      <w:r>
        <w:rPr>
          <w:rFonts w:ascii="Verdana"/>
          <w:b/>
          <w:color w:val="00339F"/>
          <w:w w:val="105"/>
          <w:sz w:val="12"/>
        </w:rPr>
        <w:t>focused</w:t>
      </w:r>
      <w:r>
        <w:rPr>
          <w:rFonts w:ascii="Verdana"/>
          <w:b/>
          <w:color w:val="00339F"/>
          <w:spacing w:val="-4"/>
          <w:w w:val="105"/>
          <w:sz w:val="12"/>
        </w:rPr>
        <w:t xml:space="preserve"> </w:t>
      </w:r>
      <w:r>
        <w:rPr>
          <w:rFonts w:ascii="Verdana"/>
          <w:b/>
          <w:color w:val="00339F"/>
          <w:w w:val="105"/>
          <w:sz w:val="12"/>
        </w:rPr>
        <w:t>on</w:t>
      </w:r>
      <w:r>
        <w:rPr>
          <w:rFonts w:ascii="Verdana"/>
          <w:b/>
          <w:color w:val="00339F"/>
          <w:spacing w:val="-3"/>
          <w:w w:val="105"/>
          <w:sz w:val="12"/>
        </w:rPr>
        <w:t xml:space="preserve"> </w:t>
      </w:r>
      <w:r>
        <w:rPr>
          <w:rFonts w:ascii="Verdana"/>
          <w:b/>
          <w:color w:val="00339F"/>
          <w:w w:val="105"/>
          <w:sz w:val="12"/>
        </w:rPr>
        <w:t>tackling</w:t>
      </w:r>
      <w:r>
        <w:rPr>
          <w:rFonts w:ascii="Verdana"/>
          <w:b/>
          <w:color w:val="00339F"/>
          <w:spacing w:val="-4"/>
          <w:w w:val="105"/>
          <w:sz w:val="12"/>
        </w:rPr>
        <w:t xml:space="preserve"> </w:t>
      </w:r>
      <w:r>
        <w:rPr>
          <w:rFonts w:ascii="Verdana"/>
          <w:b/>
          <w:color w:val="00339F"/>
          <w:w w:val="105"/>
          <w:sz w:val="12"/>
        </w:rPr>
        <w:t>the</w:t>
      </w:r>
      <w:r>
        <w:rPr>
          <w:rFonts w:ascii="Verdana"/>
          <w:b/>
          <w:color w:val="00339F"/>
          <w:spacing w:val="-3"/>
          <w:w w:val="105"/>
          <w:sz w:val="12"/>
        </w:rPr>
        <w:t xml:space="preserve"> </w:t>
      </w:r>
      <w:r>
        <w:rPr>
          <w:rFonts w:ascii="Verdana"/>
          <w:b/>
          <w:color w:val="00339F"/>
          <w:w w:val="105"/>
          <w:sz w:val="12"/>
        </w:rPr>
        <w:t>most</w:t>
      </w:r>
      <w:r>
        <w:rPr>
          <w:rFonts w:ascii="Verdana"/>
          <w:b/>
          <w:color w:val="00339F"/>
          <w:spacing w:val="-3"/>
          <w:w w:val="105"/>
          <w:sz w:val="12"/>
        </w:rPr>
        <w:t xml:space="preserve"> </w:t>
      </w:r>
      <w:r>
        <w:rPr>
          <w:rFonts w:ascii="Verdana"/>
          <w:b/>
          <w:color w:val="00339F"/>
          <w:w w:val="105"/>
          <w:sz w:val="12"/>
        </w:rPr>
        <w:t>complex</w:t>
      </w:r>
      <w:r>
        <w:rPr>
          <w:rFonts w:ascii="Verdana"/>
          <w:b/>
          <w:color w:val="00339F"/>
          <w:spacing w:val="-4"/>
          <w:w w:val="105"/>
          <w:sz w:val="12"/>
        </w:rPr>
        <w:t xml:space="preserve"> </w:t>
      </w:r>
      <w:r>
        <w:rPr>
          <w:rFonts w:ascii="Verdana"/>
          <w:b/>
          <w:color w:val="00339F"/>
          <w:w w:val="105"/>
          <w:sz w:val="12"/>
        </w:rPr>
        <w:t>business</w:t>
      </w:r>
      <w:r>
        <w:rPr>
          <w:rFonts w:ascii="Verdana"/>
          <w:b/>
          <w:color w:val="00339F"/>
          <w:spacing w:val="-3"/>
          <w:w w:val="105"/>
          <w:sz w:val="12"/>
        </w:rPr>
        <w:t xml:space="preserve"> </w:t>
      </w:r>
      <w:r>
        <w:rPr>
          <w:rFonts w:ascii="Verdana"/>
          <w:b/>
          <w:color w:val="00339F"/>
          <w:spacing w:val="-2"/>
          <w:w w:val="105"/>
          <w:sz w:val="12"/>
        </w:rPr>
        <w:t>challenges.</w:t>
      </w:r>
    </w:p>
    <w:sectPr w:rsidR="00AD55A2">
      <w:pgSz w:w="12240" w:h="15840"/>
      <w:pgMar w:top="1040" w:right="138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45D2C"/>
    <w:multiLevelType w:val="hybridMultilevel"/>
    <w:tmpl w:val="A498F9D8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313042C3"/>
    <w:multiLevelType w:val="hybridMultilevel"/>
    <w:tmpl w:val="034A9738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 w16cid:durableId="544027185">
    <w:abstractNumId w:val="1"/>
  </w:num>
  <w:num w:numId="2" w16cid:durableId="177019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5A2"/>
    <w:rsid w:val="000A2644"/>
    <w:rsid w:val="0024639D"/>
    <w:rsid w:val="005763A8"/>
    <w:rsid w:val="00795B96"/>
    <w:rsid w:val="008E4591"/>
    <w:rsid w:val="00973B06"/>
    <w:rsid w:val="00AD55A2"/>
    <w:rsid w:val="00C57B87"/>
    <w:rsid w:val="00CC3317"/>
    <w:rsid w:val="00DF3C02"/>
    <w:rsid w:val="00F06A5C"/>
    <w:rsid w:val="00F0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4FC2BBE2"/>
  <w15:docId w15:val="{E7BD65E2-D895-42FD-B87A-29B58E52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33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.conover@mas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becca.rodman@mass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nis.Renaud@mass.gov" TargetMode="External"/><Relationship Id="rId11" Type="http://schemas.openxmlformats.org/officeDocument/2006/relationships/hyperlink" Target="huschblackwell.com" TargetMode="External"/><Relationship Id="rId5" Type="http://schemas.openxmlformats.org/officeDocument/2006/relationships/hyperlink" Target="mailto:Crystal.Bloom@huschblackwell.com" TargetMode="External"/><Relationship Id="rId10" Type="http://schemas.openxmlformats.org/officeDocument/2006/relationships/hyperlink" Target="mailto:Crystal.Bloom@huschblackwe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sey.Ciolfi@huschblackw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12</cp:revision>
  <dcterms:created xsi:type="dcterms:W3CDTF">2023-01-26T17:40:00Z</dcterms:created>
  <dcterms:modified xsi:type="dcterms:W3CDTF">2023-01-26T19:43:00Z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Acrobat PDFMaker 22 for Microsoft Outlook</vt:lpwstr>
  </property>
  <property fmtid="{D5CDD505-2E9C-101B-9397-08002B2CF9AE}" pid="4" name="LastSaved">
    <vt:filetime>2023-01-26T00:00:00Z</vt:filetime>
  </property>
  <property fmtid="{D5CDD505-2E9C-101B-9397-08002B2CF9AE}" pid="5" name="Producer">
    <vt:lpwstr>Adobe PDF Library 22.3.90</vt:lpwstr>
  </property>
</Properties>
</file>