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173D0" w14:textId="77777777" w:rsidR="007B56EA" w:rsidRDefault="007B56EA">
      <w:pPr>
        <w:pStyle w:val="BodyText"/>
        <w:rPr>
          <w:sz w:val="20"/>
        </w:rPr>
      </w:pPr>
    </w:p>
    <w:p w14:paraId="09A173D1" w14:textId="77777777" w:rsidR="007B56EA" w:rsidRDefault="007B56EA">
      <w:pPr>
        <w:pStyle w:val="BodyText"/>
        <w:rPr>
          <w:sz w:val="20"/>
        </w:rPr>
      </w:pPr>
    </w:p>
    <w:p w14:paraId="09A173D2" w14:textId="77777777" w:rsidR="007B56EA" w:rsidRDefault="007B56EA">
      <w:pPr>
        <w:pStyle w:val="BodyText"/>
        <w:rPr>
          <w:sz w:val="20"/>
        </w:rPr>
      </w:pPr>
    </w:p>
    <w:p w14:paraId="09A173D3" w14:textId="77777777" w:rsidR="007B56EA" w:rsidRDefault="007B56EA">
      <w:pPr>
        <w:pStyle w:val="BodyText"/>
        <w:rPr>
          <w:sz w:val="20"/>
        </w:rPr>
      </w:pPr>
    </w:p>
    <w:p w14:paraId="09A173D4" w14:textId="77777777" w:rsidR="007B56EA" w:rsidRDefault="007B56EA">
      <w:pPr>
        <w:pStyle w:val="BodyText"/>
        <w:rPr>
          <w:sz w:val="20"/>
        </w:rPr>
      </w:pPr>
    </w:p>
    <w:p w14:paraId="09A173D5" w14:textId="77777777" w:rsidR="007B56EA" w:rsidRDefault="007B56EA">
      <w:pPr>
        <w:pStyle w:val="BodyText"/>
        <w:spacing w:before="2"/>
        <w:rPr>
          <w:sz w:val="16"/>
        </w:rPr>
      </w:pPr>
    </w:p>
    <w:p w14:paraId="09A173D6" w14:textId="77777777" w:rsidR="007B56EA" w:rsidRDefault="00775EBC">
      <w:pPr>
        <w:spacing w:before="89"/>
        <w:ind w:left="2091" w:right="1768"/>
        <w:jc w:val="center"/>
        <w:rPr>
          <w:rFonts w:ascii="Arial"/>
          <w:sz w:val="37"/>
        </w:rPr>
      </w:pPr>
      <w:r>
        <w:rPr>
          <w:rFonts w:ascii="Arial"/>
          <w:w w:val="105"/>
          <w:sz w:val="37"/>
        </w:rPr>
        <w:t>New</w:t>
      </w:r>
      <w:r>
        <w:rPr>
          <w:rFonts w:ascii="Arial"/>
          <w:spacing w:val="10"/>
          <w:w w:val="105"/>
          <w:sz w:val="37"/>
        </w:rPr>
        <w:t xml:space="preserve"> </w:t>
      </w:r>
      <w:r>
        <w:rPr>
          <w:rFonts w:ascii="Arial"/>
          <w:w w:val="105"/>
          <w:sz w:val="37"/>
        </w:rPr>
        <w:t>England</w:t>
      </w:r>
      <w:r>
        <w:rPr>
          <w:rFonts w:ascii="Arial"/>
          <w:spacing w:val="17"/>
          <w:w w:val="105"/>
          <w:sz w:val="37"/>
        </w:rPr>
        <w:t xml:space="preserve"> </w:t>
      </w:r>
      <w:r>
        <w:rPr>
          <w:rFonts w:ascii="Arial"/>
          <w:w w:val="105"/>
          <w:sz w:val="37"/>
        </w:rPr>
        <w:t>Surgery</w:t>
      </w:r>
      <w:r>
        <w:rPr>
          <w:rFonts w:ascii="Arial"/>
          <w:spacing w:val="18"/>
          <w:w w:val="105"/>
          <w:sz w:val="37"/>
        </w:rPr>
        <w:t xml:space="preserve"> </w:t>
      </w:r>
      <w:r>
        <w:rPr>
          <w:rFonts w:ascii="Arial"/>
          <w:w w:val="105"/>
          <w:sz w:val="37"/>
        </w:rPr>
        <w:t>Center,</w:t>
      </w:r>
      <w:r>
        <w:rPr>
          <w:rFonts w:ascii="Arial"/>
          <w:spacing w:val="11"/>
          <w:w w:val="105"/>
          <w:sz w:val="37"/>
        </w:rPr>
        <w:t xml:space="preserve"> </w:t>
      </w:r>
      <w:r>
        <w:rPr>
          <w:rFonts w:ascii="Arial"/>
          <w:spacing w:val="-5"/>
          <w:w w:val="105"/>
          <w:sz w:val="37"/>
        </w:rPr>
        <w:t>LLC</w:t>
      </w:r>
    </w:p>
    <w:p w14:paraId="09A173D7" w14:textId="77777777" w:rsidR="007B56EA" w:rsidRDefault="007B56EA">
      <w:pPr>
        <w:pStyle w:val="BodyText"/>
        <w:rPr>
          <w:rFonts w:ascii="Arial"/>
          <w:sz w:val="40"/>
        </w:rPr>
      </w:pPr>
    </w:p>
    <w:p w14:paraId="09A173D8" w14:textId="77777777" w:rsidR="007B56EA" w:rsidRDefault="007B56EA">
      <w:pPr>
        <w:pStyle w:val="BodyText"/>
        <w:spacing w:before="2"/>
        <w:rPr>
          <w:rFonts w:ascii="Arial"/>
          <w:sz w:val="52"/>
        </w:rPr>
      </w:pPr>
    </w:p>
    <w:p w14:paraId="09A173D9" w14:textId="77777777" w:rsidR="007B56EA" w:rsidRDefault="00775EBC">
      <w:pPr>
        <w:spacing w:line="420" w:lineRule="auto"/>
        <w:ind w:left="2091" w:right="1770"/>
        <w:jc w:val="center"/>
        <w:rPr>
          <w:rFonts w:ascii="Arial"/>
          <w:sz w:val="37"/>
        </w:rPr>
      </w:pPr>
      <w:r>
        <w:rPr>
          <w:rFonts w:ascii="Arial"/>
          <w:w w:val="110"/>
          <w:sz w:val="37"/>
        </w:rPr>
        <w:t xml:space="preserve">Amendment for Determination of Need </w:t>
      </w:r>
      <w:proofErr w:type="spellStart"/>
      <w:r>
        <w:rPr>
          <w:rFonts w:ascii="Arial"/>
          <w:w w:val="110"/>
          <w:sz w:val="37"/>
        </w:rPr>
        <w:t>Applicatoin</w:t>
      </w:r>
      <w:proofErr w:type="spellEnd"/>
      <w:r>
        <w:rPr>
          <w:rFonts w:ascii="Arial"/>
          <w:w w:val="110"/>
          <w:sz w:val="37"/>
        </w:rPr>
        <w:t xml:space="preserve"> #20072809-AS</w:t>
      </w:r>
    </w:p>
    <w:p w14:paraId="09A173DA" w14:textId="77777777" w:rsidR="007B56EA" w:rsidRDefault="007B56EA">
      <w:pPr>
        <w:pStyle w:val="BodyText"/>
        <w:rPr>
          <w:rFonts w:ascii="Arial"/>
          <w:sz w:val="40"/>
        </w:rPr>
      </w:pPr>
    </w:p>
    <w:p w14:paraId="09A173DB" w14:textId="77777777" w:rsidR="007B56EA" w:rsidRDefault="007B56EA">
      <w:pPr>
        <w:pStyle w:val="BodyText"/>
        <w:rPr>
          <w:rFonts w:ascii="Arial"/>
          <w:sz w:val="40"/>
        </w:rPr>
      </w:pPr>
    </w:p>
    <w:p w14:paraId="09A173DC" w14:textId="77777777" w:rsidR="007B56EA" w:rsidRDefault="007B56EA">
      <w:pPr>
        <w:pStyle w:val="BodyText"/>
        <w:spacing w:before="7"/>
        <w:rPr>
          <w:rFonts w:ascii="Arial"/>
          <w:sz w:val="49"/>
        </w:rPr>
      </w:pPr>
    </w:p>
    <w:p w14:paraId="09A173DD" w14:textId="77777777" w:rsidR="007B56EA" w:rsidRDefault="00775EBC">
      <w:pPr>
        <w:ind w:left="2056" w:right="1770"/>
        <w:jc w:val="center"/>
        <w:rPr>
          <w:rFonts w:ascii="Arial"/>
          <w:sz w:val="37"/>
        </w:rPr>
      </w:pPr>
      <w:r>
        <w:rPr>
          <w:rFonts w:ascii="Arial"/>
          <w:w w:val="105"/>
          <w:sz w:val="37"/>
        </w:rPr>
        <w:t>June</w:t>
      </w:r>
      <w:r>
        <w:rPr>
          <w:rFonts w:ascii="Arial"/>
          <w:spacing w:val="8"/>
          <w:w w:val="105"/>
          <w:sz w:val="37"/>
        </w:rPr>
        <w:t xml:space="preserve"> </w:t>
      </w:r>
      <w:r>
        <w:rPr>
          <w:rFonts w:ascii="Arial"/>
          <w:w w:val="105"/>
          <w:sz w:val="37"/>
        </w:rPr>
        <w:t>22,</w:t>
      </w:r>
      <w:r>
        <w:rPr>
          <w:rFonts w:ascii="Arial"/>
          <w:spacing w:val="-4"/>
          <w:w w:val="105"/>
          <w:sz w:val="37"/>
        </w:rPr>
        <w:t xml:space="preserve"> 2022</w:t>
      </w:r>
    </w:p>
    <w:p w14:paraId="09A173DE" w14:textId="77777777" w:rsidR="007B56EA" w:rsidRDefault="007B56EA">
      <w:pPr>
        <w:pStyle w:val="BodyText"/>
        <w:rPr>
          <w:rFonts w:ascii="Arial"/>
          <w:sz w:val="40"/>
        </w:rPr>
      </w:pPr>
    </w:p>
    <w:p w14:paraId="09A173DF" w14:textId="77777777" w:rsidR="007B56EA" w:rsidRDefault="007B56EA">
      <w:pPr>
        <w:pStyle w:val="BodyText"/>
        <w:rPr>
          <w:rFonts w:ascii="Arial"/>
          <w:sz w:val="40"/>
        </w:rPr>
      </w:pPr>
    </w:p>
    <w:p w14:paraId="09A173E0" w14:textId="77777777" w:rsidR="007B56EA" w:rsidRDefault="007B56EA">
      <w:pPr>
        <w:pStyle w:val="BodyText"/>
        <w:rPr>
          <w:rFonts w:ascii="Arial"/>
          <w:sz w:val="40"/>
        </w:rPr>
      </w:pPr>
    </w:p>
    <w:p w14:paraId="09A173E1" w14:textId="77777777" w:rsidR="007B56EA" w:rsidRDefault="007B56EA">
      <w:pPr>
        <w:pStyle w:val="BodyText"/>
        <w:spacing w:before="9"/>
        <w:rPr>
          <w:rFonts w:ascii="Arial"/>
          <w:sz w:val="36"/>
        </w:rPr>
      </w:pPr>
    </w:p>
    <w:p w14:paraId="09A173E2" w14:textId="77777777" w:rsidR="007B56EA" w:rsidRDefault="00775EBC">
      <w:pPr>
        <w:spacing w:line="417" w:lineRule="auto"/>
        <w:ind w:left="2487" w:right="2229" w:firstLine="24"/>
        <w:jc w:val="center"/>
        <w:rPr>
          <w:rFonts w:ascii="Arial"/>
          <w:sz w:val="37"/>
        </w:rPr>
      </w:pPr>
      <w:r>
        <w:rPr>
          <w:rFonts w:ascii="Arial"/>
          <w:w w:val="105"/>
          <w:sz w:val="37"/>
        </w:rPr>
        <w:t>New England Surgery Center, LLC 900 Cummings Center, Suite 122U Beverly, MA 01915</w:t>
      </w:r>
    </w:p>
    <w:p w14:paraId="09A173E3" w14:textId="77777777" w:rsidR="007B56EA" w:rsidRDefault="007B56EA">
      <w:pPr>
        <w:spacing w:line="417" w:lineRule="auto"/>
        <w:jc w:val="center"/>
        <w:rPr>
          <w:rFonts w:ascii="Arial"/>
          <w:sz w:val="37"/>
        </w:rPr>
        <w:sectPr w:rsidR="007B56EA">
          <w:type w:val="continuous"/>
          <w:pgSz w:w="12270" w:h="15840"/>
          <w:pgMar w:top="1820" w:right="720" w:bottom="280" w:left="680" w:header="720" w:footer="720" w:gutter="0"/>
          <w:cols w:space="720"/>
        </w:sectPr>
      </w:pPr>
    </w:p>
    <w:p w14:paraId="09A173E4" w14:textId="77777777" w:rsidR="007B56EA" w:rsidRDefault="007B56EA">
      <w:pPr>
        <w:pStyle w:val="BodyText"/>
        <w:spacing w:before="6"/>
        <w:rPr>
          <w:rFonts w:ascii="Arial"/>
        </w:rPr>
      </w:pPr>
    </w:p>
    <w:p w14:paraId="09A173E5" w14:textId="77777777" w:rsidR="007B56EA" w:rsidRDefault="00775EBC">
      <w:pPr>
        <w:spacing w:before="91" w:line="456" w:lineRule="auto"/>
        <w:ind w:left="2134" w:right="1851" w:firstLine="147"/>
        <w:jc w:val="center"/>
        <w:rPr>
          <w:rFonts w:ascii="Arial"/>
          <w:b/>
          <w:sz w:val="29"/>
        </w:rPr>
      </w:pPr>
      <w:r>
        <w:rPr>
          <w:rFonts w:ascii="Arial"/>
          <w:b/>
          <w:w w:val="105"/>
          <w:sz w:val="29"/>
        </w:rPr>
        <w:t>New England Surgery Center, LLC Amendment</w:t>
      </w:r>
      <w:r>
        <w:rPr>
          <w:rFonts w:ascii="Arial"/>
          <w:b/>
          <w:spacing w:val="39"/>
          <w:w w:val="105"/>
          <w:sz w:val="29"/>
        </w:rPr>
        <w:t xml:space="preserve"> </w:t>
      </w:r>
      <w:r>
        <w:rPr>
          <w:rFonts w:ascii="Arial"/>
          <w:b/>
          <w:w w:val="105"/>
          <w:sz w:val="29"/>
        </w:rPr>
        <w:t xml:space="preserve">to </w:t>
      </w:r>
      <w:proofErr w:type="spellStart"/>
      <w:r>
        <w:rPr>
          <w:rFonts w:ascii="Arial"/>
          <w:b/>
          <w:w w:val="105"/>
          <w:sz w:val="29"/>
        </w:rPr>
        <w:t>DoN</w:t>
      </w:r>
      <w:proofErr w:type="spellEnd"/>
      <w:r>
        <w:rPr>
          <w:rFonts w:ascii="Arial"/>
          <w:b/>
          <w:w w:val="105"/>
          <w:sz w:val="29"/>
        </w:rPr>
        <w:t xml:space="preserve"> Application#</w:t>
      </w:r>
      <w:r>
        <w:rPr>
          <w:rFonts w:ascii="Arial"/>
          <w:b/>
          <w:spacing w:val="40"/>
          <w:w w:val="105"/>
          <w:sz w:val="29"/>
        </w:rPr>
        <w:t xml:space="preserve"> </w:t>
      </w:r>
      <w:r>
        <w:rPr>
          <w:rFonts w:ascii="Arial"/>
          <w:b/>
          <w:w w:val="105"/>
          <w:sz w:val="29"/>
        </w:rPr>
        <w:t>20072809-AS</w:t>
      </w:r>
    </w:p>
    <w:p w14:paraId="09A173E6" w14:textId="77777777" w:rsidR="007B56EA" w:rsidRDefault="007B56EA">
      <w:pPr>
        <w:pStyle w:val="BodyText"/>
        <w:rPr>
          <w:rFonts w:ascii="Arial"/>
          <w:b/>
          <w:sz w:val="32"/>
        </w:rPr>
      </w:pPr>
    </w:p>
    <w:p w14:paraId="09A173E7" w14:textId="77777777" w:rsidR="007B56EA" w:rsidRDefault="00775EBC">
      <w:pPr>
        <w:spacing w:before="276"/>
        <w:ind w:left="2091" w:right="1744"/>
        <w:jc w:val="center"/>
        <w:rPr>
          <w:rFonts w:ascii="Arial"/>
          <w:b/>
          <w:sz w:val="29"/>
        </w:rPr>
      </w:pPr>
      <w:r>
        <w:rPr>
          <w:rFonts w:ascii="Arial"/>
          <w:b/>
          <w:w w:val="105"/>
          <w:sz w:val="29"/>
        </w:rPr>
        <w:t>Table</w:t>
      </w:r>
      <w:r>
        <w:rPr>
          <w:rFonts w:ascii="Arial"/>
          <w:b/>
          <w:spacing w:val="12"/>
          <w:w w:val="105"/>
          <w:sz w:val="29"/>
        </w:rPr>
        <w:t xml:space="preserve"> </w:t>
      </w:r>
      <w:r>
        <w:rPr>
          <w:rFonts w:ascii="Arial"/>
          <w:b/>
          <w:w w:val="105"/>
          <w:sz w:val="29"/>
        </w:rPr>
        <w:t>of</w:t>
      </w:r>
      <w:r>
        <w:rPr>
          <w:rFonts w:ascii="Arial"/>
          <w:b/>
          <w:spacing w:val="-9"/>
          <w:w w:val="105"/>
          <w:sz w:val="29"/>
        </w:rPr>
        <w:t xml:space="preserve"> </w:t>
      </w:r>
      <w:r>
        <w:rPr>
          <w:rFonts w:ascii="Arial"/>
          <w:b/>
          <w:spacing w:val="-2"/>
          <w:w w:val="105"/>
          <w:sz w:val="29"/>
        </w:rPr>
        <w:t>Contents</w:t>
      </w:r>
    </w:p>
    <w:p w14:paraId="09A173E8" w14:textId="77777777" w:rsidR="007B56EA" w:rsidRDefault="007B56EA">
      <w:pPr>
        <w:pStyle w:val="BodyText"/>
        <w:rPr>
          <w:rFonts w:ascii="Arial"/>
          <w:b/>
          <w:sz w:val="32"/>
        </w:rPr>
      </w:pPr>
    </w:p>
    <w:p w14:paraId="09A173E9" w14:textId="77777777" w:rsidR="007B56EA" w:rsidRDefault="007B56EA">
      <w:pPr>
        <w:pStyle w:val="BodyText"/>
        <w:rPr>
          <w:rFonts w:ascii="Arial"/>
          <w:b/>
          <w:sz w:val="32"/>
        </w:rPr>
      </w:pPr>
    </w:p>
    <w:p w14:paraId="09A173EA" w14:textId="77777777" w:rsidR="007B56EA" w:rsidRDefault="007B56EA">
      <w:pPr>
        <w:pStyle w:val="BodyText"/>
        <w:rPr>
          <w:rFonts w:ascii="Arial"/>
          <w:b/>
          <w:sz w:val="32"/>
        </w:rPr>
      </w:pPr>
    </w:p>
    <w:p w14:paraId="09A173EB" w14:textId="77777777" w:rsidR="007B56EA" w:rsidRDefault="007B56EA">
      <w:pPr>
        <w:pStyle w:val="BodyText"/>
        <w:spacing w:before="3"/>
        <w:rPr>
          <w:rFonts w:ascii="Arial"/>
          <w:b/>
          <w:sz w:val="40"/>
        </w:rPr>
      </w:pPr>
    </w:p>
    <w:p w14:paraId="09A173EC" w14:textId="091FB997" w:rsidR="007B56EA" w:rsidRDefault="00775EBC">
      <w:pPr>
        <w:pStyle w:val="ListParagraph"/>
        <w:numPr>
          <w:ilvl w:val="0"/>
          <w:numId w:val="7"/>
        </w:numPr>
        <w:tabs>
          <w:tab w:val="left" w:pos="1620"/>
        </w:tabs>
        <w:rPr>
          <w:rFonts w:ascii="Arial"/>
          <w:sz w:val="21"/>
        </w:rPr>
      </w:pPr>
      <w:r>
        <w:rPr>
          <w:rFonts w:ascii="Arial"/>
          <w:w w:val="105"/>
          <w:sz w:val="21"/>
        </w:rPr>
        <w:t>Factor</w:t>
      </w:r>
      <w:r>
        <w:rPr>
          <w:rFonts w:ascii="Arial"/>
          <w:spacing w:val="-16"/>
          <w:w w:val="105"/>
          <w:sz w:val="21"/>
        </w:rPr>
        <w:t xml:space="preserve"> </w:t>
      </w:r>
      <w:r>
        <w:rPr>
          <w:rFonts w:ascii="Arial"/>
          <w:w w:val="105"/>
          <w:sz w:val="21"/>
        </w:rPr>
        <w:t>1</w:t>
      </w:r>
      <w:r w:rsidR="00E829BD">
        <w:rPr>
          <w:rFonts w:ascii="Arial"/>
          <w:w w:val="105"/>
          <w:sz w:val="20"/>
        </w:rPr>
        <w:t>0</w:t>
      </w:r>
      <w:r>
        <w:rPr>
          <w:rFonts w:ascii="Arial"/>
          <w:spacing w:val="-14"/>
          <w:w w:val="105"/>
          <w:sz w:val="20"/>
        </w:rPr>
        <w:t xml:space="preserve"> </w:t>
      </w:r>
      <w:r>
        <w:rPr>
          <w:rFonts w:ascii="Arial"/>
          <w:w w:val="105"/>
          <w:sz w:val="21"/>
        </w:rPr>
        <w:t>Amendment</w:t>
      </w:r>
      <w:r>
        <w:rPr>
          <w:rFonts w:ascii="Arial"/>
          <w:spacing w:val="4"/>
          <w:w w:val="105"/>
          <w:sz w:val="21"/>
        </w:rPr>
        <w:t xml:space="preserve"> </w:t>
      </w:r>
      <w:r>
        <w:rPr>
          <w:rFonts w:ascii="Arial"/>
          <w:spacing w:val="-2"/>
          <w:w w:val="105"/>
          <w:sz w:val="21"/>
        </w:rPr>
        <w:t>Narrative</w:t>
      </w:r>
    </w:p>
    <w:p w14:paraId="09A173ED" w14:textId="77777777" w:rsidR="007B56EA" w:rsidRDefault="00775EBC">
      <w:pPr>
        <w:pStyle w:val="ListParagraph"/>
        <w:numPr>
          <w:ilvl w:val="0"/>
          <w:numId w:val="7"/>
        </w:numPr>
        <w:tabs>
          <w:tab w:val="left" w:pos="1623"/>
        </w:tabs>
        <w:spacing w:before="76"/>
        <w:ind w:left="1622" w:hanging="346"/>
        <w:rPr>
          <w:rFonts w:ascii="Arial"/>
          <w:sz w:val="21"/>
        </w:rPr>
      </w:pPr>
      <w:r>
        <w:rPr>
          <w:rFonts w:ascii="Arial"/>
          <w:w w:val="105"/>
          <w:sz w:val="21"/>
        </w:rPr>
        <w:t>Affiliated</w:t>
      </w:r>
      <w:r>
        <w:rPr>
          <w:rFonts w:ascii="Arial"/>
          <w:spacing w:val="2"/>
          <w:w w:val="105"/>
          <w:sz w:val="21"/>
        </w:rPr>
        <w:t xml:space="preserve"> </w:t>
      </w:r>
      <w:r>
        <w:rPr>
          <w:rFonts w:ascii="Arial"/>
          <w:w w:val="105"/>
          <w:sz w:val="21"/>
        </w:rPr>
        <w:t>Parties</w:t>
      </w:r>
      <w:r>
        <w:rPr>
          <w:rFonts w:ascii="Arial"/>
          <w:spacing w:val="-8"/>
          <w:w w:val="105"/>
          <w:sz w:val="21"/>
        </w:rPr>
        <w:t xml:space="preserve"> </w:t>
      </w:r>
      <w:r>
        <w:rPr>
          <w:rFonts w:ascii="Arial"/>
          <w:spacing w:val="-4"/>
          <w:w w:val="105"/>
          <w:sz w:val="21"/>
        </w:rPr>
        <w:t>Form</w:t>
      </w:r>
    </w:p>
    <w:p w14:paraId="09A173EE" w14:textId="77777777" w:rsidR="007B56EA" w:rsidRDefault="00775EBC">
      <w:pPr>
        <w:pStyle w:val="ListParagraph"/>
        <w:numPr>
          <w:ilvl w:val="0"/>
          <w:numId w:val="7"/>
        </w:numPr>
        <w:tabs>
          <w:tab w:val="left" w:pos="1627"/>
        </w:tabs>
        <w:spacing w:before="76"/>
        <w:ind w:left="1626" w:hanging="361"/>
        <w:rPr>
          <w:rFonts w:ascii="Arial"/>
          <w:sz w:val="21"/>
        </w:rPr>
      </w:pPr>
      <w:r>
        <w:rPr>
          <w:rFonts w:ascii="Arial"/>
          <w:w w:val="105"/>
          <w:sz w:val="21"/>
        </w:rPr>
        <w:t>Copy</w:t>
      </w:r>
      <w:r>
        <w:rPr>
          <w:rFonts w:ascii="Arial"/>
          <w:spacing w:val="9"/>
          <w:w w:val="105"/>
          <w:sz w:val="21"/>
        </w:rPr>
        <w:t xml:space="preserve"> </w:t>
      </w:r>
      <w:r>
        <w:rPr>
          <w:rFonts w:ascii="Arial"/>
          <w:w w:val="105"/>
          <w:sz w:val="21"/>
        </w:rPr>
        <w:t>of</w:t>
      </w:r>
      <w:r>
        <w:rPr>
          <w:rFonts w:ascii="Arial"/>
          <w:spacing w:val="17"/>
          <w:w w:val="105"/>
          <w:sz w:val="21"/>
        </w:rPr>
        <w:t xml:space="preserve"> </w:t>
      </w:r>
      <w:r>
        <w:rPr>
          <w:rFonts w:ascii="Arial"/>
          <w:w w:val="105"/>
          <w:sz w:val="21"/>
        </w:rPr>
        <w:t>Notice</w:t>
      </w:r>
      <w:r>
        <w:rPr>
          <w:rFonts w:ascii="Arial"/>
          <w:spacing w:val="-14"/>
          <w:w w:val="105"/>
          <w:sz w:val="21"/>
        </w:rPr>
        <w:t xml:space="preserve"> </w:t>
      </w:r>
      <w:r>
        <w:rPr>
          <w:rFonts w:ascii="Arial"/>
          <w:w w:val="105"/>
          <w:sz w:val="21"/>
        </w:rPr>
        <w:t xml:space="preserve">of </w:t>
      </w:r>
      <w:r>
        <w:rPr>
          <w:rFonts w:ascii="Arial"/>
          <w:spacing w:val="-2"/>
          <w:w w:val="105"/>
          <w:sz w:val="21"/>
        </w:rPr>
        <w:t>Intent</w:t>
      </w:r>
    </w:p>
    <w:p w14:paraId="09A173EF" w14:textId="77777777" w:rsidR="007B56EA" w:rsidRDefault="00775EBC">
      <w:pPr>
        <w:pStyle w:val="ListParagraph"/>
        <w:numPr>
          <w:ilvl w:val="0"/>
          <w:numId w:val="7"/>
        </w:numPr>
        <w:tabs>
          <w:tab w:val="left" w:pos="1623"/>
        </w:tabs>
        <w:spacing w:before="83"/>
        <w:ind w:left="1622" w:hanging="350"/>
        <w:rPr>
          <w:rFonts w:ascii="Arial"/>
          <w:sz w:val="21"/>
        </w:rPr>
      </w:pPr>
      <w:r>
        <w:rPr>
          <w:rFonts w:ascii="Arial"/>
          <w:w w:val="105"/>
          <w:sz w:val="21"/>
        </w:rPr>
        <w:t>Affidavit</w:t>
      </w:r>
      <w:r>
        <w:rPr>
          <w:rFonts w:ascii="Arial"/>
          <w:spacing w:val="11"/>
          <w:w w:val="105"/>
          <w:sz w:val="21"/>
        </w:rPr>
        <w:t xml:space="preserve"> </w:t>
      </w:r>
      <w:r>
        <w:rPr>
          <w:rFonts w:ascii="Arial"/>
          <w:w w:val="105"/>
          <w:sz w:val="21"/>
        </w:rPr>
        <w:t>of</w:t>
      </w:r>
      <w:r>
        <w:rPr>
          <w:rFonts w:ascii="Arial"/>
          <w:spacing w:val="-6"/>
          <w:w w:val="105"/>
          <w:sz w:val="21"/>
        </w:rPr>
        <w:t xml:space="preserve"> </w:t>
      </w:r>
      <w:r>
        <w:rPr>
          <w:rFonts w:ascii="Arial"/>
          <w:w w:val="105"/>
          <w:sz w:val="21"/>
        </w:rPr>
        <w:t>Truthfulness</w:t>
      </w:r>
      <w:r>
        <w:rPr>
          <w:rFonts w:ascii="Arial"/>
          <w:spacing w:val="22"/>
          <w:w w:val="105"/>
          <w:sz w:val="21"/>
        </w:rPr>
        <w:t xml:space="preserve"> </w:t>
      </w:r>
      <w:r>
        <w:rPr>
          <w:rFonts w:ascii="Arial"/>
          <w:spacing w:val="-4"/>
          <w:w w:val="105"/>
          <w:sz w:val="21"/>
        </w:rPr>
        <w:t>Form</w:t>
      </w:r>
    </w:p>
    <w:p w14:paraId="09A173F0" w14:textId="77777777" w:rsidR="007B56EA" w:rsidRDefault="00775EBC">
      <w:pPr>
        <w:pStyle w:val="ListParagraph"/>
        <w:numPr>
          <w:ilvl w:val="0"/>
          <w:numId w:val="7"/>
        </w:numPr>
        <w:tabs>
          <w:tab w:val="left" w:pos="1620"/>
        </w:tabs>
        <w:spacing w:before="76"/>
        <w:ind w:hanging="339"/>
        <w:rPr>
          <w:rFonts w:ascii="Arial"/>
          <w:sz w:val="21"/>
        </w:rPr>
      </w:pPr>
      <w:r>
        <w:rPr>
          <w:rFonts w:ascii="Arial"/>
          <w:w w:val="105"/>
          <w:sz w:val="21"/>
        </w:rPr>
        <w:t>Staff</w:t>
      </w:r>
      <w:r>
        <w:rPr>
          <w:rFonts w:ascii="Arial"/>
          <w:spacing w:val="-15"/>
          <w:w w:val="105"/>
          <w:sz w:val="21"/>
        </w:rPr>
        <w:t xml:space="preserve"> </w:t>
      </w:r>
      <w:r>
        <w:rPr>
          <w:rFonts w:ascii="Arial"/>
          <w:w w:val="105"/>
          <w:sz w:val="21"/>
        </w:rPr>
        <w:t>Summary</w:t>
      </w:r>
      <w:r>
        <w:rPr>
          <w:rFonts w:ascii="Arial"/>
          <w:spacing w:val="-10"/>
          <w:w w:val="105"/>
          <w:sz w:val="21"/>
        </w:rPr>
        <w:t xml:space="preserve"> </w:t>
      </w:r>
      <w:r>
        <w:rPr>
          <w:rFonts w:ascii="Arial"/>
          <w:w w:val="105"/>
          <w:sz w:val="21"/>
        </w:rPr>
        <w:t>for</w:t>
      </w:r>
      <w:r>
        <w:rPr>
          <w:rFonts w:ascii="Arial"/>
          <w:spacing w:val="18"/>
          <w:w w:val="105"/>
          <w:sz w:val="21"/>
        </w:rPr>
        <w:t xml:space="preserve"> </w:t>
      </w:r>
      <w:r>
        <w:rPr>
          <w:rFonts w:ascii="Arial"/>
          <w:w w:val="105"/>
          <w:sz w:val="21"/>
        </w:rPr>
        <w:t>Approved</w:t>
      </w:r>
      <w:r>
        <w:rPr>
          <w:rFonts w:ascii="Arial"/>
          <w:spacing w:val="-3"/>
          <w:w w:val="105"/>
          <w:sz w:val="21"/>
        </w:rPr>
        <w:t xml:space="preserve"> </w:t>
      </w:r>
      <w:proofErr w:type="spellStart"/>
      <w:r>
        <w:rPr>
          <w:rFonts w:ascii="Arial"/>
          <w:spacing w:val="-5"/>
          <w:w w:val="105"/>
          <w:sz w:val="21"/>
        </w:rPr>
        <w:t>DoN</w:t>
      </w:r>
      <w:proofErr w:type="spellEnd"/>
    </w:p>
    <w:p w14:paraId="09A173F1" w14:textId="77777777" w:rsidR="007B56EA" w:rsidRDefault="00775EBC">
      <w:pPr>
        <w:pStyle w:val="ListParagraph"/>
        <w:numPr>
          <w:ilvl w:val="0"/>
          <w:numId w:val="7"/>
        </w:numPr>
        <w:tabs>
          <w:tab w:val="left" w:pos="1627"/>
        </w:tabs>
        <w:spacing w:before="76"/>
        <w:ind w:left="1626" w:hanging="353"/>
        <w:rPr>
          <w:rFonts w:ascii="Arial"/>
          <w:sz w:val="21"/>
        </w:rPr>
      </w:pPr>
      <w:r>
        <w:rPr>
          <w:rFonts w:ascii="Arial"/>
          <w:w w:val="105"/>
          <w:sz w:val="21"/>
        </w:rPr>
        <w:t>Copy</w:t>
      </w:r>
      <w:r>
        <w:rPr>
          <w:rFonts w:ascii="Arial"/>
          <w:spacing w:val="-16"/>
          <w:w w:val="105"/>
          <w:sz w:val="21"/>
        </w:rPr>
        <w:t xml:space="preserve"> </w:t>
      </w:r>
      <w:r>
        <w:rPr>
          <w:rFonts w:ascii="Arial"/>
          <w:w w:val="105"/>
          <w:sz w:val="21"/>
        </w:rPr>
        <w:t>of</w:t>
      </w:r>
      <w:r>
        <w:rPr>
          <w:rFonts w:ascii="Arial"/>
          <w:spacing w:val="3"/>
          <w:w w:val="105"/>
          <w:sz w:val="21"/>
        </w:rPr>
        <w:t xml:space="preserve"> </w:t>
      </w:r>
      <w:r>
        <w:rPr>
          <w:rFonts w:ascii="Arial"/>
          <w:w w:val="105"/>
          <w:sz w:val="21"/>
        </w:rPr>
        <w:t>Original</w:t>
      </w:r>
      <w:r>
        <w:rPr>
          <w:rFonts w:ascii="Arial"/>
          <w:spacing w:val="-6"/>
          <w:w w:val="105"/>
          <w:sz w:val="21"/>
        </w:rPr>
        <w:t xml:space="preserve"> </w:t>
      </w:r>
      <w:r>
        <w:rPr>
          <w:rFonts w:ascii="Arial"/>
          <w:w w:val="105"/>
          <w:sz w:val="21"/>
        </w:rPr>
        <w:t>Decision</w:t>
      </w:r>
      <w:r>
        <w:rPr>
          <w:rFonts w:ascii="Arial"/>
          <w:spacing w:val="-8"/>
          <w:w w:val="105"/>
          <w:sz w:val="21"/>
        </w:rPr>
        <w:t xml:space="preserve"> </w:t>
      </w:r>
      <w:r>
        <w:rPr>
          <w:rFonts w:ascii="Arial"/>
          <w:w w:val="105"/>
          <w:sz w:val="21"/>
        </w:rPr>
        <w:t>Letter</w:t>
      </w:r>
      <w:r>
        <w:rPr>
          <w:rFonts w:ascii="Arial"/>
          <w:spacing w:val="-16"/>
          <w:w w:val="105"/>
          <w:sz w:val="21"/>
        </w:rPr>
        <w:t xml:space="preserve"> </w:t>
      </w:r>
      <w:r>
        <w:rPr>
          <w:rFonts w:ascii="Arial"/>
          <w:w w:val="105"/>
          <w:sz w:val="21"/>
        </w:rPr>
        <w:t>for</w:t>
      </w:r>
      <w:r>
        <w:rPr>
          <w:rFonts w:ascii="Arial"/>
          <w:spacing w:val="-4"/>
          <w:w w:val="105"/>
          <w:sz w:val="21"/>
        </w:rPr>
        <w:t xml:space="preserve"> </w:t>
      </w:r>
      <w:r>
        <w:rPr>
          <w:rFonts w:ascii="Arial"/>
          <w:w w:val="105"/>
          <w:sz w:val="21"/>
        </w:rPr>
        <w:t>Approved</w:t>
      </w:r>
      <w:r>
        <w:rPr>
          <w:rFonts w:ascii="Arial"/>
          <w:spacing w:val="-5"/>
          <w:w w:val="105"/>
          <w:sz w:val="21"/>
        </w:rPr>
        <w:t xml:space="preserve"> </w:t>
      </w:r>
      <w:proofErr w:type="spellStart"/>
      <w:r>
        <w:rPr>
          <w:rFonts w:ascii="Arial"/>
          <w:spacing w:val="-5"/>
          <w:w w:val="105"/>
          <w:sz w:val="21"/>
        </w:rPr>
        <w:t>DoN</w:t>
      </w:r>
      <w:proofErr w:type="spellEnd"/>
    </w:p>
    <w:p w14:paraId="09A173F2" w14:textId="77777777" w:rsidR="007B56EA" w:rsidRDefault="007B56EA">
      <w:pPr>
        <w:rPr>
          <w:rFonts w:ascii="Arial"/>
          <w:sz w:val="21"/>
        </w:rPr>
        <w:sectPr w:rsidR="007B56EA">
          <w:pgSz w:w="12270" w:h="15840"/>
          <w:pgMar w:top="1820" w:right="720" w:bottom="280" w:left="680" w:header="720" w:footer="720" w:gutter="0"/>
          <w:cols w:space="720"/>
        </w:sectPr>
      </w:pPr>
    </w:p>
    <w:p w14:paraId="09A173F3" w14:textId="77777777" w:rsidR="007B56EA" w:rsidRDefault="007B56EA">
      <w:pPr>
        <w:pStyle w:val="BodyText"/>
        <w:rPr>
          <w:rFonts w:ascii="Arial"/>
          <w:sz w:val="20"/>
        </w:rPr>
      </w:pPr>
    </w:p>
    <w:p w14:paraId="09A173F4" w14:textId="77777777" w:rsidR="007B56EA" w:rsidRDefault="007B56EA">
      <w:pPr>
        <w:pStyle w:val="BodyText"/>
        <w:rPr>
          <w:rFonts w:ascii="Arial"/>
          <w:sz w:val="20"/>
        </w:rPr>
      </w:pPr>
    </w:p>
    <w:p w14:paraId="09A173F5" w14:textId="77777777" w:rsidR="007B56EA" w:rsidRDefault="007B56EA">
      <w:pPr>
        <w:pStyle w:val="BodyText"/>
        <w:rPr>
          <w:rFonts w:ascii="Arial"/>
          <w:sz w:val="20"/>
        </w:rPr>
      </w:pPr>
    </w:p>
    <w:p w14:paraId="09A173F6" w14:textId="77777777" w:rsidR="007B56EA" w:rsidRDefault="007B56EA">
      <w:pPr>
        <w:pStyle w:val="BodyText"/>
        <w:rPr>
          <w:rFonts w:ascii="Arial"/>
          <w:sz w:val="20"/>
        </w:rPr>
      </w:pPr>
    </w:p>
    <w:p w14:paraId="09A173F7" w14:textId="77777777" w:rsidR="007B56EA" w:rsidRDefault="007B56EA">
      <w:pPr>
        <w:pStyle w:val="BodyText"/>
        <w:rPr>
          <w:rFonts w:ascii="Arial"/>
          <w:sz w:val="20"/>
        </w:rPr>
      </w:pPr>
    </w:p>
    <w:p w14:paraId="09A173F8" w14:textId="77777777" w:rsidR="007B56EA" w:rsidRDefault="007B56EA">
      <w:pPr>
        <w:pStyle w:val="BodyText"/>
        <w:rPr>
          <w:rFonts w:ascii="Arial"/>
          <w:sz w:val="20"/>
        </w:rPr>
      </w:pPr>
    </w:p>
    <w:p w14:paraId="09A173F9" w14:textId="77777777" w:rsidR="007B56EA" w:rsidRDefault="007B56EA">
      <w:pPr>
        <w:pStyle w:val="BodyText"/>
        <w:rPr>
          <w:rFonts w:ascii="Arial"/>
          <w:sz w:val="20"/>
        </w:rPr>
      </w:pPr>
    </w:p>
    <w:p w14:paraId="09A173FA" w14:textId="77777777" w:rsidR="007B56EA" w:rsidRDefault="007B56EA">
      <w:pPr>
        <w:pStyle w:val="BodyText"/>
        <w:rPr>
          <w:rFonts w:ascii="Arial"/>
          <w:sz w:val="20"/>
        </w:rPr>
      </w:pPr>
    </w:p>
    <w:p w14:paraId="09A173FB" w14:textId="77777777" w:rsidR="007B56EA" w:rsidRDefault="007B56EA">
      <w:pPr>
        <w:pStyle w:val="BodyText"/>
        <w:rPr>
          <w:rFonts w:ascii="Arial"/>
          <w:sz w:val="20"/>
        </w:rPr>
      </w:pPr>
    </w:p>
    <w:p w14:paraId="09A173FC" w14:textId="77777777" w:rsidR="007B56EA" w:rsidRDefault="007B56EA">
      <w:pPr>
        <w:pStyle w:val="BodyText"/>
        <w:rPr>
          <w:rFonts w:ascii="Arial"/>
          <w:sz w:val="20"/>
        </w:rPr>
      </w:pPr>
    </w:p>
    <w:p w14:paraId="09A173FD" w14:textId="77777777" w:rsidR="007B56EA" w:rsidRDefault="007B56EA">
      <w:pPr>
        <w:pStyle w:val="BodyText"/>
        <w:rPr>
          <w:rFonts w:ascii="Arial"/>
        </w:rPr>
      </w:pPr>
    </w:p>
    <w:p w14:paraId="09A173FE" w14:textId="77777777" w:rsidR="007B56EA" w:rsidRDefault="00775EBC">
      <w:pPr>
        <w:pStyle w:val="Heading1"/>
        <w:ind w:right="1063"/>
      </w:pPr>
      <w:r>
        <w:rPr>
          <w:w w:val="110"/>
        </w:rPr>
        <w:t>Attachment</w:t>
      </w:r>
      <w:r>
        <w:rPr>
          <w:spacing w:val="62"/>
          <w:w w:val="150"/>
        </w:rPr>
        <w:t xml:space="preserve"> </w:t>
      </w:r>
      <w:r>
        <w:rPr>
          <w:spacing w:val="-10"/>
          <w:w w:val="110"/>
        </w:rPr>
        <w:t>1</w:t>
      </w:r>
    </w:p>
    <w:p w14:paraId="09A173FF" w14:textId="77777777" w:rsidR="007B56EA" w:rsidRDefault="007B56EA">
      <w:pPr>
        <w:sectPr w:rsidR="007B56EA">
          <w:pgSz w:w="12270" w:h="15840"/>
          <w:pgMar w:top="1820" w:right="720" w:bottom="280" w:left="680" w:header="720" w:footer="720" w:gutter="0"/>
          <w:cols w:space="720"/>
        </w:sectPr>
      </w:pPr>
    </w:p>
    <w:p w14:paraId="09A17400" w14:textId="77777777" w:rsidR="007B56EA" w:rsidRDefault="00775EBC">
      <w:pPr>
        <w:spacing w:before="72"/>
        <w:ind w:left="885"/>
        <w:rPr>
          <w:rFonts w:ascii="Arial"/>
          <w:sz w:val="20"/>
        </w:rPr>
      </w:pPr>
      <w:proofErr w:type="spellStart"/>
      <w:r>
        <w:rPr>
          <w:rFonts w:ascii="Arial"/>
          <w:w w:val="95"/>
          <w:sz w:val="20"/>
        </w:rPr>
        <w:lastRenderedPageBreak/>
        <w:t>DoN</w:t>
      </w:r>
      <w:proofErr w:type="spellEnd"/>
      <w:r>
        <w:rPr>
          <w:rFonts w:ascii="Arial"/>
          <w:spacing w:val="12"/>
          <w:sz w:val="20"/>
        </w:rPr>
        <w:t xml:space="preserve"> </w:t>
      </w:r>
      <w:r>
        <w:rPr>
          <w:rFonts w:ascii="Arial"/>
          <w:w w:val="95"/>
          <w:sz w:val="20"/>
        </w:rPr>
        <w:t>Project</w:t>
      </w:r>
      <w:r>
        <w:rPr>
          <w:rFonts w:ascii="Arial"/>
          <w:spacing w:val="24"/>
          <w:sz w:val="20"/>
        </w:rPr>
        <w:t xml:space="preserve"> </w:t>
      </w:r>
      <w:r>
        <w:rPr>
          <w:rFonts w:ascii="Arial"/>
          <w:w w:val="95"/>
          <w:sz w:val="20"/>
        </w:rPr>
        <w:t>#20072809-</w:t>
      </w:r>
      <w:r>
        <w:rPr>
          <w:rFonts w:ascii="Arial"/>
          <w:spacing w:val="-5"/>
          <w:w w:val="95"/>
          <w:sz w:val="20"/>
        </w:rPr>
        <w:t>AS</w:t>
      </w:r>
    </w:p>
    <w:p w14:paraId="09A17401" w14:textId="77777777" w:rsidR="007B56EA" w:rsidRDefault="00775EBC">
      <w:pPr>
        <w:spacing w:before="66" w:line="309" w:lineRule="auto"/>
        <w:ind w:left="884" w:right="6284" w:firstLine="1"/>
        <w:rPr>
          <w:rFonts w:ascii="Arial"/>
          <w:sz w:val="20"/>
        </w:rPr>
      </w:pPr>
      <w:r>
        <w:rPr>
          <w:rFonts w:ascii="Arial"/>
          <w:w w:val="95"/>
          <w:sz w:val="20"/>
        </w:rPr>
        <w:t xml:space="preserve">New England Surgery Center, LLC </w:t>
      </w:r>
      <w:r>
        <w:rPr>
          <w:rFonts w:ascii="Arial"/>
          <w:sz w:val="20"/>
        </w:rPr>
        <w:t>Significant Amendment</w:t>
      </w:r>
    </w:p>
    <w:p w14:paraId="09A17402" w14:textId="77777777" w:rsidR="007B56EA" w:rsidRDefault="007B56EA">
      <w:pPr>
        <w:pStyle w:val="BodyText"/>
        <w:rPr>
          <w:rFonts w:ascii="Arial"/>
          <w:sz w:val="22"/>
        </w:rPr>
      </w:pPr>
    </w:p>
    <w:p w14:paraId="09A17403" w14:textId="77777777" w:rsidR="007B56EA" w:rsidRPr="00A04627" w:rsidRDefault="00775EBC">
      <w:pPr>
        <w:pStyle w:val="ListParagraph"/>
        <w:numPr>
          <w:ilvl w:val="2"/>
          <w:numId w:val="6"/>
        </w:numPr>
        <w:tabs>
          <w:tab w:val="left" w:pos="1600"/>
        </w:tabs>
        <w:spacing w:before="185"/>
        <w:ind w:hanging="722"/>
        <w:rPr>
          <w:rFonts w:ascii="Arial"/>
          <w:sz w:val="20"/>
          <w:u w:val="single"/>
        </w:rPr>
      </w:pPr>
      <w:r w:rsidRPr="00A04627">
        <w:rPr>
          <w:rFonts w:ascii="Arial"/>
          <w:sz w:val="20"/>
          <w:u w:val="single"/>
        </w:rPr>
        <w:t>Described</w:t>
      </w:r>
      <w:r w:rsidRPr="00A04627">
        <w:rPr>
          <w:rFonts w:ascii="Arial"/>
          <w:spacing w:val="-8"/>
          <w:sz w:val="20"/>
          <w:u w:val="single"/>
        </w:rPr>
        <w:t xml:space="preserve"> </w:t>
      </w:r>
      <w:r w:rsidRPr="00A04627">
        <w:rPr>
          <w:rFonts w:ascii="Arial"/>
          <w:sz w:val="20"/>
          <w:u w:val="single"/>
        </w:rPr>
        <w:t>the</w:t>
      </w:r>
      <w:r w:rsidRPr="00A04627">
        <w:rPr>
          <w:rFonts w:ascii="Arial"/>
          <w:spacing w:val="15"/>
          <w:sz w:val="20"/>
          <w:u w:val="single"/>
        </w:rPr>
        <w:t xml:space="preserve"> </w:t>
      </w:r>
      <w:r w:rsidRPr="00A04627">
        <w:rPr>
          <w:rFonts w:ascii="Arial"/>
          <w:sz w:val="20"/>
          <w:u w:val="single"/>
        </w:rPr>
        <w:t>proposed</w:t>
      </w:r>
      <w:r w:rsidRPr="00A04627">
        <w:rPr>
          <w:rFonts w:ascii="Arial"/>
          <w:spacing w:val="-4"/>
          <w:sz w:val="20"/>
          <w:u w:val="single"/>
        </w:rPr>
        <w:t xml:space="preserve"> </w:t>
      </w:r>
      <w:r w:rsidRPr="00A04627">
        <w:rPr>
          <w:rFonts w:ascii="Arial"/>
          <w:spacing w:val="-2"/>
          <w:sz w:val="20"/>
          <w:u w:val="single"/>
        </w:rPr>
        <w:t>change.</w:t>
      </w:r>
    </w:p>
    <w:p w14:paraId="09A17404" w14:textId="77777777" w:rsidR="007B56EA" w:rsidRDefault="007B56EA">
      <w:pPr>
        <w:pStyle w:val="BodyText"/>
        <w:spacing w:before="3"/>
        <w:rPr>
          <w:rFonts w:ascii="Arial"/>
          <w:sz w:val="18"/>
        </w:rPr>
      </w:pPr>
    </w:p>
    <w:p w14:paraId="09A17405" w14:textId="77777777" w:rsidR="007B56EA" w:rsidRDefault="00775EBC">
      <w:pPr>
        <w:spacing w:line="304" w:lineRule="auto"/>
        <w:ind w:left="886" w:right="605" w:hanging="5"/>
        <w:rPr>
          <w:rFonts w:ascii="Arial"/>
          <w:sz w:val="20"/>
        </w:rPr>
      </w:pPr>
      <w:r>
        <w:rPr>
          <w:rFonts w:ascii="Arial"/>
          <w:w w:val="105"/>
          <w:sz w:val="20"/>
        </w:rPr>
        <w:t>This</w:t>
      </w:r>
      <w:r>
        <w:rPr>
          <w:rFonts w:ascii="Arial"/>
          <w:spacing w:val="-15"/>
          <w:w w:val="105"/>
          <w:sz w:val="20"/>
        </w:rPr>
        <w:t xml:space="preserve"> </w:t>
      </w:r>
      <w:r>
        <w:rPr>
          <w:rFonts w:ascii="Arial"/>
          <w:w w:val="105"/>
          <w:sz w:val="20"/>
        </w:rPr>
        <w:t>amendment</w:t>
      </w:r>
      <w:r>
        <w:rPr>
          <w:rFonts w:ascii="Arial"/>
          <w:spacing w:val="-12"/>
          <w:w w:val="105"/>
          <w:sz w:val="20"/>
        </w:rPr>
        <w:t xml:space="preserve"> </w:t>
      </w:r>
      <w:r>
        <w:rPr>
          <w:rFonts w:ascii="Arial"/>
          <w:w w:val="105"/>
          <w:sz w:val="20"/>
        </w:rPr>
        <w:t>is</w:t>
      </w:r>
      <w:r>
        <w:rPr>
          <w:rFonts w:ascii="Arial"/>
          <w:spacing w:val="-15"/>
          <w:w w:val="105"/>
          <w:sz w:val="20"/>
        </w:rPr>
        <w:t xml:space="preserve"> </w:t>
      </w:r>
      <w:r>
        <w:rPr>
          <w:rFonts w:ascii="Arial"/>
          <w:w w:val="105"/>
          <w:sz w:val="20"/>
        </w:rPr>
        <w:t>filed</w:t>
      </w:r>
      <w:r>
        <w:rPr>
          <w:rFonts w:ascii="Arial"/>
          <w:spacing w:val="-14"/>
          <w:w w:val="105"/>
          <w:sz w:val="20"/>
        </w:rPr>
        <w:t xml:space="preserve"> </w:t>
      </w:r>
      <w:r>
        <w:rPr>
          <w:rFonts w:ascii="Arial"/>
          <w:w w:val="105"/>
          <w:sz w:val="20"/>
        </w:rPr>
        <w:t>for</w:t>
      </w:r>
      <w:r>
        <w:rPr>
          <w:rFonts w:ascii="Arial"/>
          <w:spacing w:val="-15"/>
          <w:w w:val="105"/>
          <w:sz w:val="20"/>
        </w:rPr>
        <w:t xml:space="preserve"> </w:t>
      </w:r>
      <w:r>
        <w:rPr>
          <w:rFonts w:ascii="Arial"/>
          <w:w w:val="105"/>
          <w:sz w:val="20"/>
        </w:rPr>
        <w:t>the</w:t>
      </w:r>
      <w:r>
        <w:rPr>
          <w:rFonts w:ascii="Arial"/>
          <w:spacing w:val="-11"/>
          <w:w w:val="105"/>
          <w:sz w:val="20"/>
        </w:rPr>
        <w:t xml:space="preserve"> </w:t>
      </w:r>
      <w:r>
        <w:rPr>
          <w:rFonts w:ascii="Arial"/>
          <w:w w:val="105"/>
          <w:sz w:val="20"/>
        </w:rPr>
        <w:t>purpose</w:t>
      </w:r>
      <w:r>
        <w:rPr>
          <w:rFonts w:ascii="Arial"/>
          <w:spacing w:val="-13"/>
          <w:w w:val="105"/>
          <w:sz w:val="20"/>
        </w:rPr>
        <w:t xml:space="preserve"> </w:t>
      </w:r>
      <w:r>
        <w:rPr>
          <w:rFonts w:ascii="Arial"/>
          <w:w w:val="105"/>
          <w:sz w:val="20"/>
        </w:rPr>
        <w:t>of</w:t>
      </w:r>
      <w:r>
        <w:rPr>
          <w:rFonts w:ascii="Arial"/>
          <w:spacing w:val="-5"/>
          <w:w w:val="105"/>
          <w:sz w:val="20"/>
        </w:rPr>
        <w:t xml:space="preserve"> </w:t>
      </w:r>
      <w:r>
        <w:rPr>
          <w:rFonts w:ascii="Arial"/>
          <w:w w:val="105"/>
          <w:sz w:val="20"/>
        </w:rPr>
        <w:t>requesting</w:t>
      </w:r>
      <w:r>
        <w:rPr>
          <w:rFonts w:ascii="Arial"/>
          <w:spacing w:val="-15"/>
          <w:w w:val="105"/>
          <w:sz w:val="20"/>
        </w:rPr>
        <w:t xml:space="preserve"> </w:t>
      </w:r>
      <w:r>
        <w:rPr>
          <w:rFonts w:ascii="Arial"/>
          <w:w w:val="105"/>
          <w:sz w:val="20"/>
        </w:rPr>
        <w:t>an</w:t>
      </w:r>
      <w:r>
        <w:rPr>
          <w:rFonts w:ascii="Arial"/>
          <w:spacing w:val="-18"/>
          <w:w w:val="105"/>
          <w:sz w:val="20"/>
        </w:rPr>
        <w:t xml:space="preserve"> </w:t>
      </w:r>
      <w:r>
        <w:rPr>
          <w:rFonts w:ascii="Arial"/>
          <w:w w:val="105"/>
          <w:sz w:val="20"/>
        </w:rPr>
        <w:t>increase</w:t>
      </w:r>
      <w:r>
        <w:rPr>
          <w:rFonts w:ascii="Arial"/>
          <w:spacing w:val="-8"/>
          <w:w w:val="105"/>
          <w:sz w:val="20"/>
        </w:rPr>
        <w:t xml:space="preserve"> </w:t>
      </w:r>
      <w:r>
        <w:rPr>
          <w:rFonts w:ascii="Arial"/>
          <w:w w:val="105"/>
          <w:sz w:val="20"/>
        </w:rPr>
        <w:t>in</w:t>
      </w:r>
      <w:r>
        <w:rPr>
          <w:rFonts w:ascii="Arial"/>
          <w:spacing w:val="-9"/>
          <w:w w:val="105"/>
          <w:sz w:val="20"/>
        </w:rPr>
        <w:t xml:space="preserve"> </w:t>
      </w:r>
      <w:r>
        <w:rPr>
          <w:rFonts w:ascii="Arial"/>
          <w:w w:val="105"/>
          <w:sz w:val="20"/>
        </w:rPr>
        <w:t>the</w:t>
      </w:r>
      <w:r>
        <w:rPr>
          <w:rFonts w:ascii="Arial"/>
          <w:spacing w:val="12"/>
          <w:w w:val="105"/>
          <w:sz w:val="20"/>
        </w:rPr>
        <w:t xml:space="preserve"> </w:t>
      </w:r>
      <w:proofErr w:type="spellStart"/>
      <w:r>
        <w:rPr>
          <w:rFonts w:ascii="Arial"/>
          <w:w w:val="105"/>
          <w:sz w:val="20"/>
        </w:rPr>
        <w:t>DoN</w:t>
      </w:r>
      <w:proofErr w:type="spellEnd"/>
      <w:r>
        <w:rPr>
          <w:rFonts w:ascii="Arial"/>
          <w:spacing w:val="-15"/>
          <w:w w:val="105"/>
          <w:sz w:val="20"/>
        </w:rPr>
        <w:t xml:space="preserve"> </w:t>
      </w:r>
      <w:r>
        <w:rPr>
          <w:rFonts w:ascii="Arial"/>
          <w:w w:val="105"/>
          <w:sz w:val="20"/>
        </w:rPr>
        <w:t>approved</w:t>
      </w:r>
      <w:r>
        <w:rPr>
          <w:rFonts w:ascii="Arial"/>
          <w:spacing w:val="-11"/>
          <w:w w:val="105"/>
          <w:sz w:val="20"/>
        </w:rPr>
        <w:t xml:space="preserve"> </w:t>
      </w:r>
      <w:r>
        <w:rPr>
          <w:rFonts w:ascii="Arial"/>
          <w:w w:val="105"/>
          <w:sz w:val="20"/>
        </w:rPr>
        <w:t>Maximum Capital</w:t>
      </w:r>
      <w:r>
        <w:rPr>
          <w:rFonts w:ascii="Arial"/>
          <w:spacing w:val="-15"/>
          <w:w w:val="105"/>
          <w:sz w:val="20"/>
        </w:rPr>
        <w:t xml:space="preserve"> </w:t>
      </w:r>
      <w:r>
        <w:rPr>
          <w:rFonts w:ascii="Arial"/>
          <w:w w:val="105"/>
          <w:sz w:val="20"/>
        </w:rPr>
        <w:t>Expenditure</w:t>
      </w:r>
      <w:r>
        <w:rPr>
          <w:rFonts w:ascii="Arial"/>
          <w:spacing w:val="-4"/>
          <w:w w:val="105"/>
          <w:sz w:val="20"/>
        </w:rPr>
        <w:t xml:space="preserve"> </w:t>
      </w:r>
      <w:r>
        <w:rPr>
          <w:rFonts w:ascii="Arial"/>
          <w:w w:val="105"/>
          <w:sz w:val="20"/>
        </w:rPr>
        <w:t>(MCE)</w:t>
      </w:r>
      <w:r>
        <w:rPr>
          <w:rFonts w:ascii="Arial"/>
          <w:spacing w:val="-4"/>
          <w:w w:val="105"/>
          <w:sz w:val="20"/>
        </w:rPr>
        <w:t xml:space="preserve"> </w:t>
      </w:r>
      <w:r>
        <w:rPr>
          <w:rFonts w:ascii="Arial"/>
          <w:w w:val="105"/>
          <w:sz w:val="20"/>
        </w:rPr>
        <w:t>that</w:t>
      </w:r>
      <w:r>
        <w:rPr>
          <w:rFonts w:ascii="Arial"/>
          <w:spacing w:val="-10"/>
          <w:w w:val="105"/>
          <w:sz w:val="20"/>
        </w:rPr>
        <w:t xml:space="preserve"> </w:t>
      </w:r>
      <w:r>
        <w:rPr>
          <w:rFonts w:ascii="Arial"/>
          <w:w w:val="105"/>
          <w:sz w:val="20"/>
        </w:rPr>
        <w:t>relate</w:t>
      </w:r>
      <w:r>
        <w:rPr>
          <w:rFonts w:ascii="Arial"/>
          <w:spacing w:val="-15"/>
          <w:w w:val="105"/>
          <w:sz w:val="20"/>
        </w:rPr>
        <w:t xml:space="preserve"> </w:t>
      </w:r>
      <w:r>
        <w:rPr>
          <w:rFonts w:ascii="Arial"/>
          <w:w w:val="105"/>
          <w:sz w:val="20"/>
        </w:rPr>
        <w:t>to the</w:t>
      </w:r>
      <w:r>
        <w:rPr>
          <w:rFonts w:ascii="Arial"/>
          <w:spacing w:val="-15"/>
          <w:w w:val="105"/>
          <w:sz w:val="20"/>
        </w:rPr>
        <w:t xml:space="preserve"> </w:t>
      </w:r>
      <w:r>
        <w:rPr>
          <w:rFonts w:ascii="Arial"/>
          <w:w w:val="105"/>
          <w:sz w:val="20"/>
        </w:rPr>
        <w:t>increase</w:t>
      </w:r>
      <w:r>
        <w:rPr>
          <w:rFonts w:ascii="Arial"/>
          <w:spacing w:val="-14"/>
          <w:w w:val="105"/>
          <w:sz w:val="20"/>
        </w:rPr>
        <w:t xml:space="preserve"> </w:t>
      </w:r>
      <w:r>
        <w:rPr>
          <w:rFonts w:ascii="Arial"/>
          <w:w w:val="105"/>
          <w:sz w:val="20"/>
        </w:rPr>
        <w:t>in</w:t>
      </w:r>
      <w:r>
        <w:rPr>
          <w:rFonts w:ascii="Arial"/>
          <w:spacing w:val="-2"/>
          <w:w w:val="105"/>
          <w:sz w:val="20"/>
        </w:rPr>
        <w:t xml:space="preserve"> </w:t>
      </w:r>
      <w:r>
        <w:rPr>
          <w:rFonts w:ascii="Arial"/>
          <w:w w:val="105"/>
          <w:sz w:val="20"/>
        </w:rPr>
        <w:t>project</w:t>
      </w:r>
      <w:r>
        <w:rPr>
          <w:rFonts w:ascii="Arial"/>
          <w:spacing w:val="-7"/>
          <w:w w:val="105"/>
          <w:sz w:val="20"/>
        </w:rPr>
        <w:t xml:space="preserve"> </w:t>
      </w:r>
      <w:r>
        <w:rPr>
          <w:rFonts w:ascii="Arial"/>
          <w:w w:val="105"/>
          <w:sz w:val="20"/>
        </w:rPr>
        <w:t>cost</w:t>
      </w:r>
      <w:r>
        <w:rPr>
          <w:rFonts w:ascii="Arial"/>
          <w:spacing w:val="-15"/>
          <w:w w:val="105"/>
          <w:sz w:val="20"/>
        </w:rPr>
        <w:t xml:space="preserve"> </w:t>
      </w:r>
      <w:r>
        <w:rPr>
          <w:rFonts w:ascii="Arial"/>
          <w:w w:val="105"/>
          <w:sz w:val="20"/>
        </w:rPr>
        <w:t>from</w:t>
      </w:r>
      <w:r>
        <w:rPr>
          <w:rFonts w:ascii="Arial"/>
          <w:spacing w:val="-15"/>
          <w:w w:val="105"/>
          <w:sz w:val="20"/>
        </w:rPr>
        <w:t xml:space="preserve"> </w:t>
      </w:r>
      <w:r>
        <w:rPr>
          <w:rFonts w:ascii="Arial"/>
          <w:w w:val="105"/>
          <w:sz w:val="20"/>
        </w:rPr>
        <w:t>the</w:t>
      </w:r>
      <w:r>
        <w:rPr>
          <w:rFonts w:ascii="Arial"/>
          <w:spacing w:val="-14"/>
          <w:w w:val="105"/>
          <w:sz w:val="20"/>
        </w:rPr>
        <w:t xml:space="preserve"> </w:t>
      </w:r>
      <w:r>
        <w:rPr>
          <w:rFonts w:ascii="Arial"/>
          <w:w w:val="105"/>
          <w:sz w:val="20"/>
        </w:rPr>
        <w:t>time</w:t>
      </w:r>
      <w:r>
        <w:rPr>
          <w:rFonts w:ascii="Arial"/>
          <w:spacing w:val="-12"/>
          <w:w w:val="105"/>
          <w:sz w:val="20"/>
        </w:rPr>
        <w:t xml:space="preserve"> </w:t>
      </w:r>
      <w:r>
        <w:rPr>
          <w:rFonts w:ascii="Arial"/>
          <w:w w:val="105"/>
          <w:sz w:val="20"/>
        </w:rPr>
        <w:t>the</w:t>
      </w:r>
      <w:r>
        <w:rPr>
          <w:rFonts w:ascii="Arial"/>
          <w:spacing w:val="-13"/>
          <w:w w:val="105"/>
          <w:sz w:val="20"/>
        </w:rPr>
        <w:t xml:space="preserve"> </w:t>
      </w:r>
      <w:proofErr w:type="spellStart"/>
      <w:r>
        <w:rPr>
          <w:rFonts w:ascii="Arial"/>
          <w:w w:val="105"/>
          <w:sz w:val="20"/>
        </w:rPr>
        <w:t>DoN</w:t>
      </w:r>
      <w:proofErr w:type="spellEnd"/>
      <w:r>
        <w:rPr>
          <w:rFonts w:ascii="Arial"/>
          <w:spacing w:val="-10"/>
          <w:w w:val="105"/>
          <w:sz w:val="20"/>
        </w:rPr>
        <w:t xml:space="preserve"> </w:t>
      </w:r>
      <w:r>
        <w:rPr>
          <w:rFonts w:ascii="Arial"/>
          <w:w w:val="105"/>
          <w:sz w:val="20"/>
        </w:rPr>
        <w:t>was developed.</w:t>
      </w:r>
      <w:r>
        <w:rPr>
          <w:rFonts w:ascii="Arial"/>
          <w:spacing w:val="25"/>
          <w:w w:val="105"/>
          <w:sz w:val="20"/>
        </w:rPr>
        <w:t xml:space="preserve"> </w:t>
      </w:r>
      <w:r>
        <w:rPr>
          <w:rFonts w:ascii="Arial"/>
          <w:w w:val="105"/>
          <w:sz w:val="20"/>
        </w:rPr>
        <w:t>The</w:t>
      </w:r>
      <w:r>
        <w:rPr>
          <w:rFonts w:ascii="Arial"/>
          <w:spacing w:val="-14"/>
          <w:w w:val="105"/>
          <w:sz w:val="20"/>
        </w:rPr>
        <w:t xml:space="preserve"> </w:t>
      </w:r>
      <w:r>
        <w:rPr>
          <w:rFonts w:ascii="Arial"/>
          <w:w w:val="105"/>
          <w:sz w:val="20"/>
        </w:rPr>
        <w:t>project</w:t>
      </w:r>
      <w:r>
        <w:rPr>
          <w:rFonts w:ascii="Arial"/>
          <w:spacing w:val="-9"/>
          <w:w w:val="105"/>
          <w:sz w:val="20"/>
        </w:rPr>
        <w:t xml:space="preserve"> </w:t>
      </w:r>
      <w:r>
        <w:rPr>
          <w:rFonts w:ascii="Arial"/>
          <w:w w:val="105"/>
          <w:sz w:val="20"/>
        </w:rPr>
        <w:t>scope</w:t>
      </w:r>
      <w:r>
        <w:rPr>
          <w:rFonts w:ascii="Arial"/>
          <w:spacing w:val="-11"/>
          <w:w w:val="105"/>
          <w:sz w:val="20"/>
        </w:rPr>
        <w:t xml:space="preserve"> </w:t>
      </w:r>
      <w:r>
        <w:rPr>
          <w:rFonts w:ascii="Arial"/>
          <w:w w:val="105"/>
          <w:sz w:val="20"/>
        </w:rPr>
        <w:t>remains</w:t>
      </w:r>
      <w:r>
        <w:rPr>
          <w:rFonts w:ascii="Arial"/>
          <w:spacing w:val="-9"/>
          <w:w w:val="105"/>
          <w:sz w:val="20"/>
        </w:rPr>
        <w:t xml:space="preserve"> </w:t>
      </w:r>
      <w:r>
        <w:rPr>
          <w:rFonts w:ascii="Arial"/>
          <w:w w:val="105"/>
          <w:sz w:val="20"/>
        </w:rPr>
        <w:t>the</w:t>
      </w:r>
      <w:r>
        <w:rPr>
          <w:rFonts w:ascii="Arial"/>
          <w:spacing w:val="-15"/>
          <w:w w:val="105"/>
          <w:sz w:val="20"/>
        </w:rPr>
        <w:t xml:space="preserve"> </w:t>
      </w:r>
      <w:r>
        <w:rPr>
          <w:rFonts w:ascii="Arial"/>
          <w:w w:val="105"/>
          <w:sz w:val="20"/>
        </w:rPr>
        <w:t>renovation</w:t>
      </w:r>
      <w:r>
        <w:rPr>
          <w:rFonts w:ascii="Arial"/>
          <w:spacing w:val="-6"/>
          <w:w w:val="105"/>
          <w:sz w:val="20"/>
        </w:rPr>
        <w:t xml:space="preserve"> </w:t>
      </w:r>
      <w:r>
        <w:rPr>
          <w:rFonts w:ascii="Arial"/>
          <w:w w:val="105"/>
          <w:sz w:val="20"/>
        </w:rPr>
        <w:t>of</w:t>
      </w:r>
      <w:r>
        <w:rPr>
          <w:rFonts w:ascii="Arial"/>
          <w:spacing w:val="-15"/>
          <w:w w:val="105"/>
          <w:sz w:val="20"/>
        </w:rPr>
        <w:t xml:space="preserve"> </w:t>
      </w:r>
      <w:r>
        <w:rPr>
          <w:rFonts w:ascii="Arial"/>
          <w:w w:val="105"/>
          <w:sz w:val="20"/>
        </w:rPr>
        <w:t>space</w:t>
      </w:r>
      <w:r>
        <w:rPr>
          <w:rFonts w:ascii="Arial"/>
          <w:spacing w:val="-10"/>
          <w:w w:val="105"/>
          <w:sz w:val="20"/>
        </w:rPr>
        <w:t xml:space="preserve"> </w:t>
      </w:r>
      <w:r>
        <w:rPr>
          <w:rFonts w:ascii="Arial"/>
          <w:w w:val="105"/>
          <w:sz w:val="20"/>
        </w:rPr>
        <w:t>adjacent</w:t>
      </w:r>
      <w:r>
        <w:rPr>
          <w:rFonts w:ascii="Arial"/>
          <w:spacing w:val="-10"/>
          <w:w w:val="105"/>
          <w:sz w:val="20"/>
        </w:rPr>
        <w:t xml:space="preserve"> </w:t>
      </w:r>
      <w:r>
        <w:rPr>
          <w:rFonts w:ascii="Arial"/>
          <w:w w:val="105"/>
          <w:sz w:val="20"/>
        </w:rPr>
        <w:t>to</w:t>
      </w:r>
      <w:r>
        <w:rPr>
          <w:rFonts w:ascii="Arial"/>
          <w:spacing w:val="16"/>
          <w:w w:val="105"/>
          <w:sz w:val="20"/>
        </w:rPr>
        <w:t xml:space="preserve"> </w:t>
      </w:r>
      <w:r>
        <w:rPr>
          <w:rFonts w:ascii="Arial"/>
          <w:w w:val="105"/>
          <w:sz w:val="20"/>
        </w:rPr>
        <w:t>the</w:t>
      </w:r>
      <w:r>
        <w:rPr>
          <w:rFonts w:ascii="Arial"/>
          <w:spacing w:val="-10"/>
          <w:w w:val="105"/>
          <w:sz w:val="20"/>
        </w:rPr>
        <w:t xml:space="preserve"> </w:t>
      </w:r>
      <w:r>
        <w:rPr>
          <w:rFonts w:ascii="Arial"/>
          <w:w w:val="105"/>
          <w:sz w:val="20"/>
        </w:rPr>
        <w:t>current</w:t>
      </w:r>
      <w:r>
        <w:rPr>
          <w:rFonts w:ascii="Arial"/>
          <w:spacing w:val="-9"/>
          <w:w w:val="105"/>
          <w:sz w:val="20"/>
        </w:rPr>
        <w:t xml:space="preserve"> </w:t>
      </w:r>
      <w:r>
        <w:rPr>
          <w:rFonts w:ascii="Arial"/>
          <w:w w:val="105"/>
          <w:sz w:val="20"/>
        </w:rPr>
        <w:t>location. However,</w:t>
      </w:r>
      <w:r>
        <w:rPr>
          <w:rFonts w:ascii="Arial"/>
          <w:spacing w:val="-15"/>
          <w:w w:val="105"/>
          <w:sz w:val="20"/>
        </w:rPr>
        <w:t xml:space="preserve"> </w:t>
      </w:r>
      <w:r>
        <w:rPr>
          <w:rFonts w:ascii="Arial"/>
          <w:w w:val="105"/>
          <w:sz w:val="20"/>
        </w:rPr>
        <w:t>additional</w:t>
      </w:r>
      <w:r>
        <w:rPr>
          <w:rFonts w:ascii="Arial"/>
          <w:spacing w:val="-9"/>
          <w:w w:val="105"/>
          <w:sz w:val="20"/>
        </w:rPr>
        <w:t xml:space="preserve"> </w:t>
      </w:r>
      <w:r>
        <w:rPr>
          <w:rFonts w:ascii="Arial"/>
          <w:w w:val="105"/>
          <w:sz w:val="20"/>
        </w:rPr>
        <w:t>unanticipated and</w:t>
      </w:r>
      <w:r>
        <w:rPr>
          <w:rFonts w:ascii="Arial"/>
          <w:spacing w:val="-15"/>
          <w:w w:val="105"/>
          <w:sz w:val="20"/>
        </w:rPr>
        <w:t xml:space="preserve"> </w:t>
      </w:r>
      <w:r>
        <w:rPr>
          <w:rFonts w:ascii="Arial"/>
          <w:w w:val="105"/>
          <w:sz w:val="20"/>
        </w:rPr>
        <w:t>necessary</w:t>
      </w:r>
      <w:r>
        <w:rPr>
          <w:rFonts w:ascii="Arial"/>
          <w:spacing w:val="-4"/>
          <w:w w:val="105"/>
          <w:sz w:val="20"/>
        </w:rPr>
        <w:t xml:space="preserve"> </w:t>
      </w:r>
      <w:r>
        <w:rPr>
          <w:rFonts w:ascii="Arial"/>
          <w:w w:val="105"/>
          <w:sz w:val="20"/>
        </w:rPr>
        <w:t>critical</w:t>
      </w:r>
      <w:r>
        <w:rPr>
          <w:rFonts w:ascii="Arial"/>
          <w:spacing w:val="-13"/>
          <w:w w:val="105"/>
          <w:sz w:val="20"/>
        </w:rPr>
        <w:t xml:space="preserve"> </w:t>
      </w:r>
      <w:r>
        <w:rPr>
          <w:rFonts w:ascii="Arial"/>
          <w:w w:val="105"/>
          <w:sz w:val="20"/>
        </w:rPr>
        <w:t>and</w:t>
      </w:r>
      <w:r>
        <w:rPr>
          <w:rFonts w:ascii="Arial"/>
          <w:spacing w:val="-15"/>
          <w:w w:val="105"/>
          <w:sz w:val="20"/>
        </w:rPr>
        <w:t xml:space="preserve"> </w:t>
      </w:r>
      <w:r>
        <w:rPr>
          <w:rFonts w:ascii="Arial"/>
          <w:w w:val="105"/>
          <w:sz w:val="20"/>
        </w:rPr>
        <w:t>noncritical</w:t>
      </w:r>
      <w:r>
        <w:rPr>
          <w:rFonts w:ascii="Arial"/>
          <w:spacing w:val="-7"/>
          <w:w w:val="105"/>
          <w:sz w:val="20"/>
        </w:rPr>
        <w:t xml:space="preserve"> </w:t>
      </w:r>
      <w:r>
        <w:rPr>
          <w:rFonts w:ascii="Arial"/>
          <w:w w:val="105"/>
          <w:sz w:val="20"/>
        </w:rPr>
        <w:t>repairs</w:t>
      </w:r>
      <w:r>
        <w:rPr>
          <w:rFonts w:ascii="Arial"/>
          <w:spacing w:val="-14"/>
          <w:w w:val="105"/>
          <w:sz w:val="20"/>
        </w:rPr>
        <w:t xml:space="preserve"> </w:t>
      </w:r>
      <w:r>
        <w:rPr>
          <w:rFonts w:ascii="Arial"/>
          <w:w w:val="105"/>
          <w:sz w:val="20"/>
        </w:rPr>
        <w:t>were</w:t>
      </w:r>
      <w:r>
        <w:rPr>
          <w:rFonts w:ascii="Arial"/>
          <w:spacing w:val="-16"/>
          <w:w w:val="105"/>
          <w:sz w:val="20"/>
        </w:rPr>
        <w:t xml:space="preserve"> </w:t>
      </w:r>
      <w:r>
        <w:rPr>
          <w:rFonts w:ascii="Arial"/>
          <w:w w:val="105"/>
          <w:sz w:val="20"/>
        </w:rPr>
        <w:t>identified</w:t>
      </w:r>
      <w:r>
        <w:rPr>
          <w:rFonts w:ascii="Arial"/>
          <w:spacing w:val="-15"/>
          <w:w w:val="105"/>
          <w:sz w:val="20"/>
        </w:rPr>
        <w:t xml:space="preserve"> </w:t>
      </w:r>
      <w:r>
        <w:rPr>
          <w:rFonts w:ascii="Arial"/>
          <w:w w:val="105"/>
          <w:sz w:val="20"/>
        </w:rPr>
        <w:t>after more</w:t>
      </w:r>
      <w:r>
        <w:rPr>
          <w:rFonts w:ascii="Arial"/>
          <w:spacing w:val="-12"/>
          <w:w w:val="105"/>
          <w:sz w:val="20"/>
        </w:rPr>
        <w:t xml:space="preserve"> </w:t>
      </w:r>
      <w:r>
        <w:rPr>
          <w:rFonts w:ascii="Arial"/>
          <w:w w:val="105"/>
          <w:sz w:val="20"/>
        </w:rPr>
        <w:t>in-depth</w:t>
      </w:r>
      <w:r>
        <w:rPr>
          <w:rFonts w:ascii="Arial"/>
          <w:spacing w:val="-12"/>
          <w:w w:val="105"/>
          <w:sz w:val="20"/>
        </w:rPr>
        <w:t xml:space="preserve"> </w:t>
      </w:r>
      <w:r>
        <w:rPr>
          <w:rFonts w:ascii="Arial"/>
          <w:w w:val="105"/>
          <w:sz w:val="20"/>
        </w:rPr>
        <w:t>inspection</w:t>
      </w:r>
      <w:r>
        <w:rPr>
          <w:rFonts w:ascii="Arial"/>
          <w:spacing w:val="-1"/>
          <w:w w:val="105"/>
          <w:sz w:val="20"/>
        </w:rPr>
        <w:t xml:space="preserve"> </w:t>
      </w:r>
      <w:r>
        <w:rPr>
          <w:rFonts w:ascii="Arial"/>
          <w:w w:val="105"/>
          <w:sz w:val="20"/>
        </w:rPr>
        <w:t>by</w:t>
      </w:r>
      <w:r>
        <w:rPr>
          <w:rFonts w:ascii="Arial"/>
          <w:spacing w:val="-11"/>
          <w:w w:val="105"/>
          <w:sz w:val="20"/>
        </w:rPr>
        <w:t xml:space="preserve"> </w:t>
      </w:r>
      <w:r>
        <w:rPr>
          <w:rFonts w:ascii="Arial"/>
          <w:w w:val="105"/>
          <w:sz w:val="20"/>
        </w:rPr>
        <w:t>the</w:t>
      </w:r>
      <w:r>
        <w:rPr>
          <w:rFonts w:ascii="Arial"/>
          <w:spacing w:val="-7"/>
          <w:w w:val="105"/>
          <w:sz w:val="20"/>
        </w:rPr>
        <w:t xml:space="preserve"> </w:t>
      </w:r>
      <w:r>
        <w:rPr>
          <w:rFonts w:ascii="Arial"/>
          <w:w w:val="105"/>
          <w:sz w:val="20"/>
        </w:rPr>
        <w:t>architect</w:t>
      </w:r>
      <w:r>
        <w:rPr>
          <w:rFonts w:ascii="Arial"/>
          <w:spacing w:val="-3"/>
          <w:w w:val="105"/>
          <w:sz w:val="20"/>
        </w:rPr>
        <w:t xml:space="preserve"> </w:t>
      </w:r>
      <w:r>
        <w:rPr>
          <w:rFonts w:ascii="Arial"/>
          <w:w w:val="105"/>
          <w:sz w:val="20"/>
        </w:rPr>
        <w:t>and</w:t>
      </w:r>
      <w:r>
        <w:rPr>
          <w:rFonts w:ascii="Arial"/>
          <w:spacing w:val="-12"/>
          <w:w w:val="105"/>
          <w:sz w:val="20"/>
        </w:rPr>
        <w:t xml:space="preserve"> </w:t>
      </w:r>
      <w:r>
        <w:rPr>
          <w:rFonts w:ascii="Arial"/>
          <w:w w:val="105"/>
          <w:sz w:val="20"/>
        </w:rPr>
        <w:t>engineers</w:t>
      </w:r>
      <w:r>
        <w:rPr>
          <w:rFonts w:ascii="Arial"/>
          <w:spacing w:val="-2"/>
          <w:w w:val="105"/>
          <w:sz w:val="20"/>
        </w:rPr>
        <w:t xml:space="preserve"> </w:t>
      </w:r>
      <w:r>
        <w:rPr>
          <w:rFonts w:ascii="Arial"/>
          <w:w w:val="105"/>
          <w:sz w:val="20"/>
        </w:rPr>
        <w:t>that</w:t>
      </w:r>
      <w:r>
        <w:rPr>
          <w:rFonts w:ascii="Arial"/>
          <w:spacing w:val="-13"/>
          <w:w w:val="105"/>
          <w:sz w:val="20"/>
        </w:rPr>
        <w:t xml:space="preserve"> </w:t>
      </w:r>
      <w:r>
        <w:rPr>
          <w:rFonts w:ascii="Arial"/>
          <w:w w:val="105"/>
          <w:sz w:val="20"/>
        </w:rPr>
        <w:t>were</w:t>
      </w:r>
      <w:r>
        <w:rPr>
          <w:rFonts w:ascii="Arial"/>
          <w:spacing w:val="-9"/>
          <w:w w:val="105"/>
          <w:sz w:val="20"/>
        </w:rPr>
        <w:t xml:space="preserve"> </w:t>
      </w:r>
      <w:r>
        <w:rPr>
          <w:rFonts w:ascii="Arial"/>
          <w:w w:val="105"/>
          <w:sz w:val="20"/>
        </w:rPr>
        <w:t>not</w:t>
      </w:r>
      <w:r>
        <w:rPr>
          <w:rFonts w:ascii="Arial"/>
          <w:spacing w:val="-6"/>
          <w:w w:val="105"/>
          <w:sz w:val="20"/>
        </w:rPr>
        <w:t xml:space="preserve"> </w:t>
      </w:r>
      <w:r>
        <w:rPr>
          <w:rFonts w:ascii="Arial"/>
          <w:w w:val="105"/>
          <w:sz w:val="20"/>
        </w:rPr>
        <w:t>included in</w:t>
      </w:r>
      <w:r>
        <w:rPr>
          <w:rFonts w:ascii="Arial"/>
          <w:spacing w:val="-19"/>
          <w:w w:val="105"/>
          <w:sz w:val="20"/>
        </w:rPr>
        <w:t xml:space="preserve"> </w:t>
      </w:r>
      <w:r>
        <w:rPr>
          <w:rFonts w:ascii="Arial"/>
          <w:w w:val="105"/>
          <w:sz w:val="20"/>
        </w:rPr>
        <w:t>the</w:t>
      </w:r>
      <w:r>
        <w:rPr>
          <w:rFonts w:ascii="Arial"/>
          <w:spacing w:val="-13"/>
          <w:w w:val="105"/>
          <w:sz w:val="20"/>
        </w:rPr>
        <w:t xml:space="preserve"> </w:t>
      </w:r>
      <w:r>
        <w:rPr>
          <w:rFonts w:ascii="Arial"/>
          <w:w w:val="105"/>
          <w:sz w:val="20"/>
        </w:rPr>
        <w:t>original</w:t>
      </w:r>
      <w:r>
        <w:rPr>
          <w:rFonts w:ascii="Arial"/>
          <w:spacing w:val="-5"/>
          <w:w w:val="105"/>
          <w:sz w:val="20"/>
        </w:rPr>
        <w:t xml:space="preserve"> </w:t>
      </w:r>
      <w:proofErr w:type="spellStart"/>
      <w:r>
        <w:rPr>
          <w:rFonts w:ascii="Arial"/>
          <w:w w:val="105"/>
          <w:sz w:val="20"/>
        </w:rPr>
        <w:t>DoN's</w:t>
      </w:r>
      <w:proofErr w:type="spellEnd"/>
      <w:r>
        <w:rPr>
          <w:rFonts w:ascii="Arial"/>
          <w:w w:val="105"/>
          <w:sz w:val="20"/>
        </w:rPr>
        <w:t xml:space="preserve"> project</w:t>
      </w:r>
      <w:r>
        <w:rPr>
          <w:rFonts w:ascii="Arial"/>
          <w:spacing w:val="-5"/>
          <w:w w:val="105"/>
          <w:sz w:val="20"/>
        </w:rPr>
        <w:t xml:space="preserve"> </w:t>
      </w:r>
      <w:r>
        <w:rPr>
          <w:rFonts w:ascii="Arial"/>
          <w:w w:val="105"/>
          <w:sz w:val="20"/>
        </w:rPr>
        <w:t>scope.</w:t>
      </w:r>
      <w:r>
        <w:rPr>
          <w:rFonts w:ascii="Arial"/>
          <w:spacing w:val="36"/>
          <w:w w:val="105"/>
          <w:sz w:val="20"/>
        </w:rPr>
        <w:t xml:space="preserve"> </w:t>
      </w:r>
      <w:r>
        <w:rPr>
          <w:rFonts w:ascii="Arial"/>
          <w:w w:val="105"/>
          <w:sz w:val="20"/>
        </w:rPr>
        <w:t>These</w:t>
      </w:r>
      <w:r>
        <w:rPr>
          <w:rFonts w:ascii="Arial"/>
          <w:spacing w:val="-1"/>
          <w:w w:val="105"/>
          <w:sz w:val="20"/>
        </w:rPr>
        <w:t xml:space="preserve"> </w:t>
      </w:r>
      <w:r>
        <w:rPr>
          <w:rFonts w:ascii="Arial"/>
          <w:w w:val="105"/>
          <w:sz w:val="20"/>
        </w:rPr>
        <w:t>include</w:t>
      </w:r>
      <w:r>
        <w:rPr>
          <w:rFonts w:ascii="Arial"/>
          <w:spacing w:val="-9"/>
          <w:w w:val="105"/>
          <w:sz w:val="20"/>
        </w:rPr>
        <w:t xml:space="preserve"> </w:t>
      </w:r>
      <w:r>
        <w:rPr>
          <w:rFonts w:ascii="Arial"/>
          <w:w w:val="105"/>
          <w:sz w:val="20"/>
        </w:rPr>
        <w:t>the addition of</w:t>
      </w:r>
      <w:r>
        <w:rPr>
          <w:rFonts w:ascii="Arial"/>
          <w:spacing w:val="-11"/>
          <w:w w:val="105"/>
          <w:sz w:val="20"/>
        </w:rPr>
        <w:t xml:space="preserve"> </w:t>
      </w:r>
      <w:r>
        <w:rPr>
          <w:rFonts w:ascii="Arial"/>
          <w:w w:val="105"/>
          <w:sz w:val="20"/>
        </w:rPr>
        <w:t>one</w:t>
      </w:r>
      <w:r>
        <w:rPr>
          <w:rFonts w:ascii="Arial"/>
          <w:spacing w:val="-5"/>
          <w:w w:val="105"/>
          <w:sz w:val="20"/>
        </w:rPr>
        <w:t xml:space="preserve"> </w:t>
      </w:r>
      <w:r>
        <w:rPr>
          <w:rFonts w:ascii="Arial"/>
          <w:w w:val="105"/>
          <w:sz w:val="20"/>
        </w:rPr>
        <w:t>HVAC roof</w:t>
      </w:r>
      <w:r>
        <w:rPr>
          <w:rFonts w:ascii="Arial"/>
          <w:spacing w:val="-9"/>
          <w:w w:val="105"/>
          <w:sz w:val="20"/>
        </w:rPr>
        <w:t xml:space="preserve"> </w:t>
      </w:r>
      <w:r>
        <w:rPr>
          <w:rFonts w:ascii="Arial"/>
          <w:w w:val="105"/>
          <w:sz w:val="20"/>
        </w:rPr>
        <w:t>unit,</w:t>
      </w:r>
      <w:r>
        <w:rPr>
          <w:rFonts w:ascii="Arial"/>
          <w:spacing w:val="-13"/>
          <w:w w:val="105"/>
          <w:sz w:val="20"/>
        </w:rPr>
        <w:t xml:space="preserve"> </w:t>
      </w:r>
      <w:r>
        <w:rPr>
          <w:rFonts w:ascii="Arial"/>
          <w:w w:val="105"/>
          <w:sz w:val="20"/>
        </w:rPr>
        <w:t>repair/upgrade/replacement</w:t>
      </w:r>
      <w:r>
        <w:rPr>
          <w:rFonts w:ascii="Arial"/>
          <w:spacing w:val="-21"/>
          <w:w w:val="105"/>
          <w:sz w:val="20"/>
        </w:rPr>
        <w:t xml:space="preserve"> </w:t>
      </w:r>
      <w:r>
        <w:rPr>
          <w:rFonts w:ascii="Arial"/>
          <w:w w:val="105"/>
          <w:sz w:val="20"/>
        </w:rPr>
        <w:t>of</w:t>
      </w:r>
      <w:r>
        <w:rPr>
          <w:rFonts w:ascii="Arial"/>
          <w:spacing w:val="-15"/>
          <w:w w:val="105"/>
          <w:sz w:val="20"/>
        </w:rPr>
        <w:t xml:space="preserve"> </w:t>
      </w:r>
      <w:r>
        <w:rPr>
          <w:rFonts w:ascii="Arial"/>
          <w:w w:val="105"/>
          <w:sz w:val="20"/>
        </w:rPr>
        <w:t>two original</w:t>
      </w:r>
      <w:r>
        <w:rPr>
          <w:rFonts w:ascii="Arial"/>
          <w:spacing w:val="-15"/>
          <w:w w:val="105"/>
          <w:sz w:val="20"/>
        </w:rPr>
        <w:t xml:space="preserve"> </w:t>
      </w:r>
      <w:r>
        <w:rPr>
          <w:rFonts w:ascii="Arial"/>
          <w:w w:val="105"/>
          <w:sz w:val="20"/>
        </w:rPr>
        <w:t>HVAC</w:t>
      </w:r>
      <w:r>
        <w:rPr>
          <w:rFonts w:ascii="Arial"/>
          <w:spacing w:val="-15"/>
          <w:w w:val="105"/>
          <w:sz w:val="20"/>
        </w:rPr>
        <w:t xml:space="preserve"> </w:t>
      </w:r>
      <w:r>
        <w:rPr>
          <w:rFonts w:ascii="Arial"/>
          <w:w w:val="105"/>
          <w:sz w:val="20"/>
        </w:rPr>
        <w:t>roof</w:t>
      </w:r>
      <w:r>
        <w:rPr>
          <w:rFonts w:ascii="Arial"/>
          <w:spacing w:val="-14"/>
          <w:w w:val="105"/>
          <w:sz w:val="20"/>
        </w:rPr>
        <w:t xml:space="preserve"> </w:t>
      </w:r>
      <w:r>
        <w:rPr>
          <w:rFonts w:ascii="Arial"/>
          <w:w w:val="105"/>
          <w:sz w:val="20"/>
        </w:rPr>
        <w:t>units</w:t>
      </w:r>
      <w:r>
        <w:rPr>
          <w:rFonts w:ascii="Arial"/>
          <w:spacing w:val="-15"/>
          <w:w w:val="105"/>
          <w:sz w:val="20"/>
        </w:rPr>
        <w:t xml:space="preserve"> </w:t>
      </w:r>
      <w:r>
        <w:rPr>
          <w:rFonts w:ascii="Arial"/>
          <w:w w:val="105"/>
          <w:sz w:val="20"/>
        </w:rPr>
        <w:t>and</w:t>
      </w:r>
      <w:r>
        <w:rPr>
          <w:rFonts w:ascii="Arial"/>
          <w:spacing w:val="-14"/>
          <w:w w:val="105"/>
          <w:sz w:val="20"/>
        </w:rPr>
        <w:t xml:space="preserve"> </w:t>
      </w:r>
      <w:r>
        <w:rPr>
          <w:rFonts w:ascii="Arial"/>
          <w:w w:val="105"/>
          <w:sz w:val="20"/>
        </w:rPr>
        <w:t>upgrading</w:t>
      </w:r>
      <w:r>
        <w:rPr>
          <w:rFonts w:ascii="Arial"/>
          <w:spacing w:val="-16"/>
          <w:w w:val="105"/>
          <w:sz w:val="20"/>
        </w:rPr>
        <w:t xml:space="preserve"> </w:t>
      </w:r>
      <w:r>
        <w:rPr>
          <w:rFonts w:ascii="Arial"/>
          <w:w w:val="105"/>
          <w:sz w:val="20"/>
        </w:rPr>
        <w:t>insufficient</w:t>
      </w:r>
      <w:r>
        <w:rPr>
          <w:rFonts w:ascii="Arial"/>
          <w:spacing w:val="-15"/>
          <w:w w:val="105"/>
          <w:sz w:val="20"/>
        </w:rPr>
        <w:t xml:space="preserve"> </w:t>
      </w:r>
      <w:r>
        <w:rPr>
          <w:rFonts w:ascii="Arial"/>
          <w:w w:val="105"/>
          <w:sz w:val="20"/>
        </w:rPr>
        <w:t>electrical</w:t>
      </w:r>
      <w:r>
        <w:rPr>
          <w:rFonts w:ascii="Arial"/>
          <w:spacing w:val="-14"/>
          <w:w w:val="105"/>
          <w:sz w:val="20"/>
        </w:rPr>
        <w:t xml:space="preserve"> </w:t>
      </w:r>
      <w:r>
        <w:rPr>
          <w:rFonts w:ascii="Arial"/>
          <w:w w:val="105"/>
          <w:sz w:val="20"/>
        </w:rPr>
        <w:t>breakers</w:t>
      </w:r>
      <w:r>
        <w:rPr>
          <w:rFonts w:ascii="Arial"/>
          <w:spacing w:val="-15"/>
          <w:w w:val="105"/>
          <w:sz w:val="20"/>
        </w:rPr>
        <w:t xml:space="preserve"> </w:t>
      </w:r>
      <w:r>
        <w:rPr>
          <w:rFonts w:ascii="Arial"/>
          <w:w w:val="105"/>
          <w:sz w:val="20"/>
        </w:rPr>
        <w:t>and</w:t>
      </w:r>
      <w:r>
        <w:rPr>
          <w:rFonts w:ascii="Arial"/>
          <w:spacing w:val="-15"/>
          <w:w w:val="105"/>
          <w:sz w:val="20"/>
        </w:rPr>
        <w:t xml:space="preserve"> </w:t>
      </w:r>
      <w:r>
        <w:rPr>
          <w:rFonts w:ascii="Arial"/>
          <w:w w:val="105"/>
          <w:sz w:val="20"/>
        </w:rPr>
        <w:t>the</w:t>
      </w:r>
      <w:r>
        <w:rPr>
          <w:rFonts w:ascii="Arial"/>
          <w:spacing w:val="-14"/>
          <w:w w:val="105"/>
          <w:sz w:val="20"/>
        </w:rPr>
        <w:t xml:space="preserve"> </w:t>
      </w:r>
      <w:r>
        <w:rPr>
          <w:rFonts w:ascii="Arial"/>
          <w:w w:val="105"/>
          <w:sz w:val="20"/>
        </w:rPr>
        <w:t>addition</w:t>
      </w:r>
      <w:r>
        <w:rPr>
          <w:rFonts w:ascii="Arial"/>
          <w:spacing w:val="-15"/>
          <w:w w:val="105"/>
          <w:sz w:val="20"/>
        </w:rPr>
        <w:t xml:space="preserve"> </w:t>
      </w:r>
      <w:r>
        <w:rPr>
          <w:rFonts w:ascii="Arial"/>
          <w:w w:val="105"/>
          <w:sz w:val="20"/>
        </w:rPr>
        <w:t>of</w:t>
      </w:r>
      <w:r>
        <w:rPr>
          <w:rFonts w:ascii="Arial"/>
          <w:spacing w:val="-14"/>
          <w:w w:val="105"/>
          <w:sz w:val="20"/>
        </w:rPr>
        <w:t xml:space="preserve"> </w:t>
      </w:r>
      <w:r>
        <w:rPr>
          <w:rFonts w:ascii="Arial"/>
          <w:w w:val="105"/>
          <w:sz w:val="20"/>
        </w:rPr>
        <w:t>an</w:t>
      </w:r>
      <w:r>
        <w:rPr>
          <w:rFonts w:ascii="Arial"/>
          <w:spacing w:val="-15"/>
          <w:w w:val="105"/>
          <w:sz w:val="20"/>
        </w:rPr>
        <w:t xml:space="preserve"> </w:t>
      </w:r>
      <w:r>
        <w:rPr>
          <w:rFonts w:ascii="Arial"/>
          <w:w w:val="105"/>
          <w:sz w:val="20"/>
        </w:rPr>
        <w:t xml:space="preserve">electrical </w:t>
      </w:r>
      <w:r>
        <w:rPr>
          <w:rFonts w:ascii="Arial"/>
          <w:spacing w:val="-2"/>
          <w:w w:val="105"/>
          <w:sz w:val="20"/>
        </w:rPr>
        <w:t>room</w:t>
      </w:r>
      <w:r>
        <w:rPr>
          <w:rFonts w:ascii="Arial"/>
          <w:spacing w:val="-13"/>
          <w:w w:val="105"/>
          <w:sz w:val="20"/>
        </w:rPr>
        <w:t xml:space="preserve"> </w:t>
      </w:r>
      <w:r>
        <w:rPr>
          <w:rFonts w:ascii="Arial"/>
          <w:spacing w:val="-2"/>
          <w:w w:val="105"/>
          <w:sz w:val="20"/>
        </w:rPr>
        <w:t>for</w:t>
      </w:r>
      <w:r>
        <w:rPr>
          <w:rFonts w:ascii="Arial"/>
          <w:spacing w:val="-11"/>
          <w:w w:val="105"/>
          <w:sz w:val="20"/>
        </w:rPr>
        <w:t xml:space="preserve"> </w:t>
      </w:r>
      <w:r>
        <w:rPr>
          <w:rFonts w:ascii="Arial"/>
          <w:spacing w:val="-2"/>
          <w:w w:val="105"/>
          <w:sz w:val="20"/>
        </w:rPr>
        <w:t>additional panels.</w:t>
      </w:r>
      <w:r>
        <w:rPr>
          <w:rFonts w:ascii="Arial"/>
          <w:spacing w:val="-9"/>
          <w:w w:val="105"/>
          <w:sz w:val="20"/>
        </w:rPr>
        <w:t xml:space="preserve"> </w:t>
      </w:r>
      <w:r>
        <w:rPr>
          <w:rFonts w:ascii="Arial"/>
          <w:spacing w:val="-2"/>
          <w:w w:val="105"/>
          <w:sz w:val="20"/>
        </w:rPr>
        <w:t>In addition,</w:t>
      </w:r>
      <w:r>
        <w:rPr>
          <w:rFonts w:ascii="Arial"/>
          <w:spacing w:val="-6"/>
          <w:w w:val="105"/>
          <w:sz w:val="20"/>
        </w:rPr>
        <w:t xml:space="preserve"> </w:t>
      </w:r>
      <w:proofErr w:type="gramStart"/>
      <w:r>
        <w:rPr>
          <w:rFonts w:ascii="Arial"/>
          <w:spacing w:val="-2"/>
          <w:w w:val="105"/>
          <w:sz w:val="20"/>
        </w:rPr>
        <w:t>labor</w:t>
      </w:r>
      <w:proofErr w:type="gramEnd"/>
      <w:r>
        <w:rPr>
          <w:rFonts w:ascii="Arial"/>
          <w:spacing w:val="-2"/>
          <w:w w:val="105"/>
          <w:sz w:val="20"/>
        </w:rPr>
        <w:t xml:space="preserve"> and</w:t>
      </w:r>
      <w:r>
        <w:rPr>
          <w:rFonts w:ascii="Arial"/>
          <w:spacing w:val="-13"/>
          <w:w w:val="105"/>
          <w:sz w:val="20"/>
        </w:rPr>
        <w:t xml:space="preserve"> </w:t>
      </w:r>
      <w:r>
        <w:rPr>
          <w:rFonts w:ascii="Arial"/>
          <w:spacing w:val="-2"/>
          <w:w w:val="105"/>
          <w:sz w:val="20"/>
        </w:rPr>
        <w:t>construction</w:t>
      </w:r>
      <w:r>
        <w:rPr>
          <w:rFonts w:ascii="Arial"/>
          <w:spacing w:val="-10"/>
          <w:w w:val="105"/>
          <w:sz w:val="20"/>
        </w:rPr>
        <w:t xml:space="preserve"> </w:t>
      </w:r>
      <w:r>
        <w:rPr>
          <w:rFonts w:ascii="Arial"/>
          <w:spacing w:val="-2"/>
          <w:w w:val="105"/>
          <w:sz w:val="20"/>
        </w:rPr>
        <w:t>cost</w:t>
      </w:r>
      <w:r>
        <w:rPr>
          <w:rFonts w:ascii="Arial"/>
          <w:spacing w:val="-13"/>
          <w:w w:val="105"/>
          <w:sz w:val="20"/>
        </w:rPr>
        <w:t xml:space="preserve"> </w:t>
      </w:r>
      <w:r>
        <w:rPr>
          <w:rFonts w:ascii="Arial"/>
          <w:spacing w:val="-2"/>
          <w:w w:val="105"/>
          <w:sz w:val="20"/>
        </w:rPr>
        <w:t>increases,</w:t>
      </w:r>
      <w:r>
        <w:rPr>
          <w:rFonts w:ascii="Arial"/>
          <w:spacing w:val="-13"/>
          <w:w w:val="105"/>
          <w:sz w:val="20"/>
        </w:rPr>
        <w:t xml:space="preserve"> </w:t>
      </w:r>
      <w:r>
        <w:rPr>
          <w:rFonts w:ascii="Arial"/>
          <w:spacing w:val="-2"/>
          <w:w w:val="105"/>
          <w:sz w:val="20"/>
        </w:rPr>
        <w:t>attributable to</w:t>
      </w:r>
      <w:r>
        <w:rPr>
          <w:rFonts w:ascii="Arial"/>
          <w:spacing w:val="-4"/>
          <w:w w:val="105"/>
          <w:sz w:val="20"/>
        </w:rPr>
        <w:t xml:space="preserve"> </w:t>
      </w:r>
      <w:r>
        <w:rPr>
          <w:rFonts w:ascii="Arial"/>
          <w:spacing w:val="-2"/>
          <w:w w:val="105"/>
          <w:sz w:val="20"/>
        </w:rPr>
        <w:t>the</w:t>
      </w:r>
      <w:r>
        <w:rPr>
          <w:rFonts w:ascii="Arial"/>
          <w:spacing w:val="-16"/>
          <w:w w:val="105"/>
          <w:sz w:val="20"/>
        </w:rPr>
        <w:t xml:space="preserve"> </w:t>
      </w:r>
      <w:r>
        <w:rPr>
          <w:rFonts w:ascii="Arial"/>
          <w:spacing w:val="-2"/>
          <w:w w:val="105"/>
          <w:sz w:val="20"/>
        </w:rPr>
        <w:t xml:space="preserve">COVID </w:t>
      </w:r>
      <w:r>
        <w:rPr>
          <w:rFonts w:ascii="Arial"/>
          <w:w w:val="105"/>
          <w:sz w:val="20"/>
        </w:rPr>
        <w:t>19</w:t>
      </w:r>
      <w:r>
        <w:rPr>
          <w:rFonts w:ascii="Arial"/>
          <w:spacing w:val="-3"/>
          <w:w w:val="105"/>
          <w:sz w:val="20"/>
        </w:rPr>
        <w:t xml:space="preserve"> </w:t>
      </w:r>
      <w:r>
        <w:rPr>
          <w:rFonts w:ascii="Arial"/>
          <w:w w:val="105"/>
          <w:sz w:val="20"/>
        </w:rPr>
        <w:t>pandemic have</w:t>
      </w:r>
      <w:r>
        <w:rPr>
          <w:rFonts w:ascii="Arial"/>
          <w:spacing w:val="-6"/>
          <w:w w:val="105"/>
          <w:sz w:val="20"/>
        </w:rPr>
        <w:t xml:space="preserve"> </w:t>
      </w:r>
      <w:r>
        <w:rPr>
          <w:rFonts w:ascii="Arial"/>
          <w:w w:val="105"/>
          <w:sz w:val="20"/>
        </w:rPr>
        <w:t>contributed</w:t>
      </w:r>
      <w:r>
        <w:rPr>
          <w:rFonts w:ascii="Arial"/>
          <w:spacing w:val="-1"/>
          <w:w w:val="105"/>
          <w:sz w:val="20"/>
        </w:rPr>
        <w:t xml:space="preserve"> </w:t>
      </w:r>
      <w:r>
        <w:rPr>
          <w:rFonts w:ascii="Arial"/>
          <w:w w:val="105"/>
          <w:sz w:val="20"/>
        </w:rPr>
        <w:t>to the</w:t>
      </w:r>
      <w:r>
        <w:rPr>
          <w:rFonts w:ascii="Arial"/>
          <w:spacing w:val="-10"/>
          <w:w w:val="105"/>
          <w:sz w:val="20"/>
        </w:rPr>
        <w:t xml:space="preserve"> </w:t>
      </w:r>
      <w:r>
        <w:rPr>
          <w:rFonts w:ascii="Arial"/>
          <w:w w:val="105"/>
          <w:sz w:val="20"/>
        </w:rPr>
        <w:t>need</w:t>
      </w:r>
      <w:r>
        <w:rPr>
          <w:rFonts w:ascii="Arial"/>
          <w:spacing w:val="-14"/>
          <w:w w:val="105"/>
          <w:sz w:val="20"/>
        </w:rPr>
        <w:t xml:space="preserve"> </w:t>
      </w:r>
      <w:r>
        <w:rPr>
          <w:rFonts w:ascii="Arial"/>
          <w:w w:val="105"/>
          <w:sz w:val="20"/>
        </w:rPr>
        <w:t>for the</w:t>
      </w:r>
      <w:r>
        <w:rPr>
          <w:rFonts w:ascii="Arial"/>
          <w:spacing w:val="-1"/>
          <w:w w:val="105"/>
          <w:sz w:val="20"/>
        </w:rPr>
        <w:t xml:space="preserve"> </w:t>
      </w:r>
      <w:r>
        <w:rPr>
          <w:rFonts w:ascii="Arial"/>
          <w:w w:val="105"/>
          <w:sz w:val="20"/>
        </w:rPr>
        <w:t>proposed amendment.</w:t>
      </w:r>
    </w:p>
    <w:p w14:paraId="09A17406" w14:textId="77777777" w:rsidR="007B56EA" w:rsidRPr="00A04627" w:rsidRDefault="00775EBC">
      <w:pPr>
        <w:pStyle w:val="ListParagraph"/>
        <w:numPr>
          <w:ilvl w:val="2"/>
          <w:numId w:val="6"/>
        </w:numPr>
        <w:tabs>
          <w:tab w:val="left" w:pos="1607"/>
        </w:tabs>
        <w:spacing w:before="155"/>
        <w:ind w:left="1606"/>
        <w:rPr>
          <w:rFonts w:ascii="Arial"/>
          <w:sz w:val="20"/>
          <w:u w:val="single"/>
        </w:rPr>
      </w:pPr>
      <w:r w:rsidRPr="00A04627">
        <w:rPr>
          <w:rFonts w:ascii="Arial"/>
          <w:sz w:val="20"/>
          <w:u w:val="single"/>
        </w:rPr>
        <w:t>Describe</w:t>
      </w:r>
      <w:r w:rsidRPr="00A04627">
        <w:rPr>
          <w:rFonts w:ascii="Arial"/>
          <w:spacing w:val="4"/>
          <w:sz w:val="20"/>
          <w:u w:val="single"/>
        </w:rPr>
        <w:t xml:space="preserve"> </w:t>
      </w:r>
      <w:r w:rsidRPr="00A04627">
        <w:rPr>
          <w:rFonts w:ascii="Arial"/>
          <w:sz w:val="20"/>
          <w:u w:val="single"/>
        </w:rPr>
        <w:t>the</w:t>
      </w:r>
      <w:r w:rsidRPr="00A04627">
        <w:rPr>
          <w:rFonts w:ascii="Arial"/>
          <w:spacing w:val="4"/>
          <w:sz w:val="20"/>
          <w:u w:val="single"/>
        </w:rPr>
        <w:t xml:space="preserve"> </w:t>
      </w:r>
      <w:r w:rsidRPr="00A04627">
        <w:rPr>
          <w:rFonts w:ascii="Arial"/>
          <w:sz w:val="20"/>
          <w:u w:val="single"/>
        </w:rPr>
        <w:t>associated</w:t>
      </w:r>
      <w:r w:rsidRPr="00A04627">
        <w:rPr>
          <w:rFonts w:ascii="Arial"/>
          <w:spacing w:val="8"/>
          <w:sz w:val="20"/>
          <w:u w:val="single"/>
        </w:rPr>
        <w:t xml:space="preserve"> </w:t>
      </w:r>
      <w:r w:rsidRPr="00A04627">
        <w:rPr>
          <w:rFonts w:ascii="Arial"/>
          <w:sz w:val="20"/>
          <w:u w:val="single"/>
        </w:rPr>
        <w:t>cost</w:t>
      </w:r>
      <w:r w:rsidRPr="00A04627">
        <w:rPr>
          <w:rFonts w:ascii="Arial"/>
          <w:spacing w:val="-6"/>
          <w:sz w:val="20"/>
          <w:u w:val="single"/>
        </w:rPr>
        <w:t xml:space="preserve"> </w:t>
      </w:r>
      <w:r w:rsidRPr="00A04627">
        <w:rPr>
          <w:rFonts w:ascii="Arial"/>
          <w:sz w:val="20"/>
          <w:u w:val="single"/>
        </w:rPr>
        <w:t>implications</w:t>
      </w:r>
      <w:r w:rsidRPr="00A04627">
        <w:rPr>
          <w:rFonts w:ascii="Arial"/>
          <w:spacing w:val="2"/>
          <w:sz w:val="20"/>
          <w:u w:val="single"/>
        </w:rPr>
        <w:t xml:space="preserve"> </w:t>
      </w:r>
      <w:r w:rsidRPr="00A04627">
        <w:rPr>
          <w:rFonts w:ascii="Arial"/>
          <w:sz w:val="20"/>
          <w:u w:val="single"/>
        </w:rPr>
        <w:t>to</w:t>
      </w:r>
      <w:r w:rsidRPr="00A04627">
        <w:rPr>
          <w:rFonts w:ascii="Arial"/>
          <w:spacing w:val="13"/>
          <w:sz w:val="20"/>
          <w:u w:val="single"/>
        </w:rPr>
        <w:t xml:space="preserve"> </w:t>
      </w:r>
      <w:r w:rsidRPr="00A04627">
        <w:rPr>
          <w:rFonts w:ascii="Arial"/>
          <w:sz w:val="20"/>
          <w:u w:val="single"/>
        </w:rPr>
        <w:t>the</w:t>
      </w:r>
      <w:r w:rsidRPr="00A04627">
        <w:rPr>
          <w:rFonts w:ascii="Arial"/>
          <w:spacing w:val="-6"/>
          <w:sz w:val="20"/>
          <w:u w:val="single"/>
        </w:rPr>
        <w:t xml:space="preserve"> </w:t>
      </w:r>
      <w:r w:rsidRPr="00A04627">
        <w:rPr>
          <w:rFonts w:ascii="Arial"/>
          <w:spacing w:val="-2"/>
          <w:sz w:val="20"/>
          <w:u w:val="single"/>
        </w:rPr>
        <w:t>Holder.</w:t>
      </w:r>
    </w:p>
    <w:p w14:paraId="09A17407" w14:textId="77777777" w:rsidR="007B56EA" w:rsidRDefault="007B56EA">
      <w:pPr>
        <w:pStyle w:val="BodyText"/>
        <w:spacing w:before="3"/>
        <w:rPr>
          <w:rFonts w:ascii="Arial"/>
          <w:sz w:val="18"/>
        </w:rPr>
      </w:pPr>
    </w:p>
    <w:p w14:paraId="09A17408" w14:textId="77777777" w:rsidR="007B56EA" w:rsidRDefault="00775EBC">
      <w:pPr>
        <w:spacing w:line="307" w:lineRule="auto"/>
        <w:ind w:left="881" w:right="605"/>
        <w:rPr>
          <w:rFonts w:ascii="Arial"/>
          <w:sz w:val="20"/>
        </w:rPr>
      </w:pPr>
      <w:r>
        <w:rPr>
          <w:rFonts w:ascii="Arial"/>
          <w:w w:val="105"/>
          <w:sz w:val="20"/>
        </w:rPr>
        <w:t>This</w:t>
      </w:r>
      <w:r>
        <w:rPr>
          <w:rFonts w:ascii="Arial"/>
          <w:spacing w:val="-15"/>
          <w:w w:val="105"/>
          <w:sz w:val="20"/>
        </w:rPr>
        <w:t xml:space="preserve"> </w:t>
      </w:r>
      <w:r>
        <w:rPr>
          <w:rFonts w:ascii="Arial"/>
          <w:w w:val="105"/>
          <w:sz w:val="20"/>
        </w:rPr>
        <w:t>amendment</w:t>
      </w:r>
      <w:r>
        <w:rPr>
          <w:rFonts w:ascii="Arial"/>
          <w:spacing w:val="-15"/>
          <w:w w:val="105"/>
          <w:sz w:val="20"/>
        </w:rPr>
        <w:t xml:space="preserve"> </w:t>
      </w:r>
      <w:r>
        <w:rPr>
          <w:rFonts w:ascii="Arial"/>
          <w:w w:val="105"/>
          <w:sz w:val="20"/>
        </w:rPr>
        <w:t>requests</w:t>
      </w:r>
      <w:r>
        <w:rPr>
          <w:rFonts w:ascii="Arial"/>
          <w:spacing w:val="-14"/>
          <w:w w:val="105"/>
          <w:sz w:val="20"/>
        </w:rPr>
        <w:t xml:space="preserve"> </w:t>
      </w:r>
      <w:r>
        <w:rPr>
          <w:rFonts w:ascii="Arial"/>
          <w:w w:val="105"/>
          <w:sz w:val="20"/>
        </w:rPr>
        <w:t>an</w:t>
      </w:r>
      <w:r>
        <w:rPr>
          <w:rFonts w:ascii="Arial"/>
          <w:spacing w:val="-15"/>
          <w:w w:val="105"/>
          <w:sz w:val="20"/>
        </w:rPr>
        <w:t xml:space="preserve"> </w:t>
      </w:r>
      <w:r>
        <w:rPr>
          <w:rFonts w:ascii="Arial"/>
          <w:w w:val="105"/>
          <w:sz w:val="20"/>
        </w:rPr>
        <w:t>increase</w:t>
      </w:r>
      <w:r>
        <w:rPr>
          <w:rFonts w:ascii="Arial"/>
          <w:spacing w:val="-14"/>
          <w:w w:val="105"/>
          <w:sz w:val="20"/>
        </w:rPr>
        <w:t xml:space="preserve"> </w:t>
      </w:r>
      <w:r>
        <w:rPr>
          <w:rFonts w:ascii="Arial"/>
          <w:w w:val="105"/>
          <w:sz w:val="20"/>
        </w:rPr>
        <w:t>in</w:t>
      </w:r>
      <w:r>
        <w:rPr>
          <w:rFonts w:ascii="Arial"/>
          <w:spacing w:val="-15"/>
          <w:w w:val="105"/>
          <w:sz w:val="20"/>
        </w:rPr>
        <w:t xml:space="preserve"> </w:t>
      </w:r>
      <w:r>
        <w:rPr>
          <w:rFonts w:ascii="Arial"/>
          <w:w w:val="105"/>
          <w:sz w:val="20"/>
        </w:rPr>
        <w:t>the</w:t>
      </w:r>
      <w:r>
        <w:rPr>
          <w:rFonts w:ascii="Arial"/>
          <w:spacing w:val="-15"/>
          <w:w w:val="105"/>
          <w:sz w:val="20"/>
        </w:rPr>
        <w:t xml:space="preserve"> </w:t>
      </w:r>
      <w:r>
        <w:rPr>
          <w:rFonts w:ascii="Arial"/>
          <w:w w:val="105"/>
          <w:sz w:val="20"/>
        </w:rPr>
        <w:t>approved</w:t>
      </w:r>
      <w:r>
        <w:rPr>
          <w:rFonts w:ascii="Arial"/>
          <w:spacing w:val="-14"/>
          <w:w w:val="105"/>
          <w:sz w:val="20"/>
        </w:rPr>
        <w:t xml:space="preserve"> </w:t>
      </w:r>
      <w:r>
        <w:rPr>
          <w:rFonts w:ascii="Arial"/>
          <w:w w:val="105"/>
          <w:sz w:val="20"/>
        </w:rPr>
        <w:t>maximum</w:t>
      </w:r>
      <w:r>
        <w:rPr>
          <w:rFonts w:ascii="Arial"/>
          <w:spacing w:val="-15"/>
          <w:w w:val="105"/>
          <w:sz w:val="20"/>
        </w:rPr>
        <w:t xml:space="preserve"> </w:t>
      </w:r>
      <w:r>
        <w:rPr>
          <w:rFonts w:ascii="Arial"/>
          <w:w w:val="105"/>
          <w:sz w:val="20"/>
        </w:rPr>
        <w:t>capital</w:t>
      </w:r>
      <w:r>
        <w:rPr>
          <w:rFonts w:ascii="Arial"/>
          <w:spacing w:val="-14"/>
          <w:w w:val="105"/>
          <w:sz w:val="20"/>
        </w:rPr>
        <w:t xml:space="preserve"> </w:t>
      </w:r>
      <w:r>
        <w:rPr>
          <w:rFonts w:ascii="Arial"/>
          <w:w w:val="105"/>
          <w:sz w:val="20"/>
        </w:rPr>
        <w:t>expenditure</w:t>
      </w:r>
      <w:r>
        <w:rPr>
          <w:rFonts w:ascii="Arial"/>
          <w:spacing w:val="-14"/>
          <w:w w:val="105"/>
          <w:sz w:val="20"/>
        </w:rPr>
        <w:t xml:space="preserve"> </w:t>
      </w:r>
      <w:r>
        <w:rPr>
          <w:rFonts w:ascii="Arial"/>
          <w:w w:val="105"/>
          <w:sz w:val="20"/>
        </w:rPr>
        <w:t>associated</w:t>
      </w:r>
      <w:r>
        <w:rPr>
          <w:rFonts w:ascii="Arial"/>
          <w:spacing w:val="-15"/>
          <w:w w:val="105"/>
          <w:sz w:val="20"/>
        </w:rPr>
        <w:t xml:space="preserve"> </w:t>
      </w:r>
      <w:r>
        <w:rPr>
          <w:rFonts w:ascii="Arial"/>
          <w:w w:val="105"/>
          <w:sz w:val="20"/>
        </w:rPr>
        <w:t xml:space="preserve">with </w:t>
      </w:r>
      <w:r>
        <w:rPr>
          <w:rFonts w:ascii="Arial"/>
          <w:spacing w:val="-2"/>
          <w:w w:val="105"/>
          <w:sz w:val="20"/>
        </w:rPr>
        <w:t>the</w:t>
      </w:r>
      <w:r>
        <w:rPr>
          <w:rFonts w:ascii="Arial"/>
          <w:spacing w:val="-13"/>
          <w:w w:val="105"/>
          <w:sz w:val="20"/>
        </w:rPr>
        <w:t xml:space="preserve"> </w:t>
      </w:r>
      <w:r>
        <w:rPr>
          <w:rFonts w:ascii="Arial"/>
          <w:spacing w:val="-2"/>
          <w:w w:val="105"/>
          <w:sz w:val="20"/>
        </w:rPr>
        <w:t>approved</w:t>
      </w:r>
      <w:r>
        <w:rPr>
          <w:rFonts w:ascii="Arial"/>
          <w:spacing w:val="-12"/>
          <w:w w:val="105"/>
          <w:sz w:val="20"/>
        </w:rPr>
        <w:t xml:space="preserve"> </w:t>
      </w:r>
      <w:r>
        <w:rPr>
          <w:rFonts w:ascii="Arial"/>
          <w:spacing w:val="-2"/>
          <w:w w:val="105"/>
          <w:sz w:val="20"/>
        </w:rPr>
        <w:t>project.</w:t>
      </w:r>
      <w:r>
        <w:rPr>
          <w:rFonts w:ascii="Arial"/>
          <w:spacing w:val="26"/>
          <w:w w:val="105"/>
          <w:sz w:val="20"/>
        </w:rPr>
        <w:t xml:space="preserve"> </w:t>
      </w:r>
      <w:r>
        <w:rPr>
          <w:rFonts w:ascii="Arial"/>
          <w:spacing w:val="-2"/>
          <w:w w:val="105"/>
          <w:sz w:val="20"/>
        </w:rPr>
        <w:t>The</w:t>
      </w:r>
      <w:r>
        <w:rPr>
          <w:rFonts w:ascii="Arial"/>
          <w:spacing w:val="-6"/>
          <w:w w:val="105"/>
          <w:sz w:val="20"/>
        </w:rPr>
        <w:t xml:space="preserve"> </w:t>
      </w:r>
      <w:r>
        <w:rPr>
          <w:rFonts w:ascii="Arial"/>
          <w:spacing w:val="-2"/>
          <w:w w:val="105"/>
          <w:sz w:val="20"/>
        </w:rPr>
        <w:t>Applicant is</w:t>
      </w:r>
      <w:r>
        <w:rPr>
          <w:rFonts w:ascii="Arial"/>
          <w:spacing w:val="-13"/>
          <w:w w:val="105"/>
          <w:sz w:val="20"/>
        </w:rPr>
        <w:t xml:space="preserve"> </w:t>
      </w:r>
      <w:r>
        <w:rPr>
          <w:rFonts w:ascii="Arial"/>
          <w:spacing w:val="-2"/>
          <w:w w:val="105"/>
          <w:sz w:val="20"/>
        </w:rPr>
        <w:t>seeking</w:t>
      </w:r>
      <w:r>
        <w:rPr>
          <w:rFonts w:ascii="Arial"/>
          <w:spacing w:val="-15"/>
          <w:w w:val="105"/>
          <w:sz w:val="20"/>
        </w:rPr>
        <w:t xml:space="preserve"> </w:t>
      </w:r>
      <w:r>
        <w:rPr>
          <w:rFonts w:ascii="Arial"/>
          <w:spacing w:val="-2"/>
          <w:w w:val="105"/>
          <w:sz w:val="20"/>
        </w:rPr>
        <w:t>an</w:t>
      </w:r>
      <w:r>
        <w:rPr>
          <w:rFonts w:ascii="Arial"/>
          <w:spacing w:val="-12"/>
          <w:w w:val="105"/>
          <w:sz w:val="20"/>
        </w:rPr>
        <w:t xml:space="preserve"> </w:t>
      </w:r>
      <w:r>
        <w:rPr>
          <w:rFonts w:ascii="Arial"/>
          <w:spacing w:val="-2"/>
          <w:w w:val="105"/>
          <w:sz w:val="20"/>
        </w:rPr>
        <w:t>approval</w:t>
      </w:r>
      <w:r>
        <w:rPr>
          <w:rFonts w:ascii="Arial"/>
          <w:spacing w:val="-4"/>
          <w:w w:val="105"/>
          <w:sz w:val="20"/>
        </w:rPr>
        <w:t xml:space="preserve"> </w:t>
      </w:r>
      <w:r>
        <w:rPr>
          <w:rFonts w:ascii="Arial"/>
          <w:spacing w:val="-2"/>
          <w:w w:val="105"/>
          <w:sz w:val="20"/>
        </w:rPr>
        <w:t>for</w:t>
      </w:r>
      <w:r>
        <w:rPr>
          <w:rFonts w:ascii="Arial"/>
          <w:spacing w:val="-6"/>
          <w:w w:val="105"/>
          <w:sz w:val="20"/>
        </w:rPr>
        <w:t xml:space="preserve"> </w:t>
      </w:r>
      <w:r>
        <w:rPr>
          <w:rFonts w:ascii="Arial"/>
          <w:spacing w:val="-2"/>
          <w:w w:val="105"/>
          <w:sz w:val="20"/>
        </w:rPr>
        <w:t>a</w:t>
      </w:r>
      <w:r>
        <w:rPr>
          <w:rFonts w:ascii="Arial"/>
          <w:spacing w:val="-12"/>
          <w:w w:val="105"/>
          <w:sz w:val="20"/>
        </w:rPr>
        <w:t xml:space="preserve"> </w:t>
      </w:r>
      <w:r>
        <w:rPr>
          <w:rFonts w:ascii="Arial"/>
          <w:spacing w:val="-2"/>
          <w:w w:val="105"/>
          <w:sz w:val="20"/>
        </w:rPr>
        <w:t>total</w:t>
      </w:r>
      <w:r>
        <w:rPr>
          <w:rFonts w:ascii="Arial"/>
          <w:spacing w:val="-13"/>
          <w:w w:val="105"/>
          <w:sz w:val="20"/>
        </w:rPr>
        <w:t xml:space="preserve"> </w:t>
      </w:r>
      <w:r>
        <w:rPr>
          <w:rFonts w:ascii="Arial"/>
          <w:spacing w:val="-2"/>
          <w:w w:val="105"/>
          <w:sz w:val="20"/>
        </w:rPr>
        <w:t>capital</w:t>
      </w:r>
      <w:r>
        <w:rPr>
          <w:rFonts w:ascii="Arial"/>
          <w:spacing w:val="-4"/>
          <w:w w:val="105"/>
          <w:sz w:val="20"/>
        </w:rPr>
        <w:t xml:space="preserve"> </w:t>
      </w:r>
      <w:r>
        <w:rPr>
          <w:rFonts w:ascii="Arial"/>
          <w:spacing w:val="-2"/>
          <w:w w:val="105"/>
          <w:sz w:val="20"/>
        </w:rPr>
        <w:t>expenditure of</w:t>
      </w:r>
      <w:r>
        <w:rPr>
          <w:rFonts w:ascii="Arial"/>
          <w:spacing w:val="-13"/>
          <w:w w:val="105"/>
          <w:sz w:val="20"/>
        </w:rPr>
        <w:t xml:space="preserve"> </w:t>
      </w:r>
      <w:r>
        <w:rPr>
          <w:rFonts w:ascii="Arial"/>
          <w:spacing w:val="-2"/>
          <w:w w:val="105"/>
          <w:sz w:val="20"/>
        </w:rPr>
        <w:t xml:space="preserve">$2,946,581. </w:t>
      </w:r>
      <w:r>
        <w:rPr>
          <w:rFonts w:ascii="Arial"/>
          <w:w w:val="105"/>
          <w:sz w:val="20"/>
        </w:rPr>
        <w:t>This</w:t>
      </w:r>
      <w:r>
        <w:rPr>
          <w:rFonts w:ascii="Arial"/>
          <w:spacing w:val="-15"/>
          <w:w w:val="105"/>
          <w:sz w:val="20"/>
        </w:rPr>
        <w:t xml:space="preserve"> </w:t>
      </w:r>
      <w:r>
        <w:rPr>
          <w:rFonts w:ascii="Arial"/>
          <w:w w:val="105"/>
          <w:sz w:val="20"/>
        </w:rPr>
        <w:t>is</w:t>
      </w:r>
      <w:r>
        <w:rPr>
          <w:rFonts w:ascii="Arial"/>
          <w:spacing w:val="-15"/>
          <w:w w:val="105"/>
          <w:sz w:val="20"/>
        </w:rPr>
        <w:t xml:space="preserve"> </w:t>
      </w:r>
      <w:proofErr w:type="gramStart"/>
      <w:r>
        <w:rPr>
          <w:rFonts w:ascii="Arial"/>
          <w:w w:val="105"/>
          <w:sz w:val="20"/>
        </w:rPr>
        <w:t>a</w:t>
      </w:r>
      <w:proofErr w:type="gramEnd"/>
      <w:r>
        <w:rPr>
          <w:rFonts w:ascii="Arial"/>
          <w:spacing w:val="-14"/>
          <w:w w:val="105"/>
          <w:sz w:val="20"/>
        </w:rPr>
        <w:t xml:space="preserve"> </w:t>
      </w:r>
      <w:r>
        <w:rPr>
          <w:rFonts w:ascii="Arial"/>
          <w:w w:val="105"/>
          <w:sz w:val="20"/>
        </w:rPr>
        <w:t>86%</w:t>
      </w:r>
      <w:r>
        <w:rPr>
          <w:rFonts w:ascii="Arial"/>
          <w:spacing w:val="-19"/>
          <w:w w:val="105"/>
          <w:sz w:val="20"/>
        </w:rPr>
        <w:t xml:space="preserve"> </w:t>
      </w:r>
      <w:r>
        <w:rPr>
          <w:rFonts w:ascii="Arial"/>
          <w:w w:val="105"/>
          <w:sz w:val="20"/>
        </w:rPr>
        <w:t>increase</w:t>
      </w:r>
      <w:r>
        <w:rPr>
          <w:rFonts w:ascii="Arial"/>
          <w:spacing w:val="-15"/>
          <w:w w:val="105"/>
          <w:sz w:val="20"/>
        </w:rPr>
        <w:t xml:space="preserve"> </w:t>
      </w:r>
      <w:r>
        <w:rPr>
          <w:rFonts w:ascii="Arial"/>
          <w:w w:val="105"/>
          <w:sz w:val="20"/>
        </w:rPr>
        <w:t>from</w:t>
      </w:r>
      <w:r>
        <w:rPr>
          <w:rFonts w:ascii="Arial"/>
          <w:spacing w:val="-14"/>
          <w:w w:val="105"/>
          <w:sz w:val="20"/>
        </w:rPr>
        <w:t xml:space="preserve"> </w:t>
      </w:r>
      <w:r>
        <w:rPr>
          <w:rFonts w:ascii="Arial"/>
          <w:w w:val="105"/>
          <w:sz w:val="20"/>
        </w:rPr>
        <w:t>the</w:t>
      </w:r>
      <w:r>
        <w:rPr>
          <w:rFonts w:ascii="Arial"/>
          <w:spacing w:val="-15"/>
          <w:w w:val="105"/>
          <w:sz w:val="20"/>
        </w:rPr>
        <w:t xml:space="preserve"> </w:t>
      </w:r>
      <w:r>
        <w:rPr>
          <w:rFonts w:ascii="Arial"/>
          <w:w w:val="105"/>
          <w:sz w:val="20"/>
        </w:rPr>
        <w:t>currently</w:t>
      </w:r>
      <w:r>
        <w:rPr>
          <w:rFonts w:ascii="Arial"/>
          <w:spacing w:val="-14"/>
          <w:w w:val="105"/>
          <w:sz w:val="20"/>
        </w:rPr>
        <w:t xml:space="preserve"> </w:t>
      </w:r>
      <w:r>
        <w:rPr>
          <w:rFonts w:ascii="Arial"/>
          <w:w w:val="105"/>
          <w:sz w:val="20"/>
        </w:rPr>
        <w:t>approved</w:t>
      </w:r>
      <w:r>
        <w:rPr>
          <w:rFonts w:ascii="Arial"/>
          <w:spacing w:val="-15"/>
          <w:w w:val="105"/>
          <w:sz w:val="20"/>
        </w:rPr>
        <w:t xml:space="preserve"> </w:t>
      </w:r>
      <w:r>
        <w:rPr>
          <w:rFonts w:ascii="Arial"/>
          <w:w w:val="105"/>
          <w:sz w:val="20"/>
        </w:rPr>
        <w:t>$1,587,646.</w:t>
      </w:r>
      <w:r>
        <w:rPr>
          <w:rFonts w:ascii="Arial"/>
          <w:spacing w:val="28"/>
          <w:w w:val="105"/>
          <w:sz w:val="20"/>
        </w:rPr>
        <w:t xml:space="preserve"> </w:t>
      </w:r>
      <w:r>
        <w:rPr>
          <w:rFonts w:ascii="Arial"/>
          <w:w w:val="105"/>
          <w:sz w:val="20"/>
        </w:rPr>
        <w:t>In</w:t>
      </w:r>
      <w:r>
        <w:rPr>
          <w:rFonts w:ascii="Arial"/>
          <w:spacing w:val="-4"/>
          <w:w w:val="105"/>
          <w:sz w:val="20"/>
        </w:rPr>
        <w:t xml:space="preserve"> </w:t>
      </w:r>
      <w:r>
        <w:rPr>
          <w:rFonts w:ascii="Arial"/>
          <w:w w:val="105"/>
          <w:sz w:val="20"/>
        </w:rPr>
        <w:t>addition</w:t>
      </w:r>
      <w:r>
        <w:rPr>
          <w:rFonts w:ascii="Arial"/>
          <w:spacing w:val="-15"/>
          <w:w w:val="105"/>
          <w:sz w:val="20"/>
        </w:rPr>
        <w:t xml:space="preserve"> </w:t>
      </w:r>
      <w:r>
        <w:rPr>
          <w:rFonts w:ascii="Arial"/>
          <w:w w:val="105"/>
          <w:sz w:val="20"/>
        </w:rPr>
        <w:t>to</w:t>
      </w:r>
      <w:r>
        <w:rPr>
          <w:rFonts w:ascii="Arial"/>
          <w:spacing w:val="-6"/>
          <w:w w:val="105"/>
          <w:sz w:val="20"/>
        </w:rPr>
        <w:t xml:space="preserve"> </w:t>
      </w:r>
      <w:r>
        <w:rPr>
          <w:rFonts w:ascii="Arial"/>
          <w:w w:val="105"/>
          <w:sz w:val="20"/>
        </w:rPr>
        <w:t>the</w:t>
      </w:r>
      <w:r>
        <w:rPr>
          <w:rFonts w:ascii="Arial"/>
          <w:spacing w:val="-6"/>
          <w:w w:val="105"/>
          <w:sz w:val="20"/>
        </w:rPr>
        <w:t xml:space="preserve"> </w:t>
      </w:r>
      <w:r>
        <w:rPr>
          <w:rFonts w:ascii="Arial"/>
          <w:w w:val="105"/>
          <w:sz w:val="20"/>
        </w:rPr>
        <w:t>cost</w:t>
      </w:r>
      <w:r>
        <w:rPr>
          <w:rFonts w:ascii="Arial"/>
          <w:spacing w:val="-12"/>
          <w:w w:val="105"/>
          <w:sz w:val="20"/>
        </w:rPr>
        <w:t xml:space="preserve"> </w:t>
      </w:r>
      <w:r>
        <w:rPr>
          <w:rFonts w:ascii="Arial"/>
          <w:w w:val="105"/>
          <w:sz w:val="20"/>
        </w:rPr>
        <w:t>elements described</w:t>
      </w:r>
      <w:r>
        <w:rPr>
          <w:rFonts w:ascii="Arial"/>
          <w:spacing w:val="-15"/>
          <w:w w:val="105"/>
          <w:sz w:val="20"/>
        </w:rPr>
        <w:t xml:space="preserve"> </w:t>
      </w:r>
      <w:r>
        <w:rPr>
          <w:rFonts w:ascii="Arial"/>
          <w:w w:val="105"/>
          <w:sz w:val="20"/>
        </w:rPr>
        <w:t>in</w:t>
      </w:r>
      <w:r>
        <w:rPr>
          <w:rFonts w:ascii="Arial"/>
          <w:spacing w:val="-15"/>
          <w:w w:val="105"/>
          <w:sz w:val="20"/>
        </w:rPr>
        <w:t xml:space="preserve"> </w:t>
      </w:r>
      <w:r>
        <w:rPr>
          <w:rFonts w:ascii="Arial"/>
          <w:w w:val="105"/>
          <w:sz w:val="20"/>
        </w:rPr>
        <w:t>10.5.a.</w:t>
      </w:r>
      <w:r>
        <w:rPr>
          <w:rFonts w:ascii="Arial"/>
          <w:spacing w:val="-14"/>
          <w:w w:val="105"/>
          <w:sz w:val="20"/>
        </w:rPr>
        <w:t xml:space="preserve"> </w:t>
      </w:r>
      <w:r>
        <w:rPr>
          <w:rFonts w:ascii="Arial"/>
          <w:w w:val="105"/>
          <w:sz w:val="20"/>
        </w:rPr>
        <w:t>the</w:t>
      </w:r>
      <w:r>
        <w:rPr>
          <w:rFonts w:ascii="Arial"/>
          <w:spacing w:val="-15"/>
          <w:w w:val="105"/>
          <w:sz w:val="20"/>
        </w:rPr>
        <w:t xml:space="preserve"> </w:t>
      </w:r>
      <w:r>
        <w:rPr>
          <w:rFonts w:ascii="Arial"/>
          <w:w w:val="105"/>
          <w:sz w:val="20"/>
        </w:rPr>
        <w:t>Applicant</w:t>
      </w:r>
      <w:r>
        <w:rPr>
          <w:rFonts w:ascii="Arial"/>
          <w:spacing w:val="-14"/>
          <w:w w:val="105"/>
          <w:sz w:val="20"/>
        </w:rPr>
        <w:t xml:space="preserve"> </w:t>
      </w:r>
      <w:r>
        <w:rPr>
          <w:rFonts w:ascii="Arial"/>
          <w:w w:val="105"/>
          <w:sz w:val="20"/>
        </w:rPr>
        <w:t>will</w:t>
      </w:r>
      <w:r>
        <w:rPr>
          <w:rFonts w:ascii="Arial"/>
          <w:spacing w:val="-15"/>
          <w:w w:val="105"/>
          <w:sz w:val="20"/>
        </w:rPr>
        <w:t xml:space="preserve"> </w:t>
      </w:r>
      <w:r>
        <w:rPr>
          <w:rFonts w:ascii="Arial"/>
          <w:w w:val="105"/>
          <w:sz w:val="20"/>
        </w:rPr>
        <w:t>have</w:t>
      </w:r>
      <w:r>
        <w:rPr>
          <w:rFonts w:ascii="Arial"/>
          <w:spacing w:val="-14"/>
          <w:w w:val="105"/>
          <w:sz w:val="20"/>
        </w:rPr>
        <w:t xml:space="preserve"> </w:t>
      </w:r>
      <w:r>
        <w:rPr>
          <w:rFonts w:ascii="Arial"/>
          <w:w w:val="105"/>
          <w:sz w:val="20"/>
        </w:rPr>
        <w:t>additional</w:t>
      </w:r>
      <w:r>
        <w:rPr>
          <w:rFonts w:ascii="Arial"/>
          <w:spacing w:val="-15"/>
          <w:w w:val="105"/>
          <w:sz w:val="20"/>
        </w:rPr>
        <w:t xml:space="preserve"> </w:t>
      </w:r>
      <w:r>
        <w:rPr>
          <w:rFonts w:ascii="Arial"/>
          <w:w w:val="105"/>
          <w:sz w:val="20"/>
        </w:rPr>
        <w:t>interest</w:t>
      </w:r>
      <w:r>
        <w:rPr>
          <w:rFonts w:ascii="Arial"/>
          <w:spacing w:val="-15"/>
          <w:w w:val="105"/>
          <w:sz w:val="20"/>
        </w:rPr>
        <w:t xml:space="preserve"> </w:t>
      </w:r>
      <w:r>
        <w:rPr>
          <w:rFonts w:ascii="Arial"/>
          <w:w w:val="105"/>
          <w:sz w:val="20"/>
        </w:rPr>
        <w:t>expense</w:t>
      </w:r>
      <w:r>
        <w:rPr>
          <w:rFonts w:ascii="Arial"/>
          <w:spacing w:val="-14"/>
          <w:w w:val="105"/>
          <w:sz w:val="20"/>
        </w:rPr>
        <w:t xml:space="preserve"> </w:t>
      </w:r>
      <w:r>
        <w:rPr>
          <w:rFonts w:ascii="Arial"/>
          <w:w w:val="105"/>
          <w:sz w:val="20"/>
        </w:rPr>
        <w:t>associated</w:t>
      </w:r>
      <w:r>
        <w:rPr>
          <w:rFonts w:ascii="Arial"/>
          <w:spacing w:val="-15"/>
          <w:w w:val="105"/>
          <w:sz w:val="20"/>
        </w:rPr>
        <w:t xml:space="preserve"> </w:t>
      </w:r>
      <w:r>
        <w:rPr>
          <w:rFonts w:ascii="Arial"/>
          <w:w w:val="105"/>
          <w:sz w:val="20"/>
        </w:rPr>
        <w:t>with</w:t>
      </w:r>
      <w:r>
        <w:rPr>
          <w:rFonts w:ascii="Arial"/>
          <w:spacing w:val="-14"/>
          <w:w w:val="105"/>
          <w:sz w:val="20"/>
        </w:rPr>
        <w:t xml:space="preserve"> </w:t>
      </w:r>
      <w:r>
        <w:rPr>
          <w:rFonts w:ascii="Arial"/>
          <w:w w:val="105"/>
          <w:sz w:val="20"/>
        </w:rPr>
        <w:t>the</w:t>
      </w:r>
      <w:r>
        <w:rPr>
          <w:rFonts w:ascii="Arial"/>
          <w:spacing w:val="-15"/>
          <w:w w:val="105"/>
          <w:sz w:val="20"/>
        </w:rPr>
        <w:t xml:space="preserve"> </w:t>
      </w:r>
      <w:r>
        <w:rPr>
          <w:rFonts w:ascii="Arial"/>
          <w:w w:val="105"/>
          <w:sz w:val="20"/>
        </w:rPr>
        <w:t>increase</w:t>
      </w:r>
      <w:r>
        <w:rPr>
          <w:rFonts w:ascii="Arial"/>
          <w:spacing w:val="-15"/>
          <w:w w:val="105"/>
          <w:sz w:val="20"/>
        </w:rPr>
        <w:t xml:space="preserve"> </w:t>
      </w:r>
      <w:r>
        <w:rPr>
          <w:rFonts w:ascii="Arial"/>
          <w:w w:val="105"/>
          <w:sz w:val="20"/>
        </w:rPr>
        <w:t>in borrowing</w:t>
      </w:r>
      <w:r>
        <w:rPr>
          <w:rFonts w:ascii="Arial"/>
          <w:spacing w:val="-16"/>
          <w:w w:val="105"/>
          <w:sz w:val="20"/>
        </w:rPr>
        <w:t xml:space="preserve"> </w:t>
      </w:r>
      <w:r>
        <w:rPr>
          <w:rFonts w:ascii="Arial"/>
          <w:w w:val="105"/>
          <w:sz w:val="20"/>
        </w:rPr>
        <w:t>required</w:t>
      </w:r>
      <w:r>
        <w:rPr>
          <w:rFonts w:ascii="Arial"/>
          <w:spacing w:val="-15"/>
          <w:w w:val="105"/>
          <w:sz w:val="20"/>
        </w:rPr>
        <w:t xml:space="preserve"> </w:t>
      </w:r>
      <w:r>
        <w:rPr>
          <w:rFonts w:ascii="Arial"/>
          <w:w w:val="105"/>
          <w:sz w:val="20"/>
        </w:rPr>
        <w:t>to</w:t>
      </w:r>
      <w:r>
        <w:rPr>
          <w:rFonts w:ascii="Arial"/>
          <w:spacing w:val="-5"/>
          <w:w w:val="105"/>
          <w:sz w:val="20"/>
        </w:rPr>
        <w:t xml:space="preserve"> </w:t>
      </w:r>
      <w:r>
        <w:rPr>
          <w:rFonts w:ascii="Arial"/>
          <w:w w:val="105"/>
          <w:sz w:val="20"/>
        </w:rPr>
        <w:t>fund</w:t>
      </w:r>
      <w:r>
        <w:rPr>
          <w:rFonts w:ascii="Arial"/>
          <w:spacing w:val="-20"/>
          <w:w w:val="105"/>
          <w:sz w:val="20"/>
        </w:rPr>
        <w:t xml:space="preserve"> </w:t>
      </w:r>
      <w:r>
        <w:rPr>
          <w:rFonts w:ascii="Arial"/>
          <w:w w:val="105"/>
          <w:sz w:val="20"/>
        </w:rPr>
        <w:t>the</w:t>
      </w:r>
      <w:r>
        <w:rPr>
          <w:rFonts w:ascii="Arial"/>
          <w:spacing w:val="-12"/>
          <w:w w:val="105"/>
          <w:sz w:val="20"/>
        </w:rPr>
        <w:t xml:space="preserve"> </w:t>
      </w:r>
      <w:r>
        <w:rPr>
          <w:rFonts w:ascii="Arial"/>
          <w:w w:val="105"/>
          <w:sz w:val="20"/>
        </w:rPr>
        <w:t>increased</w:t>
      </w:r>
      <w:r>
        <w:rPr>
          <w:rFonts w:ascii="Arial"/>
          <w:spacing w:val="-2"/>
          <w:w w:val="105"/>
          <w:sz w:val="20"/>
        </w:rPr>
        <w:t xml:space="preserve"> </w:t>
      </w:r>
      <w:r>
        <w:rPr>
          <w:rFonts w:ascii="Arial"/>
          <w:w w:val="105"/>
          <w:sz w:val="20"/>
        </w:rPr>
        <w:t>project</w:t>
      </w:r>
      <w:r>
        <w:rPr>
          <w:rFonts w:ascii="Arial"/>
          <w:spacing w:val="-6"/>
          <w:w w:val="105"/>
          <w:sz w:val="20"/>
        </w:rPr>
        <w:t xml:space="preserve"> </w:t>
      </w:r>
      <w:r>
        <w:rPr>
          <w:rFonts w:ascii="Arial"/>
          <w:w w:val="105"/>
          <w:sz w:val="20"/>
        </w:rPr>
        <w:t>costs.</w:t>
      </w:r>
      <w:r>
        <w:rPr>
          <w:rFonts w:ascii="Arial"/>
          <w:spacing w:val="20"/>
          <w:w w:val="105"/>
          <w:sz w:val="20"/>
        </w:rPr>
        <w:t xml:space="preserve"> </w:t>
      </w:r>
      <w:r>
        <w:rPr>
          <w:rFonts w:ascii="Arial"/>
          <w:w w:val="105"/>
          <w:sz w:val="20"/>
        </w:rPr>
        <w:t>There</w:t>
      </w:r>
      <w:r>
        <w:rPr>
          <w:rFonts w:ascii="Arial"/>
          <w:spacing w:val="-6"/>
          <w:w w:val="105"/>
          <w:sz w:val="20"/>
        </w:rPr>
        <w:t xml:space="preserve"> </w:t>
      </w:r>
      <w:r>
        <w:rPr>
          <w:rFonts w:ascii="Arial"/>
          <w:w w:val="105"/>
          <w:sz w:val="20"/>
        </w:rPr>
        <w:t>are</w:t>
      </w:r>
      <w:r>
        <w:rPr>
          <w:rFonts w:ascii="Arial"/>
          <w:spacing w:val="-15"/>
          <w:w w:val="105"/>
          <w:sz w:val="20"/>
        </w:rPr>
        <w:t xml:space="preserve"> </w:t>
      </w:r>
      <w:r>
        <w:rPr>
          <w:rFonts w:ascii="Arial"/>
          <w:w w:val="105"/>
          <w:sz w:val="20"/>
        </w:rPr>
        <w:t>no</w:t>
      </w:r>
      <w:r>
        <w:rPr>
          <w:rFonts w:ascii="Arial"/>
          <w:spacing w:val="-15"/>
          <w:w w:val="105"/>
          <w:sz w:val="20"/>
        </w:rPr>
        <w:t xml:space="preserve"> </w:t>
      </w:r>
      <w:r>
        <w:rPr>
          <w:rFonts w:ascii="Arial"/>
          <w:w w:val="105"/>
          <w:sz w:val="20"/>
        </w:rPr>
        <w:t>other</w:t>
      </w:r>
      <w:r>
        <w:rPr>
          <w:rFonts w:ascii="Arial"/>
          <w:spacing w:val="-8"/>
          <w:w w:val="105"/>
          <w:sz w:val="20"/>
        </w:rPr>
        <w:t xml:space="preserve"> </w:t>
      </w:r>
      <w:r>
        <w:rPr>
          <w:rFonts w:ascii="Arial"/>
          <w:w w:val="105"/>
          <w:sz w:val="20"/>
        </w:rPr>
        <w:t>material changes</w:t>
      </w:r>
      <w:r>
        <w:rPr>
          <w:rFonts w:ascii="Arial"/>
          <w:spacing w:val="-4"/>
          <w:w w:val="105"/>
          <w:sz w:val="20"/>
        </w:rPr>
        <w:t xml:space="preserve"> </w:t>
      </w:r>
      <w:r>
        <w:rPr>
          <w:rFonts w:ascii="Arial"/>
          <w:w w:val="105"/>
          <w:sz w:val="20"/>
        </w:rPr>
        <w:t>projected in</w:t>
      </w:r>
      <w:r>
        <w:rPr>
          <w:rFonts w:ascii="Arial"/>
          <w:spacing w:val="-14"/>
          <w:w w:val="105"/>
          <w:sz w:val="20"/>
        </w:rPr>
        <w:t xml:space="preserve"> </w:t>
      </w:r>
      <w:r>
        <w:rPr>
          <w:rFonts w:ascii="Arial"/>
          <w:w w:val="105"/>
          <w:sz w:val="20"/>
        </w:rPr>
        <w:t>operating</w:t>
      </w:r>
      <w:r>
        <w:rPr>
          <w:rFonts w:ascii="Arial"/>
          <w:spacing w:val="-3"/>
          <w:w w:val="105"/>
          <w:sz w:val="20"/>
        </w:rPr>
        <w:t xml:space="preserve"> </w:t>
      </w:r>
      <w:r>
        <w:rPr>
          <w:rFonts w:ascii="Arial"/>
          <w:w w:val="105"/>
          <w:sz w:val="20"/>
        </w:rPr>
        <w:t>expenses upon</w:t>
      </w:r>
      <w:r>
        <w:rPr>
          <w:rFonts w:ascii="Arial"/>
          <w:spacing w:val="-11"/>
          <w:w w:val="105"/>
          <w:sz w:val="20"/>
        </w:rPr>
        <w:t xml:space="preserve"> </w:t>
      </w:r>
      <w:r>
        <w:rPr>
          <w:rFonts w:ascii="Arial"/>
          <w:w w:val="105"/>
          <w:sz w:val="20"/>
        </w:rPr>
        <w:t>the completion of</w:t>
      </w:r>
      <w:r>
        <w:rPr>
          <w:rFonts w:ascii="Arial"/>
          <w:spacing w:val="-15"/>
          <w:w w:val="105"/>
          <w:sz w:val="20"/>
        </w:rPr>
        <w:t xml:space="preserve"> </w:t>
      </w:r>
      <w:r>
        <w:rPr>
          <w:rFonts w:ascii="Arial"/>
          <w:w w:val="105"/>
          <w:sz w:val="20"/>
        </w:rPr>
        <w:t>the</w:t>
      </w:r>
      <w:r>
        <w:rPr>
          <w:rFonts w:ascii="Arial"/>
          <w:spacing w:val="-11"/>
          <w:w w:val="105"/>
          <w:sz w:val="20"/>
        </w:rPr>
        <w:t xml:space="preserve"> </w:t>
      </w:r>
      <w:r>
        <w:rPr>
          <w:rFonts w:ascii="Arial"/>
          <w:w w:val="105"/>
          <w:sz w:val="20"/>
        </w:rPr>
        <w:t>project and</w:t>
      </w:r>
      <w:r>
        <w:rPr>
          <w:rFonts w:ascii="Arial"/>
          <w:spacing w:val="-13"/>
          <w:w w:val="105"/>
          <w:sz w:val="20"/>
        </w:rPr>
        <w:t xml:space="preserve"> </w:t>
      </w:r>
      <w:r>
        <w:rPr>
          <w:rFonts w:ascii="Arial"/>
          <w:w w:val="105"/>
          <w:sz w:val="20"/>
        </w:rPr>
        <w:t>there</w:t>
      </w:r>
      <w:r>
        <w:rPr>
          <w:rFonts w:ascii="Arial"/>
          <w:spacing w:val="-10"/>
          <w:w w:val="105"/>
          <w:sz w:val="20"/>
        </w:rPr>
        <w:t xml:space="preserve"> </w:t>
      </w:r>
      <w:r>
        <w:rPr>
          <w:rFonts w:ascii="Arial"/>
          <w:w w:val="105"/>
          <w:sz w:val="20"/>
        </w:rPr>
        <w:t>continues</w:t>
      </w:r>
      <w:r>
        <w:rPr>
          <w:rFonts w:ascii="Arial"/>
          <w:spacing w:val="-5"/>
          <w:w w:val="105"/>
          <w:sz w:val="20"/>
        </w:rPr>
        <w:t xml:space="preserve"> </w:t>
      </w:r>
      <w:r>
        <w:rPr>
          <w:rFonts w:ascii="Arial"/>
          <w:w w:val="105"/>
          <w:sz w:val="20"/>
        </w:rPr>
        <w:t>to</w:t>
      </w:r>
      <w:r>
        <w:rPr>
          <w:rFonts w:ascii="Arial"/>
          <w:spacing w:val="21"/>
          <w:w w:val="105"/>
          <w:sz w:val="20"/>
        </w:rPr>
        <w:t xml:space="preserve"> </w:t>
      </w:r>
      <w:r>
        <w:rPr>
          <w:rFonts w:ascii="Arial"/>
          <w:w w:val="105"/>
          <w:sz w:val="20"/>
        </w:rPr>
        <w:t>exist</w:t>
      </w:r>
      <w:r>
        <w:rPr>
          <w:rFonts w:ascii="Arial"/>
          <w:spacing w:val="-4"/>
          <w:w w:val="105"/>
          <w:sz w:val="20"/>
        </w:rPr>
        <w:t xml:space="preserve"> </w:t>
      </w:r>
      <w:r>
        <w:rPr>
          <w:rFonts w:ascii="Arial"/>
          <w:w w:val="105"/>
          <w:sz w:val="20"/>
        </w:rPr>
        <w:t>the</w:t>
      </w:r>
      <w:r>
        <w:rPr>
          <w:rFonts w:ascii="Arial"/>
          <w:spacing w:val="-11"/>
          <w:w w:val="105"/>
          <w:sz w:val="20"/>
        </w:rPr>
        <w:t xml:space="preserve"> </w:t>
      </w:r>
      <w:r>
        <w:rPr>
          <w:rFonts w:ascii="Arial"/>
          <w:w w:val="105"/>
          <w:sz w:val="20"/>
        </w:rPr>
        <w:t>potential</w:t>
      </w:r>
      <w:r>
        <w:rPr>
          <w:rFonts w:ascii="Arial"/>
          <w:spacing w:val="-5"/>
          <w:w w:val="105"/>
          <w:sz w:val="20"/>
        </w:rPr>
        <w:t xml:space="preserve"> </w:t>
      </w:r>
      <w:r>
        <w:rPr>
          <w:rFonts w:ascii="Arial"/>
          <w:w w:val="105"/>
          <w:sz w:val="20"/>
        </w:rPr>
        <w:t>for savings from</w:t>
      </w:r>
      <w:r>
        <w:rPr>
          <w:rFonts w:ascii="Arial"/>
          <w:spacing w:val="-3"/>
          <w:w w:val="105"/>
          <w:sz w:val="20"/>
        </w:rPr>
        <w:t xml:space="preserve"> </w:t>
      </w:r>
      <w:r>
        <w:rPr>
          <w:rFonts w:ascii="Arial"/>
          <w:w w:val="105"/>
          <w:sz w:val="20"/>
        </w:rPr>
        <w:t>the</w:t>
      </w:r>
      <w:r>
        <w:rPr>
          <w:rFonts w:ascii="Arial"/>
          <w:spacing w:val="-2"/>
          <w:w w:val="105"/>
          <w:sz w:val="20"/>
        </w:rPr>
        <w:t xml:space="preserve"> </w:t>
      </w:r>
      <w:r>
        <w:rPr>
          <w:rFonts w:ascii="Arial"/>
          <w:w w:val="105"/>
          <w:sz w:val="20"/>
        </w:rPr>
        <w:t>variety of</w:t>
      </w:r>
      <w:r>
        <w:rPr>
          <w:rFonts w:ascii="Arial"/>
          <w:spacing w:val="-8"/>
          <w:w w:val="105"/>
          <w:sz w:val="20"/>
        </w:rPr>
        <w:t xml:space="preserve"> </w:t>
      </w:r>
      <w:r>
        <w:rPr>
          <w:rFonts w:ascii="Arial"/>
          <w:w w:val="105"/>
          <w:sz w:val="20"/>
        </w:rPr>
        <w:t>energy-related</w:t>
      </w:r>
      <w:r>
        <w:rPr>
          <w:rFonts w:ascii="Arial"/>
          <w:spacing w:val="-11"/>
          <w:w w:val="105"/>
          <w:sz w:val="20"/>
        </w:rPr>
        <w:t xml:space="preserve"> </w:t>
      </w:r>
      <w:r>
        <w:rPr>
          <w:rFonts w:ascii="Arial"/>
          <w:w w:val="105"/>
          <w:sz w:val="20"/>
        </w:rPr>
        <w:t>improvement in the</w:t>
      </w:r>
      <w:r>
        <w:rPr>
          <w:rFonts w:ascii="Arial"/>
          <w:spacing w:val="-7"/>
          <w:w w:val="105"/>
          <w:sz w:val="20"/>
        </w:rPr>
        <w:t xml:space="preserve"> </w:t>
      </w:r>
      <w:r>
        <w:rPr>
          <w:rFonts w:ascii="Arial"/>
          <w:w w:val="105"/>
          <w:sz w:val="20"/>
        </w:rPr>
        <w:t>project.</w:t>
      </w:r>
    </w:p>
    <w:p w14:paraId="09A17409" w14:textId="77777777" w:rsidR="007B56EA" w:rsidRPr="002419C3" w:rsidRDefault="00775EBC">
      <w:pPr>
        <w:pStyle w:val="ListParagraph"/>
        <w:numPr>
          <w:ilvl w:val="2"/>
          <w:numId w:val="6"/>
        </w:numPr>
        <w:tabs>
          <w:tab w:val="left" w:pos="1600"/>
        </w:tabs>
        <w:spacing w:before="147"/>
        <w:ind w:hanging="722"/>
        <w:rPr>
          <w:rFonts w:ascii="Arial"/>
          <w:sz w:val="20"/>
          <w:u w:val="single"/>
        </w:rPr>
      </w:pPr>
      <w:r w:rsidRPr="002419C3">
        <w:rPr>
          <w:rFonts w:ascii="Arial"/>
          <w:sz w:val="20"/>
          <w:u w:val="single"/>
        </w:rPr>
        <w:t>Describe</w:t>
      </w:r>
      <w:r w:rsidRPr="002419C3">
        <w:rPr>
          <w:rFonts w:ascii="Arial"/>
          <w:spacing w:val="-8"/>
          <w:sz w:val="20"/>
          <w:u w:val="single"/>
        </w:rPr>
        <w:t xml:space="preserve"> </w:t>
      </w:r>
      <w:r w:rsidRPr="002419C3">
        <w:rPr>
          <w:rFonts w:ascii="Arial"/>
          <w:sz w:val="20"/>
          <w:u w:val="single"/>
        </w:rPr>
        <w:t>the</w:t>
      </w:r>
      <w:r w:rsidRPr="002419C3">
        <w:rPr>
          <w:rFonts w:ascii="Arial"/>
          <w:spacing w:val="25"/>
          <w:sz w:val="20"/>
          <w:u w:val="single"/>
        </w:rPr>
        <w:t xml:space="preserve"> </w:t>
      </w:r>
      <w:r w:rsidRPr="002419C3">
        <w:rPr>
          <w:rFonts w:ascii="Arial"/>
          <w:sz w:val="20"/>
          <w:u w:val="single"/>
        </w:rPr>
        <w:t>associated</w:t>
      </w:r>
      <w:r w:rsidRPr="002419C3">
        <w:rPr>
          <w:rFonts w:ascii="Arial"/>
          <w:spacing w:val="3"/>
          <w:sz w:val="20"/>
          <w:u w:val="single"/>
        </w:rPr>
        <w:t xml:space="preserve"> </w:t>
      </w:r>
      <w:r w:rsidRPr="002419C3">
        <w:rPr>
          <w:rFonts w:ascii="Arial"/>
          <w:sz w:val="20"/>
          <w:u w:val="single"/>
        </w:rPr>
        <w:t>cost</w:t>
      </w:r>
      <w:r w:rsidRPr="002419C3">
        <w:rPr>
          <w:rFonts w:ascii="Arial"/>
          <w:spacing w:val="-13"/>
          <w:sz w:val="20"/>
          <w:u w:val="single"/>
        </w:rPr>
        <w:t xml:space="preserve"> </w:t>
      </w:r>
      <w:r w:rsidRPr="002419C3">
        <w:rPr>
          <w:rFonts w:ascii="Arial"/>
          <w:sz w:val="20"/>
          <w:u w:val="single"/>
        </w:rPr>
        <w:t>to</w:t>
      </w:r>
      <w:r w:rsidRPr="002419C3">
        <w:rPr>
          <w:rFonts w:ascii="Arial"/>
          <w:spacing w:val="18"/>
          <w:sz w:val="20"/>
          <w:u w:val="single"/>
        </w:rPr>
        <w:t xml:space="preserve"> </w:t>
      </w:r>
      <w:r w:rsidRPr="002419C3">
        <w:rPr>
          <w:rFonts w:ascii="Arial"/>
          <w:sz w:val="20"/>
          <w:u w:val="single"/>
        </w:rPr>
        <w:t>the</w:t>
      </w:r>
      <w:r w:rsidRPr="002419C3">
        <w:rPr>
          <w:rFonts w:ascii="Arial"/>
          <w:spacing w:val="-2"/>
          <w:sz w:val="20"/>
          <w:u w:val="single"/>
        </w:rPr>
        <w:t xml:space="preserve"> </w:t>
      </w:r>
      <w:r w:rsidRPr="002419C3">
        <w:rPr>
          <w:rFonts w:ascii="Arial"/>
          <w:sz w:val="20"/>
          <w:u w:val="single"/>
        </w:rPr>
        <w:t>Holder's</w:t>
      </w:r>
      <w:r w:rsidRPr="002419C3">
        <w:rPr>
          <w:rFonts w:ascii="Arial"/>
          <w:spacing w:val="1"/>
          <w:sz w:val="20"/>
          <w:u w:val="single"/>
        </w:rPr>
        <w:t xml:space="preserve"> </w:t>
      </w:r>
      <w:r w:rsidRPr="002419C3">
        <w:rPr>
          <w:rFonts w:ascii="Arial"/>
          <w:sz w:val="20"/>
          <w:u w:val="single"/>
        </w:rPr>
        <w:t>existing</w:t>
      </w:r>
      <w:r w:rsidRPr="002419C3">
        <w:rPr>
          <w:rFonts w:ascii="Arial"/>
          <w:spacing w:val="-14"/>
          <w:sz w:val="20"/>
          <w:u w:val="single"/>
        </w:rPr>
        <w:t xml:space="preserve"> </w:t>
      </w:r>
      <w:r w:rsidRPr="002419C3">
        <w:rPr>
          <w:rFonts w:ascii="Arial"/>
          <w:sz w:val="20"/>
          <w:u w:val="single"/>
        </w:rPr>
        <w:t>Patient</w:t>
      </w:r>
      <w:r w:rsidRPr="002419C3">
        <w:rPr>
          <w:rFonts w:ascii="Arial"/>
          <w:spacing w:val="-6"/>
          <w:sz w:val="20"/>
          <w:u w:val="single"/>
        </w:rPr>
        <w:t xml:space="preserve"> </w:t>
      </w:r>
      <w:r w:rsidRPr="002419C3">
        <w:rPr>
          <w:rFonts w:ascii="Arial"/>
          <w:spacing w:val="-2"/>
          <w:sz w:val="20"/>
          <w:u w:val="single"/>
        </w:rPr>
        <w:t>Panel.</w:t>
      </w:r>
    </w:p>
    <w:p w14:paraId="09A1740A" w14:textId="77777777" w:rsidR="007B56EA" w:rsidRDefault="007B56EA">
      <w:pPr>
        <w:pStyle w:val="BodyText"/>
        <w:spacing w:before="10"/>
        <w:rPr>
          <w:rFonts w:ascii="Arial"/>
          <w:sz w:val="18"/>
        </w:rPr>
      </w:pPr>
    </w:p>
    <w:p w14:paraId="09A1740B" w14:textId="77777777" w:rsidR="007B56EA" w:rsidRDefault="00775EBC">
      <w:pPr>
        <w:ind w:left="874"/>
        <w:rPr>
          <w:rFonts w:ascii="Arial"/>
          <w:sz w:val="20"/>
        </w:rPr>
      </w:pPr>
      <w:r>
        <w:rPr>
          <w:rFonts w:ascii="Arial"/>
          <w:w w:val="105"/>
          <w:sz w:val="20"/>
        </w:rPr>
        <w:t>There</w:t>
      </w:r>
      <w:r>
        <w:rPr>
          <w:rFonts w:ascii="Arial"/>
          <w:spacing w:val="-15"/>
          <w:w w:val="105"/>
          <w:sz w:val="20"/>
        </w:rPr>
        <w:t xml:space="preserve"> </w:t>
      </w:r>
      <w:r>
        <w:rPr>
          <w:rFonts w:ascii="Arial"/>
          <w:w w:val="105"/>
          <w:sz w:val="20"/>
        </w:rPr>
        <w:t>will</w:t>
      </w:r>
      <w:r>
        <w:rPr>
          <w:rFonts w:ascii="Arial"/>
          <w:spacing w:val="-15"/>
          <w:w w:val="105"/>
          <w:sz w:val="20"/>
        </w:rPr>
        <w:t xml:space="preserve"> </w:t>
      </w:r>
      <w:r>
        <w:rPr>
          <w:rFonts w:ascii="Arial"/>
          <w:w w:val="105"/>
          <w:sz w:val="20"/>
        </w:rPr>
        <w:t>be</w:t>
      </w:r>
      <w:r>
        <w:rPr>
          <w:rFonts w:ascii="Arial"/>
          <w:spacing w:val="-14"/>
          <w:w w:val="105"/>
          <w:sz w:val="20"/>
        </w:rPr>
        <w:t xml:space="preserve"> </w:t>
      </w:r>
      <w:r>
        <w:rPr>
          <w:rFonts w:ascii="Arial"/>
          <w:w w:val="105"/>
          <w:sz w:val="20"/>
        </w:rPr>
        <w:t>no</w:t>
      </w:r>
      <w:r>
        <w:rPr>
          <w:rFonts w:ascii="Arial"/>
          <w:spacing w:val="-13"/>
          <w:w w:val="105"/>
          <w:sz w:val="20"/>
        </w:rPr>
        <w:t xml:space="preserve"> </w:t>
      </w:r>
      <w:r>
        <w:rPr>
          <w:rFonts w:ascii="Arial"/>
          <w:w w:val="105"/>
          <w:sz w:val="20"/>
        </w:rPr>
        <w:t>cost</w:t>
      </w:r>
      <w:r>
        <w:rPr>
          <w:rFonts w:ascii="Arial"/>
          <w:spacing w:val="-14"/>
          <w:w w:val="105"/>
          <w:sz w:val="20"/>
        </w:rPr>
        <w:t xml:space="preserve"> </w:t>
      </w:r>
      <w:r>
        <w:rPr>
          <w:rFonts w:ascii="Arial"/>
          <w:w w:val="105"/>
          <w:sz w:val="20"/>
        </w:rPr>
        <w:t>impact</w:t>
      </w:r>
      <w:r>
        <w:rPr>
          <w:rFonts w:ascii="Arial"/>
          <w:spacing w:val="-15"/>
          <w:w w:val="105"/>
          <w:sz w:val="20"/>
        </w:rPr>
        <w:t xml:space="preserve"> </w:t>
      </w:r>
      <w:r>
        <w:rPr>
          <w:rFonts w:ascii="Arial"/>
          <w:w w:val="105"/>
          <w:sz w:val="20"/>
        </w:rPr>
        <w:t>for</w:t>
      </w:r>
      <w:r>
        <w:rPr>
          <w:rFonts w:ascii="Arial"/>
          <w:spacing w:val="5"/>
          <w:w w:val="105"/>
          <w:sz w:val="20"/>
        </w:rPr>
        <w:t xml:space="preserve"> </w:t>
      </w:r>
      <w:r>
        <w:rPr>
          <w:rFonts w:ascii="Arial"/>
          <w:w w:val="105"/>
          <w:sz w:val="20"/>
        </w:rPr>
        <w:t>the</w:t>
      </w:r>
      <w:r>
        <w:rPr>
          <w:rFonts w:ascii="Arial"/>
          <w:spacing w:val="-9"/>
          <w:w w:val="105"/>
          <w:sz w:val="20"/>
        </w:rPr>
        <w:t xml:space="preserve"> </w:t>
      </w:r>
      <w:r>
        <w:rPr>
          <w:rFonts w:ascii="Arial"/>
          <w:w w:val="105"/>
          <w:sz w:val="20"/>
        </w:rPr>
        <w:t>patient</w:t>
      </w:r>
      <w:r>
        <w:rPr>
          <w:rFonts w:ascii="Arial"/>
          <w:spacing w:val="-10"/>
          <w:w w:val="105"/>
          <w:sz w:val="20"/>
        </w:rPr>
        <w:t xml:space="preserve"> </w:t>
      </w:r>
      <w:r>
        <w:rPr>
          <w:rFonts w:ascii="Arial"/>
          <w:spacing w:val="-2"/>
          <w:w w:val="105"/>
          <w:sz w:val="20"/>
        </w:rPr>
        <w:t>panel.</w:t>
      </w:r>
    </w:p>
    <w:p w14:paraId="09A1740C" w14:textId="77777777" w:rsidR="007B56EA" w:rsidRDefault="007B56EA">
      <w:pPr>
        <w:pStyle w:val="BodyText"/>
        <w:spacing w:before="10"/>
        <w:rPr>
          <w:rFonts w:ascii="Arial"/>
          <w:sz w:val="18"/>
        </w:rPr>
      </w:pPr>
    </w:p>
    <w:p w14:paraId="09A1740D" w14:textId="214991CB" w:rsidR="007B56EA" w:rsidRPr="002419C3" w:rsidRDefault="00775EBC">
      <w:pPr>
        <w:pStyle w:val="ListParagraph"/>
        <w:numPr>
          <w:ilvl w:val="2"/>
          <w:numId w:val="6"/>
        </w:numPr>
        <w:tabs>
          <w:tab w:val="left" w:pos="1593"/>
        </w:tabs>
        <w:spacing w:line="300" w:lineRule="auto"/>
        <w:ind w:left="883" w:right="1294" w:hanging="12"/>
        <w:rPr>
          <w:rFonts w:ascii="Arial"/>
          <w:sz w:val="20"/>
          <w:u w:val="single"/>
        </w:rPr>
      </w:pPr>
      <w:r w:rsidRPr="002419C3">
        <w:rPr>
          <w:rFonts w:ascii="Arial"/>
          <w:sz w:val="20"/>
          <w:u w:val="single"/>
        </w:rPr>
        <w:t xml:space="preserve">Provide a detailed narrative, comparing the approved </w:t>
      </w:r>
      <w:r w:rsidR="002419C3" w:rsidRPr="002419C3">
        <w:rPr>
          <w:rFonts w:ascii="Arial"/>
          <w:sz w:val="20"/>
          <w:u w:val="single"/>
        </w:rPr>
        <w:t>project</w:t>
      </w:r>
      <w:r w:rsidRPr="002419C3">
        <w:rPr>
          <w:rFonts w:ascii="Arial"/>
          <w:sz w:val="20"/>
          <w:u w:val="single"/>
        </w:rPr>
        <w:t xml:space="preserve"> to the proposed Significant Change, and the rationale for such change.</w:t>
      </w:r>
    </w:p>
    <w:p w14:paraId="09A1740E" w14:textId="77777777" w:rsidR="007B56EA" w:rsidRDefault="00775EBC">
      <w:pPr>
        <w:spacing w:before="168" w:line="302" w:lineRule="auto"/>
        <w:ind w:left="877" w:right="605" w:firstLine="6"/>
        <w:rPr>
          <w:rFonts w:ascii="Arial"/>
          <w:sz w:val="20"/>
        </w:rPr>
      </w:pPr>
      <w:r>
        <w:rPr>
          <w:rFonts w:ascii="Arial"/>
          <w:sz w:val="20"/>
        </w:rPr>
        <w:t>On</w:t>
      </w:r>
      <w:r>
        <w:rPr>
          <w:rFonts w:ascii="Arial"/>
          <w:spacing w:val="-9"/>
          <w:sz w:val="20"/>
        </w:rPr>
        <w:t xml:space="preserve"> </w:t>
      </w:r>
      <w:r>
        <w:rPr>
          <w:rFonts w:ascii="Arial"/>
          <w:sz w:val="20"/>
        </w:rPr>
        <w:t>January 27,</w:t>
      </w:r>
      <w:r>
        <w:rPr>
          <w:rFonts w:ascii="Arial"/>
          <w:spacing w:val="-14"/>
          <w:sz w:val="20"/>
        </w:rPr>
        <w:t xml:space="preserve"> </w:t>
      </w:r>
      <w:r>
        <w:rPr>
          <w:rFonts w:ascii="Arial"/>
          <w:sz w:val="20"/>
        </w:rPr>
        <w:t>2021,</w:t>
      </w:r>
      <w:r>
        <w:rPr>
          <w:rFonts w:ascii="Arial"/>
          <w:spacing w:val="-4"/>
          <w:sz w:val="20"/>
        </w:rPr>
        <w:t xml:space="preserve"> </w:t>
      </w:r>
      <w:r>
        <w:rPr>
          <w:rFonts w:ascii="Arial"/>
          <w:sz w:val="20"/>
        </w:rPr>
        <w:t>New England Surgery Center, LLC</w:t>
      </w:r>
      <w:r>
        <w:rPr>
          <w:rFonts w:ascii="Arial"/>
          <w:spacing w:val="-5"/>
          <w:sz w:val="20"/>
        </w:rPr>
        <w:t xml:space="preserve"> </w:t>
      </w:r>
      <w:r>
        <w:rPr>
          <w:rFonts w:ascii="Arial"/>
          <w:sz w:val="20"/>
        </w:rPr>
        <w:t>received approval of a Determination of</w:t>
      </w:r>
      <w:r>
        <w:rPr>
          <w:rFonts w:ascii="Arial"/>
          <w:spacing w:val="-5"/>
          <w:sz w:val="20"/>
        </w:rPr>
        <w:t xml:space="preserve"> </w:t>
      </w:r>
      <w:r>
        <w:rPr>
          <w:rFonts w:ascii="Arial"/>
          <w:sz w:val="20"/>
        </w:rPr>
        <w:t>Need (</w:t>
      </w:r>
      <w:proofErr w:type="spellStart"/>
      <w:r>
        <w:rPr>
          <w:rFonts w:ascii="Arial"/>
          <w:sz w:val="20"/>
        </w:rPr>
        <w:t>DoN</w:t>
      </w:r>
      <w:proofErr w:type="spellEnd"/>
      <w:r>
        <w:rPr>
          <w:rFonts w:ascii="Arial"/>
          <w:sz w:val="20"/>
        </w:rPr>
        <w:t>) application for</w:t>
      </w:r>
      <w:r>
        <w:rPr>
          <w:rFonts w:ascii="Arial"/>
          <w:spacing w:val="-4"/>
          <w:sz w:val="20"/>
        </w:rPr>
        <w:t xml:space="preserve"> </w:t>
      </w:r>
      <w:r>
        <w:rPr>
          <w:rFonts w:ascii="Arial"/>
          <w:sz w:val="20"/>
        </w:rPr>
        <w:t>a Substantial Change</w:t>
      </w:r>
      <w:r>
        <w:rPr>
          <w:rFonts w:ascii="Arial"/>
          <w:spacing w:val="-3"/>
          <w:sz w:val="20"/>
        </w:rPr>
        <w:t xml:space="preserve"> </w:t>
      </w:r>
      <w:r>
        <w:rPr>
          <w:rFonts w:ascii="Arial"/>
          <w:sz w:val="20"/>
        </w:rPr>
        <w:t>in Service to</w:t>
      </w:r>
      <w:r>
        <w:rPr>
          <w:rFonts w:ascii="Arial"/>
          <w:spacing w:val="30"/>
          <w:sz w:val="20"/>
        </w:rPr>
        <w:t xml:space="preserve"> </w:t>
      </w:r>
      <w:r>
        <w:rPr>
          <w:rFonts w:ascii="Arial"/>
          <w:sz w:val="20"/>
        </w:rPr>
        <w:t>add</w:t>
      </w:r>
      <w:r>
        <w:rPr>
          <w:rFonts w:ascii="Arial"/>
          <w:spacing w:val="-5"/>
          <w:sz w:val="20"/>
        </w:rPr>
        <w:t xml:space="preserve"> </w:t>
      </w:r>
      <w:r>
        <w:rPr>
          <w:rFonts w:ascii="Arial"/>
          <w:sz w:val="20"/>
        </w:rPr>
        <w:t>a second operating</w:t>
      </w:r>
      <w:r>
        <w:rPr>
          <w:rFonts w:ascii="Arial"/>
          <w:spacing w:val="-8"/>
          <w:sz w:val="20"/>
        </w:rPr>
        <w:t xml:space="preserve"> </w:t>
      </w:r>
      <w:r>
        <w:rPr>
          <w:rFonts w:ascii="Arial"/>
          <w:sz w:val="20"/>
        </w:rPr>
        <w:t>room,</w:t>
      </w:r>
      <w:r>
        <w:rPr>
          <w:rFonts w:ascii="Arial"/>
          <w:spacing w:val="-8"/>
          <w:sz w:val="20"/>
        </w:rPr>
        <w:t xml:space="preserve"> </w:t>
      </w:r>
      <w:r>
        <w:rPr>
          <w:rFonts w:ascii="Arial"/>
          <w:sz w:val="20"/>
        </w:rPr>
        <w:t>additional patient support and administrative areas to</w:t>
      </w:r>
      <w:r>
        <w:rPr>
          <w:rFonts w:ascii="Arial"/>
          <w:spacing w:val="40"/>
          <w:sz w:val="20"/>
        </w:rPr>
        <w:t xml:space="preserve"> </w:t>
      </w:r>
      <w:r>
        <w:rPr>
          <w:rFonts w:ascii="Arial"/>
          <w:sz w:val="20"/>
        </w:rPr>
        <w:t>the existing facility at 900 Cummings Center, Suite 122U, Beverly, MA.</w:t>
      </w:r>
      <w:r>
        <w:rPr>
          <w:rFonts w:ascii="Arial"/>
          <w:spacing w:val="32"/>
          <w:sz w:val="20"/>
        </w:rPr>
        <w:t xml:space="preserve"> </w:t>
      </w:r>
      <w:r>
        <w:rPr>
          <w:rFonts w:ascii="Arial"/>
          <w:sz w:val="20"/>
        </w:rPr>
        <w:t>The (MCE) for</w:t>
      </w:r>
      <w:r>
        <w:rPr>
          <w:rFonts w:ascii="Arial"/>
          <w:spacing w:val="-6"/>
          <w:sz w:val="20"/>
        </w:rPr>
        <w:t xml:space="preserve"> </w:t>
      </w:r>
      <w:r>
        <w:rPr>
          <w:rFonts w:ascii="Arial"/>
          <w:sz w:val="20"/>
        </w:rPr>
        <w:t>the project was</w:t>
      </w:r>
      <w:r>
        <w:rPr>
          <w:rFonts w:ascii="Arial"/>
          <w:spacing w:val="-1"/>
          <w:sz w:val="20"/>
        </w:rPr>
        <w:t xml:space="preserve"> </w:t>
      </w:r>
      <w:r>
        <w:rPr>
          <w:rFonts w:ascii="Arial"/>
          <w:sz w:val="20"/>
        </w:rPr>
        <w:t>$1,587,646.</w:t>
      </w:r>
      <w:r>
        <w:rPr>
          <w:rFonts w:ascii="Arial"/>
          <w:spacing w:val="40"/>
          <w:sz w:val="20"/>
        </w:rPr>
        <w:t xml:space="preserve"> </w:t>
      </w:r>
      <w:r>
        <w:rPr>
          <w:rFonts w:ascii="Arial"/>
          <w:sz w:val="20"/>
        </w:rPr>
        <w:t>Through this Amendment, the Applicant seeks approval for</w:t>
      </w:r>
      <w:r>
        <w:rPr>
          <w:rFonts w:ascii="Arial"/>
          <w:spacing w:val="30"/>
          <w:sz w:val="20"/>
        </w:rPr>
        <w:t xml:space="preserve"> </w:t>
      </w:r>
      <w:r>
        <w:rPr>
          <w:rFonts w:ascii="Arial"/>
          <w:sz w:val="20"/>
        </w:rPr>
        <w:t>an</w:t>
      </w:r>
      <w:r>
        <w:rPr>
          <w:rFonts w:ascii="Arial"/>
          <w:spacing w:val="-19"/>
          <w:sz w:val="20"/>
        </w:rPr>
        <w:t xml:space="preserve"> </w:t>
      </w:r>
      <w:r>
        <w:rPr>
          <w:rFonts w:ascii="Arial"/>
          <w:sz w:val="20"/>
        </w:rPr>
        <w:t>increase in the approved MCE</w:t>
      </w:r>
      <w:r>
        <w:rPr>
          <w:rFonts w:ascii="Arial"/>
          <w:spacing w:val="-2"/>
          <w:sz w:val="20"/>
        </w:rPr>
        <w:t xml:space="preserve"> </w:t>
      </w:r>
      <w:r>
        <w:rPr>
          <w:rFonts w:ascii="Arial"/>
          <w:sz w:val="20"/>
        </w:rPr>
        <w:t>for</w:t>
      </w:r>
      <w:r>
        <w:rPr>
          <w:rFonts w:ascii="Arial"/>
          <w:spacing w:val="40"/>
          <w:sz w:val="20"/>
        </w:rPr>
        <w:t xml:space="preserve"> </w:t>
      </w:r>
      <w:r>
        <w:rPr>
          <w:rFonts w:ascii="Arial"/>
          <w:sz w:val="20"/>
        </w:rPr>
        <w:t>the project</w:t>
      </w:r>
      <w:r>
        <w:rPr>
          <w:rFonts w:ascii="Arial"/>
          <w:spacing w:val="-1"/>
          <w:sz w:val="20"/>
        </w:rPr>
        <w:t xml:space="preserve"> </w:t>
      </w:r>
      <w:r>
        <w:rPr>
          <w:rFonts w:ascii="Arial"/>
          <w:sz w:val="20"/>
        </w:rPr>
        <w:t>to $2,946,581.</w:t>
      </w:r>
      <w:r>
        <w:rPr>
          <w:rFonts w:ascii="Arial"/>
          <w:spacing w:val="40"/>
          <w:sz w:val="20"/>
        </w:rPr>
        <w:t xml:space="preserve"> </w:t>
      </w:r>
      <w:r>
        <w:rPr>
          <w:rFonts w:ascii="Arial"/>
          <w:sz w:val="20"/>
        </w:rPr>
        <w:t>This</w:t>
      </w:r>
      <w:r>
        <w:rPr>
          <w:rFonts w:ascii="Arial"/>
          <w:spacing w:val="-1"/>
          <w:sz w:val="20"/>
        </w:rPr>
        <w:t xml:space="preserve"> </w:t>
      </w:r>
      <w:r>
        <w:rPr>
          <w:rFonts w:ascii="Arial"/>
          <w:sz w:val="20"/>
        </w:rPr>
        <w:t>is</w:t>
      </w:r>
      <w:r>
        <w:rPr>
          <w:rFonts w:ascii="Arial"/>
          <w:spacing w:val="-6"/>
          <w:sz w:val="20"/>
        </w:rPr>
        <w:t xml:space="preserve"> </w:t>
      </w:r>
      <w:r>
        <w:rPr>
          <w:rFonts w:ascii="Arial"/>
          <w:sz w:val="20"/>
        </w:rPr>
        <w:t>an</w:t>
      </w:r>
      <w:r>
        <w:rPr>
          <w:rFonts w:ascii="Arial"/>
          <w:spacing w:val="-11"/>
          <w:sz w:val="20"/>
        </w:rPr>
        <w:t xml:space="preserve"> </w:t>
      </w:r>
      <w:r>
        <w:rPr>
          <w:rFonts w:ascii="Arial"/>
          <w:sz w:val="20"/>
        </w:rPr>
        <w:t xml:space="preserve">increase of $1,358,935 or </w:t>
      </w:r>
      <w:r>
        <w:rPr>
          <w:rFonts w:ascii="Arial"/>
          <w:spacing w:val="-4"/>
          <w:sz w:val="20"/>
        </w:rPr>
        <w:t>86%.</w:t>
      </w:r>
    </w:p>
    <w:p w14:paraId="09A1740F" w14:textId="77777777" w:rsidR="007B56EA" w:rsidRDefault="00775EBC">
      <w:pPr>
        <w:spacing w:before="166" w:line="300" w:lineRule="auto"/>
        <w:ind w:left="868" w:right="605" w:hanging="2"/>
        <w:rPr>
          <w:rFonts w:ascii="Arial"/>
          <w:sz w:val="20"/>
        </w:rPr>
      </w:pPr>
      <w:r>
        <w:rPr>
          <w:rFonts w:ascii="Arial"/>
          <w:sz w:val="20"/>
        </w:rPr>
        <w:t>The Applicant is</w:t>
      </w:r>
      <w:r>
        <w:rPr>
          <w:rFonts w:ascii="Arial"/>
          <w:spacing w:val="-4"/>
          <w:sz w:val="20"/>
        </w:rPr>
        <w:t xml:space="preserve"> </w:t>
      </w:r>
      <w:r>
        <w:rPr>
          <w:rFonts w:ascii="Arial"/>
          <w:sz w:val="20"/>
        </w:rPr>
        <w:t>not</w:t>
      </w:r>
      <w:r>
        <w:rPr>
          <w:rFonts w:ascii="Arial"/>
          <w:spacing w:val="-4"/>
          <w:sz w:val="20"/>
        </w:rPr>
        <w:t xml:space="preserve"> </w:t>
      </w:r>
      <w:r>
        <w:rPr>
          <w:rFonts w:ascii="Arial"/>
          <w:sz w:val="20"/>
        </w:rPr>
        <w:t>seeking</w:t>
      </w:r>
      <w:r>
        <w:rPr>
          <w:rFonts w:ascii="Arial"/>
          <w:spacing w:val="-3"/>
          <w:sz w:val="20"/>
        </w:rPr>
        <w:t xml:space="preserve"> </w:t>
      </w:r>
      <w:r>
        <w:rPr>
          <w:rFonts w:ascii="Arial"/>
          <w:sz w:val="20"/>
        </w:rPr>
        <w:t>to</w:t>
      </w:r>
      <w:r>
        <w:rPr>
          <w:rFonts w:ascii="Arial"/>
          <w:spacing w:val="38"/>
          <w:sz w:val="20"/>
        </w:rPr>
        <w:t xml:space="preserve"> </w:t>
      </w:r>
      <w:r>
        <w:rPr>
          <w:rFonts w:ascii="Arial"/>
          <w:sz w:val="20"/>
        </w:rPr>
        <w:t>materially change the</w:t>
      </w:r>
      <w:r>
        <w:rPr>
          <w:rFonts w:ascii="Arial"/>
          <w:spacing w:val="-3"/>
          <w:sz w:val="20"/>
        </w:rPr>
        <w:t xml:space="preserve"> </w:t>
      </w:r>
      <w:r>
        <w:rPr>
          <w:rFonts w:ascii="Arial"/>
          <w:sz w:val="20"/>
        </w:rPr>
        <w:t>scope or</w:t>
      </w:r>
      <w:r>
        <w:rPr>
          <w:rFonts w:ascii="Arial"/>
          <w:spacing w:val="-9"/>
          <w:sz w:val="20"/>
        </w:rPr>
        <w:t xml:space="preserve"> </w:t>
      </w:r>
      <w:r>
        <w:rPr>
          <w:rFonts w:ascii="Arial"/>
          <w:sz w:val="20"/>
        </w:rPr>
        <w:t>gross</w:t>
      </w:r>
      <w:r>
        <w:rPr>
          <w:rFonts w:ascii="Arial"/>
          <w:spacing w:val="-4"/>
          <w:sz w:val="20"/>
        </w:rPr>
        <w:t xml:space="preserve"> </w:t>
      </w:r>
      <w:r>
        <w:rPr>
          <w:rFonts w:ascii="Arial"/>
          <w:sz w:val="20"/>
        </w:rPr>
        <w:t>square feet of</w:t>
      </w:r>
      <w:r>
        <w:rPr>
          <w:rFonts w:ascii="Arial"/>
          <w:spacing w:val="-8"/>
          <w:sz w:val="20"/>
        </w:rPr>
        <w:t xml:space="preserve"> </w:t>
      </w:r>
      <w:r>
        <w:rPr>
          <w:rFonts w:ascii="Arial"/>
          <w:sz w:val="20"/>
        </w:rPr>
        <w:t>the approved</w:t>
      </w:r>
      <w:r>
        <w:rPr>
          <w:rFonts w:ascii="Arial"/>
          <w:spacing w:val="-2"/>
          <w:sz w:val="20"/>
        </w:rPr>
        <w:t xml:space="preserve"> </w:t>
      </w:r>
      <w:r>
        <w:rPr>
          <w:rFonts w:ascii="Arial"/>
          <w:sz w:val="20"/>
        </w:rPr>
        <w:t xml:space="preserve">Project. </w:t>
      </w:r>
      <w:r>
        <w:rPr>
          <w:rFonts w:ascii="Arial"/>
          <w:w w:val="105"/>
          <w:sz w:val="20"/>
        </w:rPr>
        <w:t>However,</w:t>
      </w:r>
      <w:r>
        <w:rPr>
          <w:rFonts w:ascii="Arial"/>
          <w:spacing w:val="-1"/>
          <w:w w:val="105"/>
          <w:sz w:val="20"/>
        </w:rPr>
        <w:t xml:space="preserve"> </w:t>
      </w:r>
      <w:r>
        <w:rPr>
          <w:rFonts w:ascii="Arial"/>
          <w:w w:val="105"/>
          <w:sz w:val="20"/>
        </w:rPr>
        <w:t>there are</w:t>
      </w:r>
      <w:r>
        <w:rPr>
          <w:rFonts w:ascii="Arial"/>
          <w:spacing w:val="-1"/>
          <w:w w:val="105"/>
          <w:sz w:val="20"/>
        </w:rPr>
        <w:t xml:space="preserve"> </w:t>
      </w:r>
      <w:r>
        <w:rPr>
          <w:rFonts w:ascii="Arial"/>
          <w:w w:val="105"/>
          <w:sz w:val="20"/>
        </w:rPr>
        <w:t>additional unanticipated required</w:t>
      </w:r>
      <w:r>
        <w:rPr>
          <w:rFonts w:ascii="Arial"/>
          <w:spacing w:val="-6"/>
          <w:w w:val="105"/>
          <w:sz w:val="20"/>
        </w:rPr>
        <w:t xml:space="preserve"> </w:t>
      </w:r>
      <w:r>
        <w:rPr>
          <w:rFonts w:ascii="Arial"/>
          <w:w w:val="105"/>
          <w:sz w:val="20"/>
        </w:rPr>
        <w:t>repairs/replacements</w:t>
      </w:r>
      <w:r>
        <w:rPr>
          <w:rFonts w:ascii="Arial"/>
          <w:spacing w:val="-24"/>
          <w:w w:val="105"/>
          <w:sz w:val="20"/>
        </w:rPr>
        <w:t xml:space="preserve"> </w:t>
      </w:r>
      <w:r>
        <w:rPr>
          <w:rFonts w:ascii="Arial"/>
          <w:w w:val="105"/>
          <w:sz w:val="20"/>
        </w:rPr>
        <w:t>that</w:t>
      </w:r>
      <w:r>
        <w:rPr>
          <w:rFonts w:ascii="Arial"/>
          <w:spacing w:val="-8"/>
          <w:w w:val="105"/>
          <w:sz w:val="20"/>
        </w:rPr>
        <w:t xml:space="preserve"> </w:t>
      </w:r>
      <w:r>
        <w:rPr>
          <w:rFonts w:ascii="Arial"/>
          <w:w w:val="105"/>
          <w:sz w:val="20"/>
        </w:rPr>
        <w:t>were</w:t>
      </w:r>
      <w:r>
        <w:rPr>
          <w:rFonts w:ascii="Arial"/>
          <w:spacing w:val="-5"/>
          <w:w w:val="105"/>
          <w:sz w:val="20"/>
        </w:rPr>
        <w:t xml:space="preserve"> </w:t>
      </w:r>
      <w:r>
        <w:rPr>
          <w:rFonts w:ascii="Arial"/>
          <w:w w:val="105"/>
          <w:sz w:val="20"/>
        </w:rPr>
        <w:t>not</w:t>
      </w:r>
      <w:r>
        <w:rPr>
          <w:rFonts w:ascii="Arial"/>
          <w:spacing w:val="-9"/>
          <w:w w:val="105"/>
          <w:sz w:val="20"/>
        </w:rPr>
        <w:t xml:space="preserve"> </w:t>
      </w:r>
      <w:r>
        <w:rPr>
          <w:rFonts w:ascii="Arial"/>
          <w:w w:val="105"/>
          <w:sz w:val="20"/>
        </w:rPr>
        <w:t>requested</w:t>
      </w:r>
      <w:r>
        <w:rPr>
          <w:rFonts w:ascii="Arial"/>
          <w:spacing w:val="-4"/>
          <w:w w:val="105"/>
          <w:sz w:val="20"/>
        </w:rPr>
        <w:t xml:space="preserve"> </w:t>
      </w:r>
      <w:r>
        <w:rPr>
          <w:rFonts w:ascii="Arial"/>
          <w:w w:val="105"/>
          <w:sz w:val="20"/>
        </w:rPr>
        <w:t xml:space="preserve">in </w:t>
      </w:r>
      <w:r>
        <w:rPr>
          <w:rFonts w:ascii="Arial"/>
          <w:sz w:val="20"/>
        </w:rPr>
        <w:t>the</w:t>
      </w:r>
      <w:r>
        <w:rPr>
          <w:rFonts w:ascii="Arial"/>
          <w:spacing w:val="-1"/>
          <w:sz w:val="20"/>
        </w:rPr>
        <w:t xml:space="preserve"> </w:t>
      </w:r>
      <w:r>
        <w:rPr>
          <w:rFonts w:ascii="Arial"/>
          <w:sz w:val="20"/>
        </w:rPr>
        <w:t>approved application. The primary basis of</w:t>
      </w:r>
      <w:r>
        <w:rPr>
          <w:rFonts w:ascii="Arial"/>
          <w:spacing w:val="-4"/>
          <w:sz w:val="20"/>
        </w:rPr>
        <w:t xml:space="preserve"> </w:t>
      </w:r>
      <w:r>
        <w:rPr>
          <w:rFonts w:ascii="Arial"/>
          <w:sz w:val="20"/>
        </w:rPr>
        <w:t>the increase in</w:t>
      </w:r>
      <w:r>
        <w:rPr>
          <w:rFonts w:ascii="Arial"/>
          <w:spacing w:val="-4"/>
          <w:sz w:val="20"/>
        </w:rPr>
        <w:t xml:space="preserve"> </w:t>
      </w:r>
      <w:r>
        <w:rPr>
          <w:rFonts w:ascii="Arial"/>
          <w:sz w:val="20"/>
        </w:rPr>
        <w:t>capital expenditure</w:t>
      </w:r>
      <w:r>
        <w:rPr>
          <w:rFonts w:ascii="Arial"/>
          <w:spacing w:val="20"/>
          <w:sz w:val="20"/>
        </w:rPr>
        <w:t xml:space="preserve"> </w:t>
      </w:r>
      <w:r>
        <w:rPr>
          <w:rFonts w:ascii="Arial"/>
          <w:sz w:val="20"/>
        </w:rPr>
        <w:t>relates to</w:t>
      </w:r>
      <w:r>
        <w:rPr>
          <w:rFonts w:ascii="Arial"/>
          <w:spacing w:val="26"/>
          <w:sz w:val="20"/>
        </w:rPr>
        <w:t xml:space="preserve"> </w:t>
      </w:r>
      <w:r>
        <w:rPr>
          <w:rFonts w:ascii="Arial"/>
          <w:sz w:val="20"/>
        </w:rPr>
        <w:t xml:space="preserve">the increase </w:t>
      </w:r>
      <w:r>
        <w:rPr>
          <w:rFonts w:ascii="Arial"/>
          <w:w w:val="105"/>
          <w:sz w:val="20"/>
        </w:rPr>
        <w:t>in Project costs from</w:t>
      </w:r>
      <w:r>
        <w:rPr>
          <w:rFonts w:ascii="Arial"/>
          <w:spacing w:val="-7"/>
          <w:w w:val="105"/>
          <w:sz w:val="20"/>
        </w:rPr>
        <w:t xml:space="preserve"> </w:t>
      </w:r>
      <w:r>
        <w:rPr>
          <w:rFonts w:ascii="Arial"/>
          <w:w w:val="105"/>
          <w:sz w:val="20"/>
        </w:rPr>
        <w:t>the</w:t>
      </w:r>
      <w:r>
        <w:rPr>
          <w:rFonts w:ascii="Arial"/>
          <w:spacing w:val="-7"/>
          <w:w w:val="105"/>
          <w:sz w:val="20"/>
        </w:rPr>
        <w:t xml:space="preserve"> </w:t>
      </w:r>
      <w:r>
        <w:rPr>
          <w:rFonts w:ascii="Arial"/>
          <w:w w:val="105"/>
          <w:sz w:val="20"/>
        </w:rPr>
        <w:t>time</w:t>
      </w:r>
      <w:r>
        <w:rPr>
          <w:rFonts w:ascii="Arial"/>
          <w:spacing w:val="-12"/>
          <w:w w:val="105"/>
          <w:sz w:val="20"/>
        </w:rPr>
        <w:t xml:space="preserve"> </w:t>
      </w:r>
      <w:r>
        <w:rPr>
          <w:rFonts w:ascii="Arial"/>
          <w:w w:val="105"/>
          <w:sz w:val="20"/>
        </w:rPr>
        <w:t>the</w:t>
      </w:r>
      <w:r>
        <w:rPr>
          <w:rFonts w:ascii="Arial"/>
          <w:spacing w:val="-7"/>
          <w:w w:val="105"/>
          <w:sz w:val="20"/>
        </w:rPr>
        <w:t xml:space="preserve"> </w:t>
      </w:r>
      <w:proofErr w:type="spellStart"/>
      <w:r>
        <w:rPr>
          <w:rFonts w:ascii="Arial"/>
          <w:w w:val="105"/>
          <w:sz w:val="20"/>
        </w:rPr>
        <w:t>DoN</w:t>
      </w:r>
      <w:proofErr w:type="spellEnd"/>
      <w:r>
        <w:rPr>
          <w:rFonts w:ascii="Arial"/>
          <w:spacing w:val="-10"/>
          <w:w w:val="105"/>
          <w:sz w:val="20"/>
        </w:rPr>
        <w:t xml:space="preserve"> </w:t>
      </w:r>
      <w:r>
        <w:rPr>
          <w:rFonts w:ascii="Arial"/>
          <w:w w:val="105"/>
          <w:sz w:val="20"/>
        </w:rPr>
        <w:t>was</w:t>
      </w:r>
      <w:r>
        <w:rPr>
          <w:rFonts w:ascii="Arial"/>
          <w:spacing w:val="-8"/>
          <w:w w:val="105"/>
          <w:sz w:val="20"/>
        </w:rPr>
        <w:t xml:space="preserve"> </w:t>
      </w:r>
      <w:r>
        <w:rPr>
          <w:rFonts w:ascii="Arial"/>
          <w:w w:val="105"/>
          <w:sz w:val="20"/>
        </w:rPr>
        <w:t>developed.</w:t>
      </w:r>
    </w:p>
    <w:p w14:paraId="09A17410" w14:textId="77777777" w:rsidR="007B56EA" w:rsidRDefault="00775EBC">
      <w:pPr>
        <w:pStyle w:val="ListParagraph"/>
        <w:numPr>
          <w:ilvl w:val="0"/>
          <w:numId w:val="5"/>
        </w:numPr>
        <w:tabs>
          <w:tab w:val="left" w:pos="1232"/>
        </w:tabs>
        <w:spacing w:before="170"/>
        <w:ind w:hanging="353"/>
        <w:rPr>
          <w:rFonts w:ascii="Arial"/>
          <w:sz w:val="20"/>
        </w:rPr>
      </w:pPr>
      <w:r>
        <w:rPr>
          <w:rFonts w:ascii="Arial"/>
          <w:sz w:val="20"/>
        </w:rPr>
        <w:t>Explanation</w:t>
      </w:r>
      <w:r>
        <w:rPr>
          <w:rFonts w:ascii="Arial"/>
          <w:spacing w:val="-10"/>
          <w:sz w:val="20"/>
        </w:rPr>
        <w:t xml:space="preserve"> </w:t>
      </w:r>
      <w:r>
        <w:rPr>
          <w:rFonts w:ascii="Arial"/>
          <w:sz w:val="20"/>
        </w:rPr>
        <w:t>of</w:t>
      </w:r>
      <w:r>
        <w:rPr>
          <w:rFonts w:ascii="Arial"/>
          <w:spacing w:val="-14"/>
          <w:sz w:val="20"/>
        </w:rPr>
        <w:t xml:space="preserve"> </w:t>
      </w:r>
      <w:r>
        <w:rPr>
          <w:rFonts w:ascii="Arial"/>
          <w:sz w:val="20"/>
        </w:rPr>
        <w:t>Capital</w:t>
      </w:r>
      <w:r>
        <w:rPr>
          <w:rFonts w:ascii="Arial"/>
          <w:spacing w:val="-6"/>
          <w:sz w:val="20"/>
        </w:rPr>
        <w:t xml:space="preserve"> </w:t>
      </w:r>
      <w:r>
        <w:rPr>
          <w:rFonts w:ascii="Arial"/>
          <w:sz w:val="20"/>
        </w:rPr>
        <w:t>Cost</w:t>
      </w:r>
      <w:r>
        <w:rPr>
          <w:rFonts w:ascii="Arial"/>
          <w:spacing w:val="-12"/>
          <w:sz w:val="20"/>
        </w:rPr>
        <w:t xml:space="preserve"> </w:t>
      </w:r>
      <w:r>
        <w:rPr>
          <w:rFonts w:ascii="Arial"/>
          <w:spacing w:val="-2"/>
          <w:sz w:val="20"/>
        </w:rPr>
        <w:t>Increases</w:t>
      </w:r>
    </w:p>
    <w:p w14:paraId="09A17411" w14:textId="77777777" w:rsidR="007B56EA" w:rsidRDefault="007B56EA">
      <w:pPr>
        <w:rPr>
          <w:rFonts w:ascii="Arial"/>
          <w:sz w:val="20"/>
        </w:rPr>
        <w:sectPr w:rsidR="007B56EA">
          <w:pgSz w:w="12270" w:h="15840"/>
          <w:pgMar w:top="1760" w:right="720" w:bottom="280" w:left="680" w:header="720" w:footer="720" w:gutter="0"/>
          <w:cols w:space="720"/>
        </w:sectPr>
      </w:pPr>
    </w:p>
    <w:p w14:paraId="09A17412" w14:textId="77777777" w:rsidR="007B56EA" w:rsidRDefault="00775EBC">
      <w:pPr>
        <w:pStyle w:val="BodyText"/>
        <w:spacing w:before="70" w:line="288" w:lineRule="auto"/>
        <w:ind w:left="768" w:right="745" w:hanging="12"/>
      </w:pPr>
      <w:r>
        <w:rPr>
          <w:w w:val="105"/>
        </w:rPr>
        <w:lastRenderedPageBreak/>
        <w:t>This</w:t>
      </w:r>
      <w:r>
        <w:rPr>
          <w:spacing w:val="-3"/>
          <w:w w:val="105"/>
        </w:rPr>
        <w:t xml:space="preserve"> </w:t>
      </w:r>
      <w:r>
        <w:rPr>
          <w:w w:val="105"/>
        </w:rPr>
        <w:t>increase in costs is</w:t>
      </w:r>
      <w:r>
        <w:rPr>
          <w:spacing w:val="-1"/>
          <w:w w:val="105"/>
        </w:rPr>
        <w:t xml:space="preserve"> </w:t>
      </w:r>
      <w:r>
        <w:rPr>
          <w:w w:val="105"/>
        </w:rPr>
        <w:t>due</w:t>
      </w:r>
      <w:r>
        <w:rPr>
          <w:spacing w:val="40"/>
          <w:w w:val="105"/>
        </w:rPr>
        <w:t xml:space="preserve"> </w:t>
      </w:r>
      <w:r>
        <w:rPr>
          <w:w w:val="105"/>
        </w:rPr>
        <w:t>to</w:t>
      </w:r>
      <w:r>
        <w:rPr>
          <w:spacing w:val="36"/>
          <w:w w:val="105"/>
        </w:rPr>
        <w:t xml:space="preserve"> </w:t>
      </w:r>
      <w:proofErr w:type="gramStart"/>
      <w:r>
        <w:rPr>
          <w:w w:val="105"/>
        </w:rPr>
        <w:t>a number of</w:t>
      </w:r>
      <w:proofErr w:type="gramEnd"/>
      <w:r>
        <w:rPr>
          <w:spacing w:val="-2"/>
          <w:w w:val="105"/>
        </w:rPr>
        <w:t xml:space="preserve"> </w:t>
      </w:r>
      <w:r>
        <w:rPr>
          <w:w w:val="105"/>
        </w:rPr>
        <w:t>factors of</w:t>
      </w:r>
      <w:r>
        <w:rPr>
          <w:spacing w:val="-2"/>
          <w:w w:val="105"/>
        </w:rPr>
        <w:t xml:space="preserve"> </w:t>
      </w:r>
      <w:r>
        <w:rPr>
          <w:w w:val="105"/>
        </w:rPr>
        <w:t>factors.</w:t>
      </w:r>
      <w:r>
        <w:rPr>
          <w:spacing w:val="40"/>
          <w:w w:val="105"/>
        </w:rPr>
        <w:t xml:space="preserve"> </w:t>
      </w:r>
      <w:r>
        <w:rPr>
          <w:w w:val="105"/>
        </w:rPr>
        <w:t>A more</w:t>
      </w:r>
      <w:r>
        <w:rPr>
          <w:spacing w:val="-4"/>
          <w:w w:val="105"/>
        </w:rPr>
        <w:t xml:space="preserve"> </w:t>
      </w:r>
      <w:r>
        <w:rPr>
          <w:w w:val="105"/>
        </w:rPr>
        <w:t>detailed investigation</w:t>
      </w:r>
      <w:r>
        <w:rPr>
          <w:spacing w:val="35"/>
          <w:w w:val="105"/>
        </w:rPr>
        <w:t xml:space="preserve"> </w:t>
      </w:r>
      <w:r>
        <w:rPr>
          <w:w w:val="105"/>
        </w:rPr>
        <w:t>by</w:t>
      </w:r>
      <w:r>
        <w:rPr>
          <w:spacing w:val="-10"/>
          <w:w w:val="105"/>
        </w:rPr>
        <w:t xml:space="preserve"> </w:t>
      </w:r>
      <w:r>
        <w:rPr>
          <w:w w:val="105"/>
        </w:rPr>
        <w:t>the architects and engineers as part of the</w:t>
      </w:r>
      <w:r>
        <w:rPr>
          <w:spacing w:val="40"/>
          <w:w w:val="105"/>
        </w:rPr>
        <w:t xml:space="preserve"> </w:t>
      </w:r>
      <w:r>
        <w:rPr>
          <w:w w:val="105"/>
        </w:rPr>
        <w:t>development of the</w:t>
      </w:r>
      <w:r>
        <w:rPr>
          <w:spacing w:val="40"/>
          <w:w w:val="105"/>
        </w:rPr>
        <w:t xml:space="preserve"> </w:t>
      </w:r>
      <w:r>
        <w:rPr>
          <w:w w:val="105"/>
        </w:rPr>
        <w:t>more detailed construction</w:t>
      </w:r>
      <w:r>
        <w:rPr>
          <w:spacing w:val="35"/>
          <w:w w:val="105"/>
        </w:rPr>
        <w:t xml:space="preserve"> </w:t>
      </w:r>
      <w:r>
        <w:rPr>
          <w:w w:val="105"/>
        </w:rPr>
        <w:t>plans, resulted in the</w:t>
      </w:r>
      <w:r>
        <w:rPr>
          <w:spacing w:val="40"/>
          <w:w w:val="105"/>
        </w:rPr>
        <w:t xml:space="preserve"> </w:t>
      </w:r>
      <w:r>
        <w:rPr>
          <w:w w:val="105"/>
        </w:rPr>
        <w:t>identification</w:t>
      </w:r>
      <w:r>
        <w:rPr>
          <w:spacing w:val="-3"/>
          <w:w w:val="105"/>
        </w:rPr>
        <w:t xml:space="preserve"> </w:t>
      </w:r>
      <w:r>
        <w:rPr>
          <w:w w:val="105"/>
        </w:rPr>
        <w:t>of additional work</w:t>
      </w:r>
      <w:r>
        <w:rPr>
          <w:spacing w:val="-9"/>
          <w:w w:val="105"/>
        </w:rPr>
        <w:t xml:space="preserve"> </w:t>
      </w:r>
      <w:r>
        <w:rPr>
          <w:w w:val="105"/>
        </w:rPr>
        <w:t>that</w:t>
      </w:r>
      <w:r>
        <w:rPr>
          <w:spacing w:val="-3"/>
          <w:w w:val="105"/>
        </w:rPr>
        <w:t xml:space="preserve"> </w:t>
      </w:r>
      <w:r>
        <w:rPr>
          <w:w w:val="105"/>
        </w:rPr>
        <w:t>is</w:t>
      </w:r>
      <w:r>
        <w:rPr>
          <w:spacing w:val="-1"/>
          <w:w w:val="105"/>
        </w:rPr>
        <w:t xml:space="preserve"> </w:t>
      </w:r>
      <w:r>
        <w:rPr>
          <w:w w:val="105"/>
        </w:rPr>
        <w:t>necessary</w:t>
      </w:r>
      <w:r>
        <w:rPr>
          <w:spacing w:val="-2"/>
          <w:w w:val="105"/>
        </w:rPr>
        <w:t xml:space="preserve"> </w:t>
      </w:r>
      <w:r>
        <w:rPr>
          <w:w w:val="105"/>
        </w:rPr>
        <w:t>for</w:t>
      </w:r>
      <w:r>
        <w:rPr>
          <w:spacing w:val="-13"/>
          <w:w w:val="105"/>
        </w:rPr>
        <w:t xml:space="preserve"> </w:t>
      </w:r>
      <w:r>
        <w:rPr>
          <w:w w:val="105"/>
        </w:rPr>
        <w:t>the</w:t>
      </w:r>
      <w:r>
        <w:rPr>
          <w:spacing w:val="19"/>
          <w:w w:val="105"/>
        </w:rPr>
        <w:t xml:space="preserve"> </w:t>
      </w:r>
      <w:r>
        <w:rPr>
          <w:w w:val="105"/>
        </w:rPr>
        <w:t>completion of</w:t>
      </w:r>
      <w:r>
        <w:rPr>
          <w:spacing w:val="-1"/>
          <w:w w:val="105"/>
        </w:rPr>
        <w:t xml:space="preserve"> </w:t>
      </w:r>
      <w:r>
        <w:rPr>
          <w:w w:val="105"/>
        </w:rPr>
        <w:t>the</w:t>
      </w:r>
      <w:r>
        <w:rPr>
          <w:spacing w:val="40"/>
          <w:w w:val="105"/>
        </w:rPr>
        <w:t xml:space="preserve"> </w:t>
      </w:r>
      <w:r>
        <w:rPr>
          <w:w w:val="105"/>
        </w:rPr>
        <w:t>project.</w:t>
      </w:r>
      <w:r>
        <w:rPr>
          <w:spacing w:val="75"/>
          <w:w w:val="105"/>
        </w:rPr>
        <w:t xml:space="preserve"> </w:t>
      </w:r>
      <w:r>
        <w:rPr>
          <w:w w:val="105"/>
        </w:rPr>
        <w:t>This</w:t>
      </w:r>
      <w:r>
        <w:rPr>
          <w:spacing w:val="-9"/>
          <w:w w:val="105"/>
        </w:rPr>
        <w:t xml:space="preserve"> </w:t>
      </w:r>
      <w:r>
        <w:rPr>
          <w:w w:val="105"/>
        </w:rPr>
        <w:t>work</w:t>
      </w:r>
      <w:r>
        <w:rPr>
          <w:spacing w:val="-5"/>
          <w:w w:val="105"/>
        </w:rPr>
        <w:t xml:space="preserve"> </w:t>
      </w:r>
      <w:r>
        <w:rPr>
          <w:w w:val="105"/>
        </w:rPr>
        <w:t>could not</w:t>
      </w:r>
      <w:r>
        <w:rPr>
          <w:spacing w:val="34"/>
          <w:w w:val="105"/>
        </w:rPr>
        <w:t xml:space="preserve"> </w:t>
      </w:r>
      <w:r>
        <w:rPr>
          <w:w w:val="105"/>
        </w:rPr>
        <w:t>have</w:t>
      </w:r>
      <w:r>
        <w:rPr>
          <w:spacing w:val="29"/>
          <w:w w:val="105"/>
        </w:rPr>
        <w:t xml:space="preserve"> </w:t>
      </w:r>
      <w:r>
        <w:rPr>
          <w:w w:val="105"/>
        </w:rPr>
        <w:t>been foreseen</w:t>
      </w:r>
      <w:r>
        <w:rPr>
          <w:spacing w:val="30"/>
          <w:w w:val="105"/>
        </w:rPr>
        <w:t xml:space="preserve"> </w:t>
      </w:r>
      <w:r>
        <w:rPr>
          <w:w w:val="105"/>
        </w:rPr>
        <w:t>without the</w:t>
      </w:r>
      <w:r>
        <w:rPr>
          <w:spacing w:val="40"/>
          <w:w w:val="105"/>
        </w:rPr>
        <w:t xml:space="preserve"> </w:t>
      </w:r>
      <w:r>
        <w:rPr>
          <w:w w:val="105"/>
        </w:rPr>
        <w:t>investigations done for the</w:t>
      </w:r>
      <w:r>
        <w:rPr>
          <w:spacing w:val="39"/>
          <w:w w:val="105"/>
        </w:rPr>
        <w:t xml:space="preserve"> </w:t>
      </w:r>
      <w:r>
        <w:rPr>
          <w:w w:val="105"/>
        </w:rPr>
        <w:t>development of the</w:t>
      </w:r>
      <w:r>
        <w:rPr>
          <w:spacing w:val="40"/>
          <w:w w:val="105"/>
        </w:rPr>
        <w:t xml:space="preserve"> </w:t>
      </w:r>
      <w:r>
        <w:rPr>
          <w:w w:val="105"/>
        </w:rPr>
        <w:t>construction</w:t>
      </w:r>
      <w:r>
        <w:rPr>
          <w:spacing w:val="40"/>
          <w:w w:val="105"/>
        </w:rPr>
        <w:t xml:space="preserve"> </w:t>
      </w:r>
      <w:r>
        <w:rPr>
          <w:w w:val="105"/>
        </w:rPr>
        <w:t>plan. The increase in costs also were impacted</w:t>
      </w:r>
      <w:r>
        <w:rPr>
          <w:spacing w:val="38"/>
          <w:w w:val="105"/>
        </w:rPr>
        <w:t xml:space="preserve"> </w:t>
      </w:r>
      <w:r>
        <w:rPr>
          <w:w w:val="105"/>
        </w:rPr>
        <w:t>by the</w:t>
      </w:r>
      <w:r>
        <w:rPr>
          <w:spacing w:val="40"/>
          <w:w w:val="105"/>
        </w:rPr>
        <w:t xml:space="preserve"> </w:t>
      </w:r>
      <w:r>
        <w:rPr>
          <w:w w:val="105"/>
        </w:rPr>
        <w:t>significant increase in construction</w:t>
      </w:r>
      <w:r>
        <w:rPr>
          <w:spacing w:val="40"/>
          <w:w w:val="105"/>
        </w:rPr>
        <w:t xml:space="preserve"> </w:t>
      </w:r>
      <w:r>
        <w:rPr>
          <w:w w:val="105"/>
        </w:rPr>
        <w:t>related labor</w:t>
      </w:r>
      <w:r>
        <w:rPr>
          <w:spacing w:val="-3"/>
          <w:w w:val="105"/>
        </w:rPr>
        <w:t xml:space="preserve"> </w:t>
      </w:r>
      <w:r>
        <w:rPr>
          <w:w w:val="105"/>
        </w:rPr>
        <w:t>and</w:t>
      </w:r>
    </w:p>
    <w:p w14:paraId="09A17413" w14:textId="77777777" w:rsidR="007B56EA" w:rsidRDefault="00775EBC">
      <w:pPr>
        <w:pStyle w:val="BodyText"/>
        <w:spacing w:before="51"/>
        <w:ind w:left="790"/>
      </w:pPr>
      <w:r>
        <w:rPr>
          <w:w w:val="105"/>
        </w:rPr>
        <w:t>material</w:t>
      </w:r>
      <w:r>
        <w:rPr>
          <w:spacing w:val="-5"/>
          <w:w w:val="105"/>
        </w:rPr>
        <w:t xml:space="preserve"> </w:t>
      </w:r>
      <w:r>
        <w:rPr>
          <w:spacing w:val="-2"/>
          <w:w w:val="105"/>
        </w:rPr>
        <w:t>costs.</w:t>
      </w:r>
    </w:p>
    <w:p w14:paraId="09A17414" w14:textId="77777777" w:rsidR="007B56EA" w:rsidRDefault="007B56EA">
      <w:pPr>
        <w:pStyle w:val="BodyText"/>
        <w:spacing w:before="6"/>
        <w:rPr>
          <w:sz w:val="18"/>
        </w:rPr>
      </w:pPr>
    </w:p>
    <w:p w14:paraId="09A17415" w14:textId="77777777" w:rsidR="007B56EA" w:rsidRDefault="00775EBC">
      <w:pPr>
        <w:pStyle w:val="ListParagraph"/>
        <w:numPr>
          <w:ilvl w:val="1"/>
          <w:numId w:val="5"/>
        </w:numPr>
        <w:tabs>
          <w:tab w:val="left" w:pos="1510"/>
          <w:tab w:val="left" w:pos="1511"/>
        </w:tabs>
        <w:ind w:left="1510" w:hanging="383"/>
        <w:jc w:val="left"/>
        <w:rPr>
          <w:sz w:val="21"/>
        </w:rPr>
      </w:pPr>
      <w:r>
        <w:rPr>
          <w:spacing w:val="-4"/>
          <w:w w:val="90"/>
          <w:sz w:val="21"/>
        </w:rPr>
        <w:t>HVAC</w:t>
      </w:r>
    </w:p>
    <w:p w14:paraId="09A17416" w14:textId="77777777" w:rsidR="007B56EA" w:rsidRDefault="00775EBC">
      <w:pPr>
        <w:pStyle w:val="BodyText"/>
        <w:spacing w:before="162" w:line="290" w:lineRule="auto"/>
        <w:ind w:left="790" w:right="745" w:hanging="12"/>
      </w:pPr>
      <w:r>
        <w:rPr>
          <w:w w:val="105"/>
        </w:rPr>
        <w:t>There are currently</w:t>
      </w:r>
      <w:r>
        <w:rPr>
          <w:spacing w:val="-2"/>
          <w:w w:val="105"/>
        </w:rPr>
        <w:t xml:space="preserve"> </w:t>
      </w:r>
      <w:r>
        <w:rPr>
          <w:w w:val="105"/>
        </w:rPr>
        <w:t>two</w:t>
      </w:r>
      <w:r>
        <w:rPr>
          <w:spacing w:val="24"/>
          <w:w w:val="105"/>
        </w:rPr>
        <w:t xml:space="preserve"> </w:t>
      </w:r>
      <w:r>
        <w:rPr>
          <w:w w:val="105"/>
        </w:rPr>
        <w:t>roof</w:t>
      </w:r>
      <w:r>
        <w:rPr>
          <w:spacing w:val="26"/>
          <w:w w:val="105"/>
        </w:rPr>
        <w:t xml:space="preserve"> </w:t>
      </w:r>
      <w:r>
        <w:rPr>
          <w:w w:val="105"/>
        </w:rPr>
        <w:t>units</w:t>
      </w:r>
      <w:r>
        <w:rPr>
          <w:spacing w:val="-7"/>
          <w:w w:val="105"/>
        </w:rPr>
        <w:t xml:space="preserve"> </w:t>
      </w:r>
      <w:r>
        <w:rPr>
          <w:w w:val="105"/>
        </w:rPr>
        <w:t>that</w:t>
      </w:r>
      <w:r>
        <w:rPr>
          <w:spacing w:val="-9"/>
          <w:w w:val="105"/>
        </w:rPr>
        <w:t xml:space="preserve"> </w:t>
      </w:r>
      <w:r>
        <w:rPr>
          <w:w w:val="105"/>
        </w:rPr>
        <w:t>supply</w:t>
      </w:r>
      <w:r>
        <w:rPr>
          <w:spacing w:val="-3"/>
          <w:w w:val="105"/>
        </w:rPr>
        <w:t xml:space="preserve"> </w:t>
      </w:r>
      <w:r>
        <w:rPr>
          <w:w w:val="105"/>
        </w:rPr>
        <w:t>the</w:t>
      </w:r>
      <w:r>
        <w:rPr>
          <w:spacing w:val="34"/>
          <w:w w:val="105"/>
        </w:rPr>
        <w:t xml:space="preserve"> </w:t>
      </w:r>
      <w:r>
        <w:rPr>
          <w:w w:val="105"/>
        </w:rPr>
        <w:t>center as</w:t>
      </w:r>
      <w:r>
        <w:rPr>
          <w:spacing w:val="-8"/>
          <w:w w:val="105"/>
        </w:rPr>
        <w:t xml:space="preserve"> </w:t>
      </w:r>
      <w:r>
        <w:rPr>
          <w:w w:val="105"/>
        </w:rPr>
        <w:t>it</w:t>
      </w:r>
      <w:r>
        <w:rPr>
          <w:spacing w:val="-2"/>
          <w:w w:val="105"/>
        </w:rPr>
        <w:t xml:space="preserve"> </w:t>
      </w:r>
      <w:r>
        <w:rPr>
          <w:w w:val="105"/>
        </w:rPr>
        <w:t>is.</w:t>
      </w:r>
      <w:r>
        <w:rPr>
          <w:spacing w:val="-9"/>
          <w:w w:val="105"/>
        </w:rPr>
        <w:t xml:space="preserve"> </w:t>
      </w:r>
      <w:r>
        <w:rPr>
          <w:w w:val="105"/>
        </w:rPr>
        <w:t>Originally, the</w:t>
      </w:r>
      <w:r>
        <w:rPr>
          <w:spacing w:val="40"/>
          <w:w w:val="105"/>
        </w:rPr>
        <w:t xml:space="preserve"> </w:t>
      </w:r>
      <w:r>
        <w:rPr>
          <w:w w:val="105"/>
        </w:rPr>
        <w:t>plan was</w:t>
      </w:r>
      <w:r>
        <w:rPr>
          <w:spacing w:val="-9"/>
          <w:w w:val="105"/>
        </w:rPr>
        <w:t xml:space="preserve"> </w:t>
      </w:r>
      <w:r>
        <w:rPr>
          <w:w w:val="105"/>
        </w:rPr>
        <w:t>to</w:t>
      </w:r>
      <w:r>
        <w:rPr>
          <w:spacing w:val="25"/>
          <w:w w:val="105"/>
        </w:rPr>
        <w:t xml:space="preserve"> </w:t>
      </w:r>
      <w:r>
        <w:rPr>
          <w:w w:val="105"/>
        </w:rPr>
        <w:t>update</w:t>
      </w:r>
      <w:r>
        <w:rPr>
          <w:spacing w:val="-3"/>
          <w:w w:val="105"/>
        </w:rPr>
        <w:t xml:space="preserve"> </w:t>
      </w:r>
      <w:r>
        <w:rPr>
          <w:w w:val="105"/>
        </w:rPr>
        <w:t>these two units and</w:t>
      </w:r>
      <w:r>
        <w:rPr>
          <w:spacing w:val="21"/>
          <w:w w:val="105"/>
        </w:rPr>
        <w:t xml:space="preserve"> </w:t>
      </w:r>
      <w:r>
        <w:rPr>
          <w:w w:val="105"/>
        </w:rPr>
        <w:t>add servicing of the</w:t>
      </w:r>
      <w:r>
        <w:rPr>
          <w:spacing w:val="80"/>
          <w:w w:val="105"/>
        </w:rPr>
        <w:t xml:space="preserve"> </w:t>
      </w:r>
      <w:r>
        <w:rPr>
          <w:w w:val="105"/>
        </w:rPr>
        <w:t>new additional</w:t>
      </w:r>
      <w:r>
        <w:rPr>
          <w:spacing w:val="27"/>
          <w:w w:val="105"/>
        </w:rPr>
        <w:t xml:space="preserve"> </w:t>
      </w:r>
      <w:r>
        <w:rPr>
          <w:w w:val="105"/>
        </w:rPr>
        <w:t>space to these</w:t>
      </w:r>
      <w:r>
        <w:rPr>
          <w:spacing w:val="26"/>
          <w:w w:val="105"/>
        </w:rPr>
        <w:t xml:space="preserve"> </w:t>
      </w:r>
      <w:r>
        <w:rPr>
          <w:w w:val="105"/>
        </w:rPr>
        <w:t>units.</w:t>
      </w:r>
      <w:r>
        <w:rPr>
          <w:spacing w:val="79"/>
          <w:w w:val="105"/>
        </w:rPr>
        <w:t xml:space="preserve"> </w:t>
      </w:r>
      <w:r>
        <w:rPr>
          <w:w w:val="105"/>
        </w:rPr>
        <w:t>Unfortunately, upon a</w:t>
      </w:r>
      <w:r>
        <w:rPr>
          <w:spacing w:val="20"/>
          <w:w w:val="105"/>
        </w:rPr>
        <w:t xml:space="preserve"> </w:t>
      </w:r>
      <w:r>
        <w:rPr>
          <w:w w:val="105"/>
        </w:rPr>
        <w:t>more recent evaluation,</w:t>
      </w:r>
      <w:r>
        <w:rPr>
          <w:spacing w:val="39"/>
          <w:w w:val="105"/>
        </w:rPr>
        <w:t xml:space="preserve"> </w:t>
      </w:r>
      <w:r>
        <w:rPr>
          <w:w w:val="105"/>
        </w:rPr>
        <w:t>both</w:t>
      </w:r>
      <w:r>
        <w:rPr>
          <w:spacing w:val="36"/>
          <w:w w:val="105"/>
        </w:rPr>
        <w:t xml:space="preserve"> </w:t>
      </w:r>
      <w:r>
        <w:rPr>
          <w:w w:val="105"/>
        </w:rPr>
        <w:t>units were</w:t>
      </w:r>
      <w:r>
        <w:rPr>
          <w:spacing w:val="-3"/>
          <w:w w:val="105"/>
        </w:rPr>
        <w:t xml:space="preserve"> </w:t>
      </w:r>
      <w:r>
        <w:rPr>
          <w:w w:val="105"/>
        </w:rPr>
        <w:t>found to</w:t>
      </w:r>
      <w:r>
        <w:rPr>
          <w:spacing w:val="39"/>
          <w:w w:val="105"/>
        </w:rPr>
        <w:t xml:space="preserve"> </w:t>
      </w:r>
      <w:r>
        <w:rPr>
          <w:w w:val="105"/>
        </w:rPr>
        <w:t>be at end of their operational</w:t>
      </w:r>
      <w:r>
        <w:rPr>
          <w:spacing w:val="33"/>
          <w:w w:val="105"/>
        </w:rPr>
        <w:t xml:space="preserve"> </w:t>
      </w:r>
      <w:r>
        <w:rPr>
          <w:w w:val="105"/>
        </w:rPr>
        <w:t>lives and not capable of the added requirements of servicing the</w:t>
      </w:r>
      <w:r>
        <w:rPr>
          <w:spacing w:val="40"/>
          <w:w w:val="105"/>
        </w:rPr>
        <w:t xml:space="preserve"> </w:t>
      </w:r>
      <w:r>
        <w:rPr>
          <w:w w:val="105"/>
        </w:rPr>
        <w:t>new</w:t>
      </w:r>
      <w:r>
        <w:rPr>
          <w:spacing w:val="-7"/>
          <w:w w:val="105"/>
        </w:rPr>
        <w:t xml:space="preserve"> </w:t>
      </w:r>
      <w:r>
        <w:rPr>
          <w:w w:val="105"/>
        </w:rPr>
        <w:t>space.</w:t>
      </w:r>
      <w:r>
        <w:rPr>
          <w:spacing w:val="40"/>
          <w:w w:val="105"/>
        </w:rPr>
        <w:t xml:space="preserve"> </w:t>
      </w:r>
      <w:r>
        <w:rPr>
          <w:w w:val="105"/>
        </w:rPr>
        <w:t>A new roof unit,</w:t>
      </w:r>
      <w:r>
        <w:rPr>
          <w:spacing w:val="-9"/>
          <w:w w:val="105"/>
        </w:rPr>
        <w:t xml:space="preserve"> </w:t>
      </w:r>
      <w:r>
        <w:rPr>
          <w:w w:val="105"/>
        </w:rPr>
        <w:t>to cover the</w:t>
      </w:r>
      <w:r>
        <w:rPr>
          <w:spacing w:val="33"/>
          <w:w w:val="105"/>
        </w:rPr>
        <w:t xml:space="preserve"> </w:t>
      </w:r>
      <w:r>
        <w:rPr>
          <w:w w:val="105"/>
        </w:rPr>
        <w:t>additional OR, central sterile, PACU and office area will need to</w:t>
      </w:r>
      <w:r>
        <w:rPr>
          <w:spacing w:val="22"/>
          <w:w w:val="105"/>
        </w:rPr>
        <w:t xml:space="preserve"> </w:t>
      </w:r>
      <w:r>
        <w:rPr>
          <w:w w:val="105"/>
        </w:rPr>
        <w:t>be</w:t>
      </w:r>
      <w:r>
        <w:rPr>
          <w:spacing w:val="-2"/>
          <w:w w:val="105"/>
        </w:rPr>
        <w:t xml:space="preserve"> </w:t>
      </w:r>
      <w:r>
        <w:rPr>
          <w:w w:val="105"/>
        </w:rPr>
        <w:t>added.</w:t>
      </w:r>
      <w:r>
        <w:rPr>
          <w:spacing w:val="80"/>
          <w:w w:val="105"/>
        </w:rPr>
        <w:t xml:space="preserve"> </w:t>
      </w:r>
      <w:r>
        <w:rPr>
          <w:w w:val="105"/>
        </w:rPr>
        <w:t>This</w:t>
      </w:r>
      <w:r>
        <w:rPr>
          <w:spacing w:val="-8"/>
          <w:w w:val="105"/>
        </w:rPr>
        <w:t xml:space="preserve"> </w:t>
      </w:r>
      <w:r>
        <w:rPr>
          <w:w w:val="105"/>
        </w:rPr>
        <w:t>will require new</w:t>
      </w:r>
      <w:r>
        <w:rPr>
          <w:spacing w:val="-3"/>
          <w:w w:val="105"/>
        </w:rPr>
        <w:t xml:space="preserve"> </w:t>
      </w:r>
      <w:r>
        <w:rPr>
          <w:w w:val="105"/>
        </w:rPr>
        <w:t>duct risers</w:t>
      </w:r>
      <w:r>
        <w:rPr>
          <w:spacing w:val="-1"/>
          <w:w w:val="105"/>
        </w:rPr>
        <w:t xml:space="preserve"> </w:t>
      </w:r>
      <w:r>
        <w:rPr>
          <w:w w:val="105"/>
        </w:rPr>
        <w:t>traveling</w:t>
      </w:r>
      <w:r>
        <w:rPr>
          <w:spacing w:val="-5"/>
          <w:w w:val="105"/>
        </w:rPr>
        <w:t xml:space="preserve"> </w:t>
      </w:r>
      <w:r>
        <w:rPr>
          <w:w w:val="105"/>
        </w:rPr>
        <w:t>through the occupied second and third floors</w:t>
      </w:r>
      <w:r>
        <w:rPr>
          <w:spacing w:val="-1"/>
          <w:w w:val="105"/>
        </w:rPr>
        <w:t xml:space="preserve"> </w:t>
      </w:r>
      <w:r>
        <w:rPr>
          <w:w w:val="105"/>
        </w:rPr>
        <w:t>of the</w:t>
      </w:r>
      <w:r>
        <w:rPr>
          <w:spacing w:val="40"/>
          <w:w w:val="105"/>
        </w:rPr>
        <w:t xml:space="preserve"> </w:t>
      </w:r>
      <w:r>
        <w:rPr>
          <w:w w:val="105"/>
        </w:rPr>
        <w:t>building.</w:t>
      </w:r>
      <w:r>
        <w:rPr>
          <w:spacing w:val="40"/>
          <w:w w:val="105"/>
        </w:rPr>
        <w:t xml:space="preserve"> </w:t>
      </w:r>
      <w:r>
        <w:rPr>
          <w:w w:val="105"/>
        </w:rPr>
        <w:t>The</w:t>
      </w:r>
      <w:r>
        <w:rPr>
          <w:spacing w:val="-4"/>
          <w:w w:val="105"/>
        </w:rPr>
        <w:t xml:space="preserve"> </w:t>
      </w:r>
      <w:r>
        <w:rPr>
          <w:w w:val="105"/>
        </w:rPr>
        <w:t>two existing units will need to</w:t>
      </w:r>
      <w:r>
        <w:rPr>
          <w:spacing w:val="35"/>
          <w:w w:val="105"/>
        </w:rPr>
        <w:t xml:space="preserve"> </w:t>
      </w:r>
      <w:r>
        <w:rPr>
          <w:w w:val="105"/>
        </w:rPr>
        <w:t>be updated or replaced, and this will result in $493,000 in additional costs not originally accounted for.</w:t>
      </w:r>
    </w:p>
    <w:p w14:paraId="09A17417" w14:textId="77777777" w:rsidR="007B56EA" w:rsidRDefault="007B56EA">
      <w:pPr>
        <w:pStyle w:val="BodyText"/>
        <w:spacing w:before="3"/>
        <w:rPr>
          <w:sz w:val="17"/>
        </w:rPr>
      </w:pPr>
    </w:p>
    <w:p w14:paraId="09A17418" w14:textId="77777777" w:rsidR="007B56EA" w:rsidRDefault="00775EBC">
      <w:pPr>
        <w:pStyle w:val="ListParagraph"/>
        <w:numPr>
          <w:ilvl w:val="1"/>
          <w:numId w:val="5"/>
        </w:numPr>
        <w:tabs>
          <w:tab w:val="left" w:pos="1532"/>
        </w:tabs>
        <w:ind w:left="1531" w:hanging="369"/>
        <w:jc w:val="left"/>
        <w:rPr>
          <w:sz w:val="21"/>
        </w:rPr>
      </w:pPr>
      <w:r>
        <w:rPr>
          <w:spacing w:val="-2"/>
          <w:sz w:val="21"/>
        </w:rPr>
        <w:t>Electric</w:t>
      </w:r>
    </w:p>
    <w:p w14:paraId="09A17419" w14:textId="77777777" w:rsidR="007B56EA" w:rsidRDefault="00775EBC">
      <w:pPr>
        <w:pStyle w:val="BodyText"/>
        <w:spacing w:before="170" w:line="292" w:lineRule="auto"/>
        <w:ind w:left="811" w:right="745" w:firstLine="12"/>
      </w:pPr>
      <w:r>
        <w:rPr>
          <w:w w:val="105"/>
        </w:rPr>
        <w:t>Replacement and upgrading electrical systems were not a component of the</w:t>
      </w:r>
      <w:r>
        <w:rPr>
          <w:spacing w:val="40"/>
          <w:w w:val="105"/>
        </w:rPr>
        <w:t xml:space="preserve"> </w:t>
      </w:r>
      <w:r>
        <w:rPr>
          <w:w w:val="105"/>
        </w:rPr>
        <w:t>project at the</w:t>
      </w:r>
      <w:r>
        <w:rPr>
          <w:spacing w:val="37"/>
          <w:w w:val="105"/>
        </w:rPr>
        <w:t xml:space="preserve"> </w:t>
      </w:r>
      <w:r>
        <w:rPr>
          <w:w w:val="105"/>
        </w:rPr>
        <w:t>time</w:t>
      </w:r>
      <w:r>
        <w:rPr>
          <w:spacing w:val="-1"/>
          <w:w w:val="105"/>
        </w:rPr>
        <w:t xml:space="preserve"> </w:t>
      </w:r>
      <w:r>
        <w:rPr>
          <w:w w:val="105"/>
        </w:rPr>
        <w:t xml:space="preserve">of </w:t>
      </w:r>
      <w:proofErr w:type="spellStart"/>
      <w:r>
        <w:rPr>
          <w:w w:val="105"/>
        </w:rPr>
        <w:t>DoN</w:t>
      </w:r>
      <w:proofErr w:type="spellEnd"/>
      <w:r>
        <w:rPr>
          <w:w w:val="105"/>
        </w:rPr>
        <w:t xml:space="preserve"> approval.</w:t>
      </w:r>
      <w:r>
        <w:rPr>
          <w:spacing w:val="80"/>
          <w:w w:val="105"/>
        </w:rPr>
        <w:t xml:space="preserve"> </w:t>
      </w:r>
      <w:r>
        <w:rPr>
          <w:w w:val="105"/>
        </w:rPr>
        <w:t>At</w:t>
      </w:r>
      <w:r>
        <w:rPr>
          <w:spacing w:val="-4"/>
          <w:w w:val="105"/>
        </w:rPr>
        <w:t xml:space="preserve"> </w:t>
      </w:r>
      <w:r>
        <w:rPr>
          <w:w w:val="105"/>
        </w:rPr>
        <w:t>that time, it was projected that any</w:t>
      </w:r>
      <w:r>
        <w:rPr>
          <w:spacing w:val="-1"/>
          <w:w w:val="105"/>
        </w:rPr>
        <w:t xml:space="preserve"> </w:t>
      </w:r>
      <w:r>
        <w:rPr>
          <w:w w:val="105"/>
        </w:rPr>
        <w:t>expansion</w:t>
      </w:r>
      <w:r>
        <w:rPr>
          <w:spacing w:val="30"/>
          <w:w w:val="105"/>
        </w:rPr>
        <w:t xml:space="preserve"> </w:t>
      </w:r>
      <w:r>
        <w:rPr>
          <w:w w:val="105"/>
        </w:rPr>
        <w:t>could</w:t>
      </w:r>
      <w:r>
        <w:rPr>
          <w:spacing w:val="40"/>
          <w:w w:val="105"/>
        </w:rPr>
        <w:t xml:space="preserve"> </w:t>
      </w:r>
      <w:r>
        <w:rPr>
          <w:w w:val="105"/>
        </w:rPr>
        <w:t>be handled</w:t>
      </w:r>
      <w:r>
        <w:rPr>
          <w:spacing w:val="29"/>
          <w:w w:val="105"/>
        </w:rPr>
        <w:t xml:space="preserve"> </w:t>
      </w:r>
      <w:r>
        <w:rPr>
          <w:w w:val="105"/>
        </w:rPr>
        <w:t>with the</w:t>
      </w:r>
      <w:r>
        <w:rPr>
          <w:spacing w:val="40"/>
          <w:w w:val="105"/>
        </w:rPr>
        <w:t xml:space="preserve"> </w:t>
      </w:r>
      <w:r>
        <w:rPr>
          <w:w w:val="105"/>
        </w:rPr>
        <w:t>existing panels, both normal and emergency.</w:t>
      </w:r>
      <w:r>
        <w:rPr>
          <w:spacing w:val="40"/>
          <w:w w:val="105"/>
        </w:rPr>
        <w:t xml:space="preserve"> </w:t>
      </w:r>
      <w:r>
        <w:rPr>
          <w:w w:val="105"/>
        </w:rPr>
        <w:t>Subsequently, the engineers identified insufficient available electrical breakers and the</w:t>
      </w:r>
      <w:r>
        <w:rPr>
          <w:spacing w:val="37"/>
          <w:w w:val="105"/>
        </w:rPr>
        <w:t xml:space="preserve"> </w:t>
      </w:r>
      <w:r>
        <w:rPr>
          <w:w w:val="105"/>
        </w:rPr>
        <w:t>lack of sufficient room in</w:t>
      </w:r>
      <w:r>
        <w:rPr>
          <w:spacing w:val="-2"/>
          <w:w w:val="105"/>
        </w:rPr>
        <w:t xml:space="preserve"> </w:t>
      </w:r>
      <w:r>
        <w:rPr>
          <w:w w:val="105"/>
        </w:rPr>
        <w:t>the</w:t>
      </w:r>
      <w:r>
        <w:rPr>
          <w:spacing w:val="40"/>
          <w:w w:val="105"/>
        </w:rPr>
        <w:t xml:space="preserve"> </w:t>
      </w:r>
      <w:r>
        <w:rPr>
          <w:w w:val="105"/>
        </w:rPr>
        <w:t>electrical equipment room to</w:t>
      </w:r>
      <w:r>
        <w:rPr>
          <w:spacing w:val="31"/>
          <w:w w:val="105"/>
        </w:rPr>
        <w:t xml:space="preserve"> </w:t>
      </w:r>
      <w:r>
        <w:rPr>
          <w:w w:val="105"/>
        </w:rPr>
        <w:t>mount additional circuit expansion.</w:t>
      </w:r>
      <w:r>
        <w:rPr>
          <w:spacing w:val="60"/>
          <w:w w:val="105"/>
        </w:rPr>
        <w:t xml:space="preserve"> </w:t>
      </w:r>
      <w:r>
        <w:rPr>
          <w:w w:val="105"/>
        </w:rPr>
        <w:t>These</w:t>
      </w:r>
      <w:r>
        <w:rPr>
          <w:spacing w:val="15"/>
          <w:w w:val="105"/>
        </w:rPr>
        <w:t xml:space="preserve"> </w:t>
      </w:r>
      <w:r>
        <w:rPr>
          <w:w w:val="105"/>
        </w:rPr>
        <w:t>increased</w:t>
      </w:r>
      <w:r>
        <w:rPr>
          <w:spacing w:val="31"/>
          <w:w w:val="105"/>
        </w:rPr>
        <w:t xml:space="preserve"> </w:t>
      </w:r>
      <w:r>
        <w:rPr>
          <w:w w:val="105"/>
        </w:rPr>
        <w:t>electrical</w:t>
      </w:r>
      <w:r>
        <w:rPr>
          <w:spacing w:val="22"/>
          <w:w w:val="105"/>
        </w:rPr>
        <w:t xml:space="preserve"> </w:t>
      </w:r>
      <w:r>
        <w:rPr>
          <w:w w:val="105"/>
        </w:rPr>
        <w:t>costs arise from</w:t>
      </w:r>
      <w:r>
        <w:rPr>
          <w:spacing w:val="23"/>
          <w:w w:val="105"/>
        </w:rPr>
        <w:t xml:space="preserve"> </w:t>
      </w:r>
      <w:r>
        <w:rPr>
          <w:w w:val="105"/>
        </w:rPr>
        <w:t>increased</w:t>
      </w:r>
      <w:r>
        <w:rPr>
          <w:spacing w:val="33"/>
          <w:w w:val="105"/>
        </w:rPr>
        <w:t xml:space="preserve"> </w:t>
      </w:r>
      <w:r>
        <w:rPr>
          <w:w w:val="105"/>
        </w:rPr>
        <w:t>costs</w:t>
      </w:r>
      <w:r>
        <w:rPr>
          <w:spacing w:val="15"/>
          <w:w w:val="105"/>
        </w:rPr>
        <w:t xml:space="preserve"> </w:t>
      </w:r>
      <w:r>
        <w:rPr>
          <w:w w:val="105"/>
        </w:rPr>
        <w:t>in</w:t>
      </w:r>
      <w:r>
        <w:rPr>
          <w:spacing w:val="12"/>
          <w:w w:val="105"/>
        </w:rPr>
        <w:t xml:space="preserve"> </w:t>
      </w:r>
      <w:r>
        <w:rPr>
          <w:w w:val="105"/>
        </w:rPr>
        <w:t>supplies,</w:t>
      </w:r>
      <w:r>
        <w:rPr>
          <w:spacing w:val="14"/>
          <w:w w:val="105"/>
        </w:rPr>
        <w:t xml:space="preserve"> </w:t>
      </w:r>
      <w:r>
        <w:rPr>
          <w:w w:val="105"/>
        </w:rPr>
        <w:t>the</w:t>
      </w:r>
      <w:r>
        <w:rPr>
          <w:spacing w:val="40"/>
          <w:w w:val="105"/>
        </w:rPr>
        <w:t xml:space="preserve"> </w:t>
      </w:r>
      <w:r>
        <w:rPr>
          <w:w w:val="105"/>
        </w:rPr>
        <w:t>replacement</w:t>
      </w:r>
      <w:r>
        <w:rPr>
          <w:spacing w:val="27"/>
          <w:w w:val="105"/>
        </w:rPr>
        <w:t xml:space="preserve"> </w:t>
      </w:r>
      <w:r>
        <w:rPr>
          <w:w w:val="105"/>
        </w:rPr>
        <w:t>of the</w:t>
      </w:r>
      <w:r>
        <w:rPr>
          <w:spacing w:val="40"/>
          <w:w w:val="105"/>
        </w:rPr>
        <w:t xml:space="preserve"> </w:t>
      </w:r>
      <w:r>
        <w:rPr>
          <w:w w:val="105"/>
        </w:rPr>
        <w:t>existing</w:t>
      </w:r>
      <w:r>
        <w:rPr>
          <w:spacing w:val="-10"/>
          <w:w w:val="105"/>
        </w:rPr>
        <w:t xml:space="preserve"> </w:t>
      </w:r>
      <w:r>
        <w:rPr>
          <w:w w:val="105"/>
        </w:rPr>
        <w:t>800</w:t>
      </w:r>
      <w:r>
        <w:rPr>
          <w:spacing w:val="-9"/>
          <w:w w:val="105"/>
        </w:rPr>
        <w:t xml:space="preserve"> </w:t>
      </w:r>
      <w:r>
        <w:rPr>
          <w:w w:val="105"/>
        </w:rPr>
        <w:t>Amp</w:t>
      </w:r>
      <w:r>
        <w:rPr>
          <w:spacing w:val="-5"/>
          <w:w w:val="105"/>
        </w:rPr>
        <w:t xml:space="preserve"> </w:t>
      </w:r>
      <w:r>
        <w:rPr>
          <w:w w:val="105"/>
        </w:rPr>
        <w:t>distribution</w:t>
      </w:r>
      <w:r>
        <w:rPr>
          <w:spacing w:val="32"/>
          <w:w w:val="105"/>
        </w:rPr>
        <w:t xml:space="preserve"> </w:t>
      </w:r>
      <w:r>
        <w:rPr>
          <w:w w:val="105"/>
        </w:rPr>
        <w:t>Panel with a new</w:t>
      </w:r>
      <w:r>
        <w:rPr>
          <w:spacing w:val="-12"/>
          <w:w w:val="105"/>
        </w:rPr>
        <w:t xml:space="preserve"> </w:t>
      </w:r>
      <w:r>
        <w:rPr>
          <w:w w:val="105"/>
        </w:rPr>
        <w:t>800</w:t>
      </w:r>
      <w:r>
        <w:rPr>
          <w:spacing w:val="-3"/>
          <w:w w:val="105"/>
        </w:rPr>
        <w:t xml:space="preserve"> </w:t>
      </w:r>
      <w:r>
        <w:rPr>
          <w:w w:val="105"/>
        </w:rPr>
        <w:t>Amp distribution</w:t>
      </w:r>
      <w:r>
        <w:rPr>
          <w:spacing w:val="38"/>
          <w:w w:val="105"/>
        </w:rPr>
        <w:t xml:space="preserve"> </w:t>
      </w:r>
      <w:r>
        <w:rPr>
          <w:w w:val="105"/>
        </w:rPr>
        <w:t>panel</w:t>
      </w:r>
      <w:r>
        <w:rPr>
          <w:spacing w:val="24"/>
          <w:w w:val="105"/>
        </w:rPr>
        <w:t xml:space="preserve"> </w:t>
      </w:r>
      <w:r>
        <w:rPr>
          <w:w w:val="105"/>
        </w:rPr>
        <w:t>providing increased circuit expansion capabilities to feed</w:t>
      </w:r>
      <w:r>
        <w:rPr>
          <w:spacing w:val="40"/>
          <w:w w:val="105"/>
        </w:rPr>
        <w:t xml:space="preserve"> </w:t>
      </w:r>
      <w:r>
        <w:rPr>
          <w:w w:val="105"/>
        </w:rPr>
        <w:t>new panels and other</w:t>
      </w:r>
      <w:r>
        <w:rPr>
          <w:spacing w:val="-2"/>
          <w:w w:val="105"/>
        </w:rPr>
        <w:t xml:space="preserve"> </w:t>
      </w:r>
      <w:r>
        <w:rPr>
          <w:w w:val="105"/>
        </w:rPr>
        <w:t>select specialty equipment.</w:t>
      </w:r>
      <w:r>
        <w:rPr>
          <w:spacing w:val="40"/>
          <w:w w:val="105"/>
        </w:rPr>
        <w:t xml:space="preserve"> </w:t>
      </w:r>
      <w:r>
        <w:rPr>
          <w:w w:val="105"/>
        </w:rPr>
        <w:t>Three transfer switches were metered for a 30-day period to</w:t>
      </w:r>
      <w:r>
        <w:rPr>
          <w:spacing w:val="36"/>
          <w:w w:val="105"/>
        </w:rPr>
        <w:t xml:space="preserve"> </w:t>
      </w:r>
      <w:r>
        <w:rPr>
          <w:w w:val="105"/>
        </w:rPr>
        <w:t>measure</w:t>
      </w:r>
      <w:r>
        <w:rPr>
          <w:spacing w:val="21"/>
          <w:w w:val="105"/>
        </w:rPr>
        <w:t xml:space="preserve"> </w:t>
      </w:r>
      <w:r>
        <w:rPr>
          <w:w w:val="105"/>
        </w:rPr>
        <w:t>load outputs at an additional</w:t>
      </w:r>
      <w:r>
        <w:rPr>
          <w:spacing w:val="21"/>
          <w:w w:val="105"/>
        </w:rPr>
        <w:t xml:space="preserve"> </w:t>
      </w:r>
      <w:r>
        <w:rPr>
          <w:w w:val="105"/>
        </w:rPr>
        <w:t>cost of $5,400.</w:t>
      </w:r>
      <w:r>
        <w:rPr>
          <w:spacing w:val="40"/>
          <w:w w:val="105"/>
        </w:rPr>
        <w:t xml:space="preserve"> </w:t>
      </w:r>
      <w:r>
        <w:rPr>
          <w:w w:val="105"/>
        </w:rPr>
        <w:t>The additional equipment will need to be moved to a new emergency electrical closet adding</w:t>
      </w:r>
      <w:r>
        <w:rPr>
          <w:spacing w:val="-1"/>
          <w:w w:val="105"/>
        </w:rPr>
        <w:t xml:space="preserve"> </w:t>
      </w:r>
      <w:r>
        <w:rPr>
          <w:w w:val="105"/>
        </w:rPr>
        <w:t>$245,400 additional costs.</w:t>
      </w:r>
    </w:p>
    <w:p w14:paraId="09A1741A" w14:textId="77777777" w:rsidR="007B56EA" w:rsidRDefault="00775EBC">
      <w:pPr>
        <w:pStyle w:val="ListParagraph"/>
        <w:numPr>
          <w:ilvl w:val="1"/>
          <w:numId w:val="5"/>
        </w:numPr>
        <w:tabs>
          <w:tab w:val="left" w:pos="1542"/>
        </w:tabs>
        <w:spacing w:before="141"/>
        <w:ind w:left="1541" w:hanging="362"/>
        <w:jc w:val="left"/>
        <w:rPr>
          <w:sz w:val="21"/>
        </w:rPr>
      </w:pPr>
      <w:r>
        <w:rPr>
          <w:spacing w:val="-2"/>
          <w:w w:val="105"/>
          <w:sz w:val="21"/>
        </w:rPr>
        <w:t>Architectural/Engineering</w:t>
      </w:r>
      <w:r>
        <w:rPr>
          <w:spacing w:val="21"/>
          <w:w w:val="110"/>
          <w:sz w:val="21"/>
        </w:rPr>
        <w:t xml:space="preserve"> </w:t>
      </w:r>
      <w:r>
        <w:rPr>
          <w:spacing w:val="-4"/>
          <w:w w:val="110"/>
          <w:sz w:val="21"/>
        </w:rPr>
        <w:t>fees</w:t>
      </w:r>
    </w:p>
    <w:p w14:paraId="09A1741B" w14:textId="77777777" w:rsidR="007B56EA" w:rsidRDefault="007B56EA">
      <w:pPr>
        <w:pStyle w:val="BodyText"/>
        <w:spacing w:before="3"/>
        <w:rPr>
          <w:sz w:val="17"/>
        </w:rPr>
      </w:pPr>
    </w:p>
    <w:p w14:paraId="09A1741C" w14:textId="77777777" w:rsidR="007B56EA" w:rsidRDefault="00775EBC">
      <w:pPr>
        <w:pStyle w:val="BodyText"/>
        <w:spacing w:line="285" w:lineRule="auto"/>
        <w:ind w:left="839" w:right="765" w:hanging="25"/>
        <w:jc w:val="both"/>
      </w:pPr>
      <w:r>
        <w:rPr>
          <w:w w:val="105"/>
        </w:rPr>
        <w:t>The</w:t>
      </w:r>
      <w:r>
        <w:rPr>
          <w:spacing w:val="-5"/>
          <w:w w:val="105"/>
        </w:rPr>
        <w:t xml:space="preserve"> </w:t>
      </w:r>
      <w:r>
        <w:rPr>
          <w:w w:val="105"/>
        </w:rPr>
        <w:t>architectural cost</w:t>
      </w:r>
      <w:r>
        <w:rPr>
          <w:spacing w:val="-1"/>
          <w:w w:val="105"/>
        </w:rPr>
        <w:t xml:space="preserve"> </w:t>
      </w:r>
      <w:r>
        <w:rPr>
          <w:w w:val="105"/>
        </w:rPr>
        <w:t>estimates developed for</w:t>
      </w:r>
      <w:r>
        <w:rPr>
          <w:spacing w:val="-3"/>
          <w:w w:val="105"/>
        </w:rPr>
        <w:t xml:space="preserve"> </w:t>
      </w:r>
      <w:r>
        <w:rPr>
          <w:w w:val="105"/>
        </w:rPr>
        <w:t>the</w:t>
      </w:r>
      <w:r>
        <w:rPr>
          <w:spacing w:val="34"/>
          <w:w w:val="105"/>
        </w:rPr>
        <w:t xml:space="preserve"> </w:t>
      </w:r>
      <w:proofErr w:type="spellStart"/>
      <w:r>
        <w:rPr>
          <w:w w:val="105"/>
        </w:rPr>
        <w:t>DoN</w:t>
      </w:r>
      <w:proofErr w:type="spellEnd"/>
      <w:r>
        <w:rPr>
          <w:w w:val="105"/>
        </w:rPr>
        <w:t xml:space="preserve"> application were quoted at $75,586.</w:t>
      </w:r>
      <w:r>
        <w:rPr>
          <w:spacing w:val="40"/>
          <w:w w:val="105"/>
        </w:rPr>
        <w:t xml:space="preserve"> </w:t>
      </w:r>
      <w:r>
        <w:rPr>
          <w:w w:val="105"/>
        </w:rPr>
        <w:t xml:space="preserve">During the </w:t>
      </w:r>
      <w:proofErr w:type="spellStart"/>
      <w:r>
        <w:rPr>
          <w:w w:val="105"/>
        </w:rPr>
        <w:t>DoN</w:t>
      </w:r>
      <w:proofErr w:type="spellEnd"/>
      <w:r>
        <w:rPr>
          <w:w w:val="105"/>
        </w:rPr>
        <w:t xml:space="preserve"> process and with an increase</w:t>
      </w:r>
      <w:r>
        <w:rPr>
          <w:spacing w:val="-1"/>
          <w:w w:val="105"/>
        </w:rPr>
        <w:t xml:space="preserve"> </w:t>
      </w:r>
      <w:r>
        <w:rPr>
          <w:w w:val="105"/>
        </w:rPr>
        <w:t>in available projects,</w:t>
      </w:r>
      <w:r>
        <w:rPr>
          <w:spacing w:val="-1"/>
          <w:w w:val="105"/>
        </w:rPr>
        <w:t xml:space="preserve"> </w:t>
      </w:r>
      <w:r>
        <w:rPr>
          <w:w w:val="105"/>
        </w:rPr>
        <w:t>the</w:t>
      </w:r>
      <w:r>
        <w:rPr>
          <w:spacing w:val="24"/>
          <w:w w:val="105"/>
        </w:rPr>
        <w:t xml:space="preserve"> </w:t>
      </w:r>
      <w:r>
        <w:rPr>
          <w:w w:val="105"/>
        </w:rPr>
        <w:t>original architect took on other projects</w:t>
      </w:r>
      <w:r>
        <w:rPr>
          <w:spacing w:val="-2"/>
          <w:w w:val="105"/>
        </w:rPr>
        <w:t xml:space="preserve"> </w:t>
      </w:r>
      <w:r>
        <w:rPr>
          <w:w w:val="105"/>
        </w:rPr>
        <w:t>and no longer</w:t>
      </w:r>
      <w:r>
        <w:rPr>
          <w:spacing w:val="-3"/>
          <w:w w:val="105"/>
        </w:rPr>
        <w:t xml:space="preserve"> </w:t>
      </w:r>
      <w:r>
        <w:rPr>
          <w:w w:val="105"/>
        </w:rPr>
        <w:t>would</w:t>
      </w:r>
      <w:r>
        <w:rPr>
          <w:spacing w:val="21"/>
          <w:w w:val="105"/>
        </w:rPr>
        <w:t xml:space="preserve"> </w:t>
      </w:r>
      <w:r>
        <w:rPr>
          <w:w w:val="105"/>
        </w:rPr>
        <w:t>be available.</w:t>
      </w:r>
      <w:r>
        <w:rPr>
          <w:spacing w:val="77"/>
          <w:w w:val="105"/>
        </w:rPr>
        <w:t xml:space="preserve"> </w:t>
      </w:r>
      <w:r>
        <w:rPr>
          <w:w w:val="105"/>
        </w:rPr>
        <w:t>New</w:t>
      </w:r>
      <w:r>
        <w:rPr>
          <w:spacing w:val="-1"/>
          <w:w w:val="105"/>
        </w:rPr>
        <w:t xml:space="preserve"> </w:t>
      </w:r>
      <w:r>
        <w:rPr>
          <w:w w:val="105"/>
        </w:rPr>
        <w:t xml:space="preserve">architects were </w:t>
      </w:r>
      <w:proofErr w:type="gramStart"/>
      <w:r>
        <w:rPr>
          <w:w w:val="105"/>
        </w:rPr>
        <w:t>contacted</w:t>
      </w:r>
      <w:proofErr w:type="gramEnd"/>
      <w:r>
        <w:rPr>
          <w:spacing w:val="19"/>
          <w:w w:val="105"/>
        </w:rPr>
        <w:t xml:space="preserve"> </w:t>
      </w:r>
      <w:r>
        <w:rPr>
          <w:w w:val="105"/>
        </w:rPr>
        <w:t>and</w:t>
      </w:r>
      <w:r>
        <w:rPr>
          <w:spacing w:val="23"/>
          <w:w w:val="105"/>
        </w:rPr>
        <w:t xml:space="preserve"> </w:t>
      </w:r>
      <w:r>
        <w:rPr>
          <w:w w:val="105"/>
        </w:rPr>
        <w:t>bids received.</w:t>
      </w:r>
      <w:r>
        <w:rPr>
          <w:spacing w:val="40"/>
          <w:w w:val="105"/>
        </w:rPr>
        <w:t xml:space="preserve"> </w:t>
      </w:r>
      <w:r>
        <w:rPr>
          <w:w w:val="105"/>
        </w:rPr>
        <w:t>The cost</w:t>
      </w:r>
      <w:r>
        <w:rPr>
          <w:spacing w:val="-5"/>
          <w:w w:val="105"/>
        </w:rPr>
        <w:t xml:space="preserve"> </w:t>
      </w:r>
      <w:r>
        <w:rPr>
          <w:w w:val="105"/>
        </w:rPr>
        <w:t>increased</w:t>
      </w:r>
      <w:r>
        <w:rPr>
          <w:spacing w:val="33"/>
          <w:w w:val="105"/>
        </w:rPr>
        <w:t xml:space="preserve"> </w:t>
      </w:r>
      <w:r>
        <w:rPr>
          <w:w w:val="105"/>
        </w:rPr>
        <w:t>by</w:t>
      </w:r>
    </w:p>
    <w:p w14:paraId="09A1741D" w14:textId="77777777" w:rsidR="007B56EA" w:rsidRDefault="00775EBC">
      <w:pPr>
        <w:pStyle w:val="BodyText"/>
        <w:spacing w:before="25"/>
        <w:ind w:left="824"/>
        <w:jc w:val="both"/>
      </w:pPr>
      <w:r>
        <w:rPr>
          <w:w w:val="105"/>
        </w:rPr>
        <w:t>$92,811</w:t>
      </w:r>
      <w:r>
        <w:rPr>
          <w:spacing w:val="-15"/>
          <w:w w:val="105"/>
        </w:rPr>
        <w:t xml:space="preserve"> </w:t>
      </w:r>
      <w:r>
        <w:rPr>
          <w:w w:val="105"/>
        </w:rPr>
        <w:t>to</w:t>
      </w:r>
      <w:r>
        <w:rPr>
          <w:spacing w:val="15"/>
          <w:w w:val="105"/>
        </w:rPr>
        <w:t xml:space="preserve"> </w:t>
      </w:r>
      <w:r>
        <w:rPr>
          <w:spacing w:val="-2"/>
          <w:w w:val="105"/>
        </w:rPr>
        <w:t>$168,397.</w:t>
      </w:r>
    </w:p>
    <w:p w14:paraId="09A1741E" w14:textId="77777777" w:rsidR="007B56EA" w:rsidRDefault="007B56EA">
      <w:pPr>
        <w:pStyle w:val="BodyText"/>
        <w:spacing w:before="10"/>
        <w:rPr>
          <w:sz w:val="17"/>
        </w:rPr>
      </w:pPr>
    </w:p>
    <w:p w14:paraId="09A1741F" w14:textId="77777777" w:rsidR="007B56EA" w:rsidRDefault="00775EBC">
      <w:pPr>
        <w:pStyle w:val="ListParagraph"/>
        <w:numPr>
          <w:ilvl w:val="0"/>
          <w:numId w:val="5"/>
        </w:numPr>
        <w:tabs>
          <w:tab w:val="left" w:pos="1189"/>
        </w:tabs>
        <w:ind w:left="1188" w:hanging="343"/>
        <w:jc w:val="both"/>
        <w:rPr>
          <w:sz w:val="21"/>
        </w:rPr>
      </w:pPr>
      <w:r>
        <w:rPr>
          <w:sz w:val="21"/>
        </w:rPr>
        <w:t>Covid</w:t>
      </w:r>
      <w:r>
        <w:rPr>
          <w:spacing w:val="25"/>
          <w:sz w:val="21"/>
        </w:rPr>
        <w:t xml:space="preserve"> </w:t>
      </w:r>
      <w:r>
        <w:rPr>
          <w:sz w:val="21"/>
        </w:rPr>
        <w:t>Related</w:t>
      </w:r>
      <w:r>
        <w:rPr>
          <w:spacing w:val="19"/>
          <w:sz w:val="21"/>
        </w:rPr>
        <w:t xml:space="preserve"> </w:t>
      </w:r>
      <w:r>
        <w:rPr>
          <w:sz w:val="21"/>
        </w:rPr>
        <w:t>Construction</w:t>
      </w:r>
      <w:r>
        <w:rPr>
          <w:spacing w:val="32"/>
          <w:sz w:val="21"/>
        </w:rPr>
        <w:t xml:space="preserve"> </w:t>
      </w:r>
      <w:r>
        <w:rPr>
          <w:spacing w:val="-4"/>
          <w:sz w:val="21"/>
        </w:rPr>
        <w:t>Costs</w:t>
      </w:r>
    </w:p>
    <w:p w14:paraId="09A17420" w14:textId="259D62E0" w:rsidR="007B56EA" w:rsidRDefault="00775EBC" w:rsidP="00DE123B">
      <w:pPr>
        <w:pStyle w:val="BodyText"/>
        <w:spacing w:before="191" w:line="290" w:lineRule="auto"/>
        <w:ind w:left="827" w:right="745" w:hanging="6"/>
      </w:pPr>
      <w:r>
        <w:rPr>
          <w:w w:val="105"/>
        </w:rPr>
        <w:t>The</w:t>
      </w:r>
      <w:r>
        <w:rPr>
          <w:spacing w:val="26"/>
          <w:w w:val="105"/>
        </w:rPr>
        <w:t xml:space="preserve"> </w:t>
      </w:r>
      <w:r>
        <w:rPr>
          <w:w w:val="105"/>
        </w:rPr>
        <w:t>remainder</w:t>
      </w:r>
      <w:r>
        <w:rPr>
          <w:spacing w:val="25"/>
          <w:w w:val="105"/>
        </w:rPr>
        <w:t xml:space="preserve"> </w:t>
      </w:r>
      <w:r>
        <w:rPr>
          <w:w w:val="105"/>
        </w:rPr>
        <w:t>of the</w:t>
      </w:r>
      <w:r>
        <w:rPr>
          <w:spacing w:val="80"/>
          <w:w w:val="105"/>
        </w:rPr>
        <w:t xml:space="preserve"> </w:t>
      </w:r>
      <w:r>
        <w:rPr>
          <w:w w:val="105"/>
        </w:rPr>
        <w:t>requested</w:t>
      </w:r>
      <w:r>
        <w:rPr>
          <w:spacing w:val="39"/>
          <w:w w:val="105"/>
        </w:rPr>
        <w:t xml:space="preserve"> </w:t>
      </w:r>
      <w:r>
        <w:rPr>
          <w:w w:val="105"/>
        </w:rPr>
        <w:t>increase in costs</w:t>
      </w:r>
      <w:r>
        <w:rPr>
          <w:spacing w:val="25"/>
          <w:w w:val="105"/>
        </w:rPr>
        <w:t xml:space="preserve"> </w:t>
      </w:r>
      <w:r>
        <w:rPr>
          <w:w w:val="105"/>
        </w:rPr>
        <w:t>relates to</w:t>
      </w:r>
      <w:r>
        <w:rPr>
          <w:spacing w:val="39"/>
          <w:w w:val="105"/>
        </w:rPr>
        <w:t xml:space="preserve"> </w:t>
      </w:r>
      <w:r>
        <w:rPr>
          <w:w w:val="105"/>
        </w:rPr>
        <w:t>higher than</w:t>
      </w:r>
      <w:r>
        <w:rPr>
          <w:spacing w:val="32"/>
          <w:w w:val="105"/>
        </w:rPr>
        <w:t xml:space="preserve"> </w:t>
      </w:r>
      <w:r>
        <w:rPr>
          <w:w w:val="105"/>
        </w:rPr>
        <w:t>projected</w:t>
      </w:r>
      <w:r>
        <w:rPr>
          <w:spacing w:val="32"/>
          <w:w w:val="105"/>
        </w:rPr>
        <w:t xml:space="preserve"> </w:t>
      </w:r>
      <w:r>
        <w:rPr>
          <w:w w:val="105"/>
        </w:rPr>
        <w:t>construction</w:t>
      </w:r>
      <w:r>
        <w:rPr>
          <w:spacing w:val="39"/>
          <w:w w:val="105"/>
        </w:rPr>
        <w:t xml:space="preserve"> </w:t>
      </w:r>
      <w:r>
        <w:rPr>
          <w:w w:val="105"/>
        </w:rPr>
        <w:t>costs from the</w:t>
      </w:r>
      <w:r>
        <w:rPr>
          <w:spacing w:val="27"/>
          <w:w w:val="105"/>
        </w:rPr>
        <w:t xml:space="preserve"> </w:t>
      </w:r>
      <w:r>
        <w:rPr>
          <w:w w:val="105"/>
        </w:rPr>
        <w:t>time</w:t>
      </w:r>
      <w:r>
        <w:rPr>
          <w:spacing w:val="-2"/>
          <w:w w:val="105"/>
        </w:rPr>
        <w:t xml:space="preserve"> </w:t>
      </w:r>
      <w:r>
        <w:rPr>
          <w:w w:val="105"/>
        </w:rPr>
        <w:t>the</w:t>
      </w:r>
      <w:r>
        <w:rPr>
          <w:spacing w:val="40"/>
          <w:w w:val="105"/>
        </w:rPr>
        <w:t xml:space="preserve"> </w:t>
      </w:r>
      <w:proofErr w:type="spellStart"/>
      <w:r>
        <w:rPr>
          <w:w w:val="105"/>
        </w:rPr>
        <w:t>DoN</w:t>
      </w:r>
      <w:proofErr w:type="spellEnd"/>
      <w:r>
        <w:rPr>
          <w:spacing w:val="25"/>
          <w:w w:val="105"/>
        </w:rPr>
        <w:t xml:space="preserve"> </w:t>
      </w:r>
      <w:r>
        <w:rPr>
          <w:w w:val="105"/>
        </w:rPr>
        <w:t>was</w:t>
      </w:r>
      <w:r>
        <w:rPr>
          <w:spacing w:val="-1"/>
          <w:w w:val="105"/>
        </w:rPr>
        <w:t xml:space="preserve"> </w:t>
      </w:r>
      <w:r>
        <w:rPr>
          <w:w w:val="105"/>
        </w:rPr>
        <w:t>developed</w:t>
      </w:r>
      <w:r>
        <w:rPr>
          <w:spacing w:val="33"/>
          <w:w w:val="105"/>
        </w:rPr>
        <w:t xml:space="preserve"> </w:t>
      </w:r>
      <w:r>
        <w:rPr>
          <w:w w:val="105"/>
        </w:rPr>
        <w:t>and submitted</w:t>
      </w:r>
      <w:r>
        <w:rPr>
          <w:spacing w:val="26"/>
          <w:w w:val="105"/>
        </w:rPr>
        <w:t xml:space="preserve"> </w:t>
      </w:r>
      <w:r>
        <w:rPr>
          <w:w w:val="105"/>
        </w:rPr>
        <w:t>(</w:t>
      </w:r>
      <w:proofErr w:type="gramStart"/>
      <w:r>
        <w:rPr>
          <w:w w:val="105"/>
        </w:rPr>
        <w:t>August,</w:t>
      </w:r>
      <w:proofErr w:type="gramEnd"/>
      <w:r>
        <w:rPr>
          <w:w w:val="105"/>
        </w:rPr>
        <w:t xml:space="preserve"> 2020) to</w:t>
      </w:r>
      <w:r>
        <w:rPr>
          <w:spacing w:val="26"/>
          <w:w w:val="105"/>
        </w:rPr>
        <w:t xml:space="preserve"> </w:t>
      </w:r>
      <w:r>
        <w:rPr>
          <w:w w:val="105"/>
        </w:rPr>
        <w:t>the</w:t>
      </w:r>
      <w:r>
        <w:rPr>
          <w:spacing w:val="40"/>
          <w:w w:val="105"/>
        </w:rPr>
        <w:t xml:space="preserve"> </w:t>
      </w:r>
      <w:r>
        <w:rPr>
          <w:w w:val="105"/>
        </w:rPr>
        <w:t>date</w:t>
      </w:r>
      <w:r>
        <w:rPr>
          <w:spacing w:val="-3"/>
          <w:w w:val="105"/>
        </w:rPr>
        <w:t xml:space="preserve"> </w:t>
      </w:r>
      <w:r>
        <w:rPr>
          <w:w w:val="105"/>
        </w:rPr>
        <w:t>the</w:t>
      </w:r>
      <w:r>
        <w:rPr>
          <w:spacing w:val="25"/>
          <w:w w:val="105"/>
        </w:rPr>
        <w:t xml:space="preserve"> </w:t>
      </w:r>
      <w:r>
        <w:rPr>
          <w:w w:val="105"/>
        </w:rPr>
        <w:t>construction estimate</w:t>
      </w:r>
      <w:r>
        <w:rPr>
          <w:spacing w:val="19"/>
          <w:w w:val="105"/>
        </w:rPr>
        <w:t xml:space="preserve"> </w:t>
      </w:r>
      <w:r>
        <w:rPr>
          <w:w w:val="105"/>
        </w:rPr>
        <w:t>was received</w:t>
      </w:r>
      <w:r>
        <w:rPr>
          <w:spacing w:val="28"/>
          <w:w w:val="105"/>
        </w:rPr>
        <w:t xml:space="preserve"> </w:t>
      </w:r>
      <w:r>
        <w:rPr>
          <w:w w:val="105"/>
        </w:rPr>
        <w:t>(October, 2021).</w:t>
      </w:r>
      <w:r>
        <w:rPr>
          <w:spacing w:val="40"/>
          <w:w w:val="105"/>
        </w:rPr>
        <w:t xml:space="preserve"> </w:t>
      </w:r>
      <w:r>
        <w:rPr>
          <w:w w:val="105"/>
        </w:rPr>
        <w:t>The increases in</w:t>
      </w:r>
      <w:r>
        <w:rPr>
          <w:spacing w:val="21"/>
          <w:w w:val="105"/>
        </w:rPr>
        <w:t xml:space="preserve"> </w:t>
      </w:r>
      <w:r>
        <w:rPr>
          <w:w w:val="105"/>
        </w:rPr>
        <w:t>labor, material</w:t>
      </w:r>
      <w:r>
        <w:rPr>
          <w:spacing w:val="19"/>
          <w:w w:val="105"/>
        </w:rPr>
        <w:t xml:space="preserve"> </w:t>
      </w:r>
      <w:r>
        <w:rPr>
          <w:w w:val="105"/>
        </w:rPr>
        <w:t xml:space="preserve">and equipment costs attributed to the </w:t>
      </w:r>
      <w:proofErr w:type="spellStart"/>
      <w:r>
        <w:rPr>
          <w:w w:val="105"/>
        </w:rPr>
        <w:t>COVlD-19</w:t>
      </w:r>
      <w:proofErr w:type="spellEnd"/>
      <w:r>
        <w:rPr>
          <w:spacing w:val="30"/>
          <w:w w:val="105"/>
        </w:rPr>
        <w:t xml:space="preserve"> </w:t>
      </w:r>
      <w:r>
        <w:rPr>
          <w:w w:val="105"/>
        </w:rPr>
        <w:t>pandemic were not</w:t>
      </w:r>
      <w:r>
        <w:rPr>
          <w:spacing w:val="-13"/>
          <w:w w:val="105"/>
        </w:rPr>
        <w:t xml:space="preserve"> </w:t>
      </w:r>
      <w:r>
        <w:rPr>
          <w:w w:val="105"/>
        </w:rPr>
        <w:t>foreseeable.</w:t>
      </w:r>
      <w:r>
        <w:rPr>
          <w:spacing w:val="40"/>
          <w:w w:val="105"/>
        </w:rPr>
        <w:t xml:space="preserve"> </w:t>
      </w:r>
      <w:r>
        <w:rPr>
          <w:w w:val="105"/>
        </w:rPr>
        <w:t>There</w:t>
      </w:r>
      <w:r>
        <w:rPr>
          <w:spacing w:val="-1"/>
          <w:w w:val="105"/>
        </w:rPr>
        <w:t xml:space="preserve"> </w:t>
      </w:r>
      <w:r>
        <w:rPr>
          <w:w w:val="105"/>
        </w:rPr>
        <w:t>are</w:t>
      </w:r>
      <w:r>
        <w:rPr>
          <w:spacing w:val="32"/>
          <w:w w:val="105"/>
        </w:rPr>
        <w:t xml:space="preserve"> </w:t>
      </w:r>
      <w:r>
        <w:rPr>
          <w:w w:val="105"/>
        </w:rPr>
        <w:t>many</w:t>
      </w:r>
      <w:r>
        <w:rPr>
          <w:spacing w:val="-2"/>
          <w:w w:val="105"/>
        </w:rPr>
        <w:t xml:space="preserve"> </w:t>
      </w:r>
      <w:r>
        <w:rPr>
          <w:w w:val="105"/>
        </w:rPr>
        <w:t>factors affecting construction</w:t>
      </w:r>
      <w:r>
        <w:rPr>
          <w:spacing w:val="30"/>
          <w:w w:val="105"/>
        </w:rPr>
        <w:t xml:space="preserve"> </w:t>
      </w:r>
      <w:r>
        <w:rPr>
          <w:w w:val="105"/>
        </w:rPr>
        <w:t>costs.</w:t>
      </w:r>
      <w:r w:rsidR="00651783">
        <w:rPr>
          <w:rStyle w:val="FootnoteReference"/>
          <w:w w:val="105"/>
        </w:rPr>
        <w:footnoteReference w:id="1"/>
      </w:r>
      <w:r>
        <w:rPr>
          <w:w w:val="105"/>
        </w:rPr>
        <w:t xml:space="preserve"> For example:</w:t>
      </w:r>
      <w:r>
        <w:rPr>
          <w:spacing w:val="40"/>
          <w:w w:val="105"/>
        </w:rPr>
        <w:t xml:space="preserve"> </w:t>
      </w:r>
      <w:r>
        <w:rPr>
          <w:w w:val="105"/>
        </w:rPr>
        <w:t>Steel mill products prices have climbed 108.6% over</w:t>
      </w:r>
      <w:r>
        <w:rPr>
          <w:spacing w:val="-5"/>
          <w:w w:val="105"/>
        </w:rPr>
        <w:t xml:space="preserve"> </w:t>
      </w:r>
      <w:r>
        <w:rPr>
          <w:w w:val="105"/>
        </w:rPr>
        <w:t>the</w:t>
      </w:r>
      <w:r>
        <w:rPr>
          <w:spacing w:val="40"/>
          <w:w w:val="105"/>
        </w:rPr>
        <w:t xml:space="preserve"> </w:t>
      </w:r>
      <w:r>
        <w:rPr>
          <w:w w:val="105"/>
        </w:rPr>
        <w:t>past</w:t>
      </w:r>
      <w:r>
        <w:rPr>
          <w:spacing w:val="-6"/>
          <w:w w:val="105"/>
        </w:rPr>
        <w:t xml:space="preserve"> </w:t>
      </w:r>
      <w:r>
        <w:rPr>
          <w:w w:val="105"/>
        </w:rPr>
        <w:t>12 months and</w:t>
      </w:r>
      <w:r>
        <w:rPr>
          <w:spacing w:val="-2"/>
          <w:w w:val="105"/>
        </w:rPr>
        <w:t xml:space="preserve"> </w:t>
      </w:r>
      <w:r>
        <w:rPr>
          <w:w w:val="105"/>
        </w:rPr>
        <w:t>87.6% in</w:t>
      </w:r>
    </w:p>
    <w:p w14:paraId="09A17424" w14:textId="77777777" w:rsidR="007B56EA" w:rsidRDefault="007B56EA" w:rsidP="00DE123B">
      <w:pPr>
        <w:spacing w:line="304" w:lineRule="auto"/>
        <w:ind w:left="827" w:right="745"/>
        <w:jc w:val="both"/>
        <w:rPr>
          <w:rFonts w:ascii="Arial" w:hAnsi="Arial"/>
          <w:sz w:val="17"/>
        </w:rPr>
        <w:sectPr w:rsidR="007B56EA">
          <w:footnotePr>
            <w:pos w:val="beneathText"/>
          </w:footnotePr>
          <w:pgSz w:w="12270" w:h="15840"/>
          <w:pgMar w:top="1660" w:right="720" w:bottom="280" w:left="680" w:header="720" w:footer="720" w:gutter="0"/>
          <w:cols w:space="720"/>
        </w:sectPr>
      </w:pPr>
    </w:p>
    <w:p w14:paraId="430C85DA" w14:textId="095D83FB" w:rsidR="00CE40A5" w:rsidRDefault="00775EBC" w:rsidP="00DE123B">
      <w:pPr>
        <w:ind w:left="827" w:right="745"/>
        <w:rPr>
          <w:w w:val="105"/>
          <w:sz w:val="21"/>
          <w:szCs w:val="21"/>
        </w:rPr>
      </w:pPr>
      <w:r w:rsidRPr="00DE123B">
        <w:rPr>
          <w:w w:val="105"/>
          <w:sz w:val="21"/>
          <w:szCs w:val="21"/>
        </w:rPr>
        <w:lastRenderedPageBreak/>
        <w:t>2021 alone. Lumber has increased 112</w:t>
      </w:r>
      <w:r w:rsidR="00AE323E" w:rsidRPr="00DE123B">
        <w:rPr>
          <w:w w:val="105"/>
          <w:sz w:val="21"/>
          <w:szCs w:val="21"/>
        </w:rPr>
        <w:t>%</w:t>
      </w:r>
      <w:r w:rsidR="00CD41CB">
        <w:rPr>
          <w:rStyle w:val="FootnoteReference"/>
          <w:w w:val="105"/>
          <w:sz w:val="21"/>
          <w:szCs w:val="21"/>
        </w:rPr>
        <w:footnoteReference w:id="2"/>
      </w:r>
      <w:r w:rsidR="00CD41CB">
        <w:rPr>
          <w:w w:val="105"/>
          <w:sz w:val="21"/>
          <w:szCs w:val="21"/>
        </w:rPr>
        <w:t xml:space="preserve"> </w:t>
      </w:r>
      <w:r w:rsidRPr="00DE123B">
        <w:rPr>
          <w:w w:val="105"/>
          <w:sz w:val="21"/>
          <w:szCs w:val="21"/>
        </w:rPr>
        <w:t xml:space="preserve">Suppliers made incorrect estimates that the demand would decline with Covid-19 limiting production; material increased demand for home improvement, </w:t>
      </w:r>
      <w:proofErr w:type="gramStart"/>
      <w:r w:rsidRPr="00DE123B">
        <w:rPr>
          <w:w w:val="105"/>
          <w:sz w:val="21"/>
          <w:szCs w:val="21"/>
        </w:rPr>
        <w:t>renovations</w:t>
      </w:r>
      <w:proofErr w:type="gramEnd"/>
      <w:r w:rsidRPr="00DE123B">
        <w:rPr>
          <w:w w:val="105"/>
          <w:sz w:val="21"/>
          <w:szCs w:val="21"/>
        </w:rPr>
        <w:t xml:space="preserve"> and construction due to more time spent at home increasing the demand; import tariffs and government policies; supply and manufacturing material shortages such as copper and crude oi</w:t>
      </w:r>
      <w:r w:rsidR="007869C6" w:rsidRPr="00DE123B">
        <w:rPr>
          <w:w w:val="105"/>
          <w:sz w:val="21"/>
          <w:szCs w:val="21"/>
        </w:rPr>
        <w:t>l</w:t>
      </w:r>
      <w:r w:rsidR="00CD41CB">
        <w:rPr>
          <w:rStyle w:val="FootnoteReference"/>
          <w:w w:val="105"/>
          <w:sz w:val="21"/>
          <w:szCs w:val="21"/>
        </w:rPr>
        <w:footnoteReference w:id="3"/>
      </w:r>
      <w:r w:rsidRPr="00DE123B">
        <w:rPr>
          <w:w w:val="105"/>
          <w:sz w:val="21"/>
          <w:szCs w:val="21"/>
        </w:rPr>
        <w:t>; and significant increases in labor costs. The total construction increase is $652,724.</w:t>
      </w:r>
      <w:r w:rsidR="00DE123B" w:rsidRPr="00DE123B">
        <w:rPr>
          <w:w w:val="105"/>
          <w:sz w:val="21"/>
          <w:szCs w:val="21"/>
        </w:rPr>
        <w:t xml:space="preserve"> </w:t>
      </w:r>
    </w:p>
    <w:p w14:paraId="6CFD082A" w14:textId="422F3077" w:rsidR="00810B21" w:rsidRDefault="00810B21" w:rsidP="00DE123B">
      <w:pPr>
        <w:ind w:left="827" w:right="745"/>
        <w:rPr>
          <w:w w:val="105"/>
          <w:sz w:val="21"/>
          <w:szCs w:val="21"/>
        </w:rPr>
      </w:pPr>
    </w:p>
    <w:p w14:paraId="27630CCA" w14:textId="546BF4AA" w:rsidR="00810B21" w:rsidRDefault="00810B21" w:rsidP="00DE123B">
      <w:pPr>
        <w:ind w:left="827" w:right="745"/>
        <w:rPr>
          <w:w w:val="105"/>
          <w:sz w:val="21"/>
          <w:szCs w:val="21"/>
          <w:u w:val="single"/>
        </w:rPr>
      </w:pPr>
      <w:r>
        <w:rPr>
          <w:w w:val="105"/>
          <w:sz w:val="21"/>
          <w:szCs w:val="21"/>
          <w:u w:val="single"/>
        </w:rPr>
        <w:t>Comparison of Approved and Requested Expenditures</w:t>
      </w:r>
    </w:p>
    <w:p w14:paraId="4C960083" w14:textId="319E8ADE" w:rsidR="00810B21" w:rsidRDefault="00810B21" w:rsidP="00DE123B">
      <w:pPr>
        <w:ind w:left="827" w:right="745"/>
        <w:rPr>
          <w:w w:val="105"/>
          <w:sz w:val="21"/>
          <w:szCs w:val="21"/>
          <w:u w:val="single"/>
        </w:rPr>
      </w:pPr>
    </w:p>
    <w:tbl>
      <w:tblPr>
        <w:tblStyle w:val="TableGrid"/>
        <w:tblW w:w="0" w:type="auto"/>
        <w:tblInd w:w="827" w:type="dxa"/>
        <w:tblLook w:val="04A0" w:firstRow="1" w:lastRow="0" w:firstColumn="1" w:lastColumn="0" w:noHBand="0" w:noVBand="1"/>
      </w:tblPr>
      <w:tblGrid>
        <w:gridCol w:w="3331"/>
        <w:gridCol w:w="2070"/>
        <w:gridCol w:w="1980"/>
        <w:gridCol w:w="2052"/>
      </w:tblGrid>
      <w:tr w:rsidR="005957AD" w14:paraId="0D9A45AD" w14:textId="77777777" w:rsidTr="003C7663">
        <w:trPr>
          <w:trHeight w:val="454"/>
        </w:trPr>
        <w:tc>
          <w:tcPr>
            <w:tcW w:w="3331" w:type="dxa"/>
          </w:tcPr>
          <w:p w14:paraId="6CEA5838" w14:textId="0CF01137" w:rsidR="00810B21" w:rsidRPr="00810B21" w:rsidRDefault="00810B21" w:rsidP="005734B4">
            <w:pPr>
              <w:ind w:right="46"/>
              <w:rPr>
                <w:w w:val="105"/>
                <w:sz w:val="21"/>
                <w:szCs w:val="21"/>
              </w:rPr>
            </w:pPr>
            <w:r>
              <w:rPr>
                <w:w w:val="105"/>
                <w:sz w:val="21"/>
                <w:szCs w:val="21"/>
              </w:rPr>
              <w:t>Category of Expense</w:t>
            </w:r>
          </w:p>
        </w:tc>
        <w:tc>
          <w:tcPr>
            <w:tcW w:w="2070" w:type="dxa"/>
          </w:tcPr>
          <w:p w14:paraId="75475979" w14:textId="1ADD704A" w:rsidR="00810B21" w:rsidRPr="00810B21" w:rsidRDefault="005957AD" w:rsidP="005957AD">
            <w:pPr>
              <w:ind w:right="17"/>
              <w:rPr>
                <w:w w:val="105"/>
                <w:sz w:val="21"/>
                <w:szCs w:val="21"/>
              </w:rPr>
            </w:pPr>
            <w:r>
              <w:rPr>
                <w:w w:val="105"/>
                <w:sz w:val="21"/>
                <w:szCs w:val="21"/>
              </w:rPr>
              <w:t>Approved (January 2021 dollars)</w:t>
            </w:r>
          </w:p>
        </w:tc>
        <w:tc>
          <w:tcPr>
            <w:tcW w:w="1980" w:type="dxa"/>
          </w:tcPr>
          <w:p w14:paraId="4D405DFC" w14:textId="6F67ECAC" w:rsidR="00810B21" w:rsidRPr="00810B21" w:rsidRDefault="005957AD" w:rsidP="00CD41CB">
            <w:pPr>
              <w:ind w:right="23"/>
              <w:rPr>
                <w:w w:val="105"/>
                <w:sz w:val="21"/>
                <w:szCs w:val="21"/>
              </w:rPr>
            </w:pPr>
            <w:r>
              <w:rPr>
                <w:w w:val="105"/>
                <w:sz w:val="21"/>
                <w:szCs w:val="21"/>
              </w:rPr>
              <w:t>Renovation Increase</w:t>
            </w:r>
          </w:p>
        </w:tc>
        <w:tc>
          <w:tcPr>
            <w:tcW w:w="2052" w:type="dxa"/>
          </w:tcPr>
          <w:p w14:paraId="39625D18" w14:textId="5E527C05" w:rsidR="00810B21" w:rsidRPr="00810B21" w:rsidRDefault="005957AD" w:rsidP="00CD41CB">
            <w:pPr>
              <w:rPr>
                <w:w w:val="105"/>
                <w:sz w:val="21"/>
                <w:szCs w:val="21"/>
              </w:rPr>
            </w:pPr>
            <w:r>
              <w:rPr>
                <w:w w:val="105"/>
                <w:sz w:val="21"/>
                <w:szCs w:val="21"/>
              </w:rPr>
              <w:t>New Proposed MCE</w:t>
            </w:r>
          </w:p>
        </w:tc>
      </w:tr>
      <w:tr w:rsidR="005957AD" w14:paraId="310164C3" w14:textId="77777777" w:rsidTr="003C7663">
        <w:trPr>
          <w:trHeight w:val="227"/>
        </w:trPr>
        <w:tc>
          <w:tcPr>
            <w:tcW w:w="3331" w:type="dxa"/>
            <w:shd w:val="clear" w:color="auto" w:fill="D9D9D9" w:themeFill="background1" w:themeFillShade="D9"/>
          </w:tcPr>
          <w:p w14:paraId="726FBD29" w14:textId="4FD107F4" w:rsidR="00810B21" w:rsidRPr="00810B21" w:rsidRDefault="00E738C8" w:rsidP="005734B4">
            <w:pPr>
              <w:ind w:right="46"/>
              <w:rPr>
                <w:w w:val="105"/>
                <w:sz w:val="21"/>
                <w:szCs w:val="21"/>
              </w:rPr>
            </w:pPr>
            <w:r>
              <w:rPr>
                <w:w w:val="105"/>
                <w:sz w:val="21"/>
                <w:szCs w:val="21"/>
              </w:rPr>
              <w:t>Land Costs</w:t>
            </w:r>
          </w:p>
        </w:tc>
        <w:tc>
          <w:tcPr>
            <w:tcW w:w="2070" w:type="dxa"/>
            <w:shd w:val="clear" w:color="auto" w:fill="D9D9D9" w:themeFill="background1" w:themeFillShade="D9"/>
            <w:vAlign w:val="center"/>
          </w:tcPr>
          <w:p w14:paraId="43B8BA64" w14:textId="77777777" w:rsidR="00810B21" w:rsidRPr="00810B21" w:rsidRDefault="00810B21" w:rsidP="00922F58">
            <w:pPr>
              <w:ind w:right="745"/>
              <w:rPr>
                <w:w w:val="105"/>
                <w:sz w:val="21"/>
                <w:szCs w:val="21"/>
              </w:rPr>
            </w:pPr>
          </w:p>
        </w:tc>
        <w:tc>
          <w:tcPr>
            <w:tcW w:w="1980" w:type="dxa"/>
            <w:shd w:val="clear" w:color="auto" w:fill="D9D9D9" w:themeFill="background1" w:themeFillShade="D9"/>
            <w:vAlign w:val="center"/>
          </w:tcPr>
          <w:p w14:paraId="20D368C5" w14:textId="77777777" w:rsidR="00810B21" w:rsidRPr="00810B21" w:rsidRDefault="00810B21" w:rsidP="00922F58">
            <w:pPr>
              <w:ind w:right="745"/>
              <w:rPr>
                <w:w w:val="105"/>
                <w:sz w:val="21"/>
                <w:szCs w:val="21"/>
              </w:rPr>
            </w:pPr>
          </w:p>
        </w:tc>
        <w:tc>
          <w:tcPr>
            <w:tcW w:w="2052" w:type="dxa"/>
            <w:shd w:val="clear" w:color="auto" w:fill="D9D9D9" w:themeFill="background1" w:themeFillShade="D9"/>
            <w:vAlign w:val="center"/>
          </w:tcPr>
          <w:p w14:paraId="69670A42" w14:textId="77777777" w:rsidR="00810B21" w:rsidRPr="00810B21" w:rsidRDefault="00810B21" w:rsidP="00922F58">
            <w:pPr>
              <w:ind w:right="745"/>
              <w:rPr>
                <w:w w:val="105"/>
                <w:sz w:val="21"/>
                <w:szCs w:val="21"/>
              </w:rPr>
            </w:pPr>
          </w:p>
        </w:tc>
      </w:tr>
      <w:tr w:rsidR="002466E3" w14:paraId="196A6565" w14:textId="77777777" w:rsidTr="003C7663">
        <w:trPr>
          <w:trHeight w:val="227"/>
        </w:trPr>
        <w:tc>
          <w:tcPr>
            <w:tcW w:w="3331" w:type="dxa"/>
          </w:tcPr>
          <w:p w14:paraId="1D835E11" w14:textId="0DEFD623" w:rsidR="002466E3" w:rsidRPr="002466E3" w:rsidRDefault="002466E3" w:rsidP="005734B4">
            <w:pPr>
              <w:ind w:right="46"/>
            </w:pPr>
            <w:r w:rsidRPr="002466E3">
              <w:t>Land Acquisition</w:t>
            </w:r>
          </w:p>
        </w:tc>
        <w:tc>
          <w:tcPr>
            <w:tcW w:w="2070" w:type="dxa"/>
            <w:vAlign w:val="center"/>
          </w:tcPr>
          <w:p w14:paraId="53BC61C1" w14:textId="4A6403E7" w:rsidR="002466E3" w:rsidRPr="00810B21" w:rsidRDefault="002466E3" w:rsidP="00922F58">
            <w:pPr>
              <w:ind w:right="745"/>
              <w:rPr>
                <w:w w:val="105"/>
                <w:sz w:val="21"/>
                <w:szCs w:val="21"/>
              </w:rPr>
            </w:pPr>
            <w:r w:rsidRPr="003A4804">
              <w:rPr>
                <w:w w:val="105"/>
                <w:sz w:val="21"/>
                <w:szCs w:val="21"/>
              </w:rPr>
              <w:t>$0</w:t>
            </w:r>
          </w:p>
        </w:tc>
        <w:tc>
          <w:tcPr>
            <w:tcW w:w="1980" w:type="dxa"/>
            <w:vAlign w:val="center"/>
          </w:tcPr>
          <w:p w14:paraId="7CFF1010" w14:textId="4797F83B" w:rsidR="002466E3" w:rsidRPr="00810B21" w:rsidRDefault="002466E3" w:rsidP="00922F58">
            <w:pPr>
              <w:ind w:right="745"/>
              <w:rPr>
                <w:w w:val="105"/>
                <w:sz w:val="21"/>
                <w:szCs w:val="21"/>
              </w:rPr>
            </w:pPr>
            <w:r w:rsidRPr="003A4804">
              <w:rPr>
                <w:w w:val="105"/>
                <w:sz w:val="21"/>
                <w:szCs w:val="21"/>
              </w:rPr>
              <w:t>$0</w:t>
            </w:r>
          </w:p>
        </w:tc>
        <w:tc>
          <w:tcPr>
            <w:tcW w:w="2052" w:type="dxa"/>
            <w:vAlign w:val="center"/>
          </w:tcPr>
          <w:p w14:paraId="601825AE" w14:textId="76E3B4B1" w:rsidR="002466E3" w:rsidRPr="00810B21" w:rsidRDefault="002466E3" w:rsidP="00922F58">
            <w:pPr>
              <w:ind w:right="745"/>
              <w:rPr>
                <w:w w:val="105"/>
                <w:sz w:val="21"/>
                <w:szCs w:val="21"/>
              </w:rPr>
            </w:pPr>
            <w:r w:rsidRPr="003A4804">
              <w:rPr>
                <w:w w:val="105"/>
                <w:sz w:val="21"/>
                <w:szCs w:val="21"/>
              </w:rPr>
              <w:t>$0</w:t>
            </w:r>
          </w:p>
        </w:tc>
      </w:tr>
      <w:tr w:rsidR="002466E3" w14:paraId="72E7EF9C" w14:textId="77777777" w:rsidTr="003C7663">
        <w:trPr>
          <w:trHeight w:val="227"/>
        </w:trPr>
        <w:tc>
          <w:tcPr>
            <w:tcW w:w="3331" w:type="dxa"/>
          </w:tcPr>
          <w:p w14:paraId="21C09DB9" w14:textId="44F6B669" w:rsidR="002466E3" w:rsidRPr="002466E3" w:rsidRDefault="002466E3" w:rsidP="005734B4">
            <w:pPr>
              <w:ind w:right="46"/>
            </w:pPr>
            <w:r w:rsidRPr="002466E3">
              <w:t>Site Survey and Soil Investigation</w:t>
            </w:r>
          </w:p>
        </w:tc>
        <w:tc>
          <w:tcPr>
            <w:tcW w:w="2070" w:type="dxa"/>
            <w:vAlign w:val="center"/>
          </w:tcPr>
          <w:p w14:paraId="756F875D" w14:textId="79F68FCE" w:rsidR="002466E3" w:rsidRPr="00810B21" w:rsidRDefault="002466E3" w:rsidP="00922F58">
            <w:pPr>
              <w:ind w:right="745"/>
              <w:rPr>
                <w:w w:val="105"/>
                <w:sz w:val="21"/>
                <w:szCs w:val="21"/>
              </w:rPr>
            </w:pPr>
            <w:r w:rsidRPr="003A4804">
              <w:rPr>
                <w:w w:val="105"/>
                <w:sz w:val="21"/>
                <w:szCs w:val="21"/>
              </w:rPr>
              <w:t>$0</w:t>
            </w:r>
          </w:p>
        </w:tc>
        <w:tc>
          <w:tcPr>
            <w:tcW w:w="1980" w:type="dxa"/>
            <w:vAlign w:val="center"/>
          </w:tcPr>
          <w:p w14:paraId="52A8EDB9" w14:textId="2C1AC753" w:rsidR="002466E3" w:rsidRPr="00810B21" w:rsidRDefault="002466E3" w:rsidP="00922F58">
            <w:pPr>
              <w:ind w:right="745"/>
              <w:rPr>
                <w:w w:val="105"/>
                <w:sz w:val="21"/>
                <w:szCs w:val="21"/>
              </w:rPr>
            </w:pPr>
            <w:r w:rsidRPr="003A4804">
              <w:rPr>
                <w:w w:val="105"/>
                <w:sz w:val="21"/>
                <w:szCs w:val="21"/>
              </w:rPr>
              <w:t>$0</w:t>
            </w:r>
          </w:p>
        </w:tc>
        <w:tc>
          <w:tcPr>
            <w:tcW w:w="2052" w:type="dxa"/>
            <w:vAlign w:val="center"/>
          </w:tcPr>
          <w:p w14:paraId="35B4C4A0" w14:textId="1897EB41" w:rsidR="002466E3" w:rsidRPr="00810B21" w:rsidRDefault="002466E3" w:rsidP="00922F58">
            <w:pPr>
              <w:ind w:right="745"/>
              <w:rPr>
                <w:w w:val="105"/>
                <w:sz w:val="21"/>
                <w:szCs w:val="21"/>
              </w:rPr>
            </w:pPr>
            <w:r w:rsidRPr="003A4804">
              <w:rPr>
                <w:w w:val="105"/>
                <w:sz w:val="21"/>
                <w:szCs w:val="21"/>
              </w:rPr>
              <w:t>$0</w:t>
            </w:r>
          </w:p>
        </w:tc>
      </w:tr>
      <w:tr w:rsidR="002466E3" w14:paraId="5E601848" w14:textId="77777777" w:rsidTr="003C7663">
        <w:trPr>
          <w:trHeight w:val="210"/>
        </w:trPr>
        <w:tc>
          <w:tcPr>
            <w:tcW w:w="3331" w:type="dxa"/>
          </w:tcPr>
          <w:p w14:paraId="46E02A6F" w14:textId="47C0AEBD" w:rsidR="002466E3" w:rsidRPr="002466E3" w:rsidRDefault="002466E3" w:rsidP="005734B4">
            <w:pPr>
              <w:ind w:right="46"/>
            </w:pPr>
            <w:r w:rsidRPr="002466E3">
              <w:t>Other Non-Depreciable Land Development</w:t>
            </w:r>
          </w:p>
        </w:tc>
        <w:tc>
          <w:tcPr>
            <w:tcW w:w="2070" w:type="dxa"/>
            <w:vAlign w:val="center"/>
          </w:tcPr>
          <w:p w14:paraId="20C8BA6B" w14:textId="02F7B858" w:rsidR="002466E3" w:rsidRPr="00810B21" w:rsidRDefault="002466E3" w:rsidP="00922F58">
            <w:pPr>
              <w:ind w:right="745"/>
              <w:rPr>
                <w:w w:val="105"/>
                <w:sz w:val="21"/>
                <w:szCs w:val="21"/>
              </w:rPr>
            </w:pPr>
            <w:r w:rsidRPr="003A4804">
              <w:rPr>
                <w:w w:val="105"/>
                <w:sz w:val="21"/>
                <w:szCs w:val="21"/>
              </w:rPr>
              <w:t>$0</w:t>
            </w:r>
          </w:p>
        </w:tc>
        <w:tc>
          <w:tcPr>
            <w:tcW w:w="1980" w:type="dxa"/>
            <w:vAlign w:val="center"/>
          </w:tcPr>
          <w:p w14:paraId="4FA46965" w14:textId="1A5D9777" w:rsidR="002466E3" w:rsidRPr="00810B21" w:rsidRDefault="002466E3" w:rsidP="00922F58">
            <w:pPr>
              <w:ind w:right="745"/>
              <w:rPr>
                <w:w w:val="105"/>
                <w:sz w:val="21"/>
                <w:szCs w:val="21"/>
              </w:rPr>
            </w:pPr>
            <w:r w:rsidRPr="003A4804">
              <w:rPr>
                <w:w w:val="105"/>
                <w:sz w:val="21"/>
                <w:szCs w:val="21"/>
              </w:rPr>
              <w:t>$0</w:t>
            </w:r>
          </w:p>
        </w:tc>
        <w:tc>
          <w:tcPr>
            <w:tcW w:w="2052" w:type="dxa"/>
            <w:vAlign w:val="center"/>
          </w:tcPr>
          <w:p w14:paraId="716C2F51" w14:textId="1728E752" w:rsidR="002466E3" w:rsidRPr="00810B21" w:rsidRDefault="002466E3" w:rsidP="00922F58">
            <w:pPr>
              <w:ind w:right="745"/>
              <w:rPr>
                <w:w w:val="105"/>
                <w:sz w:val="21"/>
                <w:szCs w:val="21"/>
              </w:rPr>
            </w:pPr>
            <w:r w:rsidRPr="003A4804">
              <w:rPr>
                <w:w w:val="105"/>
                <w:sz w:val="21"/>
                <w:szCs w:val="21"/>
              </w:rPr>
              <w:t>$0</w:t>
            </w:r>
          </w:p>
        </w:tc>
      </w:tr>
      <w:tr w:rsidR="002466E3" w14:paraId="6A7499AF" w14:textId="77777777" w:rsidTr="003C7663">
        <w:trPr>
          <w:trHeight w:val="227"/>
        </w:trPr>
        <w:tc>
          <w:tcPr>
            <w:tcW w:w="3331" w:type="dxa"/>
          </w:tcPr>
          <w:p w14:paraId="279064B0" w14:textId="45FC6546" w:rsidR="002466E3" w:rsidRPr="002466E3" w:rsidRDefault="002466E3" w:rsidP="005734B4">
            <w:pPr>
              <w:ind w:right="46"/>
            </w:pPr>
            <w:r w:rsidRPr="002466E3">
              <w:t>Total Land Costs</w:t>
            </w:r>
          </w:p>
        </w:tc>
        <w:tc>
          <w:tcPr>
            <w:tcW w:w="2070" w:type="dxa"/>
            <w:vAlign w:val="center"/>
          </w:tcPr>
          <w:p w14:paraId="6973884E" w14:textId="7467A7A9" w:rsidR="002466E3" w:rsidRPr="00810B21" w:rsidRDefault="002466E3" w:rsidP="00922F58">
            <w:pPr>
              <w:ind w:right="745"/>
              <w:rPr>
                <w:w w:val="105"/>
                <w:sz w:val="21"/>
                <w:szCs w:val="21"/>
              </w:rPr>
            </w:pPr>
            <w:r w:rsidRPr="003A4804">
              <w:rPr>
                <w:w w:val="105"/>
                <w:sz w:val="21"/>
                <w:szCs w:val="21"/>
              </w:rPr>
              <w:t>$0</w:t>
            </w:r>
          </w:p>
        </w:tc>
        <w:tc>
          <w:tcPr>
            <w:tcW w:w="1980" w:type="dxa"/>
            <w:vAlign w:val="center"/>
          </w:tcPr>
          <w:p w14:paraId="10410669" w14:textId="138881AE" w:rsidR="002466E3" w:rsidRPr="00810B21" w:rsidRDefault="002466E3" w:rsidP="00922F58">
            <w:pPr>
              <w:ind w:right="745"/>
              <w:rPr>
                <w:w w:val="105"/>
                <w:sz w:val="21"/>
                <w:szCs w:val="21"/>
              </w:rPr>
            </w:pPr>
            <w:r w:rsidRPr="003A4804">
              <w:rPr>
                <w:w w:val="105"/>
                <w:sz w:val="21"/>
                <w:szCs w:val="21"/>
              </w:rPr>
              <w:t>$0</w:t>
            </w:r>
          </w:p>
        </w:tc>
        <w:tc>
          <w:tcPr>
            <w:tcW w:w="2052" w:type="dxa"/>
            <w:vAlign w:val="center"/>
          </w:tcPr>
          <w:p w14:paraId="299F971A" w14:textId="173EEBF0" w:rsidR="002466E3" w:rsidRPr="00810B21" w:rsidRDefault="002466E3" w:rsidP="00922F58">
            <w:pPr>
              <w:ind w:right="745"/>
              <w:rPr>
                <w:w w:val="105"/>
                <w:sz w:val="21"/>
                <w:szCs w:val="21"/>
              </w:rPr>
            </w:pPr>
            <w:r w:rsidRPr="003A4804">
              <w:rPr>
                <w:w w:val="105"/>
                <w:sz w:val="21"/>
                <w:szCs w:val="21"/>
              </w:rPr>
              <w:t>$0</w:t>
            </w:r>
          </w:p>
        </w:tc>
      </w:tr>
      <w:tr w:rsidR="005734B4" w14:paraId="30084F69" w14:textId="77777777" w:rsidTr="003C7663">
        <w:trPr>
          <w:trHeight w:val="227"/>
        </w:trPr>
        <w:tc>
          <w:tcPr>
            <w:tcW w:w="3331" w:type="dxa"/>
            <w:shd w:val="clear" w:color="auto" w:fill="D9D9D9" w:themeFill="background1" w:themeFillShade="D9"/>
          </w:tcPr>
          <w:p w14:paraId="1638B53B" w14:textId="3F60A01B" w:rsidR="005734B4" w:rsidRPr="00810B21" w:rsidRDefault="005734B4" w:rsidP="005734B4">
            <w:pPr>
              <w:ind w:right="46"/>
              <w:rPr>
                <w:w w:val="105"/>
                <w:sz w:val="21"/>
                <w:szCs w:val="21"/>
              </w:rPr>
            </w:pPr>
            <w:r>
              <w:rPr>
                <w:w w:val="105"/>
                <w:sz w:val="21"/>
                <w:szCs w:val="21"/>
              </w:rPr>
              <w:t>Construction Contract (including bonding cost)</w:t>
            </w:r>
          </w:p>
        </w:tc>
        <w:tc>
          <w:tcPr>
            <w:tcW w:w="2070" w:type="dxa"/>
            <w:shd w:val="clear" w:color="auto" w:fill="D9D9D9" w:themeFill="background1" w:themeFillShade="D9"/>
            <w:vAlign w:val="center"/>
          </w:tcPr>
          <w:p w14:paraId="188D4611" w14:textId="77777777" w:rsidR="005734B4" w:rsidRPr="00810B21" w:rsidRDefault="005734B4" w:rsidP="00922F58">
            <w:pPr>
              <w:ind w:right="745"/>
              <w:rPr>
                <w:w w:val="105"/>
                <w:sz w:val="21"/>
                <w:szCs w:val="21"/>
              </w:rPr>
            </w:pPr>
          </w:p>
        </w:tc>
        <w:tc>
          <w:tcPr>
            <w:tcW w:w="1980" w:type="dxa"/>
            <w:shd w:val="clear" w:color="auto" w:fill="D9D9D9" w:themeFill="background1" w:themeFillShade="D9"/>
            <w:vAlign w:val="center"/>
          </w:tcPr>
          <w:p w14:paraId="7EC5C566" w14:textId="77777777" w:rsidR="005734B4" w:rsidRPr="00810B21" w:rsidRDefault="005734B4" w:rsidP="00922F58">
            <w:pPr>
              <w:ind w:right="745"/>
              <w:rPr>
                <w:w w:val="105"/>
                <w:sz w:val="21"/>
                <w:szCs w:val="21"/>
              </w:rPr>
            </w:pPr>
          </w:p>
        </w:tc>
        <w:tc>
          <w:tcPr>
            <w:tcW w:w="2052" w:type="dxa"/>
            <w:shd w:val="clear" w:color="auto" w:fill="D9D9D9" w:themeFill="background1" w:themeFillShade="D9"/>
            <w:vAlign w:val="center"/>
          </w:tcPr>
          <w:p w14:paraId="0432E859" w14:textId="77777777" w:rsidR="005734B4" w:rsidRPr="00810B21" w:rsidRDefault="005734B4" w:rsidP="00922F58">
            <w:pPr>
              <w:ind w:right="745"/>
              <w:rPr>
                <w:w w:val="105"/>
                <w:sz w:val="21"/>
                <w:szCs w:val="21"/>
              </w:rPr>
            </w:pPr>
          </w:p>
        </w:tc>
      </w:tr>
      <w:tr w:rsidR="009F50B2" w14:paraId="3CA621B3" w14:textId="77777777" w:rsidTr="003C7663">
        <w:trPr>
          <w:trHeight w:val="227"/>
        </w:trPr>
        <w:tc>
          <w:tcPr>
            <w:tcW w:w="3331" w:type="dxa"/>
          </w:tcPr>
          <w:p w14:paraId="2E094C63" w14:textId="77777777" w:rsidR="009F50B2" w:rsidRPr="009F50B2" w:rsidRDefault="009F50B2" w:rsidP="009F50B2">
            <w:r w:rsidRPr="009F50B2">
              <w:t>Depreciable Land Development</w:t>
            </w:r>
          </w:p>
          <w:p w14:paraId="716F0405" w14:textId="35C431E1" w:rsidR="009F50B2" w:rsidRPr="009F50B2" w:rsidRDefault="009F50B2" w:rsidP="009F50B2">
            <w:r w:rsidRPr="009F50B2">
              <w:t>Cost</w:t>
            </w:r>
          </w:p>
        </w:tc>
        <w:tc>
          <w:tcPr>
            <w:tcW w:w="2070" w:type="dxa"/>
            <w:vAlign w:val="center"/>
          </w:tcPr>
          <w:p w14:paraId="4AFA167F" w14:textId="531F41AC" w:rsidR="009F50B2" w:rsidRPr="00810B21" w:rsidRDefault="009F50B2" w:rsidP="00922F58">
            <w:pPr>
              <w:ind w:right="745"/>
              <w:rPr>
                <w:w w:val="105"/>
                <w:sz w:val="21"/>
                <w:szCs w:val="21"/>
              </w:rPr>
            </w:pPr>
            <w:r w:rsidRPr="001E1937">
              <w:rPr>
                <w:w w:val="105"/>
                <w:sz w:val="21"/>
                <w:szCs w:val="21"/>
              </w:rPr>
              <w:t>$0</w:t>
            </w:r>
          </w:p>
        </w:tc>
        <w:tc>
          <w:tcPr>
            <w:tcW w:w="1980" w:type="dxa"/>
            <w:vAlign w:val="center"/>
          </w:tcPr>
          <w:p w14:paraId="773DE884" w14:textId="07ECFBE6" w:rsidR="009F50B2" w:rsidRPr="00810B21" w:rsidRDefault="009F50B2" w:rsidP="00922F58">
            <w:pPr>
              <w:ind w:right="745"/>
              <w:rPr>
                <w:w w:val="105"/>
                <w:sz w:val="21"/>
                <w:szCs w:val="21"/>
              </w:rPr>
            </w:pPr>
            <w:r w:rsidRPr="001E1937">
              <w:rPr>
                <w:w w:val="105"/>
                <w:sz w:val="21"/>
                <w:szCs w:val="21"/>
              </w:rPr>
              <w:t>$0</w:t>
            </w:r>
          </w:p>
        </w:tc>
        <w:tc>
          <w:tcPr>
            <w:tcW w:w="2052" w:type="dxa"/>
            <w:vAlign w:val="center"/>
          </w:tcPr>
          <w:p w14:paraId="1D0DFCC0" w14:textId="6FEFAB32" w:rsidR="009F50B2" w:rsidRPr="00810B21" w:rsidRDefault="009F50B2" w:rsidP="00922F58">
            <w:pPr>
              <w:ind w:right="745"/>
              <w:rPr>
                <w:w w:val="105"/>
                <w:sz w:val="21"/>
                <w:szCs w:val="21"/>
              </w:rPr>
            </w:pPr>
            <w:r w:rsidRPr="001E1937">
              <w:rPr>
                <w:w w:val="105"/>
                <w:sz w:val="21"/>
                <w:szCs w:val="21"/>
              </w:rPr>
              <w:t>$0</w:t>
            </w:r>
          </w:p>
        </w:tc>
      </w:tr>
      <w:tr w:rsidR="009F50B2" w14:paraId="2E23770F" w14:textId="77777777" w:rsidTr="003C7663">
        <w:trPr>
          <w:trHeight w:val="227"/>
        </w:trPr>
        <w:tc>
          <w:tcPr>
            <w:tcW w:w="3331" w:type="dxa"/>
          </w:tcPr>
          <w:p w14:paraId="2E1CB426" w14:textId="42BA5C41" w:rsidR="009F50B2" w:rsidRPr="009F50B2" w:rsidRDefault="009F50B2" w:rsidP="009F50B2">
            <w:r w:rsidRPr="009F50B2">
              <w:t>Building Acquisition Cost</w:t>
            </w:r>
          </w:p>
        </w:tc>
        <w:tc>
          <w:tcPr>
            <w:tcW w:w="2070" w:type="dxa"/>
            <w:vAlign w:val="center"/>
          </w:tcPr>
          <w:p w14:paraId="1E37E5C1" w14:textId="7127336E" w:rsidR="009F50B2" w:rsidRPr="00810B21" w:rsidRDefault="009F50B2" w:rsidP="00922F58">
            <w:pPr>
              <w:ind w:right="745"/>
              <w:rPr>
                <w:w w:val="105"/>
                <w:sz w:val="21"/>
                <w:szCs w:val="21"/>
              </w:rPr>
            </w:pPr>
            <w:r w:rsidRPr="001E1937">
              <w:rPr>
                <w:w w:val="105"/>
                <w:sz w:val="21"/>
                <w:szCs w:val="21"/>
              </w:rPr>
              <w:t>$0</w:t>
            </w:r>
          </w:p>
        </w:tc>
        <w:tc>
          <w:tcPr>
            <w:tcW w:w="1980" w:type="dxa"/>
            <w:vAlign w:val="center"/>
          </w:tcPr>
          <w:p w14:paraId="6175EFAF" w14:textId="298860A0" w:rsidR="009F50B2" w:rsidRPr="00810B21" w:rsidRDefault="009F50B2" w:rsidP="00922F58">
            <w:pPr>
              <w:ind w:right="745"/>
              <w:rPr>
                <w:w w:val="105"/>
                <w:sz w:val="21"/>
                <w:szCs w:val="21"/>
              </w:rPr>
            </w:pPr>
            <w:r w:rsidRPr="001E1937">
              <w:rPr>
                <w:w w:val="105"/>
                <w:sz w:val="21"/>
                <w:szCs w:val="21"/>
              </w:rPr>
              <w:t>$0</w:t>
            </w:r>
          </w:p>
        </w:tc>
        <w:tc>
          <w:tcPr>
            <w:tcW w:w="2052" w:type="dxa"/>
            <w:vAlign w:val="center"/>
          </w:tcPr>
          <w:p w14:paraId="0478ECDC" w14:textId="58878B88" w:rsidR="009F50B2" w:rsidRPr="00810B21" w:rsidRDefault="009F50B2" w:rsidP="00922F58">
            <w:pPr>
              <w:ind w:right="745"/>
              <w:rPr>
                <w:w w:val="105"/>
                <w:sz w:val="21"/>
                <w:szCs w:val="21"/>
              </w:rPr>
            </w:pPr>
            <w:r w:rsidRPr="001E1937">
              <w:rPr>
                <w:w w:val="105"/>
                <w:sz w:val="21"/>
                <w:szCs w:val="21"/>
              </w:rPr>
              <w:t>$0</w:t>
            </w:r>
          </w:p>
        </w:tc>
      </w:tr>
      <w:tr w:rsidR="00B71905" w14:paraId="352330B7" w14:textId="77777777" w:rsidTr="003C7663">
        <w:trPr>
          <w:trHeight w:val="227"/>
        </w:trPr>
        <w:tc>
          <w:tcPr>
            <w:tcW w:w="3331" w:type="dxa"/>
          </w:tcPr>
          <w:p w14:paraId="5CE235E1" w14:textId="495E49DA" w:rsidR="00B71905" w:rsidRPr="009F50B2" w:rsidRDefault="00B71905" w:rsidP="00B71905">
            <w:r w:rsidRPr="009F50B2">
              <w:t>Construction Contract (including bonding cost)</w:t>
            </w:r>
          </w:p>
        </w:tc>
        <w:tc>
          <w:tcPr>
            <w:tcW w:w="2070" w:type="dxa"/>
            <w:vAlign w:val="center"/>
          </w:tcPr>
          <w:p w14:paraId="6D39E17C" w14:textId="23ED8AB8" w:rsidR="00B71905" w:rsidRPr="00B20EB8" w:rsidRDefault="00B71905" w:rsidP="00B20EB8">
            <w:pPr>
              <w:ind w:right="745"/>
              <w:rPr>
                <w:rFonts w:ascii="Arial"/>
                <w:spacing w:val="-2"/>
                <w:sz w:val="20"/>
              </w:rPr>
            </w:pPr>
            <w:r>
              <w:rPr>
                <w:rFonts w:ascii="Arial"/>
                <w:spacing w:val="-2"/>
                <w:sz w:val="20"/>
              </w:rPr>
              <w:t>$1,178,250</w:t>
            </w:r>
          </w:p>
        </w:tc>
        <w:tc>
          <w:tcPr>
            <w:tcW w:w="1980" w:type="dxa"/>
            <w:vAlign w:val="center"/>
          </w:tcPr>
          <w:p w14:paraId="608C4FB3" w14:textId="4B859EC1" w:rsidR="00B71905" w:rsidRPr="00B20EB8" w:rsidRDefault="00B71905" w:rsidP="00B20EB8">
            <w:pPr>
              <w:ind w:right="745"/>
              <w:rPr>
                <w:rFonts w:ascii="Arial"/>
                <w:spacing w:val="-2"/>
                <w:sz w:val="20"/>
              </w:rPr>
            </w:pPr>
            <w:r>
              <w:rPr>
                <w:rFonts w:ascii="Arial"/>
                <w:spacing w:val="-2"/>
                <w:sz w:val="20"/>
              </w:rPr>
              <w:t>$652,724</w:t>
            </w:r>
          </w:p>
        </w:tc>
        <w:tc>
          <w:tcPr>
            <w:tcW w:w="2052" w:type="dxa"/>
            <w:vAlign w:val="center"/>
          </w:tcPr>
          <w:p w14:paraId="01DA7766" w14:textId="50FA4157" w:rsidR="00B71905" w:rsidRPr="00B20EB8" w:rsidRDefault="00B71905" w:rsidP="00B20EB8">
            <w:pPr>
              <w:ind w:right="745"/>
              <w:rPr>
                <w:rFonts w:ascii="Arial"/>
                <w:spacing w:val="-2"/>
                <w:sz w:val="20"/>
              </w:rPr>
            </w:pPr>
            <w:r>
              <w:rPr>
                <w:rFonts w:ascii="Arial"/>
                <w:spacing w:val="-2"/>
                <w:sz w:val="20"/>
              </w:rPr>
              <w:t>$$1,830,974</w:t>
            </w:r>
          </w:p>
        </w:tc>
      </w:tr>
      <w:tr w:rsidR="00B407ED" w14:paraId="1ECBE237" w14:textId="77777777" w:rsidTr="003C7663">
        <w:trPr>
          <w:trHeight w:val="227"/>
        </w:trPr>
        <w:tc>
          <w:tcPr>
            <w:tcW w:w="3331" w:type="dxa"/>
          </w:tcPr>
          <w:p w14:paraId="6A58A3AC" w14:textId="2E49AE05" w:rsidR="00B407ED" w:rsidRPr="009F50B2" w:rsidRDefault="00B407ED" w:rsidP="00B407ED">
            <w:r w:rsidRPr="009F50B2">
              <w:t>Fixed Equipment not in contract</w:t>
            </w:r>
          </w:p>
        </w:tc>
        <w:tc>
          <w:tcPr>
            <w:tcW w:w="2070" w:type="dxa"/>
            <w:vAlign w:val="center"/>
          </w:tcPr>
          <w:p w14:paraId="658BECC0" w14:textId="1CCDD9B6" w:rsidR="00B407ED" w:rsidRPr="00B20EB8" w:rsidRDefault="00B407ED" w:rsidP="00B20EB8">
            <w:pPr>
              <w:ind w:right="745"/>
              <w:rPr>
                <w:rFonts w:ascii="Arial"/>
                <w:spacing w:val="-2"/>
                <w:sz w:val="20"/>
              </w:rPr>
            </w:pPr>
            <w:r>
              <w:rPr>
                <w:rFonts w:ascii="Arial"/>
                <w:spacing w:val="-2"/>
                <w:sz w:val="20"/>
              </w:rPr>
              <w:t>$125,000</w:t>
            </w:r>
          </w:p>
        </w:tc>
        <w:tc>
          <w:tcPr>
            <w:tcW w:w="1980" w:type="dxa"/>
            <w:vAlign w:val="center"/>
          </w:tcPr>
          <w:p w14:paraId="440677D6" w14:textId="38B75584" w:rsidR="00B407ED" w:rsidRPr="00B20EB8" w:rsidRDefault="00B407ED" w:rsidP="00B20EB8">
            <w:pPr>
              <w:ind w:right="745"/>
              <w:rPr>
                <w:rFonts w:ascii="Arial"/>
                <w:spacing w:val="-2"/>
                <w:sz w:val="20"/>
              </w:rPr>
            </w:pPr>
            <w:r>
              <w:rPr>
                <w:rFonts w:ascii="Arial"/>
                <w:spacing w:val="-2"/>
                <w:sz w:val="20"/>
              </w:rPr>
              <w:t>$613,400</w:t>
            </w:r>
          </w:p>
        </w:tc>
        <w:tc>
          <w:tcPr>
            <w:tcW w:w="2052" w:type="dxa"/>
            <w:vAlign w:val="center"/>
          </w:tcPr>
          <w:p w14:paraId="473030C5" w14:textId="6C588304" w:rsidR="00B407ED" w:rsidRPr="00B20EB8" w:rsidRDefault="00B407ED" w:rsidP="00B20EB8">
            <w:pPr>
              <w:ind w:right="745"/>
              <w:rPr>
                <w:rFonts w:ascii="Arial"/>
                <w:spacing w:val="-2"/>
                <w:sz w:val="20"/>
              </w:rPr>
            </w:pPr>
            <w:r>
              <w:rPr>
                <w:rFonts w:ascii="Arial"/>
                <w:spacing w:val="-2"/>
                <w:sz w:val="20"/>
              </w:rPr>
              <w:t>$738,400</w:t>
            </w:r>
          </w:p>
        </w:tc>
      </w:tr>
      <w:tr w:rsidR="00B407ED" w14:paraId="02C1D5CA" w14:textId="77777777" w:rsidTr="003C7663">
        <w:trPr>
          <w:trHeight w:val="227"/>
        </w:trPr>
        <w:tc>
          <w:tcPr>
            <w:tcW w:w="3331" w:type="dxa"/>
          </w:tcPr>
          <w:p w14:paraId="694EF1CD" w14:textId="5BA5BA60" w:rsidR="00B407ED" w:rsidRPr="009F50B2" w:rsidRDefault="00B407ED" w:rsidP="00B407ED">
            <w:r w:rsidRPr="009F50B2">
              <w:t xml:space="preserve">Architectural Cost (including fee, printing, supervision </w:t>
            </w:r>
            <w:proofErr w:type="spellStart"/>
            <w:r w:rsidRPr="009F50B2">
              <w:t>etc</w:t>
            </w:r>
            <w:proofErr w:type="spellEnd"/>
            <w:r w:rsidRPr="009F50B2">
              <w:t>) and Engineering Cost</w:t>
            </w:r>
          </w:p>
        </w:tc>
        <w:tc>
          <w:tcPr>
            <w:tcW w:w="2070" w:type="dxa"/>
            <w:vAlign w:val="center"/>
          </w:tcPr>
          <w:p w14:paraId="149F302C" w14:textId="07E1F8BF" w:rsidR="00B407ED" w:rsidRPr="00B20EB8" w:rsidRDefault="00B407ED" w:rsidP="00B20EB8">
            <w:pPr>
              <w:ind w:right="745"/>
              <w:rPr>
                <w:rFonts w:ascii="Arial"/>
                <w:spacing w:val="-2"/>
                <w:sz w:val="20"/>
              </w:rPr>
            </w:pPr>
            <w:r>
              <w:rPr>
                <w:rFonts w:ascii="Arial"/>
                <w:spacing w:val="-2"/>
                <w:sz w:val="20"/>
              </w:rPr>
              <w:t>$75,586</w:t>
            </w:r>
          </w:p>
        </w:tc>
        <w:tc>
          <w:tcPr>
            <w:tcW w:w="1980" w:type="dxa"/>
            <w:vAlign w:val="center"/>
          </w:tcPr>
          <w:p w14:paraId="3A07D4A3" w14:textId="650E7D89" w:rsidR="00B407ED" w:rsidRPr="00B20EB8" w:rsidRDefault="00B407ED" w:rsidP="00B20EB8">
            <w:pPr>
              <w:ind w:right="745"/>
              <w:rPr>
                <w:rFonts w:ascii="Arial"/>
                <w:spacing w:val="-2"/>
                <w:sz w:val="20"/>
              </w:rPr>
            </w:pPr>
            <w:r w:rsidRPr="00B20EB8">
              <w:rPr>
                <w:rFonts w:ascii="Arial"/>
                <w:spacing w:val="-2"/>
                <w:sz w:val="20"/>
              </w:rPr>
              <w:t>$92,811</w:t>
            </w:r>
          </w:p>
        </w:tc>
        <w:tc>
          <w:tcPr>
            <w:tcW w:w="2052" w:type="dxa"/>
            <w:vAlign w:val="center"/>
          </w:tcPr>
          <w:p w14:paraId="59754416" w14:textId="5746F3BE" w:rsidR="00B407ED" w:rsidRPr="00B20EB8" w:rsidRDefault="00B407ED" w:rsidP="00B20EB8">
            <w:pPr>
              <w:ind w:right="745"/>
              <w:rPr>
                <w:rFonts w:ascii="Arial"/>
                <w:spacing w:val="-2"/>
                <w:sz w:val="20"/>
              </w:rPr>
            </w:pPr>
            <w:r>
              <w:rPr>
                <w:rFonts w:ascii="Arial"/>
                <w:spacing w:val="-2"/>
                <w:sz w:val="20"/>
              </w:rPr>
              <w:t>$168,397</w:t>
            </w:r>
          </w:p>
        </w:tc>
      </w:tr>
      <w:tr w:rsidR="00B407ED" w14:paraId="5288776D" w14:textId="77777777" w:rsidTr="003C7663">
        <w:trPr>
          <w:trHeight w:val="227"/>
        </w:trPr>
        <w:tc>
          <w:tcPr>
            <w:tcW w:w="3331" w:type="dxa"/>
          </w:tcPr>
          <w:p w14:paraId="636FEAAE" w14:textId="7FEBD66E" w:rsidR="00B407ED" w:rsidRPr="009F50B2" w:rsidRDefault="00B407ED" w:rsidP="00B407ED">
            <w:r w:rsidRPr="009F50B2">
              <w:t>Pre-filing Planning and Development Costs</w:t>
            </w:r>
          </w:p>
        </w:tc>
        <w:tc>
          <w:tcPr>
            <w:tcW w:w="2070" w:type="dxa"/>
            <w:vAlign w:val="center"/>
          </w:tcPr>
          <w:p w14:paraId="578B03F4" w14:textId="6EC4FD1A" w:rsidR="00B407ED" w:rsidRPr="00B20EB8" w:rsidRDefault="00B407ED" w:rsidP="00B20EB8">
            <w:pPr>
              <w:ind w:right="745"/>
              <w:rPr>
                <w:rFonts w:ascii="Arial"/>
                <w:spacing w:val="-2"/>
                <w:sz w:val="20"/>
              </w:rPr>
            </w:pPr>
            <w:r>
              <w:rPr>
                <w:rFonts w:ascii="Arial"/>
                <w:spacing w:val="-2"/>
                <w:sz w:val="20"/>
              </w:rPr>
              <w:t>$44,115</w:t>
            </w:r>
          </w:p>
        </w:tc>
        <w:tc>
          <w:tcPr>
            <w:tcW w:w="1980" w:type="dxa"/>
            <w:vAlign w:val="center"/>
          </w:tcPr>
          <w:p w14:paraId="0B239351" w14:textId="3A7CB400" w:rsidR="00B407ED" w:rsidRPr="00B20EB8" w:rsidRDefault="00B407ED" w:rsidP="00B20EB8">
            <w:pPr>
              <w:ind w:right="745"/>
              <w:rPr>
                <w:rFonts w:ascii="Arial"/>
                <w:spacing w:val="-2"/>
                <w:sz w:val="20"/>
              </w:rPr>
            </w:pPr>
            <w:r w:rsidRPr="00B20EB8">
              <w:rPr>
                <w:rFonts w:ascii="Arial"/>
                <w:spacing w:val="-2"/>
                <w:sz w:val="20"/>
              </w:rPr>
              <w:t>$0</w:t>
            </w:r>
          </w:p>
        </w:tc>
        <w:tc>
          <w:tcPr>
            <w:tcW w:w="2052" w:type="dxa"/>
            <w:vAlign w:val="center"/>
          </w:tcPr>
          <w:p w14:paraId="6ED73E93" w14:textId="1C013F23" w:rsidR="00B407ED" w:rsidRPr="00B20EB8" w:rsidRDefault="00B407ED" w:rsidP="00B20EB8">
            <w:pPr>
              <w:ind w:right="745"/>
              <w:rPr>
                <w:rFonts w:ascii="Arial"/>
                <w:spacing w:val="-2"/>
                <w:sz w:val="20"/>
              </w:rPr>
            </w:pPr>
            <w:r>
              <w:rPr>
                <w:rFonts w:ascii="Arial"/>
                <w:spacing w:val="-2"/>
                <w:sz w:val="20"/>
              </w:rPr>
              <w:t>$44,115</w:t>
            </w:r>
          </w:p>
        </w:tc>
      </w:tr>
      <w:tr w:rsidR="00B407ED" w14:paraId="5A8DCE37" w14:textId="77777777" w:rsidTr="003C7663">
        <w:trPr>
          <w:trHeight w:val="227"/>
        </w:trPr>
        <w:tc>
          <w:tcPr>
            <w:tcW w:w="3331" w:type="dxa"/>
          </w:tcPr>
          <w:p w14:paraId="78825C8F" w14:textId="158E26D6" w:rsidR="00B407ED" w:rsidRPr="009F50B2" w:rsidRDefault="00B407ED" w:rsidP="00B407ED">
            <w:r w:rsidRPr="009F50B2">
              <w:t>Other (specify)</w:t>
            </w:r>
          </w:p>
        </w:tc>
        <w:tc>
          <w:tcPr>
            <w:tcW w:w="2070" w:type="dxa"/>
            <w:vAlign w:val="center"/>
          </w:tcPr>
          <w:p w14:paraId="3C25E192" w14:textId="77777777" w:rsidR="00B407ED" w:rsidRPr="00B20EB8" w:rsidRDefault="00B407ED" w:rsidP="00B20EB8">
            <w:pPr>
              <w:ind w:right="745"/>
              <w:rPr>
                <w:rFonts w:ascii="Arial"/>
                <w:spacing w:val="-2"/>
                <w:sz w:val="20"/>
              </w:rPr>
            </w:pPr>
          </w:p>
        </w:tc>
        <w:tc>
          <w:tcPr>
            <w:tcW w:w="1980" w:type="dxa"/>
            <w:vAlign w:val="center"/>
          </w:tcPr>
          <w:p w14:paraId="144B6F30" w14:textId="77777777" w:rsidR="00B407ED" w:rsidRPr="00B20EB8" w:rsidRDefault="00B407ED" w:rsidP="00B20EB8">
            <w:pPr>
              <w:ind w:right="745"/>
              <w:rPr>
                <w:rFonts w:ascii="Arial"/>
                <w:spacing w:val="-2"/>
                <w:sz w:val="20"/>
              </w:rPr>
            </w:pPr>
          </w:p>
        </w:tc>
        <w:tc>
          <w:tcPr>
            <w:tcW w:w="2052" w:type="dxa"/>
            <w:vAlign w:val="center"/>
          </w:tcPr>
          <w:p w14:paraId="2CF5536A" w14:textId="77777777" w:rsidR="00B407ED" w:rsidRPr="00B20EB8" w:rsidRDefault="00B407ED" w:rsidP="00B20EB8">
            <w:pPr>
              <w:ind w:right="745"/>
              <w:rPr>
                <w:rFonts w:ascii="Arial"/>
                <w:spacing w:val="-2"/>
                <w:sz w:val="20"/>
              </w:rPr>
            </w:pPr>
          </w:p>
        </w:tc>
      </w:tr>
      <w:tr w:rsidR="00B407ED" w14:paraId="3CD6F111" w14:textId="77777777" w:rsidTr="003C7663">
        <w:trPr>
          <w:trHeight w:val="227"/>
        </w:trPr>
        <w:tc>
          <w:tcPr>
            <w:tcW w:w="3331" w:type="dxa"/>
          </w:tcPr>
          <w:p w14:paraId="448516C8" w14:textId="09749060" w:rsidR="00B407ED" w:rsidRPr="009F50B2" w:rsidRDefault="00B407ED" w:rsidP="00B407ED">
            <w:r w:rsidRPr="009F50B2">
              <w:t>Contingency allowance</w:t>
            </w:r>
          </w:p>
        </w:tc>
        <w:tc>
          <w:tcPr>
            <w:tcW w:w="2070" w:type="dxa"/>
            <w:vAlign w:val="center"/>
          </w:tcPr>
          <w:p w14:paraId="40C7E061" w14:textId="162EB8B2" w:rsidR="00B407ED" w:rsidRPr="00B20EB8" w:rsidRDefault="00B407ED" w:rsidP="00B20EB8">
            <w:pPr>
              <w:ind w:right="745"/>
              <w:rPr>
                <w:rFonts w:ascii="Arial"/>
                <w:spacing w:val="-2"/>
                <w:sz w:val="20"/>
              </w:rPr>
            </w:pPr>
            <w:r>
              <w:rPr>
                <w:rFonts w:ascii="Arial"/>
                <w:spacing w:val="-2"/>
                <w:sz w:val="20"/>
              </w:rPr>
              <w:t>$78,195</w:t>
            </w:r>
          </w:p>
        </w:tc>
        <w:tc>
          <w:tcPr>
            <w:tcW w:w="1980" w:type="dxa"/>
            <w:vAlign w:val="center"/>
          </w:tcPr>
          <w:p w14:paraId="4EF7CE64" w14:textId="76DFF52F" w:rsidR="00B407ED" w:rsidRPr="00B20EB8" w:rsidRDefault="00B407ED" w:rsidP="00B20EB8">
            <w:pPr>
              <w:ind w:right="745"/>
              <w:rPr>
                <w:rFonts w:ascii="Arial"/>
                <w:spacing w:val="-2"/>
                <w:sz w:val="20"/>
              </w:rPr>
            </w:pPr>
            <w:r w:rsidRPr="00B20EB8">
              <w:rPr>
                <w:rFonts w:ascii="Arial"/>
                <w:spacing w:val="-2"/>
                <w:sz w:val="20"/>
              </w:rPr>
              <w:t>$0</w:t>
            </w:r>
          </w:p>
        </w:tc>
        <w:tc>
          <w:tcPr>
            <w:tcW w:w="2052" w:type="dxa"/>
            <w:vAlign w:val="center"/>
          </w:tcPr>
          <w:p w14:paraId="13B5B46A" w14:textId="08CDF341" w:rsidR="00B407ED" w:rsidRPr="00B20EB8" w:rsidRDefault="00B407ED" w:rsidP="00B20EB8">
            <w:pPr>
              <w:ind w:right="745"/>
              <w:rPr>
                <w:rFonts w:ascii="Arial"/>
                <w:spacing w:val="-2"/>
                <w:sz w:val="20"/>
              </w:rPr>
            </w:pPr>
            <w:r>
              <w:rPr>
                <w:rFonts w:ascii="Arial"/>
                <w:spacing w:val="-2"/>
                <w:sz w:val="20"/>
              </w:rPr>
              <w:t>$78,195</w:t>
            </w:r>
          </w:p>
        </w:tc>
      </w:tr>
      <w:tr w:rsidR="00B20EB8" w14:paraId="7B923B0D" w14:textId="77777777" w:rsidTr="003C7663">
        <w:trPr>
          <w:trHeight w:val="227"/>
        </w:trPr>
        <w:tc>
          <w:tcPr>
            <w:tcW w:w="3331" w:type="dxa"/>
          </w:tcPr>
          <w:p w14:paraId="4DB8394E" w14:textId="57D361EE" w:rsidR="00B20EB8" w:rsidRPr="009F50B2" w:rsidRDefault="00B20EB8" w:rsidP="00B20EB8">
            <w:r w:rsidRPr="009F50B2">
              <w:t>Net Interest Expensed During Construction</w:t>
            </w:r>
          </w:p>
        </w:tc>
        <w:tc>
          <w:tcPr>
            <w:tcW w:w="2070" w:type="dxa"/>
            <w:vAlign w:val="center"/>
          </w:tcPr>
          <w:p w14:paraId="2F7B495E" w14:textId="6A5FB47B" w:rsidR="00B20EB8" w:rsidRPr="00B20EB8" w:rsidRDefault="00411D2D" w:rsidP="00B20EB8">
            <w:pPr>
              <w:ind w:right="745"/>
              <w:rPr>
                <w:rFonts w:ascii="Arial"/>
                <w:spacing w:val="-2"/>
                <w:sz w:val="20"/>
              </w:rPr>
            </w:pPr>
            <w:r>
              <w:rPr>
                <w:rFonts w:ascii="Arial"/>
                <w:spacing w:val="-2"/>
                <w:sz w:val="20"/>
              </w:rPr>
              <w:t>$24,000</w:t>
            </w:r>
          </w:p>
        </w:tc>
        <w:tc>
          <w:tcPr>
            <w:tcW w:w="1980" w:type="dxa"/>
            <w:vAlign w:val="center"/>
          </w:tcPr>
          <w:p w14:paraId="27BA616F" w14:textId="555A644D" w:rsidR="00B20EB8" w:rsidRPr="00B20EB8" w:rsidRDefault="00B20EB8" w:rsidP="00B20EB8">
            <w:pPr>
              <w:ind w:right="745"/>
              <w:rPr>
                <w:rFonts w:ascii="Arial"/>
                <w:spacing w:val="-2"/>
                <w:sz w:val="20"/>
              </w:rPr>
            </w:pPr>
            <w:r w:rsidRPr="00B20EB8">
              <w:rPr>
                <w:rFonts w:ascii="Arial"/>
                <w:spacing w:val="-2"/>
                <w:sz w:val="20"/>
              </w:rPr>
              <w:t>$0</w:t>
            </w:r>
          </w:p>
        </w:tc>
        <w:tc>
          <w:tcPr>
            <w:tcW w:w="2052" w:type="dxa"/>
            <w:vAlign w:val="center"/>
          </w:tcPr>
          <w:p w14:paraId="3438A156" w14:textId="07C6AEAD" w:rsidR="00B20EB8" w:rsidRPr="00B20EB8" w:rsidRDefault="00B20EB8" w:rsidP="00B20EB8">
            <w:pPr>
              <w:ind w:right="745"/>
              <w:rPr>
                <w:rFonts w:ascii="Arial"/>
                <w:spacing w:val="-2"/>
                <w:sz w:val="20"/>
              </w:rPr>
            </w:pPr>
            <w:r>
              <w:rPr>
                <w:rFonts w:ascii="Arial"/>
                <w:spacing w:val="-2"/>
                <w:sz w:val="20"/>
              </w:rPr>
              <w:t>$24,000</w:t>
            </w:r>
          </w:p>
        </w:tc>
      </w:tr>
      <w:tr w:rsidR="00B20EB8" w14:paraId="2FE13809" w14:textId="77777777" w:rsidTr="003C7663">
        <w:trPr>
          <w:trHeight w:val="227"/>
        </w:trPr>
        <w:tc>
          <w:tcPr>
            <w:tcW w:w="3331" w:type="dxa"/>
            <w:shd w:val="clear" w:color="auto" w:fill="D9D9D9" w:themeFill="background1" w:themeFillShade="D9"/>
          </w:tcPr>
          <w:p w14:paraId="2626DC6F" w14:textId="3F02EDE6" w:rsidR="00B20EB8" w:rsidRPr="00810B21" w:rsidRDefault="008972F0" w:rsidP="00B20EB8">
            <w:pPr>
              <w:ind w:right="46"/>
              <w:rPr>
                <w:w w:val="105"/>
                <w:sz w:val="21"/>
                <w:szCs w:val="21"/>
              </w:rPr>
            </w:pPr>
            <w:r>
              <w:rPr>
                <w:w w:val="105"/>
                <w:sz w:val="21"/>
                <w:szCs w:val="21"/>
              </w:rPr>
              <w:t>Financing Costs</w:t>
            </w:r>
          </w:p>
        </w:tc>
        <w:tc>
          <w:tcPr>
            <w:tcW w:w="2070" w:type="dxa"/>
            <w:shd w:val="clear" w:color="auto" w:fill="D9D9D9" w:themeFill="background1" w:themeFillShade="D9"/>
            <w:vAlign w:val="center"/>
          </w:tcPr>
          <w:p w14:paraId="3BE35DAD" w14:textId="77777777" w:rsidR="00B20EB8" w:rsidRPr="00810B21" w:rsidRDefault="00B20EB8" w:rsidP="00B20EB8">
            <w:pPr>
              <w:ind w:right="745"/>
              <w:rPr>
                <w:w w:val="105"/>
                <w:sz w:val="21"/>
                <w:szCs w:val="21"/>
              </w:rPr>
            </w:pPr>
          </w:p>
        </w:tc>
        <w:tc>
          <w:tcPr>
            <w:tcW w:w="1980" w:type="dxa"/>
            <w:shd w:val="clear" w:color="auto" w:fill="D9D9D9" w:themeFill="background1" w:themeFillShade="D9"/>
          </w:tcPr>
          <w:p w14:paraId="1C8D770A" w14:textId="5AF5C404" w:rsidR="00B20EB8" w:rsidRPr="00810B21" w:rsidRDefault="00B20EB8" w:rsidP="00B20EB8">
            <w:pPr>
              <w:ind w:right="745"/>
              <w:rPr>
                <w:w w:val="105"/>
                <w:sz w:val="21"/>
                <w:szCs w:val="21"/>
              </w:rPr>
            </w:pPr>
          </w:p>
        </w:tc>
        <w:tc>
          <w:tcPr>
            <w:tcW w:w="2052" w:type="dxa"/>
            <w:shd w:val="clear" w:color="auto" w:fill="D9D9D9" w:themeFill="background1" w:themeFillShade="D9"/>
          </w:tcPr>
          <w:p w14:paraId="7A1C6F28" w14:textId="025A3D7E" w:rsidR="00B20EB8" w:rsidRPr="00810B21" w:rsidRDefault="00B20EB8" w:rsidP="00B20EB8">
            <w:pPr>
              <w:ind w:right="745"/>
              <w:rPr>
                <w:w w:val="105"/>
                <w:sz w:val="21"/>
                <w:szCs w:val="21"/>
              </w:rPr>
            </w:pPr>
          </w:p>
        </w:tc>
      </w:tr>
      <w:tr w:rsidR="00293D83" w14:paraId="6E6966B7" w14:textId="77777777" w:rsidTr="003C7663">
        <w:trPr>
          <w:trHeight w:val="227"/>
        </w:trPr>
        <w:tc>
          <w:tcPr>
            <w:tcW w:w="3331" w:type="dxa"/>
          </w:tcPr>
          <w:p w14:paraId="0BC9C996" w14:textId="77777777" w:rsidR="00293D83" w:rsidRPr="00293D83" w:rsidRDefault="00293D83" w:rsidP="00293D83">
            <w:r w:rsidRPr="00293D83">
              <w:t>Cost of Securing Financing (legal, administrative, feasibility studies, mortgage, insurance, printing,</w:t>
            </w:r>
          </w:p>
          <w:p w14:paraId="4E4BDEEC" w14:textId="57473690" w:rsidR="00293D83" w:rsidRPr="00293D83" w:rsidRDefault="00293D83" w:rsidP="00293D83">
            <w:r w:rsidRPr="00293D83">
              <w:t>etc.</w:t>
            </w:r>
          </w:p>
        </w:tc>
        <w:tc>
          <w:tcPr>
            <w:tcW w:w="2070" w:type="dxa"/>
          </w:tcPr>
          <w:p w14:paraId="6061E048" w14:textId="77777777" w:rsidR="00293D83" w:rsidRDefault="00293D83" w:rsidP="00293D83">
            <w:pPr>
              <w:pStyle w:val="TableParagraph"/>
              <w:rPr>
                <w:rFonts w:ascii="Arial"/>
              </w:rPr>
            </w:pPr>
          </w:p>
          <w:p w14:paraId="25E61621" w14:textId="77777777" w:rsidR="00293D83" w:rsidRDefault="00293D83" w:rsidP="00293D83">
            <w:pPr>
              <w:pStyle w:val="TableParagraph"/>
              <w:rPr>
                <w:rFonts w:ascii="Arial"/>
              </w:rPr>
            </w:pPr>
          </w:p>
          <w:p w14:paraId="06EBC004" w14:textId="77777777" w:rsidR="00293D83" w:rsidRDefault="00293D83" w:rsidP="00293D83">
            <w:pPr>
              <w:pStyle w:val="TableParagraph"/>
              <w:rPr>
                <w:rFonts w:ascii="Arial"/>
              </w:rPr>
            </w:pPr>
          </w:p>
          <w:p w14:paraId="4FB3EF08" w14:textId="1D320CA2" w:rsidR="00293D83" w:rsidRPr="00810B21" w:rsidRDefault="00293D83" w:rsidP="00293D83">
            <w:pPr>
              <w:ind w:right="745"/>
              <w:rPr>
                <w:w w:val="105"/>
                <w:sz w:val="21"/>
                <w:szCs w:val="21"/>
              </w:rPr>
            </w:pPr>
            <w:r>
              <w:rPr>
                <w:rFonts w:ascii="Arial"/>
                <w:spacing w:val="-2"/>
                <w:sz w:val="20"/>
              </w:rPr>
              <w:t>$62,500</w:t>
            </w:r>
          </w:p>
        </w:tc>
        <w:tc>
          <w:tcPr>
            <w:tcW w:w="1980" w:type="dxa"/>
          </w:tcPr>
          <w:p w14:paraId="1090513E" w14:textId="77777777" w:rsidR="00293D83" w:rsidRDefault="00293D83" w:rsidP="00293D83">
            <w:pPr>
              <w:pStyle w:val="TableParagraph"/>
              <w:rPr>
                <w:rFonts w:ascii="Arial"/>
              </w:rPr>
            </w:pPr>
          </w:p>
          <w:p w14:paraId="0B897112" w14:textId="77777777" w:rsidR="00293D83" w:rsidRDefault="00293D83" w:rsidP="00293D83">
            <w:pPr>
              <w:pStyle w:val="TableParagraph"/>
              <w:rPr>
                <w:rFonts w:ascii="Arial"/>
              </w:rPr>
            </w:pPr>
          </w:p>
          <w:p w14:paraId="32C38633" w14:textId="77777777" w:rsidR="00293D83" w:rsidRDefault="00293D83" w:rsidP="00293D83">
            <w:pPr>
              <w:pStyle w:val="TableParagraph"/>
              <w:rPr>
                <w:rFonts w:ascii="Arial"/>
              </w:rPr>
            </w:pPr>
          </w:p>
          <w:p w14:paraId="44E5E3F1" w14:textId="12001105" w:rsidR="00293D83" w:rsidRPr="00810B21" w:rsidRDefault="00293D83" w:rsidP="00293D83">
            <w:pPr>
              <w:ind w:right="745"/>
              <w:rPr>
                <w:w w:val="105"/>
                <w:sz w:val="21"/>
                <w:szCs w:val="21"/>
              </w:rPr>
            </w:pPr>
            <w:r>
              <w:rPr>
                <w:rFonts w:ascii="Arial"/>
                <w:spacing w:val="-5"/>
                <w:w w:val="105"/>
                <w:sz w:val="20"/>
              </w:rPr>
              <w:t>$0</w:t>
            </w:r>
          </w:p>
        </w:tc>
        <w:tc>
          <w:tcPr>
            <w:tcW w:w="2052" w:type="dxa"/>
          </w:tcPr>
          <w:p w14:paraId="2799B307" w14:textId="77777777" w:rsidR="00293D83" w:rsidRDefault="00293D83" w:rsidP="00293D83">
            <w:pPr>
              <w:pStyle w:val="TableParagraph"/>
              <w:rPr>
                <w:rFonts w:ascii="Arial"/>
              </w:rPr>
            </w:pPr>
          </w:p>
          <w:p w14:paraId="4E75CE96" w14:textId="77777777" w:rsidR="00293D83" w:rsidRDefault="00293D83" w:rsidP="00293D83">
            <w:pPr>
              <w:pStyle w:val="TableParagraph"/>
              <w:rPr>
                <w:rFonts w:ascii="Arial"/>
              </w:rPr>
            </w:pPr>
          </w:p>
          <w:p w14:paraId="18832F6E" w14:textId="77777777" w:rsidR="00293D83" w:rsidRDefault="00293D83" w:rsidP="00293D83">
            <w:pPr>
              <w:pStyle w:val="TableParagraph"/>
              <w:rPr>
                <w:rFonts w:ascii="Arial"/>
              </w:rPr>
            </w:pPr>
          </w:p>
          <w:p w14:paraId="42666CD1" w14:textId="7BBF47C1" w:rsidR="00293D83" w:rsidRPr="00810B21" w:rsidRDefault="00293D83" w:rsidP="00293D83">
            <w:pPr>
              <w:ind w:right="745"/>
              <w:rPr>
                <w:w w:val="105"/>
                <w:sz w:val="21"/>
                <w:szCs w:val="21"/>
              </w:rPr>
            </w:pPr>
            <w:r>
              <w:rPr>
                <w:rFonts w:ascii="Arial"/>
                <w:spacing w:val="-2"/>
                <w:sz w:val="20"/>
              </w:rPr>
              <w:t>$62,500</w:t>
            </w:r>
          </w:p>
        </w:tc>
      </w:tr>
      <w:tr w:rsidR="00293D83" w14:paraId="74A4A5F5" w14:textId="77777777" w:rsidTr="003C7663">
        <w:trPr>
          <w:trHeight w:val="227"/>
        </w:trPr>
        <w:tc>
          <w:tcPr>
            <w:tcW w:w="3331" w:type="dxa"/>
          </w:tcPr>
          <w:p w14:paraId="2370D02F" w14:textId="6B7F8DC1" w:rsidR="00293D83" w:rsidRPr="00293D83" w:rsidRDefault="00293D83" w:rsidP="00293D83">
            <w:r w:rsidRPr="00293D83">
              <w:t>Bond Discount</w:t>
            </w:r>
          </w:p>
        </w:tc>
        <w:tc>
          <w:tcPr>
            <w:tcW w:w="2070" w:type="dxa"/>
          </w:tcPr>
          <w:p w14:paraId="39EF69C0" w14:textId="241B58A7" w:rsidR="00293D83" w:rsidRPr="00810B21" w:rsidRDefault="00293D83" w:rsidP="00293D83">
            <w:pPr>
              <w:ind w:right="745"/>
              <w:rPr>
                <w:w w:val="105"/>
                <w:sz w:val="21"/>
                <w:szCs w:val="21"/>
              </w:rPr>
            </w:pPr>
            <w:r>
              <w:rPr>
                <w:rFonts w:ascii="Arial"/>
                <w:spacing w:val="-5"/>
                <w:w w:val="105"/>
                <w:sz w:val="20"/>
              </w:rPr>
              <w:t>$0</w:t>
            </w:r>
          </w:p>
        </w:tc>
        <w:tc>
          <w:tcPr>
            <w:tcW w:w="1980" w:type="dxa"/>
          </w:tcPr>
          <w:p w14:paraId="30B8B9F3" w14:textId="7430AB2D" w:rsidR="00293D83" w:rsidRPr="00810B21" w:rsidRDefault="00293D83" w:rsidP="00293D83">
            <w:pPr>
              <w:ind w:right="745"/>
              <w:rPr>
                <w:w w:val="105"/>
                <w:sz w:val="21"/>
                <w:szCs w:val="21"/>
              </w:rPr>
            </w:pPr>
            <w:r>
              <w:rPr>
                <w:rFonts w:ascii="Arial"/>
                <w:spacing w:val="-5"/>
                <w:w w:val="105"/>
                <w:sz w:val="20"/>
              </w:rPr>
              <w:t>$0</w:t>
            </w:r>
          </w:p>
        </w:tc>
        <w:tc>
          <w:tcPr>
            <w:tcW w:w="2052" w:type="dxa"/>
          </w:tcPr>
          <w:p w14:paraId="39C278E4" w14:textId="0A23C521" w:rsidR="00293D83" w:rsidRPr="00810B21" w:rsidRDefault="00293D83" w:rsidP="00293D83">
            <w:pPr>
              <w:ind w:right="745"/>
              <w:rPr>
                <w:w w:val="105"/>
                <w:sz w:val="21"/>
                <w:szCs w:val="21"/>
              </w:rPr>
            </w:pPr>
            <w:r>
              <w:rPr>
                <w:rFonts w:ascii="Arial"/>
                <w:spacing w:val="-5"/>
                <w:w w:val="105"/>
                <w:sz w:val="20"/>
              </w:rPr>
              <w:t>$0</w:t>
            </w:r>
          </w:p>
        </w:tc>
      </w:tr>
      <w:tr w:rsidR="00293D83" w14:paraId="40DAF924" w14:textId="77777777" w:rsidTr="003C7663">
        <w:trPr>
          <w:trHeight w:val="227"/>
        </w:trPr>
        <w:tc>
          <w:tcPr>
            <w:tcW w:w="3331" w:type="dxa"/>
          </w:tcPr>
          <w:p w14:paraId="26A916C8" w14:textId="2B94BB56" w:rsidR="00293D83" w:rsidRPr="00293D83" w:rsidRDefault="00293D83" w:rsidP="00293D83">
            <w:r w:rsidRPr="00293D83">
              <w:t>Other</w:t>
            </w:r>
          </w:p>
        </w:tc>
        <w:tc>
          <w:tcPr>
            <w:tcW w:w="2070" w:type="dxa"/>
          </w:tcPr>
          <w:p w14:paraId="3FDBBFDD" w14:textId="4824C22E" w:rsidR="00293D83" w:rsidRPr="00810B21" w:rsidRDefault="00293D83" w:rsidP="00293D83">
            <w:pPr>
              <w:ind w:right="745"/>
              <w:rPr>
                <w:w w:val="105"/>
                <w:sz w:val="21"/>
                <w:szCs w:val="21"/>
              </w:rPr>
            </w:pPr>
            <w:r>
              <w:rPr>
                <w:rFonts w:ascii="Arial"/>
                <w:spacing w:val="-5"/>
                <w:w w:val="105"/>
                <w:sz w:val="20"/>
              </w:rPr>
              <w:t>$0</w:t>
            </w:r>
          </w:p>
        </w:tc>
        <w:tc>
          <w:tcPr>
            <w:tcW w:w="1980" w:type="dxa"/>
          </w:tcPr>
          <w:p w14:paraId="6C5C4684" w14:textId="194E2622" w:rsidR="00293D83" w:rsidRPr="00810B21" w:rsidRDefault="00293D83" w:rsidP="00293D83">
            <w:pPr>
              <w:ind w:right="745"/>
              <w:rPr>
                <w:w w:val="105"/>
                <w:sz w:val="21"/>
                <w:szCs w:val="21"/>
              </w:rPr>
            </w:pPr>
            <w:r>
              <w:rPr>
                <w:rFonts w:ascii="Arial"/>
                <w:spacing w:val="-5"/>
                <w:w w:val="105"/>
                <w:sz w:val="20"/>
              </w:rPr>
              <w:t>$0</w:t>
            </w:r>
          </w:p>
        </w:tc>
        <w:tc>
          <w:tcPr>
            <w:tcW w:w="2052" w:type="dxa"/>
          </w:tcPr>
          <w:p w14:paraId="2B0A2FDD" w14:textId="6619A118" w:rsidR="00293D83" w:rsidRPr="00810B21" w:rsidRDefault="00293D83" w:rsidP="00293D83">
            <w:pPr>
              <w:ind w:right="745"/>
              <w:rPr>
                <w:w w:val="105"/>
                <w:sz w:val="21"/>
                <w:szCs w:val="21"/>
              </w:rPr>
            </w:pPr>
            <w:r>
              <w:rPr>
                <w:rFonts w:ascii="Arial"/>
                <w:spacing w:val="-5"/>
                <w:w w:val="105"/>
                <w:sz w:val="20"/>
              </w:rPr>
              <w:t>$0</w:t>
            </w:r>
          </w:p>
        </w:tc>
      </w:tr>
      <w:tr w:rsidR="00293D83" w14:paraId="2A28783A" w14:textId="77777777" w:rsidTr="003C7663">
        <w:trPr>
          <w:trHeight w:val="227"/>
        </w:trPr>
        <w:tc>
          <w:tcPr>
            <w:tcW w:w="3331" w:type="dxa"/>
          </w:tcPr>
          <w:p w14:paraId="5E6CF973" w14:textId="6D9918A4" w:rsidR="00293D83" w:rsidRPr="00293D83" w:rsidRDefault="00293D83" w:rsidP="00293D83">
            <w:r w:rsidRPr="00293D83">
              <w:t>Total Capital Expenditure</w:t>
            </w:r>
          </w:p>
        </w:tc>
        <w:tc>
          <w:tcPr>
            <w:tcW w:w="2070" w:type="dxa"/>
          </w:tcPr>
          <w:p w14:paraId="15AA993B" w14:textId="453A2B70" w:rsidR="00293D83" w:rsidRPr="00810B21" w:rsidRDefault="00293D83" w:rsidP="00293D83">
            <w:pPr>
              <w:ind w:right="745"/>
              <w:rPr>
                <w:w w:val="105"/>
                <w:sz w:val="21"/>
                <w:szCs w:val="21"/>
              </w:rPr>
            </w:pPr>
            <w:r>
              <w:rPr>
                <w:rFonts w:ascii="Arial"/>
                <w:spacing w:val="-2"/>
                <w:sz w:val="20"/>
              </w:rPr>
              <w:t>$1,587,646</w:t>
            </w:r>
          </w:p>
        </w:tc>
        <w:tc>
          <w:tcPr>
            <w:tcW w:w="1980" w:type="dxa"/>
          </w:tcPr>
          <w:p w14:paraId="4CC527DA" w14:textId="0045FF26" w:rsidR="00293D83" w:rsidRPr="00810B21" w:rsidRDefault="00293D83" w:rsidP="00293D83">
            <w:pPr>
              <w:ind w:right="745"/>
              <w:rPr>
                <w:w w:val="105"/>
                <w:sz w:val="21"/>
                <w:szCs w:val="21"/>
              </w:rPr>
            </w:pPr>
            <w:r>
              <w:rPr>
                <w:rFonts w:ascii="Arial"/>
                <w:spacing w:val="-2"/>
                <w:sz w:val="20"/>
              </w:rPr>
              <w:t>$1,358,935</w:t>
            </w:r>
          </w:p>
        </w:tc>
        <w:tc>
          <w:tcPr>
            <w:tcW w:w="2052" w:type="dxa"/>
          </w:tcPr>
          <w:p w14:paraId="4296B19C" w14:textId="1859F7B9" w:rsidR="00293D83" w:rsidRPr="00810B21" w:rsidRDefault="00293D83" w:rsidP="00293D83">
            <w:pPr>
              <w:ind w:right="745"/>
              <w:rPr>
                <w:w w:val="105"/>
                <w:sz w:val="21"/>
                <w:szCs w:val="21"/>
              </w:rPr>
            </w:pPr>
            <w:r>
              <w:rPr>
                <w:rFonts w:ascii="Arial"/>
                <w:spacing w:val="-2"/>
                <w:w w:val="105"/>
                <w:sz w:val="20"/>
              </w:rPr>
              <w:t>$2,946,581</w:t>
            </w:r>
          </w:p>
        </w:tc>
      </w:tr>
    </w:tbl>
    <w:p w14:paraId="2A4221FE" w14:textId="77777777" w:rsidR="00810B21" w:rsidRPr="00810B21" w:rsidRDefault="00810B21" w:rsidP="00DE123B">
      <w:pPr>
        <w:ind w:left="827" w:right="745"/>
        <w:rPr>
          <w:w w:val="105"/>
          <w:sz w:val="21"/>
          <w:szCs w:val="21"/>
          <w:u w:val="single"/>
        </w:rPr>
      </w:pPr>
    </w:p>
    <w:p w14:paraId="598BF240" w14:textId="77777777" w:rsidR="00CE40A5" w:rsidRDefault="00CE40A5">
      <w:pPr>
        <w:spacing w:before="155"/>
        <w:ind w:left="926"/>
        <w:rPr>
          <w:rFonts w:ascii="Arial"/>
          <w:sz w:val="20"/>
        </w:rPr>
      </w:pPr>
    </w:p>
    <w:p w14:paraId="09A17427" w14:textId="77777777" w:rsidR="007B56EA" w:rsidRDefault="007B56EA">
      <w:pPr>
        <w:pStyle w:val="BodyText"/>
        <w:spacing w:before="11"/>
        <w:rPr>
          <w:rFonts w:ascii="Arial"/>
          <w:sz w:val="16"/>
        </w:rPr>
      </w:pPr>
    </w:p>
    <w:p w14:paraId="09A174BC" w14:textId="77777777" w:rsidR="007B56EA" w:rsidRDefault="007B56EA">
      <w:pPr>
        <w:pStyle w:val="BodyText"/>
        <w:rPr>
          <w:rFonts w:ascii="Arial"/>
          <w:sz w:val="20"/>
        </w:rPr>
      </w:pPr>
    </w:p>
    <w:p w14:paraId="09A174BD" w14:textId="0ABF834A" w:rsidR="007B56EA" w:rsidRDefault="007B56EA">
      <w:pPr>
        <w:pStyle w:val="BodyText"/>
        <w:spacing w:before="4"/>
        <w:rPr>
          <w:rFonts w:ascii="Arial"/>
        </w:rPr>
      </w:pPr>
    </w:p>
    <w:p w14:paraId="09A174C0" w14:textId="6FB688E4" w:rsidR="007B56EA" w:rsidRDefault="007B56EA" w:rsidP="007869C6">
      <w:pPr>
        <w:spacing w:before="139" w:line="254" w:lineRule="auto"/>
        <w:ind w:right="812"/>
        <w:rPr>
          <w:sz w:val="19"/>
        </w:rPr>
        <w:sectPr w:rsidR="007B56EA">
          <w:footnotePr>
            <w:pos w:val="beneathText"/>
          </w:footnotePr>
          <w:pgSz w:w="12270" w:h="15840"/>
          <w:pgMar w:top="1740" w:right="720" w:bottom="280" w:left="680" w:header="720" w:footer="720" w:gutter="0"/>
          <w:cols w:space="720"/>
        </w:sectPr>
      </w:pPr>
    </w:p>
    <w:p w14:paraId="09A174C1" w14:textId="77777777" w:rsidR="007B56EA" w:rsidRDefault="007B56EA">
      <w:pPr>
        <w:pStyle w:val="BodyText"/>
        <w:rPr>
          <w:sz w:val="20"/>
        </w:rPr>
      </w:pPr>
    </w:p>
    <w:p w14:paraId="09A174C2" w14:textId="77777777" w:rsidR="007B56EA" w:rsidRDefault="007B56EA">
      <w:pPr>
        <w:pStyle w:val="BodyText"/>
        <w:spacing w:before="2"/>
      </w:pPr>
    </w:p>
    <w:p w14:paraId="09A174C3" w14:textId="77777777" w:rsidR="007B56EA" w:rsidRDefault="00775EBC">
      <w:pPr>
        <w:ind w:left="955"/>
        <w:rPr>
          <w:rFonts w:ascii="Arial"/>
          <w:sz w:val="20"/>
        </w:rPr>
      </w:pPr>
      <w:r>
        <w:rPr>
          <w:rFonts w:ascii="Arial"/>
          <w:spacing w:val="-2"/>
          <w:sz w:val="20"/>
        </w:rPr>
        <w:t>Conclusion:</w:t>
      </w:r>
    </w:p>
    <w:p w14:paraId="09A174C4" w14:textId="77777777" w:rsidR="007B56EA" w:rsidRDefault="007B56EA">
      <w:pPr>
        <w:pStyle w:val="BodyText"/>
        <w:spacing w:before="10"/>
        <w:rPr>
          <w:rFonts w:ascii="Arial"/>
          <w:sz w:val="18"/>
        </w:rPr>
      </w:pPr>
    </w:p>
    <w:p w14:paraId="09A174C5" w14:textId="77777777" w:rsidR="007B56EA" w:rsidRDefault="00775EBC">
      <w:pPr>
        <w:spacing w:line="307" w:lineRule="auto"/>
        <w:ind w:left="952" w:right="605" w:hanging="7"/>
        <w:rPr>
          <w:rFonts w:ascii="Arial"/>
          <w:sz w:val="20"/>
        </w:rPr>
      </w:pPr>
      <w:r>
        <w:rPr>
          <w:rFonts w:ascii="Arial"/>
          <w:sz w:val="20"/>
        </w:rPr>
        <w:t xml:space="preserve">The Applicant has worked diligently to implement its </w:t>
      </w:r>
      <w:proofErr w:type="spellStart"/>
      <w:r>
        <w:rPr>
          <w:rFonts w:ascii="Arial"/>
          <w:sz w:val="20"/>
        </w:rPr>
        <w:t>DoN</w:t>
      </w:r>
      <w:proofErr w:type="spellEnd"/>
      <w:r>
        <w:rPr>
          <w:rFonts w:ascii="Arial"/>
          <w:sz w:val="20"/>
        </w:rPr>
        <w:t xml:space="preserve"> approval.</w:t>
      </w:r>
      <w:r>
        <w:rPr>
          <w:rFonts w:ascii="Arial"/>
          <w:spacing w:val="40"/>
          <w:sz w:val="20"/>
        </w:rPr>
        <w:t xml:space="preserve"> </w:t>
      </w:r>
      <w:r>
        <w:rPr>
          <w:rFonts w:ascii="Arial"/>
          <w:sz w:val="20"/>
        </w:rPr>
        <w:t>It has completed plans and</w:t>
      </w:r>
      <w:r>
        <w:rPr>
          <w:rFonts w:ascii="Arial"/>
          <w:spacing w:val="-3"/>
          <w:sz w:val="20"/>
        </w:rPr>
        <w:t xml:space="preserve"> </w:t>
      </w:r>
      <w:r>
        <w:rPr>
          <w:rFonts w:ascii="Arial"/>
          <w:sz w:val="20"/>
        </w:rPr>
        <w:t>sought construction</w:t>
      </w:r>
      <w:r>
        <w:rPr>
          <w:rFonts w:ascii="Arial"/>
          <w:spacing w:val="23"/>
          <w:sz w:val="20"/>
        </w:rPr>
        <w:t xml:space="preserve"> </w:t>
      </w:r>
      <w:r>
        <w:rPr>
          <w:rFonts w:ascii="Arial"/>
          <w:sz w:val="20"/>
        </w:rPr>
        <w:t>bids, despite encountering unexpected</w:t>
      </w:r>
      <w:r>
        <w:rPr>
          <w:rFonts w:ascii="Arial"/>
          <w:spacing w:val="23"/>
          <w:sz w:val="20"/>
        </w:rPr>
        <w:t xml:space="preserve"> </w:t>
      </w:r>
      <w:r>
        <w:rPr>
          <w:rFonts w:ascii="Arial"/>
          <w:sz w:val="20"/>
        </w:rPr>
        <w:t>challenges.</w:t>
      </w:r>
      <w:r>
        <w:rPr>
          <w:rFonts w:ascii="Arial"/>
          <w:spacing w:val="80"/>
          <w:sz w:val="20"/>
        </w:rPr>
        <w:t xml:space="preserve"> </w:t>
      </w:r>
      <w:r>
        <w:rPr>
          <w:rFonts w:ascii="Arial"/>
          <w:sz w:val="20"/>
        </w:rPr>
        <w:t>COVID-19</w:t>
      </w:r>
      <w:r>
        <w:rPr>
          <w:rFonts w:ascii="Arial"/>
          <w:spacing w:val="30"/>
          <w:sz w:val="20"/>
        </w:rPr>
        <w:t xml:space="preserve"> </w:t>
      </w:r>
      <w:r>
        <w:rPr>
          <w:rFonts w:ascii="Arial"/>
          <w:sz w:val="20"/>
        </w:rPr>
        <w:t>delayed original development of plans and</w:t>
      </w:r>
      <w:r>
        <w:rPr>
          <w:rFonts w:ascii="Arial"/>
          <w:spacing w:val="-6"/>
          <w:sz w:val="20"/>
        </w:rPr>
        <w:t xml:space="preserve"> </w:t>
      </w:r>
      <w:r>
        <w:rPr>
          <w:rFonts w:ascii="Arial"/>
          <w:sz w:val="20"/>
        </w:rPr>
        <w:t>has caused significant impact on</w:t>
      </w:r>
      <w:r>
        <w:rPr>
          <w:rFonts w:ascii="Arial"/>
          <w:spacing w:val="-6"/>
          <w:sz w:val="20"/>
        </w:rPr>
        <w:t xml:space="preserve"> </w:t>
      </w:r>
      <w:r>
        <w:rPr>
          <w:rFonts w:ascii="Arial"/>
          <w:sz w:val="20"/>
        </w:rPr>
        <w:t>the</w:t>
      </w:r>
      <w:r>
        <w:rPr>
          <w:rFonts w:ascii="Arial"/>
          <w:spacing w:val="-3"/>
          <w:sz w:val="20"/>
        </w:rPr>
        <w:t xml:space="preserve"> </w:t>
      </w:r>
      <w:r>
        <w:rPr>
          <w:rFonts w:ascii="Arial"/>
          <w:sz w:val="20"/>
        </w:rPr>
        <w:t>cost of</w:t>
      </w:r>
      <w:r>
        <w:rPr>
          <w:rFonts w:ascii="Arial"/>
          <w:spacing w:val="-2"/>
          <w:sz w:val="20"/>
        </w:rPr>
        <w:t xml:space="preserve"> </w:t>
      </w:r>
      <w:r>
        <w:rPr>
          <w:rFonts w:ascii="Arial"/>
          <w:sz w:val="20"/>
        </w:rPr>
        <w:t>construction supplies and</w:t>
      </w:r>
      <w:r>
        <w:rPr>
          <w:rFonts w:ascii="Arial"/>
          <w:spacing w:val="-6"/>
          <w:sz w:val="20"/>
        </w:rPr>
        <w:t xml:space="preserve"> </w:t>
      </w:r>
      <w:r>
        <w:rPr>
          <w:rFonts w:ascii="Arial"/>
          <w:sz w:val="20"/>
        </w:rPr>
        <w:t xml:space="preserve">related </w:t>
      </w:r>
      <w:r>
        <w:rPr>
          <w:rFonts w:ascii="Arial"/>
          <w:spacing w:val="-2"/>
          <w:sz w:val="20"/>
        </w:rPr>
        <w:t>labor.</w:t>
      </w:r>
    </w:p>
    <w:p w14:paraId="09A174C6" w14:textId="77777777" w:rsidR="007B56EA" w:rsidRDefault="00775EBC">
      <w:pPr>
        <w:spacing w:before="150" w:line="304" w:lineRule="auto"/>
        <w:ind w:left="952" w:right="605" w:hanging="2"/>
        <w:rPr>
          <w:rFonts w:ascii="Arial"/>
          <w:sz w:val="20"/>
        </w:rPr>
      </w:pPr>
      <w:proofErr w:type="gramStart"/>
      <w:r>
        <w:rPr>
          <w:rFonts w:ascii="Arial"/>
          <w:sz w:val="20"/>
        </w:rPr>
        <w:t>All of</w:t>
      </w:r>
      <w:proofErr w:type="gramEnd"/>
      <w:r>
        <w:rPr>
          <w:rFonts w:ascii="Arial"/>
          <w:spacing w:val="-3"/>
          <w:sz w:val="20"/>
        </w:rPr>
        <w:t xml:space="preserve"> </w:t>
      </w:r>
      <w:r>
        <w:rPr>
          <w:rFonts w:ascii="Arial"/>
          <w:sz w:val="20"/>
        </w:rPr>
        <w:t>the</w:t>
      </w:r>
      <w:r>
        <w:rPr>
          <w:rFonts w:ascii="Arial"/>
          <w:spacing w:val="-2"/>
          <w:sz w:val="20"/>
        </w:rPr>
        <w:t xml:space="preserve"> </w:t>
      </w:r>
      <w:r>
        <w:rPr>
          <w:rFonts w:ascii="Arial"/>
          <w:sz w:val="20"/>
        </w:rPr>
        <w:t>factors discussed in this narrative are beyond the control</w:t>
      </w:r>
      <w:r>
        <w:rPr>
          <w:rFonts w:ascii="Arial"/>
          <w:spacing w:val="-2"/>
          <w:sz w:val="20"/>
        </w:rPr>
        <w:t xml:space="preserve"> </w:t>
      </w:r>
      <w:r>
        <w:rPr>
          <w:rFonts w:ascii="Arial"/>
          <w:sz w:val="20"/>
        </w:rPr>
        <w:t>of the Applicant.</w:t>
      </w:r>
      <w:r>
        <w:rPr>
          <w:rFonts w:ascii="Arial"/>
          <w:spacing w:val="80"/>
          <w:sz w:val="20"/>
        </w:rPr>
        <w:t xml:space="preserve"> </w:t>
      </w:r>
      <w:r>
        <w:rPr>
          <w:rFonts w:ascii="Arial"/>
          <w:sz w:val="20"/>
        </w:rPr>
        <w:t>None of these circumstances could have been foreseen when developing</w:t>
      </w:r>
      <w:r>
        <w:rPr>
          <w:rFonts w:ascii="Arial"/>
          <w:spacing w:val="-1"/>
          <w:sz w:val="20"/>
        </w:rPr>
        <w:t xml:space="preserve"> </w:t>
      </w:r>
      <w:r>
        <w:rPr>
          <w:rFonts w:ascii="Arial"/>
          <w:sz w:val="20"/>
        </w:rPr>
        <w:t>the</w:t>
      </w:r>
      <w:r>
        <w:rPr>
          <w:rFonts w:ascii="Arial"/>
          <w:spacing w:val="28"/>
          <w:sz w:val="20"/>
        </w:rPr>
        <w:t xml:space="preserve"> </w:t>
      </w:r>
      <w:proofErr w:type="spellStart"/>
      <w:r>
        <w:rPr>
          <w:rFonts w:ascii="Arial"/>
          <w:sz w:val="20"/>
        </w:rPr>
        <w:t>DoN</w:t>
      </w:r>
      <w:proofErr w:type="spellEnd"/>
      <w:r>
        <w:rPr>
          <w:rFonts w:ascii="Arial"/>
          <w:sz w:val="20"/>
        </w:rPr>
        <w:t>.</w:t>
      </w:r>
      <w:r>
        <w:rPr>
          <w:rFonts w:ascii="Arial"/>
          <w:spacing w:val="40"/>
          <w:sz w:val="20"/>
        </w:rPr>
        <w:t xml:space="preserve"> </w:t>
      </w:r>
      <w:r>
        <w:rPr>
          <w:rFonts w:ascii="Arial"/>
          <w:sz w:val="20"/>
        </w:rPr>
        <w:t>New</w:t>
      </w:r>
      <w:r>
        <w:rPr>
          <w:rFonts w:ascii="Arial"/>
          <w:spacing w:val="-1"/>
          <w:sz w:val="20"/>
        </w:rPr>
        <w:t xml:space="preserve"> </w:t>
      </w:r>
      <w:r>
        <w:rPr>
          <w:rFonts w:ascii="Arial"/>
          <w:sz w:val="20"/>
        </w:rPr>
        <w:t>England Surgery Center respectfully</w:t>
      </w:r>
      <w:r>
        <w:rPr>
          <w:rFonts w:ascii="Arial"/>
          <w:spacing w:val="37"/>
          <w:sz w:val="20"/>
        </w:rPr>
        <w:t xml:space="preserve"> </w:t>
      </w:r>
      <w:r>
        <w:rPr>
          <w:rFonts w:ascii="Arial"/>
          <w:sz w:val="20"/>
        </w:rPr>
        <w:t>requests the</w:t>
      </w:r>
      <w:r>
        <w:rPr>
          <w:rFonts w:ascii="Arial"/>
          <w:spacing w:val="40"/>
          <w:sz w:val="20"/>
        </w:rPr>
        <w:t xml:space="preserve"> </w:t>
      </w:r>
      <w:r>
        <w:rPr>
          <w:rFonts w:ascii="Arial"/>
          <w:sz w:val="20"/>
        </w:rPr>
        <w:t>consideration of its significant amendment</w:t>
      </w:r>
      <w:r>
        <w:rPr>
          <w:rFonts w:ascii="Arial"/>
          <w:spacing w:val="36"/>
          <w:sz w:val="20"/>
        </w:rPr>
        <w:t xml:space="preserve"> </w:t>
      </w:r>
      <w:r>
        <w:rPr>
          <w:rFonts w:ascii="Arial"/>
          <w:sz w:val="20"/>
        </w:rPr>
        <w:t xml:space="preserve">of the approved </w:t>
      </w:r>
      <w:proofErr w:type="spellStart"/>
      <w:r>
        <w:rPr>
          <w:rFonts w:ascii="Arial"/>
          <w:sz w:val="20"/>
        </w:rPr>
        <w:t>DoN</w:t>
      </w:r>
      <w:proofErr w:type="spellEnd"/>
      <w:r>
        <w:rPr>
          <w:rFonts w:ascii="Arial"/>
          <w:sz w:val="20"/>
        </w:rPr>
        <w:t>.</w:t>
      </w:r>
    </w:p>
    <w:p w14:paraId="09A174C7" w14:textId="77777777" w:rsidR="007B56EA" w:rsidRDefault="007B56EA">
      <w:pPr>
        <w:spacing w:line="304" w:lineRule="auto"/>
        <w:rPr>
          <w:rFonts w:ascii="Arial"/>
          <w:sz w:val="20"/>
        </w:rPr>
        <w:sectPr w:rsidR="007B56EA">
          <w:pgSz w:w="12270" w:h="15840"/>
          <w:pgMar w:top="1820" w:right="720" w:bottom="280" w:left="680" w:header="720" w:footer="720" w:gutter="0"/>
          <w:cols w:space="720"/>
        </w:sectPr>
      </w:pPr>
    </w:p>
    <w:p w14:paraId="09A174C8" w14:textId="77777777" w:rsidR="007B56EA" w:rsidRDefault="007B56EA">
      <w:pPr>
        <w:pStyle w:val="BodyText"/>
        <w:rPr>
          <w:rFonts w:ascii="Arial"/>
          <w:sz w:val="20"/>
        </w:rPr>
      </w:pPr>
    </w:p>
    <w:p w14:paraId="09A174C9" w14:textId="77777777" w:rsidR="007B56EA" w:rsidRDefault="007B56EA">
      <w:pPr>
        <w:pStyle w:val="BodyText"/>
        <w:rPr>
          <w:rFonts w:ascii="Arial"/>
          <w:sz w:val="20"/>
        </w:rPr>
      </w:pPr>
    </w:p>
    <w:p w14:paraId="09A174CA" w14:textId="77777777" w:rsidR="007B56EA" w:rsidRDefault="007B56EA">
      <w:pPr>
        <w:pStyle w:val="BodyText"/>
        <w:rPr>
          <w:rFonts w:ascii="Arial"/>
          <w:sz w:val="20"/>
        </w:rPr>
      </w:pPr>
    </w:p>
    <w:p w14:paraId="09A174CB" w14:textId="77777777" w:rsidR="007B56EA" w:rsidRDefault="007B56EA">
      <w:pPr>
        <w:pStyle w:val="BodyText"/>
        <w:rPr>
          <w:rFonts w:ascii="Arial"/>
          <w:sz w:val="20"/>
        </w:rPr>
      </w:pPr>
    </w:p>
    <w:p w14:paraId="09A174CC" w14:textId="77777777" w:rsidR="007B56EA" w:rsidRDefault="007B56EA">
      <w:pPr>
        <w:pStyle w:val="BodyText"/>
        <w:rPr>
          <w:rFonts w:ascii="Arial"/>
          <w:sz w:val="20"/>
        </w:rPr>
      </w:pPr>
    </w:p>
    <w:p w14:paraId="09A174CD" w14:textId="77777777" w:rsidR="007B56EA" w:rsidRDefault="007B56EA">
      <w:pPr>
        <w:pStyle w:val="BodyText"/>
        <w:rPr>
          <w:rFonts w:ascii="Arial"/>
          <w:sz w:val="20"/>
        </w:rPr>
      </w:pPr>
    </w:p>
    <w:p w14:paraId="09A174CE" w14:textId="77777777" w:rsidR="007B56EA" w:rsidRDefault="007B56EA">
      <w:pPr>
        <w:pStyle w:val="BodyText"/>
        <w:rPr>
          <w:rFonts w:ascii="Arial"/>
          <w:sz w:val="20"/>
        </w:rPr>
      </w:pPr>
    </w:p>
    <w:p w14:paraId="09A174CF" w14:textId="77777777" w:rsidR="007B56EA" w:rsidRDefault="007B56EA">
      <w:pPr>
        <w:pStyle w:val="BodyText"/>
        <w:rPr>
          <w:rFonts w:ascii="Arial"/>
          <w:sz w:val="20"/>
        </w:rPr>
      </w:pPr>
    </w:p>
    <w:p w14:paraId="09A174D0" w14:textId="77777777" w:rsidR="007B56EA" w:rsidRDefault="007B56EA">
      <w:pPr>
        <w:pStyle w:val="BodyText"/>
        <w:rPr>
          <w:rFonts w:ascii="Arial"/>
          <w:sz w:val="20"/>
        </w:rPr>
      </w:pPr>
    </w:p>
    <w:p w14:paraId="09A174D1" w14:textId="77777777" w:rsidR="007B56EA" w:rsidRDefault="007B56EA">
      <w:pPr>
        <w:pStyle w:val="BodyText"/>
        <w:rPr>
          <w:rFonts w:ascii="Arial"/>
          <w:sz w:val="20"/>
        </w:rPr>
      </w:pPr>
    </w:p>
    <w:p w14:paraId="09A174D2" w14:textId="77777777" w:rsidR="007B56EA" w:rsidRDefault="007B56EA">
      <w:pPr>
        <w:pStyle w:val="BodyText"/>
        <w:rPr>
          <w:rFonts w:ascii="Arial"/>
          <w:sz w:val="20"/>
        </w:rPr>
      </w:pPr>
    </w:p>
    <w:p w14:paraId="09A174D3" w14:textId="77777777" w:rsidR="007B56EA" w:rsidRDefault="007B56EA">
      <w:pPr>
        <w:pStyle w:val="BodyText"/>
        <w:rPr>
          <w:rFonts w:ascii="Arial"/>
          <w:sz w:val="20"/>
        </w:rPr>
      </w:pPr>
    </w:p>
    <w:p w14:paraId="09A174D4" w14:textId="77777777" w:rsidR="007B56EA" w:rsidRDefault="007B56EA">
      <w:pPr>
        <w:pStyle w:val="BodyText"/>
        <w:rPr>
          <w:rFonts w:ascii="Arial"/>
          <w:sz w:val="20"/>
        </w:rPr>
      </w:pPr>
    </w:p>
    <w:p w14:paraId="09A174D5" w14:textId="77777777" w:rsidR="007B56EA" w:rsidRDefault="007B56EA">
      <w:pPr>
        <w:pStyle w:val="BodyText"/>
        <w:rPr>
          <w:rFonts w:ascii="Arial"/>
          <w:sz w:val="20"/>
        </w:rPr>
      </w:pPr>
    </w:p>
    <w:p w14:paraId="09A174D6" w14:textId="77777777" w:rsidR="007B56EA" w:rsidRDefault="007B56EA">
      <w:pPr>
        <w:pStyle w:val="BodyText"/>
        <w:rPr>
          <w:rFonts w:ascii="Arial"/>
          <w:sz w:val="20"/>
        </w:rPr>
      </w:pPr>
    </w:p>
    <w:p w14:paraId="09A174D7" w14:textId="77777777" w:rsidR="007B56EA" w:rsidRDefault="007B56EA">
      <w:pPr>
        <w:pStyle w:val="BodyText"/>
        <w:rPr>
          <w:rFonts w:ascii="Arial"/>
          <w:sz w:val="20"/>
        </w:rPr>
      </w:pPr>
    </w:p>
    <w:p w14:paraId="09A174D8" w14:textId="77777777" w:rsidR="007B56EA" w:rsidRDefault="007B56EA">
      <w:pPr>
        <w:pStyle w:val="BodyText"/>
        <w:rPr>
          <w:rFonts w:ascii="Arial"/>
          <w:sz w:val="20"/>
        </w:rPr>
      </w:pPr>
    </w:p>
    <w:p w14:paraId="09A174D9" w14:textId="7D288CEB" w:rsidR="007B56EA" w:rsidRDefault="00775EBC">
      <w:pPr>
        <w:spacing w:before="226"/>
        <w:ind w:left="2091" w:right="1222"/>
        <w:jc w:val="center"/>
        <w:rPr>
          <w:rFonts w:ascii="Arial"/>
          <w:sz w:val="61"/>
        </w:rPr>
      </w:pPr>
      <w:r>
        <w:rPr>
          <w:rFonts w:ascii="Arial"/>
          <w:w w:val="105"/>
          <w:sz w:val="61"/>
        </w:rPr>
        <w:t>Attachment</w:t>
      </w:r>
      <w:r>
        <w:rPr>
          <w:rFonts w:ascii="Arial"/>
          <w:spacing w:val="7"/>
          <w:w w:val="105"/>
          <w:sz w:val="61"/>
        </w:rPr>
        <w:t xml:space="preserve"> </w:t>
      </w:r>
      <w:r>
        <w:rPr>
          <w:rFonts w:ascii="Arial"/>
          <w:spacing w:val="-10"/>
          <w:w w:val="105"/>
          <w:sz w:val="61"/>
        </w:rPr>
        <w:t>3</w:t>
      </w:r>
    </w:p>
    <w:p w14:paraId="09A174DA" w14:textId="77777777" w:rsidR="007B56EA" w:rsidRDefault="007B56EA">
      <w:pPr>
        <w:jc w:val="center"/>
        <w:rPr>
          <w:rFonts w:ascii="Arial"/>
          <w:sz w:val="61"/>
        </w:rPr>
        <w:sectPr w:rsidR="007B56EA">
          <w:pgSz w:w="12270" w:h="15840"/>
          <w:pgMar w:top="1820" w:right="720" w:bottom="280" w:left="680" w:header="720" w:footer="720" w:gutter="0"/>
          <w:cols w:space="720"/>
        </w:sectPr>
      </w:pPr>
    </w:p>
    <w:p w14:paraId="09A174DB" w14:textId="77777777" w:rsidR="007B56EA" w:rsidRDefault="00775EBC">
      <w:pPr>
        <w:pStyle w:val="BodyText"/>
        <w:spacing w:before="4"/>
        <w:rPr>
          <w:rFonts w:ascii="Arial"/>
          <w:sz w:val="17"/>
        </w:rPr>
      </w:pPr>
      <w:r>
        <w:rPr>
          <w:noProof/>
        </w:rPr>
        <w:lastRenderedPageBreak/>
        <w:drawing>
          <wp:inline distT="0" distB="0" distL="0" distR="0" wp14:anchorId="09A1789B" wp14:editId="540662C9">
            <wp:extent cx="6798833" cy="5143503"/>
            <wp:effectExtent l="0" t="0" r="2540" b="0"/>
            <wp:docPr id="9" name="image6.png" descr="Public Notice - publication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descr="Public Notice - publication unknown"/>
                    <pic:cNvPicPr/>
                  </pic:nvPicPr>
                  <pic:blipFill rotWithShape="1">
                    <a:blip r:embed="rId8" cstate="print">
                      <a:biLevel thresh="50000"/>
                      <a:extLst>
                        <a:ext uri="{BEBA8EAE-BF5A-486C-A8C5-ECC9F3942E4B}">
                          <a14:imgProps xmlns:a14="http://schemas.microsoft.com/office/drawing/2010/main">
                            <a14:imgLayer r:embed="rId9">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3425" t="1000" r="3473" b="45004"/>
                    <a:stretch/>
                  </pic:blipFill>
                  <pic:spPr bwMode="auto">
                    <a:xfrm>
                      <a:off x="0" y="0"/>
                      <a:ext cx="6808452" cy="5150780"/>
                    </a:xfrm>
                    <a:prstGeom prst="rect">
                      <a:avLst/>
                    </a:prstGeom>
                    <a:ln>
                      <a:noFill/>
                    </a:ln>
                    <a:extLst>
                      <a:ext uri="{53640926-AAD7-44D8-BBD7-CCE9431645EC}">
                        <a14:shadowObscured xmlns:a14="http://schemas.microsoft.com/office/drawing/2010/main"/>
                      </a:ext>
                    </a:extLst>
                  </pic:spPr>
                </pic:pic>
              </a:graphicData>
            </a:graphic>
          </wp:inline>
        </w:drawing>
      </w:r>
    </w:p>
    <w:p w14:paraId="09A174DC" w14:textId="77777777" w:rsidR="007B56EA" w:rsidRDefault="007B56EA">
      <w:pPr>
        <w:rPr>
          <w:rFonts w:ascii="Arial"/>
          <w:sz w:val="17"/>
        </w:rPr>
        <w:sectPr w:rsidR="007B56EA">
          <w:pgSz w:w="12270" w:h="15840"/>
          <w:pgMar w:top="1820" w:right="720" w:bottom="280" w:left="680" w:header="720" w:footer="720" w:gutter="0"/>
          <w:cols w:space="720"/>
        </w:sectPr>
      </w:pPr>
    </w:p>
    <w:p w14:paraId="09A174DD" w14:textId="77777777" w:rsidR="007B56EA" w:rsidRDefault="007B56EA">
      <w:pPr>
        <w:pStyle w:val="BodyText"/>
        <w:rPr>
          <w:rFonts w:ascii="Arial"/>
          <w:sz w:val="20"/>
        </w:rPr>
      </w:pPr>
    </w:p>
    <w:p w14:paraId="09A174DE" w14:textId="77777777" w:rsidR="007B56EA" w:rsidRDefault="007B56EA">
      <w:pPr>
        <w:pStyle w:val="BodyText"/>
        <w:rPr>
          <w:rFonts w:ascii="Arial"/>
          <w:sz w:val="20"/>
        </w:rPr>
      </w:pPr>
    </w:p>
    <w:p w14:paraId="09A174DF" w14:textId="77777777" w:rsidR="007B56EA" w:rsidRDefault="007B56EA">
      <w:pPr>
        <w:pStyle w:val="BodyText"/>
        <w:rPr>
          <w:rFonts w:ascii="Arial"/>
          <w:sz w:val="20"/>
        </w:rPr>
      </w:pPr>
    </w:p>
    <w:p w14:paraId="09A174E0" w14:textId="77777777" w:rsidR="007B56EA" w:rsidRDefault="007B56EA">
      <w:pPr>
        <w:pStyle w:val="BodyText"/>
        <w:rPr>
          <w:rFonts w:ascii="Arial"/>
          <w:sz w:val="20"/>
        </w:rPr>
      </w:pPr>
    </w:p>
    <w:p w14:paraId="09A174E1" w14:textId="77777777" w:rsidR="007B56EA" w:rsidRDefault="007B56EA">
      <w:pPr>
        <w:pStyle w:val="BodyText"/>
        <w:rPr>
          <w:rFonts w:ascii="Arial"/>
          <w:sz w:val="20"/>
        </w:rPr>
      </w:pPr>
    </w:p>
    <w:p w14:paraId="09A174E2" w14:textId="77777777" w:rsidR="007B56EA" w:rsidRDefault="007B56EA">
      <w:pPr>
        <w:pStyle w:val="BodyText"/>
        <w:rPr>
          <w:rFonts w:ascii="Arial"/>
          <w:sz w:val="20"/>
        </w:rPr>
      </w:pPr>
    </w:p>
    <w:p w14:paraId="09A174E3" w14:textId="77777777" w:rsidR="007B56EA" w:rsidRDefault="007B56EA">
      <w:pPr>
        <w:pStyle w:val="BodyText"/>
        <w:rPr>
          <w:rFonts w:ascii="Arial"/>
          <w:sz w:val="20"/>
        </w:rPr>
      </w:pPr>
    </w:p>
    <w:p w14:paraId="09A174E4" w14:textId="77777777" w:rsidR="007B56EA" w:rsidRDefault="007B56EA">
      <w:pPr>
        <w:pStyle w:val="BodyText"/>
        <w:rPr>
          <w:rFonts w:ascii="Arial"/>
          <w:sz w:val="20"/>
        </w:rPr>
      </w:pPr>
    </w:p>
    <w:p w14:paraId="09A174E5" w14:textId="77777777" w:rsidR="007B56EA" w:rsidRDefault="007B56EA">
      <w:pPr>
        <w:pStyle w:val="BodyText"/>
        <w:rPr>
          <w:rFonts w:ascii="Arial"/>
          <w:sz w:val="20"/>
        </w:rPr>
      </w:pPr>
    </w:p>
    <w:p w14:paraId="09A174E6" w14:textId="77777777" w:rsidR="007B56EA" w:rsidRDefault="007B56EA">
      <w:pPr>
        <w:pStyle w:val="BodyText"/>
        <w:rPr>
          <w:rFonts w:ascii="Arial"/>
          <w:sz w:val="20"/>
        </w:rPr>
      </w:pPr>
    </w:p>
    <w:p w14:paraId="09A174E7" w14:textId="77777777" w:rsidR="007B56EA" w:rsidRDefault="007B56EA">
      <w:pPr>
        <w:pStyle w:val="BodyText"/>
        <w:rPr>
          <w:rFonts w:ascii="Arial"/>
          <w:sz w:val="20"/>
        </w:rPr>
      </w:pPr>
    </w:p>
    <w:p w14:paraId="09A174E8" w14:textId="77777777" w:rsidR="007B56EA" w:rsidRDefault="007B56EA">
      <w:pPr>
        <w:pStyle w:val="BodyText"/>
        <w:rPr>
          <w:rFonts w:ascii="Arial"/>
          <w:sz w:val="20"/>
        </w:rPr>
      </w:pPr>
    </w:p>
    <w:p w14:paraId="09A174E9" w14:textId="77777777" w:rsidR="007B56EA" w:rsidRDefault="007B56EA">
      <w:pPr>
        <w:pStyle w:val="BodyText"/>
        <w:rPr>
          <w:rFonts w:ascii="Arial"/>
          <w:sz w:val="20"/>
        </w:rPr>
      </w:pPr>
    </w:p>
    <w:p w14:paraId="09A174EA" w14:textId="77777777" w:rsidR="007B56EA" w:rsidRDefault="007B56EA">
      <w:pPr>
        <w:pStyle w:val="BodyText"/>
        <w:rPr>
          <w:rFonts w:ascii="Arial"/>
          <w:sz w:val="20"/>
        </w:rPr>
      </w:pPr>
    </w:p>
    <w:p w14:paraId="09A174EB" w14:textId="77777777" w:rsidR="007B56EA" w:rsidRDefault="007B56EA">
      <w:pPr>
        <w:pStyle w:val="BodyText"/>
        <w:rPr>
          <w:rFonts w:ascii="Arial"/>
          <w:sz w:val="20"/>
        </w:rPr>
      </w:pPr>
    </w:p>
    <w:p w14:paraId="09A174EC" w14:textId="77777777" w:rsidR="007B56EA" w:rsidRDefault="007B56EA">
      <w:pPr>
        <w:pStyle w:val="BodyText"/>
        <w:rPr>
          <w:rFonts w:ascii="Arial"/>
          <w:sz w:val="20"/>
        </w:rPr>
      </w:pPr>
    </w:p>
    <w:p w14:paraId="09A174ED" w14:textId="77777777" w:rsidR="007B56EA" w:rsidRDefault="007B56EA">
      <w:pPr>
        <w:pStyle w:val="BodyText"/>
        <w:rPr>
          <w:rFonts w:ascii="Arial"/>
          <w:sz w:val="20"/>
        </w:rPr>
      </w:pPr>
    </w:p>
    <w:p w14:paraId="09A174EE" w14:textId="77777777" w:rsidR="007B56EA" w:rsidRDefault="007B56EA">
      <w:pPr>
        <w:pStyle w:val="BodyText"/>
        <w:rPr>
          <w:rFonts w:ascii="Arial"/>
          <w:sz w:val="20"/>
        </w:rPr>
      </w:pPr>
    </w:p>
    <w:p w14:paraId="09A174EF" w14:textId="77777777" w:rsidR="007B56EA" w:rsidRDefault="007B56EA">
      <w:pPr>
        <w:pStyle w:val="BodyText"/>
        <w:rPr>
          <w:rFonts w:ascii="Arial"/>
          <w:sz w:val="20"/>
        </w:rPr>
      </w:pPr>
    </w:p>
    <w:p w14:paraId="09A174F0" w14:textId="77777777" w:rsidR="007B56EA" w:rsidRDefault="007B56EA">
      <w:pPr>
        <w:pStyle w:val="BodyText"/>
        <w:rPr>
          <w:rFonts w:ascii="Arial"/>
          <w:sz w:val="20"/>
        </w:rPr>
      </w:pPr>
    </w:p>
    <w:p w14:paraId="2A6F3725" w14:textId="41AB393B" w:rsidR="007B56EA" w:rsidRDefault="00775EBC" w:rsidP="0043456B">
      <w:pPr>
        <w:pStyle w:val="Heading1"/>
        <w:spacing w:before="244"/>
        <w:rPr>
          <w:spacing w:val="-10"/>
          <w:w w:val="115"/>
        </w:rPr>
      </w:pPr>
      <w:r>
        <w:rPr>
          <w:w w:val="115"/>
        </w:rPr>
        <w:t>Attachment</w:t>
      </w:r>
      <w:r>
        <w:rPr>
          <w:spacing w:val="-18"/>
          <w:w w:val="115"/>
        </w:rPr>
        <w:t xml:space="preserve"> </w:t>
      </w:r>
      <w:r>
        <w:rPr>
          <w:spacing w:val="-10"/>
          <w:w w:val="115"/>
        </w:rPr>
        <w:t>5</w:t>
      </w:r>
    </w:p>
    <w:p w14:paraId="27989610" w14:textId="77777777" w:rsidR="0043456B" w:rsidRDefault="0043456B" w:rsidP="0043456B">
      <w:pPr>
        <w:pStyle w:val="Heading1"/>
        <w:spacing w:before="244"/>
        <w:sectPr w:rsidR="0043456B" w:rsidSect="000B3CCF">
          <w:footerReference w:type="default" r:id="rId10"/>
          <w:pgSz w:w="12270" w:h="15840"/>
          <w:pgMar w:top="1820" w:right="720" w:bottom="280" w:left="680" w:header="720" w:footer="720" w:gutter="0"/>
          <w:cols w:space="720"/>
        </w:sectPr>
      </w:pPr>
    </w:p>
    <w:tbl>
      <w:tblPr>
        <w:tblStyle w:val="TableGrid1"/>
        <w:tblW w:w="4729" w:type="pct"/>
        <w:tblLook w:val="04A0" w:firstRow="1" w:lastRow="0" w:firstColumn="1" w:lastColumn="0" w:noHBand="0" w:noVBand="1"/>
      </w:tblPr>
      <w:tblGrid>
        <w:gridCol w:w="4429"/>
        <w:gridCol w:w="5309"/>
      </w:tblGrid>
      <w:tr w:rsidR="0043456B" w:rsidRPr="0043456B" w14:paraId="30327F00" w14:textId="77777777" w:rsidTr="0043456B">
        <w:trPr>
          <w:trHeight w:val="350"/>
        </w:trPr>
        <w:tc>
          <w:tcPr>
            <w:tcW w:w="5000" w:type="pct"/>
            <w:gridSpan w:val="2"/>
            <w:shd w:val="clear" w:color="auto" w:fill="DFE3F0"/>
            <w:vAlign w:val="center"/>
          </w:tcPr>
          <w:p w14:paraId="5809ABEE" w14:textId="77777777" w:rsidR="0043456B" w:rsidRPr="0043456B" w:rsidRDefault="0043456B" w:rsidP="0043456B">
            <w:pPr>
              <w:ind w:right="540"/>
              <w:contextualSpacing/>
              <w:jc w:val="center"/>
              <w:rPr>
                <w:rFonts w:ascii="Garamond" w:eastAsia="Calibri" w:hAnsi="Garamond" w:cs="Calibri"/>
                <w:b/>
                <w:sz w:val="24"/>
                <w:szCs w:val="24"/>
              </w:rPr>
            </w:pPr>
            <w:r w:rsidRPr="0043456B">
              <w:rPr>
                <w:rFonts w:ascii="Garamond" w:eastAsia="Calibri" w:hAnsi="Garamond" w:cs="Calibri"/>
                <w:b/>
                <w:sz w:val="24"/>
                <w:szCs w:val="24"/>
              </w:rPr>
              <w:lastRenderedPageBreak/>
              <w:t>STAFF REPORT TO THE PUBLIC HEALTH COUNCIL</w:t>
            </w:r>
          </w:p>
          <w:p w14:paraId="0615BAD5" w14:textId="77777777" w:rsidR="0043456B" w:rsidRPr="0043456B" w:rsidRDefault="0043456B" w:rsidP="0043456B">
            <w:pPr>
              <w:tabs>
                <w:tab w:val="center" w:pos="4680"/>
                <w:tab w:val="right" w:pos="9360"/>
              </w:tabs>
              <w:ind w:right="540"/>
              <w:contextualSpacing/>
              <w:jc w:val="center"/>
              <w:rPr>
                <w:rFonts w:ascii="Garamond" w:eastAsia="Calibri" w:hAnsi="Garamond" w:cs="Calibri"/>
                <w:b/>
                <w:sz w:val="24"/>
                <w:szCs w:val="24"/>
              </w:rPr>
            </w:pPr>
            <w:r w:rsidRPr="0043456B">
              <w:rPr>
                <w:rFonts w:ascii="Garamond" w:eastAsia="Calibri" w:hAnsi="Garamond" w:cs="Calibri"/>
                <w:b/>
                <w:sz w:val="24"/>
                <w:szCs w:val="24"/>
              </w:rPr>
              <w:t>FOR A DETERMINATION OF NEED</w:t>
            </w:r>
          </w:p>
          <w:p w14:paraId="0AAD2A0A" w14:textId="77777777" w:rsidR="0043456B" w:rsidRPr="0043456B" w:rsidRDefault="0043456B" w:rsidP="0043456B">
            <w:pPr>
              <w:tabs>
                <w:tab w:val="center" w:pos="4680"/>
                <w:tab w:val="right" w:pos="9360"/>
              </w:tabs>
              <w:ind w:right="540"/>
              <w:contextualSpacing/>
              <w:jc w:val="center"/>
              <w:rPr>
                <w:rFonts w:ascii="Garamond" w:eastAsia="Calibri" w:hAnsi="Garamond" w:cs="Calibri"/>
                <w:b/>
                <w:sz w:val="24"/>
                <w:szCs w:val="24"/>
              </w:rPr>
            </w:pPr>
          </w:p>
        </w:tc>
      </w:tr>
      <w:tr w:rsidR="0043456B" w:rsidRPr="0043456B" w14:paraId="3C14BFEA" w14:textId="77777777" w:rsidTr="00EF6543">
        <w:trPr>
          <w:trHeight w:val="413"/>
        </w:trPr>
        <w:tc>
          <w:tcPr>
            <w:tcW w:w="2274" w:type="pct"/>
            <w:shd w:val="clear" w:color="auto" w:fill="auto"/>
            <w:vAlign w:val="center"/>
          </w:tcPr>
          <w:p w14:paraId="1C3EF3C6"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Applicant Name </w:t>
            </w:r>
          </w:p>
        </w:tc>
        <w:tc>
          <w:tcPr>
            <w:tcW w:w="2726" w:type="pct"/>
            <w:shd w:val="clear" w:color="auto" w:fill="auto"/>
            <w:vAlign w:val="center"/>
          </w:tcPr>
          <w:p w14:paraId="361AC56D"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New England Surgery Center, LLC</w:t>
            </w:r>
          </w:p>
        </w:tc>
      </w:tr>
      <w:tr w:rsidR="0043456B" w:rsidRPr="0043456B" w14:paraId="1E4CAD8F" w14:textId="77777777" w:rsidTr="00EF6543">
        <w:trPr>
          <w:trHeight w:val="357"/>
        </w:trPr>
        <w:tc>
          <w:tcPr>
            <w:tcW w:w="2274" w:type="pct"/>
            <w:shd w:val="clear" w:color="auto" w:fill="auto"/>
            <w:vAlign w:val="center"/>
          </w:tcPr>
          <w:p w14:paraId="03133B45"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Applicant Address </w:t>
            </w:r>
          </w:p>
        </w:tc>
        <w:tc>
          <w:tcPr>
            <w:tcW w:w="2726" w:type="pct"/>
            <w:shd w:val="clear" w:color="auto" w:fill="auto"/>
            <w:vAlign w:val="center"/>
          </w:tcPr>
          <w:p w14:paraId="13D56F94" w14:textId="77777777" w:rsidR="0043456B" w:rsidRPr="0043456B" w:rsidRDefault="0043456B" w:rsidP="0043456B">
            <w:pPr>
              <w:ind w:right="540"/>
              <w:contextualSpacing/>
              <w:rPr>
                <w:rFonts w:ascii="Garamond" w:eastAsia="Calibri" w:hAnsi="Garamond" w:cs="Calibri"/>
                <w:sz w:val="24"/>
                <w:szCs w:val="24"/>
                <w:lang w:val="fr-FR"/>
              </w:rPr>
            </w:pPr>
            <w:r w:rsidRPr="0043456B">
              <w:rPr>
                <w:rFonts w:ascii="Garamond" w:eastAsia="Calibri" w:hAnsi="Garamond" w:cs="Calibri"/>
                <w:sz w:val="24"/>
                <w:szCs w:val="24"/>
                <w:lang w:val="fr-FR"/>
              </w:rPr>
              <w:t xml:space="preserve">900 Cummings Center, Suite 122U </w:t>
            </w:r>
          </w:p>
          <w:p w14:paraId="7E264C5E" w14:textId="77777777" w:rsidR="0043456B" w:rsidRPr="0043456B" w:rsidRDefault="0043456B" w:rsidP="0043456B">
            <w:pPr>
              <w:ind w:right="540"/>
              <w:contextualSpacing/>
              <w:rPr>
                <w:rFonts w:ascii="Garamond" w:eastAsia="Calibri" w:hAnsi="Garamond" w:cs="Calibri"/>
                <w:sz w:val="24"/>
                <w:szCs w:val="24"/>
                <w:lang w:val="fr-FR"/>
              </w:rPr>
            </w:pPr>
            <w:r w:rsidRPr="0043456B">
              <w:rPr>
                <w:rFonts w:ascii="Garamond" w:eastAsia="Calibri" w:hAnsi="Garamond" w:cs="Calibri"/>
                <w:sz w:val="24"/>
                <w:szCs w:val="24"/>
                <w:lang w:val="fr-FR"/>
              </w:rPr>
              <w:t>Beverly, MA 01915</w:t>
            </w:r>
          </w:p>
        </w:tc>
      </w:tr>
      <w:tr w:rsidR="0043456B" w:rsidRPr="0043456B" w14:paraId="2C63646C" w14:textId="77777777" w:rsidTr="00EF6543">
        <w:trPr>
          <w:trHeight w:val="377"/>
        </w:trPr>
        <w:tc>
          <w:tcPr>
            <w:tcW w:w="2274" w:type="pct"/>
            <w:shd w:val="clear" w:color="auto" w:fill="auto"/>
            <w:vAlign w:val="center"/>
          </w:tcPr>
          <w:p w14:paraId="7EAB00B7"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Filing Date</w:t>
            </w:r>
          </w:p>
        </w:tc>
        <w:tc>
          <w:tcPr>
            <w:tcW w:w="2726" w:type="pct"/>
            <w:shd w:val="clear" w:color="auto" w:fill="auto"/>
            <w:vAlign w:val="center"/>
          </w:tcPr>
          <w:p w14:paraId="01476E69"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October 16, </w:t>
            </w:r>
            <w:proofErr w:type="gramStart"/>
            <w:r w:rsidRPr="0043456B">
              <w:rPr>
                <w:rFonts w:ascii="Garamond" w:eastAsia="Calibri" w:hAnsi="Garamond" w:cs="Calibri"/>
                <w:sz w:val="24"/>
                <w:szCs w:val="24"/>
              </w:rPr>
              <w:t>2020</w:t>
            </w:r>
            <w:proofErr w:type="gramEnd"/>
            <w:r w:rsidRPr="0043456B">
              <w:rPr>
                <w:rFonts w:ascii="Garamond" w:eastAsia="Calibri" w:hAnsi="Garamond" w:cs="Calibri"/>
                <w:sz w:val="24"/>
                <w:szCs w:val="24"/>
              </w:rPr>
              <w:t xml:space="preserve"> </w:t>
            </w:r>
          </w:p>
        </w:tc>
      </w:tr>
      <w:tr w:rsidR="0043456B" w:rsidRPr="0043456B" w14:paraId="5E83A8B8" w14:textId="77777777" w:rsidTr="00EF6543">
        <w:trPr>
          <w:trHeight w:val="350"/>
        </w:trPr>
        <w:tc>
          <w:tcPr>
            <w:tcW w:w="2274" w:type="pct"/>
            <w:shd w:val="clear" w:color="auto" w:fill="auto"/>
            <w:vAlign w:val="center"/>
          </w:tcPr>
          <w:p w14:paraId="7C105880"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Type of </w:t>
            </w:r>
            <w:proofErr w:type="spellStart"/>
            <w:r w:rsidRPr="0043456B">
              <w:rPr>
                <w:rFonts w:ascii="Garamond" w:eastAsia="Calibri" w:hAnsi="Garamond" w:cs="Calibri"/>
                <w:sz w:val="24"/>
                <w:szCs w:val="24"/>
              </w:rPr>
              <w:t>DoN</w:t>
            </w:r>
            <w:proofErr w:type="spellEnd"/>
            <w:r w:rsidRPr="0043456B">
              <w:rPr>
                <w:rFonts w:ascii="Garamond" w:eastAsia="Calibri" w:hAnsi="Garamond" w:cs="Calibri"/>
                <w:sz w:val="24"/>
                <w:szCs w:val="24"/>
              </w:rPr>
              <w:t xml:space="preserve"> Application</w:t>
            </w:r>
          </w:p>
        </w:tc>
        <w:tc>
          <w:tcPr>
            <w:tcW w:w="2726" w:type="pct"/>
            <w:shd w:val="clear" w:color="auto" w:fill="auto"/>
            <w:vAlign w:val="center"/>
          </w:tcPr>
          <w:p w14:paraId="1A2026F8"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Ambulatory Surgery </w:t>
            </w:r>
          </w:p>
        </w:tc>
      </w:tr>
      <w:tr w:rsidR="0043456B" w:rsidRPr="0043456B" w14:paraId="50CBBDD2" w14:textId="77777777" w:rsidTr="00EF6543">
        <w:trPr>
          <w:trHeight w:val="350"/>
        </w:trPr>
        <w:tc>
          <w:tcPr>
            <w:tcW w:w="2274" w:type="pct"/>
            <w:shd w:val="clear" w:color="auto" w:fill="auto"/>
            <w:vAlign w:val="center"/>
          </w:tcPr>
          <w:p w14:paraId="7BEC969F"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Total Value</w:t>
            </w:r>
          </w:p>
        </w:tc>
        <w:tc>
          <w:tcPr>
            <w:tcW w:w="2726" w:type="pct"/>
            <w:shd w:val="clear" w:color="auto" w:fill="auto"/>
            <w:vAlign w:val="center"/>
          </w:tcPr>
          <w:p w14:paraId="3E5B54A9"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$1,587,646.00</w:t>
            </w:r>
          </w:p>
        </w:tc>
      </w:tr>
      <w:tr w:rsidR="0043456B" w:rsidRPr="0043456B" w14:paraId="1B2733D7" w14:textId="77777777" w:rsidTr="00EF6543">
        <w:trPr>
          <w:trHeight w:val="350"/>
        </w:trPr>
        <w:tc>
          <w:tcPr>
            <w:tcW w:w="2274" w:type="pct"/>
            <w:shd w:val="clear" w:color="auto" w:fill="auto"/>
            <w:vAlign w:val="center"/>
          </w:tcPr>
          <w:p w14:paraId="333E06BE"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Project Number</w:t>
            </w:r>
          </w:p>
        </w:tc>
        <w:tc>
          <w:tcPr>
            <w:tcW w:w="2726" w:type="pct"/>
            <w:shd w:val="clear" w:color="auto" w:fill="auto"/>
            <w:vAlign w:val="center"/>
          </w:tcPr>
          <w:p w14:paraId="6D957E9D"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20072809-AS</w:t>
            </w:r>
          </w:p>
        </w:tc>
      </w:tr>
      <w:tr w:rsidR="0043456B" w:rsidRPr="0043456B" w14:paraId="3982310E" w14:textId="77777777" w:rsidTr="00EF6543">
        <w:trPr>
          <w:trHeight w:val="350"/>
        </w:trPr>
        <w:tc>
          <w:tcPr>
            <w:tcW w:w="2274" w:type="pct"/>
            <w:shd w:val="clear" w:color="auto" w:fill="auto"/>
            <w:vAlign w:val="center"/>
          </w:tcPr>
          <w:p w14:paraId="49FC7AAC"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Ten Taxpayer Group (TTG)</w:t>
            </w:r>
          </w:p>
        </w:tc>
        <w:tc>
          <w:tcPr>
            <w:tcW w:w="2726" w:type="pct"/>
            <w:shd w:val="clear" w:color="auto" w:fill="auto"/>
            <w:vAlign w:val="center"/>
          </w:tcPr>
          <w:p w14:paraId="75FB01D5"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None </w:t>
            </w:r>
          </w:p>
        </w:tc>
      </w:tr>
      <w:tr w:rsidR="0043456B" w:rsidRPr="0043456B" w14:paraId="6FE818BB" w14:textId="77777777" w:rsidTr="00EF6543">
        <w:trPr>
          <w:trHeight w:val="350"/>
        </w:trPr>
        <w:tc>
          <w:tcPr>
            <w:tcW w:w="2274" w:type="pct"/>
            <w:shd w:val="clear" w:color="auto" w:fill="auto"/>
            <w:vAlign w:val="center"/>
          </w:tcPr>
          <w:p w14:paraId="52A0B67C"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Community Health Initiative (CHI)</w:t>
            </w:r>
            <w:r w:rsidRPr="0043456B" w:rsidDel="00FB532E">
              <w:rPr>
                <w:rFonts w:ascii="Garamond" w:eastAsia="Calibri" w:hAnsi="Garamond" w:cs="Calibri"/>
                <w:sz w:val="24"/>
                <w:szCs w:val="24"/>
              </w:rPr>
              <w:t xml:space="preserve"> </w:t>
            </w:r>
          </w:p>
        </w:tc>
        <w:tc>
          <w:tcPr>
            <w:tcW w:w="2726" w:type="pct"/>
            <w:shd w:val="clear" w:color="auto" w:fill="auto"/>
            <w:vAlign w:val="center"/>
          </w:tcPr>
          <w:p w14:paraId="7A858910"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$79,382.30 </w:t>
            </w:r>
          </w:p>
        </w:tc>
      </w:tr>
      <w:tr w:rsidR="0043456B" w:rsidRPr="0043456B" w14:paraId="552A0AF7" w14:textId="77777777" w:rsidTr="00EF6543">
        <w:trPr>
          <w:trHeight w:val="350"/>
        </w:trPr>
        <w:tc>
          <w:tcPr>
            <w:tcW w:w="2274" w:type="pct"/>
            <w:shd w:val="clear" w:color="auto" w:fill="auto"/>
            <w:vAlign w:val="center"/>
          </w:tcPr>
          <w:p w14:paraId="3609A9C2"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Staff Recommendation</w:t>
            </w:r>
          </w:p>
        </w:tc>
        <w:tc>
          <w:tcPr>
            <w:tcW w:w="2726" w:type="pct"/>
            <w:shd w:val="clear" w:color="auto" w:fill="auto"/>
            <w:vAlign w:val="center"/>
          </w:tcPr>
          <w:p w14:paraId="2BC239A4"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Approval</w:t>
            </w:r>
          </w:p>
        </w:tc>
      </w:tr>
      <w:tr w:rsidR="0043456B" w:rsidRPr="0043456B" w14:paraId="44C67039" w14:textId="77777777" w:rsidTr="00EF6543">
        <w:trPr>
          <w:trHeight w:val="350"/>
        </w:trPr>
        <w:tc>
          <w:tcPr>
            <w:tcW w:w="2274" w:type="pct"/>
            <w:shd w:val="clear" w:color="auto" w:fill="auto"/>
            <w:vAlign w:val="center"/>
          </w:tcPr>
          <w:p w14:paraId="48F37D06"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Public Health Council </w:t>
            </w:r>
          </w:p>
        </w:tc>
        <w:tc>
          <w:tcPr>
            <w:tcW w:w="2726" w:type="pct"/>
            <w:shd w:val="clear" w:color="auto" w:fill="auto"/>
            <w:vAlign w:val="center"/>
          </w:tcPr>
          <w:p w14:paraId="40101A1C" w14:textId="77777777" w:rsidR="0043456B" w:rsidRPr="0043456B" w:rsidRDefault="0043456B" w:rsidP="0043456B">
            <w:pPr>
              <w:ind w:right="540"/>
              <w:contextualSpacing/>
              <w:rPr>
                <w:rFonts w:ascii="Garamond" w:eastAsia="Calibri" w:hAnsi="Garamond" w:cs="Calibri"/>
                <w:sz w:val="24"/>
                <w:szCs w:val="24"/>
              </w:rPr>
            </w:pPr>
            <w:r w:rsidRPr="0043456B">
              <w:rPr>
                <w:rFonts w:ascii="Garamond" w:eastAsia="Calibri" w:hAnsi="Garamond" w:cs="Calibri"/>
                <w:sz w:val="24"/>
                <w:szCs w:val="24"/>
              </w:rPr>
              <w:t xml:space="preserve">January 20, </w:t>
            </w:r>
            <w:proofErr w:type="gramStart"/>
            <w:r w:rsidRPr="0043456B">
              <w:rPr>
                <w:rFonts w:ascii="Garamond" w:eastAsia="Calibri" w:hAnsi="Garamond" w:cs="Calibri"/>
                <w:sz w:val="24"/>
                <w:szCs w:val="24"/>
              </w:rPr>
              <w:t>2021</w:t>
            </w:r>
            <w:proofErr w:type="gramEnd"/>
            <w:r w:rsidRPr="0043456B">
              <w:rPr>
                <w:rFonts w:ascii="Garamond" w:eastAsia="Calibri" w:hAnsi="Garamond" w:cs="Calibri"/>
                <w:sz w:val="24"/>
                <w:szCs w:val="24"/>
              </w:rPr>
              <w:t xml:space="preserve"> </w:t>
            </w:r>
          </w:p>
        </w:tc>
      </w:tr>
      <w:tr w:rsidR="0043456B" w:rsidRPr="0043456B" w14:paraId="0E3CAA1F" w14:textId="77777777" w:rsidTr="00EF6543">
        <w:trPr>
          <w:trHeight w:val="2436"/>
        </w:trPr>
        <w:tc>
          <w:tcPr>
            <w:tcW w:w="5000" w:type="pct"/>
            <w:gridSpan w:val="2"/>
            <w:shd w:val="clear" w:color="auto" w:fill="auto"/>
            <w:vAlign w:val="center"/>
          </w:tcPr>
          <w:p w14:paraId="0BCC2290" w14:textId="77777777" w:rsidR="0043456B" w:rsidRPr="0043456B" w:rsidRDefault="0043456B" w:rsidP="0043456B">
            <w:pPr>
              <w:ind w:right="540"/>
              <w:contextualSpacing/>
              <w:jc w:val="center"/>
              <w:rPr>
                <w:rFonts w:ascii="Garamond" w:eastAsia="Calibri" w:hAnsi="Garamond" w:cs="Calibri"/>
                <w:sz w:val="24"/>
                <w:szCs w:val="24"/>
                <w:u w:val="single"/>
              </w:rPr>
            </w:pPr>
          </w:p>
          <w:p w14:paraId="31569859" w14:textId="77777777" w:rsidR="0043456B" w:rsidRPr="0043456B" w:rsidRDefault="0043456B" w:rsidP="0043456B">
            <w:pPr>
              <w:ind w:right="540"/>
              <w:contextualSpacing/>
              <w:jc w:val="center"/>
              <w:rPr>
                <w:rFonts w:ascii="Garamond" w:eastAsia="Calibri" w:hAnsi="Garamond" w:cs="Calibri"/>
                <w:sz w:val="24"/>
                <w:szCs w:val="24"/>
              </w:rPr>
            </w:pPr>
            <w:r w:rsidRPr="0043456B">
              <w:rPr>
                <w:rFonts w:ascii="Garamond" w:eastAsia="Calibri" w:hAnsi="Garamond" w:cs="Calibri"/>
                <w:sz w:val="24"/>
                <w:szCs w:val="24"/>
                <w:u w:val="single"/>
              </w:rPr>
              <w:t>Project Summary and Regulatory Review</w:t>
            </w:r>
          </w:p>
          <w:p w14:paraId="621F6459" w14:textId="77777777" w:rsidR="0043456B" w:rsidRPr="0043456B" w:rsidRDefault="0043456B" w:rsidP="0043456B">
            <w:pPr>
              <w:ind w:right="540"/>
              <w:rPr>
                <w:rFonts w:ascii="Garamond" w:eastAsia="Calibri" w:hAnsi="Garamond" w:cs="Calibri"/>
                <w:sz w:val="24"/>
                <w:szCs w:val="24"/>
              </w:rPr>
            </w:pPr>
            <w:r w:rsidRPr="0043456B">
              <w:rPr>
                <w:rFonts w:ascii="Garamond" w:eastAsia="Calibri" w:hAnsi="Garamond" w:cs="Calibri"/>
                <w:sz w:val="24"/>
                <w:szCs w:val="24"/>
              </w:rPr>
              <w:t xml:space="preserve">New England Surgery Center, LLC (Applicant) is a multi-specialty, freestanding ambulatory surgery center located in Beverly, MA. The Applicant </w:t>
            </w:r>
            <w:proofErr w:type="gramStart"/>
            <w:r w:rsidRPr="0043456B">
              <w:rPr>
                <w:rFonts w:ascii="Garamond" w:eastAsia="Calibri" w:hAnsi="Garamond" w:cs="Calibri"/>
                <w:sz w:val="24"/>
                <w:szCs w:val="24"/>
              </w:rPr>
              <w:t>submitted an application</w:t>
            </w:r>
            <w:proofErr w:type="gramEnd"/>
            <w:r w:rsidRPr="0043456B">
              <w:rPr>
                <w:rFonts w:ascii="Garamond" w:eastAsia="Calibri" w:hAnsi="Garamond" w:cs="Calibri"/>
                <w:sz w:val="24"/>
                <w:szCs w:val="24"/>
              </w:rPr>
              <w:t xml:space="preserve"> for a Proposed Substantial Change in Service to expand their ambulatory surgical capacity. The proposal is to renovate 5,190 gross square feet (GSF) of existing space adjacent to the current location for one operating room, two pre/post-operative beds, one enclosed pediatric room, an enlarged central sterile area, and additional administrative offices and storage spaces. The total value for the Proposed Project is 1,587,646.00. The Community Health Initiative (CHI) contribution to the Statewide Initiative Fund is $79,382.30.</w:t>
            </w:r>
          </w:p>
          <w:p w14:paraId="69599840" w14:textId="77777777" w:rsidR="0043456B" w:rsidRPr="0043456B" w:rsidRDefault="0043456B" w:rsidP="0043456B">
            <w:pPr>
              <w:contextualSpacing/>
              <w:rPr>
                <w:rFonts w:ascii="Garamond" w:eastAsia="Calibri" w:hAnsi="Garamond" w:cs="Calibri"/>
                <w:sz w:val="24"/>
                <w:szCs w:val="24"/>
              </w:rPr>
            </w:pPr>
          </w:p>
          <w:p w14:paraId="2D32BB00" w14:textId="77777777" w:rsidR="0043456B" w:rsidRPr="0043456B" w:rsidRDefault="0043456B" w:rsidP="0043456B">
            <w:pPr>
              <w:contextualSpacing/>
              <w:rPr>
                <w:rFonts w:ascii="Garamond" w:eastAsia="Calibri" w:hAnsi="Garamond" w:cs="Calibri"/>
                <w:sz w:val="24"/>
                <w:szCs w:val="24"/>
              </w:rPr>
            </w:pPr>
            <w:r w:rsidRPr="0043456B">
              <w:rPr>
                <w:rFonts w:ascii="Garamond" w:eastAsia="Calibri" w:hAnsi="Garamond" w:cs="Calibri"/>
                <w:sz w:val="24"/>
                <w:szCs w:val="24"/>
              </w:rPr>
              <w:t xml:space="preserve">Review of Applications for Ambulatory Surgery is under the </w:t>
            </w:r>
            <w:proofErr w:type="spellStart"/>
            <w:r w:rsidRPr="0043456B">
              <w:rPr>
                <w:rFonts w:ascii="Garamond" w:eastAsia="Calibri" w:hAnsi="Garamond" w:cs="Calibri"/>
                <w:sz w:val="24"/>
                <w:szCs w:val="24"/>
              </w:rPr>
              <w:t>DoN</w:t>
            </w:r>
            <w:proofErr w:type="spellEnd"/>
            <w:r w:rsidRPr="0043456B">
              <w:rPr>
                <w:rFonts w:ascii="Garamond" w:eastAsia="Calibri" w:hAnsi="Garamond" w:cs="Calibri"/>
                <w:sz w:val="24"/>
                <w:szCs w:val="24"/>
              </w:rPr>
              <w:t xml:space="preserve"> regulation 105 CMR 100.000. The Department must determine that need exists for a Proposed Project, </w:t>
            </w:r>
            <w:proofErr w:type="gramStart"/>
            <w:r w:rsidRPr="0043456B">
              <w:rPr>
                <w:rFonts w:ascii="Garamond" w:eastAsia="Calibri" w:hAnsi="Garamond" w:cs="Calibri"/>
                <w:sz w:val="24"/>
                <w:szCs w:val="24"/>
              </w:rPr>
              <w:t>on the basis of</w:t>
            </w:r>
            <w:proofErr w:type="gramEnd"/>
            <w:r w:rsidRPr="0043456B">
              <w:rPr>
                <w:rFonts w:ascii="Garamond" w:eastAsia="Calibri" w:hAnsi="Garamond" w:cs="Calibri"/>
                <w:sz w:val="24"/>
                <w:szCs w:val="24"/>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p>
        </w:tc>
      </w:tr>
    </w:tbl>
    <w:p w14:paraId="485726CD" w14:textId="77777777" w:rsidR="0043456B" w:rsidRPr="0043456B" w:rsidRDefault="0043456B" w:rsidP="0043456B">
      <w:pPr>
        <w:widowControl/>
        <w:autoSpaceDE/>
        <w:autoSpaceDN/>
        <w:contextualSpacing/>
        <w:rPr>
          <w:rFonts w:ascii="Garamond" w:eastAsia="Calibri" w:hAnsi="Garamond"/>
        </w:rPr>
      </w:pPr>
    </w:p>
    <w:p w14:paraId="52786182" w14:textId="77777777" w:rsidR="0043456B" w:rsidRPr="0043456B" w:rsidRDefault="0043456B" w:rsidP="0043456B">
      <w:pPr>
        <w:widowControl/>
        <w:autoSpaceDE/>
        <w:autoSpaceDN/>
        <w:spacing w:after="200"/>
        <w:rPr>
          <w:rFonts w:ascii="Garamond" w:eastAsia="Calibri" w:hAnsi="Garamond"/>
        </w:rPr>
      </w:pPr>
      <w:r w:rsidRPr="0043456B">
        <w:rPr>
          <w:rFonts w:ascii="Garamond" w:eastAsia="Calibri" w:hAnsi="Garamond"/>
        </w:rPr>
        <w:br w:type="page"/>
      </w:r>
    </w:p>
    <w:sdt>
      <w:sdtPr>
        <w:rPr>
          <w:rFonts w:ascii="Garamond" w:eastAsia="Calibri" w:hAnsi="Garamond"/>
        </w:rPr>
        <w:id w:val="-1752895406"/>
        <w:docPartObj>
          <w:docPartGallery w:val="Table of Contents"/>
          <w:docPartUnique/>
        </w:docPartObj>
      </w:sdtPr>
      <w:sdtEndPr>
        <w:rPr>
          <w:b/>
          <w:bCs/>
          <w:noProof/>
        </w:rPr>
      </w:sdtEndPr>
      <w:sdtContent>
        <w:p w14:paraId="6F41ACAA" w14:textId="77777777" w:rsidR="0043456B" w:rsidRPr="0043456B" w:rsidRDefault="0043456B" w:rsidP="0043456B">
          <w:pPr>
            <w:keepNext/>
            <w:keepLines/>
            <w:widowControl/>
            <w:autoSpaceDE/>
            <w:autoSpaceDN/>
            <w:spacing w:before="240"/>
            <w:rPr>
              <w:rFonts w:ascii="Garamond" w:hAnsi="Garamond"/>
              <w:color w:val="42558C"/>
              <w:sz w:val="32"/>
              <w:szCs w:val="32"/>
            </w:rPr>
          </w:pPr>
          <w:r w:rsidRPr="0043456B">
            <w:rPr>
              <w:rFonts w:ascii="Garamond" w:hAnsi="Garamond"/>
              <w:color w:val="42558C"/>
              <w:sz w:val="32"/>
              <w:szCs w:val="32"/>
            </w:rPr>
            <w:t>Table of Contents</w:t>
          </w:r>
        </w:p>
        <w:p w14:paraId="4589D9F0" w14:textId="77777777" w:rsidR="0043456B" w:rsidRPr="008104A8" w:rsidRDefault="0043456B" w:rsidP="0043456B">
          <w:pPr>
            <w:widowControl/>
            <w:tabs>
              <w:tab w:val="right" w:leader="dot" w:pos="10070"/>
            </w:tabs>
            <w:autoSpaceDE/>
            <w:autoSpaceDN/>
            <w:spacing w:after="100" w:line="276" w:lineRule="auto"/>
            <w:rPr>
              <w:rFonts w:ascii="Garamond" w:hAnsi="Garamond"/>
              <w:noProof/>
              <w:color w:val="000000" w:themeColor="text1"/>
            </w:rPr>
          </w:pPr>
          <w:r w:rsidRPr="0043456B">
            <w:rPr>
              <w:rFonts w:ascii="Garamond" w:hAnsi="Garamond"/>
              <w:noProof/>
            </w:rPr>
            <w:fldChar w:fldCharType="begin"/>
          </w:r>
          <w:r w:rsidRPr="0043456B">
            <w:rPr>
              <w:rFonts w:ascii="Garamond" w:hAnsi="Garamond"/>
              <w:noProof/>
            </w:rPr>
            <w:instrText xml:space="preserve"> TOC \o "1-3" \h \z \u </w:instrText>
          </w:r>
          <w:r w:rsidRPr="0043456B">
            <w:rPr>
              <w:rFonts w:ascii="Garamond" w:hAnsi="Garamond"/>
              <w:noProof/>
            </w:rPr>
            <w:fldChar w:fldCharType="separate"/>
          </w:r>
          <w:hyperlink w:anchor="_Toc58960194" w:history="1">
            <w:r w:rsidRPr="008104A8">
              <w:rPr>
                <w:rFonts w:ascii="Garamond" w:hAnsi="Garamond"/>
                <w:noProof/>
                <w:color w:val="000000" w:themeColor="text1"/>
                <w:u w:val="single"/>
              </w:rPr>
              <w:t>Background: New England Surgery Center and Application Overview</w:t>
            </w:r>
            <w:r w:rsidRPr="008104A8">
              <w:rPr>
                <w:rFonts w:ascii="Garamond" w:hAnsi="Garamond"/>
                <w:noProof/>
                <w:webHidden/>
                <w:color w:val="000000" w:themeColor="text1"/>
              </w:rPr>
              <w:tab/>
            </w:r>
            <w:r w:rsidRPr="008104A8">
              <w:rPr>
                <w:rFonts w:ascii="Garamond" w:hAnsi="Garamond"/>
                <w:noProof/>
                <w:webHidden/>
                <w:color w:val="000000" w:themeColor="text1"/>
              </w:rPr>
              <w:fldChar w:fldCharType="begin"/>
            </w:r>
            <w:r w:rsidRPr="008104A8">
              <w:rPr>
                <w:rFonts w:ascii="Garamond" w:hAnsi="Garamond"/>
                <w:noProof/>
                <w:webHidden/>
                <w:color w:val="000000" w:themeColor="text1"/>
              </w:rPr>
              <w:instrText xml:space="preserve"> PAGEREF _Toc58960194 \h </w:instrText>
            </w:r>
            <w:r w:rsidRPr="008104A8">
              <w:rPr>
                <w:rFonts w:ascii="Garamond" w:hAnsi="Garamond"/>
                <w:noProof/>
                <w:webHidden/>
                <w:color w:val="000000" w:themeColor="text1"/>
              </w:rPr>
            </w:r>
            <w:r w:rsidRPr="008104A8">
              <w:rPr>
                <w:rFonts w:ascii="Garamond" w:hAnsi="Garamond"/>
                <w:noProof/>
                <w:webHidden/>
                <w:color w:val="000000" w:themeColor="text1"/>
              </w:rPr>
              <w:fldChar w:fldCharType="separate"/>
            </w:r>
            <w:r w:rsidRPr="008104A8">
              <w:rPr>
                <w:rFonts w:ascii="Garamond" w:hAnsi="Garamond"/>
                <w:noProof/>
                <w:webHidden/>
                <w:color w:val="000000" w:themeColor="text1"/>
              </w:rPr>
              <w:t>4</w:t>
            </w:r>
            <w:r w:rsidRPr="008104A8">
              <w:rPr>
                <w:rFonts w:ascii="Garamond" w:hAnsi="Garamond"/>
                <w:noProof/>
                <w:webHidden/>
                <w:color w:val="000000" w:themeColor="text1"/>
              </w:rPr>
              <w:fldChar w:fldCharType="end"/>
            </w:r>
          </w:hyperlink>
        </w:p>
        <w:p w14:paraId="547AA07B"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2" w:history="1">
            <w:r w:rsidR="0043456B" w:rsidRPr="008104A8">
              <w:rPr>
                <w:rFonts w:ascii="Garamond" w:hAnsi="Garamond"/>
                <w:noProof/>
                <w:color w:val="000000" w:themeColor="text1"/>
                <w:u w:val="single"/>
              </w:rPr>
              <w:t>Patient Panel</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_Toc58960212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4</w:t>
            </w:r>
            <w:r w:rsidR="0043456B" w:rsidRPr="008104A8">
              <w:rPr>
                <w:rFonts w:ascii="Garamond" w:hAnsi="Garamond"/>
                <w:noProof/>
                <w:webHidden/>
                <w:color w:val="000000" w:themeColor="text1"/>
              </w:rPr>
              <w:fldChar w:fldCharType="end"/>
            </w:r>
          </w:hyperlink>
        </w:p>
        <w:p w14:paraId="7F6B75C8"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3" w:history="1">
            <w:r w:rsidR="0043456B" w:rsidRPr="008104A8">
              <w:rPr>
                <w:rFonts w:ascii="Garamond" w:eastAsia="Calibri" w:hAnsi="Garamond"/>
                <w:noProof/>
                <w:color w:val="000000" w:themeColor="text1"/>
                <w:u w:val="single"/>
              </w:rPr>
              <w:t>Factor 1: a) Patient Panel Need</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_Toc58960213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5</w:t>
            </w:r>
            <w:r w:rsidR="0043456B" w:rsidRPr="008104A8">
              <w:rPr>
                <w:rFonts w:ascii="Garamond" w:hAnsi="Garamond"/>
                <w:noProof/>
                <w:webHidden/>
                <w:color w:val="000000" w:themeColor="text1"/>
              </w:rPr>
              <w:fldChar w:fldCharType="end"/>
            </w:r>
          </w:hyperlink>
        </w:p>
        <w:p w14:paraId="58927776"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4" w:history="1">
            <w:r w:rsidR="0043456B" w:rsidRPr="008104A8">
              <w:rPr>
                <w:rFonts w:ascii="Garamond" w:hAnsi="Garamond"/>
                <w:noProof/>
                <w:color w:val="000000" w:themeColor="text1"/>
                <w:u w:val="single"/>
              </w:rPr>
              <w:t>Factor 1: b) Public health value, improved health outcomes and quality of life; assurances of health equity</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_Toc58960214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9</w:t>
            </w:r>
            <w:r w:rsidR="0043456B" w:rsidRPr="008104A8">
              <w:rPr>
                <w:rFonts w:ascii="Garamond" w:hAnsi="Garamond"/>
                <w:noProof/>
                <w:webHidden/>
                <w:color w:val="000000" w:themeColor="text1"/>
              </w:rPr>
              <w:fldChar w:fldCharType="end"/>
            </w:r>
          </w:hyperlink>
        </w:p>
        <w:p w14:paraId="05FDC2D0"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5" w:history="1">
            <w:r w:rsidR="0043456B" w:rsidRPr="008104A8">
              <w:rPr>
                <w:rFonts w:ascii="Garamond" w:eastAsia="Calibri" w:hAnsi="Garamond"/>
                <w:noProof/>
                <w:color w:val="000000" w:themeColor="text1"/>
                <w:u w:val="single"/>
              </w:rPr>
              <w:t>Factor 1: c) Efficiency, Continuity of Care, Coordination of Care</w:t>
            </w:r>
            <w:r w:rsidR="0043456B" w:rsidRPr="008104A8">
              <w:rPr>
                <w:rFonts w:ascii="Garamond" w:eastAsia="Calibri" w:hAnsi="Garamond"/>
                <w:noProof/>
                <w:webHidden/>
                <w:color w:val="000000" w:themeColor="text1"/>
              </w:rPr>
              <w:tab/>
            </w:r>
            <w:r w:rsidR="0043456B" w:rsidRPr="008104A8">
              <w:rPr>
                <w:rFonts w:ascii="Garamond" w:eastAsia="Calibri" w:hAnsi="Garamond"/>
                <w:noProof/>
                <w:webHidden/>
                <w:color w:val="000000" w:themeColor="text1"/>
              </w:rPr>
              <w:fldChar w:fldCharType="begin"/>
            </w:r>
            <w:r w:rsidR="0043456B" w:rsidRPr="008104A8">
              <w:rPr>
                <w:rFonts w:ascii="Garamond" w:eastAsia="Calibri" w:hAnsi="Garamond"/>
                <w:noProof/>
                <w:webHidden/>
                <w:color w:val="000000" w:themeColor="text1"/>
              </w:rPr>
              <w:instrText xml:space="preserve"> PAGEREF _Toc58960215 \h </w:instrText>
            </w:r>
            <w:r w:rsidR="0043456B" w:rsidRPr="008104A8">
              <w:rPr>
                <w:rFonts w:ascii="Garamond" w:eastAsia="Calibri" w:hAnsi="Garamond"/>
                <w:noProof/>
                <w:webHidden/>
                <w:color w:val="000000" w:themeColor="text1"/>
              </w:rPr>
            </w:r>
            <w:r w:rsidR="0043456B" w:rsidRPr="008104A8">
              <w:rPr>
                <w:rFonts w:ascii="Garamond" w:eastAsia="Calibri" w:hAnsi="Garamond"/>
                <w:noProof/>
                <w:webHidden/>
                <w:color w:val="000000" w:themeColor="text1"/>
              </w:rPr>
              <w:fldChar w:fldCharType="separate"/>
            </w:r>
            <w:r w:rsidR="0043456B" w:rsidRPr="008104A8">
              <w:rPr>
                <w:rFonts w:ascii="Garamond" w:eastAsia="Calibri" w:hAnsi="Garamond"/>
                <w:noProof/>
                <w:webHidden/>
                <w:color w:val="000000" w:themeColor="text1"/>
              </w:rPr>
              <w:t>11</w:t>
            </w:r>
            <w:r w:rsidR="0043456B" w:rsidRPr="008104A8">
              <w:rPr>
                <w:rFonts w:ascii="Garamond" w:eastAsia="Calibri" w:hAnsi="Garamond"/>
                <w:noProof/>
                <w:webHidden/>
                <w:color w:val="000000" w:themeColor="text1"/>
              </w:rPr>
              <w:fldChar w:fldCharType="end"/>
            </w:r>
          </w:hyperlink>
        </w:p>
        <w:p w14:paraId="732749FA"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6" w:history="1">
            <w:r w:rsidR="0043456B" w:rsidRPr="008104A8">
              <w:rPr>
                <w:rFonts w:ascii="Garamond" w:hAnsi="Garamond"/>
                <w:noProof/>
                <w:color w:val="000000" w:themeColor="text1"/>
                <w:u w:val="single"/>
              </w:rPr>
              <w:t>Factor 1: d) Consultation</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_Toc58960216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11</w:t>
            </w:r>
            <w:r w:rsidR="0043456B" w:rsidRPr="008104A8">
              <w:rPr>
                <w:rFonts w:ascii="Garamond" w:hAnsi="Garamond"/>
                <w:noProof/>
                <w:webHidden/>
                <w:color w:val="000000" w:themeColor="text1"/>
              </w:rPr>
              <w:fldChar w:fldCharType="end"/>
            </w:r>
          </w:hyperlink>
        </w:p>
        <w:p w14:paraId="454DE04D"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7" w:history="1">
            <w:r w:rsidR="0043456B" w:rsidRPr="008104A8">
              <w:rPr>
                <w:rFonts w:ascii="Garamond" w:hAnsi="Garamond"/>
                <w:noProof/>
                <w:color w:val="000000" w:themeColor="text1"/>
                <w:u w:val="single"/>
              </w:rPr>
              <w:t>Factor 1: e) Evidence of Sound Community Engagement through the Patient Panel</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_Toc58960217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12</w:t>
            </w:r>
            <w:r w:rsidR="0043456B" w:rsidRPr="008104A8">
              <w:rPr>
                <w:rFonts w:ascii="Garamond" w:hAnsi="Garamond"/>
                <w:noProof/>
                <w:webHidden/>
                <w:color w:val="000000" w:themeColor="text1"/>
              </w:rPr>
              <w:fldChar w:fldCharType="end"/>
            </w:r>
          </w:hyperlink>
        </w:p>
        <w:p w14:paraId="57A2B3C7"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8" w:history="1">
            <w:r w:rsidR="0043456B" w:rsidRPr="008104A8">
              <w:rPr>
                <w:rFonts w:ascii="Garamond" w:hAnsi="Garamond"/>
                <w:noProof/>
                <w:color w:val="000000" w:themeColor="text1"/>
                <w:u w:val="single"/>
              </w:rPr>
              <w:t>Factor 1: f) Competition on price, total medical expenses (TME), costs and other measures of health care spending</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_Toc58960218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12</w:t>
            </w:r>
            <w:r w:rsidR="0043456B" w:rsidRPr="008104A8">
              <w:rPr>
                <w:rFonts w:ascii="Garamond" w:hAnsi="Garamond"/>
                <w:noProof/>
                <w:webHidden/>
                <w:color w:val="000000" w:themeColor="text1"/>
              </w:rPr>
              <w:fldChar w:fldCharType="end"/>
            </w:r>
          </w:hyperlink>
        </w:p>
        <w:p w14:paraId="17D7AFEA"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19" w:history="1">
            <w:r w:rsidR="0043456B" w:rsidRPr="008104A8">
              <w:rPr>
                <w:rFonts w:ascii="Garamond" w:eastAsia="Calibri" w:hAnsi="Garamond"/>
                <w:noProof/>
                <w:color w:val="000000" w:themeColor="text1"/>
                <w:u w:val="single"/>
              </w:rPr>
              <w:t>Factor 1 Summary</w:t>
            </w:r>
            <w:r w:rsidR="0043456B" w:rsidRPr="008104A8">
              <w:rPr>
                <w:rFonts w:ascii="Garamond" w:eastAsia="Calibri" w:hAnsi="Garamond"/>
                <w:noProof/>
                <w:webHidden/>
                <w:color w:val="000000" w:themeColor="text1"/>
              </w:rPr>
              <w:tab/>
            </w:r>
            <w:r w:rsidR="0043456B" w:rsidRPr="008104A8">
              <w:rPr>
                <w:rFonts w:ascii="Garamond" w:eastAsia="Calibri" w:hAnsi="Garamond"/>
                <w:noProof/>
                <w:webHidden/>
                <w:color w:val="000000" w:themeColor="text1"/>
              </w:rPr>
              <w:fldChar w:fldCharType="begin"/>
            </w:r>
            <w:r w:rsidR="0043456B" w:rsidRPr="008104A8">
              <w:rPr>
                <w:rFonts w:ascii="Garamond" w:eastAsia="Calibri" w:hAnsi="Garamond"/>
                <w:noProof/>
                <w:webHidden/>
                <w:color w:val="000000" w:themeColor="text1"/>
              </w:rPr>
              <w:instrText xml:space="preserve"> PAGEREF _Toc58960219 \h </w:instrText>
            </w:r>
            <w:r w:rsidR="0043456B" w:rsidRPr="008104A8">
              <w:rPr>
                <w:rFonts w:ascii="Garamond" w:eastAsia="Calibri" w:hAnsi="Garamond"/>
                <w:noProof/>
                <w:webHidden/>
                <w:color w:val="000000" w:themeColor="text1"/>
              </w:rPr>
            </w:r>
            <w:r w:rsidR="0043456B" w:rsidRPr="008104A8">
              <w:rPr>
                <w:rFonts w:ascii="Garamond" w:eastAsia="Calibri" w:hAnsi="Garamond"/>
                <w:noProof/>
                <w:webHidden/>
                <w:color w:val="000000" w:themeColor="text1"/>
              </w:rPr>
              <w:fldChar w:fldCharType="separate"/>
            </w:r>
            <w:r w:rsidR="0043456B" w:rsidRPr="008104A8">
              <w:rPr>
                <w:rFonts w:ascii="Garamond" w:eastAsia="Calibri" w:hAnsi="Garamond"/>
                <w:noProof/>
                <w:webHidden/>
                <w:color w:val="000000" w:themeColor="text1"/>
              </w:rPr>
              <w:t>14</w:t>
            </w:r>
            <w:r w:rsidR="0043456B" w:rsidRPr="008104A8">
              <w:rPr>
                <w:rFonts w:ascii="Garamond" w:eastAsia="Calibri" w:hAnsi="Garamond"/>
                <w:noProof/>
                <w:webHidden/>
                <w:color w:val="000000" w:themeColor="text1"/>
              </w:rPr>
              <w:fldChar w:fldCharType="end"/>
            </w:r>
          </w:hyperlink>
        </w:p>
        <w:p w14:paraId="48845696"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0" w:history="1">
            <w:r w:rsidR="0043456B" w:rsidRPr="008104A8">
              <w:rPr>
                <w:rFonts w:ascii="Garamond" w:hAnsi="Garamond"/>
                <w:noProof/>
                <w:color w:val="000000" w:themeColor="text1"/>
                <w:u w:val="single"/>
              </w:rPr>
              <w:t>Factor 2: Cost containment, Improved Public Health Outcomes and Delivery System Transformation</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_Toc58960220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14</w:t>
            </w:r>
            <w:r w:rsidR="0043456B" w:rsidRPr="008104A8">
              <w:rPr>
                <w:rFonts w:ascii="Garamond" w:hAnsi="Garamond"/>
                <w:noProof/>
                <w:webHidden/>
                <w:color w:val="000000" w:themeColor="text1"/>
              </w:rPr>
              <w:fldChar w:fldCharType="end"/>
            </w:r>
          </w:hyperlink>
        </w:p>
        <w:p w14:paraId="17FA8346"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1" w:history="1">
            <w:r w:rsidR="0043456B" w:rsidRPr="008104A8">
              <w:rPr>
                <w:rFonts w:ascii="Garamond" w:hAnsi="Garamond"/>
                <w:noProof/>
                <w:color w:val="000000" w:themeColor="text1"/>
                <w:u w:val="single"/>
              </w:rPr>
              <w:t>Factor 2 Summary</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_Toc58960221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16</w:t>
            </w:r>
            <w:r w:rsidR="0043456B" w:rsidRPr="008104A8">
              <w:rPr>
                <w:rFonts w:ascii="Garamond" w:hAnsi="Garamond"/>
                <w:noProof/>
                <w:webHidden/>
                <w:color w:val="000000" w:themeColor="text1"/>
              </w:rPr>
              <w:fldChar w:fldCharType="end"/>
            </w:r>
          </w:hyperlink>
        </w:p>
        <w:p w14:paraId="008AD28D"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2" w:history="1">
            <w:r w:rsidR="0043456B" w:rsidRPr="008104A8">
              <w:rPr>
                <w:rFonts w:ascii="Garamond" w:hAnsi="Garamond"/>
                <w:noProof/>
                <w:color w:val="000000" w:themeColor="text1"/>
                <w:u w:val="single"/>
              </w:rPr>
              <w:t>Factor 3: Relevant Licensure/Oversight Compliance</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_Toc58960222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16</w:t>
            </w:r>
            <w:r w:rsidR="0043456B" w:rsidRPr="008104A8">
              <w:rPr>
                <w:rFonts w:ascii="Garamond" w:hAnsi="Garamond"/>
                <w:noProof/>
                <w:webHidden/>
                <w:color w:val="000000" w:themeColor="text1"/>
              </w:rPr>
              <w:fldChar w:fldCharType="end"/>
            </w:r>
          </w:hyperlink>
        </w:p>
        <w:p w14:paraId="68BC0E96"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3" w:history="1">
            <w:r w:rsidR="0043456B" w:rsidRPr="008104A8">
              <w:rPr>
                <w:rFonts w:ascii="Garamond" w:hAnsi="Garamond"/>
                <w:noProof/>
                <w:color w:val="000000" w:themeColor="text1"/>
                <w:u w:val="single"/>
              </w:rPr>
              <w:t>Factor 4: Demonstration of Sufficient Funds as Supported by an Independent CPA Analysis</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_Toc58960223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16</w:t>
            </w:r>
            <w:r w:rsidR="0043456B" w:rsidRPr="008104A8">
              <w:rPr>
                <w:rFonts w:ascii="Garamond" w:hAnsi="Garamond"/>
                <w:noProof/>
                <w:webHidden/>
                <w:color w:val="000000" w:themeColor="text1"/>
              </w:rPr>
              <w:fldChar w:fldCharType="end"/>
            </w:r>
          </w:hyperlink>
        </w:p>
        <w:p w14:paraId="11888682"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4" w:history="1">
            <w:r w:rsidR="0043456B" w:rsidRPr="008104A8">
              <w:rPr>
                <w:rFonts w:ascii="Garamond" w:hAnsi="Garamond"/>
                <w:noProof/>
                <w:color w:val="000000" w:themeColor="text1"/>
                <w:u w:val="single"/>
              </w:rPr>
              <w:t>Factor 5: Assessment of the Proposed Project’s Relative Merit</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_Toc58960224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17</w:t>
            </w:r>
            <w:r w:rsidR="0043456B" w:rsidRPr="008104A8">
              <w:rPr>
                <w:rFonts w:ascii="Garamond" w:hAnsi="Garamond"/>
                <w:noProof/>
                <w:webHidden/>
                <w:color w:val="000000" w:themeColor="text1"/>
              </w:rPr>
              <w:fldChar w:fldCharType="end"/>
            </w:r>
          </w:hyperlink>
        </w:p>
        <w:p w14:paraId="3D9CEB64"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5" w:history="1">
            <w:r w:rsidR="0043456B" w:rsidRPr="008104A8">
              <w:rPr>
                <w:rFonts w:ascii="Garamond" w:hAnsi="Garamond"/>
                <w:noProof/>
                <w:color w:val="000000" w:themeColor="text1"/>
                <w:u w:val="single"/>
              </w:rPr>
              <w:t>Factor 6: Fulfillment of DPH Community-based Health Initiatives Guideline</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_Toc58960225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17</w:t>
            </w:r>
            <w:r w:rsidR="0043456B" w:rsidRPr="008104A8">
              <w:rPr>
                <w:rFonts w:ascii="Garamond" w:hAnsi="Garamond"/>
                <w:noProof/>
                <w:webHidden/>
                <w:color w:val="000000" w:themeColor="text1"/>
              </w:rPr>
              <w:fldChar w:fldCharType="end"/>
            </w:r>
          </w:hyperlink>
        </w:p>
        <w:p w14:paraId="47FF1DB7"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6" w:history="1">
            <w:r w:rsidR="0043456B" w:rsidRPr="008104A8">
              <w:rPr>
                <w:rFonts w:ascii="Garamond" w:hAnsi="Garamond"/>
                <w:noProof/>
                <w:color w:val="000000" w:themeColor="text1"/>
                <w:u w:val="single"/>
              </w:rPr>
              <w:t>Findings and Recommendations</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_Toc58960226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17</w:t>
            </w:r>
            <w:r w:rsidR="0043456B" w:rsidRPr="008104A8">
              <w:rPr>
                <w:rFonts w:ascii="Garamond" w:hAnsi="Garamond"/>
                <w:noProof/>
                <w:webHidden/>
                <w:color w:val="000000" w:themeColor="text1"/>
              </w:rPr>
              <w:fldChar w:fldCharType="end"/>
            </w:r>
          </w:hyperlink>
        </w:p>
        <w:p w14:paraId="2123CCC6" w14:textId="77777777" w:rsidR="0043456B" w:rsidRPr="008104A8" w:rsidRDefault="00BC5D13" w:rsidP="0043456B">
          <w:pPr>
            <w:widowControl/>
            <w:tabs>
              <w:tab w:val="right" w:leader="dot" w:pos="10070"/>
            </w:tabs>
            <w:autoSpaceDE/>
            <w:autoSpaceDN/>
            <w:spacing w:after="100" w:line="276" w:lineRule="auto"/>
            <w:rPr>
              <w:rFonts w:ascii="Garamond" w:hAnsi="Garamond"/>
              <w:noProof/>
              <w:color w:val="000000" w:themeColor="text1"/>
            </w:rPr>
          </w:pPr>
          <w:hyperlink w:anchor="_Toc58960227" w:history="1">
            <w:r w:rsidR="0043456B" w:rsidRPr="008104A8">
              <w:rPr>
                <w:rFonts w:ascii="Garamond" w:hAnsi="Garamond"/>
                <w:noProof/>
                <w:color w:val="000000" w:themeColor="text1"/>
                <w:u w:val="single"/>
              </w:rPr>
              <w:t>Other Conditions</w:t>
            </w:r>
            <w:r w:rsidR="0043456B" w:rsidRPr="008104A8">
              <w:rPr>
                <w:rFonts w:ascii="Garamond" w:hAnsi="Garamond"/>
                <w:noProof/>
                <w:webHidden/>
                <w:color w:val="000000" w:themeColor="text1"/>
              </w:rPr>
              <w:tab/>
            </w:r>
            <w:r w:rsidR="0043456B" w:rsidRPr="008104A8">
              <w:rPr>
                <w:rFonts w:ascii="Garamond" w:hAnsi="Garamond"/>
                <w:noProof/>
                <w:webHidden/>
                <w:color w:val="000000" w:themeColor="text1"/>
              </w:rPr>
              <w:fldChar w:fldCharType="begin"/>
            </w:r>
            <w:r w:rsidR="0043456B" w:rsidRPr="008104A8">
              <w:rPr>
                <w:rFonts w:ascii="Garamond" w:hAnsi="Garamond"/>
                <w:noProof/>
                <w:webHidden/>
                <w:color w:val="000000" w:themeColor="text1"/>
              </w:rPr>
              <w:instrText xml:space="preserve"> PAGEREF _Toc58960227 \h </w:instrText>
            </w:r>
            <w:r w:rsidR="0043456B" w:rsidRPr="008104A8">
              <w:rPr>
                <w:rFonts w:ascii="Garamond" w:hAnsi="Garamond"/>
                <w:noProof/>
                <w:webHidden/>
                <w:color w:val="000000" w:themeColor="text1"/>
              </w:rPr>
            </w:r>
            <w:r w:rsidR="0043456B" w:rsidRPr="008104A8">
              <w:rPr>
                <w:rFonts w:ascii="Garamond" w:hAnsi="Garamond"/>
                <w:noProof/>
                <w:webHidden/>
                <w:color w:val="000000" w:themeColor="text1"/>
              </w:rPr>
              <w:fldChar w:fldCharType="separate"/>
            </w:r>
            <w:r w:rsidR="0043456B" w:rsidRPr="008104A8">
              <w:rPr>
                <w:rFonts w:ascii="Garamond" w:hAnsi="Garamond"/>
                <w:noProof/>
                <w:webHidden/>
                <w:color w:val="000000" w:themeColor="text1"/>
              </w:rPr>
              <w:t>17</w:t>
            </w:r>
            <w:r w:rsidR="0043456B" w:rsidRPr="008104A8">
              <w:rPr>
                <w:rFonts w:ascii="Garamond" w:hAnsi="Garamond"/>
                <w:noProof/>
                <w:webHidden/>
                <w:color w:val="000000" w:themeColor="text1"/>
              </w:rPr>
              <w:fldChar w:fldCharType="end"/>
            </w:r>
          </w:hyperlink>
        </w:p>
        <w:p w14:paraId="757392DB" w14:textId="77777777" w:rsidR="0043456B" w:rsidRPr="0043456B" w:rsidRDefault="0043456B" w:rsidP="0043456B">
          <w:pPr>
            <w:widowControl/>
            <w:autoSpaceDE/>
            <w:autoSpaceDN/>
            <w:spacing w:after="200"/>
            <w:rPr>
              <w:rFonts w:ascii="Garamond" w:eastAsia="Calibri" w:hAnsi="Garamond"/>
            </w:rPr>
          </w:pPr>
          <w:r w:rsidRPr="0043456B">
            <w:rPr>
              <w:rFonts w:ascii="Garamond" w:eastAsia="Calibri" w:hAnsi="Garamond"/>
              <w:b/>
              <w:bCs/>
              <w:noProof/>
            </w:rPr>
            <w:fldChar w:fldCharType="end"/>
          </w:r>
        </w:p>
      </w:sdtContent>
    </w:sdt>
    <w:p w14:paraId="6DD5CDF9" w14:textId="77777777" w:rsidR="0043456B" w:rsidRPr="0043456B" w:rsidRDefault="0043456B" w:rsidP="0043456B">
      <w:pPr>
        <w:widowControl/>
        <w:autoSpaceDE/>
        <w:autoSpaceDN/>
        <w:spacing w:after="200"/>
        <w:rPr>
          <w:rFonts w:ascii="Garamond" w:eastAsia="Calibri" w:hAnsi="Garamond"/>
        </w:rPr>
      </w:pPr>
      <w:r w:rsidRPr="0043456B">
        <w:rPr>
          <w:rFonts w:ascii="Garamond" w:eastAsia="Calibri" w:hAnsi="Garamond"/>
        </w:rPr>
        <w:br w:type="page"/>
      </w:r>
    </w:p>
    <w:p w14:paraId="3E4BB162" w14:textId="77777777" w:rsidR="0043456B" w:rsidRPr="0043456B" w:rsidRDefault="0043456B" w:rsidP="0043456B">
      <w:pPr>
        <w:widowControl/>
        <w:autoSpaceDE/>
        <w:autoSpaceDN/>
        <w:contextualSpacing/>
        <w:rPr>
          <w:rFonts w:ascii="Garamond" w:eastAsia="Calibri" w:hAnsi="Garamond"/>
          <w:sz w:val="24"/>
          <w:szCs w:val="24"/>
        </w:rPr>
        <w:sectPr w:rsidR="0043456B" w:rsidRPr="0043456B" w:rsidSect="000520D6">
          <w:footerReference w:type="default" r:id="rId11"/>
          <w:footerReference w:type="first" r:id="rId12"/>
          <w:endnotePr>
            <w:numFmt w:val="lowerLetter"/>
          </w:endnotePr>
          <w:pgSz w:w="12240" w:h="15840"/>
          <w:pgMar w:top="1440" w:right="1080" w:bottom="1440" w:left="1080" w:header="720" w:footer="720" w:gutter="0"/>
          <w:pgNumType w:start="1"/>
          <w:cols w:space="720"/>
          <w:titlePg/>
          <w:docGrid w:linePitch="360"/>
        </w:sectPr>
      </w:pPr>
      <w:bookmarkStart w:id="0" w:name="_Hlk30359795"/>
      <w:bookmarkStart w:id="1" w:name="_Toc17474921"/>
    </w:p>
    <w:p w14:paraId="78E0D40A" w14:textId="77777777" w:rsidR="0043456B" w:rsidRPr="0043456B" w:rsidRDefault="0043456B" w:rsidP="0043456B">
      <w:pPr>
        <w:widowControl/>
        <w:autoSpaceDE/>
        <w:autoSpaceDN/>
        <w:contextualSpacing/>
        <w:jc w:val="center"/>
        <w:rPr>
          <w:rFonts w:ascii="Garamond" w:eastAsia="Calibri" w:hAnsi="Garamond"/>
        </w:rPr>
      </w:pPr>
      <w:bookmarkStart w:id="2" w:name="_Toc17151136"/>
      <w:bookmarkEnd w:id="0"/>
      <w:r w:rsidRPr="0043456B">
        <w:rPr>
          <w:rFonts w:ascii="Garamond" w:eastAsia="Calibri" w:hAnsi="Garamond"/>
          <w:b/>
          <w:bCs/>
          <w:sz w:val="32"/>
          <w:szCs w:val="32"/>
        </w:rPr>
        <w:lastRenderedPageBreak/>
        <w:t>OVERVIEW of PROPOSED PROJECT AND FACTOR REVIEW</w:t>
      </w:r>
      <w:bookmarkEnd w:id="2"/>
    </w:p>
    <w:tbl>
      <w:tblPr>
        <w:tblStyle w:val="GridTable4-Accent11"/>
        <w:tblW w:w="0" w:type="auto"/>
        <w:tblInd w:w="-643" w:type="dxa"/>
        <w:tblBorders>
          <w:top w:val="single" w:sz="12" w:space="0" w:color="9FACD2"/>
          <w:left w:val="single" w:sz="12" w:space="0" w:color="9FACD2"/>
          <w:bottom w:val="single" w:sz="12" w:space="0" w:color="9FACD2"/>
          <w:right w:val="single" w:sz="12" w:space="0" w:color="9FACD2"/>
          <w:insideH w:val="single" w:sz="12" w:space="0" w:color="9FACD2"/>
          <w:insideV w:val="single" w:sz="12" w:space="0" w:color="9FACD2"/>
        </w:tblBorders>
        <w:tblCellMar>
          <w:left w:w="115" w:type="dxa"/>
          <w:right w:w="115" w:type="dxa"/>
        </w:tblCellMar>
        <w:tblLook w:val="04A0" w:firstRow="1" w:lastRow="0" w:firstColumn="1" w:lastColumn="0" w:noHBand="0" w:noVBand="1"/>
      </w:tblPr>
      <w:tblGrid>
        <w:gridCol w:w="3167"/>
        <w:gridCol w:w="4300"/>
        <w:gridCol w:w="2935"/>
        <w:gridCol w:w="1090"/>
        <w:gridCol w:w="3061"/>
      </w:tblGrid>
      <w:tr w:rsidR="0043456B" w:rsidRPr="0043456B" w14:paraId="40C97A5D" w14:textId="77777777" w:rsidTr="00311C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6076B4"/>
            </w:tcBorders>
            <w:shd w:val="clear" w:color="auto" w:fill="4E67A6"/>
          </w:tcPr>
          <w:p w14:paraId="643382DC" w14:textId="77777777" w:rsidR="0043456B" w:rsidRPr="0043456B" w:rsidRDefault="0043456B" w:rsidP="0043456B">
            <w:pPr>
              <w:contextualSpacing/>
              <w:rPr>
                <w:rFonts w:ascii="Garamond" w:eastAsia="Calibri" w:hAnsi="Garamond" w:cs="Cambria"/>
              </w:rPr>
            </w:pPr>
            <w:r w:rsidRPr="0043456B">
              <w:rPr>
                <w:rFonts w:ascii="Garamond" w:eastAsia="Calibri" w:hAnsi="Garamond" w:cs="Cambria"/>
              </w:rPr>
              <w:t>Description</w:t>
            </w:r>
          </w:p>
        </w:tc>
        <w:tc>
          <w:tcPr>
            <w:tcW w:w="0" w:type="auto"/>
            <w:tcBorders>
              <w:left w:val="single" w:sz="4" w:space="0" w:color="6076B4"/>
              <w:right w:val="single" w:sz="4" w:space="0" w:color="6076B4"/>
            </w:tcBorders>
            <w:shd w:val="clear" w:color="auto" w:fill="4E67A6"/>
          </w:tcPr>
          <w:p w14:paraId="27301C3F"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rPr>
              <w:t>What’s Needed to Meet Factor 1: Demonstration of need; improved health outcomes and quality of life; assurances of health equity; continuity and coordination of care; evidence of community engagement; and competition on recognized measures of health care spending.</w:t>
            </w:r>
          </w:p>
          <w:p w14:paraId="7BB86D0F"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smallCaps/>
              </w:rPr>
            </w:pPr>
          </w:p>
        </w:tc>
        <w:tc>
          <w:tcPr>
            <w:tcW w:w="0" w:type="auto"/>
            <w:tcBorders>
              <w:left w:val="single" w:sz="4" w:space="0" w:color="6076B4"/>
              <w:right w:val="single" w:sz="4" w:space="0" w:color="6076B4"/>
            </w:tcBorders>
            <w:shd w:val="clear" w:color="auto" w:fill="4E67A6"/>
          </w:tcPr>
          <w:p w14:paraId="6D3CBFEC"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rPr>
              <w:t>What’s Needed to Meet Factor 2: Demonstration of cost containment, improved public health outcomes, and delivery system transformation</w:t>
            </w:r>
          </w:p>
          <w:p w14:paraId="4E9BBB17"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rPr>
            </w:pPr>
          </w:p>
        </w:tc>
        <w:tc>
          <w:tcPr>
            <w:tcW w:w="0" w:type="auto"/>
            <w:tcBorders>
              <w:left w:val="single" w:sz="4" w:space="0" w:color="6076B4"/>
              <w:right w:val="single" w:sz="4" w:space="0" w:color="6076B4"/>
            </w:tcBorders>
            <w:shd w:val="clear" w:color="auto" w:fill="4E67A6"/>
          </w:tcPr>
          <w:p w14:paraId="47655306"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rPr>
              <w:t>Factors 3, 4 &amp; 5</w:t>
            </w:r>
            <w:r w:rsidRPr="0043456B">
              <w:rPr>
                <w:rFonts w:ascii="Garamond" w:eastAsia="Calibri" w:hAnsi="Garamond" w:cs="Cambria"/>
                <w:vertAlign w:val="superscript"/>
              </w:rPr>
              <w:footnoteReference w:id="4"/>
            </w:r>
          </w:p>
        </w:tc>
        <w:tc>
          <w:tcPr>
            <w:tcW w:w="0" w:type="auto"/>
            <w:tcBorders>
              <w:left w:val="single" w:sz="4" w:space="0" w:color="6076B4"/>
            </w:tcBorders>
            <w:shd w:val="clear" w:color="auto" w:fill="4E67A6"/>
          </w:tcPr>
          <w:p w14:paraId="152ED5B7" w14:textId="77777777" w:rsidR="0043456B" w:rsidRPr="0043456B" w:rsidRDefault="0043456B" w:rsidP="0043456B">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rPr>
              <w:t>What’s Needed to Meet Factor 6: Demonstration of plans for fulfilling … responsibilities … in the DPH Community-based Health Initiatives Guideline.</w:t>
            </w:r>
          </w:p>
        </w:tc>
      </w:tr>
      <w:tr w:rsidR="0043456B" w:rsidRPr="0043456B" w14:paraId="618F213E" w14:textId="77777777" w:rsidTr="0043456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C68140F" w14:textId="77777777" w:rsidR="0043456B" w:rsidRPr="0043456B" w:rsidRDefault="0043456B" w:rsidP="0043456B">
            <w:pPr>
              <w:contextualSpacing/>
              <w:rPr>
                <w:rFonts w:ascii="Garamond" w:eastAsia="Calibri" w:hAnsi="Garamond" w:cs="Cambria"/>
              </w:rPr>
            </w:pPr>
          </w:p>
        </w:tc>
        <w:tc>
          <w:tcPr>
            <w:tcW w:w="0" w:type="auto"/>
            <w:gridSpan w:val="3"/>
          </w:tcPr>
          <w:p w14:paraId="0FD647DD" w14:textId="77777777" w:rsidR="0043456B" w:rsidRPr="0043456B" w:rsidRDefault="0043456B" w:rsidP="0043456B">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r w:rsidRPr="0043456B">
              <w:rPr>
                <w:rFonts w:ascii="Garamond" w:eastAsia="Calibri" w:hAnsi="Garamond" w:cs="Cambria"/>
                <w:b/>
                <w:i/>
                <w:iCs/>
              </w:rPr>
              <w:t>Staff Report finds</w:t>
            </w:r>
          </w:p>
        </w:tc>
        <w:tc>
          <w:tcPr>
            <w:tcW w:w="0" w:type="auto"/>
          </w:tcPr>
          <w:p w14:paraId="2A8F968B" w14:textId="77777777" w:rsidR="0043456B" w:rsidRPr="0043456B" w:rsidRDefault="0043456B" w:rsidP="0043456B">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i/>
                <w:iCs/>
              </w:rPr>
            </w:pPr>
          </w:p>
        </w:tc>
      </w:tr>
      <w:tr w:rsidR="0043456B" w:rsidRPr="0043456B" w14:paraId="154D61EB" w14:textId="77777777" w:rsidTr="0043456B">
        <w:trPr>
          <w:trHeight w:val="323"/>
        </w:trPr>
        <w:tc>
          <w:tcPr>
            <w:cnfStyle w:val="001000000000" w:firstRow="0" w:lastRow="0" w:firstColumn="1" w:lastColumn="0" w:oddVBand="0" w:evenVBand="0" w:oddHBand="0" w:evenHBand="0" w:firstRowFirstColumn="0" w:firstRowLastColumn="0" w:lastRowFirstColumn="0" w:lastRowLastColumn="0"/>
            <w:tcW w:w="0" w:type="auto"/>
            <w:vMerge/>
          </w:tcPr>
          <w:p w14:paraId="4AFB440E" w14:textId="77777777" w:rsidR="0043456B" w:rsidRPr="0043456B" w:rsidRDefault="0043456B" w:rsidP="0043456B">
            <w:pPr>
              <w:contextualSpacing/>
              <w:rPr>
                <w:rFonts w:ascii="Garamond" w:eastAsia="Calibri" w:hAnsi="Garamond" w:cs="Cambria"/>
              </w:rPr>
            </w:pPr>
          </w:p>
        </w:tc>
        <w:tc>
          <w:tcPr>
            <w:tcW w:w="0" w:type="auto"/>
            <w:shd w:val="clear" w:color="auto" w:fill="DFE3F0"/>
          </w:tcPr>
          <w:p w14:paraId="246EA295" w14:textId="77777777" w:rsidR="0043456B" w:rsidRPr="0043456B" w:rsidRDefault="0043456B" w:rsidP="0043456B">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b/>
                <w:bCs/>
                <w:smallCaps/>
              </w:rPr>
              <w:t>MEETS</w:t>
            </w:r>
          </w:p>
        </w:tc>
        <w:tc>
          <w:tcPr>
            <w:tcW w:w="0" w:type="auto"/>
            <w:shd w:val="clear" w:color="auto" w:fill="DFE3F0"/>
          </w:tcPr>
          <w:p w14:paraId="435FEB45" w14:textId="77777777" w:rsidR="0043456B" w:rsidRPr="0043456B" w:rsidRDefault="0043456B" w:rsidP="0043456B">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43456B">
              <w:rPr>
                <w:rFonts w:ascii="Garamond" w:eastAsia="Calibri" w:hAnsi="Garamond" w:cs="Cambria"/>
                <w:b/>
                <w:bCs/>
                <w:smallCaps/>
              </w:rPr>
              <w:t>MEETS</w:t>
            </w:r>
          </w:p>
        </w:tc>
        <w:tc>
          <w:tcPr>
            <w:tcW w:w="0" w:type="auto"/>
            <w:shd w:val="clear" w:color="auto" w:fill="DFE3F0"/>
          </w:tcPr>
          <w:p w14:paraId="51D1984C" w14:textId="77777777" w:rsidR="0043456B" w:rsidRPr="0043456B" w:rsidRDefault="0043456B" w:rsidP="0043456B">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rPr>
            </w:pPr>
            <w:r w:rsidRPr="0043456B">
              <w:rPr>
                <w:rFonts w:ascii="Garamond" w:eastAsia="Calibri" w:hAnsi="Garamond" w:cs="Cambria"/>
                <w:b/>
                <w:bCs/>
                <w:smallCaps/>
              </w:rPr>
              <w:t>MEETS</w:t>
            </w:r>
          </w:p>
          <w:p w14:paraId="70CC7A77" w14:textId="77777777" w:rsidR="0043456B" w:rsidRPr="0043456B" w:rsidRDefault="0043456B" w:rsidP="0043456B">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rPr>
            </w:pPr>
          </w:p>
        </w:tc>
        <w:tc>
          <w:tcPr>
            <w:tcW w:w="0" w:type="auto"/>
            <w:shd w:val="clear" w:color="auto" w:fill="DFE3F0"/>
          </w:tcPr>
          <w:p w14:paraId="6F8325C8" w14:textId="77777777" w:rsidR="0043456B" w:rsidRPr="0043456B" w:rsidRDefault="0043456B" w:rsidP="0043456B">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smallCaps/>
              </w:rPr>
            </w:pPr>
            <w:r w:rsidRPr="0043456B">
              <w:rPr>
                <w:rFonts w:ascii="Garamond" w:eastAsia="Calibri" w:hAnsi="Garamond" w:cs="Cambria"/>
                <w:b/>
                <w:bCs/>
                <w:smallCaps/>
              </w:rPr>
              <w:t>MEETS</w:t>
            </w:r>
          </w:p>
        </w:tc>
      </w:tr>
      <w:tr w:rsidR="0043456B" w:rsidRPr="0043456B" w14:paraId="4B207E23" w14:textId="77777777" w:rsidTr="0043456B">
        <w:trPr>
          <w:cnfStyle w:val="000000100000" w:firstRow="0" w:lastRow="0" w:firstColumn="0" w:lastColumn="0" w:oddVBand="0" w:evenVBand="0" w:oddHBand="1" w:evenHBand="0" w:firstRowFirstColumn="0" w:firstRowLastColumn="0" w:lastRowFirstColumn="0" w:lastRowLastColumn="0"/>
          <w:trHeight w:val="2510"/>
        </w:trPr>
        <w:tc>
          <w:tcPr>
            <w:cnfStyle w:val="001000000000" w:firstRow="0" w:lastRow="0" w:firstColumn="1" w:lastColumn="0" w:oddVBand="0" w:evenVBand="0" w:oddHBand="0" w:evenHBand="0" w:firstRowFirstColumn="0" w:firstRowLastColumn="0" w:lastRowFirstColumn="0" w:lastRowLastColumn="0"/>
            <w:tcW w:w="0" w:type="auto"/>
          </w:tcPr>
          <w:p w14:paraId="54B23C60" w14:textId="77777777" w:rsidR="0043456B" w:rsidRPr="0043456B" w:rsidRDefault="0043456B" w:rsidP="0043456B">
            <w:pPr>
              <w:contextualSpacing/>
              <w:rPr>
                <w:rFonts w:ascii="Garamond" w:eastAsia="Calibri" w:hAnsi="Garamond"/>
                <w:sz w:val="20"/>
                <w:szCs w:val="20"/>
              </w:rPr>
            </w:pPr>
            <w:r w:rsidRPr="0043456B">
              <w:rPr>
                <w:rFonts w:ascii="Garamond" w:eastAsia="Calibri" w:hAnsi="Garamond"/>
                <w:sz w:val="20"/>
                <w:szCs w:val="20"/>
              </w:rPr>
              <w:t xml:space="preserve">The Applicant, a multispecialty, freestanding ambulatory surgery center, is renovating existing space to add a second operating room and additional patient support and administrative areas. </w:t>
            </w:r>
          </w:p>
          <w:p w14:paraId="54C31E11" w14:textId="77777777" w:rsidR="0043456B" w:rsidRPr="0043456B" w:rsidRDefault="0043456B" w:rsidP="0043456B">
            <w:pPr>
              <w:contextualSpacing/>
              <w:rPr>
                <w:rFonts w:ascii="Garamond" w:eastAsia="Calibri" w:hAnsi="Garamond"/>
                <w:sz w:val="20"/>
                <w:szCs w:val="20"/>
              </w:rPr>
            </w:pPr>
          </w:p>
          <w:p w14:paraId="5C65614B" w14:textId="77777777" w:rsidR="0043456B" w:rsidRPr="0043456B" w:rsidRDefault="0043456B" w:rsidP="0043456B">
            <w:pPr>
              <w:contextualSpacing/>
              <w:rPr>
                <w:rFonts w:ascii="Garamond" w:eastAsia="Calibri" w:hAnsi="Garamond" w:cs="Cambria"/>
                <w:sz w:val="20"/>
                <w:szCs w:val="20"/>
              </w:rPr>
            </w:pPr>
            <w:r w:rsidRPr="0043456B">
              <w:rPr>
                <w:rFonts w:ascii="Garamond" w:eastAsia="Calibri" w:hAnsi="Garamond" w:cs="Cambria"/>
                <w:sz w:val="20"/>
                <w:szCs w:val="20"/>
              </w:rPr>
              <w:t xml:space="preserve">The Applicant proposes to provide more patients access to outpatient surgical services in the ASC setting which will serve as a lower cost alternative to hospital outpatient departments (HOPDs). </w:t>
            </w:r>
          </w:p>
        </w:tc>
        <w:tc>
          <w:tcPr>
            <w:tcW w:w="0" w:type="auto"/>
          </w:tcPr>
          <w:p w14:paraId="38526266" w14:textId="77777777" w:rsidR="0043456B" w:rsidRPr="0043456B" w:rsidRDefault="0043456B" w:rsidP="0043456B">
            <w:pPr>
              <w:ind w:left="720"/>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sz w:val="20"/>
                <w:szCs w:val="20"/>
              </w:rPr>
            </w:pPr>
            <w:r w:rsidRPr="0043456B">
              <w:rPr>
                <w:rFonts w:ascii="Garamond" w:eastAsia="Calibri" w:hAnsi="Garamond" w:cs="Cambria"/>
                <w:sz w:val="20"/>
                <w:szCs w:val="20"/>
              </w:rPr>
              <w:sym w:font="Wingdings" w:char="F0FC"/>
            </w:r>
          </w:p>
        </w:tc>
        <w:tc>
          <w:tcPr>
            <w:tcW w:w="0" w:type="auto"/>
          </w:tcPr>
          <w:p w14:paraId="4B95A8F6" w14:textId="77777777" w:rsidR="0043456B" w:rsidRPr="0043456B" w:rsidRDefault="0043456B" w:rsidP="0043456B">
            <w:pPr>
              <w:ind w:left="720"/>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sz w:val="20"/>
                <w:szCs w:val="20"/>
              </w:rPr>
            </w:pPr>
            <w:r w:rsidRPr="0043456B">
              <w:rPr>
                <w:rFonts w:ascii="Garamond" w:eastAsia="Calibri" w:hAnsi="Garamond" w:cs="Cambria"/>
                <w:sz w:val="20"/>
                <w:szCs w:val="20"/>
              </w:rPr>
              <w:sym w:font="Wingdings" w:char="F0FC"/>
            </w:r>
          </w:p>
        </w:tc>
        <w:tc>
          <w:tcPr>
            <w:tcW w:w="0" w:type="auto"/>
          </w:tcPr>
          <w:p w14:paraId="477FD144" w14:textId="77777777" w:rsidR="0043456B" w:rsidRPr="0043456B" w:rsidRDefault="0043456B" w:rsidP="0043456B">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b/>
                <w:sz w:val="20"/>
                <w:szCs w:val="20"/>
              </w:rPr>
            </w:pPr>
            <w:r w:rsidRPr="0043456B">
              <w:rPr>
                <w:rFonts w:ascii="Garamond" w:eastAsia="Calibri" w:hAnsi="Garamond" w:cs="Cambria"/>
                <w:sz w:val="20"/>
                <w:szCs w:val="20"/>
              </w:rPr>
              <w:sym w:font="Wingdings" w:char="F0FC"/>
            </w:r>
          </w:p>
        </w:tc>
        <w:tc>
          <w:tcPr>
            <w:tcW w:w="0" w:type="auto"/>
          </w:tcPr>
          <w:p w14:paraId="0D8BE6C3" w14:textId="77777777" w:rsidR="0043456B" w:rsidRPr="0043456B" w:rsidRDefault="0043456B" w:rsidP="0043456B">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b/>
                <w:sz w:val="20"/>
                <w:szCs w:val="20"/>
              </w:rPr>
            </w:pPr>
            <w:r w:rsidRPr="0043456B">
              <w:rPr>
                <w:rFonts w:ascii="Garamond" w:eastAsia="Calibri" w:hAnsi="Garamond" w:cs="Cambria"/>
                <w:sz w:val="20"/>
                <w:szCs w:val="20"/>
              </w:rPr>
              <w:sym w:font="Wingdings" w:char="F0FC"/>
            </w:r>
          </w:p>
        </w:tc>
      </w:tr>
    </w:tbl>
    <w:p w14:paraId="3893E081" w14:textId="77777777" w:rsidR="0043456B" w:rsidRPr="0043456B" w:rsidRDefault="0043456B" w:rsidP="0043456B">
      <w:pPr>
        <w:widowControl/>
        <w:autoSpaceDE/>
        <w:autoSpaceDN/>
        <w:contextualSpacing/>
        <w:rPr>
          <w:rFonts w:ascii="Garamond" w:eastAsia="Calibri" w:hAnsi="Garamond"/>
        </w:rPr>
        <w:sectPr w:rsidR="0043456B" w:rsidRPr="0043456B" w:rsidSect="00076B1A">
          <w:endnotePr>
            <w:numFmt w:val="lowerLetter"/>
          </w:endnotePr>
          <w:pgSz w:w="15840" w:h="12240" w:orient="landscape"/>
          <w:pgMar w:top="360" w:right="1080" w:bottom="1440" w:left="1080" w:header="720" w:footer="720" w:gutter="0"/>
          <w:cols w:space="720"/>
          <w:docGrid w:linePitch="360"/>
        </w:sectPr>
      </w:pPr>
    </w:p>
    <w:p w14:paraId="1C187BE6"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3" w:name="_Toc17151134"/>
      <w:bookmarkStart w:id="4" w:name="_Toc17228947"/>
      <w:bookmarkStart w:id="5" w:name="_Toc17731303"/>
      <w:bookmarkStart w:id="6" w:name="_Toc17748221"/>
      <w:bookmarkStart w:id="7" w:name="_Toc17748448"/>
      <w:bookmarkStart w:id="8" w:name="_Toc17748692"/>
      <w:bookmarkStart w:id="9" w:name="_Toc18922392"/>
      <w:bookmarkStart w:id="10" w:name="_Toc23110213"/>
      <w:bookmarkStart w:id="11" w:name="_Toc23157976"/>
      <w:bookmarkStart w:id="12" w:name="_Toc23323238"/>
      <w:bookmarkStart w:id="13" w:name="_Toc23324244"/>
      <w:bookmarkStart w:id="14" w:name="_Toc23424528"/>
      <w:bookmarkStart w:id="15" w:name="_Toc29755670"/>
      <w:bookmarkStart w:id="16" w:name="_Toc58960194"/>
      <w:bookmarkStart w:id="17" w:name="_Toc28797399"/>
      <w:bookmarkStart w:id="18" w:name="_Toc29755677"/>
      <w:bookmarkStart w:id="19" w:name="_Toc27567690"/>
      <w:bookmarkStart w:id="20" w:name="_Toc17151137"/>
      <w:r w:rsidRPr="0043456B">
        <w:rPr>
          <w:rFonts w:ascii="Garamond" w:hAnsi="Garamond"/>
          <w:b/>
          <w:bCs/>
          <w:color w:val="42558C"/>
          <w:sz w:val="28"/>
          <w:szCs w:val="28"/>
        </w:rPr>
        <w:lastRenderedPageBreak/>
        <w:t xml:space="preserve">Background: </w:t>
      </w:r>
      <w:bookmarkEnd w:id="3"/>
      <w:bookmarkEnd w:id="4"/>
      <w:bookmarkEnd w:id="5"/>
      <w:bookmarkEnd w:id="6"/>
      <w:bookmarkEnd w:id="7"/>
      <w:bookmarkEnd w:id="8"/>
      <w:bookmarkEnd w:id="9"/>
      <w:bookmarkEnd w:id="10"/>
      <w:bookmarkEnd w:id="11"/>
      <w:bookmarkEnd w:id="12"/>
      <w:bookmarkEnd w:id="13"/>
      <w:bookmarkEnd w:id="14"/>
      <w:r w:rsidRPr="0043456B">
        <w:rPr>
          <w:rFonts w:ascii="Garamond" w:hAnsi="Garamond"/>
          <w:b/>
          <w:bCs/>
          <w:color w:val="42558C"/>
          <w:sz w:val="28"/>
          <w:szCs w:val="28"/>
        </w:rPr>
        <w:t>New England Surgery Center</w:t>
      </w:r>
      <w:bookmarkEnd w:id="15"/>
      <w:r w:rsidRPr="0043456B">
        <w:rPr>
          <w:rFonts w:ascii="Garamond" w:hAnsi="Garamond"/>
          <w:b/>
          <w:bCs/>
          <w:color w:val="42558C"/>
          <w:sz w:val="28"/>
          <w:szCs w:val="28"/>
        </w:rPr>
        <w:t xml:space="preserve"> and Application Overview</w:t>
      </w:r>
      <w:bookmarkEnd w:id="16"/>
    </w:p>
    <w:p w14:paraId="7255E185" w14:textId="77777777" w:rsidR="0043456B" w:rsidRPr="0043456B" w:rsidRDefault="0043456B" w:rsidP="0043456B">
      <w:pPr>
        <w:keepNext/>
        <w:keepLines/>
        <w:widowControl/>
        <w:autoSpaceDE/>
        <w:autoSpaceDN/>
        <w:contextualSpacing/>
        <w:outlineLvl w:val="0"/>
        <w:rPr>
          <w:rFonts w:ascii="Garamond" w:eastAsia="Calibri" w:hAnsi="Garamond"/>
          <w:sz w:val="24"/>
          <w:szCs w:val="24"/>
        </w:rPr>
      </w:pPr>
      <w:bookmarkStart w:id="21" w:name="_Toc23110214"/>
      <w:bookmarkStart w:id="22" w:name="_Toc23157230"/>
      <w:bookmarkStart w:id="23" w:name="_Toc23157977"/>
      <w:bookmarkStart w:id="24" w:name="_Toc23323239"/>
      <w:bookmarkStart w:id="25" w:name="_Toc23324245"/>
      <w:bookmarkStart w:id="26" w:name="_Toc23424529"/>
      <w:bookmarkStart w:id="27" w:name="_Toc23855899"/>
      <w:bookmarkStart w:id="28" w:name="_Toc58395914"/>
      <w:bookmarkStart w:id="29" w:name="_Toc58396380"/>
      <w:bookmarkStart w:id="30" w:name="_Toc58396486"/>
      <w:bookmarkStart w:id="31" w:name="_Toc29755671"/>
      <w:bookmarkStart w:id="32" w:name="_Toc29755709"/>
      <w:bookmarkStart w:id="33" w:name="_Toc30593441"/>
      <w:bookmarkStart w:id="34" w:name="_Toc58743885"/>
      <w:bookmarkStart w:id="35" w:name="_Toc58744043"/>
      <w:bookmarkStart w:id="36" w:name="_Toc58958849"/>
      <w:bookmarkStart w:id="37" w:name="_Toc58960195"/>
      <w:bookmarkStart w:id="38" w:name="_Toc55655179"/>
      <w:bookmarkStart w:id="39" w:name="_Toc55802707"/>
      <w:r w:rsidRPr="0043456B">
        <w:rPr>
          <w:rFonts w:ascii="Garamond" w:eastAsia="Calibri" w:hAnsi="Garamond"/>
          <w:sz w:val="24"/>
          <w:szCs w:val="24"/>
        </w:rPr>
        <w:t xml:space="preserve">The Applicant </w:t>
      </w:r>
      <w:bookmarkEnd w:id="21"/>
      <w:bookmarkEnd w:id="22"/>
      <w:bookmarkEnd w:id="23"/>
      <w:bookmarkEnd w:id="24"/>
      <w:bookmarkEnd w:id="25"/>
      <w:bookmarkEnd w:id="26"/>
      <w:bookmarkEnd w:id="27"/>
      <w:r w:rsidRPr="0043456B">
        <w:rPr>
          <w:rFonts w:ascii="Garamond" w:eastAsia="Calibri" w:hAnsi="Garamond"/>
          <w:sz w:val="24"/>
          <w:szCs w:val="24"/>
        </w:rPr>
        <w:t xml:space="preserve">is New England Surgery Center, LLC (NESC), a freestanding, multispecialty ambulatory surgery center (ASC) located in Beverly, MA. NESC offers services in Orthopedics, Otolaryngology (ENT), Urology, Pain Management, Ophthalmology, Plastics, Podiatry, and General Surgery to patients </w:t>
      </w:r>
      <w:proofErr w:type="gramStart"/>
      <w:r w:rsidRPr="0043456B">
        <w:rPr>
          <w:rFonts w:ascii="Garamond" w:eastAsia="Calibri" w:hAnsi="Garamond"/>
          <w:sz w:val="24"/>
          <w:szCs w:val="24"/>
        </w:rPr>
        <w:t>age</w:t>
      </w:r>
      <w:proofErr w:type="gramEnd"/>
      <w:r w:rsidRPr="0043456B">
        <w:rPr>
          <w:rFonts w:ascii="Garamond" w:eastAsia="Calibri" w:hAnsi="Garamond"/>
          <w:sz w:val="24"/>
          <w:szCs w:val="24"/>
        </w:rPr>
        <w:t xml:space="preserve"> four years and older. NESC is Medicare-certified and accredited by the Accreditation Association for Ambulatory Health Care (AAAHC). The current facility has one operating room and seven pre/post procedure beds.</w:t>
      </w:r>
      <w:bookmarkEnd w:id="28"/>
      <w:bookmarkEnd w:id="29"/>
      <w:bookmarkEnd w:id="30"/>
      <w:r w:rsidRPr="0043456B">
        <w:rPr>
          <w:rFonts w:ascii="Garamond" w:eastAsia="Calibri" w:hAnsi="Garamond"/>
          <w:sz w:val="24"/>
          <w:szCs w:val="24"/>
        </w:rPr>
        <w:t xml:space="preserve"> </w:t>
      </w:r>
      <w:bookmarkEnd w:id="31"/>
      <w:bookmarkEnd w:id="32"/>
      <w:bookmarkEnd w:id="33"/>
      <w:r w:rsidRPr="0043456B">
        <w:rPr>
          <w:rFonts w:ascii="Garamond" w:eastAsia="Calibri" w:hAnsi="Garamond"/>
          <w:sz w:val="24"/>
          <w:szCs w:val="24"/>
        </w:rPr>
        <w:t>NESC was organized in 2007 as a Massachusetts LLC. The applicant is eligible to expand through the grandfathering provision of 105 CMR 100.715.</w:t>
      </w:r>
      <w:r w:rsidRPr="0043456B">
        <w:rPr>
          <w:rFonts w:ascii="Garamond" w:eastAsia="Calibri" w:hAnsi="Garamond"/>
          <w:sz w:val="24"/>
          <w:szCs w:val="24"/>
          <w:vertAlign w:val="superscript"/>
        </w:rPr>
        <w:footnoteReference w:id="5"/>
      </w:r>
      <w:bookmarkEnd w:id="34"/>
      <w:bookmarkEnd w:id="35"/>
      <w:bookmarkEnd w:id="36"/>
      <w:bookmarkEnd w:id="37"/>
    </w:p>
    <w:p w14:paraId="63B9A9A5" w14:textId="77777777" w:rsidR="0043456B" w:rsidRPr="0043456B" w:rsidRDefault="0043456B" w:rsidP="0043456B">
      <w:pPr>
        <w:keepNext/>
        <w:keepLines/>
        <w:widowControl/>
        <w:autoSpaceDE/>
        <w:autoSpaceDN/>
        <w:contextualSpacing/>
        <w:outlineLvl w:val="0"/>
        <w:rPr>
          <w:rFonts w:ascii="Garamond" w:eastAsia="Calibri" w:hAnsi="Garamond"/>
          <w:sz w:val="24"/>
          <w:szCs w:val="24"/>
        </w:rPr>
      </w:pPr>
    </w:p>
    <w:p w14:paraId="64AE025F" w14:textId="77777777" w:rsidR="0043456B" w:rsidRPr="0043456B" w:rsidRDefault="0043456B" w:rsidP="0043456B">
      <w:pPr>
        <w:keepNext/>
        <w:keepLines/>
        <w:widowControl/>
        <w:autoSpaceDE/>
        <w:autoSpaceDN/>
        <w:contextualSpacing/>
        <w:outlineLvl w:val="0"/>
        <w:rPr>
          <w:rFonts w:ascii="Garamond" w:eastAsia="Calibri" w:hAnsi="Garamond" w:cs="Cambria"/>
          <w:sz w:val="24"/>
          <w:szCs w:val="24"/>
        </w:rPr>
      </w:pPr>
      <w:bookmarkStart w:id="40" w:name="_Toc58743886"/>
      <w:bookmarkStart w:id="41" w:name="_Toc58744044"/>
      <w:bookmarkStart w:id="42" w:name="_Toc58958850"/>
      <w:bookmarkStart w:id="43" w:name="_Toc58960196"/>
      <w:bookmarkStart w:id="44" w:name="_Toc58395915"/>
      <w:bookmarkStart w:id="45" w:name="_Toc58396381"/>
      <w:bookmarkStart w:id="46" w:name="_Toc58396487"/>
      <w:r w:rsidRPr="0043456B">
        <w:rPr>
          <w:rFonts w:ascii="Garamond" w:eastAsia="Calibri" w:hAnsi="Garamond"/>
          <w:sz w:val="24"/>
          <w:szCs w:val="24"/>
        </w:rPr>
        <w:t xml:space="preserve">The Applicant is proposing to renovate existing space located adjacent to the current site to add one operating room, two pre/post-operative beds, one enclosed pediatric room, an enlarged central sterile area, and additional administrative offices and storage spaces </w:t>
      </w:r>
      <w:bookmarkEnd w:id="38"/>
      <w:bookmarkEnd w:id="39"/>
      <w:proofErr w:type="gramStart"/>
      <w:r w:rsidRPr="0043456B">
        <w:rPr>
          <w:rFonts w:ascii="Garamond" w:eastAsia="Calibri" w:hAnsi="Garamond" w:cs="Cambria"/>
          <w:bCs/>
          <w:sz w:val="24"/>
          <w:szCs w:val="24"/>
        </w:rPr>
        <w:t>in order to</w:t>
      </w:r>
      <w:proofErr w:type="gramEnd"/>
      <w:r w:rsidRPr="0043456B">
        <w:rPr>
          <w:rFonts w:ascii="Garamond" w:eastAsia="Calibri" w:hAnsi="Garamond" w:cs="Cambria"/>
          <w:bCs/>
          <w:sz w:val="24"/>
          <w:szCs w:val="24"/>
        </w:rPr>
        <w:t xml:space="preserve"> increase its Patient Panel access to NESC’s services. The additional capacity will allow the Applicant to accommodate the current shift it is experiencing towards more complex surgeries which require longer operating room (OR) time per procedure.</w:t>
      </w:r>
      <w:bookmarkEnd w:id="40"/>
      <w:bookmarkEnd w:id="41"/>
      <w:bookmarkEnd w:id="42"/>
      <w:bookmarkEnd w:id="43"/>
      <w:r w:rsidRPr="0043456B">
        <w:rPr>
          <w:rFonts w:ascii="Garamond" w:eastAsia="Calibri" w:hAnsi="Garamond" w:cs="Cambria"/>
          <w:bCs/>
          <w:sz w:val="24"/>
          <w:szCs w:val="24"/>
        </w:rPr>
        <w:t xml:space="preserve"> </w:t>
      </w:r>
      <w:bookmarkEnd w:id="44"/>
      <w:bookmarkEnd w:id="45"/>
      <w:bookmarkEnd w:id="46"/>
    </w:p>
    <w:p w14:paraId="029DD1C7" w14:textId="77777777" w:rsidR="0043456B" w:rsidRPr="0043456B" w:rsidRDefault="0043456B" w:rsidP="0043456B">
      <w:pPr>
        <w:keepNext/>
        <w:keepLines/>
        <w:widowControl/>
        <w:autoSpaceDE/>
        <w:autoSpaceDN/>
        <w:contextualSpacing/>
        <w:outlineLvl w:val="0"/>
        <w:rPr>
          <w:rFonts w:ascii="Garamond" w:eastAsia="Calibri" w:hAnsi="Garamond" w:cs="Cambria"/>
          <w:sz w:val="24"/>
          <w:szCs w:val="24"/>
        </w:rPr>
      </w:pPr>
    </w:p>
    <w:tbl>
      <w:tblPr>
        <w:tblStyle w:val="TableGrid1"/>
        <w:tblW w:w="0" w:type="auto"/>
        <w:jc w:val="center"/>
        <w:tblLook w:val="04A0" w:firstRow="1" w:lastRow="0" w:firstColumn="1" w:lastColumn="0" w:noHBand="0" w:noVBand="1"/>
      </w:tblPr>
      <w:tblGrid>
        <w:gridCol w:w="2491"/>
        <w:gridCol w:w="997"/>
        <w:gridCol w:w="1174"/>
        <w:gridCol w:w="2004"/>
      </w:tblGrid>
      <w:tr w:rsidR="0043456B" w:rsidRPr="0043456B" w14:paraId="31F24DDF" w14:textId="77777777" w:rsidTr="00CC571B">
        <w:trPr>
          <w:cantSplit/>
          <w:tblHeader/>
          <w:jc w:val="center"/>
        </w:trPr>
        <w:tc>
          <w:tcPr>
            <w:tcW w:w="0" w:type="auto"/>
          </w:tcPr>
          <w:p w14:paraId="7B857BE8" w14:textId="77777777" w:rsidR="0043456B" w:rsidRPr="0043456B" w:rsidRDefault="0043456B" w:rsidP="0043456B">
            <w:pPr>
              <w:keepNext/>
              <w:keepLines/>
              <w:contextualSpacing/>
              <w:outlineLvl w:val="0"/>
              <w:rPr>
                <w:rFonts w:ascii="Garamond" w:eastAsia="Calibri" w:hAnsi="Garamond"/>
                <w:sz w:val="24"/>
                <w:szCs w:val="24"/>
              </w:rPr>
            </w:pPr>
          </w:p>
        </w:tc>
        <w:tc>
          <w:tcPr>
            <w:tcW w:w="0" w:type="auto"/>
            <w:shd w:val="clear" w:color="auto" w:fill="DFE3F0"/>
          </w:tcPr>
          <w:p w14:paraId="4AEF7176" w14:textId="77777777" w:rsidR="0043456B" w:rsidRPr="0043456B" w:rsidRDefault="0043456B" w:rsidP="0043456B">
            <w:pPr>
              <w:keepNext/>
              <w:keepLines/>
              <w:contextualSpacing/>
              <w:outlineLvl w:val="0"/>
              <w:rPr>
                <w:rFonts w:ascii="Garamond" w:eastAsia="Calibri" w:hAnsi="Garamond"/>
                <w:b/>
                <w:bCs/>
                <w:sz w:val="24"/>
                <w:szCs w:val="24"/>
              </w:rPr>
            </w:pPr>
            <w:bookmarkStart w:id="47" w:name="_Toc58395916"/>
            <w:bookmarkStart w:id="48" w:name="_Toc58396382"/>
            <w:bookmarkStart w:id="49" w:name="_Toc58396488"/>
            <w:bookmarkStart w:id="50" w:name="_Toc58743887"/>
            <w:bookmarkStart w:id="51" w:name="_Toc58744045"/>
            <w:bookmarkStart w:id="52" w:name="_Toc58958851"/>
            <w:bookmarkStart w:id="53" w:name="_Toc58960197"/>
            <w:r w:rsidRPr="0043456B">
              <w:rPr>
                <w:rFonts w:ascii="Garamond" w:eastAsia="Calibri" w:hAnsi="Garamond"/>
                <w:b/>
                <w:bCs/>
                <w:sz w:val="24"/>
                <w:szCs w:val="24"/>
              </w:rPr>
              <w:t>Current</w:t>
            </w:r>
            <w:bookmarkEnd w:id="47"/>
            <w:bookmarkEnd w:id="48"/>
            <w:bookmarkEnd w:id="49"/>
            <w:bookmarkEnd w:id="50"/>
            <w:bookmarkEnd w:id="51"/>
            <w:bookmarkEnd w:id="52"/>
            <w:bookmarkEnd w:id="53"/>
            <w:r w:rsidRPr="0043456B">
              <w:rPr>
                <w:rFonts w:ascii="Garamond" w:eastAsia="Calibri" w:hAnsi="Garamond"/>
                <w:b/>
                <w:bCs/>
                <w:sz w:val="24"/>
                <w:szCs w:val="24"/>
              </w:rPr>
              <w:t xml:space="preserve"> </w:t>
            </w:r>
          </w:p>
        </w:tc>
        <w:tc>
          <w:tcPr>
            <w:tcW w:w="0" w:type="auto"/>
            <w:shd w:val="clear" w:color="auto" w:fill="DFE3F0"/>
          </w:tcPr>
          <w:p w14:paraId="5EE0A849" w14:textId="77777777" w:rsidR="0043456B" w:rsidRPr="0043456B" w:rsidRDefault="0043456B" w:rsidP="0043456B">
            <w:pPr>
              <w:keepNext/>
              <w:keepLines/>
              <w:contextualSpacing/>
              <w:outlineLvl w:val="0"/>
              <w:rPr>
                <w:rFonts w:ascii="Garamond" w:eastAsia="Calibri" w:hAnsi="Garamond"/>
                <w:b/>
                <w:bCs/>
                <w:sz w:val="24"/>
                <w:szCs w:val="24"/>
              </w:rPr>
            </w:pPr>
            <w:bookmarkStart w:id="54" w:name="_Toc58395917"/>
            <w:bookmarkStart w:id="55" w:name="_Toc58396383"/>
            <w:bookmarkStart w:id="56" w:name="_Toc58396489"/>
            <w:bookmarkStart w:id="57" w:name="_Toc58743888"/>
            <w:bookmarkStart w:id="58" w:name="_Toc58744046"/>
            <w:bookmarkStart w:id="59" w:name="_Toc58958852"/>
            <w:bookmarkStart w:id="60" w:name="_Toc58960198"/>
            <w:r w:rsidRPr="0043456B">
              <w:rPr>
                <w:rFonts w:ascii="Garamond" w:eastAsia="Calibri" w:hAnsi="Garamond"/>
                <w:b/>
                <w:bCs/>
                <w:sz w:val="24"/>
                <w:szCs w:val="24"/>
              </w:rPr>
              <w:t>Proposed</w:t>
            </w:r>
            <w:bookmarkEnd w:id="54"/>
            <w:bookmarkEnd w:id="55"/>
            <w:bookmarkEnd w:id="56"/>
            <w:bookmarkEnd w:id="57"/>
            <w:bookmarkEnd w:id="58"/>
            <w:bookmarkEnd w:id="59"/>
            <w:bookmarkEnd w:id="60"/>
          </w:p>
        </w:tc>
        <w:tc>
          <w:tcPr>
            <w:tcW w:w="0" w:type="auto"/>
            <w:shd w:val="clear" w:color="auto" w:fill="DFE3F0"/>
          </w:tcPr>
          <w:p w14:paraId="6BA4F25A" w14:textId="77777777" w:rsidR="0043456B" w:rsidRPr="0043456B" w:rsidRDefault="0043456B" w:rsidP="0043456B">
            <w:pPr>
              <w:keepNext/>
              <w:keepLines/>
              <w:contextualSpacing/>
              <w:outlineLvl w:val="0"/>
              <w:rPr>
                <w:rFonts w:ascii="Garamond" w:eastAsia="Calibri" w:hAnsi="Garamond"/>
                <w:b/>
                <w:bCs/>
                <w:sz w:val="24"/>
                <w:szCs w:val="24"/>
              </w:rPr>
            </w:pPr>
            <w:bookmarkStart w:id="61" w:name="_Toc58395918"/>
            <w:bookmarkStart w:id="62" w:name="_Toc58396384"/>
            <w:bookmarkStart w:id="63" w:name="_Toc58396490"/>
            <w:bookmarkStart w:id="64" w:name="_Toc58743889"/>
            <w:bookmarkStart w:id="65" w:name="_Toc58744047"/>
            <w:bookmarkStart w:id="66" w:name="_Toc58958853"/>
            <w:bookmarkStart w:id="67" w:name="_Toc58960199"/>
            <w:r w:rsidRPr="0043456B">
              <w:rPr>
                <w:rFonts w:ascii="Garamond" w:eastAsia="Calibri" w:hAnsi="Garamond"/>
                <w:b/>
                <w:bCs/>
                <w:sz w:val="24"/>
                <w:szCs w:val="24"/>
              </w:rPr>
              <w:t xml:space="preserve">Total if </w:t>
            </w:r>
            <w:proofErr w:type="gramStart"/>
            <w:r w:rsidRPr="0043456B">
              <w:rPr>
                <w:rFonts w:ascii="Garamond" w:eastAsia="Calibri" w:hAnsi="Garamond"/>
                <w:b/>
                <w:bCs/>
                <w:sz w:val="24"/>
                <w:szCs w:val="24"/>
              </w:rPr>
              <w:t>Approved</w:t>
            </w:r>
            <w:bookmarkEnd w:id="61"/>
            <w:bookmarkEnd w:id="62"/>
            <w:bookmarkEnd w:id="63"/>
            <w:bookmarkEnd w:id="64"/>
            <w:bookmarkEnd w:id="65"/>
            <w:bookmarkEnd w:id="66"/>
            <w:bookmarkEnd w:id="67"/>
            <w:proofErr w:type="gramEnd"/>
          </w:p>
        </w:tc>
      </w:tr>
      <w:tr w:rsidR="0043456B" w:rsidRPr="0043456B" w14:paraId="05DFAC8E" w14:textId="77777777" w:rsidTr="00CC571B">
        <w:trPr>
          <w:cantSplit/>
          <w:jc w:val="center"/>
        </w:trPr>
        <w:tc>
          <w:tcPr>
            <w:tcW w:w="0" w:type="auto"/>
          </w:tcPr>
          <w:p w14:paraId="37A2427F" w14:textId="77777777" w:rsidR="0043456B" w:rsidRPr="0043456B" w:rsidRDefault="0043456B" w:rsidP="0043456B">
            <w:pPr>
              <w:keepNext/>
              <w:keepLines/>
              <w:contextualSpacing/>
              <w:outlineLvl w:val="0"/>
              <w:rPr>
                <w:rFonts w:ascii="Garamond" w:eastAsia="Calibri" w:hAnsi="Garamond"/>
                <w:sz w:val="24"/>
                <w:szCs w:val="24"/>
              </w:rPr>
            </w:pPr>
            <w:bookmarkStart w:id="68" w:name="_Toc58395919"/>
            <w:bookmarkStart w:id="69" w:name="_Toc58396385"/>
            <w:bookmarkStart w:id="70" w:name="_Toc58396491"/>
            <w:bookmarkStart w:id="71" w:name="_Toc58743890"/>
            <w:bookmarkStart w:id="72" w:name="_Toc58744048"/>
            <w:bookmarkStart w:id="73" w:name="_Toc58958854"/>
            <w:bookmarkStart w:id="74" w:name="_Toc58960200"/>
            <w:r w:rsidRPr="0043456B">
              <w:rPr>
                <w:rFonts w:ascii="Garamond" w:eastAsia="Calibri" w:hAnsi="Garamond"/>
                <w:sz w:val="24"/>
                <w:szCs w:val="24"/>
              </w:rPr>
              <w:t>ORs</w:t>
            </w:r>
            <w:bookmarkEnd w:id="68"/>
            <w:bookmarkEnd w:id="69"/>
            <w:bookmarkEnd w:id="70"/>
            <w:bookmarkEnd w:id="71"/>
            <w:bookmarkEnd w:id="72"/>
            <w:bookmarkEnd w:id="73"/>
            <w:bookmarkEnd w:id="74"/>
          </w:p>
        </w:tc>
        <w:tc>
          <w:tcPr>
            <w:tcW w:w="0" w:type="auto"/>
          </w:tcPr>
          <w:p w14:paraId="66DDDDD9" w14:textId="77777777" w:rsidR="0043456B" w:rsidRPr="0043456B" w:rsidRDefault="0043456B" w:rsidP="0043456B">
            <w:pPr>
              <w:keepNext/>
              <w:keepLines/>
              <w:contextualSpacing/>
              <w:outlineLvl w:val="0"/>
              <w:rPr>
                <w:rFonts w:ascii="Garamond" w:eastAsia="Calibri" w:hAnsi="Garamond"/>
                <w:sz w:val="24"/>
                <w:szCs w:val="24"/>
              </w:rPr>
            </w:pPr>
            <w:bookmarkStart w:id="75" w:name="_Toc58395920"/>
            <w:bookmarkStart w:id="76" w:name="_Toc58396386"/>
            <w:bookmarkStart w:id="77" w:name="_Toc58396492"/>
            <w:bookmarkStart w:id="78" w:name="_Toc58743891"/>
            <w:bookmarkStart w:id="79" w:name="_Toc58744049"/>
            <w:bookmarkStart w:id="80" w:name="_Toc58958855"/>
            <w:bookmarkStart w:id="81" w:name="_Toc58960201"/>
            <w:r w:rsidRPr="0043456B">
              <w:rPr>
                <w:rFonts w:ascii="Garamond" w:eastAsia="Calibri" w:hAnsi="Garamond"/>
                <w:sz w:val="24"/>
                <w:szCs w:val="24"/>
              </w:rPr>
              <w:t>1</w:t>
            </w:r>
            <w:bookmarkEnd w:id="75"/>
            <w:bookmarkEnd w:id="76"/>
            <w:bookmarkEnd w:id="77"/>
            <w:bookmarkEnd w:id="78"/>
            <w:bookmarkEnd w:id="79"/>
            <w:bookmarkEnd w:id="80"/>
            <w:bookmarkEnd w:id="81"/>
          </w:p>
        </w:tc>
        <w:tc>
          <w:tcPr>
            <w:tcW w:w="0" w:type="auto"/>
          </w:tcPr>
          <w:p w14:paraId="6894B442" w14:textId="77777777" w:rsidR="0043456B" w:rsidRPr="0043456B" w:rsidRDefault="0043456B" w:rsidP="0043456B">
            <w:pPr>
              <w:keepNext/>
              <w:keepLines/>
              <w:contextualSpacing/>
              <w:outlineLvl w:val="0"/>
              <w:rPr>
                <w:rFonts w:ascii="Garamond" w:eastAsia="Calibri" w:hAnsi="Garamond"/>
                <w:sz w:val="24"/>
                <w:szCs w:val="24"/>
              </w:rPr>
            </w:pPr>
            <w:bookmarkStart w:id="82" w:name="_Toc58395921"/>
            <w:bookmarkStart w:id="83" w:name="_Toc58396387"/>
            <w:bookmarkStart w:id="84" w:name="_Toc58396493"/>
            <w:bookmarkStart w:id="85" w:name="_Toc58743892"/>
            <w:bookmarkStart w:id="86" w:name="_Toc58744050"/>
            <w:bookmarkStart w:id="87" w:name="_Toc58958856"/>
            <w:bookmarkStart w:id="88" w:name="_Toc58960202"/>
            <w:r w:rsidRPr="0043456B">
              <w:rPr>
                <w:rFonts w:ascii="Garamond" w:eastAsia="Calibri" w:hAnsi="Garamond"/>
                <w:sz w:val="24"/>
                <w:szCs w:val="24"/>
              </w:rPr>
              <w:t>1</w:t>
            </w:r>
            <w:bookmarkEnd w:id="82"/>
            <w:bookmarkEnd w:id="83"/>
            <w:bookmarkEnd w:id="84"/>
            <w:bookmarkEnd w:id="85"/>
            <w:bookmarkEnd w:id="86"/>
            <w:bookmarkEnd w:id="87"/>
            <w:bookmarkEnd w:id="88"/>
          </w:p>
        </w:tc>
        <w:tc>
          <w:tcPr>
            <w:tcW w:w="0" w:type="auto"/>
          </w:tcPr>
          <w:p w14:paraId="2BD42D6E" w14:textId="77777777" w:rsidR="0043456B" w:rsidRPr="0043456B" w:rsidRDefault="0043456B" w:rsidP="0043456B">
            <w:pPr>
              <w:keepNext/>
              <w:keepLines/>
              <w:contextualSpacing/>
              <w:outlineLvl w:val="0"/>
              <w:rPr>
                <w:rFonts w:ascii="Garamond" w:eastAsia="Calibri" w:hAnsi="Garamond"/>
                <w:sz w:val="24"/>
                <w:szCs w:val="24"/>
              </w:rPr>
            </w:pPr>
            <w:bookmarkStart w:id="89" w:name="_Toc58395922"/>
            <w:bookmarkStart w:id="90" w:name="_Toc58396388"/>
            <w:bookmarkStart w:id="91" w:name="_Toc58396494"/>
            <w:bookmarkStart w:id="92" w:name="_Toc58743893"/>
            <w:bookmarkStart w:id="93" w:name="_Toc58744051"/>
            <w:bookmarkStart w:id="94" w:name="_Toc58958857"/>
            <w:bookmarkStart w:id="95" w:name="_Toc58960203"/>
            <w:r w:rsidRPr="0043456B">
              <w:rPr>
                <w:rFonts w:ascii="Garamond" w:eastAsia="Calibri" w:hAnsi="Garamond"/>
                <w:sz w:val="24"/>
                <w:szCs w:val="24"/>
              </w:rPr>
              <w:t>2</w:t>
            </w:r>
            <w:bookmarkEnd w:id="89"/>
            <w:bookmarkEnd w:id="90"/>
            <w:bookmarkEnd w:id="91"/>
            <w:bookmarkEnd w:id="92"/>
            <w:bookmarkEnd w:id="93"/>
            <w:bookmarkEnd w:id="94"/>
            <w:bookmarkEnd w:id="95"/>
          </w:p>
        </w:tc>
      </w:tr>
      <w:tr w:rsidR="0043456B" w:rsidRPr="0043456B" w14:paraId="606FE77D" w14:textId="77777777" w:rsidTr="00CC571B">
        <w:trPr>
          <w:cantSplit/>
          <w:jc w:val="center"/>
        </w:trPr>
        <w:tc>
          <w:tcPr>
            <w:tcW w:w="0" w:type="auto"/>
          </w:tcPr>
          <w:p w14:paraId="70EB8406" w14:textId="77777777" w:rsidR="0043456B" w:rsidRPr="0043456B" w:rsidRDefault="0043456B" w:rsidP="0043456B">
            <w:pPr>
              <w:keepNext/>
              <w:keepLines/>
              <w:contextualSpacing/>
              <w:outlineLvl w:val="0"/>
              <w:rPr>
                <w:rFonts w:ascii="Garamond" w:eastAsia="Calibri" w:hAnsi="Garamond"/>
                <w:sz w:val="24"/>
                <w:szCs w:val="24"/>
              </w:rPr>
            </w:pPr>
            <w:bookmarkStart w:id="96" w:name="_Toc58395923"/>
            <w:bookmarkStart w:id="97" w:name="_Toc58396389"/>
            <w:bookmarkStart w:id="98" w:name="_Toc58396495"/>
            <w:bookmarkStart w:id="99" w:name="_Toc58743894"/>
            <w:bookmarkStart w:id="100" w:name="_Toc58744052"/>
            <w:bookmarkStart w:id="101" w:name="_Toc58958858"/>
            <w:bookmarkStart w:id="102" w:name="_Toc58960204"/>
            <w:r w:rsidRPr="0043456B">
              <w:rPr>
                <w:rFonts w:ascii="Garamond" w:eastAsia="Calibri" w:hAnsi="Garamond"/>
                <w:sz w:val="24"/>
                <w:szCs w:val="24"/>
              </w:rPr>
              <w:t>Pre/Post-operative beds</w:t>
            </w:r>
            <w:bookmarkEnd w:id="96"/>
            <w:bookmarkEnd w:id="97"/>
            <w:bookmarkEnd w:id="98"/>
            <w:bookmarkEnd w:id="99"/>
            <w:bookmarkEnd w:id="100"/>
            <w:bookmarkEnd w:id="101"/>
            <w:bookmarkEnd w:id="102"/>
          </w:p>
        </w:tc>
        <w:tc>
          <w:tcPr>
            <w:tcW w:w="0" w:type="auto"/>
          </w:tcPr>
          <w:p w14:paraId="1634BC1D" w14:textId="77777777" w:rsidR="0043456B" w:rsidRPr="0043456B" w:rsidRDefault="0043456B" w:rsidP="0043456B">
            <w:pPr>
              <w:keepNext/>
              <w:keepLines/>
              <w:contextualSpacing/>
              <w:outlineLvl w:val="0"/>
              <w:rPr>
                <w:rFonts w:ascii="Garamond" w:eastAsia="Calibri" w:hAnsi="Garamond"/>
                <w:sz w:val="24"/>
                <w:szCs w:val="24"/>
              </w:rPr>
            </w:pPr>
            <w:bookmarkStart w:id="103" w:name="_Toc58395924"/>
            <w:bookmarkStart w:id="104" w:name="_Toc58396390"/>
            <w:bookmarkStart w:id="105" w:name="_Toc58396496"/>
            <w:bookmarkStart w:id="106" w:name="_Toc58743895"/>
            <w:bookmarkStart w:id="107" w:name="_Toc58744053"/>
            <w:bookmarkStart w:id="108" w:name="_Toc58958859"/>
            <w:bookmarkStart w:id="109" w:name="_Toc58960205"/>
            <w:r w:rsidRPr="0043456B">
              <w:rPr>
                <w:rFonts w:ascii="Garamond" w:eastAsia="Calibri" w:hAnsi="Garamond"/>
                <w:sz w:val="24"/>
                <w:szCs w:val="24"/>
              </w:rPr>
              <w:t>7</w:t>
            </w:r>
            <w:bookmarkEnd w:id="103"/>
            <w:bookmarkEnd w:id="104"/>
            <w:bookmarkEnd w:id="105"/>
            <w:bookmarkEnd w:id="106"/>
            <w:bookmarkEnd w:id="107"/>
            <w:bookmarkEnd w:id="108"/>
            <w:bookmarkEnd w:id="109"/>
          </w:p>
        </w:tc>
        <w:tc>
          <w:tcPr>
            <w:tcW w:w="0" w:type="auto"/>
          </w:tcPr>
          <w:p w14:paraId="0021679A" w14:textId="77777777" w:rsidR="0043456B" w:rsidRPr="0043456B" w:rsidRDefault="0043456B" w:rsidP="0043456B">
            <w:pPr>
              <w:keepNext/>
              <w:keepLines/>
              <w:contextualSpacing/>
              <w:outlineLvl w:val="0"/>
              <w:rPr>
                <w:rFonts w:ascii="Garamond" w:eastAsia="Calibri" w:hAnsi="Garamond"/>
                <w:sz w:val="24"/>
                <w:szCs w:val="24"/>
              </w:rPr>
            </w:pPr>
            <w:bookmarkStart w:id="110" w:name="_Toc58395925"/>
            <w:bookmarkStart w:id="111" w:name="_Toc58396391"/>
            <w:bookmarkStart w:id="112" w:name="_Toc58396497"/>
            <w:bookmarkStart w:id="113" w:name="_Toc58743896"/>
            <w:bookmarkStart w:id="114" w:name="_Toc58744054"/>
            <w:bookmarkStart w:id="115" w:name="_Toc58958860"/>
            <w:bookmarkStart w:id="116" w:name="_Toc58960206"/>
            <w:r w:rsidRPr="0043456B">
              <w:rPr>
                <w:rFonts w:ascii="Garamond" w:eastAsia="Calibri" w:hAnsi="Garamond"/>
                <w:sz w:val="24"/>
                <w:szCs w:val="24"/>
              </w:rPr>
              <w:t>2</w:t>
            </w:r>
            <w:bookmarkEnd w:id="110"/>
            <w:bookmarkEnd w:id="111"/>
            <w:bookmarkEnd w:id="112"/>
            <w:bookmarkEnd w:id="113"/>
            <w:bookmarkEnd w:id="114"/>
            <w:bookmarkEnd w:id="115"/>
            <w:bookmarkEnd w:id="116"/>
          </w:p>
        </w:tc>
        <w:tc>
          <w:tcPr>
            <w:tcW w:w="0" w:type="auto"/>
          </w:tcPr>
          <w:p w14:paraId="1C9021DD" w14:textId="77777777" w:rsidR="0043456B" w:rsidRPr="0043456B" w:rsidRDefault="0043456B" w:rsidP="0043456B">
            <w:pPr>
              <w:keepNext/>
              <w:keepLines/>
              <w:contextualSpacing/>
              <w:outlineLvl w:val="0"/>
              <w:rPr>
                <w:rFonts w:ascii="Garamond" w:eastAsia="Calibri" w:hAnsi="Garamond"/>
                <w:sz w:val="24"/>
                <w:szCs w:val="24"/>
              </w:rPr>
            </w:pPr>
            <w:bookmarkStart w:id="117" w:name="_Toc58395926"/>
            <w:bookmarkStart w:id="118" w:name="_Toc58396392"/>
            <w:bookmarkStart w:id="119" w:name="_Toc58396498"/>
            <w:bookmarkStart w:id="120" w:name="_Toc58743897"/>
            <w:bookmarkStart w:id="121" w:name="_Toc58744055"/>
            <w:bookmarkStart w:id="122" w:name="_Toc58958861"/>
            <w:bookmarkStart w:id="123" w:name="_Toc58960207"/>
            <w:r w:rsidRPr="0043456B">
              <w:rPr>
                <w:rFonts w:ascii="Garamond" w:eastAsia="Calibri" w:hAnsi="Garamond"/>
                <w:sz w:val="24"/>
                <w:szCs w:val="24"/>
              </w:rPr>
              <w:t>9</w:t>
            </w:r>
            <w:bookmarkEnd w:id="117"/>
            <w:bookmarkEnd w:id="118"/>
            <w:bookmarkEnd w:id="119"/>
            <w:bookmarkEnd w:id="120"/>
            <w:bookmarkEnd w:id="121"/>
            <w:bookmarkEnd w:id="122"/>
            <w:bookmarkEnd w:id="123"/>
          </w:p>
        </w:tc>
      </w:tr>
      <w:tr w:rsidR="0043456B" w:rsidRPr="0043456B" w14:paraId="18B35982" w14:textId="77777777" w:rsidTr="00CC571B">
        <w:trPr>
          <w:cantSplit/>
          <w:jc w:val="center"/>
        </w:trPr>
        <w:tc>
          <w:tcPr>
            <w:tcW w:w="0" w:type="auto"/>
          </w:tcPr>
          <w:p w14:paraId="40108438" w14:textId="77777777" w:rsidR="0043456B" w:rsidRPr="0043456B" w:rsidRDefault="0043456B" w:rsidP="0043456B">
            <w:pPr>
              <w:keepNext/>
              <w:keepLines/>
              <w:contextualSpacing/>
              <w:outlineLvl w:val="0"/>
              <w:rPr>
                <w:rFonts w:ascii="Garamond" w:eastAsia="Calibri" w:hAnsi="Garamond"/>
                <w:sz w:val="24"/>
                <w:szCs w:val="24"/>
              </w:rPr>
            </w:pPr>
            <w:bookmarkStart w:id="124" w:name="_Toc58395927"/>
            <w:bookmarkStart w:id="125" w:name="_Toc58396393"/>
            <w:bookmarkStart w:id="126" w:name="_Toc58396499"/>
            <w:bookmarkStart w:id="127" w:name="_Toc58743898"/>
            <w:bookmarkStart w:id="128" w:name="_Toc58744056"/>
            <w:bookmarkStart w:id="129" w:name="_Toc58958862"/>
            <w:bookmarkStart w:id="130" w:name="_Toc58960208"/>
            <w:r w:rsidRPr="0043456B">
              <w:rPr>
                <w:rFonts w:ascii="Garamond" w:eastAsia="Calibri" w:hAnsi="Garamond"/>
                <w:sz w:val="24"/>
                <w:szCs w:val="24"/>
              </w:rPr>
              <w:t>Pediatric room</w:t>
            </w:r>
            <w:bookmarkEnd w:id="124"/>
            <w:bookmarkEnd w:id="125"/>
            <w:bookmarkEnd w:id="126"/>
            <w:bookmarkEnd w:id="127"/>
            <w:bookmarkEnd w:id="128"/>
            <w:bookmarkEnd w:id="129"/>
            <w:bookmarkEnd w:id="130"/>
            <w:r w:rsidRPr="0043456B">
              <w:rPr>
                <w:rFonts w:ascii="Garamond" w:eastAsia="Calibri" w:hAnsi="Garamond"/>
                <w:sz w:val="24"/>
                <w:szCs w:val="24"/>
              </w:rPr>
              <w:t xml:space="preserve"> </w:t>
            </w:r>
          </w:p>
        </w:tc>
        <w:tc>
          <w:tcPr>
            <w:tcW w:w="0" w:type="auto"/>
          </w:tcPr>
          <w:p w14:paraId="54AD4211" w14:textId="77777777" w:rsidR="0043456B" w:rsidRPr="0043456B" w:rsidRDefault="0043456B" w:rsidP="0043456B">
            <w:pPr>
              <w:keepNext/>
              <w:keepLines/>
              <w:contextualSpacing/>
              <w:outlineLvl w:val="0"/>
              <w:rPr>
                <w:rFonts w:ascii="Garamond" w:eastAsia="Calibri" w:hAnsi="Garamond"/>
                <w:sz w:val="24"/>
                <w:szCs w:val="24"/>
              </w:rPr>
            </w:pPr>
            <w:bookmarkStart w:id="131" w:name="_Toc58395928"/>
            <w:bookmarkStart w:id="132" w:name="_Toc58396394"/>
            <w:bookmarkStart w:id="133" w:name="_Toc58396500"/>
            <w:bookmarkStart w:id="134" w:name="_Toc58743899"/>
            <w:bookmarkStart w:id="135" w:name="_Toc58744057"/>
            <w:bookmarkStart w:id="136" w:name="_Toc58958863"/>
            <w:bookmarkStart w:id="137" w:name="_Toc58960209"/>
            <w:r w:rsidRPr="0043456B">
              <w:rPr>
                <w:rFonts w:ascii="Garamond" w:eastAsia="Calibri" w:hAnsi="Garamond"/>
                <w:sz w:val="24"/>
                <w:szCs w:val="24"/>
              </w:rPr>
              <w:t>0</w:t>
            </w:r>
            <w:bookmarkEnd w:id="131"/>
            <w:bookmarkEnd w:id="132"/>
            <w:bookmarkEnd w:id="133"/>
            <w:bookmarkEnd w:id="134"/>
            <w:bookmarkEnd w:id="135"/>
            <w:bookmarkEnd w:id="136"/>
            <w:bookmarkEnd w:id="137"/>
          </w:p>
        </w:tc>
        <w:tc>
          <w:tcPr>
            <w:tcW w:w="0" w:type="auto"/>
          </w:tcPr>
          <w:p w14:paraId="15CC6B55" w14:textId="77777777" w:rsidR="0043456B" w:rsidRPr="0043456B" w:rsidRDefault="0043456B" w:rsidP="0043456B">
            <w:pPr>
              <w:keepNext/>
              <w:keepLines/>
              <w:contextualSpacing/>
              <w:outlineLvl w:val="0"/>
              <w:rPr>
                <w:rFonts w:ascii="Garamond" w:eastAsia="Calibri" w:hAnsi="Garamond"/>
                <w:sz w:val="24"/>
                <w:szCs w:val="24"/>
              </w:rPr>
            </w:pPr>
            <w:bookmarkStart w:id="138" w:name="_Toc58395929"/>
            <w:bookmarkStart w:id="139" w:name="_Toc58396395"/>
            <w:bookmarkStart w:id="140" w:name="_Toc58396501"/>
            <w:bookmarkStart w:id="141" w:name="_Toc58743900"/>
            <w:bookmarkStart w:id="142" w:name="_Toc58744058"/>
            <w:bookmarkStart w:id="143" w:name="_Toc58958864"/>
            <w:bookmarkStart w:id="144" w:name="_Toc58960210"/>
            <w:r w:rsidRPr="0043456B">
              <w:rPr>
                <w:rFonts w:ascii="Garamond" w:eastAsia="Calibri" w:hAnsi="Garamond"/>
                <w:sz w:val="24"/>
                <w:szCs w:val="24"/>
              </w:rPr>
              <w:t>1</w:t>
            </w:r>
            <w:bookmarkEnd w:id="138"/>
            <w:bookmarkEnd w:id="139"/>
            <w:bookmarkEnd w:id="140"/>
            <w:bookmarkEnd w:id="141"/>
            <w:bookmarkEnd w:id="142"/>
            <w:bookmarkEnd w:id="143"/>
            <w:bookmarkEnd w:id="144"/>
          </w:p>
        </w:tc>
        <w:tc>
          <w:tcPr>
            <w:tcW w:w="0" w:type="auto"/>
          </w:tcPr>
          <w:p w14:paraId="5E3E5798" w14:textId="77777777" w:rsidR="0043456B" w:rsidRPr="0043456B" w:rsidRDefault="0043456B" w:rsidP="0043456B">
            <w:pPr>
              <w:keepNext/>
              <w:keepLines/>
              <w:contextualSpacing/>
              <w:outlineLvl w:val="0"/>
              <w:rPr>
                <w:rFonts w:ascii="Garamond" w:eastAsia="Calibri" w:hAnsi="Garamond"/>
                <w:sz w:val="24"/>
                <w:szCs w:val="24"/>
              </w:rPr>
            </w:pPr>
            <w:bookmarkStart w:id="145" w:name="_Toc58395930"/>
            <w:bookmarkStart w:id="146" w:name="_Toc58396396"/>
            <w:bookmarkStart w:id="147" w:name="_Toc58396502"/>
            <w:bookmarkStart w:id="148" w:name="_Toc58743901"/>
            <w:bookmarkStart w:id="149" w:name="_Toc58744059"/>
            <w:bookmarkStart w:id="150" w:name="_Toc58958865"/>
            <w:bookmarkStart w:id="151" w:name="_Toc58960211"/>
            <w:r w:rsidRPr="0043456B">
              <w:rPr>
                <w:rFonts w:ascii="Garamond" w:eastAsia="Calibri" w:hAnsi="Garamond"/>
                <w:sz w:val="24"/>
                <w:szCs w:val="24"/>
              </w:rPr>
              <w:t>1</w:t>
            </w:r>
            <w:bookmarkEnd w:id="145"/>
            <w:bookmarkEnd w:id="146"/>
            <w:bookmarkEnd w:id="147"/>
            <w:bookmarkEnd w:id="148"/>
            <w:bookmarkEnd w:id="149"/>
            <w:bookmarkEnd w:id="150"/>
            <w:bookmarkEnd w:id="151"/>
            <w:r w:rsidRPr="0043456B">
              <w:rPr>
                <w:rFonts w:ascii="Garamond" w:eastAsia="Calibri" w:hAnsi="Garamond"/>
                <w:sz w:val="24"/>
                <w:szCs w:val="24"/>
              </w:rPr>
              <w:t xml:space="preserve"> </w:t>
            </w:r>
          </w:p>
        </w:tc>
      </w:tr>
    </w:tbl>
    <w:p w14:paraId="337D8A4C"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152" w:name="_Toc58960212"/>
      <w:r w:rsidRPr="0043456B">
        <w:rPr>
          <w:rFonts w:ascii="Garamond" w:hAnsi="Garamond"/>
          <w:b/>
          <w:bCs/>
          <w:color w:val="42558C"/>
          <w:sz w:val="28"/>
          <w:szCs w:val="28"/>
        </w:rPr>
        <w:t>Patient Panel</w:t>
      </w:r>
      <w:r w:rsidRPr="0043456B">
        <w:rPr>
          <w:rFonts w:ascii="Garamond" w:hAnsi="Garamond"/>
          <w:bCs/>
          <w:color w:val="42558C"/>
          <w:sz w:val="28"/>
          <w:szCs w:val="28"/>
          <w:vertAlign w:val="superscript"/>
        </w:rPr>
        <w:footnoteReference w:id="6"/>
      </w:r>
      <w:bookmarkEnd w:id="17"/>
      <w:bookmarkEnd w:id="18"/>
      <w:bookmarkEnd w:id="152"/>
    </w:p>
    <w:p w14:paraId="722F56AE" w14:textId="77777777" w:rsidR="0043456B" w:rsidRPr="0043456B" w:rsidRDefault="0043456B" w:rsidP="0043456B">
      <w:pPr>
        <w:widowControl/>
        <w:autoSpaceDE/>
        <w:autoSpaceDN/>
        <w:rPr>
          <w:rFonts w:ascii="Garamond" w:eastAsia="Calibri" w:hAnsi="Garamond" w:cs="Calibri"/>
          <w:bCs/>
          <w:sz w:val="24"/>
          <w:szCs w:val="24"/>
        </w:rPr>
      </w:pPr>
      <w:r w:rsidRPr="0043456B">
        <w:rPr>
          <w:rFonts w:ascii="Garamond" w:eastAsia="Calibri" w:hAnsi="Garamond" w:cs="Calibri"/>
          <w:bCs/>
          <w:sz w:val="24"/>
          <w:szCs w:val="24"/>
        </w:rPr>
        <w:t>The Applicant provided Patient Panel information for the period FY2017-2019 during which time the Applicant served 3,752 patients.</w:t>
      </w:r>
      <w:r w:rsidRPr="0043456B">
        <w:rPr>
          <w:rFonts w:ascii="Garamond" w:eastAsia="Calibri" w:hAnsi="Garamond" w:cs="Calibri"/>
          <w:bCs/>
          <w:sz w:val="24"/>
          <w:szCs w:val="24"/>
          <w:vertAlign w:val="superscript"/>
        </w:rPr>
        <w:footnoteReference w:id="7"/>
      </w:r>
      <w:r w:rsidRPr="0043456B">
        <w:rPr>
          <w:rFonts w:ascii="Garamond" w:eastAsia="Calibri" w:hAnsi="Garamond" w:cs="Calibri"/>
          <w:bCs/>
          <w:sz w:val="24"/>
          <w:szCs w:val="24"/>
        </w:rPr>
        <w:t xml:space="preserve"> </w:t>
      </w:r>
      <w:bookmarkEnd w:id="19"/>
      <w:r w:rsidRPr="0043456B">
        <w:rPr>
          <w:rFonts w:ascii="Garamond" w:eastAsia="Calibri" w:hAnsi="Garamond"/>
          <w:sz w:val="24"/>
          <w:szCs w:val="24"/>
        </w:rPr>
        <w:t>Table 1 below presents demographic information for these patients during FY19. Staff compared the demographic profile of NESC patients to that of Essex County where the majority of NESC patients reside and found that the racial/ethnic makeup of NESC patients differs from that of Essex County.</w:t>
      </w:r>
      <w:r w:rsidRPr="0043456B">
        <w:rPr>
          <w:rFonts w:ascii="Garamond" w:eastAsia="Calibri" w:hAnsi="Garamond"/>
          <w:sz w:val="24"/>
          <w:szCs w:val="24"/>
          <w:vertAlign w:val="superscript"/>
        </w:rPr>
        <w:footnoteReference w:id="8"/>
      </w:r>
    </w:p>
    <w:p w14:paraId="1D1D3F95" w14:textId="77777777" w:rsidR="0043456B" w:rsidRPr="0043456B" w:rsidRDefault="0043456B" w:rsidP="0043456B">
      <w:pPr>
        <w:widowControl/>
        <w:autoSpaceDE/>
        <w:autoSpaceDN/>
        <w:contextualSpacing/>
        <w:rPr>
          <w:rFonts w:ascii="Garamond" w:eastAsia="Calibri" w:hAnsi="Garamond"/>
          <w:sz w:val="24"/>
          <w:szCs w:val="24"/>
        </w:rPr>
      </w:pPr>
    </w:p>
    <w:p w14:paraId="061D000A" w14:textId="77777777" w:rsidR="0043456B" w:rsidRPr="0043456B" w:rsidRDefault="0043456B" w:rsidP="0043456B">
      <w:pPr>
        <w:widowControl/>
        <w:autoSpaceDE/>
        <w:autoSpaceDN/>
        <w:spacing w:after="200"/>
        <w:rPr>
          <w:rFonts w:ascii="Garamond" w:eastAsia="Calibri" w:hAnsi="Garamond"/>
          <w:b/>
          <w:bCs/>
          <w:color w:val="42558C"/>
          <w:sz w:val="24"/>
          <w:szCs w:val="24"/>
        </w:rPr>
      </w:pPr>
      <w:r w:rsidRPr="0043456B">
        <w:rPr>
          <w:rFonts w:ascii="Garamond" w:eastAsia="Calibri" w:hAnsi="Garamond"/>
          <w:b/>
          <w:bCs/>
          <w:color w:val="42558C"/>
          <w:sz w:val="24"/>
          <w:szCs w:val="24"/>
        </w:rPr>
        <w:t xml:space="preserve">Table </w:t>
      </w:r>
      <w:r w:rsidRPr="0043456B">
        <w:rPr>
          <w:rFonts w:ascii="Garamond" w:eastAsia="Calibri" w:hAnsi="Garamond"/>
          <w:b/>
          <w:bCs/>
          <w:color w:val="42558C"/>
          <w:sz w:val="24"/>
          <w:szCs w:val="24"/>
        </w:rPr>
        <w:fldChar w:fldCharType="begin"/>
      </w:r>
      <w:r w:rsidRPr="0043456B">
        <w:rPr>
          <w:rFonts w:ascii="Garamond" w:eastAsia="Calibri" w:hAnsi="Garamond"/>
          <w:b/>
          <w:bCs/>
          <w:color w:val="42558C"/>
          <w:sz w:val="24"/>
          <w:szCs w:val="24"/>
        </w:rPr>
        <w:instrText xml:space="preserve"> SEQ Table \* ARABIC </w:instrText>
      </w:r>
      <w:r w:rsidRPr="0043456B">
        <w:rPr>
          <w:rFonts w:ascii="Garamond" w:eastAsia="Calibri" w:hAnsi="Garamond"/>
          <w:b/>
          <w:bCs/>
          <w:color w:val="42558C"/>
          <w:sz w:val="24"/>
          <w:szCs w:val="24"/>
        </w:rPr>
        <w:fldChar w:fldCharType="separate"/>
      </w:r>
      <w:r w:rsidRPr="0043456B">
        <w:rPr>
          <w:rFonts w:ascii="Garamond" w:eastAsia="Calibri" w:hAnsi="Garamond"/>
          <w:b/>
          <w:bCs/>
          <w:noProof/>
          <w:color w:val="42558C"/>
          <w:sz w:val="24"/>
          <w:szCs w:val="24"/>
        </w:rPr>
        <w:t>1</w:t>
      </w:r>
      <w:r w:rsidRPr="0043456B">
        <w:rPr>
          <w:rFonts w:ascii="Garamond" w:eastAsia="Calibri" w:hAnsi="Garamond"/>
          <w:b/>
          <w:bCs/>
          <w:color w:val="42558C"/>
          <w:sz w:val="24"/>
          <w:szCs w:val="24"/>
        </w:rPr>
        <w:fldChar w:fldCharType="end"/>
      </w:r>
      <w:r w:rsidRPr="0043456B">
        <w:rPr>
          <w:rFonts w:ascii="Garamond" w:eastAsia="Calibri" w:hAnsi="Garamond"/>
          <w:b/>
          <w:bCs/>
          <w:color w:val="42558C"/>
          <w:sz w:val="24"/>
          <w:szCs w:val="24"/>
        </w:rPr>
        <w:t xml:space="preserve">: Overview of NESC Patients </w:t>
      </w:r>
    </w:p>
    <w:tbl>
      <w:tblPr>
        <w:tblStyle w:val="TableGrid1"/>
        <w:tblW w:w="0" w:type="auto"/>
        <w:tblLook w:val="04A0" w:firstRow="1" w:lastRow="0" w:firstColumn="1" w:lastColumn="0" w:noHBand="0" w:noVBand="1"/>
      </w:tblPr>
      <w:tblGrid>
        <w:gridCol w:w="4375"/>
        <w:gridCol w:w="3719"/>
      </w:tblGrid>
      <w:tr w:rsidR="0043456B" w:rsidRPr="0043456B" w14:paraId="5D09829E" w14:textId="77777777" w:rsidTr="0009626E">
        <w:trPr>
          <w:cantSplit/>
          <w:tblHeader/>
        </w:trPr>
        <w:tc>
          <w:tcPr>
            <w:tcW w:w="0" w:type="auto"/>
          </w:tcPr>
          <w:p w14:paraId="219728FF" w14:textId="77777777" w:rsidR="0043456B" w:rsidRPr="0043456B" w:rsidRDefault="0043456B" w:rsidP="0043456B">
            <w:pPr>
              <w:rPr>
                <w:rFonts w:ascii="Garamond" w:eastAsia="Calibri" w:hAnsi="Garamond"/>
              </w:rPr>
            </w:pPr>
          </w:p>
        </w:tc>
        <w:tc>
          <w:tcPr>
            <w:tcW w:w="3719" w:type="dxa"/>
            <w:shd w:val="clear" w:color="auto" w:fill="DFE3F0"/>
          </w:tcPr>
          <w:p w14:paraId="3F0C7C4E" w14:textId="77777777" w:rsidR="0043456B" w:rsidRPr="0043456B" w:rsidRDefault="0043456B" w:rsidP="0043456B">
            <w:pPr>
              <w:rPr>
                <w:rFonts w:ascii="Garamond" w:eastAsia="Calibri" w:hAnsi="Garamond"/>
                <w:b/>
                <w:bCs/>
              </w:rPr>
            </w:pPr>
            <w:r w:rsidRPr="0043456B">
              <w:rPr>
                <w:rFonts w:ascii="Garamond" w:eastAsia="Calibri" w:hAnsi="Garamond"/>
                <w:b/>
                <w:bCs/>
              </w:rPr>
              <w:t>FY19</w:t>
            </w:r>
          </w:p>
        </w:tc>
      </w:tr>
      <w:tr w:rsidR="0043456B" w:rsidRPr="0043456B" w14:paraId="2AF98D8F" w14:textId="77777777" w:rsidTr="0009626E">
        <w:trPr>
          <w:cantSplit/>
        </w:trPr>
        <w:tc>
          <w:tcPr>
            <w:tcW w:w="0" w:type="auto"/>
          </w:tcPr>
          <w:p w14:paraId="50E4CFC6" w14:textId="77777777" w:rsidR="0043456B" w:rsidRPr="0043456B" w:rsidRDefault="0043456B" w:rsidP="0043456B">
            <w:pPr>
              <w:rPr>
                <w:rFonts w:ascii="Garamond" w:eastAsia="Calibri" w:hAnsi="Garamond"/>
              </w:rPr>
            </w:pPr>
            <w:r w:rsidRPr="0043456B">
              <w:rPr>
                <w:rFonts w:ascii="Garamond" w:eastAsia="Calibri" w:hAnsi="Garamond"/>
              </w:rPr>
              <w:t>Total Unique Patients</w:t>
            </w:r>
          </w:p>
        </w:tc>
        <w:tc>
          <w:tcPr>
            <w:tcW w:w="3719" w:type="dxa"/>
          </w:tcPr>
          <w:p w14:paraId="7503B9BD" w14:textId="77777777" w:rsidR="0043456B" w:rsidRPr="0043456B" w:rsidRDefault="0043456B" w:rsidP="0043456B">
            <w:pPr>
              <w:rPr>
                <w:rFonts w:ascii="Garamond" w:eastAsia="Calibri" w:hAnsi="Garamond"/>
              </w:rPr>
            </w:pPr>
            <w:r w:rsidRPr="0043456B">
              <w:rPr>
                <w:rFonts w:ascii="Garamond" w:eastAsia="Calibri" w:hAnsi="Garamond"/>
              </w:rPr>
              <w:t>1,024</w:t>
            </w:r>
          </w:p>
        </w:tc>
      </w:tr>
      <w:tr w:rsidR="0069218B" w:rsidRPr="0043456B" w14:paraId="78919BD8" w14:textId="77777777" w:rsidTr="0009626E">
        <w:trPr>
          <w:cantSplit/>
          <w:trHeight w:val="429"/>
        </w:trPr>
        <w:tc>
          <w:tcPr>
            <w:tcW w:w="0" w:type="auto"/>
            <w:tcBorders>
              <w:bottom w:val="single" w:sz="4" w:space="0" w:color="FFFFFF" w:themeColor="background1"/>
            </w:tcBorders>
          </w:tcPr>
          <w:p w14:paraId="42B87134" w14:textId="77777777" w:rsidR="0069218B" w:rsidRPr="0043456B" w:rsidRDefault="0069218B" w:rsidP="0043456B">
            <w:pPr>
              <w:rPr>
                <w:rFonts w:ascii="Garamond" w:eastAsia="Calibri" w:hAnsi="Garamond"/>
                <w:b/>
                <w:bCs/>
              </w:rPr>
            </w:pPr>
            <w:r w:rsidRPr="0043456B">
              <w:rPr>
                <w:rFonts w:ascii="Garamond" w:eastAsia="Calibri" w:hAnsi="Garamond"/>
                <w:b/>
                <w:bCs/>
              </w:rPr>
              <w:t>Gender</w:t>
            </w:r>
          </w:p>
          <w:p w14:paraId="5F46C437" w14:textId="091E9075" w:rsidR="0069218B" w:rsidRPr="0043456B" w:rsidRDefault="0069218B" w:rsidP="0069218B">
            <w:pPr>
              <w:ind w:left="288"/>
              <w:rPr>
                <w:rFonts w:ascii="Garamond" w:eastAsia="Calibri" w:hAnsi="Garamond"/>
              </w:rPr>
            </w:pPr>
            <w:r w:rsidRPr="0043456B">
              <w:rPr>
                <w:rFonts w:ascii="Garamond" w:eastAsia="Calibri" w:hAnsi="Garamond"/>
              </w:rPr>
              <w:t xml:space="preserve">Male </w:t>
            </w:r>
          </w:p>
        </w:tc>
        <w:tc>
          <w:tcPr>
            <w:tcW w:w="3719" w:type="dxa"/>
            <w:tcBorders>
              <w:bottom w:val="single" w:sz="4" w:space="0" w:color="FFFFFF" w:themeColor="background1"/>
            </w:tcBorders>
          </w:tcPr>
          <w:p w14:paraId="38E2655F" w14:textId="77777777" w:rsidR="0069218B" w:rsidRPr="0043456B" w:rsidRDefault="0069218B" w:rsidP="0043456B">
            <w:pPr>
              <w:rPr>
                <w:rFonts w:ascii="Garamond" w:eastAsia="Calibri" w:hAnsi="Garamond"/>
              </w:rPr>
            </w:pPr>
          </w:p>
          <w:p w14:paraId="20F52B7A" w14:textId="5B47F536" w:rsidR="0069218B" w:rsidRPr="0043456B" w:rsidRDefault="0069218B" w:rsidP="0043456B">
            <w:pPr>
              <w:rPr>
                <w:rFonts w:ascii="Garamond" w:eastAsia="Calibri" w:hAnsi="Garamond"/>
              </w:rPr>
            </w:pPr>
            <w:r w:rsidRPr="0043456B">
              <w:rPr>
                <w:rFonts w:ascii="Garamond" w:eastAsia="Calibri" w:hAnsi="Garamond"/>
              </w:rPr>
              <w:t>50%</w:t>
            </w:r>
          </w:p>
        </w:tc>
      </w:tr>
      <w:tr w:rsidR="0069218B" w:rsidRPr="0043456B" w14:paraId="116824AC" w14:textId="77777777" w:rsidTr="0009626E">
        <w:trPr>
          <w:cantSplit/>
          <w:trHeight w:val="428"/>
        </w:trPr>
        <w:tc>
          <w:tcPr>
            <w:tcW w:w="0" w:type="auto"/>
            <w:tcBorders>
              <w:top w:val="single" w:sz="4" w:space="0" w:color="FFFFFF" w:themeColor="background1"/>
            </w:tcBorders>
          </w:tcPr>
          <w:p w14:paraId="3FDDFD6C" w14:textId="6DE8DB15" w:rsidR="0069218B" w:rsidRPr="0043456B" w:rsidRDefault="0069218B" w:rsidP="0069218B">
            <w:pPr>
              <w:ind w:left="270"/>
              <w:rPr>
                <w:rFonts w:ascii="Garamond" w:eastAsia="Calibri" w:hAnsi="Garamond"/>
                <w:b/>
                <w:bCs/>
              </w:rPr>
            </w:pPr>
            <w:r w:rsidRPr="0043456B">
              <w:rPr>
                <w:rFonts w:ascii="Garamond" w:eastAsia="Calibri" w:hAnsi="Garamond"/>
              </w:rPr>
              <w:t>Female</w:t>
            </w:r>
          </w:p>
        </w:tc>
        <w:tc>
          <w:tcPr>
            <w:tcW w:w="3719" w:type="dxa"/>
            <w:tcBorders>
              <w:top w:val="single" w:sz="4" w:space="0" w:color="FFFFFF" w:themeColor="background1"/>
            </w:tcBorders>
          </w:tcPr>
          <w:p w14:paraId="424FFB4A" w14:textId="52928384" w:rsidR="0069218B" w:rsidRPr="0043456B" w:rsidRDefault="0069218B" w:rsidP="0043456B">
            <w:pPr>
              <w:rPr>
                <w:rFonts w:ascii="Garamond" w:eastAsia="Calibri" w:hAnsi="Garamond"/>
              </w:rPr>
            </w:pPr>
            <w:r w:rsidRPr="0043456B">
              <w:rPr>
                <w:rFonts w:ascii="Garamond" w:eastAsia="Calibri" w:hAnsi="Garamond"/>
              </w:rPr>
              <w:t>50%</w:t>
            </w:r>
          </w:p>
        </w:tc>
      </w:tr>
      <w:tr w:rsidR="00CB096E" w:rsidRPr="0043456B" w14:paraId="190CD045" w14:textId="77777777" w:rsidTr="00CB096E">
        <w:trPr>
          <w:cantSplit/>
          <w:trHeight w:val="377"/>
        </w:trPr>
        <w:tc>
          <w:tcPr>
            <w:tcW w:w="0" w:type="auto"/>
            <w:tcBorders>
              <w:bottom w:val="single" w:sz="4" w:space="0" w:color="FFFFFF" w:themeColor="background1"/>
            </w:tcBorders>
          </w:tcPr>
          <w:p w14:paraId="051493F9" w14:textId="77777777" w:rsidR="00CB096E" w:rsidRPr="0043456B" w:rsidRDefault="00CB096E" w:rsidP="0043456B">
            <w:pPr>
              <w:rPr>
                <w:rFonts w:ascii="Garamond" w:eastAsia="Calibri" w:hAnsi="Garamond"/>
                <w:b/>
                <w:bCs/>
              </w:rPr>
            </w:pPr>
            <w:r w:rsidRPr="0043456B">
              <w:rPr>
                <w:rFonts w:ascii="Garamond" w:eastAsia="Calibri" w:hAnsi="Garamond"/>
                <w:b/>
                <w:bCs/>
              </w:rPr>
              <w:t xml:space="preserve">Age </w:t>
            </w:r>
          </w:p>
          <w:p w14:paraId="60C78A69" w14:textId="51F75228" w:rsidR="00CB096E" w:rsidRPr="0043456B" w:rsidRDefault="00CB096E" w:rsidP="00CB096E">
            <w:pPr>
              <w:ind w:left="288"/>
              <w:rPr>
                <w:rFonts w:ascii="Garamond" w:eastAsia="Calibri" w:hAnsi="Garamond"/>
              </w:rPr>
            </w:pPr>
            <w:r w:rsidRPr="0043456B">
              <w:rPr>
                <w:rFonts w:ascii="Garamond" w:eastAsia="Calibri" w:hAnsi="Garamond"/>
              </w:rPr>
              <w:t>0-17</w:t>
            </w:r>
          </w:p>
        </w:tc>
        <w:tc>
          <w:tcPr>
            <w:tcW w:w="3719" w:type="dxa"/>
            <w:tcBorders>
              <w:bottom w:val="single" w:sz="4" w:space="0" w:color="FFFFFF" w:themeColor="background1"/>
            </w:tcBorders>
          </w:tcPr>
          <w:p w14:paraId="6215C804" w14:textId="77777777" w:rsidR="00CB096E" w:rsidRPr="0043456B" w:rsidRDefault="00CB096E" w:rsidP="0043456B">
            <w:pPr>
              <w:rPr>
                <w:rFonts w:ascii="Garamond" w:eastAsia="Calibri" w:hAnsi="Garamond"/>
              </w:rPr>
            </w:pPr>
          </w:p>
          <w:p w14:paraId="6ED5BEFD" w14:textId="569758AE" w:rsidR="00CB096E" w:rsidRPr="0043456B" w:rsidRDefault="00CB096E" w:rsidP="00CB096E">
            <w:pPr>
              <w:rPr>
                <w:rFonts w:ascii="Garamond" w:eastAsia="Calibri" w:hAnsi="Garamond"/>
              </w:rPr>
            </w:pPr>
            <w:r w:rsidRPr="0043456B">
              <w:rPr>
                <w:rFonts w:ascii="Garamond" w:eastAsia="Calibri" w:hAnsi="Garamond"/>
              </w:rPr>
              <w:t>9%</w:t>
            </w:r>
          </w:p>
        </w:tc>
      </w:tr>
      <w:tr w:rsidR="00CB096E" w:rsidRPr="0043456B" w14:paraId="0233F5F2" w14:textId="77777777" w:rsidTr="00CB096E">
        <w:trPr>
          <w:cantSplit/>
          <w:trHeight w:val="377"/>
        </w:trPr>
        <w:tc>
          <w:tcPr>
            <w:tcW w:w="0" w:type="auto"/>
            <w:tcBorders>
              <w:top w:val="single" w:sz="4" w:space="0" w:color="FFFFFF" w:themeColor="background1"/>
            </w:tcBorders>
          </w:tcPr>
          <w:p w14:paraId="563CC1A0" w14:textId="1FDA4F35" w:rsidR="00CB096E" w:rsidRPr="00CB096E" w:rsidRDefault="00CB096E" w:rsidP="00CB096E">
            <w:pPr>
              <w:ind w:left="288"/>
              <w:rPr>
                <w:rFonts w:ascii="Garamond" w:eastAsia="Calibri" w:hAnsi="Garamond"/>
              </w:rPr>
            </w:pPr>
            <w:r w:rsidRPr="0043456B">
              <w:rPr>
                <w:rFonts w:ascii="Garamond" w:eastAsia="Calibri" w:hAnsi="Garamond"/>
              </w:rPr>
              <w:t>18-64</w:t>
            </w:r>
          </w:p>
        </w:tc>
        <w:tc>
          <w:tcPr>
            <w:tcW w:w="3719" w:type="dxa"/>
            <w:tcBorders>
              <w:top w:val="single" w:sz="4" w:space="0" w:color="FFFFFF" w:themeColor="background1"/>
            </w:tcBorders>
          </w:tcPr>
          <w:p w14:paraId="73DD0C76" w14:textId="1B2AAC35" w:rsidR="00CB096E" w:rsidRPr="0043456B" w:rsidRDefault="00CB096E" w:rsidP="0043456B">
            <w:pPr>
              <w:rPr>
                <w:rFonts w:ascii="Garamond" w:eastAsia="Calibri" w:hAnsi="Garamond"/>
              </w:rPr>
            </w:pPr>
            <w:r w:rsidRPr="0043456B">
              <w:rPr>
                <w:rFonts w:ascii="Garamond" w:eastAsia="Calibri" w:hAnsi="Garamond"/>
              </w:rPr>
              <w:t>58%</w:t>
            </w:r>
          </w:p>
        </w:tc>
      </w:tr>
      <w:tr w:rsidR="00CB096E" w:rsidRPr="0043456B" w14:paraId="4DE3AAAA" w14:textId="77777777" w:rsidTr="0009626E">
        <w:trPr>
          <w:cantSplit/>
          <w:trHeight w:val="377"/>
        </w:trPr>
        <w:tc>
          <w:tcPr>
            <w:tcW w:w="0" w:type="auto"/>
          </w:tcPr>
          <w:p w14:paraId="1E6EE7C2" w14:textId="0F43A5A1" w:rsidR="00CB096E" w:rsidRPr="0043456B" w:rsidRDefault="00CB096E" w:rsidP="00CB096E">
            <w:pPr>
              <w:ind w:left="288"/>
              <w:rPr>
                <w:rFonts w:ascii="Garamond" w:eastAsia="Calibri" w:hAnsi="Garamond"/>
                <w:b/>
                <w:bCs/>
              </w:rPr>
            </w:pPr>
            <w:r w:rsidRPr="0043456B">
              <w:rPr>
                <w:rFonts w:ascii="Garamond" w:eastAsia="Calibri" w:hAnsi="Garamond"/>
              </w:rPr>
              <w:lastRenderedPageBreak/>
              <w:t>65+</w:t>
            </w:r>
          </w:p>
        </w:tc>
        <w:tc>
          <w:tcPr>
            <w:tcW w:w="3719" w:type="dxa"/>
          </w:tcPr>
          <w:p w14:paraId="1FBDC2B7" w14:textId="5C05FD64" w:rsidR="00CB096E" w:rsidRPr="0043456B" w:rsidRDefault="00CB096E" w:rsidP="0043456B">
            <w:pPr>
              <w:rPr>
                <w:rFonts w:ascii="Garamond" w:eastAsia="Calibri" w:hAnsi="Garamond"/>
              </w:rPr>
            </w:pPr>
            <w:r w:rsidRPr="0043456B">
              <w:rPr>
                <w:rFonts w:ascii="Garamond" w:eastAsia="Calibri" w:hAnsi="Garamond"/>
              </w:rPr>
              <w:t>32%</w:t>
            </w:r>
          </w:p>
        </w:tc>
      </w:tr>
      <w:tr w:rsidR="00CB096E" w:rsidRPr="0043456B" w14:paraId="72B2626A" w14:textId="77777777" w:rsidTr="00CB096E">
        <w:trPr>
          <w:cantSplit/>
          <w:trHeight w:val="334"/>
        </w:trPr>
        <w:tc>
          <w:tcPr>
            <w:tcW w:w="0" w:type="auto"/>
            <w:tcBorders>
              <w:bottom w:val="single" w:sz="4" w:space="0" w:color="FFFFFF" w:themeColor="background1"/>
            </w:tcBorders>
          </w:tcPr>
          <w:p w14:paraId="1B9EB153" w14:textId="77777777" w:rsidR="00CB096E" w:rsidRPr="0043456B" w:rsidRDefault="00CB096E" w:rsidP="0043456B">
            <w:pPr>
              <w:rPr>
                <w:rFonts w:ascii="Garamond" w:eastAsia="Calibri" w:hAnsi="Garamond"/>
                <w:b/>
                <w:bCs/>
                <w:vertAlign w:val="superscript"/>
              </w:rPr>
            </w:pPr>
            <w:r w:rsidRPr="0043456B">
              <w:rPr>
                <w:rFonts w:ascii="Garamond" w:eastAsia="Calibri" w:hAnsi="Garamond"/>
                <w:b/>
                <w:bCs/>
              </w:rPr>
              <w:t>Race/Ethnicity</w:t>
            </w:r>
            <w:r w:rsidRPr="0043456B">
              <w:rPr>
                <w:rFonts w:ascii="Garamond" w:eastAsia="Calibri" w:hAnsi="Garamond"/>
                <w:b/>
                <w:bCs/>
                <w:vertAlign w:val="superscript"/>
              </w:rPr>
              <w:footnoteReference w:id="9"/>
            </w:r>
          </w:p>
          <w:p w14:paraId="72BC3EEC" w14:textId="3C415A10" w:rsidR="00CB096E" w:rsidRPr="0043456B" w:rsidRDefault="00CB096E" w:rsidP="00CB096E">
            <w:pPr>
              <w:ind w:left="288"/>
              <w:rPr>
                <w:rFonts w:ascii="Garamond" w:eastAsia="Calibri" w:hAnsi="Garamond"/>
              </w:rPr>
            </w:pPr>
            <w:r w:rsidRPr="0043456B">
              <w:rPr>
                <w:rFonts w:ascii="Garamond" w:eastAsia="Calibri" w:hAnsi="Garamond"/>
              </w:rPr>
              <w:t>White</w:t>
            </w:r>
          </w:p>
        </w:tc>
        <w:tc>
          <w:tcPr>
            <w:tcW w:w="3719" w:type="dxa"/>
            <w:tcBorders>
              <w:bottom w:val="single" w:sz="4" w:space="0" w:color="FFFFFF" w:themeColor="background1"/>
            </w:tcBorders>
          </w:tcPr>
          <w:p w14:paraId="3AC6D82C" w14:textId="77777777" w:rsidR="00CB096E" w:rsidRPr="0043456B" w:rsidRDefault="00CB096E" w:rsidP="0043456B">
            <w:pPr>
              <w:rPr>
                <w:rFonts w:ascii="Garamond" w:eastAsia="Calibri" w:hAnsi="Garamond"/>
              </w:rPr>
            </w:pPr>
          </w:p>
          <w:p w14:paraId="3814028B" w14:textId="347FAC79" w:rsidR="00CB096E" w:rsidRPr="0043456B" w:rsidRDefault="00CB096E" w:rsidP="00CB096E">
            <w:pPr>
              <w:rPr>
                <w:rFonts w:ascii="Garamond" w:eastAsia="Calibri" w:hAnsi="Garamond"/>
              </w:rPr>
            </w:pPr>
            <w:r w:rsidRPr="0043456B">
              <w:rPr>
                <w:rFonts w:ascii="Garamond" w:eastAsia="Calibri" w:hAnsi="Garamond"/>
              </w:rPr>
              <w:t>90%</w:t>
            </w:r>
          </w:p>
        </w:tc>
      </w:tr>
      <w:tr w:rsidR="00CB096E" w:rsidRPr="0043456B" w14:paraId="6F5C766D" w14:textId="77777777" w:rsidTr="00CB096E">
        <w:trPr>
          <w:cantSplit/>
          <w:trHeight w:val="331"/>
        </w:trPr>
        <w:tc>
          <w:tcPr>
            <w:tcW w:w="0" w:type="auto"/>
            <w:tcBorders>
              <w:top w:val="single" w:sz="4" w:space="0" w:color="FFFFFF" w:themeColor="background1"/>
              <w:bottom w:val="single" w:sz="4" w:space="0" w:color="FFFFFF" w:themeColor="background1"/>
            </w:tcBorders>
          </w:tcPr>
          <w:p w14:paraId="71408523" w14:textId="12B283FC" w:rsidR="00CB096E" w:rsidRPr="00CB096E" w:rsidRDefault="00CB096E" w:rsidP="00CB096E">
            <w:pPr>
              <w:ind w:left="288"/>
              <w:rPr>
                <w:rFonts w:ascii="Garamond" w:eastAsia="Calibri" w:hAnsi="Garamond"/>
              </w:rPr>
            </w:pPr>
            <w:r w:rsidRPr="0043456B">
              <w:rPr>
                <w:rFonts w:ascii="Garamond" w:eastAsia="Calibri" w:hAnsi="Garamond"/>
              </w:rPr>
              <w:t>Black/African American</w:t>
            </w:r>
          </w:p>
        </w:tc>
        <w:tc>
          <w:tcPr>
            <w:tcW w:w="3719" w:type="dxa"/>
            <w:tcBorders>
              <w:top w:val="single" w:sz="4" w:space="0" w:color="FFFFFF" w:themeColor="background1"/>
              <w:bottom w:val="single" w:sz="4" w:space="0" w:color="FFFFFF" w:themeColor="background1"/>
            </w:tcBorders>
          </w:tcPr>
          <w:p w14:paraId="53409337" w14:textId="39BA256C" w:rsidR="00CB096E" w:rsidRPr="0043456B" w:rsidRDefault="00CB096E" w:rsidP="0043456B">
            <w:pPr>
              <w:rPr>
                <w:rFonts w:ascii="Garamond" w:eastAsia="Calibri" w:hAnsi="Garamond"/>
              </w:rPr>
            </w:pPr>
            <w:r w:rsidRPr="0043456B">
              <w:rPr>
                <w:rFonts w:ascii="Garamond" w:eastAsia="Calibri" w:hAnsi="Garamond"/>
              </w:rPr>
              <w:t>2%</w:t>
            </w:r>
          </w:p>
        </w:tc>
      </w:tr>
      <w:tr w:rsidR="00CB096E" w:rsidRPr="0043456B" w14:paraId="33C86EBC" w14:textId="77777777" w:rsidTr="00CB096E">
        <w:trPr>
          <w:cantSplit/>
          <w:trHeight w:val="331"/>
        </w:trPr>
        <w:tc>
          <w:tcPr>
            <w:tcW w:w="0" w:type="auto"/>
            <w:tcBorders>
              <w:top w:val="single" w:sz="4" w:space="0" w:color="FFFFFF" w:themeColor="background1"/>
              <w:bottom w:val="single" w:sz="4" w:space="0" w:color="FFFFFF" w:themeColor="background1"/>
            </w:tcBorders>
          </w:tcPr>
          <w:p w14:paraId="49381E72" w14:textId="1B613E4D" w:rsidR="00CB096E" w:rsidRPr="00CB096E" w:rsidRDefault="00CB096E" w:rsidP="00CB096E">
            <w:pPr>
              <w:ind w:left="288"/>
              <w:rPr>
                <w:rFonts w:ascii="Garamond" w:eastAsia="Calibri" w:hAnsi="Garamond"/>
              </w:rPr>
            </w:pPr>
            <w:r w:rsidRPr="0043456B">
              <w:rPr>
                <w:rFonts w:ascii="Garamond" w:eastAsia="Calibri" w:hAnsi="Garamond"/>
              </w:rPr>
              <w:t>Hispanic/Latino</w:t>
            </w:r>
          </w:p>
        </w:tc>
        <w:tc>
          <w:tcPr>
            <w:tcW w:w="3719" w:type="dxa"/>
            <w:tcBorders>
              <w:top w:val="single" w:sz="4" w:space="0" w:color="FFFFFF" w:themeColor="background1"/>
              <w:bottom w:val="single" w:sz="4" w:space="0" w:color="FFFFFF" w:themeColor="background1"/>
            </w:tcBorders>
          </w:tcPr>
          <w:p w14:paraId="08F4D628" w14:textId="2C6AF29F" w:rsidR="00CB096E" w:rsidRPr="0043456B" w:rsidRDefault="00CB096E" w:rsidP="0043456B">
            <w:pPr>
              <w:rPr>
                <w:rFonts w:ascii="Garamond" w:eastAsia="Calibri" w:hAnsi="Garamond"/>
              </w:rPr>
            </w:pPr>
            <w:r w:rsidRPr="0043456B">
              <w:rPr>
                <w:rFonts w:ascii="Garamond" w:eastAsia="Calibri" w:hAnsi="Garamond"/>
              </w:rPr>
              <w:t>4%</w:t>
            </w:r>
          </w:p>
        </w:tc>
      </w:tr>
      <w:tr w:rsidR="00CB096E" w:rsidRPr="0043456B" w14:paraId="222DA832" w14:textId="77777777" w:rsidTr="00CB096E">
        <w:trPr>
          <w:cantSplit/>
          <w:trHeight w:val="331"/>
        </w:trPr>
        <w:tc>
          <w:tcPr>
            <w:tcW w:w="0" w:type="auto"/>
            <w:tcBorders>
              <w:top w:val="single" w:sz="4" w:space="0" w:color="FFFFFF" w:themeColor="background1"/>
              <w:bottom w:val="single" w:sz="4" w:space="0" w:color="FFFFFF" w:themeColor="background1"/>
            </w:tcBorders>
          </w:tcPr>
          <w:p w14:paraId="2B4CF099" w14:textId="0997D1E5" w:rsidR="00CB096E" w:rsidRPr="00CB096E" w:rsidRDefault="00CB096E" w:rsidP="00CB096E">
            <w:pPr>
              <w:ind w:left="288"/>
              <w:rPr>
                <w:rFonts w:ascii="Garamond" w:eastAsia="Calibri" w:hAnsi="Garamond"/>
              </w:rPr>
            </w:pPr>
            <w:r w:rsidRPr="0043456B">
              <w:rPr>
                <w:rFonts w:ascii="Garamond" w:eastAsia="Calibri" w:hAnsi="Garamond"/>
              </w:rPr>
              <w:t>Asian</w:t>
            </w:r>
          </w:p>
        </w:tc>
        <w:tc>
          <w:tcPr>
            <w:tcW w:w="3719" w:type="dxa"/>
            <w:tcBorders>
              <w:top w:val="single" w:sz="4" w:space="0" w:color="FFFFFF" w:themeColor="background1"/>
              <w:bottom w:val="single" w:sz="4" w:space="0" w:color="FFFFFF" w:themeColor="background1"/>
            </w:tcBorders>
          </w:tcPr>
          <w:p w14:paraId="41B6F04E" w14:textId="7C13C6DE" w:rsidR="00CB096E" w:rsidRPr="0043456B" w:rsidRDefault="00CB096E" w:rsidP="0043456B">
            <w:pPr>
              <w:rPr>
                <w:rFonts w:ascii="Garamond" w:eastAsia="Calibri" w:hAnsi="Garamond"/>
              </w:rPr>
            </w:pPr>
            <w:r w:rsidRPr="0043456B">
              <w:rPr>
                <w:rFonts w:ascii="Garamond" w:eastAsia="Calibri" w:hAnsi="Garamond"/>
              </w:rPr>
              <w:t>1%</w:t>
            </w:r>
          </w:p>
        </w:tc>
      </w:tr>
      <w:tr w:rsidR="00CB096E" w:rsidRPr="0043456B" w14:paraId="3210D5D1" w14:textId="77777777" w:rsidTr="00CB096E">
        <w:trPr>
          <w:cantSplit/>
          <w:trHeight w:val="331"/>
        </w:trPr>
        <w:tc>
          <w:tcPr>
            <w:tcW w:w="0" w:type="auto"/>
            <w:tcBorders>
              <w:top w:val="single" w:sz="4" w:space="0" w:color="FFFFFF" w:themeColor="background1"/>
              <w:bottom w:val="single" w:sz="4" w:space="0" w:color="FFFFFF" w:themeColor="background1"/>
            </w:tcBorders>
          </w:tcPr>
          <w:p w14:paraId="4C9A410F" w14:textId="7E010DD8" w:rsidR="00CB096E" w:rsidRPr="00CB096E" w:rsidRDefault="00CB096E" w:rsidP="00CB096E">
            <w:pPr>
              <w:ind w:left="288"/>
              <w:rPr>
                <w:rFonts w:ascii="Garamond" w:eastAsia="Calibri" w:hAnsi="Garamond"/>
              </w:rPr>
            </w:pPr>
            <w:r w:rsidRPr="0043456B">
              <w:rPr>
                <w:rFonts w:ascii="Garamond" w:eastAsia="Calibri" w:hAnsi="Garamond"/>
              </w:rPr>
              <w:t>Multiracial</w:t>
            </w:r>
          </w:p>
        </w:tc>
        <w:tc>
          <w:tcPr>
            <w:tcW w:w="3719" w:type="dxa"/>
            <w:tcBorders>
              <w:top w:val="single" w:sz="4" w:space="0" w:color="FFFFFF" w:themeColor="background1"/>
              <w:bottom w:val="single" w:sz="4" w:space="0" w:color="FFFFFF" w:themeColor="background1"/>
            </w:tcBorders>
          </w:tcPr>
          <w:p w14:paraId="54BEAD72" w14:textId="27BEE731" w:rsidR="00CB096E" w:rsidRPr="0043456B" w:rsidRDefault="00CB096E" w:rsidP="0043456B">
            <w:pPr>
              <w:rPr>
                <w:rFonts w:ascii="Garamond" w:eastAsia="Calibri" w:hAnsi="Garamond"/>
              </w:rPr>
            </w:pPr>
            <w:r w:rsidRPr="0043456B">
              <w:rPr>
                <w:rFonts w:ascii="Garamond" w:eastAsia="Calibri" w:hAnsi="Garamond"/>
              </w:rPr>
              <w:t>2%</w:t>
            </w:r>
          </w:p>
        </w:tc>
      </w:tr>
      <w:tr w:rsidR="00CB096E" w:rsidRPr="0043456B" w14:paraId="5B7BA192" w14:textId="77777777" w:rsidTr="00CB096E">
        <w:trPr>
          <w:cantSplit/>
          <w:trHeight w:val="331"/>
        </w:trPr>
        <w:tc>
          <w:tcPr>
            <w:tcW w:w="0" w:type="auto"/>
            <w:tcBorders>
              <w:top w:val="single" w:sz="4" w:space="0" w:color="FFFFFF" w:themeColor="background1"/>
            </w:tcBorders>
          </w:tcPr>
          <w:p w14:paraId="4AE77FE0" w14:textId="78FD7A0C" w:rsidR="00CB096E" w:rsidRPr="0043456B" w:rsidRDefault="00CB096E" w:rsidP="00CB096E">
            <w:pPr>
              <w:ind w:left="288"/>
              <w:rPr>
                <w:rFonts w:ascii="Garamond" w:eastAsia="Calibri" w:hAnsi="Garamond"/>
                <w:b/>
                <w:bCs/>
              </w:rPr>
            </w:pPr>
            <w:r w:rsidRPr="0043456B">
              <w:rPr>
                <w:rFonts w:ascii="Garamond" w:eastAsia="Calibri" w:hAnsi="Garamond"/>
              </w:rPr>
              <w:t>Other</w:t>
            </w:r>
          </w:p>
        </w:tc>
        <w:tc>
          <w:tcPr>
            <w:tcW w:w="3719" w:type="dxa"/>
            <w:tcBorders>
              <w:top w:val="single" w:sz="4" w:space="0" w:color="FFFFFF" w:themeColor="background1"/>
            </w:tcBorders>
          </w:tcPr>
          <w:p w14:paraId="2E21A31F" w14:textId="649EEFA1" w:rsidR="00CB096E" w:rsidRPr="0043456B" w:rsidRDefault="00CB096E" w:rsidP="0043456B">
            <w:pPr>
              <w:rPr>
                <w:rFonts w:ascii="Garamond" w:eastAsia="Calibri" w:hAnsi="Garamond"/>
              </w:rPr>
            </w:pPr>
            <w:r w:rsidRPr="0043456B">
              <w:rPr>
                <w:rFonts w:ascii="Garamond" w:eastAsia="Calibri" w:hAnsi="Garamond"/>
              </w:rPr>
              <w:t>1%</w:t>
            </w:r>
          </w:p>
        </w:tc>
      </w:tr>
      <w:tr w:rsidR="0043456B" w:rsidRPr="0043456B" w14:paraId="7ACD351B" w14:textId="77777777" w:rsidTr="0009626E">
        <w:trPr>
          <w:cantSplit/>
        </w:trPr>
        <w:tc>
          <w:tcPr>
            <w:tcW w:w="0" w:type="auto"/>
          </w:tcPr>
          <w:p w14:paraId="40766722" w14:textId="77777777" w:rsidR="0043456B" w:rsidRPr="0043456B" w:rsidRDefault="0043456B" w:rsidP="0043456B">
            <w:pPr>
              <w:rPr>
                <w:rFonts w:ascii="Garamond" w:eastAsia="Calibri" w:hAnsi="Garamond"/>
                <w:b/>
                <w:bCs/>
              </w:rPr>
            </w:pPr>
            <w:r w:rsidRPr="0043456B">
              <w:rPr>
                <w:rFonts w:ascii="Garamond" w:eastAsia="Calibri" w:hAnsi="Garamond"/>
                <w:b/>
                <w:bCs/>
              </w:rPr>
              <w:t>Patient Origin</w:t>
            </w:r>
          </w:p>
          <w:p w14:paraId="195F491D" w14:textId="77777777" w:rsidR="0043456B" w:rsidRPr="0043456B" w:rsidRDefault="0043456B" w:rsidP="0043456B">
            <w:pPr>
              <w:ind w:left="288"/>
              <w:rPr>
                <w:rFonts w:ascii="Garamond" w:eastAsia="Calibri" w:hAnsi="Garamond"/>
              </w:rPr>
            </w:pPr>
            <w:r w:rsidRPr="0043456B">
              <w:rPr>
                <w:rFonts w:ascii="Garamond" w:eastAsia="Calibri" w:hAnsi="Garamond"/>
              </w:rPr>
              <w:t>75% of patients came from 14 communities</w:t>
            </w:r>
            <w:r w:rsidRPr="0043456B">
              <w:rPr>
                <w:rFonts w:ascii="Garamond" w:eastAsia="Calibri" w:hAnsi="Garamond"/>
                <w:vertAlign w:val="superscript"/>
              </w:rPr>
              <w:footnoteReference w:id="10"/>
            </w:r>
          </w:p>
        </w:tc>
        <w:tc>
          <w:tcPr>
            <w:tcW w:w="3719" w:type="dxa"/>
          </w:tcPr>
          <w:p w14:paraId="77849521" w14:textId="77777777" w:rsidR="0043456B" w:rsidRPr="0043456B" w:rsidRDefault="0043456B" w:rsidP="0043456B">
            <w:pPr>
              <w:rPr>
                <w:rFonts w:ascii="Garamond" w:eastAsia="Calibri" w:hAnsi="Garamond"/>
              </w:rPr>
            </w:pPr>
          </w:p>
          <w:p w14:paraId="345A0AA6" w14:textId="77777777" w:rsidR="0043456B" w:rsidRPr="0043456B" w:rsidRDefault="0043456B" w:rsidP="0043456B">
            <w:pPr>
              <w:rPr>
                <w:rFonts w:ascii="Garamond" w:eastAsia="Calibri" w:hAnsi="Garamond"/>
              </w:rPr>
            </w:pPr>
            <w:r w:rsidRPr="0043456B">
              <w:rPr>
                <w:rFonts w:ascii="Garamond" w:eastAsia="Calibri" w:hAnsi="Garamond"/>
              </w:rPr>
              <w:t>Beverly (13%)</w:t>
            </w:r>
          </w:p>
          <w:p w14:paraId="7D575F4A" w14:textId="77777777" w:rsidR="0043456B" w:rsidRPr="0043456B" w:rsidRDefault="0043456B" w:rsidP="0043456B">
            <w:pPr>
              <w:rPr>
                <w:rFonts w:ascii="Garamond" w:eastAsia="Calibri" w:hAnsi="Garamond"/>
              </w:rPr>
            </w:pPr>
            <w:r w:rsidRPr="0043456B">
              <w:rPr>
                <w:rFonts w:ascii="Garamond" w:eastAsia="Calibri" w:hAnsi="Garamond"/>
              </w:rPr>
              <w:t>Gloucester (11%)</w:t>
            </w:r>
          </w:p>
          <w:p w14:paraId="1BEF83AF" w14:textId="77777777" w:rsidR="0043456B" w:rsidRPr="0043456B" w:rsidRDefault="0043456B" w:rsidP="0043456B">
            <w:pPr>
              <w:rPr>
                <w:rFonts w:ascii="Garamond" w:eastAsia="Calibri" w:hAnsi="Garamond"/>
              </w:rPr>
            </w:pPr>
            <w:r w:rsidRPr="0043456B">
              <w:rPr>
                <w:rFonts w:ascii="Garamond" w:eastAsia="Calibri" w:hAnsi="Garamond"/>
              </w:rPr>
              <w:t>Lynn (8%)</w:t>
            </w:r>
          </w:p>
          <w:p w14:paraId="4E9B9655" w14:textId="77777777" w:rsidR="0043456B" w:rsidRPr="0043456B" w:rsidRDefault="0043456B" w:rsidP="0043456B">
            <w:pPr>
              <w:rPr>
                <w:rFonts w:ascii="Garamond" w:eastAsia="Calibri" w:hAnsi="Garamond"/>
              </w:rPr>
            </w:pPr>
            <w:r w:rsidRPr="0043456B">
              <w:rPr>
                <w:rFonts w:ascii="Garamond" w:eastAsia="Calibri" w:hAnsi="Garamond"/>
              </w:rPr>
              <w:t>Peabody (7%)</w:t>
            </w:r>
          </w:p>
          <w:p w14:paraId="41E318D7" w14:textId="77777777" w:rsidR="0043456B" w:rsidRPr="0043456B" w:rsidRDefault="0043456B" w:rsidP="0043456B">
            <w:pPr>
              <w:rPr>
                <w:rFonts w:ascii="Garamond" w:eastAsia="Calibri" w:hAnsi="Garamond"/>
              </w:rPr>
            </w:pPr>
            <w:r w:rsidRPr="0043456B">
              <w:rPr>
                <w:rFonts w:ascii="Garamond" w:eastAsia="Calibri" w:hAnsi="Garamond"/>
              </w:rPr>
              <w:t>Danvers (7%)</w:t>
            </w:r>
          </w:p>
          <w:p w14:paraId="403CC167" w14:textId="77777777" w:rsidR="0043456B" w:rsidRPr="0043456B" w:rsidRDefault="0043456B" w:rsidP="0043456B">
            <w:pPr>
              <w:rPr>
                <w:rFonts w:ascii="Garamond" w:eastAsia="Calibri" w:hAnsi="Garamond"/>
              </w:rPr>
            </w:pPr>
            <w:r w:rsidRPr="0043456B">
              <w:rPr>
                <w:rFonts w:ascii="Garamond" w:eastAsia="Calibri" w:hAnsi="Garamond"/>
              </w:rPr>
              <w:t xml:space="preserve">Salem (6%) </w:t>
            </w:r>
          </w:p>
          <w:p w14:paraId="75D46953" w14:textId="77777777" w:rsidR="0043456B" w:rsidRPr="0043456B" w:rsidRDefault="0043456B" w:rsidP="0043456B">
            <w:pPr>
              <w:rPr>
                <w:rFonts w:ascii="Garamond" w:eastAsia="Calibri" w:hAnsi="Garamond"/>
              </w:rPr>
            </w:pPr>
            <w:r w:rsidRPr="0043456B">
              <w:rPr>
                <w:rFonts w:ascii="Garamond" w:eastAsia="Calibri" w:hAnsi="Garamond"/>
              </w:rPr>
              <w:t>Wilmington (6%)</w:t>
            </w:r>
          </w:p>
          <w:p w14:paraId="70D99E58" w14:textId="77777777" w:rsidR="0043456B" w:rsidRPr="0043456B" w:rsidRDefault="0043456B" w:rsidP="0043456B">
            <w:pPr>
              <w:rPr>
                <w:rFonts w:ascii="Garamond" w:eastAsia="Calibri" w:hAnsi="Garamond"/>
              </w:rPr>
            </w:pPr>
            <w:r w:rsidRPr="0043456B">
              <w:rPr>
                <w:rFonts w:ascii="Garamond" w:eastAsia="Calibri" w:hAnsi="Garamond"/>
              </w:rPr>
              <w:t>Marblehead (3%)</w:t>
            </w:r>
          </w:p>
          <w:p w14:paraId="679C8649" w14:textId="77777777" w:rsidR="0043456B" w:rsidRPr="0043456B" w:rsidRDefault="0043456B" w:rsidP="0043456B">
            <w:pPr>
              <w:rPr>
                <w:rFonts w:ascii="Garamond" w:eastAsia="Calibri" w:hAnsi="Garamond"/>
              </w:rPr>
            </w:pPr>
            <w:r w:rsidRPr="0043456B">
              <w:rPr>
                <w:rFonts w:ascii="Garamond" w:eastAsia="Calibri" w:hAnsi="Garamond"/>
              </w:rPr>
              <w:t>Ipswich (3%)</w:t>
            </w:r>
          </w:p>
          <w:p w14:paraId="7AD88325" w14:textId="77777777" w:rsidR="0043456B" w:rsidRPr="0043456B" w:rsidRDefault="0043456B" w:rsidP="0043456B">
            <w:pPr>
              <w:rPr>
                <w:rFonts w:ascii="Garamond" w:eastAsia="Calibri" w:hAnsi="Garamond"/>
              </w:rPr>
            </w:pPr>
            <w:r w:rsidRPr="0043456B">
              <w:rPr>
                <w:rFonts w:ascii="Garamond" w:eastAsia="Calibri" w:hAnsi="Garamond"/>
              </w:rPr>
              <w:t>Manchester (3%)</w:t>
            </w:r>
          </w:p>
          <w:p w14:paraId="5F2C2078" w14:textId="77777777" w:rsidR="0043456B" w:rsidRPr="0043456B" w:rsidRDefault="0043456B" w:rsidP="0043456B">
            <w:pPr>
              <w:rPr>
                <w:rFonts w:ascii="Garamond" w:eastAsia="Calibri" w:hAnsi="Garamond"/>
              </w:rPr>
            </w:pPr>
            <w:r w:rsidRPr="0043456B">
              <w:rPr>
                <w:rFonts w:ascii="Garamond" w:eastAsia="Calibri" w:hAnsi="Garamond"/>
              </w:rPr>
              <w:t>Rockport (2%)</w:t>
            </w:r>
          </w:p>
          <w:p w14:paraId="3AE68984" w14:textId="77777777" w:rsidR="0043456B" w:rsidRPr="0043456B" w:rsidRDefault="0043456B" w:rsidP="0043456B">
            <w:pPr>
              <w:rPr>
                <w:rFonts w:ascii="Garamond" w:eastAsia="Calibri" w:hAnsi="Garamond"/>
              </w:rPr>
            </w:pPr>
            <w:r w:rsidRPr="0043456B">
              <w:rPr>
                <w:rFonts w:ascii="Garamond" w:eastAsia="Calibri" w:hAnsi="Garamond"/>
              </w:rPr>
              <w:t>Swampscott (2%)</w:t>
            </w:r>
          </w:p>
          <w:p w14:paraId="39365256" w14:textId="77777777" w:rsidR="0043456B" w:rsidRPr="0043456B" w:rsidRDefault="0043456B" w:rsidP="0043456B">
            <w:pPr>
              <w:rPr>
                <w:rFonts w:ascii="Garamond" w:eastAsia="Calibri" w:hAnsi="Garamond"/>
              </w:rPr>
            </w:pPr>
            <w:r w:rsidRPr="0043456B">
              <w:rPr>
                <w:rFonts w:ascii="Garamond" w:eastAsia="Calibri" w:hAnsi="Garamond"/>
              </w:rPr>
              <w:t>Middleton (2%)</w:t>
            </w:r>
          </w:p>
          <w:p w14:paraId="74018EB9" w14:textId="77777777" w:rsidR="0043456B" w:rsidRPr="0043456B" w:rsidRDefault="0043456B" w:rsidP="0043456B">
            <w:pPr>
              <w:rPr>
                <w:rFonts w:ascii="Garamond" w:eastAsia="Calibri" w:hAnsi="Garamond"/>
              </w:rPr>
            </w:pPr>
            <w:r w:rsidRPr="0043456B">
              <w:rPr>
                <w:rFonts w:ascii="Garamond" w:eastAsia="Calibri" w:hAnsi="Garamond"/>
              </w:rPr>
              <w:t>Topsfield (2%)</w:t>
            </w:r>
          </w:p>
        </w:tc>
      </w:tr>
      <w:tr w:rsidR="005A2D00" w:rsidRPr="0043456B" w14:paraId="70B2498B" w14:textId="77777777" w:rsidTr="005A2D00">
        <w:trPr>
          <w:cantSplit/>
          <w:trHeight w:val="334"/>
        </w:trPr>
        <w:tc>
          <w:tcPr>
            <w:tcW w:w="0" w:type="auto"/>
          </w:tcPr>
          <w:p w14:paraId="2D7B4E36" w14:textId="77777777" w:rsidR="005A2D00" w:rsidRPr="0043456B" w:rsidRDefault="005A2D00" w:rsidP="0043456B">
            <w:pPr>
              <w:rPr>
                <w:rFonts w:ascii="Garamond" w:eastAsia="Calibri" w:hAnsi="Garamond"/>
                <w:b/>
                <w:bCs/>
              </w:rPr>
            </w:pPr>
            <w:r w:rsidRPr="0043456B">
              <w:rPr>
                <w:rFonts w:ascii="Garamond" w:eastAsia="Calibri" w:hAnsi="Garamond"/>
                <w:b/>
                <w:bCs/>
              </w:rPr>
              <w:t>Payer-Mix</w:t>
            </w:r>
          </w:p>
          <w:p w14:paraId="20904D37" w14:textId="6ECE29DB" w:rsidR="005A2D00" w:rsidRPr="0043456B" w:rsidRDefault="005A2D00" w:rsidP="005A2D00">
            <w:pPr>
              <w:ind w:left="288"/>
              <w:rPr>
                <w:rFonts w:ascii="Garamond" w:eastAsia="Calibri" w:hAnsi="Garamond"/>
              </w:rPr>
            </w:pPr>
            <w:r w:rsidRPr="0043456B">
              <w:rPr>
                <w:rFonts w:ascii="Garamond" w:eastAsia="Calibri" w:hAnsi="Garamond"/>
              </w:rPr>
              <w:t>Commercial</w:t>
            </w:r>
          </w:p>
        </w:tc>
        <w:tc>
          <w:tcPr>
            <w:tcW w:w="3719" w:type="dxa"/>
          </w:tcPr>
          <w:p w14:paraId="5AEEF984" w14:textId="77777777" w:rsidR="005A2D00" w:rsidRPr="0043456B" w:rsidRDefault="005A2D00" w:rsidP="0043456B">
            <w:pPr>
              <w:rPr>
                <w:rFonts w:ascii="Garamond" w:eastAsia="Calibri" w:hAnsi="Garamond"/>
              </w:rPr>
            </w:pPr>
          </w:p>
          <w:p w14:paraId="59BADCB7" w14:textId="71117EE3" w:rsidR="005A2D00" w:rsidRPr="0043456B" w:rsidRDefault="005A2D00" w:rsidP="005A2D00">
            <w:pPr>
              <w:rPr>
                <w:rFonts w:ascii="Garamond" w:eastAsia="Calibri" w:hAnsi="Garamond"/>
              </w:rPr>
            </w:pPr>
            <w:r w:rsidRPr="0043456B">
              <w:rPr>
                <w:rFonts w:ascii="Garamond" w:eastAsia="Calibri" w:hAnsi="Garamond"/>
              </w:rPr>
              <w:t>40%</w:t>
            </w:r>
          </w:p>
        </w:tc>
      </w:tr>
      <w:tr w:rsidR="005A2D00" w:rsidRPr="0043456B" w14:paraId="698518F4" w14:textId="77777777" w:rsidTr="0009626E">
        <w:trPr>
          <w:cantSplit/>
          <w:trHeight w:val="331"/>
        </w:trPr>
        <w:tc>
          <w:tcPr>
            <w:tcW w:w="0" w:type="auto"/>
          </w:tcPr>
          <w:p w14:paraId="30371D97" w14:textId="1FCE9BA8" w:rsidR="005A2D00" w:rsidRPr="005A2D00" w:rsidRDefault="005A2D00" w:rsidP="005A2D00">
            <w:pPr>
              <w:ind w:left="288"/>
              <w:rPr>
                <w:rFonts w:ascii="Garamond" w:eastAsia="Calibri" w:hAnsi="Garamond"/>
              </w:rPr>
            </w:pPr>
            <w:r w:rsidRPr="0043456B">
              <w:rPr>
                <w:rFonts w:ascii="Garamond" w:eastAsia="Calibri" w:hAnsi="Garamond"/>
              </w:rPr>
              <w:t>MassHealth</w:t>
            </w:r>
          </w:p>
        </w:tc>
        <w:tc>
          <w:tcPr>
            <w:tcW w:w="3719" w:type="dxa"/>
          </w:tcPr>
          <w:p w14:paraId="4D770199" w14:textId="22695AC4" w:rsidR="005A2D00" w:rsidRPr="0043456B" w:rsidRDefault="005A2D00" w:rsidP="0043456B">
            <w:pPr>
              <w:rPr>
                <w:rFonts w:ascii="Garamond" w:eastAsia="Calibri" w:hAnsi="Garamond"/>
              </w:rPr>
            </w:pPr>
            <w:r w:rsidRPr="0043456B">
              <w:rPr>
                <w:rFonts w:ascii="Garamond" w:eastAsia="Calibri" w:hAnsi="Garamond"/>
              </w:rPr>
              <w:t>2.1%</w:t>
            </w:r>
          </w:p>
        </w:tc>
      </w:tr>
      <w:tr w:rsidR="005A2D00" w:rsidRPr="0043456B" w14:paraId="06A362B1" w14:textId="77777777" w:rsidTr="0009626E">
        <w:trPr>
          <w:cantSplit/>
          <w:trHeight w:val="331"/>
        </w:trPr>
        <w:tc>
          <w:tcPr>
            <w:tcW w:w="0" w:type="auto"/>
          </w:tcPr>
          <w:p w14:paraId="321B48B2" w14:textId="27C9CBB2" w:rsidR="005A2D00" w:rsidRPr="005A2D00" w:rsidRDefault="005A2D00" w:rsidP="005A2D00">
            <w:pPr>
              <w:ind w:left="288"/>
              <w:rPr>
                <w:rFonts w:ascii="Garamond" w:eastAsia="Calibri" w:hAnsi="Garamond"/>
              </w:rPr>
            </w:pPr>
            <w:r w:rsidRPr="0043456B">
              <w:rPr>
                <w:rFonts w:ascii="Garamond" w:eastAsia="Calibri" w:hAnsi="Garamond"/>
              </w:rPr>
              <w:t>Managed Medicaid</w:t>
            </w:r>
          </w:p>
        </w:tc>
        <w:tc>
          <w:tcPr>
            <w:tcW w:w="3719" w:type="dxa"/>
          </w:tcPr>
          <w:p w14:paraId="5BC09866" w14:textId="0BBDF5C9" w:rsidR="005A2D00" w:rsidRPr="0043456B" w:rsidRDefault="005A2D00" w:rsidP="0043456B">
            <w:pPr>
              <w:rPr>
                <w:rFonts w:ascii="Garamond" w:eastAsia="Calibri" w:hAnsi="Garamond"/>
              </w:rPr>
            </w:pPr>
            <w:r w:rsidRPr="0043456B">
              <w:rPr>
                <w:rFonts w:ascii="Garamond" w:eastAsia="Calibri" w:hAnsi="Garamond"/>
              </w:rPr>
              <w:t>11.4%</w:t>
            </w:r>
          </w:p>
        </w:tc>
      </w:tr>
      <w:tr w:rsidR="005A2D00" w:rsidRPr="0043456B" w14:paraId="14207F2A" w14:textId="77777777" w:rsidTr="0009626E">
        <w:trPr>
          <w:cantSplit/>
          <w:trHeight w:val="331"/>
        </w:trPr>
        <w:tc>
          <w:tcPr>
            <w:tcW w:w="0" w:type="auto"/>
          </w:tcPr>
          <w:p w14:paraId="450DC76A" w14:textId="76D509BA" w:rsidR="005A2D00" w:rsidRPr="005A2D00" w:rsidRDefault="005A2D00" w:rsidP="005A2D00">
            <w:pPr>
              <w:ind w:left="288"/>
              <w:rPr>
                <w:rFonts w:ascii="Garamond" w:eastAsia="Calibri" w:hAnsi="Garamond"/>
              </w:rPr>
            </w:pPr>
            <w:r w:rsidRPr="0043456B">
              <w:rPr>
                <w:rFonts w:ascii="Garamond" w:eastAsia="Calibri" w:hAnsi="Garamond"/>
              </w:rPr>
              <w:t>Commercial Medicare</w:t>
            </w:r>
          </w:p>
        </w:tc>
        <w:tc>
          <w:tcPr>
            <w:tcW w:w="3719" w:type="dxa"/>
          </w:tcPr>
          <w:p w14:paraId="3CA8004E" w14:textId="235825FD" w:rsidR="005A2D00" w:rsidRPr="0043456B" w:rsidRDefault="005A2D00" w:rsidP="0043456B">
            <w:pPr>
              <w:rPr>
                <w:rFonts w:ascii="Garamond" w:eastAsia="Calibri" w:hAnsi="Garamond"/>
              </w:rPr>
            </w:pPr>
            <w:r w:rsidRPr="0043456B">
              <w:rPr>
                <w:rFonts w:ascii="Garamond" w:eastAsia="Calibri" w:hAnsi="Garamond"/>
              </w:rPr>
              <w:t>6.3%</w:t>
            </w:r>
          </w:p>
        </w:tc>
      </w:tr>
      <w:tr w:rsidR="005A2D00" w:rsidRPr="0043456B" w14:paraId="410808AC" w14:textId="77777777" w:rsidTr="0009626E">
        <w:trPr>
          <w:cantSplit/>
          <w:trHeight w:val="331"/>
        </w:trPr>
        <w:tc>
          <w:tcPr>
            <w:tcW w:w="0" w:type="auto"/>
          </w:tcPr>
          <w:p w14:paraId="3DBB2508" w14:textId="16899EF5" w:rsidR="005A2D00" w:rsidRPr="005A2D00" w:rsidRDefault="005A2D00" w:rsidP="005A2D00">
            <w:pPr>
              <w:ind w:left="288"/>
              <w:rPr>
                <w:rFonts w:ascii="Garamond" w:eastAsia="Calibri" w:hAnsi="Garamond"/>
              </w:rPr>
            </w:pPr>
            <w:r w:rsidRPr="0043456B">
              <w:rPr>
                <w:rFonts w:ascii="Garamond" w:eastAsia="Calibri" w:hAnsi="Garamond"/>
              </w:rPr>
              <w:t>Medicare FFS</w:t>
            </w:r>
          </w:p>
        </w:tc>
        <w:tc>
          <w:tcPr>
            <w:tcW w:w="3719" w:type="dxa"/>
          </w:tcPr>
          <w:p w14:paraId="4F887547" w14:textId="1A0EEE95" w:rsidR="005A2D00" w:rsidRPr="0043456B" w:rsidRDefault="005A2D00" w:rsidP="0043456B">
            <w:pPr>
              <w:rPr>
                <w:rFonts w:ascii="Garamond" w:eastAsia="Calibri" w:hAnsi="Garamond"/>
              </w:rPr>
            </w:pPr>
            <w:r w:rsidRPr="0043456B">
              <w:rPr>
                <w:rFonts w:ascii="Garamond" w:eastAsia="Calibri" w:hAnsi="Garamond"/>
              </w:rPr>
              <w:t>32.8%</w:t>
            </w:r>
          </w:p>
        </w:tc>
      </w:tr>
      <w:tr w:rsidR="005A2D00" w:rsidRPr="0043456B" w14:paraId="0BBBC003" w14:textId="77777777" w:rsidTr="0009626E">
        <w:trPr>
          <w:cantSplit/>
          <w:trHeight w:val="331"/>
        </w:trPr>
        <w:tc>
          <w:tcPr>
            <w:tcW w:w="0" w:type="auto"/>
          </w:tcPr>
          <w:p w14:paraId="6C418D31" w14:textId="585EEFC5" w:rsidR="005A2D00" w:rsidRPr="005A2D00" w:rsidRDefault="005A2D00" w:rsidP="005A2D00">
            <w:pPr>
              <w:ind w:left="288"/>
              <w:rPr>
                <w:rFonts w:ascii="Garamond" w:eastAsia="Calibri" w:hAnsi="Garamond"/>
              </w:rPr>
            </w:pPr>
            <w:r w:rsidRPr="0043456B">
              <w:rPr>
                <w:rFonts w:ascii="Garamond" w:eastAsia="Calibri" w:hAnsi="Garamond"/>
              </w:rPr>
              <w:t>All Other</w:t>
            </w:r>
          </w:p>
        </w:tc>
        <w:tc>
          <w:tcPr>
            <w:tcW w:w="3719" w:type="dxa"/>
          </w:tcPr>
          <w:p w14:paraId="29D2816B" w14:textId="40D7ED38" w:rsidR="005A2D00" w:rsidRPr="0043456B" w:rsidRDefault="005A2D00" w:rsidP="0043456B">
            <w:pPr>
              <w:rPr>
                <w:rFonts w:ascii="Garamond" w:eastAsia="Calibri" w:hAnsi="Garamond"/>
              </w:rPr>
            </w:pPr>
            <w:r w:rsidRPr="0043456B">
              <w:rPr>
                <w:rFonts w:ascii="Garamond" w:eastAsia="Calibri" w:hAnsi="Garamond"/>
              </w:rPr>
              <w:t>7.4%</w:t>
            </w:r>
          </w:p>
        </w:tc>
      </w:tr>
    </w:tbl>
    <w:p w14:paraId="02BC5D60" w14:textId="77777777" w:rsidR="0043456B" w:rsidRPr="0043456B" w:rsidRDefault="0043456B" w:rsidP="0043456B">
      <w:pPr>
        <w:widowControl/>
        <w:autoSpaceDE/>
        <w:autoSpaceDN/>
        <w:rPr>
          <w:rFonts w:ascii="Garamond" w:eastAsia="Calibri" w:hAnsi="Garamond"/>
          <w:sz w:val="20"/>
          <w:szCs w:val="20"/>
        </w:rPr>
      </w:pPr>
    </w:p>
    <w:p w14:paraId="0F56D35E" w14:textId="77777777" w:rsidR="0043456B" w:rsidRPr="0043456B" w:rsidRDefault="0043456B" w:rsidP="0043456B">
      <w:pPr>
        <w:keepNext/>
        <w:keepLines/>
        <w:widowControl/>
        <w:autoSpaceDE/>
        <w:autoSpaceDN/>
        <w:spacing w:before="480"/>
        <w:outlineLvl w:val="0"/>
        <w:rPr>
          <w:rFonts w:ascii="Garamond" w:eastAsia="Calibri" w:hAnsi="Garamond"/>
          <w:b/>
          <w:bCs/>
          <w:color w:val="42558C"/>
          <w:sz w:val="28"/>
          <w:szCs w:val="28"/>
        </w:rPr>
      </w:pPr>
      <w:bookmarkStart w:id="153" w:name="_Toc17731309"/>
      <w:bookmarkStart w:id="154" w:name="_Toc18922398"/>
      <w:bookmarkStart w:id="155" w:name="_Toc29755679"/>
      <w:bookmarkStart w:id="156" w:name="_Toc58960213"/>
      <w:bookmarkEnd w:id="20"/>
      <w:r w:rsidRPr="0043456B">
        <w:rPr>
          <w:rFonts w:ascii="Garamond" w:eastAsia="Calibri" w:hAnsi="Garamond"/>
          <w:b/>
          <w:bCs/>
          <w:color w:val="42558C"/>
          <w:sz w:val="28"/>
          <w:szCs w:val="28"/>
        </w:rPr>
        <w:t>Factor 1: a) Patient Panel Need</w:t>
      </w:r>
      <w:bookmarkEnd w:id="153"/>
      <w:bookmarkEnd w:id="154"/>
      <w:bookmarkEnd w:id="155"/>
      <w:bookmarkEnd w:id="156"/>
    </w:p>
    <w:p w14:paraId="10F76611" w14:textId="77777777" w:rsidR="0043456B" w:rsidRPr="0043456B" w:rsidRDefault="0043456B" w:rsidP="0043456B">
      <w:pPr>
        <w:widowControl/>
        <w:autoSpaceDE/>
        <w:autoSpaceDN/>
        <w:contextualSpacing/>
        <w:rPr>
          <w:rFonts w:ascii="Garamond" w:eastAsia="Calibri" w:hAnsi="Garamond" w:cs="Calibri"/>
          <w:sz w:val="24"/>
          <w:szCs w:val="24"/>
        </w:rPr>
      </w:pPr>
      <w:r w:rsidRPr="0043456B">
        <w:rPr>
          <w:rFonts w:ascii="Garamond" w:eastAsia="Calibri" w:hAnsi="Garamond" w:cs="Calibri"/>
          <w:b/>
          <w:sz w:val="24"/>
          <w:szCs w:val="24"/>
        </w:rPr>
        <w:t xml:space="preserve">In this section, we assess whether the Applicant has sufficiently addressed </w:t>
      </w:r>
      <w:r w:rsidRPr="0043456B">
        <w:rPr>
          <w:rFonts w:ascii="Garamond" w:eastAsia="Calibri" w:hAnsi="Garamond" w:cs="Calibri"/>
          <w:sz w:val="24"/>
          <w:szCs w:val="24"/>
        </w:rPr>
        <w:t>Patient Panel need for the Proposed Project. T</w:t>
      </w:r>
      <w:r w:rsidRPr="0043456B">
        <w:rPr>
          <w:rFonts w:ascii="Garamond" w:eastAsia="Calibri" w:hAnsi="Garamond" w:cs="Cambria"/>
          <w:bCs/>
          <w:sz w:val="24"/>
          <w:szCs w:val="24"/>
        </w:rPr>
        <w:t xml:space="preserve">he Applicant states that the Proposed Project will expand access to its services to additional patients, and address Patient Panel need for outpatient surgery to </w:t>
      </w:r>
      <w:r w:rsidRPr="0043456B">
        <w:rPr>
          <w:rFonts w:ascii="Garamond" w:eastAsia="Calibri" w:hAnsi="Garamond" w:cs="Cambria"/>
          <w:sz w:val="24"/>
          <w:szCs w:val="24"/>
        </w:rPr>
        <w:t>improve health outcomes and quality of life</w:t>
      </w:r>
      <w:r w:rsidRPr="0043456B">
        <w:rPr>
          <w:rFonts w:ascii="Garamond" w:eastAsia="Calibri" w:hAnsi="Garamond" w:cs="Calibri"/>
          <w:bCs/>
          <w:sz w:val="24"/>
          <w:szCs w:val="24"/>
        </w:rPr>
        <w:t>.</w:t>
      </w:r>
    </w:p>
    <w:p w14:paraId="7E134508" w14:textId="77777777" w:rsidR="0043456B" w:rsidRPr="0043456B" w:rsidRDefault="0043456B" w:rsidP="0043456B">
      <w:pPr>
        <w:widowControl/>
        <w:autoSpaceDE/>
        <w:autoSpaceDN/>
        <w:contextualSpacing/>
        <w:rPr>
          <w:rFonts w:ascii="Garamond" w:eastAsia="Calibri" w:hAnsi="Garamond" w:cs="Calibri"/>
          <w:bCs/>
          <w:sz w:val="24"/>
          <w:szCs w:val="24"/>
        </w:rPr>
      </w:pPr>
    </w:p>
    <w:bookmarkEnd w:id="1"/>
    <w:p w14:paraId="444C4036" w14:textId="77777777" w:rsidR="0043456B" w:rsidRPr="0043456B" w:rsidRDefault="0043456B" w:rsidP="0043456B">
      <w:pPr>
        <w:widowControl/>
        <w:autoSpaceDE/>
        <w:autoSpaceDN/>
        <w:contextualSpacing/>
        <w:rPr>
          <w:rFonts w:ascii="Garamond" w:eastAsia="Calibri" w:hAnsi="Garamond"/>
          <w:b/>
          <w:sz w:val="24"/>
          <w:szCs w:val="24"/>
        </w:rPr>
      </w:pPr>
      <w:r w:rsidRPr="0043456B">
        <w:rPr>
          <w:rFonts w:ascii="Garamond" w:eastAsia="Calibri" w:hAnsi="Garamond"/>
          <w:b/>
          <w:sz w:val="24"/>
          <w:szCs w:val="24"/>
        </w:rPr>
        <w:t>Patient Panel Need</w:t>
      </w:r>
    </w:p>
    <w:p w14:paraId="3C483EA5"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The Applicant attributes Patient Panel need for increased outpatient surgery capacity to two factors:</w:t>
      </w:r>
      <w:r w:rsidRPr="0043456B">
        <w:rPr>
          <w:rFonts w:ascii="Calibri" w:eastAsia="Calibri" w:hAnsi="Calibri"/>
        </w:rPr>
        <w:t xml:space="preserve"> </w:t>
      </w:r>
      <w:r w:rsidRPr="0043456B">
        <w:rPr>
          <w:rFonts w:ascii="Garamond" w:eastAsia="Calibri" w:hAnsi="Garamond" w:cs="Arial"/>
          <w:sz w:val="24"/>
          <w:szCs w:val="24"/>
        </w:rPr>
        <w:t>capacity constraints due to more complex procedures and more providers performing cases requiring anesthesia; and an aging population.</w:t>
      </w:r>
    </w:p>
    <w:p w14:paraId="3A98106A" w14:textId="77777777" w:rsidR="0043456B" w:rsidRPr="0043456B" w:rsidRDefault="0043456B" w:rsidP="0043456B">
      <w:pPr>
        <w:widowControl/>
        <w:autoSpaceDE/>
        <w:autoSpaceDN/>
        <w:rPr>
          <w:rFonts w:ascii="Garamond" w:eastAsia="Calibri" w:hAnsi="Garamond" w:cs="Arial"/>
          <w:b/>
          <w:sz w:val="24"/>
          <w:szCs w:val="24"/>
        </w:rPr>
      </w:pPr>
    </w:p>
    <w:p w14:paraId="76BA8F7E" w14:textId="77777777" w:rsidR="0043456B" w:rsidRPr="0043456B" w:rsidRDefault="0043456B" w:rsidP="0043456B">
      <w:pPr>
        <w:widowControl/>
        <w:numPr>
          <w:ilvl w:val="0"/>
          <w:numId w:val="12"/>
        </w:numPr>
        <w:autoSpaceDE/>
        <w:autoSpaceDN/>
        <w:spacing w:after="200" w:line="276" w:lineRule="auto"/>
        <w:contextualSpacing/>
        <w:rPr>
          <w:rFonts w:ascii="Garamond" w:eastAsia="Calibri" w:hAnsi="Garamond" w:cs="Arial"/>
          <w:b/>
          <w:sz w:val="24"/>
          <w:szCs w:val="24"/>
        </w:rPr>
      </w:pPr>
      <w:r w:rsidRPr="0043456B">
        <w:rPr>
          <w:rFonts w:ascii="Garamond" w:eastAsia="Calibri" w:hAnsi="Garamond" w:cs="Arial"/>
          <w:b/>
          <w:sz w:val="24"/>
          <w:szCs w:val="24"/>
        </w:rPr>
        <w:t xml:space="preserve">Capacity Constraints. </w:t>
      </w:r>
      <w:r w:rsidRPr="0043456B">
        <w:rPr>
          <w:rFonts w:ascii="Garamond" w:eastAsia="Calibri" w:hAnsi="Garamond" w:cs="Arial"/>
          <w:bCs/>
          <w:sz w:val="24"/>
          <w:szCs w:val="24"/>
        </w:rPr>
        <w:t xml:space="preserve">The Applicant describes a need for additional OR capacity </w:t>
      </w:r>
      <w:proofErr w:type="gramStart"/>
      <w:r w:rsidRPr="0043456B">
        <w:rPr>
          <w:rFonts w:ascii="Garamond" w:eastAsia="Calibri" w:hAnsi="Garamond" w:cs="Arial"/>
          <w:bCs/>
          <w:sz w:val="24"/>
          <w:szCs w:val="24"/>
        </w:rPr>
        <w:t>as a result of</w:t>
      </w:r>
      <w:proofErr w:type="gramEnd"/>
      <w:r w:rsidRPr="0043456B">
        <w:rPr>
          <w:rFonts w:ascii="Garamond" w:eastAsia="Calibri" w:hAnsi="Garamond" w:cs="Arial"/>
          <w:bCs/>
          <w:sz w:val="24"/>
          <w:szCs w:val="24"/>
        </w:rPr>
        <w:t xml:space="preserve"> heavier demand on the existing OR and a subsequent decrease in available time slots for procedures.  </w:t>
      </w:r>
    </w:p>
    <w:p w14:paraId="6E1FBE92" w14:textId="77777777" w:rsidR="0043456B" w:rsidRPr="0043456B" w:rsidRDefault="0043456B" w:rsidP="0043456B">
      <w:pPr>
        <w:widowControl/>
        <w:autoSpaceDE/>
        <w:autoSpaceDN/>
        <w:ind w:firstLine="720"/>
        <w:rPr>
          <w:rFonts w:ascii="Garamond" w:eastAsia="Calibri" w:hAnsi="Garamond" w:cs="Arial"/>
          <w:bCs/>
          <w:sz w:val="24"/>
          <w:szCs w:val="24"/>
        </w:rPr>
      </w:pPr>
    </w:p>
    <w:p w14:paraId="52DED329" w14:textId="77777777" w:rsidR="0043456B" w:rsidRPr="0043456B" w:rsidRDefault="0043456B" w:rsidP="0043456B">
      <w:pPr>
        <w:widowControl/>
        <w:autoSpaceDE/>
        <w:autoSpaceDN/>
        <w:ind w:left="720"/>
        <w:rPr>
          <w:rFonts w:ascii="Garamond" w:eastAsia="Calibri" w:hAnsi="Garamond" w:cs="Arial"/>
          <w:b/>
          <w:sz w:val="24"/>
          <w:szCs w:val="24"/>
        </w:rPr>
      </w:pPr>
      <w:r w:rsidRPr="0043456B">
        <w:rPr>
          <w:rFonts w:ascii="Garamond" w:eastAsia="Calibri" w:hAnsi="Garamond" w:cs="Arial"/>
          <w:bCs/>
          <w:sz w:val="24"/>
          <w:szCs w:val="24"/>
        </w:rPr>
        <w:t xml:space="preserve">The Applicant notes that despite the procedure volume decrease, scheduled time in the OR remains high due to the complexity of the current case load. From 2017 to 2019, the Applicant experienced a shift from a higher volume of simple cases to a lower volume of more complex cases requiring additional operating room (OR) time.  </w:t>
      </w:r>
      <w:bookmarkStart w:id="157" w:name="_Hlk56137646"/>
      <w:r w:rsidRPr="0043456B">
        <w:rPr>
          <w:rFonts w:ascii="Garamond" w:eastAsia="Calibri" w:hAnsi="Garamond" w:cs="Arial"/>
          <w:bCs/>
          <w:sz w:val="24"/>
          <w:szCs w:val="24"/>
        </w:rPr>
        <w:t>Overall case numbers are 1,621 visits in 2017, 1,500 visits in 2018 and 1,474 visits in 2019</w:t>
      </w:r>
      <w:bookmarkEnd w:id="157"/>
      <w:r w:rsidRPr="0043456B">
        <w:rPr>
          <w:rFonts w:ascii="Garamond" w:eastAsia="Calibri" w:hAnsi="Garamond" w:cs="Arial"/>
          <w:bCs/>
          <w:sz w:val="24"/>
          <w:szCs w:val="24"/>
        </w:rPr>
        <w:t>.</w:t>
      </w:r>
      <w:r w:rsidRPr="0043456B">
        <w:rPr>
          <w:rFonts w:ascii="Garamond" w:eastAsia="Calibri" w:hAnsi="Garamond" w:cs="Arial"/>
          <w:bCs/>
          <w:sz w:val="24"/>
          <w:szCs w:val="24"/>
          <w:vertAlign w:val="superscript"/>
        </w:rPr>
        <w:footnoteReference w:id="11"/>
      </w:r>
      <w:r w:rsidRPr="0043456B">
        <w:rPr>
          <w:rFonts w:ascii="Garamond" w:eastAsia="Calibri" w:hAnsi="Garamond" w:cs="Arial"/>
          <w:bCs/>
          <w:sz w:val="24"/>
          <w:szCs w:val="24"/>
        </w:rPr>
        <w:t xml:space="preserve"> Complex procedures, described further below, make up 13% of the 2019 case volume. </w:t>
      </w:r>
      <w:proofErr w:type="gramStart"/>
      <w:r w:rsidRPr="0043456B">
        <w:rPr>
          <w:rFonts w:ascii="Garamond" w:eastAsia="Calibri" w:hAnsi="Garamond" w:cs="Arial"/>
          <w:bCs/>
          <w:sz w:val="24"/>
          <w:szCs w:val="24"/>
        </w:rPr>
        <w:t>The majority of</w:t>
      </w:r>
      <w:proofErr w:type="gramEnd"/>
      <w:r w:rsidRPr="0043456B">
        <w:rPr>
          <w:rFonts w:ascii="Garamond" w:eastAsia="Calibri" w:hAnsi="Garamond" w:cs="Arial"/>
          <w:bCs/>
          <w:sz w:val="24"/>
          <w:szCs w:val="24"/>
        </w:rPr>
        <w:t xml:space="preserve"> patient diagnoses were related to otolaryngology, urology, ophthalmology, pain management and orthopedics. </w:t>
      </w:r>
    </w:p>
    <w:p w14:paraId="4957A9EE" w14:textId="77777777" w:rsidR="0043456B" w:rsidRPr="0043456B" w:rsidRDefault="0043456B" w:rsidP="0043456B">
      <w:pPr>
        <w:widowControl/>
        <w:autoSpaceDE/>
        <w:autoSpaceDN/>
        <w:ind w:left="1440"/>
        <w:contextualSpacing/>
        <w:rPr>
          <w:rFonts w:ascii="Garamond" w:eastAsia="Calibri" w:hAnsi="Garamond" w:cs="Arial"/>
          <w:b/>
          <w:sz w:val="24"/>
          <w:szCs w:val="24"/>
        </w:rPr>
      </w:pPr>
    </w:p>
    <w:p w14:paraId="431EE7BA" w14:textId="77777777" w:rsidR="0043456B" w:rsidRPr="0043456B" w:rsidRDefault="0043456B" w:rsidP="0043456B">
      <w:pPr>
        <w:widowControl/>
        <w:autoSpaceDE/>
        <w:autoSpaceDN/>
        <w:ind w:left="720"/>
        <w:rPr>
          <w:rFonts w:ascii="Garamond" w:eastAsia="Calibri" w:hAnsi="Garamond" w:cs="Arial"/>
          <w:b/>
          <w:sz w:val="24"/>
          <w:szCs w:val="24"/>
        </w:rPr>
      </w:pPr>
      <w:r w:rsidRPr="0043456B">
        <w:rPr>
          <w:rFonts w:ascii="Garamond" w:eastAsia="Calibri" w:hAnsi="Garamond" w:cs="Arial"/>
          <w:bCs/>
          <w:sz w:val="24"/>
          <w:szCs w:val="24"/>
        </w:rPr>
        <w:t>The biggest impact on OR demand was driven by a shift noted from 2017 in which 18% of pain procedures were complex to an increase to 97% of such complex procedures in 2020.</w:t>
      </w:r>
      <w:r w:rsidRPr="0043456B">
        <w:rPr>
          <w:rFonts w:ascii="Garamond" w:eastAsia="Calibri" w:hAnsi="Garamond" w:cs="Arial"/>
          <w:bCs/>
          <w:sz w:val="24"/>
          <w:szCs w:val="24"/>
          <w:vertAlign w:val="superscript"/>
        </w:rPr>
        <w:footnoteReference w:id="12"/>
      </w:r>
      <w:r w:rsidRPr="0043456B">
        <w:rPr>
          <w:rFonts w:ascii="Garamond" w:eastAsia="Calibri" w:hAnsi="Garamond" w:cs="Arial"/>
          <w:bCs/>
          <w:sz w:val="24"/>
          <w:szCs w:val="24"/>
        </w:rPr>
        <w:t xml:space="preserve"> </w:t>
      </w:r>
      <w:r w:rsidRPr="0043456B">
        <w:rPr>
          <w:rFonts w:ascii="Garamond" w:eastAsia="Calibri" w:hAnsi="Garamond"/>
          <w:sz w:val="24"/>
          <w:szCs w:val="24"/>
        </w:rPr>
        <w:t xml:space="preserve">The Applicant attributes </w:t>
      </w:r>
      <w:r w:rsidRPr="0043456B">
        <w:rPr>
          <w:rFonts w:ascii="Garamond" w:eastAsia="Calibri" w:hAnsi="Garamond" w:cs="Arial"/>
          <w:bCs/>
          <w:sz w:val="24"/>
          <w:szCs w:val="24"/>
        </w:rPr>
        <w:t xml:space="preserve">this dramatic difference </w:t>
      </w:r>
      <w:r w:rsidRPr="0043456B">
        <w:rPr>
          <w:rFonts w:ascii="Garamond" w:eastAsia="Calibri" w:hAnsi="Garamond"/>
          <w:sz w:val="24"/>
          <w:szCs w:val="24"/>
        </w:rPr>
        <w:t>to recent Medicare approval of these procedures for the outpatient setting, which has led to more complex interventional techniques performed in place of prescription opioid pain management.</w:t>
      </w:r>
      <w:r w:rsidRPr="0043456B">
        <w:rPr>
          <w:rFonts w:ascii="Garamond" w:eastAsia="Calibri" w:hAnsi="Garamond"/>
          <w:sz w:val="24"/>
          <w:szCs w:val="24"/>
          <w:vertAlign w:val="superscript"/>
        </w:rPr>
        <w:endnoteReference w:id="1"/>
      </w:r>
      <w:r w:rsidRPr="0043456B">
        <w:rPr>
          <w:rFonts w:ascii="Garamond" w:eastAsia="Calibri" w:hAnsi="Garamond"/>
          <w:sz w:val="24"/>
          <w:szCs w:val="24"/>
        </w:rPr>
        <w:t xml:space="preserve"> Also, for pain management procedures NESC has experienced a change in OR time. Per patient registration-to-discharge time increased from 30 minutes for patient pain injections to one to two hours of OR time for more advanced pain procedures. Complex surgeries include </w:t>
      </w:r>
      <w:proofErr w:type="spellStart"/>
      <w:r w:rsidRPr="0043456B">
        <w:rPr>
          <w:rFonts w:ascii="Garamond" w:eastAsia="Calibri" w:hAnsi="Garamond"/>
          <w:sz w:val="24"/>
          <w:szCs w:val="24"/>
        </w:rPr>
        <w:t>Veritflex</w:t>
      </w:r>
      <w:proofErr w:type="spellEnd"/>
      <w:r w:rsidRPr="0043456B">
        <w:rPr>
          <w:rFonts w:ascii="Calibri" w:eastAsia="Calibri" w:hAnsi="Calibri"/>
          <w:vertAlign w:val="superscript"/>
        </w:rPr>
        <w:footnoteReference w:id="13"/>
      </w:r>
      <w:r w:rsidRPr="0043456B">
        <w:rPr>
          <w:rFonts w:ascii="Garamond" w:eastAsia="Calibri" w:hAnsi="Garamond"/>
          <w:sz w:val="24"/>
          <w:szCs w:val="24"/>
        </w:rPr>
        <w:t>, MILD</w:t>
      </w:r>
      <w:r w:rsidRPr="0043456B">
        <w:rPr>
          <w:rFonts w:ascii="Calibri" w:eastAsia="Calibri" w:hAnsi="Calibri"/>
          <w:vertAlign w:val="superscript"/>
        </w:rPr>
        <w:footnoteReference w:id="14"/>
      </w:r>
      <w:r w:rsidRPr="0043456B">
        <w:rPr>
          <w:rFonts w:ascii="Garamond" w:eastAsia="Calibri" w:hAnsi="Garamond"/>
          <w:sz w:val="24"/>
          <w:szCs w:val="24"/>
        </w:rPr>
        <w:t xml:space="preserve">, and neurostimulator implantation procedures for pain. </w:t>
      </w:r>
    </w:p>
    <w:p w14:paraId="13ACA35D" w14:textId="77777777" w:rsidR="0043456B" w:rsidRPr="0043456B" w:rsidRDefault="0043456B" w:rsidP="0043456B">
      <w:pPr>
        <w:widowControl/>
        <w:autoSpaceDE/>
        <w:autoSpaceDN/>
        <w:ind w:left="720"/>
        <w:rPr>
          <w:rFonts w:ascii="Garamond" w:eastAsia="Calibri" w:hAnsi="Garamond" w:cs="Arial"/>
          <w:b/>
          <w:sz w:val="24"/>
          <w:szCs w:val="24"/>
        </w:rPr>
      </w:pPr>
    </w:p>
    <w:p w14:paraId="6103E3A0" w14:textId="77777777" w:rsidR="0043456B" w:rsidRPr="0043456B" w:rsidRDefault="0043456B" w:rsidP="0043456B">
      <w:pPr>
        <w:widowControl/>
        <w:autoSpaceDE/>
        <w:autoSpaceDN/>
        <w:ind w:left="720"/>
        <w:rPr>
          <w:rFonts w:ascii="Garamond" w:eastAsia="Calibri" w:hAnsi="Garamond" w:cs="Arial"/>
          <w:b/>
          <w:sz w:val="24"/>
          <w:szCs w:val="24"/>
        </w:rPr>
      </w:pPr>
      <w:r w:rsidRPr="0043456B">
        <w:rPr>
          <w:rFonts w:ascii="Garamond" w:eastAsia="Calibri" w:hAnsi="Garamond" w:cs="Arial"/>
          <w:bCs/>
          <w:sz w:val="24"/>
          <w:szCs w:val="24"/>
        </w:rPr>
        <w:t>Additionally, the percentage of complex otolaryngology procedures increased from 8% in 2018, to 14% in 2020.</w:t>
      </w:r>
      <w:r w:rsidRPr="0043456B">
        <w:rPr>
          <w:rFonts w:ascii="Garamond" w:eastAsia="Calibri" w:hAnsi="Garamond" w:cs="Arial"/>
          <w:bCs/>
          <w:sz w:val="24"/>
          <w:szCs w:val="24"/>
          <w:vertAlign w:val="superscript"/>
        </w:rPr>
        <w:footnoteReference w:id="15"/>
      </w:r>
      <w:r w:rsidRPr="0043456B">
        <w:rPr>
          <w:rFonts w:ascii="Garamond" w:eastAsia="Calibri" w:hAnsi="Garamond" w:cs="Arial"/>
          <w:bCs/>
          <w:sz w:val="24"/>
          <w:szCs w:val="24"/>
        </w:rPr>
        <w:t xml:space="preserve"> </w:t>
      </w:r>
      <w:r w:rsidRPr="0043456B">
        <w:rPr>
          <w:rFonts w:ascii="Garamond" w:eastAsia="Calibri" w:hAnsi="Garamond"/>
          <w:sz w:val="24"/>
          <w:szCs w:val="24"/>
        </w:rPr>
        <w:t xml:space="preserve">The otolaryngology case shift from uncomplicated pediatric otolaryngology services to higher complexity frontal sinus cases began in 2018. High-volume pediatric care (including tubes, tonsils and adenoids) </w:t>
      </w:r>
      <w:proofErr w:type="gramStart"/>
      <w:r w:rsidRPr="0043456B">
        <w:rPr>
          <w:rFonts w:ascii="Garamond" w:eastAsia="Calibri" w:hAnsi="Garamond"/>
          <w:sz w:val="24"/>
          <w:szCs w:val="24"/>
        </w:rPr>
        <w:t>require</w:t>
      </w:r>
      <w:proofErr w:type="gramEnd"/>
      <w:r w:rsidRPr="0043456B">
        <w:rPr>
          <w:rFonts w:ascii="Garamond" w:eastAsia="Calibri" w:hAnsi="Garamond"/>
          <w:sz w:val="24"/>
          <w:szCs w:val="24"/>
        </w:rPr>
        <w:t xml:space="preserve"> 30 minutes of OR time compared to the frontal sinus surgeries which can require up to three hours in the OR.</w:t>
      </w:r>
      <w:r w:rsidRPr="0043456B">
        <w:rPr>
          <w:rFonts w:ascii="Garamond" w:eastAsia="Calibri" w:hAnsi="Garamond"/>
          <w:sz w:val="24"/>
          <w:szCs w:val="24"/>
          <w:vertAlign w:val="superscript"/>
        </w:rPr>
        <w:footnoteReference w:id="16"/>
      </w:r>
      <w:r w:rsidRPr="0043456B">
        <w:rPr>
          <w:rFonts w:ascii="Garamond" w:eastAsia="Calibri" w:hAnsi="Garamond"/>
          <w:sz w:val="24"/>
          <w:szCs w:val="24"/>
        </w:rPr>
        <w:t xml:space="preserve"> The Applicant asserts complex fusion sinus cases allow for better visualization of sinus anatomy and disease, and this helps to reduce the need for subsequent surgery and enhances patient safety.</w:t>
      </w:r>
    </w:p>
    <w:p w14:paraId="6D405DD8" w14:textId="77777777" w:rsidR="0043456B" w:rsidRPr="0043456B" w:rsidRDefault="0043456B" w:rsidP="0043456B">
      <w:pPr>
        <w:widowControl/>
        <w:autoSpaceDE/>
        <w:autoSpaceDN/>
        <w:ind w:left="720"/>
        <w:rPr>
          <w:rFonts w:ascii="Garamond" w:eastAsia="Calibri" w:hAnsi="Garamond" w:cs="Arial"/>
          <w:b/>
          <w:sz w:val="24"/>
          <w:szCs w:val="24"/>
        </w:rPr>
      </w:pPr>
    </w:p>
    <w:p w14:paraId="595D16D0" w14:textId="77777777" w:rsidR="0043456B" w:rsidRPr="0043456B" w:rsidRDefault="0043456B" w:rsidP="0043456B">
      <w:pPr>
        <w:widowControl/>
        <w:autoSpaceDE/>
        <w:autoSpaceDN/>
        <w:ind w:left="720"/>
        <w:rPr>
          <w:rFonts w:ascii="Garamond" w:eastAsia="Calibri" w:hAnsi="Garamond" w:cs="Arial"/>
          <w:b/>
          <w:sz w:val="24"/>
          <w:szCs w:val="24"/>
        </w:rPr>
      </w:pPr>
      <w:r w:rsidRPr="0043456B">
        <w:rPr>
          <w:rFonts w:ascii="Garamond" w:eastAsia="Calibri" w:hAnsi="Garamond" w:cs="Arial"/>
          <w:bCs/>
          <w:sz w:val="24"/>
          <w:szCs w:val="24"/>
        </w:rPr>
        <w:t xml:space="preserve">The more complex cases require longer time in the OR which leads to a reduction in </w:t>
      </w:r>
      <w:r w:rsidRPr="0043456B">
        <w:rPr>
          <w:rFonts w:ascii="Garamond" w:eastAsia="Calibri" w:hAnsi="Garamond"/>
          <w:sz w:val="24"/>
          <w:szCs w:val="24"/>
        </w:rPr>
        <w:t xml:space="preserve">the number of cases that can be performed per day. Previously, eight cases would be performed on a full OR day including turnaround time. However, as the operative time per procedure has increased, the number of cases decreased to between four and seven, depending on the number of complex cases scheduled per day. This calculates to a decrease of up to 20 or more cases per month, or 100+ cases annually. The Applicant also attributes the shift to more complex procedures to the aging population in Massachusetts, which is explained further below (2a,2b). </w:t>
      </w:r>
    </w:p>
    <w:p w14:paraId="63410067" w14:textId="77777777" w:rsidR="0043456B" w:rsidRPr="0043456B" w:rsidRDefault="0043456B" w:rsidP="0043456B">
      <w:pPr>
        <w:widowControl/>
        <w:autoSpaceDE/>
        <w:autoSpaceDN/>
        <w:ind w:left="1260"/>
        <w:contextualSpacing/>
        <w:rPr>
          <w:rFonts w:ascii="Garamond" w:eastAsia="Calibri" w:hAnsi="Garamond"/>
          <w:sz w:val="24"/>
          <w:szCs w:val="24"/>
        </w:rPr>
      </w:pPr>
    </w:p>
    <w:p w14:paraId="4FB95D43" w14:textId="77777777" w:rsidR="0043456B" w:rsidRPr="0043456B" w:rsidRDefault="0043456B" w:rsidP="0043456B">
      <w:pPr>
        <w:widowControl/>
        <w:numPr>
          <w:ilvl w:val="0"/>
          <w:numId w:val="12"/>
        </w:numPr>
        <w:autoSpaceDE/>
        <w:autoSpaceDN/>
        <w:spacing w:after="200" w:line="276" w:lineRule="auto"/>
        <w:contextualSpacing/>
        <w:rPr>
          <w:rFonts w:ascii="Garamond" w:eastAsia="Calibri" w:hAnsi="Garamond" w:cs="Arial"/>
          <w:sz w:val="24"/>
          <w:szCs w:val="24"/>
        </w:rPr>
      </w:pPr>
      <w:r w:rsidRPr="0043456B">
        <w:rPr>
          <w:rFonts w:ascii="Garamond" w:eastAsia="Calibri" w:hAnsi="Garamond"/>
          <w:sz w:val="24"/>
          <w:szCs w:val="24"/>
        </w:rPr>
        <w:t xml:space="preserve">Current wait times for patients to schedule a procedure vary by specialty: five to ten days for otolaryngology, and five to ten days for pain management. To shorten wait times, the Applicant plans to add new providers. </w:t>
      </w:r>
      <w:r w:rsidRPr="0043456B">
        <w:rPr>
          <w:rFonts w:ascii="Garamond" w:eastAsia="Calibri" w:hAnsi="Garamond"/>
          <w:sz w:val="24"/>
          <w:szCs w:val="24"/>
        </w:rPr>
        <w:lastRenderedPageBreak/>
        <w:t>The new surgeons include four general surgeons, four orthopedic surgeons, and two urologists. Operating room scheduling consists of individual and group block scheduling. The Applicant states optimal OR usage would be 75-80%, and that utilization higher than 85 to 90% leads to patient delays and staff overtime.</w:t>
      </w:r>
      <w:r w:rsidRPr="0043456B">
        <w:rPr>
          <w:rFonts w:ascii="Garamond" w:eastAsia="Calibri" w:hAnsi="Garamond"/>
          <w:sz w:val="24"/>
          <w:szCs w:val="24"/>
          <w:vertAlign w:val="superscript"/>
        </w:rPr>
        <w:endnoteReference w:id="2"/>
      </w:r>
      <w:r w:rsidRPr="0043456B">
        <w:rPr>
          <w:rFonts w:ascii="Garamond" w:eastAsia="Calibri" w:hAnsi="Garamond"/>
          <w:sz w:val="24"/>
          <w:szCs w:val="24"/>
        </w:rPr>
        <w:t xml:space="preserve"> At the time of application submission, the Applicant states the current operating room reserved time usage was 58%-62%; OR block utilization had increased from 60.3% to 63.5% between 2017 and 2019. As of October 31, 2020, OR utilization increased to 65.7%, and in November, it increased to 73.7%. The Applicant states that the time between cases has increased </w:t>
      </w:r>
      <w:proofErr w:type="gramStart"/>
      <w:r w:rsidRPr="0043456B">
        <w:rPr>
          <w:rFonts w:ascii="Garamond" w:eastAsia="Calibri" w:hAnsi="Garamond"/>
          <w:sz w:val="24"/>
          <w:szCs w:val="24"/>
        </w:rPr>
        <w:t>in order to</w:t>
      </w:r>
      <w:proofErr w:type="gramEnd"/>
      <w:r w:rsidRPr="0043456B">
        <w:rPr>
          <w:rFonts w:ascii="Garamond" w:eastAsia="Calibri" w:hAnsi="Garamond"/>
          <w:sz w:val="24"/>
          <w:szCs w:val="24"/>
        </w:rPr>
        <w:t xml:space="preserve"> permit adequate air exchanges to prevent COVID transmission. </w:t>
      </w:r>
    </w:p>
    <w:p w14:paraId="153BB81F" w14:textId="77777777" w:rsidR="0043456B" w:rsidRPr="0043456B" w:rsidRDefault="0043456B" w:rsidP="0043456B">
      <w:pPr>
        <w:widowControl/>
        <w:autoSpaceDE/>
        <w:autoSpaceDN/>
        <w:ind w:left="720"/>
        <w:contextualSpacing/>
        <w:rPr>
          <w:rFonts w:ascii="Garamond" w:eastAsia="Calibri" w:hAnsi="Garamond"/>
          <w:sz w:val="24"/>
          <w:szCs w:val="24"/>
        </w:rPr>
      </w:pPr>
    </w:p>
    <w:p w14:paraId="2F133C81" w14:textId="77777777" w:rsidR="0043456B" w:rsidRPr="0043456B" w:rsidRDefault="0043456B" w:rsidP="0043456B">
      <w:pPr>
        <w:widowControl/>
        <w:autoSpaceDE/>
        <w:autoSpaceDN/>
        <w:ind w:left="720"/>
        <w:contextualSpacing/>
        <w:rPr>
          <w:rFonts w:ascii="Garamond" w:eastAsia="Calibri" w:hAnsi="Garamond"/>
          <w:sz w:val="24"/>
          <w:szCs w:val="24"/>
        </w:rPr>
      </w:pPr>
      <w:r w:rsidRPr="0043456B">
        <w:rPr>
          <w:rFonts w:ascii="Garamond" w:eastAsia="Calibri" w:hAnsi="Garamond"/>
          <w:sz w:val="24"/>
          <w:szCs w:val="24"/>
        </w:rPr>
        <w:t>While the new providers can increase access, usage of the single OR will be strained. An additional factor contributing to an increased demand on OR time is the increase in cases requiring general anesthesia. To date, total operative time per procedure increased from 71.01 minutes in 2017 to 76.83 minutes in 2019. The bulk of the procedures performed by the new surgeons will require anesthesia and will have more impact on the time per procedure at the facility.</w:t>
      </w:r>
      <w:r w:rsidRPr="0043456B">
        <w:rPr>
          <w:rFonts w:ascii="Garamond" w:eastAsia="Calibri" w:hAnsi="Garamond"/>
          <w:color w:val="FF0000"/>
          <w:sz w:val="24"/>
          <w:szCs w:val="24"/>
        </w:rPr>
        <w:t xml:space="preserve"> </w:t>
      </w:r>
      <w:r w:rsidRPr="0043456B">
        <w:rPr>
          <w:rFonts w:ascii="Garamond" w:eastAsia="Calibri" w:hAnsi="Garamond"/>
          <w:sz w:val="24"/>
          <w:szCs w:val="24"/>
        </w:rPr>
        <w:t>The addition of an OR will simultaneously allow for the new providers to schedule more procedures and subsequently decrease wait times for patients, as well as accommodate the longer OR times required for procedures involving anesthesia. The Applicant described trends in volume and types of cases the surgery center will be seeing by specialty due to the addition of new surgeons to increase the range of services available at the facility and reduce wait times for procedures.</w:t>
      </w:r>
    </w:p>
    <w:p w14:paraId="1004E008" w14:textId="77777777" w:rsidR="0043456B" w:rsidRPr="0043456B" w:rsidRDefault="0043456B" w:rsidP="0043456B">
      <w:pPr>
        <w:widowControl/>
        <w:autoSpaceDE/>
        <w:autoSpaceDN/>
        <w:ind w:left="720"/>
        <w:contextualSpacing/>
        <w:rPr>
          <w:rFonts w:ascii="Garamond" w:eastAsia="Calibri" w:hAnsi="Garamond"/>
          <w:sz w:val="24"/>
          <w:szCs w:val="24"/>
        </w:rPr>
      </w:pPr>
    </w:p>
    <w:p w14:paraId="26134B1B" w14:textId="77777777" w:rsidR="0043456B" w:rsidRPr="0043456B" w:rsidRDefault="0043456B" w:rsidP="0043456B">
      <w:pPr>
        <w:widowControl/>
        <w:numPr>
          <w:ilvl w:val="0"/>
          <w:numId w:val="24"/>
        </w:numPr>
        <w:autoSpaceDE/>
        <w:autoSpaceDN/>
        <w:spacing w:after="200" w:line="276" w:lineRule="auto"/>
        <w:ind w:left="1224"/>
        <w:contextualSpacing/>
        <w:rPr>
          <w:rFonts w:ascii="Garamond" w:eastAsia="Calibri" w:hAnsi="Garamond" w:cs="Arial"/>
          <w:sz w:val="24"/>
          <w:szCs w:val="24"/>
        </w:rPr>
      </w:pPr>
      <w:bookmarkStart w:id="158" w:name="_Hlk59196891"/>
      <w:r w:rsidRPr="0043456B">
        <w:rPr>
          <w:rFonts w:ascii="Garamond" w:eastAsia="Calibri" w:hAnsi="Garamond"/>
          <w:sz w:val="24"/>
          <w:szCs w:val="24"/>
        </w:rPr>
        <w:t>Orthopedics – The majority of surgical services provided by the orthopedic surgeons require general anesthesia.</w:t>
      </w:r>
      <w:r w:rsidRPr="0043456B">
        <w:rPr>
          <w:rFonts w:ascii="Garamond" w:eastAsia="Calibri" w:hAnsi="Garamond"/>
          <w:sz w:val="24"/>
          <w:szCs w:val="24"/>
          <w:vertAlign w:val="superscript"/>
        </w:rPr>
        <w:footnoteReference w:id="17"/>
      </w:r>
      <w:r w:rsidRPr="0043456B">
        <w:rPr>
          <w:rFonts w:ascii="Garamond" w:eastAsia="Calibri" w:hAnsi="Garamond"/>
          <w:sz w:val="24"/>
          <w:szCs w:val="24"/>
        </w:rPr>
        <w:t xml:space="preserve"> The surgeons are projected to bring in an additional five to ten cases per week. The Applicant asserts the additional cases will bring the existing OR to near its maximum capacity resulting in a shortage of currently available OR time.</w:t>
      </w:r>
      <w:r w:rsidRPr="0043456B">
        <w:rPr>
          <w:rFonts w:ascii="Garamond" w:eastAsia="Calibri" w:hAnsi="Garamond"/>
          <w:sz w:val="24"/>
          <w:szCs w:val="24"/>
          <w:vertAlign w:val="superscript"/>
        </w:rPr>
        <w:footnoteReference w:id="18"/>
      </w:r>
      <w:r w:rsidRPr="0043456B">
        <w:rPr>
          <w:rFonts w:ascii="Garamond" w:eastAsia="Calibri" w:hAnsi="Garamond"/>
          <w:sz w:val="24"/>
          <w:szCs w:val="24"/>
        </w:rPr>
        <w:t xml:space="preserve"> </w:t>
      </w:r>
    </w:p>
    <w:bookmarkEnd w:id="158"/>
    <w:p w14:paraId="4D350720" w14:textId="77777777" w:rsidR="0043456B" w:rsidRPr="0043456B" w:rsidRDefault="0043456B" w:rsidP="0043456B">
      <w:pPr>
        <w:widowControl/>
        <w:numPr>
          <w:ilvl w:val="0"/>
          <w:numId w:val="24"/>
        </w:numPr>
        <w:autoSpaceDE/>
        <w:autoSpaceDN/>
        <w:spacing w:after="200" w:line="276" w:lineRule="auto"/>
        <w:ind w:left="1224"/>
        <w:contextualSpacing/>
        <w:rPr>
          <w:rFonts w:ascii="Garamond" w:eastAsia="Calibri" w:hAnsi="Garamond" w:cs="Arial"/>
          <w:sz w:val="24"/>
          <w:szCs w:val="24"/>
        </w:rPr>
      </w:pPr>
      <w:r w:rsidRPr="0043456B">
        <w:rPr>
          <w:rFonts w:ascii="Garamond" w:eastAsia="Calibri" w:hAnsi="Garamond"/>
          <w:sz w:val="24"/>
          <w:szCs w:val="24"/>
        </w:rPr>
        <w:t>General Surgery – The ability of general surgeons to book additional procedures is dependent upon OR time availability for longer periods, with most cases lasting one hour.</w:t>
      </w:r>
      <w:r w:rsidRPr="0043456B">
        <w:rPr>
          <w:rFonts w:ascii="Calibri" w:eastAsia="Calibri" w:hAnsi="Calibri"/>
          <w:vertAlign w:val="superscript"/>
        </w:rPr>
        <w:footnoteReference w:id="19"/>
      </w:r>
      <w:r w:rsidRPr="0043456B">
        <w:rPr>
          <w:rFonts w:ascii="Garamond" w:eastAsia="Calibri" w:hAnsi="Garamond"/>
          <w:sz w:val="24"/>
          <w:szCs w:val="24"/>
        </w:rPr>
        <w:t xml:space="preserve"> The additional volume from the new surgeons will place constraints on the single OR, reducing block time. </w:t>
      </w:r>
    </w:p>
    <w:p w14:paraId="065F38EF" w14:textId="77777777" w:rsidR="0043456B" w:rsidRPr="0043456B" w:rsidRDefault="0043456B" w:rsidP="0043456B">
      <w:pPr>
        <w:widowControl/>
        <w:numPr>
          <w:ilvl w:val="0"/>
          <w:numId w:val="24"/>
        </w:numPr>
        <w:autoSpaceDE/>
        <w:autoSpaceDN/>
        <w:spacing w:after="200" w:line="276" w:lineRule="auto"/>
        <w:ind w:left="1224"/>
        <w:contextualSpacing/>
        <w:rPr>
          <w:rFonts w:ascii="Garamond" w:eastAsia="Calibri" w:hAnsi="Garamond" w:cs="Arial"/>
          <w:sz w:val="24"/>
          <w:szCs w:val="24"/>
        </w:rPr>
      </w:pPr>
      <w:r w:rsidRPr="0043456B">
        <w:rPr>
          <w:rFonts w:ascii="Garamond" w:eastAsia="Calibri" w:hAnsi="Garamond"/>
          <w:sz w:val="24"/>
          <w:szCs w:val="24"/>
        </w:rPr>
        <w:t>Urology – Since Application submission, the Applicant has credentialed two new urologists. With these new providers, an additional 20 urology cases, all requiring anesthesia, are being scheduled per month.</w:t>
      </w:r>
      <w:r w:rsidRPr="0043456B">
        <w:rPr>
          <w:rFonts w:ascii="Garamond" w:eastAsia="Calibri" w:hAnsi="Garamond"/>
          <w:sz w:val="24"/>
          <w:szCs w:val="24"/>
          <w:vertAlign w:val="superscript"/>
        </w:rPr>
        <w:footnoteReference w:id="20"/>
      </w:r>
      <w:r w:rsidRPr="0043456B">
        <w:rPr>
          <w:rFonts w:ascii="Garamond" w:eastAsia="Calibri" w:hAnsi="Garamond"/>
          <w:sz w:val="24"/>
          <w:szCs w:val="24"/>
        </w:rPr>
        <w:t xml:space="preserve"> </w:t>
      </w:r>
    </w:p>
    <w:p w14:paraId="0E17E84B" w14:textId="77777777" w:rsidR="0043456B" w:rsidRPr="0043456B" w:rsidRDefault="0043456B" w:rsidP="0043456B">
      <w:pPr>
        <w:widowControl/>
        <w:numPr>
          <w:ilvl w:val="0"/>
          <w:numId w:val="24"/>
        </w:numPr>
        <w:autoSpaceDE/>
        <w:autoSpaceDN/>
        <w:spacing w:after="200" w:line="276" w:lineRule="auto"/>
        <w:ind w:left="1224"/>
        <w:contextualSpacing/>
        <w:rPr>
          <w:rFonts w:ascii="Garamond" w:eastAsia="Calibri" w:hAnsi="Garamond" w:cs="Arial"/>
          <w:sz w:val="24"/>
          <w:szCs w:val="24"/>
        </w:rPr>
      </w:pPr>
      <w:r w:rsidRPr="0043456B">
        <w:rPr>
          <w:rFonts w:ascii="Garamond" w:eastAsia="Calibri" w:hAnsi="Garamond"/>
          <w:sz w:val="24"/>
          <w:szCs w:val="24"/>
        </w:rPr>
        <w:t xml:space="preserve">Otolaryngology – In 2019, OR days available for the four surgeons performing otolaryngology cases were reduced from nine full days per month to five days </w:t>
      </w:r>
      <w:proofErr w:type="gramStart"/>
      <w:r w:rsidRPr="0043456B">
        <w:rPr>
          <w:rFonts w:ascii="Garamond" w:eastAsia="Calibri" w:hAnsi="Garamond"/>
          <w:sz w:val="24"/>
          <w:szCs w:val="24"/>
        </w:rPr>
        <w:t>in order to</w:t>
      </w:r>
      <w:proofErr w:type="gramEnd"/>
      <w:r w:rsidRPr="0043456B">
        <w:rPr>
          <w:rFonts w:ascii="Garamond" w:eastAsia="Calibri" w:hAnsi="Garamond"/>
          <w:sz w:val="24"/>
          <w:szCs w:val="24"/>
        </w:rPr>
        <w:t xml:space="preserve"> accommodate additional orthopedic and urology cases. The Applicant asserts that the addition of the OR would allow for the return to nine full OR days per month to accommodate demand.</w:t>
      </w:r>
    </w:p>
    <w:p w14:paraId="463732F4" w14:textId="77777777" w:rsidR="0043456B" w:rsidRPr="0043456B" w:rsidRDefault="0043456B" w:rsidP="0043456B">
      <w:pPr>
        <w:widowControl/>
        <w:autoSpaceDE/>
        <w:autoSpaceDN/>
        <w:rPr>
          <w:rFonts w:ascii="Garamond" w:eastAsia="Calibri" w:hAnsi="Garamond"/>
          <w:sz w:val="24"/>
          <w:szCs w:val="24"/>
        </w:rPr>
      </w:pPr>
    </w:p>
    <w:p w14:paraId="4EAA8CD6" w14:textId="77777777" w:rsidR="0043456B" w:rsidRPr="0043456B" w:rsidRDefault="0043456B" w:rsidP="0043456B">
      <w:pPr>
        <w:widowControl/>
        <w:numPr>
          <w:ilvl w:val="0"/>
          <w:numId w:val="12"/>
        </w:numPr>
        <w:autoSpaceDE/>
        <w:autoSpaceDN/>
        <w:spacing w:after="200" w:line="276" w:lineRule="auto"/>
        <w:contextualSpacing/>
        <w:rPr>
          <w:rFonts w:ascii="Garamond" w:eastAsia="Calibri" w:hAnsi="Garamond"/>
          <w:sz w:val="24"/>
          <w:szCs w:val="24"/>
        </w:rPr>
      </w:pPr>
      <w:r w:rsidRPr="0043456B">
        <w:rPr>
          <w:rFonts w:ascii="Garamond" w:eastAsia="Calibri" w:hAnsi="Garamond"/>
          <w:b/>
          <w:bCs/>
          <w:sz w:val="24"/>
          <w:szCs w:val="24"/>
        </w:rPr>
        <w:t xml:space="preserve">Aging population. </w:t>
      </w:r>
    </w:p>
    <w:p w14:paraId="7FE9D18B" w14:textId="77777777" w:rsidR="0043456B" w:rsidRPr="0043456B" w:rsidRDefault="0043456B" w:rsidP="0043456B">
      <w:pPr>
        <w:widowControl/>
        <w:autoSpaceDE/>
        <w:autoSpaceDN/>
        <w:ind w:left="720"/>
        <w:rPr>
          <w:rFonts w:ascii="Garamond" w:eastAsia="Calibri" w:hAnsi="Garamond"/>
          <w:sz w:val="24"/>
          <w:szCs w:val="24"/>
        </w:rPr>
      </w:pPr>
      <w:r w:rsidRPr="0043456B">
        <w:rPr>
          <w:rFonts w:ascii="Garamond" w:eastAsia="Calibri" w:hAnsi="Garamond"/>
          <w:sz w:val="24"/>
          <w:szCs w:val="24"/>
        </w:rPr>
        <w:t xml:space="preserve">The Applicant asserts an aging population with increasing health needs will contribute to a growing demand for NESC’s services. </w:t>
      </w:r>
      <w:r w:rsidRPr="0043456B">
        <w:rPr>
          <w:rFonts w:ascii="Garamond" w:eastAsia="Calibri" w:hAnsi="Garamond" w:cs="Arial"/>
          <w:bCs/>
          <w:sz w:val="24"/>
          <w:szCs w:val="24"/>
        </w:rPr>
        <w:t>Over 75% of the Patient Panel lives in Essex County where the age 65 and older population is expected to increase by 17.2% between 2020 and 2025.</w:t>
      </w:r>
      <w:r w:rsidRPr="0043456B">
        <w:rPr>
          <w:rFonts w:ascii="Garamond" w:eastAsia="Calibri" w:hAnsi="Garamond" w:cs="Arial"/>
          <w:bCs/>
          <w:sz w:val="24"/>
          <w:szCs w:val="24"/>
          <w:vertAlign w:val="superscript"/>
        </w:rPr>
        <w:endnoteReference w:id="3"/>
      </w:r>
      <w:r w:rsidRPr="0043456B">
        <w:rPr>
          <w:rFonts w:ascii="Garamond" w:eastAsia="Calibri" w:hAnsi="Garamond" w:cs="Arial"/>
          <w:bCs/>
          <w:sz w:val="24"/>
          <w:szCs w:val="24"/>
        </w:rPr>
        <w:t xml:space="preserve"> The Applicant notes Medicare patients </w:t>
      </w:r>
      <w:r w:rsidRPr="0043456B">
        <w:rPr>
          <w:rFonts w:ascii="Garamond" w:eastAsia="Calibri" w:hAnsi="Garamond" w:cs="Arial"/>
          <w:bCs/>
          <w:sz w:val="24"/>
          <w:szCs w:val="24"/>
        </w:rPr>
        <w:lastRenderedPageBreak/>
        <w:t>comprise 39% of NESC’s payer mix. A population that is growing older with increased risk for conditions addressed at the Applicant’s facility will increase demand for its outpatient surgical services.</w:t>
      </w:r>
    </w:p>
    <w:p w14:paraId="4818BF9A" w14:textId="77777777" w:rsidR="0043456B" w:rsidRPr="0043456B" w:rsidRDefault="0043456B" w:rsidP="0043456B">
      <w:pPr>
        <w:widowControl/>
        <w:autoSpaceDE/>
        <w:autoSpaceDN/>
        <w:ind w:left="1080"/>
        <w:contextualSpacing/>
        <w:rPr>
          <w:rFonts w:ascii="Garamond" w:eastAsia="Calibri" w:hAnsi="Garamond"/>
          <w:sz w:val="24"/>
          <w:szCs w:val="24"/>
        </w:rPr>
      </w:pPr>
    </w:p>
    <w:p w14:paraId="787B4564" w14:textId="77777777" w:rsidR="0043456B" w:rsidRPr="0043456B" w:rsidRDefault="0043456B" w:rsidP="0043456B">
      <w:pPr>
        <w:widowControl/>
        <w:numPr>
          <w:ilvl w:val="1"/>
          <w:numId w:val="12"/>
        </w:numPr>
        <w:autoSpaceDE/>
        <w:autoSpaceDN/>
        <w:spacing w:after="200" w:line="276" w:lineRule="auto"/>
        <w:ind w:left="1080"/>
        <w:contextualSpacing/>
        <w:rPr>
          <w:rFonts w:ascii="Garamond" w:eastAsia="Calibri" w:hAnsi="Garamond"/>
          <w:sz w:val="24"/>
          <w:szCs w:val="24"/>
        </w:rPr>
      </w:pPr>
      <w:r w:rsidRPr="0043456B">
        <w:rPr>
          <w:rFonts w:ascii="Garamond" w:eastAsia="Calibri" w:hAnsi="Garamond" w:cs="Arial"/>
          <w:bCs/>
          <w:sz w:val="24"/>
          <w:szCs w:val="24"/>
        </w:rPr>
        <w:t>The Applicant asserts the above average prevalence of certain age-specific conditions will result in increasing demand for the multi-specialty surgical services offered at NESC.</w:t>
      </w:r>
    </w:p>
    <w:p w14:paraId="2C22145A" w14:textId="77777777" w:rsidR="0043456B" w:rsidRPr="0043456B" w:rsidRDefault="0043456B" w:rsidP="0043456B">
      <w:pPr>
        <w:widowControl/>
        <w:numPr>
          <w:ilvl w:val="2"/>
          <w:numId w:val="12"/>
        </w:numPr>
        <w:autoSpaceDE/>
        <w:autoSpaceDN/>
        <w:spacing w:after="200" w:line="276" w:lineRule="auto"/>
        <w:ind w:left="1447"/>
        <w:contextualSpacing/>
        <w:rPr>
          <w:rFonts w:ascii="Garamond" w:eastAsia="Calibri" w:hAnsi="Garamond"/>
          <w:sz w:val="24"/>
          <w:szCs w:val="24"/>
        </w:rPr>
      </w:pPr>
      <w:r w:rsidRPr="0043456B">
        <w:rPr>
          <w:rFonts w:ascii="Garamond" w:eastAsia="Calibri" w:hAnsi="Garamond" w:cs="Arial"/>
          <w:bCs/>
          <w:sz w:val="24"/>
          <w:szCs w:val="24"/>
        </w:rPr>
        <w:t xml:space="preserve">The Applicant points to an increase in the prevalence of chronic disease among adults </w:t>
      </w:r>
      <w:proofErr w:type="gramStart"/>
      <w:r w:rsidRPr="0043456B">
        <w:rPr>
          <w:rFonts w:ascii="Garamond" w:eastAsia="Calibri" w:hAnsi="Garamond" w:cs="Arial"/>
          <w:bCs/>
          <w:sz w:val="24"/>
          <w:szCs w:val="24"/>
        </w:rPr>
        <w:t>age</w:t>
      </w:r>
      <w:proofErr w:type="gramEnd"/>
      <w:r w:rsidRPr="0043456B">
        <w:rPr>
          <w:rFonts w:ascii="Garamond" w:eastAsia="Calibri" w:hAnsi="Garamond" w:cs="Arial"/>
          <w:bCs/>
          <w:sz w:val="24"/>
          <w:szCs w:val="24"/>
        </w:rPr>
        <w:t xml:space="preserve"> 65 and older in Essex County from 37% in 2007 to 39% in 2015; and notes that the prevalence of chronic disease among this age group in Essex County is higher than peer counties, the state, and the country.</w:t>
      </w:r>
      <w:r w:rsidRPr="0043456B">
        <w:rPr>
          <w:rFonts w:ascii="Garamond" w:eastAsia="Calibri" w:hAnsi="Garamond" w:cs="Arial"/>
          <w:bCs/>
          <w:sz w:val="24"/>
          <w:szCs w:val="24"/>
          <w:vertAlign w:val="superscript"/>
        </w:rPr>
        <w:endnoteReference w:id="4"/>
      </w:r>
      <w:r w:rsidRPr="0043456B">
        <w:rPr>
          <w:rFonts w:ascii="Garamond" w:eastAsia="Calibri" w:hAnsi="Garamond" w:cs="Arial"/>
          <w:bCs/>
          <w:sz w:val="24"/>
          <w:szCs w:val="24"/>
        </w:rPr>
        <w:t xml:space="preserve"> </w:t>
      </w:r>
    </w:p>
    <w:p w14:paraId="32738076" w14:textId="77777777" w:rsidR="0043456B" w:rsidRPr="0043456B" w:rsidRDefault="0043456B" w:rsidP="0043456B">
      <w:pPr>
        <w:widowControl/>
        <w:numPr>
          <w:ilvl w:val="2"/>
          <w:numId w:val="12"/>
        </w:numPr>
        <w:autoSpaceDE/>
        <w:autoSpaceDN/>
        <w:spacing w:after="200" w:line="276" w:lineRule="auto"/>
        <w:ind w:left="1447"/>
        <w:contextualSpacing/>
        <w:rPr>
          <w:rFonts w:ascii="Garamond" w:eastAsia="Calibri" w:hAnsi="Garamond"/>
          <w:sz w:val="24"/>
          <w:szCs w:val="24"/>
        </w:rPr>
      </w:pPr>
      <w:r w:rsidRPr="0043456B">
        <w:rPr>
          <w:rFonts w:ascii="Garamond" w:eastAsia="Calibri" w:hAnsi="Garamond" w:cs="Arial"/>
          <w:bCs/>
          <w:sz w:val="24"/>
          <w:szCs w:val="24"/>
        </w:rPr>
        <w:t>The prevalence of obesity in adults in Essex County increased from 19% in 2004 to 25% in 2016.</w:t>
      </w:r>
      <w:r w:rsidRPr="0043456B">
        <w:rPr>
          <w:rFonts w:ascii="Garamond" w:eastAsia="Calibri" w:hAnsi="Garamond" w:cs="Arial"/>
          <w:bCs/>
          <w:sz w:val="24"/>
          <w:szCs w:val="24"/>
          <w:vertAlign w:val="superscript"/>
        </w:rPr>
        <w:endnoteReference w:id="5"/>
      </w:r>
      <w:r w:rsidRPr="0043456B">
        <w:rPr>
          <w:rFonts w:ascii="Garamond" w:eastAsia="Calibri" w:hAnsi="Garamond" w:cs="Arial"/>
          <w:bCs/>
          <w:sz w:val="24"/>
          <w:szCs w:val="24"/>
        </w:rPr>
        <w:t xml:space="preserve"> Obesity is correlated with </w:t>
      </w:r>
      <w:proofErr w:type="gramStart"/>
      <w:r w:rsidRPr="0043456B">
        <w:rPr>
          <w:rFonts w:ascii="Garamond" w:eastAsia="Calibri" w:hAnsi="Garamond" w:cs="Arial"/>
          <w:bCs/>
          <w:sz w:val="24"/>
          <w:szCs w:val="24"/>
        </w:rPr>
        <w:t>a number of</w:t>
      </w:r>
      <w:proofErr w:type="gramEnd"/>
      <w:r w:rsidRPr="0043456B">
        <w:rPr>
          <w:rFonts w:ascii="Garamond" w:eastAsia="Calibri" w:hAnsi="Garamond" w:cs="Arial"/>
          <w:bCs/>
          <w:sz w:val="24"/>
          <w:szCs w:val="24"/>
        </w:rPr>
        <w:t xml:space="preserve"> health issues, including arthritis and musculoskeletal health issues that increase the need for surgical services, and is a common condition among patients with orthopedic conditions. The Applicant highlighted specific conditions and surgical needs more prevalent among obese patients including knee replacement,</w:t>
      </w:r>
      <w:r w:rsidRPr="0043456B">
        <w:rPr>
          <w:rFonts w:ascii="Garamond" w:eastAsia="Calibri" w:hAnsi="Garamond" w:cs="Arial"/>
          <w:bCs/>
          <w:sz w:val="24"/>
          <w:szCs w:val="24"/>
          <w:vertAlign w:val="superscript"/>
        </w:rPr>
        <w:endnoteReference w:id="6"/>
      </w:r>
      <w:r w:rsidRPr="0043456B">
        <w:rPr>
          <w:rFonts w:ascii="Garamond" w:eastAsia="Calibri" w:hAnsi="Garamond" w:cs="Arial"/>
          <w:bCs/>
          <w:sz w:val="24"/>
          <w:szCs w:val="24"/>
        </w:rPr>
        <w:t xml:space="preserve"> and a higher risk of developing kidney stones.</w:t>
      </w:r>
      <w:r w:rsidRPr="0043456B">
        <w:rPr>
          <w:rFonts w:ascii="Garamond" w:eastAsia="Calibri" w:hAnsi="Garamond" w:cs="Arial"/>
          <w:bCs/>
          <w:sz w:val="24"/>
          <w:szCs w:val="24"/>
          <w:vertAlign w:val="superscript"/>
        </w:rPr>
        <w:endnoteReference w:id="7"/>
      </w:r>
      <w:r w:rsidRPr="0043456B">
        <w:rPr>
          <w:rFonts w:ascii="Garamond" w:eastAsia="Calibri" w:hAnsi="Garamond" w:cs="Arial"/>
          <w:bCs/>
          <w:sz w:val="24"/>
          <w:szCs w:val="24"/>
        </w:rPr>
        <w:t xml:space="preserve"> </w:t>
      </w:r>
    </w:p>
    <w:p w14:paraId="1413F873" w14:textId="77777777" w:rsidR="0043456B" w:rsidRPr="0043456B" w:rsidRDefault="0043456B" w:rsidP="0043456B">
      <w:pPr>
        <w:widowControl/>
        <w:numPr>
          <w:ilvl w:val="2"/>
          <w:numId w:val="12"/>
        </w:numPr>
        <w:autoSpaceDE/>
        <w:autoSpaceDN/>
        <w:spacing w:after="200" w:line="276" w:lineRule="auto"/>
        <w:ind w:left="1447"/>
        <w:contextualSpacing/>
        <w:rPr>
          <w:rFonts w:ascii="Garamond" w:eastAsia="Calibri" w:hAnsi="Garamond"/>
          <w:sz w:val="24"/>
          <w:szCs w:val="24"/>
        </w:rPr>
      </w:pPr>
      <w:r w:rsidRPr="0043456B">
        <w:rPr>
          <w:rFonts w:ascii="Garamond" w:eastAsia="Calibri" w:hAnsi="Garamond" w:cs="Arial"/>
          <w:bCs/>
          <w:sz w:val="24"/>
          <w:szCs w:val="24"/>
        </w:rPr>
        <w:t>The Applicant cited studies documenting a higher prevalence of arthritis and conditions</w:t>
      </w:r>
      <w:r w:rsidRPr="0043456B">
        <w:rPr>
          <w:rFonts w:ascii="Calibri" w:eastAsia="Calibri" w:hAnsi="Calibri"/>
        </w:rPr>
        <w:t xml:space="preserve"> </w:t>
      </w:r>
      <w:r w:rsidRPr="0043456B">
        <w:rPr>
          <w:rFonts w:ascii="Garamond" w:eastAsia="Calibri" w:hAnsi="Garamond" w:cs="Arial"/>
          <w:bCs/>
          <w:sz w:val="24"/>
          <w:szCs w:val="24"/>
        </w:rPr>
        <w:t>like lumbar spinal stenosis (LSS) and sacroiliac joint (SJ) pathologies in the age 65 and older population.</w:t>
      </w:r>
      <w:r w:rsidRPr="0043456B">
        <w:rPr>
          <w:rFonts w:ascii="Garamond" w:eastAsia="Calibri" w:hAnsi="Garamond" w:cs="Arial"/>
          <w:bCs/>
          <w:sz w:val="24"/>
          <w:szCs w:val="24"/>
          <w:vertAlign w:val="superscript"/>
        </w:rPr>
        <w:endnoteReference w:id="8"/>
      </w:r>
      <w:r w:rsidRPr="0043456B">
        <w:rPr>
          <w:rFonts w:ascii="Garamond" w:eastAsia="Calibri" w:hAnsi="Garamond" w:cs="Arial"/>
          <w:bCs/>
          <w:sz w:val="24"/>
          <w:szCs w:val="24"/>
        </w:rPr>
        <w:t xml:space="preserve"> Arthritis, the risk of which increases with age, is a leading cause of pain and disability.</w:t>
      </w:r>
      <w:r w:rsidRPr="0043456B">
        <w:rPr>
          <w:rFonts w:ascii="Calibri" w:eastAsia="Calibri" w:hAnsi="Calibri"/>
          <w:vertAlign w:val="superscript"/>
        </w:rPr>
        <w:endnoteReference w:id="9"/>
      </w:r>
      <w:r w:rsidRPr="0043456B">
        <w:rPr>
          <w:rFonts w:ascii="Garamond" w:eastAsia="Calibri" w:hAnsi="Garamond" w:cs="Arial"/>
          <w:bCs/>
          <w:sz w:val="24"/>
          <w:szCs w:val="24"/>
          <w:vertAlign w:val="superscript"/>
        </w:rPr>
        <w:t>,</w:t>
      </w:r>
      <w:r w:rsidRPr="0043456B">
        <w:rPr>
          <w:rFonts w:ascii="Calibri" w:eastAsia="Calibri" w:hAnsi="Calibri"/>
          <w:vertAlign w:val="superscript"/>
        </w:rPr>
        <w:endnoteReference w:id="10"/>
      </w:r>
    </w:p>
    <w:p w14:paraId="5D2F157D" w14:textId="77777777" w:rsidR="0043456B" w:rsidRPr="0043456B" w:rsidRDefault="0043456B" w:rsidP="0043456B">
      <w:pPr>
        <w:widowControl/>
        <w:autoSpaceDE/>
        <w:autoSpaceDN/>
        <w:ind w:left="1447"/>
        <w:contextualSpacing/>
        <w:rPr>
          <w:rFonts w:ascii="Garamond" w:eastAsia="Calibri" w:hAnsi="Garamond"/>
          <w:sz w:val="24"/>
          <w:szCs w:val="24"/>
        </w:rPr>
      </w:pPr>
    </w:p>
    <w:p w14:paraId="725841B6" w14:textId="77777777" w:rsidR="0043456B" w:rsidRPr="0043456B" w:rsidRDefault="0043456B" w:rsidP="0043456B">
      <w:pPr>
        <w:widowControl/>
        <w:numPr>
          <w:ilvl w:val="1"/>
          <w:numId w:val="12"/>
        </w:numPr>
        <w:autoSpaceDE/>
        <w:autoSpaceDN/>
        <w:spacing w:after="200" w:line="276" w:lineRule="auto"/>
        <w:ind w:left="1080"/>
        <w:contextualSpacing/>
        <w:rPr>
          <w:rFonts w:ascii="Garamond" w:eastAsia="Calibri" w:hAnsi="Garamond"/>
          <w:sz w:val="24"/>
          <w:szCs w:val="24"/>
        </w:rPr>
      </w:pPr>
      <w:r w:rsidRPr="0043456B">
        <w:rPr>
          <w:rFonts w:ascii="Garamond" w:eastAsia="Calibri" w:hAnsi="Garamond" w:cs="Arial"/>
          <w:bCs/>
          <w:sz w:val="24"/>
          <w:szCs w:val="24"/>
        </w:rPr>
        <w:t>The Applicant referenced a study showing personal healthcare spending</w:t>
      </w:r>
      <w:r w:rsidRPr="0043456B">
        <w:rPr>
          <w:rFonts w:ascii="Garamond" w:eastAsia="Calibri" w:hAnsi="Garamond" w:cs="Arial"/>
          <w:bCs/>
          <w:sz w:val="24"/>
          <w:szCs w:val="24"/>
          <w:vertAlign w:val="superscript"/>
        </w:rPr>
        <w:footnoteReference w:id="21"/>
      </w:r>
      <w:r w:rsidRPr="0043456B">
        <w:rPr>
          <w:rFonts w:ascii="Garamond" w:eastAsia="Calibri" w:hAnsi="Garamond" w:cs="Arial"/>
          <w:bCs/>
          <w:sz w:val="24"/>
          <w:szCs w:val="24"/>
        </w:rPr>
        <w:t xml:space="preserve"> varies by age with higher spending occurring in the age 65 and older segment of the population.</w:t>
      </w:r>
      <w:r w:rsidRPr="0043456B">
        <w:rPr>
          <w:rFonts w:ascii="Garamond" w:eastAsia="Calibri" w:hAnsi="Garamond" w:cs="Arial"/>
          <w:bCs/>
          <w:sz w:val="24"/>
          <w:szCs w:val="24"/>
          <w:vertAlign w:val="superscript"/>
        </w:rPr>
        <w:endnoteReference w:id="11"/>
      </w:r>
      <w:r w:rsidRPr="0043456B">
        <w:rPr>
          <w:rFonts w:ascii="Garamond" w:eastAsia="Calibri" w:hAnsi="Garamond" w:cs="Arial"/>
          <w:bCs/>
          <w:sz w:val="24"/>
          <w:szCs w:val="24"/>
          <w:vertAlign w:val="superscript"/>
        </w:rPr>
        <w:t>,</w:t>
      </w:r>
      <w:r w:rsidRPr="0043456B">
        <w:rPr>
          <w:rFonts w:ascii="Garamond" w:eastAsia="Calibri" w:hAnsi="Garamond" w:cs="Arial"/>
          <w:bCs/>
          <w:sz w:val="24"/>
          <w:szCs w:val="24"/>
          <w:vertAlign w:val="superscript"/>
        </w:rPr>
        <w:endnoteReference w:id="12"/>
      </w:r>
      <w:r w:rsidRPr="0043456B">
        <w:rPr>
          <w:rFonts w:ascii="Garamond" w:eastAsia="Calibri" w:hAnsi="Garamond" w:cs="Arial"/>
          <w:bCs/>
          <w:sz w:val="24"/>
          <w:szCs w:val="24"/>
        </w:rPr>
        <w:t xml:space="preserve"> The Applicant also argues the most commonly utilized surgical services by the age 65 and older population (urological, orthopedic, and ophthalmologic surgical services) are the primary surgical services performed at NESC,</w:t>
      </w:r>
      <w:r w:rsidRPr="0043456B">
        <w:rPr>
          <w:rFonts w:ascii="Calibri" w:eastAsia="Calibri" w:hAnsi="Calibri"/>
        </w:rPr>
        <w:t xml:space="preserve"> </w:t>
      </w:r>
      <w:r w:rsidRPr="0043456B">
        <w:rPr>
          <w:rFonts w:ascii="Garamond" w:eastAsia="Calibri" w:hAnsi="Garamond" w:cs="Arial"/>
          <w:bCs/>
          <w:sz w:val="24"/>
          <w:szCs w:val="24"/>
        </w:rPr>
        <w:t>and that demand for these services is expected to increase as the age 65 and older populations grows.</w:t>
      </w:r>
      <w:r w:rsidRPr="0043456B">
        <w:rPr>
          <w:rFonts w:ascii="Garamond" w:eastAsia="Calibri" w:hAnsi="Garamond" w:cs="Arial"/>
          <w:bCs/>
          <w:sz w:val="24"/>
          <w:szCs w:val="24"/>
          <w:vertAlign w:val="superscript"/>
        </w:rPr>
        <w:endnoteReference w:id="13"/>
      </w:r>
      <w:r w:rsidRPr="0043456B">
        <w:rPr>
          <w:rFonts w:ascii="Garamond" w:eastAsia="Calibri" w:hAnsi="Garamond" w:cs="Arial"/>
          <w:bCs/>
          <w:sz w:val="24"/>
          <w:szCs w:val="24"/>
        </w:rPr>
        <w:t xml:space="preserve"> The Applicant also projects additional demand for its services because CMS is set to remove 300 procedures, made up of primarily musculoskeletal procedures that are within the ASC’s surgical specialties, from the Medicare Inpatient-Only list</w:t>
      </w:r>
      <w:r w:rsidRPr="0043456B">
        <w:rPr>
          <w:rFonts w:ascii="Garamond" w:eastAsia="Calibri" w:hAnsi="Garamond" w:cs="Arial"/>
          <w:bCs/>
          <w:sz w:val="24"/>
          <w:szCs w:val="24"/>
          <w:vertAlign w:val="superscript"/>
        </w:rPr>
        <w:footnoteReference w:id="22"/>
      </w:r>
      <w:r w:rsidRPr="0043456B">
        <w:rPr>
          <w:rFonts w:ascii="Garamond" w:eastAsia="Calibri" w:hAnsi="Garamond" w:cs="Arial"/>
          <w:bCs/>
          <w:sz w:val="24"/>
          <w:szCs w:val="24"/>
        </w:rPr>
        <w:t>starting in 2021 as part of a proposal to eliminate the Inpatient-Only list by 2024.</w:t>
      </w:r>
      <w:r w:rsidRPr="0043456B">
        <w:rPr>
          <w:rFonts w:ascii="Garamond" w:eastAsia="Calibri" w:hAnsi="Garamond" w:cs="Arial"/>
          <w:bCs/>
          <w:sz w:val="24"/>
          <w:szCs w:val="24"/>
          <w:vertAlign w:val="superscript"/>
        </w:rPr>
        <w:endnoteReference w:id="14"/>
      </w:r>
    </w:p>
    <w:p w14:paraId="3EDDD323" w14:textId="77777777" w:rsidR="0043456B" w:rsidRPr="0043456B" w:rsidRDefault="0043456B" w:rsidP="0043456B">
      <w:pPr>
        <w:widowControl/>
        <w:autoSpaceDE/>
        <w:autoSpaceDN/>
        <w:ind w:left="1080"/>
        <w:contextualSpacing/>
        <w:rPr>
          <w:rFonts w:ascii="Garamond" w:eastAsia="Calibri" w:hAnsi="Garamond"/>
          <w:sz w:val="24"/>
          <w:szCs w:val="24"/>
        </w:rPr>
      </w:pPr>
    </w:p>
    <w:p w14:paraId="5EF9AE78" w14:textId="77777777" w:rsidR="0043456B" w:rsidRPr="0043456B" w:rsidRDefault="0043456B" w:rsidP="0043456B">
      <w:pPr>
        <w:widowControl/>
        <w:autoSpaceDE/>
        <w:autoSpaceDN/>
        <w:rPr>
          <w:rFonts w:ascii="Garamond" w:eastAsia="Calibri" w:hAnsi="Garamond" w:cs="Arial"/>
          <w:b/>
          <w:i/>
          <w:sz w:val="24"/>
          <w:szCs w:val="24"/>
        </w:rPr>
      </w:pPr>
      <w:r w:rsidRPr="0043456B">
        <w:rPr>
          <w:rFonts w:ascii="Garamond" w:eastAsia="Calibri" w:hAnsi="Garamond" w:cs="Arial"/>
          <w:b/>
          <w:i/>
          <w:sz w:val="24"/>
          <w:szCs w:val="24"/>
        </w:rPr>
        <w:t>Analysis</w:t>
      </w:r>
    </w:p>
    <w:p w14:paraId="2BA719BF" w14:textId="77777777" w:rsidR="0043456B" w:rsidRPr="0043456B" w:rsidRDefault="0043456B" w:rsidP="0043456B">
      <w:pPr>
        <w:widowControl/>
        <w:autoSpaceDE/>
        <w:autoSpaceDN/>
        <w:rPr>
          <w:rFonts w:ascii="Garamond" w:eastAsia="Calibri" w:hAnsi="Garamond" w:cs="Arial"/>
          <w:bCs/>
          <w:iCs/>
          <w:sz w:val="24"/>
          <w:szCs w:val="24"/>
        </w:rPr>
      </w:pPr>
      <w:r w:rsidRPr="0043456B">
        <w:rPr>
          <w:rFonts w:ascii="Garamond" w:eastAsia="Calibri" w:hAnsi="Garamond" w:cs="Arial"/>
          <w:bCs/>
          <w:iCs/>
          <w:sz w:val="24"/>
          <w:szCs w:val="24"/>
        </w:rPr>
        <w:t>The Applicant outlined a need for adding operating room capacity at NESC to address decreasing OR availability, a result of several elements, and the subsequent decrease in Patient Panel access to NESC’s services. The Applicant demonstrated increasing Patient Panel demand for its services through projected population growth and increasing prevalence of certain conditions that will require the surgical services offered at NESC. Higher rates of chronic diseases in general, better chronic disease management, and the general aging population combined create a greater need for these services</w:t>
      </w:r>
      <w:r w:rsidRPr="0043456B">
        <w:rPr>
          <w:rFonts w:ascii="Garamond" w:eastAsia="Calibri" w:hAnsi="Garamond"/>
          <w:bCs/>
          <w:sz w:val="24"/>
          <w:szCs w:val="24"/>
        </w:rPr>
        <w:t>.</w:t>
      </w:r>
      <w:r w:rsidRPr="0043456B">
        <w:rPr>
          <w:rFonts w:ascii="Garamond" w:eastAsia="Calibri" w:hAnsi="Garamond"/>
          <w:bCs/>
          <w:sz w:val="24"/>
          <w:szCs w:val="24"/>
          <w:vertAlign w:val="superscript"/>
        </w:rPr>
        <w:endnoteReference w:id="15"/>
      </w:r>
      <w:r w:rsidRPr="0043456B">
        <w:rPr>
          <w:rFonts w:ascii="Garamond" w:eastAsia="Calibri" w:hAnsi="Garamond"/>
          <w:bCs/>
          <w:sz w:val="24"/>
          <w:szCs w:val="24"/>
          <w:vertAlign w:val="superscript"/>
        </w:rPr>
        <w:t>,</w:t>
      </w:r>
      <w:r w:rsidRPr="0043456B">
        <w:rPr>
          <w:rFonts w:ascii="Garamond" w:eastAsia="Calibri" w:hAnsi="Garamond"/>
          <w:bCs/>
          <w:sz w:val="24"/>
          <w:szCs w:val="24"/>
          <w:vertAlign w:val="superscript"/>
        </w:rPr>
        <w:endnoteReference w:id="16"/>
      </w:r>
      <w:r w:rsidRPr="0043456B">
        <w:rPr>
          <w:rFonts w:ascii="Garamond" w:eastAsia="Calibri" w:hAnsi="Garamond"/>
          <w:bCs/>
          <w:sz w:val="24"/>
          <w:szCs w:val="24"/>
          <w:vertAlign w:val="superscript"/>
        </w:rPr>
        <w:t xml:space="preserve"> </w:t>
      </w:r>
      <w:r w:rsidRPr="0043456B">
        <w:rPr>
          <w:rFonts w:ascii="Garamond" w:eastAsia="Calibri" w:hAnsi="Garamond" w:cs="Arial"/>
          <w:bCs/>
          <w:iCs/>
          <w:sz w:val="24"/>
          <w:szCs w:val="24"/>
        </w:rPr>
        <w:t xml:space="preserve">NESC outlined the shift it is experiencing to more complex procedures to underscore the need for increasing OR capacity to accommodate additional procedures and to </w:t>
      </w:r>
      <w:proofErr w:type="gramStart"/>
      <w:r w:rsidRPr="0043456B">
        <w:rPr>
          <w:rFonts w:ascii="Garamond" w:eastAsia="Calibri" w:hAnsi="Garamond" w:cs="Arial"/>
          <w:bCs/>
          <w:iCs/>
          <w:sz w:val="24"/>
          <w:szCs w:val="24"/>
        </w:rPr>
        <w:t>more adequately address Patient Panel need</w:t>
      </w:r>
      <w:proofErr w:type="gramEnd"/>
      <w:r w:rsidRPr="0043456B">
        <w:rPr>
          <w:rFonts w:ascii="Garamond" w:eastAsia="Calibri" w:hAnsi="Garamond" w:cs="Arial"/>
          <w:bCs/>
          <w:iCs/>
          <w:sz w:val="24"/>
          <w:szCs w:val="24"/>
        </w:rPr>
        <w:t xml:space="preserve"> for high-quality, timely access to outpatient surgical services. </w:t>
      </w:r>
    </w:p>
    <w:p w14:paraId="44937A4B"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159" w:name="_Toc29755680"/>
      <w:bookmarkStart w:id="160" w:name="_Toc58960214"/>
      <w:bookmarkStart w:id="161" w:name="_Toc17151180"/>
      <w:bookmarkStart w:id="162" w:name="_Toc17322392"/>
      <w:bookmarkStart w:id="163" w:name="_Toc18922408"/>
      <w:bookmarkStart w:id="164" w:name="_Toc17322387"/>
      <w:bookmarkStart w:id="165" w:name="_Toc18922403"/>
      <w:r w:rsidRPr="0043456B">
        <w:rPr>
          <w:rFonts w:ascii="Garamond" w:hAnsi="Garamond"/>
          <w:b/>
          <w:bCs/>
          <w:color w:val="42558C"/>
          <w:sz w:val="28"/>
          <w:szCs w:val="28"/>
        </w:rPr>
        <w:lastRenderedPageBreak/>
        <w:t>Factor 1: b) Public health value, improved health outcomes and quality of life; assurances of health equity</w:t>
      </w:r>
      <w:bookmarkEnd w:id="159"/>
      <w:bookmarkEnd w:id="160"/>
    </w:p>
    <w:bookmarkEnd w:id="161"/>
    <w:bookmarkEnd w:id="162"/>
    <w:bookmarkEnd w:id="163"/>
    <w:bookmarkEnd w:id="164"/>
    <w:bookmarkEnd w:id="165"/>
    <w:p w14:paraId="68C77B24" w14:textId="77777777" w:rsidR="0043456B" w:rsidRPr="0043456B" w:rsidRDefault="0043456B" w:rsidP="0043456B">
      <w:pPr>
        <w:widowControl/>
        <w:numPr>
          <w:ilvl w:val="0"/>
          <w:numId w:val="22"/>
        </w:numPr>
        <w:autoSpaceDE/>
        <w:autoSpaceDN/>
        <w:spacing w:after="200" w:line="276" w:lineRule="auto"/>
        <w:contextualSpacing/>
        <w:rPr>
          <w:rFonts w:ascii="Calibri" w:eastAsia="Calibri" w:hAnsi="Calibri"/>
        </w:rPr>
      </w:pPr>
      <w:r w:rsidRPr="0043456B">
        <w:rPr>
          <w:rFonts w:ascii="Garamond" w:eastAsia="Calibri" w:hAnsi="Garamond" w:cs="Arial"/>
          <w:b/>
          <w:sz w:val="24"/>
          <w:szCs w:val="24"/>
        </w:rPr>
        <w:t>Improved outcomes</w:t>
      </w:r>
      <w:r w:rsidRPr="0043456B">
        <w:rPr>
          <w:rFonts w:ascii="Garamond" w:eastAsia="Calibri" w:hAnsi="Garamond" w:cs="Arial"/>
          <w:bCs/>
          <w:sz w:val="24"/>
          <w:szCs w:val="24"/>
        </w:rPr>
        <w:t xml:space="preserve">- The outpatient surgeries offered at NESC are associated with </w:t>
      </w:r>
      <w:r w:rsidRPr="0043456B">
        <w:rPr>
          <w:rFonts w:ascii="Garamond" w:eastAsia="Calibri" w:hAnsi="Garamond" w:cs="Arial"/>
          <w:bCs/>
          <w:iCs/>
          <w:sz w:val="24"/>
          <w:szCs w:val="24"/>
        </w:rPr>
        <w:t>improved outcomes, including reduced pain and improved functionality.</w:t>
      </w:r>
      <w:r w:rsidRPr="0043456B">
        <w:rPr>
          <w:rFonts w:ascii="Garamond" w:eastAsia="Calibri" w:hAnsi="Garamond" w:cs="Arial"/>
          <w:bCs/>
          <w:iCs/>
          <w:sz w:val="24"/>
          <w:szCs w:val="24"/>
          <w:vertAlign w:val="superscript"/>
        </w:rPr>
        <w:endnoteReference w:id="17"/>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18"/>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19"/>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footnoteReference w:id="23"/>
      </w:r>
      <w:r w:rsidRPr="0043456B">
        <w:rPr>
          <w:rFonts w:ascii="Garamond" w:eastAsia="Calibri" w:hAnsi="Garamond" w:cs="Arial"/>
          <w:bCs/>
          <w:iCs/>
          <w:sz w:val="24"/>
          <w:szCs w:val="24"/>
        </w:rPr>
        <w:t xml:space="preserve"> The Applicant reviewed the benefits of surgeries moving to the ASC setting, including image guided surgery (IGS), which offers 3-dimensional imaging and better visibility in guiding surgical instruments to improve precision, reduce risk of complications and reduce the recovery period.</w:t>
      </w:r>
      <w:r w:rsidRPr="0043456B">
        <w:rPr>
          <w:rFonts w:ascii="Garamond" w:eastAsia="Calibri" w:hAnsi="Garamond" w:cs="Arial"/>
          <w:bCs/>
          <w:iCs/>
          <w:sz w:val="24"/>
          <w:szCs w:val="24"/>
          <w:vertAlign w:val="superscript"/>
        </w:rPr>
        <w:endnoteReference w:id="20"/>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footnoteReference w:id="24"/>
      </w:r>
      <w:r w:rsidRPr="0043456B">
        <w:rPr>
          <w:rFonts w:ascii="Garamond" w:eastAsia="Calibri" w:hAnsi="Garamond" w:cs="Arial"/>
          <w:bCs/>
          <w:iCs/>
          <w:sz w:val="24"/>
          <w:szCs w:val="24"/>
        </w:rPr>
        <w:t xml:space="preserve"> The Applicant also cited reports showing ASCs offer quality outcomes that are comparable to outcomes for outpatient surgery performed in a hospital setting.</w:t>
      </w:r>
      <w:r w:rsidRPr="0043456B">
        <w:rPr>
          <w:rFonts w:ascii="Garamond" w:eastAsia="Calibri" w:hAnsi="Garamond" w:cs="Arial"/>
          <w:bCs/>
          <w:iCs/>
          <w:sz w:val="24"/>
          <w:szCs w:val="24"/>
          <w:vertAlign w:val="superscript"/>
        </w:rPr>
        <w:endnoteReference w:id="21"/>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22"/>
      </w:r>
      <w:r w:rsidRPr="0043456B">
        <w:rPr>
          <w:rFonts w:ascii="Garamond" w:eastAsia="Calibri" w:hAnsi="Garamond" w:cs="Arial"/>
          <w:bCs/>
          <w:iCs/>
          <w:sz w:val="24"/>
          <w:szCs w:val="24"/>
          <w:vertAlign w:val="superscript"/>
        </w:rPr>
        <w:t xml:space="preserve"> </w:t>
      </w:r>
      <w:r w:rsidRPr="0043456B">
        <w:rPr>
          <w:rFonts w:ascii="Garamond" w:eastAsia="Calibri" w:hAnsi="Garamond" w:cs="Arial"/>
          <w:bCs/>
          <w:iCs/>
          <w:sz w:val="24"/>
          <w:szCs w:val="24"/>
        </w:rPr>
        <w:t>Additionally, the shift from prescription opioid medications to surgical procedures to manage chronic pain and reduce opioid prescribing is an important public health goal.</w:t>
      </w:r>
      <w:r w:rsidRPr="0043456B">
        <w:rPr>
          <w:rFonts w:ascii="Garamond" w:eastAsia="Calibri" w:hAnsi="Garamond" w:cs="Arial"/>
          <w:bCs/>
          <w:iCs/>
          <w:sz w:val="24"/>
          <w:szCs w:val="24"/>
          <w:vertAlign w:val="superscript"/>
        </w:rPr>
        <w:t xml:space="preserve"> </w:t>
      </w:r>
      <w:r w:rsidRPr="0043456B">
        <w:rPr>
          <w:rFonts w:ascii="Garamond" w:eastAsia="Calibri" w:hAnsi="Garamond" w:cs="Arial"/>
          <w:bCs/>
          <w:iCs/>
          <w:sz w:val="24"/>
          <w:szCs w:val="24"/>
          <w:vertAlign w:val="superscript"/>
        </w:rPr>
        <w:endnoteReference w:id="23"/>
      </w:r>
    </w:p>
    <w:p w14:paraId="47CC037F" w14:textId="77777777" w:rsidR="0043456B" w:rsidRPr="0043456B" w:rsidRDefault="0043456B" w:rsidP="0043456B">
      <w:pPr>
        <w:widowControl/>
        <w:numPr>
          <w:ilvl w:val="0"/>
          <w:numId w:val="22"/>
        </w:numPr>
        <w:shd w:val="clear" w:color="auto" w:fill="FFFFFF"/>
        <w:autoSpaceDE/>
        <w:autoSpaceDN/>
        <w:spacing w:after="200" w:line="276" w:lineRule="auto"/>
        <w:contextualSpacing/>
        <w:rPr>
          <w:rFonts w:ascii="Garamond" w:eastAsia="Calibri" w:hAnsi="Garamond"/>
          <w:b/>
          <w:sz w:val="24"/>
          <w:szCs w:val="24"/>
        </w:rPr>
      </w:pPr>
      <w:r w:rsidRPr="0043456B">
        <w:rPr>
          <w:rFonts w:ascii="Garamond" w:eastAsia="Calibri" w:hAnsi="Garamond"/>
          <w:b/>
          <w:sz w:val="24"/>
          <w:szCs w:val="24"/>
        </w:rPr>
        <w:t>Improved patient experience</w:t>
      </w:r>
      <w:bookmarkStart w:id="166" w:name="_Toc17149377"/>
      <w:bookmarkStart w:id="167" w:name="_Toc17151181"/>
      <w:r w:rsidRPr="0043456B">
        <w:rPr>
          <w:rFonts w:ascii="Garamond" w:eastAsia="Calibri" w:hAnsi="Garamond"/>
          <w:b/>
          <w:sz w:val="24"/>
          <w:szCs w:val="24"/>
        </w:rPr>
        <w:t xml:space="preserve"> - </w:t>
      </w:r>
      <w:r w:rsidRPr="0043456B">
        <w:rPr>
          <w:rFonts w:ascii="Garamond" w:eastAsia="Calibri" w:hAnsi="Garamond"/>
          <w:sz w:val="24"/>
          <w:szCs w:val="24"/>
        </w:rPr>
        <w:t>Provision of care in the ASC setting is associated with enhanced convenience and satisfaction for patients. ASCs offer convenient locations that are easier to navigate than hospital structures, including simpler scheduling of procedures, shorter wait times, and improved accessibility to physicians.</w:t>
      </w:r>
      <w:r w:rsidRPr="0043456B">
        <w:rPr>
          <w:rFonts w:ascii="Garamond" w:eastAsia="Calibri" w:hAnsi="Garamond" w:cs="Arial"/>
          <w:bCs/>
          <w:sz w:val="24"/>
          <w:szCs w:val="24"/>
          <w:vertAlign w:val="superscript"/>
        </w:rPr>
        <w:endnoteReference w:id="24"/>
      </w:r>
      <w:r w:rsidRPr="0043456B">
        <w:rPr>
          <w:rFonts w:ascii="Garamond" w:eastAsia="Calibri" w:hAnsi="Garamond"/>
          <w:sz w:val="24"/>
          <w:szCs w:val="24"/>
          <w:vertAlign w:val="superscript"/>
        </w:rPr>
        <w:t>,</w:t>
      </w:r>
      <w:r w:rsidRPr="0043456B">
        <w:rPr>
          <w:rFonts w:ascii="Garamond" w:eastAsia="Calibri" w:hAnsi="Garamond" w:cs="Arial"/>
          <w:bCs/>
          <w:sz w:val="24"/>
          <w:szCs w:val="24"/>
          <w:vertAlign w:val="superscript"/>
        </w:rPr>
        <w:endnoteReference w:id="25"/>
      </w:r>
      <w:r w:rsidRPr="0043456B">
        <w:rPr>
          <w:rFonts w:ascii="Garamond" w:eastAsia="Calibri" w:hAnsi="Garamond"/>
          <w:sz w:val="24"/>
          <w:szCs w:val="24"/>
          <w:vertAlign w:val="superscript"/>
        </w:rPr>
        <w:t>,</w:t>
      </w:r>
      <w:r w:rsidRPr="0043456B">
        <w:rPr>
          <w:rFonts w:ascii="Garamond" w:eastAsia="Calibri" w:hAnsi="Garamond" w:cs="Arial"/>
          <w:bCs/>
          <w:sz w:val="24"/>
          <w:szCs w:val="24"/>
          <w:vertAlign w:val="superscript"/>
        </w:rPr>
        <w:endnoteReference w:id="26"/>
      </w:r>
      <w:r w:rsidRPr="0043456B">
        <w:rPr>
          <w:rFonts w:ascii="Garamond" w:eastAsia="Calibri" w:hAnsi="Garamond"/>
          <w:sz w:val="24"/>
          <w:szCs w:val="24"/>
          <w:vertAlign w:val="superscript"/>
        </w:rPr>
        <w:t xml:space="preserve">  </w:t>
      </w:r>
      <w:r w:rsidRPr="0043456B">
        <w:rPr>
          <w:rFonts w:ascii="Garamond" w:eastAsia="Calibri" w:hAnsi="Garamond"/>
          <w:sz w:val="24"/>
          <w:szCs w:val="24"/>
        </w:rPr>
        <w:t xml:space="preserve">These qualities may be particularly relevant for patients </w:t>
      </w:r>
      <w:proofErr w:type="gramStart"/>
      <w:r w:rsidRPr="0043456B">
        <w:rPr>
          <w:rFonts w:ascii="Garamond" w:eastAsia="Calibri" w:hAnsi="Garamond"/>
          <w:sz w:val="24"/>
          <w:szCs w:val="24"/>
        </w:rPr>
        <w:t>age</w:t>
      </w:r>
      <w:proofErr w:type="gramEnd"/>
      <w:r w:rsidRPr="0043456B">
        <w:rPr>
          <w:rFonts w:ascii="Garamond" w:eastAsia="Calibri" w:hAnsi="Garamond"/>
          <w:sz w:val="24"/>
          <w:szCs w:val="24"/>
        </w:rPr>
        <w:t xml:space="preserve"> 65 and over, who find both access to, and the experience of the freestanding ASC less complicated than the hospital setting.</w:t>
      </w:r>
      <w:r w:rsidRPr="0043456B">
        <w:rPr>
          <w:rFonts w:ascii="Garamond" w:eastAsia="Calibri" w:hAnsi="Garamond"/>
          <w:sz w:val="24"/>
          <w:szCs w:val="24"/>
          <w:vertAlign w:val="superscript"/>
        </w:rPr>
        <w:endnoteReference w:id="27"/>
      </w:r>
      <w:r w:rsidRPr="0043456B">
        <w:rPr>
          <w:rFonts w:ascii="Garamond" w:eastAsia="Calibri" w:hAnsi="Garamond"/>
          <w:sz w:val="24"/>
          <w:szCs w:val="24"/>
        </w:rPr>
        <w:t xml:space="preserve"> </w:t>
      </w:r>
    </w:p>
    <w:p w14:paraId="78AEFCCB" w14:textId="77777777" w:rsidR="0043456B" w:rsidRPr="0043456B" w:rsidRDefault="0043456B" w:rsidP="0043456B">
      <w:pPr>
        <w:widowControl/>
        <w:numPr>
          <w:ilvl w:val="0"/>
          <w:numId w:val="9"/>
        </w:numPr>
        <w:shd w:val="clear" w:color="auto" w:fill="FFFFFF"/>
        <w:autoSpaceDE/>
        <w:autoSpaceDN/>
        <w:spacing w:after="200" w:line="276" w:lineRule="auto"/>
        <w:contextualSpacing/>
        <w:rPr>
          <w:rFonts w:ascii="Garamond" w:eastAsia="Calibri" w:hAnsi="Garamond" w:cs="Arial"/>
          <w:bCs/>
          <w:iCs/>
          <w:sz w:val="24"/>
          <w:szCs w:val="24"/>
        </w:rPr>
      </w:pPr>
      <w:r w:rsidRPr="0043456B">
        <w:rPr>
          <w:rFonts w:ascii="Garamond" w:eastAsia="Calibri" w:hAnsi="Garamond" w:cs="Arial"/>
          <w:b/>
          <w:iCs/>
          <w:sz w:val="24"/>
          <w:szCs w:val="24"/>
        </w:rPr>
        <w:t xml:space="preserve">Regulatory Oversight - </w:t>
      </w:r>
      <w:r w:rsidRPr="0043456B">
        <w:rPr>
          <w:rFonts w:ascii="Garamond" w:eastAsia="Calibri" w:hAnsi="Garamond" w:cs="Arial"/>
          <w:bCs/>
          <w:sz w:val="24"/>
          <w:szCs w:val="24"/>
        </w:rPr>
        <w:t xml:space="preserve">The Applicant conducts regular assessments of quality of care through required reporting for certification by CMS and accreditation by AAAHC. The Applicant </w:t>
      </w:r>
      <w:r w:rsidRPr="0043456B">
        <w:rPr>
          <w:rFonts w:ascii="Garamond" w:eastAsia="Calibri" w:hAnsi="Garamond" w:cs="Arial"/>
          <w:bCs/>
          <w:iCs/>
          <w:sz w:val="24"/>
          <w:szCs w:val="24"/>
        </w:rPr>
        <w:t xml:space="preserve">demonstrates favorable metrics for its 2017 and 2018 reporting through Medicare’s Ambulatory Surgical Center Quality Reporting (ASCQR) Program. </w:t>
      </w:r>
      <w:r w:rsidRPr="0043456B">
        <w:rPr>
          <w:rFonts w:ascii="Garamond" w:eastAsia="Calibri" w:hAnsi="Garamond"/>
          <w:sz w:val="24"/>
          <w:szCs w:val="24"/>
        </w:rPr>
        <w:t>The Applicant submitted patient satisfaction measures collected from patients after discharge from the period March 2017 to September 2019 in accordance with CMS and AAAHC requirements. Survey results indicate high levels of satisfaction with treatment.</w:t>
      </w:r>
      <w:r w:rsidRPr="0043456B">
        <w:rPr>
          <w:rFonts w:ascii="Garamond" w:eastAsia="Calibri" w:hAnsi="Garamond"/>
          <w:sz w:val="24"/>
          <w:szCs w:val="24"/>
          <w:vertAlign w:val="superscript"/>
        </w:rPr>
        <w:footnoteReference w:id="25"/>
      </w:r>
      <w:r w:rsidRPr="0043456B">
        <w:rPr>
          <w:rFonts w:ascii="Garamond" w:eastAsia="Calibri" w:hAnsi="Garamond"/>
          <w:sz w:val="24"/>
          <w:szCs w:val="24"/>
        </w:rPr>
        <w:t xml:space="preserve"> </w:t>
      </w:r>
    </w:p>
    <w:p w14:paraId="6C24F9E5" w14:textId="77777777" w:rsidR="0043456B" w:rsidRPr="0043456B" w:rsidRDefault="0043456B" w:rsidP="0043456B">
      <w:pPr>
        <w:widowControl/>
        <w:shd w:val="clear" w:color="auto" w:fill="FFFFFF"/>
        <w:autoSpaceDE/>
        <w:autoSpaceDN/>
        <w:ind w:left="360"/>
        <w:contextualSpacing/>
        <w:rPr>
          <w:rFonts w:ascii="Garamond" w:eastAsia="Calibri" w:hAnsi="Garamond" w:cs="Arial"/>
          <w:bCs/>
          <w:iCs/>
          <w:sz w:val="24"/>
          <w:szCs w:val="24"/>
        </w:rPr>
      </w:pPr>
    </w:p>
    <w:p w14:paraId="6193B3A9" w14:textId="77777777" w:rsidR="0043456B" w:rsidRPr="0043456B" w:rsidRDefault="0043456B" w:rsidP="0043456B">
      <w:pPr>
        <w:widowControl/>
        <w:autoSpaceDE/>
        <w:autoSpaceDN/>
        <w:contextualSpacing/>
        <w:rPr>
          <w:rFonts w:ascii="Garamond" w:eastAsia="Calibri" w:hAnsi="Garamond"/>
          <w:b/>
          <w:i/>
          <w:sz w:val="24"/>
          <w:szCs w:val="24"/>
        </w:rPr>
      </w:pPr>
      <w:r w:rsidRPr="0043456B">
        <w:rPr>
          <w:rFonts w:ascii="Garamond" w:eastAsia="Calibri" w:hAnsi="Garamond"/>
          <w:b/>
          <w:i/>
          <w:sz w:val="24"/>
          <w:szCs w:val="24"/>
        </w:rPr>
        <w:t>Analysis</w:t>
      </w:r>
    </w:p>
    <w:p w14:paraId="7A6042C4" w14:textId="77777777" w:rsidR="0043456B" w:rsidRPr="0043456B" w:rsidRDefault="0043456B" w:rsidP="0043456B">
      <w:pPr>
        <w:widowControl/>
        <w:autoSpaceDE/>
        <w:autoSpaceDN/>
        <w:rPr>
          <w:rFonts w:ascii="Garamond" w:eastAsia="Calibri" w:hAnsi="Garamond" w:cs="Arial"/>
          <w:bCs/>
          <w:iCs/>
          <w:sz w:val="24"/>
          <w:szCs w:val="24"/>
        </w:rPr>
      </w:pPr>
      <w:r w:rsidRPr="0043456B">
        <w:rPr>
          <w:rFonts w:ascii="Garamond" w:eastAsia="Calibri" w:hAnsi="Garamond" w:cs="Arial"/>
          <w:bCs/>
          <w:iCs/>
          <w:sz w:val="24"/>
          <w:szCs w:val="24"/>
        </w:rPr>
        <w:t>Access to healthcare is associated with improved outcomes and can reduce the need for additional care.</w:t>
      </w:r>
      <w:r w:rsidRPr="0043456B">
        <w:rPr>
          <w:rFonts w:ascii="Garamond" w:eastAsia="Calibri" w:hAnsi="Garamond" w:cs="Arial"/>
          <w:bCs/>
          <w:iCs/>
          <w:sz w:val="24"/>
          <w:szCs w:val="24"/>
          <w:vertAlign w:val="superscript"/>
        </w:rPr>
        <w:endnoteReference w:id="28"/>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29"/>
      </w:r>
      <w:r w:rsidRPr="0043456B">
        <w:rPr>
          <w:rFonts w:ascii="Garamond" w:eastAsia="Calibri" w:hAnsi="Garamond" w:cs="Arial"/>
          <w:bCs/>
          <w:iCs/>
          <w:sz w:val="24"/>
          <w:szCs w:val="24"/>
        </w:rPr>
        <w:t xml:space="preserve"> Shorter  wait times for procedures are correlated with increased patient satisfaction and lower rates of complications.</w:t>
      </w:r>
      <w:r w:rsidRPr="0043456B">
        <w:rPr>
          <w:rFonts w:ascii="Garamond" w:eastAsia="Calibri" w:hAnsi="Garamond" w:cs="Arial"/>
          <w:bCs/>
          <w:iCs/>
          <w:sz w:val="24"/>
          <w:szCs w:val="24"/>
          <w:vertAlign w:val="superscript"/>
        </w:rPr>
        <w:endnoteReference w:id="30"/>
      </w:r>
      <w:r w:rsidRPr="0043456B">
        <w:rPr>
          <w:rFonts w:ascii="Garamond" w:eastAsia="Calibri" w:hAnsi="Garamond" w:cs="Arial"/>
          <w:bCs/>
          <w:iCs/>
          <w:sz w:val="24"/>
          <w:szCs w:val="24"/>
        </w:rPr>
        <w:t xml:space="preserve"> </w:t>
      </w:r>
      <w:bookmarkStart w:id="168" w:name="_Hlk55729461"/>
      <w:r w:rsidRPr="0043456B">
        <w:rPr>
          <w:rFonts w:ascii="Garamond" w:eastAsia="Calibri" w:hAnsi="Garamond" w:cs="Arial"/>
          <w:bCs/>
          <w:iCs/>
          <w:sz w:val="24"/>
          <w:szCs w:val="24"/>
        </w:rPr>
        <w:t xml:space="preserve">Additionally, </w:t>
      </w:r>
      <w:r w:rsidRPr="0043456B">
        <w:rPr>
          <w:rFonts w:ascii="Garamond" w:eastAsia="Calibri" w:hAnsi="Garamond"/>
          <w:bCs/>
          <w:sz w:val="24"/>
          <w:szCs w:val="24"/>
        </w:rPr>
        <w:t>staff research found that surgeries performed in an ASC outpatient setting can result in fewer and lower infection rates than hospitals.</w:t>
      </w:r>
      <w:r w:rsidRPr="0043456B">
        <w:rPr>
          <w:rFonts w:ascii="Garamond" w:eastAsia="Calibri" w:hAnsi="Garamond"/>
          <w:bCs/>
          <w:sz w:val="24"/>
          <w:szCs w:val="24"/>
          <w:vertAlign w:val="superscript"/>
        </w:rPr>
        <w:endnoteReference w:id="31"/>
      </w:r>
      <w:r w:rsidRPr="0043456B">
        <w:rPr>
          <w:rFonts w:ascii="Garamond" w:eastAsia="Calibri" w:hAnsi="Garamond"/>
          <w:bCs/>
          <w:sz w:val="24"/>
          <w:szCs w:val="24"/>
          <w:vertAlign w:val="superscript"/>
        </w:rPr>
        <w:t>,</w:t>
      </w:r>
      <w:r w:rsidRPr="0043456B">
        <w:rPr>
          <w:rFonts w:ascii="Garamond" w:eastAsia="Calibri" w:hAnsi="Garamond"/>
          <w:bCs/>
          <w:sz w:val="24"/>
          <w:szCs w:val="24"/>
          <w:vertAlign w:val="superscript"/>
        </w:rPr>
        <w:endnoteReference w:id="32"/>
      </w:r>
      <w:r w:rsidRPr="0043456B">
        <w:rPr>
          <w:rFonts w:ascii="Garamond" w:eastAsia="Calibri" w:hAnsi="Garamond"/>
          <w:bCs/>
          <w:sz w:val="24"/>
          <w:szCs w:val="24"/>
        </w:rPr>
        <w:t xml:space="preserve"> </w:t>
      </w:r>
      <w:r w:rsidRPr="0043456B">
        <w:rPr>
          <w:rFonts w:ascii="Garamond" w:eastAsia="Calibri" w:hAnsi="Garamond" w:cs="Arial"/>
          <w:bCs/>
          <w:iCs/>
          <w:sz w:val="24"/>
          <w:szCs w:val="24"/>
        </w:rPr>
        <w:t xml:space="preserve">ASCs are regulated to ensure the delivery of quality care, and NESC cited several reporting processes that assess quality of care, patient satisfaction and outcomes. </w:t>
      </w:r>
    </w:p>
    <w:p w14:paraId="59EE5A61" w14:textId="77777777" w:rsidR="0043456B" w:rsidRPr="0043456B" w:rsidRDefault="0043456B" w:rsidP="0043456B">
      <w:pPr>
        <w:widowControl/>
        <w:autoSpaceDE/>
        <w:autoSpaceDN/>
        <w:rPr>
          <w:rFonts w:ascii="Garamond" w:eastAsia="Calibri" w:hAnsi="Garamond" w:cs="Arial"/>
          <w:bCs/>
          <w:iCs/>
          <w:sz w:val="24"/>
          <w:szCs w:val="24"/>
        </w:rPr>
      </w:pPr>
    </w:p>
    <w:bookmarkEnd w:id="168"/>
    <w:p w14:paraId="280E1AC6" w14:textId="77777777" w:rsidR="0043456B" w:rsidRPr="0043456B" w:rsidRDefault="0043456B" w:rsidP="0043456B">
      <w:pPr>
        <w:widowControl/>
        <w:autoSpaceDE/>
        <w:autoSpaceDN/>
        <w:rPr>
          <w:rFonts w:ascii="Garamond" w:eastAsia="Calibri" w:hAnsi="Garamond"/>
          <w:sz w:val="24"/>
          <w:szCs w:val="24"/>
        </w:rPr>
      </w:pPr>
    </w:p>
    <w:p w14:paraId="4025E81C" w14:textId="77777777" w:rsidR="0043456B" w:rsidRPr="0043456B" w:rsidRDefault="0043456B" w:rsidP="0043456B">
      <w:pPr>
        <w:widowControl/>
        <w:autoSpaceDE/>
        <w:autoSpaceDN/>
        <w:rPr>
          <w:rFonts w:ascii="Garamond" w:eastAsia="Calibri" w:hAnsi="Garamond" w:cs="Arial"/>
          <w:b/>
          <w:bCs/>
          <w:sz w:val="24"/>
          <w:szCs w:val="24"/>
        </w:rPr>
      </w:pPr>
      <w:r w:rsidRPr="0043456B">
        <w:rPr>
          <w:rFonts w:ascii="Garamond" w:eastAsia="Calibri" w:hAnsi="Garamond" w:cs="Arial"/>
          <w:b/>
          <w:bCs/>
          <w:sz w:val="24"/>
          <w:szCs w:val="24"/>
        </w:rPr>
        <w:t xml:space="preserve">Health Equity and Social Determinants of Health (SDOH) </w:t>
      </w:r>
    </w:p>
    <w:p w14:paraId="09464D45" w14:textId="77777777" w:rsidR="0043456B" w:rsidRPr="0043456B" w:rsidRDefault="0043456B" w:rsidP="0043456B">
      <w:pPr>
        <w:widowControl/>
        <w:autoSpaceDE/>
        <w:autoSpaceDN/>
        <w:ind w:left="720"/>
        <w:contextualSpacing/>
        <w:rPr>
          <w:rFonts w:ascii="Garamond" w:eastAsia="Calibri" w:hAnsi="Garamond"/>
          <w:sz w:val="24"/>
          <w:szCs w:val="24"/>
        </w:rPr>
      </w:pPr>
    </w:p>
    <w:p w14:paraId="690F1466" w14:textId="77777777" w:rsidR="0043456B" w:rsidRPr="0043456B" w:rsidRDefault="0043456B" w:rsidP="0043456B">
      <w:pPr>
        <w:widowControl/>
        <w:autoSpaceDE/>
        <w:autoSpaceDN/>
        <w:contextualSpacing/>
        <w:rPr>
          <w:rFonts w:ascii="Garamond" w:eastAsia="Calibri" w:hAnsi="Garamond" w:cs="Arial"/>
          <w:b/>
          <w:bCs/>
          <w:sz w:val="24"/>
          <w:szCs w:val="24"/>
        </w:rPr>
      </w:pPr>
      <w:r w:rsidRPr="0043456B">
        <w:rPr>
          <w:rFonts w:ascii="Garamond" w:eastAsia="Calibri" w:hAnsi="Garamond" w:cs="Arial"/>
          <w:b/>
          <w:bCs/>
          <w:sz w:val="24"/>
          <w:szCs w:val="24"/>
        </w:rPr>
        <w:t xml:space="preserve">Interpretation and Translation Services </w:t>
      </w:r>
    </w:p>
    <w:p w14:paraId="028E8013"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 xml:space="preserve">The Applicant offers an Interpreter Services Program that will be accessible to all patients receiving care in the proposed operating room. Information on interpreter services is provided on the facility’s website. In addition, the preoperative website One Medical Passport provides the option for patients to register and create an account in their primary language and asks about a patient’s need for language assistance. The Applicant states that 100% of </w:t>
      </w:r>
      <w:r w:rsidRPr="0043456B">
        <w:rPr>
          <w:rFonts w:ascii="Garamond" w:eastAsia="Calibri" w:hAnsi="Garamond" w:cs="Arial"/>
          <w:sz w:val="24"/>
          <w:szCs w:val="24"/>
        </w:rPr>
        <w:lastRenderedPageBreak/>
        <w:t xml:space="preserve">interpreter services are provided via video or telephone and does not anticipate this changing. The Applicant contacts the Massachusetts Commission for the Deaf and Hard of Hearing to access interpreters for patients who require them. Currently, phone and video interpretive services for spoken language are provided by </w:t>
      </w:r>
      <w:proofErr w:type="spellStart"/>
      <w:r w:rsidRPr="0043456B">
        <w:rPr>
          <w:rFonts w:ascii="Garamond" w:eastAsia="Calibri" w:hAnsi="Garamond" w:cs="Arial"/>
          <w:sz w:val="24"/>
          <w:szCs w:val="24"/>
        </w:rPr>
        <w:t>CyraCom</w:t>
      </w:r>
      <w:proofErr w:type="spellEnd"/>
      <w:r w:rsidRPr="0043456B">
        <w:rPr>
          <w:rFonts w:ascii="Garamond" w:eastAsia="Calibri" w:hAnsi="Garamond" w:cs="Arial"/>
          <w:sz w:val="24"/>
          <w:szCs w:val="24"/>
        </w:rPr>
        <w:t xml:space="preserve"> are available for pre- and post-operative visits, and phone calls with patients. A remote video device and dual handset phone are stationed in the surgical area for easy access. The Applicant states that it discontinued in-person interpretation because it was cost prohibitive. After a review of language access services offered at local hospitals, it engaged </w:t>
      </w:r>
      <w:proofErr w:type="spellStart"/>
      <w:r w:rsidRPr="0043456B">
        <w:rPr>
          <w:rFonts w:ascii="Garamond" w:eastAsia="Calibri" w:hAnsi="Garamond" w:cs="Arial"/>
          <w:sz w:val="24"/>
          <w:szCs w:val="24"/>
        </w:rPr>
        <w:t>Cyracom</w:t>
      </w:r>
      <w:proofErr w:type="spellEnd"/>
      <w:r w:rsidRPr="0043456B">
        <w:rPr>
          <w:rFonts w:ascii="Garamond" w:eastAsia="Calibri" w:hAnsi="Garamond" w:cs="Arial"/>
          <w:sz w:val="24"/>
          <w:szCs w:val="24"/>
        </w:rPr>
        <w:t xml:space="preserve"> because it is cost-effective and easily available for use with patients. One percent of patients reported Spanish as a primary language and less than 1% reported Portuguese as a primary language.</w:t>
      </w:r>
      <w:r w:rsidRPr="0043456B">
        <w:rPr>
          <w:rFonts w:ascii="Garamond" w:eastAsia="Calibri" w:hAnsi="Garamond" w:cs="Arial"/>
          <w:sz w:val="24"/>
          <w:szCs w:val="24"/>
          <w:vertAlign w:val="superscript"/>
        </w:rPr>
        <w:footnoteReference w:id="26"/>
      </w:r>
      <w:r w:rsidRPr="0043456B">
        <w:rPr>
          <w:rFonts w:ascii="Garamond" w:eastAsia="Calibri" w:hAnsi="Garamond" w:cs="Arial"/>
          <w:sz w:val="24"/>
          <w:szCs w:val="24"/>
        </w:rPr>
        <w:t xml:space="preserve"> </w:t>
      </w:r>
      <w:proofErr w:type="gramStart"/>
      <w:r w:rsidRPr="0043456B">
        <w:rPr>
          <w:rFonts w:ascii="Garamond" w:eastAsia="Calibri" w:hAnsi="Garamond" w:cs="Arial"/>
          <w:sz w:val="24"/>
          <w:szCs w:val="24"/>
        </w:rPr>
        <w:t>Pre- and</w:t>
      </w:r>
      <w:proofErr w:type="gramEnd"/>
      <w:r w:rsidRPr="0043456B">
        <w:rPr>
          <w:rFonts w:ascii="Garamond" w:eastAsia="Calibri" w:hAnsi="Garamond" w:cs="Arial"/>
          <w:sz w:val="24"/>
          <w:szCs w:val="24"/>
        </w:rPr>
        <w:t xml:space="preserve"> post-procedure documents are routinely available in Spanish and can be translated into other languages as needed. The Applicant tracks patient utilization of interpreter services through </w:t>
      </w:r>
      <w:proofErr w:type="spellStart"/>
      <w:r w:rsidRPr="0043456B">
        <w:rPr>
          <w:rFonts w:ascii="Garamond" w:eastAsia="Calibri" w:hAnsi="Garamond" w:cs="Arial"/>
          <w:sz w:val="24"/>
          <w:szCs w:val="24"/>
        </w:rPr>
        <w:t>Cyracom</w:t>
      </w:r>
      <w:proofErr w:type="spellEnd"/>
      <w:r w:rsidRPr="0043456B">
        <w:rPr>
          <w:rFonts w:ascii="Garamond" w:eastAsia="Calibri" w:hAnsi="Garamond" w:cs="Arial"/>
          <w:sz w:val="24"/>
          <w:szCs w:val="24"/>
        </w:rPr>
        <w:t xml:space="preserve"> billing and patient self-reporting on the One Medical Passport pre-operative questionnaire. The Applicant has posted and made available posters about COVID-19 intake and care in the languages most frequently used by patients.   </w:t>
      </w:r>
    </w:p>
    <w:p w14:paraId="2FD40569" w14:textId="77777777" w:rsidR="0043456B" w:rsidRPr="0043456B" w:rsidRDefault="0043456B" w:rsidP="0043456B">
      <w:pPr>
        <w:widowControl/>
        <w:autoSpaceDE/>
        <w:autoSpaceDN/>
        <w:contextualSpacing/>
        <w:rPr>
          <w:rFonts w:ascii="Garamond" w:eastAsia="Calibri" w:hAnsi="Garamond" w:cs="Arial"/>
          <w:sz w:val="24"/>
          <w:szCs w:val="24"/>
        </w:rPr>
      </w:pPr>
    </w:p>
    <w:p w14:paraId="73E062F0"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In response to staff inquiry about CLAS initiatives, the Applicant asserted the facility does not discriminate based on race, education, health literacy, age, sexual orientation, ethnicity, religion, physical or mental disability, language, gender expression, identity, income, or class.</w:t>
      </w:r>
      <w:r w:rsidRPr="0043456B">
        <w:rPr>
          <w:rFonts w:ascii="Garamond" w:eastAsia="Calibri" w:hAnsi="Garamond" w:cs="Arial"/>
          <w:sz w:val="24"/>
          <w:szCs w:val="24"/>
          <w:vertAlign w:val="superscript"/>
        </w:rPr>
        <w:footnoteReference w:id="27"/>
      </w:r>
      <w:r w:rsidRPr="0043456B">
        <w:rPr>
          <w:rFonts w:ascii="Garamond" w:eastAsia="Calibri" w:hAnsi="Garamond" w:cs="Arial"/>
          <w:sz w:val="24"/>
          <w:szCs w:val="24"/>
        </w:rPr>
        <w:t xml:space="preserve"> Annual diversity training is provided for all staff, surgeons, and new hires through HealthStream. Training is reviewed annually and updated to ensure relevance. Yearly sexual harassment training is provided through Paychex and surgeons are provided with written training materials. The Applicant states the Governing Board reviews all training annually. The facility is ADA compliant, and accommodations for patients with disabilities are assessed during pre-operative phone calls, including need for any assistance required for moving throughout the facility, such as use of a walker/wheelchair, and hearing and/or visual impairments.  </w:t>
      </w:r>
    </w:p>
    <w:p w14:paraId="02408136" w14:textId="77777777" w:rsidR="0043456B" w:rsidRPr="0043456B" w:rsidRDefault="0043456B" w:rsidP="0043456B">
      <w:pPr>
        <w:widowControl/>
        <w:autoSpaceDE/>
        <w:autoSpaceDN/>
        <w:contextualSpacing/>
        <w:rPr>
          <w:rFonts w:ascii="Garamond" w:eastAsia="Calibri" w:hAnsi="Garamond" w:cs="Arial"/>
          <w:sz w:val="24"/>
          <w:szCs w:val="24"/>
        </w:rPr>
      </w:pPr>
    </w:p>
    <w:p w14:paraId="7FA99701" w14:textId="77777777" w:rsidR="0043456B" w:rsidRPr="0043456B" w:rsidRDefault="0043456B" w:rsidP="0043456B">
      <w:pPr>
        <w:widowControl/>
        <w:autoSpaceDE/>
        <w:autoSpaceDN/>
        <w:spacing w:after="200"/>
        <w:rPr>
          <w:rFonts w:ascii="Garamond" w:eastAsia="Calibri" w:hAnsi="Garamond" w:cs="Arial"/>
          <w:b/>
          <w:bCs/>
          <w:sz w:val="24"/>
          <w:szCs w:val="24"/>
        </w:rPr>
      </w:pPr>
      <w:r w:rsidRPr="0043456B">
        <w:rPr>
          <w:rFonts w:ascii="Garamond" w:eastAsia="Calibri" w:hAnsi="Garamond" w:cs="Arial"/>
          <w:b/>
          <w:bCs/>
          <w:sz w:val="24"/>
          <w:szCs w:val="24"/>
        </w:rPr>
        <w:t>Social Determinants of Health (</w:t>
      </w:r>
      <w:proofErr w:type="spellStart"/>
      <w:r w:rsidRPr="0043456B">
        <w:rPr>
          <w:rFonts w:ascii="Garamond" w:eastAsia="Calibri" w:hAnsi="Garamond" w:cs="Arial"/>
          <w:b/>
          <w:bCs/>
          <w:sz w:val="24"/>
          <w:szCs w:val="24"/>
        </w:rPr>
        <w:t>SDoH</w:t>
      </w:r>
      <w:proofErr w:type="spellEnd"/>
      <w:r w:rsidRPr="0043456B">
        <w:rPr>
          <w:rFonts w:ascii="Garamond" w:eastAsia="Calibri" w:hAnsi="Garamond" w:cs="Arial"/>
          <w:b/>
          <w:bCs/>
          <w:sz w:val="24"/>
          <w:szCs w:val="24"/>
        </w:rPr>
        <w:t>) Screening</w:t>
      </w:r>
    </w:p>
    <w:p w14:paraId="28130FE2" w14:textId="77777777" w:rsidR="0043456B" w:rsidRPr="0043456B" w:rsidRDefault="0043456B" w:rsidP="0043456B">
      <w:pPr>
        <w:widowControl/>
        <w:autoSpaceDE/>
        <w:autoSpaceDN/>
        <w:rPr>
          <w:rFonts w:ascii="Garamond" w:eastAsia="Calibri" w:hAnsi="Garamond" w:cs="Arial"/>
          <w:sz w:val="24"/>
          <w:szCs w:val="24"/>
        </w:rPr>
      </w:pPr>
      <w:r w:rsidRPr="0043456B">
        <w:rPr>
          <w:rFonts w:ascii="Garamond" w:eastAsia="Calibri" w:hAnsi="Garamond" w:cs="Arial"/>
          <w:sz w:val="24"/>
          <w:szCs w:val="24"/>
        </w:rPr>
        <w:t xml:space="preserve">The Applicant is a physician-owned, free-standing ASC that is not affiliated with an accountable care organization (ACO) or aligned with social services or </w:t>
      </w:r>
      <w:proofErr w:type="gramStart"/>
      <w:r w:rsidRPr="0043456B">
        <w:rPr>
          <w:rFonts w:ascii="Garamond" w:eastAsia="Calibri" w:hAnsi="Garamond" w:cs="Arial"/>
          <w:sz w:val="24"/>
          <w:szCs w:val="24"/>
        </w:rPr>
        <w:t>community based</w:t>
      </w:r>
      <w:proofErr w:type="gramEnd"/>
      <w:r w:rsidRPr="0043456B">
        <w:rPr>
          <w:rFonts w:ascii="Garamond" w:eastAsia="Calibri" w:hAnsi="Garamond" w:cs="Arial"/>
          <w:sz w:val="24"/>
          <w:szCs w:val="24"/>
        </w:rPr>
        <w:t xml:space="preserve"> experts. A pre-operative questionnaire provided by NESC and completed by patients contains questions evaluating social service needs. Information identified in the questionnaire </w:t>
      </w:r>
      <w:proofErr w:type="gramStart"/>
      <w:r w:rsidRPr="0043456B">
        <w:rPr>
          <w:rFonts w:ascii="Garamond" w:eastAsia="Calibri" w:hAnsi="Garamond" w:cs="Arial"/>
          <w:sz w:val="24"/>
          <w:szCs w:val="24"/>
        </w:rPr>
        <w:t>include:</w:t>
      </w:r>
      <w:proofErr w:type="gramEnd"/>
      <w:r w:rsidRPr="0043456B">
        <w:rPr>
          <w:rFonts w:ascii="Garamond" w:eastAsia="Calibri" w:hAnsi="Garamond" w:cs="Arial"/>
          <w:sz w:val="24"/>
          <w:szCs w:val="24"/>
        </w:rPr>
        <w:t xml:space="preserve"> identifying the person who will be escorting the patient home after surgery and remaining at home with the patient for the first 24 hours, smoking habits, alcohol or drug use, level of physical activity, and whether the patient feels safe at home or suffers abuse. If abuse is indicated in the patient’s responses, the patient is directed to contact SafeLink, the Massachusetts’ statewide 24/7 toll-free domestic violence hotline. Positive social needs screens are referred to the primary care physician (PCP) who then follows up with the patient. </w:t>
      </w:r>
    </w:p>
    <w:bookmarkEnd w:id="166"/>
    <w:bookmarkEnd w:id="167"/>
    <w:p w14:paraId="7E5507B9" w14:textId="77777777" w:rsidR="0043456B" w:rsidRPr="0043456B" w:rsidRDefault="0043456B" w:rsidP="0043456B">
      <w:pPr>
        <w:widowControl/>
        <w:autoSpaceDE/>
        <w:autoSpaceDN/>
        <w:contextualSpacing/>
        <w:rPr>
          <w:rFonts w:ascii="Garamond" w:eastAsia="Calibri" w:hAnsi="Garamond" w:cs="Arial"/>
          <w:b/>
          <w:sz w:val="24"/>
          <w:szCs w:val="24"/>
        </w:rPr>
      </w:pPr>
    </w:p>
    <w:p w14:paraId="1F162E02" w14:textId="77777777" w:rsidR="0043456B" w:rsidRPr="0043456B" w:rsidRDefault="0043456B" w:rsidP="0043456B">
      <w:pPr>
        <w:widowControl/>
        <w:autoSpaceDE/>
        <w:autoSpaceDN/>
        <w:contextualSpacing/>
        <w:rPr>
          <w:rFonts w:ascii="Garamond" w:eastAsia="Calibri" w:hAnsi="Garamond" w:cs="Arial"/>
          <w:b/>
          <w:i/>
          <w:sz w:val="24"/>
          <w:szCs w:val="24"/>
        </w:rPr>
      </w:pPr>
      <w:r w:rsidRPr="0043456B">
        <w:rPr>
          <w:rFonts w:ascii="Garamond" w:eastAsia="Calibri" w:hAnsi="Garamond" w:cs="Arial"/>
          <w:b/>
          <w:i/>
          <w:sz w:val="24"/>
          <w:szCs w:val="24"/>
        </w:rPr>
        <w:t>Analysis</w:t>
      </w:r>
    </w:p>
    <w:p w14:paraId="30EFC87C" w14:textId="77777777" w:rsidR="0043456B" w:rsidRPr="0043456B" w:rsidRDefault="0043456B" w:rsidP="0043456B">
      <w:pPr>
        <w:widowControl/>
        <w:autoSpaceDE/>
        <w:autoSpaceDN/>
        <w:contextualSpacing/>
        <w:rPr>
          <w:rFonts w:ascii="Garamond" w:eastAsia="Calibri" w:hAnsi="Garamond" w:cs="Arial"/>
          <w:bCs/>
          <w:sz w:val="24"/>
          <w:szCs w:val="24"/>
        </w:rPr>
      </w:pPr>
      <w:r w:rsidRPr="0043456B">
        <w:rPr>
          <w:rFonts w:ascii="Garamond" w:eastAsia="Calibri" w:hAnsi="Garamond" w:cs="Arial"/>
          <w:bCs/>
          <w:sz w:val="24"/>
          <w:szCs w:val="24"/>
        </w:rPr>
        <w:t xml:space="preserve">Through a review of the facility’s interpreter services, training initiatives, and social needs screening, staff finds that the Applicant has sufficiently outlined, at a high level, a case for improved health outcomes and has provided reasonable assurances of health equity and access to care. </w:t>
      </w:r>
    </w:p>
    <w:p w14:paraId="79EB1B01" w14:textId="77777777" w:rsidR="0043456B" w:rsidRPr="0043456B" w:rsidRDefault="0043456B" w:rsidP="0043456B">
      <w:pPr>
        <w:keepNext/>
        <w:keepLines/>
        <w:widowControl/>
        <w:autoSpaceDE/>
        <w:autoSpaceDN/>
        <w:spacing w:before="200"/>
        <w:outlineLvl w:val="1"/>
        <w:rPr>
          <w:rFonts w:ascii="Garamond" w:hAnsi="Garamond"/>
          <w:b/>
          <w:bCs/>
          <w:color w:val="42558C"/>
          <w:sz w:val="28"/>
          <w:szCs w:val="28"/>
        </w:rPr>
      </w:pPr>
      <w:bookmarkStart w:id="169" w:name="_Toc18922409"/>
      <w:bookmarkStart w:id="170" w:name="_Toc29755681"/>
      <w:bookmarkStart w:id="171" w:name="_Toc58960215"/>
      <w:bookmarkStart w:id="172" w:name="_Toc17151150"/>
      <w:bookmarkStart w:id="173" w:name="_Toc17322394"/>
      <w:r w:rsidRPr="0043456B">
        <w:rPr>
          <w:rFonts w:ascii="Garamond" w:hAnsi="Garamond"/>
          <w:b/>
          <w:bCs/>
          <w:color w:val="42558C"/>
          <w:sz w:val="28"/>
          <w:szCs w:val="28"/>
        </w:rPr>
        <w:lastRenderedPageBreak/>
        <w:t>Factor 1: c) Efficiency, Continuity of Care, Coordination of Care</w:t>
      </w:r>
      <w:bookmarkStart w:id="174" w:name="_Toc17322393"/>
      <w:bookmarkStart w:id="175" w:name="_Toc17748465"/>
      <w:bookmarkEnd w:id="169"/>
      <w:bookmarkEnd w:id="170"/>
      <w:bookmarkEnd w:id="171"/>
    </w:p>
    <w:bookmarkEnd w:id="174"/>
    <w:bookmarkEnd w:id="175"/>
    <w:p w14:paraId="4B77ED06" w14:textId="77777777" w:rsidR="0043456B" w:rsidRPr="0043456B" w:rsidRDefault="0043456B" w:rsidP="0043456B">
      <w:pPr>
        <w:widowControl/>
        <w:autoSpaceDE/>
        <w:autoSpaceDN/>
        <w:ind w:right="540"/>
        <w:contextualSpacing/>
        <w:rPr>
          <w:rFonts w:ascii="Garamond" w:eastAsia="Calibri" w:hAnsi="Garamond" w:cs="Arial"/>
          <w:bCs/>
          <w:sz w:val="24"/>
          <w:szCs w:val="24"/>
        </w:rPr>
      </w:pPr>
      <w:r w:rsidRPr="0043456B">
        <w:rPr>
          <w:rFonts w:ascii="Garamond" w:eastAsia="Calibri" w:hAnsi="Garamond" w:cs="Arial"/>
          <w:bCs/>
          <w:sz w:val="24"/>
          <w:szCs w:val="24"/>
        </w:rPr>
        <w:t xml:space="preserve">The Applicant described care coordination processes between its patients, their PCP, the surgeon’s office, and NESC both before and after surgery. The Applicant states assistance for patients starts when the procedure is booked by a surgeon’s office. </w:t>
      </w:r>
    </w:p>
    <w:p w14:paraId="52CCDC2A" w14:textId="77777777" w:rsidR="0043456B" w:rsidRPr="0043456B" w:rsidRDefault="0043456B" w:rsidP="0043456B">
      <w:pPr>
        <w:widowControl/>
        <w:numPr>
          <w:ilvl w:val="0"/>
          <w:numId w:val="10"/>
        </w:numPr>
        <w:autoSpaceDE/>
        <w:autoSpaceDN/>
        <w:spacing w:after="200" w:line="276" w:lineRule="auto"/>
        <w:ind w:right="540"/>
        <w:contextualSpacing/>
        <w:rPr>
          <w:rFonts w:ascii="Garamond" w:eastAsia="Calibri" w:hAnsi="Garamond" w:cs="Arial"/>
          <w:bCs/>
          <w:sz w:val="24"/>
          <w:szCs w:val="24"/>
        </w:rPr>
      </w:pPr>
      <w:r w:rsidRPr="0043456B">
        <w:rPr>
          <w:rFonts w:ascii="Garamond" w:eastAsia="Calibri" w:hAnsi="Garamond" w:cs="Arial"/>
          <w:bCs/>
          <w:sz w:val="24"/>
          <w:szCs w:val="24"/>
        </w:rPr>
        <w:t xml:space="preserve">Patients complete a standard pre-operative questionnaire that is reviewed by the pre-operative nurse and anesthesiologist. Follow up with the PCP or a specialist occurs when issues are identified. </w:t>
      </w:r>
    </w:p>
    <w:p w14:paraId="1827210F" w14:textId="77777777" w:rsidR="0043456B" w:rsidRPr="0043456B" w:rsidRDefault="0043456B" w:rsidP="0043456B">
      <w:pPr>
        <w:widowControl/>
        <w:numPr>
          <w:ilvl w:val="0"/>
          <w:numId w:val="10"/>
        </w:numPr>
        <w:autoSpaceDE/>
        <w:autoSpaceDN/>
        <w:spacing w:after="200" w:line="276" w:lineRule="auto"/>
        <w:ind w:right="540"/>
        <w:contextualSpacing/>
        <w:rPr>
          <w:rFonts w:ascii="Garamond" w:eastAsia="Calibri" w:hAnsi="Garamond" w:cs="Arial"/>
          <w:bCs/>
          <w:sz w:val="24"/>
          <w:szCs w:val="24"/>
        </w:rPr>
      </w:pPr>
      <w:r w:rsidRPr="0043456B">
        <w:rPr>
          <w:rFonts w:ascii="Garamond" w:eastAsia="Calibri" w:hAnsi="Garamond" w:cs="Arial"/>
          <w:bCs/>
          <w:sz w:val="24"/>
          <w:szCs w:val="24"/>
        </w:rPr>
        <w:t>All patients are required to have a pre-operative history and physical completed no more than 30 days prior to surgery at the surgeon’s office or the PCP’s office and obtain clinical clearance.</w:t>
      </w:r>
    </w:p>
    <w:p w14:paraId="302C0235" w14:textId="77777777" w:rsidR="0043456B" w:rsidRPr="0043456B" w:rsidRDefault="0043456B" w:rsidP="0043456B">
      <w:pPr>
        <w:widowControl/>
        <w:numPr>
          <w:ilvl w:val="0"/>
          <w:numId w:val="10"/>
        </w:numPr>
        <w:autoSpaceDE/>
        <w:autoSpaceDN/>
        <w:spacing w:after="200" w:line="276" w:lineRule="auto"/>
        <w:ind w:right="540"/>
        <w:contextualSpacing/>
        <w:rPr>
          <w:rFonts w:ascii="Garamond" w:eastAsia="Calibri" w:hAnsi="Garamond" w:cs="Arial"/>
          <w:bCs/>
          <w:sz w:val="24"/>
          <w:szCs w:val="24"/>
        </w:rPr>
      </w:pPr>
      <w:r w:rsidRPr="0043456B">
        <w:rPr>
          <w:rFonts w:ascii="Garamond" w:eastAsia="Calibri" w:hAnsi="Garamond" w:cs="Arial"/>
          <w:bCs/>
          <w:sz w:val="24"/>
          <w:szCs w:val="24"/>
        </w:rPr>
        <w:t>Prior to anesthesia, all patients are provided with training on post-surgery care in the pre-operative area. Patients receive a copy of written instructions at discharge.</w:t>
      </w:r>
      <w:r w:rsidRPr="0043456B">
        <w:rPr>
          <w:rFonts w:ascii="Garamond" w:eastAsia="Calibri" w:hAnsi="Garamond" w:cs="Arial"/>
          <w:bCs/>
          <w:sz w:val="24"/>
          <w:szCs w:val="24"/>
          <w:vertAlign w:val="superscript"/>
        </w:rPr>
        <w:footnoteReference w:id="28"/>
      </w:r>
      <w:r w:rsidRPr="0043456B">
        <w:rPr>
          <w:rFonts w:ascii="Garamond" w:eastAsia="Calibri" w:hAnsi="Garamond" w:cs="Arial"/>
          <w:bCs/>
          <w:sz w:val="24"/>
          <w:szCs w:val="24"/>
        </w:rPr>
        <w:t xml:space="preserve"> A nurse calls each patient 24 hours after surgery to review discharge instructions, pain, mobility, nausea and vomiting, signs and symptoms of infection, and satisfaction with treatment prior to and after surgery. The nurse contacts the surgeon’s office by phone to share any concerns identified during the call and the surgeon shares the information with the patient’s PCP.</w:t>
      </w:r>
      <w:r w:rsidRPr="0043456B">
        <w:rPr>
          <w:rFonts w:ascii="Calibri" w:eastAsia="Calibri" w:hAnsi="Calibri"/>
        </w:rPr>
        <w:t xml:space="preserve"> </w:t>
      </w:r>
      <w:r w:rsidRPr="0043456B">
        <w:rPr>
          <w:rFonts w:ascii="Garamond" w:eastAsia="Calibri" w:hAnsi="Garamond" w:cs="Arial"/>
          <w:bCs/>
          <w:sz w:val="24"/>
          <w:szCs w:val="24"/>
        </w:rPr>
        <w:t>Results of the follow-up call from a nurse are reviewed by the Quality Improvement Committee.</w:t>
      </w:r>
    </w:p>
    <w:p w14:paraId="235D8937" w14:textId="77777777" w:rsidR="0043456B" w:rsidRPr="0043456B" w:rsidRDefault="0043456B" w:rsidP="0043456B">
      <w:pPr>
        <w:widowControl/>
        <w:numPr>
          <w:ilvl w:val="0"/>
          <w:numId w:val="10"/>
        </w:numPr>
        <w:autoSpaceDE/>
        <w:autoSpaceDN/>
        <w:spacing w:after="200" w:line="276" w:lineRule="auto"/>
        <w:ind w:right="540"/>
        <w:contextualSpacing/>
        <w:rPr>
          <w:rFonts w:ascii="Garamond" w:eastAsia="Calibri" w:hAnsi="Garamond" w:cs="Arial"/>
          <w:bCs/>
          <w:sz w:val="24"/>
          <w:szCs w:val="24"/>
        </w:rPr>
      </w:pPr>
      <w:r w:rsidRPr="0043456B">
        <w:rPr>
          <w:rFonts w:ascii="Garamond" w:eastAsia="Calibri" w:hAnsi="Garamond" w:cs="Arial"/>
          <w:bCs/>
          <w:sz w:val="24"/>
          <w:szCs w:val="24"/>
        </w:rPr>
        <w:t xml:space="preserve">Copies of operative notes are sent to the surgeon’s office and to the PCPs office either by mail or fax. </w:t>
      </w:r>
    </w:p>
    <w:p w14:paraId="5665D447" w14:textId="77777777" w:rsidR="0043456B" w:rsidRPr="0043456B" w:rsidRDefault="0043456B" w:rsidP="0043456B">
      <w:pPr>
        <w:widowControl/>
        <w:numPr>
          <w:ilvl w:val="0"/>
          <w:numId w:val="10"/>
        </w:numPr>
        <w:autoSpaceDE/>
        <w:autoSpaceDN/>
        <w:spacing w:after="200" w:line="276" w:lineRule="auto"/>
        <w:ind w:right="540"/>
        <w:contextualSpacing/>
        <w:rPr>
          <w:rFonts w:ascii="Garamond" w:eastAsia="Calibri" w:hAnsi="Garamond" w:cs="Arial"/>
          <w:bCs/>
          <w:sz w:val="24"/>
          <w:szCs w:val="24"/>
        </w:rPr>
      </w:pPr>
      <w:r w:rsidRPr="0043456B">
        <w:rPr>
          <w:rFonts w:ascii="Garamond" w:eastAsia="Calibri" w:hAnsi="Garamond" w:cs="Arial"/>
          <w:bCs/>
          <w:sz w:val="24"/>
          <w:szCs w:val="24"/>
        </w:rPr>
        <w:t xml:space="preserve">A billing office staff member is responsible for checking all patient benefits, and contacts each patient with information on deductibles, copays, and insurance to prevent patients from receiving a surprise bill.   </w:t>
      </w:r>
    </w:p>
    <w:p w14:paraId="1B8D84B5" w14:textId="77777777" w:rsidR="0043456B" w:rsidRPr="0043456B" w:rsidRDefault="0043456B" w:rsidP="0043456B">
      <w:pPr>
        <w:widowControl/>
        <w:autoSpaceDE/>
        <w:autoSpaceDN/>
        <w:ind w:right="540"/>
        <w:contextualSpacing/>
        <w:rPr>
          <w:rFonts w:ascii="Garamond" w:eastAsia="Calibri" w:hAnsi="Garamond" w:cs="Arial"/>
          <w:bCs/>
          <w:sz w:val="24"/>
          <w:szCs w:val="24"/>
        </w:rPr>
      </w:pPr>
    </w:p>
    <w:p w14:paraId="1F28D039" w14:textId="77777777" w:rsidR="0043456B" w:rsidRPr="0043456B" w:rsidRDefault="0043456B" w:rsidP="0043456B">
      <w:pPr>
        <w:widowControl/>
        <w:autoSpaceDE/>
        <w:autoSpaceDN/>
        <w:ind w:right="540"/>
        <w:contextualSpacing/>
        <w:rPr>
          <w:rFonts w:ascii="Garamond" w:eastAsia="Calibri" w:hAnsi="Garamond" w:cs="Arial"/>
          <w:bCs/>
          <w:sz w:val="24"/>
          <w:szCs w:val="24"/>
        </w:rPr>
      </w:pPr>
      <w:r w:rsidRPr="0043456B">
        <w:rPr>
          <w:rFonts w:ascii="Garamond" w:eastAsia="Calibri" w:hAnsi="Garamond" w:cs="Arial"/>
          <w:bCs/>
          <w:sz w:val="24"/>
          <w:szCs w:val="24"/>
        </w:rPr>
        <w:t>NESC does not have an electronic health record (EHR); the only interface is access to Lahey Epic</w:t>
      </w:r>
      <w:r w:rsidRPr="0043456B">
        <w:rPr>
          <w:rFonts w:ascii="Garamond" w:hAnsi="Garamond" w:cs="Arial"/>
          <w:bCs/>
          <w:sz w:val="24"/>
          <w:szCs w:val="24"/>
          <w:vertAlign w:val="superscript"/>
        </w:rPr>
        <w:footnoteReference w:id="29"/>
      </w:r>
      <w:r w:rsidRPr="0043456B">
        <w:rPr>
          <w:rFonts w:ascii="Garamond" w:eastAsia="Calibri" w:hAnsi="Garamond" w:cs="Arial"/>
          <w:bCs/>
          <w:sz w:val="24"/>
          <w:szCs w:val="24"/>
        </w:rPr>
        <w:t xml:space="preserve"> for viewing patient test results provided by the local hospital. The Applicant notes that while the Health Information Technology for Economic and Clinical Health (HITECH) Act provided financial incentives to physicians and hospitals for adopting EHRs, it does not include ASCs.</w:t>
      </w:r>
      <w:r w:rsidRPr="0043456B">
        <w:rPr>
          <w:rFonts w:ascii="Garamond" w:eastAsia="Calibri" w:hAnsi="Garamond" w:cs="Arial"/>
          <w:bCs/>
          <w:sz w:val="24"/>
          <w:szCs w:val="24"/>
          <w:vertAlign w:val="superscript"/>
        </w:rPr>
        <w:footnoteReference w:id="30"/>
      </w:r>
      <w:r w:rsidRPr="0043456B">
        <w:rPr>
          <w:rFonts w:ascii="Garamond" w:eastAsia="Calibri" w:hAnsi="Garamond" w:cs="Arial"/>
          <w:bCs/>
          <w:sz w:val="24"/>
          <w:szCs w:val="24"/>
        </w:rPr>
        <w:t xml:space="preserve"> </w:t>
      </w:r>
    </w:p>
    <w:p w14:paraId="7BC8E495" w14:textId="77777777" w:rsidR="0043456B" w:rsidRPr="0043456B" w:rsidRDefault="0043456B" w:rsidP="0043456B">
      <w:pPr>
        <w:widowControl/>
        <w:autoSpaceDE/>
        <w:autoSpaceDN/>
        <w:ind w:right="540"/>
        <w:contextualSpacing/>
        <w:rPr>
          <w:rFonts w:ascii="Garamond" w:eastAsia="Calibri" w:hAnsi="Garamond" w:cs="Arial"/>
          <w:bCs/>
          <w:sz w:val="24"/>
          <w:szCs w:val="24"/>
        </w:rPr>
      </w:pPr>
    </w:p>
    <w:p w14:paraId="64F62C13" w14:textId="77777777" w:rsidR="0043456B" w:rsidRPr="0043456B" w:rsidRDefault="0043456B" w:rsidP="0043456B">
      <w:pPr>
        <w:widowControl/>
        <w:autoSpaceDE/>
        <w:autoSpaceDN/>
        <w:ind w:right="540"/>
        <w:contextualSpacing/>
        <w:rPr>
          <w:rFonts w:ascii="Garamond" w:eastAsia="Calibri" w:hAnsi="Garamond" w:cs="Calibri"/>
          <w:b/>
          <w:i/>
          <w:sz w:val="24"/>
          <w:szCs w:val="24"/>
        </w:rPr>
      </w:pPr>
      <w:r w:rsidRPr="0043456B">
        <w:rPr>
          <w:rFonts w:ascii="Garamond" w:eastAsia="Calibri" w:hAnsi="Garamond" w:cs="Calibri"/>
          <w:b/>
          <w:i/>
          <w:sz w:val="24"/>
          <w:szCs w:val="24"/>
        </w:rPr>
        <w:t xml:space="preserve">Analysis </w:t>
      </w:r>
    </w:p>
    <w:p w14:paraId="5305D029" w14:textId="77777777" w:rsidR="0043456B" w:rsidRPr="0043456B" w:rsidRDefault="0043456B" w:rsidP="0043456B">
      <w:pPr>
        <w:widowControl/>
        <w:adjustRightInd w:val="0"/>
        <w:contextualSpacing/>
        <w:rPr>
          <w:rFonts w:ascii="Garamond" w:eastAsia="Calibri" w:hAnsi="Garamond"/>
          <w:bCs/>
          <w:sz w:val="24"/>
          <w:szCs w:val="24"/>
        </w:rPr>
      </w:pPr>
      <w:r w:rsidRPr="0043456B">
        <w:rPr>
          <w:rFonts w:ascii="Garamond" w:eastAsia="Calibri" w:hAnsi="Garamond" w:cs="Arial"/>
          <w:bCs/>
          <w:sz w:val="24"/>
          <w:szCs w:val="24"/>
        </w:rPr>
        <w:t xml:space="preserve">The Applicant detailed care coordination and information sharing across different providers. </w:t>
      </w:r>
      <w:r w:rsidRPr="0043456B">
        <w:rPr>
          <w:rFonts w:ascii="Garamond" w:eastAsia="Calibri" w:hAnsi="Garamond" w:cs="Calibri"/>
          <w:bCs/>
          <w:sz w:val="24"/>
          <w:szCs w:val="24"/>
        </w:rPr>
        <w:t>Integrated processes are of particular importance in the ASC setting for managing patient referral to different points of care.</w:t>
      </w:r>
      <w:r w:rsidRPr="0043456B">
        <w:rPr>
          <w:rFonts w:ascii="Garamond" w:eastAsia="Calibri" w:hAnsi="Garamond" w:cs="Calibri"/>
          <w:bCs/>
          <w:sz w:val="24"/>
          <w:szCs w:val="24"/>
          <w:vertAlign w:val="superscript"/>
        </w:rPr>
        <w:endnoteReference w:id="33"/>
      </w:r>
      <w:r w:rsidRPr="0043456B">
        <w:rPr>
          <w:rFonts w:ascii="Garamond" w:eastAsia="Calibri" w:hAnsi="Garamond" w:cs="Calibri"/>
          <w:bCs/>
          <w:sz w:val="24"/>
          <w:szCs w:val="24"/>
        </w:rPr>
        <w:t xml:space="preserve"> EHR adoption in ASCs has been slow and the high expense of the systems is one reason cited.</w:t>
      </w:r>
      <w:r w:rsidRPr="0043456B">
        <w:rPr>
          <w:rFonts w:ascii="Garamond" w:eastAsia="Calibri" w:hAnsi="Garamond" w:cs="Calibri"/>
          <w:bCs/>
          <w:sz w:val="24"/>
          <w:szCs w:val="24"/>
          <w:vertAlign w:val="superscript"/>
        </w:rPr>
        <w:endnoteReference w:id="34"/>
      </w:r>
      <w:r w:rsidRPr="0043456B">
        <w:rPr>
          <w:rFonts w:ascii="Calibri" w:eastAsia="Calibri" w:hAnsi="Calibri" w:cs="Calibri"/>
          <w:bCs/>
          <w:sz w:val="24"/>
          <w:szCs w:val="24"/>
        </w:rPr>
        <w:t xml:space="preserve"> </w:t>
      </w:r>
      <w:r w:rsidRPr="0043456B">
        <w:rPr>
          <w:rFonts w:ascii="Garamond" w:eastAsia="Calibri" w:hAnsi="Garamond" w:cs="Calibri"/>
          <w:bCs/>
          <w:sz w:val="24"/>
          <w:szCs w:val="24"/>
        </w:rPr>
        <w:t xml:space="preserve">Staff finds NESC has adequate processes in place to facilitate care coordination and communication across providers. </w:t>
      </w:r>
    </w:p>
    <w:p w14:paraId="210F8705"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bookmarkStart w:id="176" w:name="_Toc18922415"/>
      <w:bookmarkStart w:id="177" w:name="_Toc29755682"/>
      <w:bookmarkEnd w:id="172"/>
      <w:bookmarkEnd w:id="173"/>
    </w:p>
    <w:p w14:paraId="6BBB8149"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bookmarkStart w:id="178" w:name="_Toc58960216"/>
      <w:r w:rsidRPr="0043456B">
        <w:rPr>
          <w:rFonts w:ascii="Garamond" w:hAnsi="Garamond"/>
          <w:b/>
          <w:bCs/>
          <w:color w:val="42558C"/>
          <w:sz w:val="28"/>
          <w:szCs w:val="28"/>
        </w:rPr>
        <w:t>Factor 1: d) Consultation</w:t>
      </w:r>
      <w:bookmarkEnd w:id="176"/>
      <w:bookmarkEnd w:id="177"/>
      <w:bookmarkEnd w:id="178"/>
    </w:p>
    <w:p w14:paraId="135BCFBF"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 xml:space="preserve">The Applicant has provided evidence of consultation, both prior to and after the Filing Date, with all government agencies that have licensure, certification, or other regulatory oversight, which has </w:t>
      </w:r>
    </w:p>
    <w:p w14:paraId="443DA089"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 xml:space="preserve">been done and will not be addressed further in this report. </w:t>
      </w:r>
    </w:p>
    <w:p w14:paraId="0B4492EC" w14:textId="77777777" w:rsidR="0043456B" w:rsidRPr="0043456B" w:rsidRDefault="0043456B" w:rsidP="0043456B">
      <w:pPr>
        <w:keepNext/>
        <w:keepLines/>
        <w:widowControl/>
        <w:autoSpaceDE/>
        <w:autoSpaceDN/>
        <w:contextualSpacing/>
        <w:outlineLvl w:val="0"/>
        <w:rPr>
          <w:rFonts w:ascii="Garamond" w:eastAsia="Calibri" w:hAnsi="Garamond"/>
          <w:b/>
          <w:bCs/>
          <w:color w:val="42558C"/>
          <w:sz w:val="28"/>
          <w:szCs w:val="28"/>
        </w:rPr>
      </w:pPr>
      <w:bookmarkStart w:id="179" w:name="_Toc29755683"/>
      <w:bookmarkStart w:id="180" w:name="_Toc18922416"/>
    </w:p>
    <w:p w14:paraId="60C51178"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bookmarkStart w:id="181" w:name="_Toc58960217"/>
      <w:r w:rsidRPr="0043456B">
        <w:rPr>
          <w:rFonts w:ascii="Garamond" w:eastAsia="Calibri" w:hAnsi="Garamond"/>
          <w:b/>
          <w:bCs/>
          <w:color w:val="42558C"/>
          <w:sz w:val="28"/>
          <w:szCs w:val="28"/>
        </w:rPr>
        <w:t>Factor 1: e) Evidence of Sound Community Engagement through the Patient Panel</w:t>
      </w:r>
      <w:bookmarkEnd w:id="179"/>
      <w:bookmarkEnd w:id="181"/>
      <w:r w:rsidRPr="0043456B">
        <w:rPr>
          <w:rFonts w:ascii="Garamond" w:hAnsi="Garamond"/>
          <w:b/>
          <w:bCs/>
          <w:color w:val="42558C"/>
          <w:sz w:val="28"/>
          <w:szCs w:val="28"/>
        </w:rPr>
        <w:t xml:space="preserve"> </w:t>
      </w:r>
    </w:p>
    <w:p w14:paraId="033C091B"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sz w:val="24"/>
          <w:szCs w:val="24"/>
        </w:rPr>
        <w:t>The Department’s Guideline</w:t>
      </w:r>
      <w:r w:rsidRPr="0043456B">
        <w:rPr>
          <w:rFonts w:ascii="Garamond" w:eastAsia="Calibri" w:hAnsi="Garamond"/>
          <w:sz w:val="24"/>
          <w:szCs w:val="24"/>
          <w:vertAlign w:val="superscript"/>
        </w:rPr>
        <w:endnoteReference w:id="35"/>
      </w:r>
      <w:r w:rsidRPr="0043456B">
        <w:rPr>
          <w:rFonts w:ascii="Garamond" w:eastAsia="Calibri" w:hAnsi="Garamond"/>
          <w:sz w:val="24"/>
          <w:szCs w:val="24"/>
        </w:rPr>
        <w:t xml:space="preserve"> for community engagement defines “community” as the Patient Panel, and requires that at minimum, the Applicant must “consult” with groups representative of the Applicant's Patient Panel. </w:t>
      </w:r>
      <w:r w:rsidRPr="0043456B">
        <w:rPr>
          <w:rFonts w:ascii="Garamond" w:eastAsia="Calibri" w:hAnsi="Garamond" w:cs="Calibri"/>
          <w:sz w:val="24"/>
          <w:szCs w:val="24"/>
        </w:rPr>
        <w:t xml:space="preserve">Regulations state that efforts in such consultation should consist of engaging </w:t>
      </w:r>
      <w:r w:rsidRPr="0043456B">
        <w:rPr>
          <w:rFonts w:ascii="Garamond" w:eastAsia="Calibri" w:hAnsi="Garamond"/>
          <w:sz w:val="24"/>
          <w:szCs w:val="24"/>
        </w:rPr>
        <w:t>“community coalitions statistically representative of the Patient Panel.”</w:t>
      </w:r>
      <w:r w:rsidRPr="0043456B">
        <w:rPr>
          <w:rFonts w:ascii="Garamond" w:eastAsia="Calibri" w:hAnsi="Garamond"/>
          <w:sz w:val="24"/>
          <w:szCs w:val="24"/>
          <w:vertAlign w:val="superscript"/>
        </w:rPr>
        <w:endnoteReference w:id="36"/>
      </w:r>
    </w:p>
    <w:p w14:paraId="3136027D" w14:textId="77777777" w:rsidR="0043456B" w:rsidRPr="0043456B" w:rsidRDefault="0043456B" w:rsidP="0043456B">
      <w:pPr>
        <w:widowControl/>
        <w:autoSpaceDE/>
        <w:autoSpaceDN/>
        <w:contextualSpacing/>
        <w:rPr>
          <w:rFonts w:ascii="Garamond" w:eastAsia="Calibri" w:hAnsi="Garamond" w:cs="Calibri"/>
          <w:sz w:val="24"/>
          <w:szCs w:val="24"/>
        </w:rPr>
      </w:pPr>
    </w:p>
    <w:p w14:paraId="000A394D" w14:textId="77777777" w:rsidR="0043456B" w:rsidRPr="0043456B" w:rsidRDefault="0043456B" w:rsidP="0043456B">
      <w:pPr>
        <w:widowControl/>
        <w:autoSpaceDE/>
        <w:autoSpaceDN/>
        <w:contextualSpacing/>
        <w:rPr>
          <w:rFonts w:ascii="Garamond" w:eastAsia="Calibri" w:hAnsi="Garamond" w:cs="Calibri"/>
          <w:sz w:val="24"/>
          <w:szCs w:val="24"/>
        </w:rPr>
      </w:pPr>
      <w:r w:rsidRPr="0043456B">
        <w:rPr>
          <w:rFonts w:ascii="Garamond" w:eastAsia="Calibri" w:hAnsi="Garamond" w:cs="Calibri"/>
          <w:sz w:val="24"/>
          <w:szCs w:val="24"/>
        </w:rPr>
        <w:t>The Applicant held two open houses (November 5 and November 11, 2019). A total of two people attended the open house on November 5</w:t>
      </w:r>
      <w:r w:rsidRPr="0043456B">
        <w:rPr>
          <w:rFonts w:ascii="Garamond" w:eastAsia="Calibri" w:hAnsi="Garamond" w:cs="Calibri"/>
          <w:sz w:val="24"/>
          <w:szCs w:val="24"/>
          <w:vertAlign w:val="superscript"/>
        </w:rPr>
        <w:t>th</w:t>
      </w:r>
      <w:r w:rsidRPr="0043456B">
        <w:rPr>
          <w:rFonts w:ascii="Garamond" w:eastAsia="Calibri" w:hAnsi="Garamond" w:cs="Calibri"/>
          <w:sz w:val="24"/>
          <w:szCs w:val="24"/>
        </w:rPr>
        <w:t xml:space="preserve">, both of whom were staff members of North Shore Physicians Group, which </w:t>
      </w:r>
      <w:proofErr w:type="gramStart"/>
      <w:r w:rsidRPr="0043456B">
        <w:rPr>
          <w:rFonts w:ascii="Garamond" w:eastAsia="Calibri" w:hAnsi="Garamond" w:cs="Calibri"/>
          <w:sz w:val="24"/>
          <w:szCs w:val="24"/>
        </w:rPr>
        <w:t>is located in</w:t>
      </w:r>
      <w:proofErr w:type="gramEnd"/>
      <w:r w:rsidRPr="0043456B">
        <w:rPr>
          <w:rFonts w:ascii="Garamond" w:eastAsia="Calibri" w:hAnsi="Garamond" w:cs="Calibri"/>
          <w:sz w:val="24"/>
          <w:szCs w:val="24"/>
        </w:rPr>
        <w:t xml:space="preserve"> the same building as NESC. Attendees had an opportunity to view the ASC and a copy of the proposed expansion. The Applicant states open houses were advertised in Essex County and surrounding areas, in the surgeon’s offices and on bulletin boards in the Cummings Center where the ASC is located, and on the NESC’s Facebook page and website. The Applicant submitted copies of the materials used to advertise the open houses and copies of the materials that were presented.</w:t>
      </w:r>
    </w:p>
    <w:bookmarkEnd w:id="180"/>
    <w:p w14:paraId="2344F8D2" w14:textId="77777777" w:rsidR="0043456B" w:rsidRPr="0043456B" w:rsidRDefault="0043456B" w:rsidP="0043456B">
      <w:pPr>
        <w:widowControl/>
        <w:autoSpaceDE/>
        <w:autoSpaceDN/>
        <w:contextualSpacing/>
        <w:rPr>
          <w:rFonts w:ascii="Garamond" w:eastAsia="Calibri" w:hAnsi="Garamond" w:cs="Arial"/>
          <w:b/>
          <w:i/>
          <w:sz w:val="24"/>
          <w:szCs w:val="24"/>
        </w:rPr>
      </w:pPr>
    </w:p>
    <w:p w14:paraId="280A4C76" w14:textId="77777777" w:rsidR="0043456B" w:rsidRPr="0043456B" w:rsidRDefault="0043456B" w:rsidP="0043456B">
      <w:pPr>
        <w:widowControl/>
        <w:autoSpaceDE/>
        <w:autoSpaceDN/>
        <w:contextualSpacing/>
        <w:rPr>
          <w:rFonts w:ascii="Garamond" w:eastAsia="Calibri" w:hAnsi="Garamond" w:cs="Arial"/>
          <w:b/>
          <w:bCs/>
          <w:i/>
          <w:sz w:val="24"/>
          <w:szCs w:val="24"/>
        </w:rPr>
      </w:pPr>
      <w:r w:rsidRPr="0043456B">
        <w:rPr>
          <w:rFonts w:ascii="Garamond" w:eastAsia="Calibri" w:hAnsi="Garamond" w:cs="Arial"/>
          <w:b/>
          <w:i/>
          <w:sz w:val="24"/>
          <w:szCs w:val="24"/>
        </w:rPr>
        <w:t>Analysis</w:t>
      </w:r>
    </w:p>
    <w:p w14:paraId="2E240683" w14:textId="77777777" w:rsidR="0043456B" w:rsidRPr="0043456B" w:rsidRDefault="0043456B" w:rsidP="0043456B">
      <w:pPr>
        <w:widowControl/>
        <w:autoSpaceDE/>
        <w:autoSpaceDN/>
        <w:ind w:right="540"/>
        <w:contextualSpacing/>
        <w:rPr>
          <w:rFonts w:ascii="Garamond" w:eastAsia="Calibri" w:hAnsi="Garamond"/>
          <w:b/>
          <w:bCs/>
          <w:i/>
          <w:sz w:val="24"/>
          <w:szCs w:val="24"/>
        </w:rPr>
      </w:pPr>
      <w:r w:rsidRPr="0043456B">
        <w:rPr>
          <w:rFonts w:ascii="Garamond" w:eastAsia="Calibri" w:hAnsi="Garamond"/>
          <w:sz w:val="24"/>
          <w:szCs w:val="24"/>
        </w:rPr>
        <w:t>Staff reviewed the information on the Applicant’s community engagement and finds that</w:t>
      </w:r>
      <w:r w:rsidRPr="0043456B">
        <w:rPr>
          <w:rFonts w:ascii="Garamond" w:eastAsia="Calibri" w:hAnsi="Garamond"/>
          <w:bCs/>
          <w:sz w:val="24"/>
          <w:szCs w:val="24"/>
        </w:rPr>
        <w:t xml:space="preserve"> the Applicant has met the minimum required community engagement standard of </w:t>
      </w:r>
      <w:r w:rsidRPr="0043456B">
        <w:rPr>
          <w:rFonts w:ascii="Garamond" w:eastAsia="Calibri" w:hAnsi="Garamond"/>
          <w:bCs/>
          <w:i/>
          <w:sz w:val="24"/>
          <w:szCs w:val="24"/>
        </w:rPr>
        <w:t>Consult</w:t>
      </w:r>
      <w:r w:rsidRPr="0043456B">
        <w:rPr>
          <w:rFonts w:ascii="Garamond" w:eastAsia="Calibri" w:hAnsi="Garamond"/>
          <w:bCs/>
          <w:sz w:val="24"/>
          <w:szCs w:val="24"/>
        </w:rPr>
        <w:t xml:space="preserve"> in the planning phase of the Proposed Project. </w:t>
      </w:r>
    </w:p>
    <w:p w14:paraId="371A998C"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182" w:name="_Toc18922417"/>
      <w:bookmarkStart w:id="183" w:name="_Toc29755684"/>
      <w:bookmarkStart w:id="184" w:name="_Toc58960218"/>
      <w:bookmarkStart w:id="185" w:name="_Toc17322399"/>
      <w:r w:rsidRPr="0043456B">
        <w:rPr>
          <w:rFonts w:ascii="Garamond" w:hAnsi="Garamond"/>
          <w:b/>
          <w:bCs/>
          <w:color w:val="42558C"/>
          <w:sz w:val="28"/>
          <w:szCs w:val="28"/>
        </w:rPr>
        <w:t>Factor 1: f) Competition on price, total medical expenses (TME), costs and other measures of health care spending</w:t>
      </w:r>
      <w:bookmarkEnd w:id="182"/>
      <w:bookmarkEnd w:id="183"/>
      <w:bookmarkEnd w:id="184"/>
    </w:p>
    <w:p w14:paraId="12814E0E"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 xml:space="preserve">The Applicant asserts that through the Proposed Project, it will continue to compete based on price, TME, costs and other measures of health care spending through providing a lower-cost alternative for patients’ outpatient surgery needs. </w:t>
      </w:r>
    </w:p>
    <w:p w14:paraId="059C196D" w14:textId="77777777" w:rsidR="0043456B" w:rsidRPr="0043456B" w:rsidRDefault="0043456B" w:rsidP="0043456B">
      <w:pPr>
        <w:widowControl/>
        <w:autoSpaceDE/>
        <w:autoSpaceDN/>
        <w:rPr>
          <w:rFonts w:ascii="Garamond" w:eastAsia="Calibri" w:hAnsi="Garamond" w:cs="Arial"/>
          <w:sz w:val="24"/>
          <w:szCs w:val="24"/>
        </w:rPr>
      </w:pPr>
    </w:p>
    <w:p w14:paraId="50880FC3" w14:textId="77777777" w:rsidR="0043456B" w:rsidRPr="0043456B" w:rsidRDefault="0043456B" w:rsidP="0043456B">
      <w:pPr>
        <w:widowControl/>
        <w:autoSpaceDE/>
        <w:autoSpaceDN/>
        <w:rPr>
          <w:rFonts w:ascii="Garamond" w:eastAsia="Calibri" w:hAnsi="Garamond" w:cs="Arial"/>
          <w:sz w:val="24"/>
          <w:szCs w:val="24"/>
        </w:rPr>
      </w:pPr>
      <w:r w:rsidRPr="0043456B">
        <w:rPr>
          <w:rFonts w:ascii="Garamond" w:eastAsia="Calibri" w:hAnsi="Garamond" w:cs="Arial"/>
          <w:sz w:val="24"/>
          <w:szCs w:val="24"/>
        </w:rPr>
        <w:t xml:space="preserve">The Applicant asserts improving access to outpatient surgery in the ASC setting, where the surgeries are performed with greater efficiency and less expense than those done in HOPDs is unlikely to impact TME or the cost of services. ASCs are a lower cost option for these procedures for both payers and patients as compared to HOPDs. The benefits of expanding capacity to have these surgeries take place at NESC instead of a HOPD can lead to a reduction in TME </w:t>
      </w:r>
      <w:proofErr w:type="gramStart"/>
      <w:r w:rsidRPr="0043456B">
        <w:rPr>
          <w:rFonts w:ascii="Garamond" w:eastAsia="Calibri" w:hAnsi="Garamond" w:cs="Arial"/>
          <w:sz w:val="24"/>
          <w:szCs w:val="24"/>
        </w:rPr>
        <w:t>as a result of</w:t>
      </w:r>
      <w:proofErr w:type="gramEnd"/>
      <w:r w:rsidRPr="0043456B">
        <w:rPr>
          <w:rFonts w:ascii="Garamond" w:eastAsia="Calibri" w:hAnsi="Garamond" w:cs="Arial"/>
          <w:sz w:val="24"/>
          <w:szCs w:val="24"/>
        </w:rPr>
        <w:t xml:space="preserve"> lower provider and payer costs and lower out of pocket expenses for patients. Reports show Medicare procedures performed in the ASC setting can be less expensive than those performed in the hospital.</w:t>
      </w:r>
      <w:r w:rsidRPr="0043456B">
        <w:rPr>
          <w:rFonts w:ascii="Garamond" w:eastAsia="Calibri" w:hAnsi="Garamond" w:cs="Arial"/>
          <w:sz w:val="24"/>
          <w:szCs w:val="24"/>
          <w:vertAlign w:val="superscript"/>
        </w:rPr>
        <w:endnoteReference w:id="37"/>
      </w:r>
      <w:r w:rsidRPr="0043456B">
        <w:rPr>
          <w:rFonts w:ascii="Garamond" w:eastAsia="Calibri" w:hAnsi="Garamond" w:cs="Arial"/>
          <w:sz w:val="24"/>
          <w:szCs w:val="24"/>
          <w:vertAlign w:val="superscript"/>
        </w:rPr>
        <w:t>,</w:t>
      </w:r>
      <w:r w:rsidRPr="0043456B">
        <w:rPr>
          <w:rFonts w:ascii="Garamond" w:eastAsia="Calibri" w:hAnsi="Garamond" w:cs="Arial"/>
          <w:sz w:val="24"/>
          <w:szCs w:val="24"/>
          <w:vertAlign w:val="superscript"/>
        </w:rPr>
        <w:endnoteReference w:id="38"/>
      </w:r>
      <w:r w:rsidRPr="0043456B">
        <w:rPr>
          <w:rFonts w:ascii="Garamond" w:eastAsia="Calibri" w:hAnsi="Garamond" w:cs="Arial"/>
          <w:sz w:val="24"/>
          <w:szCs w:val="24"/>
          <w:vertAlign w:val="superscript"/>
        </w:rPr>
        <w:t>,</w:t>
      </w:r>
      <w:r w:rsidRPr="0043456B">
        <w:rPr>
          <w:rFonts w:ascii="Garamond" w:eastAsia="Calibri" w:hAnsi="Garamond" w:cs="Arial"/>
          <w:sz w:val="24"/>
          <w:szCs w:val="24"/>
          <w:vertAlign w:val="superscript"/>
        </w:rPr>
        <w:endnoteReference w:id="39"/>
      </w:r>
      <w:r w:rsidRPr="0043456B">
        <w:rPr>
          <w:rFonts w:ascii="Garamond" w:eastAsia="Calibri" w:hAnsi="Garamond" w:cs="Arial"/>
          <w:sz w:val="24"/>
          <w:szCs w:val="24"/>
          <w:vertAlign w:val="superscript"/>
        </w:rPr>
        <w:t xml:space="preserve">  </w:t>
      </w:r>
      <w:r w:rsidRPr="0043456B">
        <w:rPr>
          <w:rFonts w:ascii="Garamond" w:eastAsia="Calibri" w:hAnsi="Garamond" w:cs="Arial"/>
          <w:sz w:val="24"/>
          <w:szCs w:val="24"/>
        </w:rPr>
        <w:t>The Centers for Medicare and Medicaid Services (CMS) launched the</w:t>
      </w:r>
      <w:r w:rsidRPr="0043456B">
        <w:rPr>
          <w:rFonts w:ascii="Calibri" w:eastAsia="Calibri" w:hAnsi="Calibri"/>
        </w:rPr>
        <w:t xml:space="preserve"> </w:t>
      </w:r>
      <w:r w:rsidRPr="0043456B">
        <w:rPr>
          <w:rFonts w:ascii="Garamond" w:eastAsia="Calibri" w:hAnsi="Garamond" w:cs="Arial"/>
          <w:sz w:val="24"/>
          <w:szCs w:val="24"/>
        </w:rPr>
        <w:t>Procedure Price Lookup (PPL) tool in 2018 on Medicare.gov allowing patients to look up and compare estimated cost differences between ASCs and HOPDs for certain outpatient procedures.</w:t>
      </w:r>
      <w:r w:rsidRPr="0043456B">
        <w:rPr>
          <w:rFonts w:ascii="Garamond" w:eastAsia="Calibri" w:hAnsi="Garamond"/>
          <w:sz w:val="24"/>
          <w:szCs w:val="24"/>
          <w:vertAlign w:val="superscript"/>
        </w:rPr>
        <w:footnoteReference w:id="31"/>
      </w:r>
      <w:r w:rsidRPr="0043456B">
        <w:rPr>
          <w:rFonts w:ascii="Garamond" w:eastAsia="Calibri" w:hAnsi="Garamond" w:cs="Arial"/>
          <w:sz w:val="24"/>
          <w:szCs w:val="24"/>
        </w:rPr>
        <w:t xml:space="preserve"> The Applicant asserts the tool shows differences in Medicare costs and copayments in ASCs and HOPDs. The Applicant provided Medicare payments information for a sample of procedures that are offered at the ASC to demonstrate the cost differential between ASCs and HOPDs. In response to staff inquiry about estimated cost differences for complex procedures, the Applicant provided additional Medicare payment information for a sample of complex pain and otolaryngology procedures that are offered at the ASC. A selection of the procedures is listed in Table 2. </w:t>
      </w:r>
    </w:p>
    <w:p w14:paraId="0ED18947" w14:textId="77777777" w:rsidR="0043456B" w:rsidRPr="0043456B" w:rsidRDefault="0043456B" w:rsidP="0043456B">
      <w:pPr>
        <w:widowControl/>
        <w:autoSpaceDE/>
        <w:autoSpaceDN/>
        <w:rPr>
          <w:rFonts w:ascii="Garamond" w:eastAsia="Calibri" w:hAnsi="Garamond" w:cs="Arial"/>
          <w:bCs/>
          <w:sz w:val="24"/>
          <w:szCs w:val="24"/>
        </w:rPr>
      </w:pPr>
    </w:p>
    <w:p w14:paraId="178C2FAE" w14:textId="77777777" w:rsidR="0043456B" w:rsidRPr="0043456B" w:rsidRDefault="0043456B" w:rsidP="0043456B">
      <w:pPr>
        <w:widowControl/>
        <w:autoSpaceDE/>
        <w:autoSpaceDN/>
        <w:rPr>
          <w:rFonts w:ascii="Garamond" w:eastAsia="Calibri" w:hAnsi="Garamond"/>
        </w:rPr>
      </w:pPr>
    </w:p>
    <w:p w14:paraId="780DD33D" w14:textId="77777777" w:rsidR="0043456B" w:rsidRPr="0043456B" w:rsidRDefault="0043456B" w:rsidP="0043456B">
      <w:pPr>
        <w:widowControl/>
        <w:autoSpaceDE/>
        <w:autoSpaceDN/>
        <w:rPr>
          <w:rFonts w:ascii="Garamond" w:eastAsia="Calibri" w:hAnsi="Garamond" w:cs="Arial"/>
          <w:b/>
          <w:bCs/>
          <w:color w:val="42558C"/>
          <w:sz w:val="24"/>
          <w:szCs w:val="24"/>
        </w:rPr>
      </w:pPr>
      <w:r w:rsidRPr="0043456B">
        <w:rPr>
          <w:rFonts w:ascii="Garamond" w:eastAsia="Calibri" w:hAnsi="Garamond" w:cs="Arial"/>
          <w:b/>
          <w:bCs/>
          <w:color w:val="42558C"/>
          <w:sz w:val="24"/>
          <w:szCs w:val="24"/>
        </w:rPr>
        <w:lastRenderedPageBreak/>
        <w:t>Table 2: Medicare local payments for a sample of procedures (2020)</w:t>
      </w:r>
      <w:r w:rsidRPr="0043456B">
        <w:rPr>
          <w:rFonts w:ascii="Garamond" w:eastAsia="Calibri" w:hAnsi="Garamond" w:cs="Arial"/>
          <w:b/>
          <w:bCs/>
          <w:color w:val="234170"/>
          <w:sz w:val="24"/>
          <w:szCs w:val="24"/>
          <w:vertAlign w:val="superscript"/>
        </w:rPr>
        <w:footnoteReference w:id="32"/>
      </w:r>
    </w:p>
    <w:p w14:paraId="456DD1BB" w14:textId="77777777" w:rsidR="0043456B" w:rsidRPr="0043456B" w:rsidRDefault="0043456B" w:rsidP="0043456B">
      <w:pPr>
        <w:widowControl/>
        <w:autoSpaceDE/>
        <w:autoSpaceDN/>
        <w:rPr>
          <w:rFonts w:ascii="Garamond" w:eastAsia="Calibri" w:hAnsi="Garamond" w:cs="Arial"/>
          <w:b/>
          <w:bCs/>
          <w:color w:val="42558C"/>
          <w:sz w:val="24"/>
          <w:szCs w:val="24"/>
        </w:rPr>
      </w:pPr>
    </w:p>
    <w:tbl>
      <w:tblPr>
        <w:tblStyle w:val="TableGrid1"/>
        <w:tblW w:w="0" w:type="auto"/>
        <w:tblLook w:val="04A0" w:firstRow="1" w:lastRow="0" w:firstColumn="1" w:lastColumn="0" w:noHBand="0" w:noVBand="1"/>
      </w:tblPr>
      <w:tblGrid>
        <w:gridCol w:w="5184"/>
        <w:gridCol w:w="879"/>
        <w:gridCol w:w="1249"/>
        <w:gridCol w:w="776"/>
        <w:gridCol w:w="879"/>
        <w:gridCol w:w="1249"/>
        <w:gridCol w:w="870"/>
      </w:tblGrid>
      <w:tr w:rsidR="0043456B" w:rsidRPr="0043456B" w14:paraId="015142FE" w14:textId="77777777" w:rsidTr="00507E4C">
        <w:trPr>
          <w:cantSplit/>
          <w:tblHeader/>
        </w:trPr>
        <w:tc>
          <w:tcPr>
            <w:tcW w:w="0" w:type="auto"/>
          </w:tcPr>
          <w:p w14:paraId="2113D577" w14:textId="77777777" w:rsidR="0043456B" w:rsidRPr="0043456B" w:rsidRDefault="0043456B" w:rsidP="0043456B">
            <w:pPr>
              <w:contextualSpacing/>
              <w:rPr>
                <w:rFonts w:ascii="Garamond" w:eastAsia="Calibri" w:hAnsi="Garamond" w:cs="Calibri"/>
              </w:rPr>
            </w:pPr>
          </w:p>
        </w:tc>
        <w:tc>
          <w:tcPr>
            <w:tcW w:w="0" w:type="auto"/>
            <w:gridSpan w:val="3"/>
            <w:shd w:val="clear" w:color="auto" w:fill="DFE3F0"/>
          </w:tcPr>
          <w:p w14:paraId="10F10A9A" w14:textId="77777777" w:rsidR="0043456B" w:rsidRPr="0043456B" w:rsidRDefault="0043456B" w:rsidP="0043456B">
            <w:pPr>
              <w:contextualSpacing/>
              <w:jc w:val="center"/>
              <w:rPr>
                <w:rFonts w:ascii="Garamond" w:eastAsia="Calibri" w:hAnsi="Garamond" w:cs="Calibri"/>
                <w:b/>
                <w:bCs/>
              </w:rPr>
            </w:pPr>
            <w:r w:rsidRPr="0043456B">
              <w:rPr>
                <w:rFonts w:ascii="Garamond" w:eastAsia="Calibri" w:hAnsi="Garamond" w:cs="Calibri"/>
                <w:b/>
                <w:bCs/>
              </w:rPr>
              <w:t>ASC (Average)</w:t>
            </w:r>
          </w:p>
        </w:tc>
        <w:tc>
          <w:tcPr>
            <w:tcW w:w="0" w:type="auto"/>
            <w:gridSpan w:val="3"/>
            <w:shd w:val="clear" w:color="auto" w:fill="DFE3F0"/>
          </w:tcPr>
          <w:p w14:paraId="0A307DA8" w14:textId="77777777" w:rsidR="0043456B" w:rsidRPr="0043456B" w:rsidRDefault="0043456B" w:rsidP="0043456B">
            <w:pPr>
              <w:contextualSpacing/>
              <w:jc w:val="center"/>
              <w:rPr>
                <w:rFonts w:ascii="Garamond" w:eastAsia="Calibri" w:hAnsi="Garamond" w:cs="Calibri"/>
                <w:b/>
                <w:bCs/>
              </w:rPr>
            </w:pPr>
            <w:r w:rsidRPr="0043456B">
              <w:rPr>
                <w:rFonts w:ascii="Garamond" w:eastAsia="Calibri" w:hAnsi="Garamond" w:cs="Calibri"/>
                <w:b/>
                <w:bCs/>
              </w:rPr>
              <w:t>HOPD (Average)</w:t>
            </w:r>
          </w:p>
        </w:tc>
      </w:tr>
      <w:tr w:rsidR="0043456B" w:rsidRPr="0043456B" w14:paraId="49712098" w14:textId="77777777" w:rsidTr="00507E4C">
        <w:trPr>
          <w:cantSplit/>
          <w:tblHeader/>
        </w:trPr>
        <w:tc>
          <w:tcPr>
            <w:tcW w:w="0" w:type="auto"/>
            <w:shd w:val="clear" w:color="auto" w:fill="FFFFFF"/>
          </w:tcPr>
          <w:p w14:paraId="2583BD27" w14:textId="77777777" w:rsidR="0043456B" w:rsidRPr="0043456B" w:rsidRDefault="0043456B" w:rsidP="0043456B">
            <w:pPr>
              <w:contextualSpacing/>
              <w:rPr>
                <w:rFonts w:ascii="Garamond" w:eastAsia="Calibri" w:hAnsi="Garamond" w:cs="Calibri"/>
                <w:b/>
                <w:bCs/>
              </w:rPr>
            </w:pPr>
          </w:p>
        </w:tc>
        <w:tc>
          <w:tcPr>
            <w:tcW w:w="0" w:type="auto"/>
            <w:shd w:val="clear" w:color="auto" w:fill="FFFFFF"/>
          </w:tcPr>
          <w:p w14:paraId="49FC4175"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Total</w:t>
            </w:r>
          </w:p>
        </w:tc>
        <w:tc>
          <w:tcPr>
            <w:tcW w:w="0" w:type="auto"/>
            <w:shd w:val="clear" w:color="auto" w:fill="FFFFFF"/>
          </w:tcPr>
          <w:p w14:paraId="6D6804FF"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Medicare Payment</w:t>
            </w:r>
          </w:p>
        </w:tc>
        <w:tc>
          <w:tcPr>
            <w:tcW w:w="0" w:type="auto"/>
            <w:shd w:val="clear" w:color="auto" w:fill="FFFFFF"/>
          </w:tcPr>
          <w:p w14:paraId="4A94AAEA"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Copay</w:t>
            </w:r>
          </w:p>
        </w:tc>
        <w:tc>
          <w:tcPr>
            <w:tcW w:w="0" w:type="auto"/>
            <w:shd w:val="clear" w:color="auto" w:fill="FFFFFF"/>
          </w:tcPr>
          <w:p w14:paraId="446DABA6"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Total</w:t>
            </w:r>
          </w:p>
        </w:tc>
        <w:tc>
          <w:tcPr>
            <w:tcW w:w="0" w:type="auto"/>
            <w:shd w:val="clear" w:color="auto" w:fill="FFFFFF"/>
          </w:tcPr>
          <w:p w14:paraId="3E5ED493"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Medicare Payment</w:t>
            </w:r>
          </w:p>
        </w:tc>
        <w:tc>
          <w:tcPr>
            <w:tcW w:w="0" w:type="auto"/>
            <w:shd w:val="clear" w:color="auto" w:fill="FFFFFF"/>
          </w:tcPr>
          <w:p w14:paraId="570DDA00"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Copay</w:t>
            </w:r>
          </w:p>
        </w:tc>
      </w:tr>
      <w:tr w:rsidR="0043456B" w:rsidRPr="0043456B" w14:paraId="036444A4" w14:textId="77777777" w:rsidTr="00507E4C">
        <w:trPr>
          <w:cantSplit/>
        </w:trPr>
        <w:tc>
          <w:tcPr>
            <w:tcW w:w="0" w:type="auto"/>
            <w:shd w:val="clear" w:color="auto" w:fill="DFE3F0"/>
          </w:tcPr>
          <w:p w14:paraId="13FC44F5"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cs="Calibri"/>
                <w:b/>
                <w:bCs/>
              </w:rPr>
              <w:t>Orthopedics</w:t>
            </w:r>
          </w:p>
        </w:tc>
        <w:tc>
          <w:tcPr>
            <w:tcW w:w="0" w:type="auto"/>
            <w:shd w:val="clear" w:color="auto" w:fill="DFE3F0"/>
          </w:tcPr>
          <w:p w14:paraId="4FEE2765" w14:textId="77777777" w:rsidR="0043456B" w:rsidRPr="0043456B" w:rsidRDefault="0043456B" w:rsidP="0043456B">
            <w:pPr>
              <w:contextualSpacing/>
              <w:rPr>
                <w:rFonts w:ascii="Garamond" w:eastAsia="Calibri" w:hAnsi="Garamond" w:cs="Calibri"/>
              </w:rPr>
            </w:pPr>
          </w:p>
        </w:tc>
        <w:tc>
          <w:tcPr>
            <w:tcW w:w="0" w:type="auto"/>
            <w:shd w:val="clear" w:color="auto" w:fill="DFE3F0"/>
          </w:tcPr>
          <w:p w14:paraId="7E6A36F6" w14:textId="77777777" w:rsidR="0043456B" w:rsidRPr="0043456B" w:rsidRDefault="0043456B" w:rsidP="0043456B">
            <w:pPr>
              <w:contextualSpacing/>
              <w:rPr>
                <w:rFonts w:ascii="Garamond" w:eastAsia="Calibri" w:hAnsi="Garamond" w:cs="Calibri"/>
              </w:rPr>
            </w:pPr>
          </w:p>
        </w:tc>
        <w:tc>
          <w:tcPr>
            <w:tcW w:w="0" w:type="auto"/>
            <w:shd w:val="clear" w:color="auto" w:fill="DFE3F0"/>
          </w:tcPr>
          <w:p w14:paraId="4BCB8370" w14:textId="77777777" w:rsidR="0043456B" w:rsidRPr="0043456B" w:rsidRDefault="0043456B" w:rsidP="0043456B">
            <w:pPr>
              <w:contextualSpacing/>
              <w:rPr>
                <w:rFonts w:ascii="Garamond" w:eastAsia="Calibri" w:hAnsi="Garamond" w:cs="Calibri"/>
              </w:rPr>
            </w:pPr>
          </w:p>
        </w:tc>
        <w:tc>
          <w:tcPr>
            <w:tcW w:w="0" w:type="auto"/>
            <w:shd w:val="clear" w:color="auto" w:fill="DFE3F0"/>
          </w:tcPr>
          <w:p w14:paraId="597E3421" w14:textId="77777777" w:rsidR="0043456B" w:rsidRPr="0043456B" w:rsidRDefault="0043456B" w:rsidP="0043456B">
            <w:pPr>
              <w:contextualSpacing/>
              <w:rPr>
                <w:rFonts w:ascii="Garamond" w:eastAsia="Calibri" w:hAnsi="Garamond" w:cs="Calibri"/>
              </w:rPr>
            </w:pPr>
          </w:p>
        </w:tc>
        <w:tc>
          <w:tcPr>
            <w:tcW w:w="0" w:type="auto"/>
            <w:shd w:val="clear" w:color="auto" w:fill="DFE3F0"/>
          </w:tcPr>
          <w:p w14:paraId="59A2CB06" w14:textId="77777777" w:rsidR="0043456B" w:rsidRPr="0043456B" w:rsidRDefault="0043456B" w:rsidP="0043456B">
            <w:pPr>
              <w:contextualSpacing/>
              <w:rPr>
                <w:rFonts w:ascii="Garamond" w:eastAsia="Calibri" w:hAnsi="Garamond" w:cs="Calibri"/>
              </w:rPr>
            </w:pPr>
          </w:p>
        </w:tc>
        <w:tc>
          <w:tcPr>
            <w:tcW w:w="0" w:type="auto"/>
            <w:shd w:val="clear" w:color="auto" w:fill="DFE3F0"/>
          </w:tcPr>
          <w:p w14:paraId="55539ABE" w14:textId="77777777" w:rsidR="0043456B" w:rsidRPr="0043456B" w:rsidRDefault="0043456B" w:rsidP="0043456B">
            <w:pPr>
              <w:contextualSpacing/>
              <w:rPr>
                <w:rFonts w:ascii="Garamond" w:eastAsia="Calibri" w:hAnsi="Garamond" w:cs="Calibri"/>
              </w:rPr>
            </w:pPr>
          </w:p>
        </w:tc>
      </w:tr>
      <w:tr w:rsidR="0043456B" w:rsidRPr="0043456B" w14:paraId="1B93B164" w14:textId="77777777" w:rsidTr="00507E4C">
        <w:trPr>
          <w:cantSplit/>
        </w:trPr>
        <w:tc>
          <w:tcPr>
            <w:tcW w:w="0" w:type="auto"/>
          </w:tcPr>
          <w:p w14:paraId="38AA0459"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 xml:space="preserve">Repair of shoulder </w:t>
            </w:r>
            <w:proofErr w:type="gramStart"/>
            <w:r w:rsidRPr="0043456B">
              <w:rPr>
                <w:rFonts w:ascii="Garamond" w:eastAsia="Calibri" w:hAnsi="Garamond" w:cs="Calibri"/>
              </w:rPr>
              <w:t>rotator  cuff</w:t>
            </w:r>
            <w:proofErr w:type="gramEnd"/>
            <w:r w:rsidRPr="0043456B">
              <w:rPr>
                <w:rFonts w:ascii="Garamond" w:eastAsia="Calibri" w:hAnsi="Garamond" w:cs="Calibri"/>
              </w:rPr>
              <w:t xml:space="preserve"> using endoscope</w:t>
            </w:r>
          </w:p>
        </w:tc>
        <w:tc>
          <w:tcPr>
            <w:tcW w:w="0" w:type="auto"/>
          </w:tcPr>
          <w:p w14:paraId="6D7589B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$2,947</w:t>
            </w:r>
          </w:p>
        </w:tc>
        <w:tc>
          <w:tcPr>
            <w:tcW w:w="0" w:type="auto"/>
          </w:tcPr>
          <w:p w14:paraId="51314B4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$2,358</w:t>
            </w:r>
          </w:p>
        </w:tc>
        <w:tc>
          <w:tcPr>
            <w:tcW w:w="0" w:type="auto"/>
          </w:tcPr>
          <w:p w14:paraId="6B22EC1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$589</w:t>
            </w:r>
          </w:p>
        </w:tc>
        <w:tc>
          <w:tcPr>
            <w:tcW w:w="0" w:type="auto"/>
          </w:tcPr>
          <w:p w14:paraId="35C818C1"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$6,816</w:t>
            </w:r>
          </w:p>
        </w:tc>
        <w:tc>
          <w:tcPr>
            <w:tcW w:w="0" w:type="auto"/>
          </w:tcPr>
          <w:p w14:paraId="586A7B41"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$5,453</w:t>
            </w:r>
          </w:p>
        </w:tc>
        <w:tc>
          <w:tcPr>
            <w:tcW w:w="0" w:type="auto"/>
          </w:tcPr>
          <w:p w14:paraId="08074FF9"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$1,363</w:t>
            </w:r>
          </w:p>
        </w:tc>
      </w:tr>
      <w:tr w:rsidR="0043456B" w:rsidRPr="0043456B" w14:paraId="6789EB90" w14:textId="77777777" w:rsidTr="00507E4C">
        <w:trPr>
          <w:cantSplit/>
        </w:trPr>
        <w:tc>
          <w:tcPr>
            <w:tcW w:w="0" w:type="auto"/>
          </w:tcPr>
          <w:p w14:paraId="0C090A12"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Arthroscopy, knee, surgical (medial or lateral)</w:t>
            </w:r>
          </w:p>
        </w:tc>
        <w:tc>
          <w:tcPr>
            <w:tcW w:w="0" w:type="auto"/>
          </w:tcPr>
          <w:p w14:paraId="51D4059E"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$1,352</w:t>
            </w:r>
          </w:p>
        </w:tc>
        <w:tc>
          <w:tcPr>
            <w:tcW w:w="0" w:type="auto"/>
          </w:tcPr>
          <w:p w14:paraId="4DE8574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$1,082</w:t>
            </w:r>
          </w:p>
        </w:tc>
        <w:tc>
          <w:tcPr>
            <w:tcW w:w="0" w:type="auto"/>
          </w:tcPr>
          <w:p w14:paraId="65688F8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$270</w:t>
            </w:r>
          </w:p>
        </w:tc>
        <w:tc>
          <w:tcPr>
            <w:tcW w:w="0" w:type="auto"/>
          </w:tcPr>
          <w:p w14:paraId="77567D30"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$3,119</w:t>
            </w:r>
          </w:p>
        </w:tc>
        <w:tc>
          <w:tcPr>
            <w:tcW w:w="0" w:type="auto"/>
          </w:tcPr>
          <w:p w14:paraId="4C0D8A2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$2,495</w:t>
            </w:r>
          </w:p>
        </w:tc>
        <w:tc>
          <w:tcPr>
            <w:tcW w:w="0" w:type="auto"/>
          </w:tcPr>
          <w:p w14:paraId="3E79F3C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$624</w:t>
            </w:r>
          </w:p>
        </w:tc>
      </w:tr>
      <w:tr w:rsidR="0043456B" w:rsidRPr="0043456B" w14:paraId="791CB339" w14:textId="77777777" w:rsidTr="00507E4C">
        <w:trPr>
          <w:cantSplit/>
        </w:trPr>
        <w:tc>
          <w:tcPr>
            <w:tcW w:w="0" w:type="auto"/>
          </w:tcPr>
          <w:p w14:paraId="311EDE16"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Suture of quadriceps or hamstring muscle rupture; primary</w:t>
            </w:r>
          </w:p>
        </w:tc>
        <w:tc>
          <w:tcPr>
            <w:tcW w:w="0" w:type="auto"/>
          </w:tcPr>
          <w:p w14:paraId="083AC59E"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$2,947</w:t>
            </w:r>
          </w:p>
        </w:tc>
        <w:tc>
          <w:tcPr>
            <w:tcW w:w="0" w:type="auto"/>
          </w:tcPr>
          <w:p w14:paraId="51BBE6C9"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$2,358</w:t>
            </w:r>
          </w:p>
        </w:tc>
        <w:tc>
          <w:tcPr>
            <w:tcW w:w="0" w:type="auto"/>
          </w:tcPr>
          <w:p w14:paraId="30918330"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$589</w:t>
            </w:r>
          </w:p>
        </w:tc>
        <w:tc>
          <w:tcPr>
            <w:tcW w:w="0" w:type="auto"/>
          </w:tcPr>
          <w:p w14:paraId="59629DEE"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$6,816</w:t>
            </w:r>
          </w:p>
        </w:tc>
        <w:tc>
          <w:tcPr>
            <w:tcW w:w="0" w:type="auto"/>
          </w:tcPr>
          <w:p w14:paraId="375196F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$5,453</w:t>
            </w:r>
          </w:p>
        </w:tc>
        <w:tc>
          <w:tcPr>
            <w:tcW w:w="0" w:type="auto"/>
          </w:tcPr>
          <w:p w14:paraId="501963F6"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$1,363</w:t>
            </w:r>
          </w:p>
        </w:tc>
      </w:tr>
      <w:tr w:rsidR="0043456B" w:rsidRPr="0043456B" w14:paraId="22E2F05E" w14:textId="77777777" w:rsidTr="00507E4C">
        <w:trPr>
          <w:cantSplit/>
        </w:trPr>
        <w:tc>
          <w:tcPr>
            <w:tcW w:w="0" w:type="auto"/>
          </w:tcPr>
          <w:p w14:paraId="5D149042"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Removal of deep bone implant</w:t>
            </w:r>
          </w:p>
        </w:tc>
        <w:tc>
          <w:tcPr>
            <w:tcW w:w="0" w:type="auto"/>
          </w:tcPr>
          <w:p w14:paraId="78EF2C3C"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$1,045</w:t>
            </w:r>
          </w:p>
        </w:tc>
        <w:tc>
          <w:tcPr>
            <w:tcW w:w="0" w:type="auto"/>
          </w:tcPr>
          <w:p w14:paraId="0A80E81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$836</w:t>
            </w:r>
          </w:p>
        </w:tc>
        <w:tc>
          <w:tcPr>
            <w:tcW w:w="0" w:type="auto"/>
          </w:tcPr>
          <w:p w14:paraId="0E54A296"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$209</w:t>
            </w:r>
          </w:p>
        </w:tc>
        <w:tc>
          <w:tcPr>
            <w:tcW w:w="0" w:type="auto"/>
          </w:tcPr>
          <w:p w14:paraId="5FEDFB01"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$2,642</w:t>
            </w:r>
          </w:p>
        </w:tc>
        <w:tc>
          <w:tcPr>
            <w:tcW w:w="0" w:type="auto"/>
          </w:tcPr>
          <w:p w14:paraId="47C33D24"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$2,114</w:t>
            </w:r>
          </w:p>
        </w:tc>
        <w:tc>
          <w:tcPr>
            <w:tcW w:w="0" w:type="auto"/>
          </w:tcPr>
          <w:p w14:paraId="280D5782"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$528</w:t>
            </w:r>
          </w:p>
        </w:tc>
      </w:tr>
      <w:tr w:rsidR="0043456B" w:rsidRPr="0043456B" w14:paraId="0EB5C896" w14:textId="77777777" w:rsidTr="00507E4C">
        <w:trPr>
          <w:cantSplit/>
        </w:trPr>
        <w:tc>
          <w:tcPr>
            <w:tcW w:w="0" w:type="auto"/>
            <w:shd w:val="clear" w:color="auto" w:fill="DFE3F0"/>
          </w:tcPr>
          <w:p w14:paraId="772C0D54"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cs="Calibri"/>
                <w:b/>
                <w:bCs/>
              </w:rPr>
              <w:t>Podiatry</w:t>
            </w:r>
          </w:p>
        </w:tc>
        <w:tc>
          <w:tcPr>
            <w:tcW w:w="0" w:type="auto"/>
            <w:shd w:val="clear" w:color="auto" w:fill="DFE3F0"/>
          </w:tcPr>
          <w:p w14:paraId="70083EC8"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075D74D2"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27576100"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5E310621"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19C5049F"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364EF911" w14:textId="77777777" w:rsidR="0043456B" w:rsidRPr="0043456B" w:rsidRDefault="0043456B" w:rsidP="0043456B">
            <w:pPr>
              <w:contextualSpacing/>
              <w:jc w:val="center"/>
              <w:rPr>
                <w:rFonts w:ascii="Garamond" w:eastAsia="Calibri" w:hAnsi="Garamond" w:cs="Calibri"/>
              </w:rPr>
            </w:pPr>
          </w:p>
        </w:tc>
      </w:tr>
      <w:tr w:rsidR="0043456B" w:rsidRPr="0043456B" w14:paraId="1EBA5295" w14:textId="77777777" w:rsidTr="00507E4C">
        <w:trPr>
          <w:cantSplit/>
        </w:trPr>
        <w:tc>
          <w:tcPr>
            <w:tcW w:w="0" w:type="auto"/>
            <w:shd w:val="clear" w:color="auto" w:fill="auto"/>
          </w:tcPr>
          <w:p w14:paraId="6EDCD9F0"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rPr>
              <w:t xml:space="preserve">Correction, hallux valgus (bunionectomy), with </w:t>
            </w:r>
            <w:proofErr w:type="spellStart"/>
            <w:r w:rsidRPr="0043456B">
              <w:rPr>
                <w:rFonts w:ascii="Garamond" w:eastAsia="Calibri" w:hAnsi="Garamond"/>
              </w:rPr>
              <w:t>sesamoidectomy</w:t>
            </w:r>
            <w:proofErr w:type="spellEnd"/>
            <w:r w:rsidRPr="0043456B">
              <w:rPr>
                <w:rFonts w:ascii="Garamond" w:eastAsia="Calibri" w:hAnsi="Garamond"/>
              </w:rPr>
              <w:t xml:space="preserve">, when performed; with distal metatarsal osteotomy, any method </w:t>
            </w:r>
          </w:p>
        </w:tc>
        <w:tc>
          <w:tcPr>
            <w:tcW w:w="0" w:type="auto"/>
            <w:shd w:val="clear" w:color="auto" w:fill="auto"/>
          </w:tcPr>
          <w:p w14:paraId="29A1B5EA"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$4,521</w:t>
            </w:r>
          </w:p>
        </w:tc>
        <w:tc>
          <w:tcPr>
            <w:tcW w:w="0" w:type="auto"/>
            <w:shd w:val="clear" w:color="auto" w:fill="auto"/>
          </w:tcPr>
          <w:p w14:paraId="3BCC90E0"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$3,617</w:t>
            </w:r>
          </w:p>
        </w:tc>
        <w:tc>
          <w:tcPr>
            <w:tcW w:w="0" w:type="auto"/>
            <w:shd w:val="clear" w:color="auto" w:fill="auto"/>
          </w:tcPr>
          <w:p w14:paraId="31DEA410"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$904</w:t>
            </w:r>
          </w:p>
        </w:tc>
        <w:tc>
          <w:tcPr>
            <w:tcW w:w="0" w:type="auto"/>
            <w:shd w:val="clear" w:color="auto" w:fill="auto"/>
          </w:tcPr>
          <w:p w14:paraId="4548C69D"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$6,816</w:t>
            </w:r>
          </w:p>
        </w:tc>
        <w:tc>
          <w:tcPr>
            <w:tcW w:w="0" w:type="auto"/>
            <w:shd w:val="clear" w:color="auto" w:fill="auto"/>
          </w:tcPr>
          <w:p w14:paraId="13F855D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$5,453</w:t>
            </w:r>
          </w:p>
        </w:tc>
        <w:tc>
          <w:tcPr>
            <w:tcW w:w="0" w:type="auto"/>
            <w:shd w:val="clear" w:color="auto" w:fill="auto"/>
          </w:tcPr>
          <w:p w14:paraId="39020D05"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$1,363</w:t>
            </w:r>
          </w:p>
        </w:tc>
      </w:tr>
      <w:tr w:rsidR="0043456B" w:rsidRPr="0043456B" w14:paraId="799A3AAF" w14:textId="77777777" w:rsidTr="00507E4C">
        <w:trPr>
          <w:cantSplit/>
        </w:trPr>
        <w:tc>
          <w:tcPr>
            <w:tcW w:w="0" w:type="auto"/>
            <w:shd w:val="clear" w:color="auto" w:fill="DFE3F0"/>
          </w:tcPr>
          <w:p w14:paraId="6CFEE8D4"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cs="Calibri"/>
                <w:b/>
                <w:bCs/>
              </w:rPr>
              <w:t>Otolaryngology</w:t>
            </w:r>
          </w:p>
        </w:tc>
        <w:tc>
          <w:tcPr>
            <w:tcW w:w="0" w:type="auto"/>
            <w:shd w:val="clear" w:color="auto" w:fill="DFE3F0"/>
          </w:tcPr>
          <w:p w14:paraId="0A3710E5"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7D8FC8AD"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10128A7D"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325797C8"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65669A3D" w14:textId="77777777" w:rsidR="0043456B" w:rsidRPr="0043456B" w:rsidRDefault="0043456B" w:rsidP="0043456B">
            <w:pPr>
              <w:contextualSpacing/>
              <w:jc w:val="center"/>
              <w:rPr>
                <w:rFonts w:ascii="Garamond" w:eastAsia="Calibri" w:hAnsi="Garamond" w:cs="Calibri"/>
              </w:rPr>
            </w:pPr>
          </w:p>
        </w:tc>
        <w:tc>
          <w:tcPr>
            <w:tcW w:w="0" w:type="auto"/>
            <w:shd w:val="clear" w:color="auto" w:fill="DFE3F0"/>
          </w:tcPr>
          <w:p w14:paraId="2C37F40C" w14:textId="77777777" w:rsidR="0043456B" w:rsidRPr="0043456B" w:rsidRDefault="0043456B" w:rsidP="0043456B">
            <w:pPr>
              <w:contextualSpacing/>
              <w:jc w:val="center"/>
              <w:rPr>
                <w:rFonts w:ascii="Garamond" w:eastAsia="Calibri" w:hAnsi="Garamond" w:cs="Calibri"/>
              </w:rPr>
            </w:pPr>
          </w:p>
        </w:tc>
      </w:tr>
      <w:tr w:rsidR="0043456B" w:rsidRPr="0043456B" w14:paraId="57606680" w14:textId="77777777" w:rsidTr="00507E4C">
        <w:trPr>
          <w:cantSplit/>
        </w:trPr>
        <w:tc>
          <w:tcPr>
            <w:tcW w:w="0" w:type="auto"/>
            <w:shd w:val="clear" w:color="auto" w:fill="FFFFFF"/>
          </w:tcPr>
          <w:p w14:paraId="2CCA52F9"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Nasal sinus endoscopy frontal tissue removal</w:t>
            </w:r>
          </w:p>
        </w:tc>
        <w:tc>
          <w:tcPr>
            <w:tcW w:w="0" w:type="auto"/>
            <w:shd w:val="clear" w:color="auto" w:fill="FFFFFF"/>
          </w:tcPr>
          <w:p w14:paraId="68DDD69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$1,993</w:t>
            </w:r>
          </w:p>
        </w:tc>
        <w:tc>
          <w:tcPr>
            <w:tcW w:w="0" w:type="auto"/>
            <w:shd w:val="clear" w:color="auto" w:fill="FFFFFF"/>
          </w:tcPr>
          <w:p w14:paraId="217F8C7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$1,594</w:t>
            </w:r>
          </w:p>
        </w:tc>
        <w:tc>
          <w:tcPr>
            <w:tcW w:w="0" w:type="auto"/>
            <w:shd w:val="clear" w:color="auto" w:fill="FFFFFF"/>
          </w:tcPr>
          <w:p w14:paraId="353DABD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$399</w:t>
            </w:r>
          </w:p>
        </w:tc>
        <w:tc>
          <w:tcPr>
            <w:tcW w:w="0" w:type="auto"/>
            <w:shd w:val="clear" w:color="auto" w:fill="FFFFFF"/>
          </w:tcPr>
          <w:p w14:paraId="19F650CB"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$6,199</w:t>
            </w:r>
          </w:p>
        </w:tc>
        <w:tc>
          <w:tcPr>
            <w:tcW w:w="0" w:type="auto"/>
            <w:shd w:val="clear" w:color="auto" w:fill="FFFFFF"/>
          </w:tcPr>
          <w:p w14:paraId="19862EA0"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$4,959</w:t>
            </w:r>
          </w:p>
        </w:tc>
        <w:tc>
          <w:tcPr>
            <w:tcW w:w="0" w:type="auto"/>
            <w:shd w:val="clear" w:color="auto" w:fill="FFFFFF"/>
          </w:tcPr>
          <w:p w14:paraId="4BB7706A"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$1,240</w:t>
            </w:r>
          </w:p>
        </w:tc>
      </w:tr>
      <w:tr w:rsidR="0043456B" w:rsidRPr="0043456B" w14:paraId="42BCFC2B" w14:textId="77777777" w:rsidTr="00507E4C">
        <w:trPr>
          <w:cantSplit/>
        </w:trPr>
        <w:tc>
          <w:tcPr>
            <w:tcW w:w="0" w:type="auto"/>
            <w:shd w:val="clear" w:color="auto" w:fill="FFFFFF"/>
          </w:tcPr>
          <w:p w14:paraId="28492E18" w14:textId="77777777" w:rsidR="0043456B" w:rsidRPr="0043456B" w:rsidRDefault="0043456B" w:rsidP="0043456B">
            <w:pPr>
              <w:contextualSpacing/>
              <w:rPr>
                <w:rFonts w:ascii="Garamond" w:eastAsia="Calibri" w:hAnsi="Garamond" w:cs="Calibri"/>
              </w:rPr>
            </w:pPr>
            <w:r w:rsidRPr="0043456B">
              <w:rPr>
                <w:rFonts w:ascii="Garamond" w:eastAsia="Calibri" w:hAnsi="Garamond"/>
              </w:rPr>
              <w:t>Repair of nasal septum (Septoplasty)</w:t>
            </w:r>
          </w:p>
        </w:tc>
        <w:tc>
          <w:tcPr>
            <w:tcW w:w="0" w:type="auto"/>
            <w:shd w:val="clear" w:color="auto" w:fill="FFFFFF"/>
          </w:tcPr>
          <w:p w14:paraId="1A7A1049"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$1,109</w:t>
            </w:r>
          </w:p>
        </w:tc>
        <w:tc>
          <w:tcPr>
            <w:tcW w:w="0" w:type="auto"/>
            <w:shd w:val="clear" w:color="auto" w:fill="FFFFFF"/>
          </w:tcPr>
          <w:p w14:paraId="57CF7186"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$887</w:t>
            </w:r>
          </w:p>
        </w:tc>
        <w:tc>
          <w:tcPr>
            <w:tcW w:w="0" w:type="auto"/>
            <w:shd w:val="clear" w:color="auto" w:fill="FFFFFF"/>
          </w:tcPr>
          <w:p w14:paraId="4C42F393"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$222</w:t>
            </w:r>
          </w:p>
        </w:tc>
        <w:tc>
          <w:tcPr>
            <w:tcW w:w="0" w:type="auto"/>
            <w:shd w:val="clear" w:color="auto" w:fill="FFFFFF"/>
          </w:tcPr>
          <w:p w14:paraId="3F873CB2"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$2,985</w:t>
            </w:r>
          </w:p>
        </w:tc>
        <w:tc>
          <w:tcPr>
            <w:tcW w:w="0" w:type="auto"/>
            <w:shd w:val="clear" w:color="auto" w:fill="FFFFFF"/>
          </w:tcPr>
          <w:p w14:paraId="423060E4"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$2,388</w:t>
            </w:r>
          </w:p>
        </w:tc>
        <w:tc>
          <w:tcPr>
            <w:tcW w:w="0" w:type="auto"/>
            <w:shd w:val="clear" w:color="auto" w:fill="FFFFFF"/>
          </w:tcPr>
          <w:p w14:paraId="5501D7B4" w14:textId="77777777" w:rsidR="0043456B" w:rsidRPr="0043456B" w:rsidRDefault="0043456B" w:rsidP="0043456B">
            <w:pPr>
              <w:contextualSpacing/>
              <w:jc w:val="center"/>
              <w:rPr>
                <w:rFonts w:ascii="Garamond" w:eastAsia="Calibri" w:hAnsi="Garamond"/>
              </w:rPr>
            </w:pPr>
            <w:r w:rsidRPr="0043456B">
              <w:rPr>
                <w:rFonts w:ascii="Garamond" w:eastAsia="Calibri" w:hAnsi="Garamond"/>
              </w:rPr>
              <w:t>$597</w:t>
            </w:r>
          </w:p>
        </w:tc>
      </w:tr>
      <w:tr w:rsidR="0043456B" w:rsidRPr="0043456B" w14:paraId="7AE055EC" w14:textId="77777777" w:rsidTr="00507E4C">
        <w:trPr>
          <w:cantSplit/>
        </w:trPr>
        <w:tc>
          <w:tcPr>
            <w:tcW w:w="0" w:type="auto"/>
            <w:shd w:val="clear" w:color="auto" w:fill="DFE3F0"/>
          </w:tcPr>
          <w:p w14:paraId="6722C70C"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cs="Calibri"/>
                <w:b/>
                <w:bCs/>
              </w:rPr>
              <w:t>Urology</w:t>
            </w:r>
          </w:p>
        </w:tc>
        <w:tc>
          <w:tcPr>
            <w:tcW w:w="0" w:type="auto"/>
            <w:shd w:val="clear" w:color="auto" w:fill="DFE3F0"/>
          </w:tcPr>
          <w:p w14:paraId="3C3B17DD" w14:textId="77777777" w:rsidR="0043456B" w:rsidRPr="0043456B" w:rsidRDefault="0043456B" w:rsidP="0043456B">
            <w:pPr>
              <w:contextualSpacing/>
              <w:jc w:val="center"/>
              <w:rPr>
                <w:rFonts w:ascii="Garamond" w:eastAsia="Calibri" w:hAnsi="Garamond" w:cs="Calibri"/>
                <w:b/>
                <w:bCs/>
              </w:rPr>
            </w:pPr>
          </w:p>
        </w:tc>
        <w:tc>
          <w:tcPr>
            <w:tcW w:w="0" w:type="auto"/>
            <w:shd w:val="clear" w:color="auto" w:fill="DFE3F0"/>
          </w:tcPr>
          <w:p w14:paraId="420F4078" w14:textId="77777777" w:rsidR="0043456B" w:rsidRPr="0043456B" w:rsidRDefault="0043456B" w:rsidP="0043456B">
            <w:pPr>
              <w:contextualSpacing/>
              <w:jc w:val="center"/>
              <w:rPr>
                <w:rFonts w:ascii="Garamond" w:eastAsia="Calibri" w:hAnsi="Garamond" w:cs="Calibri"/>
                <w:b/>
                <w:bCs/>
              </w:rPr>
            </w:pPr>
          </w:p>
        </w:tc>
        <w:tc>
          <w:tcPr>
            <w:tcW w:w="0" w:type="auto"/>
            <w:shd w:val="clear" w:color="auto" w:fill="DFE3F0"/>
          </w:tcPr>
          <w:p w14:paraId="5E29047F" w14:textId="77777777" w:rsidR="0043456B" w:rsidRPr="0043456B" w:rsidRDefault="0043456B" w:rsidP="0043456B">
            <w:pPr>
              <w:contextualSpacing/>
              <w:jc w:val="center"/>
              <w:rPr>
                <w:rFonts w:ascii="Garamond" w:eastAsia="Calibri" w:hAnsi="Garamond" w:cs="Calibri"/>
                <w:b/>
                <w:bCs/>
              </w:rPr>
            </w:pPr>
          </w:p>
        </w:tc>
        <w:tc>
          <w:tcPr>
            <w:tcW w:w="0" w:type="auto"/>
            <w:shd w:val="clear" w:color="auto" w:fill="DFE3F0"/>
          </w:tcPr>
          <w:p w14:paraId="669E7239" w14:textId="77777777" w:rsidR="0043456B" w:rsidRPr="0043456B" w:rsidRDefault="0043456B" w:rsidP="0043456B">
            <w:pPr>
              <w:contextualSpacing/>
              <w:jc w:val="center"/>
              <w:rPr>
                <w:rFonts w:ascii="Garamond" w:eastAsia="Calibri" w:hAnsi="Garamond" w:cs="Calibri"/>
                <w:b/>
                <w:bCs/>
              </w:rPr>
            </w:pPr>
          </w:p>
        </w:tc>
        <w:tc>
          <w:tcPr>
            <w:tcW w:w="0" w:type="auto"/>
            <w:shd w:val="clear" w:color="auto" w:fill="DFE3F0"/>
          </w:tcPr>
          <w:p w14:paraId="6790D8BC" w14:textId="77777777" w:rsidR="0043456B" w:rsidRPr="0043456B" w:rsidRDefault="0043456B" w:rsidP="0043456B">
            <w:pPr>
              <w:contextualSpacing/>
              <w:jc w:val="center"/>
              <w:rPr>
                <w:rFonts w:ascii="Garamond" w:eastAsia="Calibri" w:hAnsi="Garamond" w:cs="Calibri"/>
                <w:b/>
                <w:bCs/>
              </w:rPr>
            </w:pPr>
          </w:p>
        </w:tc>
        <w:tc>
          <w:tcPr>
            <w:tcW w:w="0" w:type="auto"/>
            <w:shd w:val="clear" w:color="auto" w:fill="DFE3F0"/>
          </w:tcPr>
          <w:p w14:paraId="3AD790F2" w14:textId="77777777" w:rsidR="0043456B" w:rsidRPr="0043456B" w:rsidRDefault="0043456B" w:rsidP="0043456B">
            <w:pPr>
              <w:contextualSpacing/>
              <w:jc w:val="center"/>
              <w:rPr>
                <w:rFonts w:ascii="Garamond" w:eastAsia="Calibri" w:hAnsi="Garamond" w:cs="Calibri"/>
                <w:b/>
                <w:bCs/>
              </w:rPr>
            </w:pPr>
          </w:p>
        </w:tc>
      </w:tr>
      <w:tr w:rsidR="0043456B" w:rsidRPr="0043456B" w14:paraId="58CA7F5F" w14:textId="77777777" w:rsidTr="00507E4C">
        <w:trPr>
          <w:cantSplit/>
        </w:trPr>
        <w:tc>
          <w:tcPr>
            <w:tcW w:w="0" w:type="auto"/>
            <w:shd w:val="clear" w:color="auto" w:fill="FFFFFF"/>
          </w:tcPr>
          <w:p w14:paraId="0B4D3FEA"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Fragmenting of kidney stone (ESWL)</w:t>
            </w:r>
          </w:p>
        </w:tc>
        <w:tc>
          <w:tcPr>
            <w:tcW w:w="0" w:type="auto"/>
            <w:shd w:val="clear" w:color="auto" w:fill="FFFFFF"/>
          </w:tcPr>
          <w:p w14:paraId="2D99AD2E"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$1,045</w:t>
            </w:r>
          </w:p>
        </w:tc>
        <w:tc>
          <w:tcPr>
            <w:tcW w:w="0" w:type="auto"/>
            <w:shd w:val="clear" w:color="auto" w:fill="FFFFFF"/>
          </w:tcPr>
          <w:p w14:paraId="7B9587E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$1,158</w:t>
            </w:r>
          </w:p>
        </w:tc>
        <w:tc>
          <w:tcPr>
            <w:tcW w:w="0" w:type="auto"/>
            <w:shd w:val="clear" w:color="auto" w:fill="FFFFFF"/>
          </w:tcPr>
          <w:p w14:paraId="328B08ED"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$289</w:t>
            </w:r>
          </w:p>
        </w:tc>
        <w:tc>
          <w:tcPr>
            <w:tcW w:w="0" w:type="auto"/>
            <w:shd w:val="clear" w:color="auto" w:fill="FFFFFF"/>
          </w:tcPr>
          <w:p w14:paraId="1AE2308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$3,439</w:t>
            </w:r>
          </w:p>
        </w:tc>
        <w:tc>
          <w:tcPr>
            <w:tcW w:w="0" w:type="auto"/>
            <w:shd w:val="clear" w:color="auto" w:fill="FFFFFF"/>
          </w:tcPr>
          <w:p w14:paraId="726BBED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$2,751</w:t>
            </w:r>
          </w:p>
        </w:tc>
        <w:tc>
          <w:tcPr>
            <w:tcW w:w="0" w:type="auto"/>
            <w:shd w:val="clear" w:color="auto" w:fill="FFFFFF"/>
          </w:tcPr>
          <w:p w14:paraId="2A855995"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$688</w:t>
            </w:r>
          </w:p>
        </w:tc>
      </w:tr>
      <w:tr w:rsidR="0043456B" w:rsidRPr="0043456B" w14:paraId="71BC665F" w14:textId="77777777" w:rsidTr="00507E4C">
        <w:trPr>
          <w:cantSplit/>
        </w:trPr>
        <w:tc>
          <w:tcPr>
            <w:tcW w:w="0" w:type="auto"/>
            <w:shd w:val="clear" w:color="auto" w:fill="FFFFFF"/>
          </w:tcPr>
          <w:p w14:paraId="6B853BF9" w14:textId="77777777" w:rsidR="0043456B" w:rsidRPr="0043456B" w:rsidRDefault="0043456B" w:rsidP="0043456B">
            <w:pPr>
              <w:contextualSpacing/>
              <w:rPr>
                <w:rFonts w:ascii="Garamond" w:eastAsia="Calibri" w:hAnsi="Garamond" w:cs="Calibri"/>
              </w:rPr>
            </w:pPr>
            <w:r w:rsidRPr="0043456B">
              <w:rPr>
                <w:rFonts w:ascii="Garamond" w:eastAsia="Calibri" w:hAnsi="Garamond" w:cs="Calibri"/>
              </w:rPr>
              <w:t>Cystoscopy with biopsy</w:t>
            </w:r>
          </w:p>
        </w:tc>
        <w:tc>
          <w:tcPr>
            <w:tcW w:w="0" w:type="auto"/>
            <w:shd w:val="clear" w:color="auto" w:fill="FFFFFF"/>
          </w:tcPr>
          <w:p w14:paraId="715A9ED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$830</w:t>
            </w:r>
          </w:p>
        </w:tc>
        <w:tc>
          <w:tcPr>
            <w:tcW w:w="0" w:type="auto"/>
            <w:shd w:val="clear" w:color="auto" w:fill="FFFFFF"/>
          </w:tcPr>
          <w:p w14:paraId="3C8C80C9"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$664</w:t>
            </w:r>
          </w:p>
        </w:tc>
        <w:tc>
          <w:tcPr>
            <w:tcW w:w="0" w:type="auto"/>
            <w:shd w:val="clear" w:color="auto" w:fill="FFFFFF"/>
          </w:tcPr>
          <w:p w14:paraId="75358166"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$166</w:t>
            </w:r>
          </w:p>
        </w:tc>
        <w:tc>
          <w:tcPr>
            <w:tcW w:w="0" w:type="auto"/>
            <w:shd w:val="clear" w:color="auto" w:fill="FFFFFF"/>
          </w:tcPr>
          <w:p w14:paraId="20B212DA"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$2,018</w:t>
            </w:r>
          </w:p>
        </w:tc>
        <w:tc>
          <w:tcPr>
            <w:tcW w:w="0" w:type="auto"/>
            <w:shd w:val="clear" w:color="auto" w:fill="FFFFFF"/>
          </w:tcPr>
          <w:p w14:paraId="6A8A0524"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$1,614</w:t>
            </w:r>
          </w:p>
        </w:tc>
        <w:tc>
          <w:tcPr>
            <w:tcW w:w="0" w:type="auto"/>
            <w:shd w:val="clear" w:color="auto" w:fill="FFFFFF"/>
          </w:tcPr>
          <w:p w14:paraId="4BF42F0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$404</w:t>
            </w:r>
          </w:p>
        </w:tc>
      </w:tr>
      <w:tr w:rsidR="0043456B" w:rsidRPr="0043456B" w14:paraId="4EABAA53" w14:textId="77777777" w:rsidTr="00507E4C">
        <w:trPr>
          <w:cantSplit/>
        </w:trPr>
        <w:tc>
          <w:tcPr>
            <w:tcW w:w="0" w:type="auto"/>
            <w:tcBorders>
              <w:top w:val="single" w:sz="4" w:space="0" w:color="auto"/>
              <w:left w:val="single" w:sz="4" w:space="0" w:color="auto"/>
              <w:bottom w:val="single" w:sz="4" w:space="0" w:color="auto"/>
              <w:right w:val="single" w:sz="4" w:space="0" w:color="auto"/>
            </w:tcBorders>
            <w:shd w:val="clear" w:color="auto" w:fill="DFE3F0"/>
            <w:hideMark/>
          </w:tcPr>
          <w:p w14:paraId="63B03402" w14:textId="77777777" w:rsidR="0043456B" w:rsidRPr="0043456B" w:rsidRDefault="0043456B" w:rsidP="0043456B">
            <w:pPr>
              <w:contextualSpacing/>
              <w:rPr>
                <w:rFonts w:ascii="Garamond" w:eastAsia="Calibri" w:hAnsi="Garamond" w:cs="Calibri"/>
                <w:b/>
                <w:bCs/>
              </w:rPr>
            </w:pPr>
            <w:r w:rsidRPr="0043456B">
              <w:rPr>
                <w:rFonts w:ascii="Garamond" w:eastAsia="Calibri" w:hAnsi="Garamond" w:cs="Calibri"/>
                <w:b/>
                <w:bCs/>
              </w:rPr>
              <w:t>Pain Management</w:t>
            </w: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79C82756" w14:textId="77777777" w:rsidR="0043456B" w:rsidRPr="0043456B" w:rsidRDefault="0043456B" w:rsidP="0043456B">
            <w:pPr>
              <w:contextualSpacing/>
              <w:jc w:val="center"/>
              <w:rPr>
                <w:rFonts w:ascii="Garamond" w:eastAsia="Calibri" w:hAnsi="Garamond" w:cs="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0E99FCB1" w14:textId="77777777" w:rsidR="0043456B" w:rsidRPr="0043456B" w:rsidRDefault="0043456B" w:rsidP="0043456B">
            <w:pPr>
              <w:contextualSpacing/>
              <w:jc w:val="center"/>
              <w:rPr>
                <w:rFonts w:ascii="Garamond" w:eastAsia="Calibri" w:hAnsi="Garamond" w:cs="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447FBBE3" w14:textId="77777777" w:rsidR="0043456B" w:rsidRPr="0043456B" w:rsidRDefault="0043456B" w:rsidP="0043456B">
            <w:pPr>
              <w:contextualSpacing/>
              <w:jc w:val="center"/>
              <w:rPr>
                <w:rFonts w:ascii="Garamond" w:eastAsia="Calibri" w:hAnsi="Garamond" w:cs="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7357C608" w14:textId="77777777" w:rsidR="0043456B" w:rsidRPr="0043456B" w:rsidRDefault="0043456B" w:rsidP="0043456B">
            <w:pPr>
              <w:contextualSpacing/>
              <w:jc w:val="center"/>
              <w:rPr>
                <w:rFonts w:ascii="Garamond" w:eastAsia="Calibri" w:hAnsi="Garamond" w:cs="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0955278E" w14:textId="77777777" w:rsidR="0043456B" w:rsidRPr="0043456B" w:rsidRDefault="0043456B" w:rsidP="0043456B">
            <w:pPr>
              <w:contextualSpacing/>
              <w:jc w:val="center"/>
              <w:rPr>
                <w:rFonts w:ascii="Garamond" w:eastAsia="Calibri" w:hAnsi="Garamond" w:cs="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cPr>
          <w:p w14:paraId="22DB35CC" w14:textId="77777777" w:rsidR="0043456B" w:rsidRPr="0043456B" w:rsidRDefault="0043456B" w:rsidP="0043456B">
            <w:pPr>
              <w:contextualSpacing/>
              <w:jc w:val="center"/>
              <w:rPr>
                <w:rFonts w:ascii="Garamond" w:eastAsia="Calibri" w:hAnsi="Garamond" w:cs="Calibri"/>
                <w:b/>
                <w:bCs/>
              </w:rPr>
            </w:pPr>
          </w:p>
        </w:tc>
      </w:tr>
      <w:tr w:rsidR="0043456B" w:rsidRPr="0043456B" w14:paraId="7AB72653" w14:textId="77777777" w:rsidTr="00507E4C">
        <w:trPr>
          <w:cantSplit/>
        </w:trPr>
        <w:tc>
          <w:tcPr>
            <w:tcW w:w="0" w:type="auto"/>
            <w:tcBorders>
              <w:top w:val="single" w:sz="4" w:space="0" w:color="auto"/>
              <w:left w:val="single" w:sz="4" w:space="0" w:color="auto"/>
              <w:bottom w:val="single" w:sz="4" w:space="0" w:color="auto"/>
              <w:right w:val="single" w:sz="4" w:space="0" w:color="auto"/>
            </w:tcBorders>
            <w:hideMark/>
          </w:tcPr>
          <w:p w14:paraId="2AB21C7A" w14:textId="77777777" w:rsidR="0043456B" w:rsidRPr="0043456B" w:rsidRDefault="0043456B" w:rsidP="0043456B">
            <w:pPr>
              <w:contextualSpacing/>
              <w:rPr>
                <w:rFonts w:ascii="Garamond" w:eastAsia="Calibri" w:hAnsi="Garamond" w:cs="Calibri"/>
              </w:rPr>
            </w:pPr>
            <w:r w:rsidRPr="0043456B">
              <w:rPr>
                <w:rFonts w:ascii="Garamond" w:eastAsia="Calibri" w:hAnsi="Garamond"/>
              </w:rPr>
              <w:t>Percutaneous Laminectomy for decompression of neural elements (MILD)</w:t>
            </w:r>
          </w:p>
        </w:tc>
        <w:tc>
          <w:tcPr>
            <w:tcW w:w="0" w:type="auto"/>
            <w:tcBorders>
              <w:top w:val="single" w:sz="4" w:space="0" w:color="auto"/>
              <w:left w:val="single" w:sz="4" w:space="0" w:color="auto"/>
              <w:bottom w:val="single" w:sz="4" w:space="0" w:color="auto"/>
              <w:right w:val="single" w:sz="4" w:space="0" w:color="auto"/>
            </w:tcBorders>
          </w:tcPr>
          <w:p w14:paraId="0DFB447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$2,947</w:t>
            </w:r>
          </w:p>
        </w:tc>
        <w:tc>
          <w:tcPr>
            <w:tcW w:w="0" w:type="auto"/>
            <w:tcBorders>
              <w:top w:val="single" w:sz="4" w:space="0" w:color="auto"/>
              <w:left w:val="single" w:sz="4" w:space="0" w:color="auto"/>
              <w:bottom w:val="single" w:sz="4" w:space="0" w:color="auto"/>
              <w:right w:val="single" w:sz="4" w:space="0" w:color="auto"/>
            </w:tcBorders>
          </w:tcPr>
          <w:p w14:paraId="7B7F7D3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$2,358</w:t>
            </w:r>
          </w:p>
        </w:tc>
        <w:tc>
          <w:tcPr>
            <w:tcW w:w="0" w:type="auto"/>
            <w:tcBorders>
              <w:top w:val="single" w:sz="4" w:space="0" w:color="auto"/>
              <w:left w:val="single" w:sz="4" w:space="0" w:color="auto"/>
              <w:bottom w:val="single" w:sz="4" w:space="0" w:color="auto"/>
              <w:right w:val="single" w:sz="4" w:space="0" w:color="auto"/>
            </w:tcBorders>
          </w:tcPr>
          <w:p w14:paraId="64F4D42B"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$589</w:t>
            </w:r>
          </w:p>
        </w:tc>
        <w:tc>
          <w:tcPr>
            <w:tcW w:w="0" w:type="auto"/>
            <w:tcBorders>
              <w:top w:val="single" w:sz="4" w:space="0" w:color="auto"/>
              <w:left w:val="single" w:sz="4" w:space="0" w:color="auto"/>
              <w:bottom w:val="single" w:sz="4" w:space="0" w:color="auto"/>
              <w:right w:val="single" w:sz="4" w:space="0" w:color="auto"/>
            </w:tcBorders>
          </w:tcPr>
          <w:p w14:paraId="1F7C603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$6,816</w:t>
            </w:r>
          </w:p>
        </w:tc>
        <w:tc>
          <w:tcPr>
            <w:tcW w:w="0" w:type="auto"/>
            <w:tcBorders>
              <w:top w:val="single" w:sz="4" w:space="0" w:color="auto"/>
              <w:left w:val="single" w:sz="4" w:space="0" w:color="auto"/>
              <w:bottom w:val="single" w:sz="4" w:space="0" w:color="auto"/>
              <w:right w:val="single" w:sz="4" w:space="0" w:color="auto"/>
            </w:tcBorders>
          </w:tcPr>
          <w:p w14:paraId="0185169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$5,453</w:t>
            </w:r>
          </w:p>
        </w:tc>
        <w:tc>
          <w:tcPr>
            <w:tcW w:w="0" w:type="auto"/>
            <w:tcBorders>
              <w:top w:val="single" w:sz="4" w:space="0" w:color="auto"/>
              <w:left w:val="single" w:sz="4" w:space="0" w:color="auto"/>
              <w:bottom w:val="single" w:sz="4" w:space="0" w:color="auto"/>
              <w:right w:val="single" w:sz="4" w:space="0" w:color="auto"/>
            </w:tcBorders>
          </w:tcPr>
          <w:p w14:paraId="69BFB60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$1,363</w:t>
            </w:r>
          </w:p>
        </w:tc>
      </w:tr>
      <w:tr w:rsidR="0043456B" w:rsidRPr="0043456B" w14:paraId="63AA31B5" w14:textId="77777777" w:rsidTr="00507E4C">
        <w:trPr>
          <w:cantSplit/>
        </w:trPr>
        <w:tc>
          <w:tcPr>
            <w:tcW w:w="0" w:type="auto"/>
            <w:tcBorders>
              <w:top w:val="single" w:sz="4" w:space="0" w:color="auto"/>
              <w:left w:val="single" w:sz="4" w:space="0" w:color="auto"/>
              <w:bottom w:val="single" w:sz="4" w:space="0" w:color="auto"/>
              <w:right w:val="single" w:sz="4" w:space="0" w:color="auto"/>
            </w:tcBorders>
            <w:hideMark/>
          </w:tcPr>
          <w:p w14:paraId="5F462627" w14:textId="77777777" w:rsidR="0043456B" w:rsidRPr="0043456B" w:rsidRDefault="0043456B" w:rsidP="0043456B">
            <w:pPr>
              <w:contextualSpacing/>
              <w:rPr>
                <w:rFonts w:ascii="Garamond" w:eastAsia="Calibri" w:hAnsi="Garamond"/>
              </w:rPr>
            </w:pPr>
            <w:r w:rsidRPr="0043456B">
              <w:rPr>
                <w:rFonts w:ascii="Garamond" w:eastAsia="Calibri" w:hAnsi="Garamond"/>
              </w:rPr>
              <w:t xml:space="preserve">Percutaneous fusion stabilization of sacroiliac joint </w:t>
            </w:r>
          </w:p>
        </w:tc>
        <w:tc>
          <w:tcPr>
            <w:tcW w:w="0" w:type="auto"/>
            <w:tcBorders>
              <w:top w:val="single" w:sz="4" w:space="0" w:color="auto"/>
              <w:left w:val="single" w:sz="4" w:space="0" w:color="auto"/>
              <w:bottom w:val="single" w:sz="4" w:space="0" w:color="auto"/>
              <w:right w:val="single" w:sz="4" w:space="0" w:color="auto"/>
            </w:tcBorders>
          </w:tcPr>
          <w:p w14:paraId="21328481"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$13,648</w:t>
            </w:r>
          </w:p>
        </w:tc>
        <w:tc>
          <w:tcPr>
            <w:tcW w:w="0" w:type="auto"/>
            <w:tcBorders>
              <w:top w:val="single" w:sz="4" w:space="0" w:color="auto"/>
              <w:left w:val="single" w:sz="4" w:space="0" w:color="auto"/>
              <w:bottom w:val="single" w:sz="4" w:space="0" w:color="auto"/>
              <w:right w:val="single" w:sz="4" w:space="0" w:color="auto"/>
            </w:tcBorders>
          </w:tcPr>
          <w:p w14:paraId="2A1216A4"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$10,918</w:t>
            </w:r>
          </w:p>
        </w:tc>
        <w:tc>
          <w:tcPr>
            <w:tcW w:w="0" w:type="auto"/>
            <w:tcBorders>
              <w:top w:val="single" w:sz="4" w:space="0" w:color="auto"/>
              <w:left w:val="single" w:sz="4" w:space="0" w:color="auto"/>
              <w:bottom w:val="single" w:sz="4" w:space="0" w:color="auto"/>
              <w:right w:val="single" w:sz="4" w:space="0" w:color="auto"/>
            </w:tcBorders>
          </w:tcPr>
          <w:p w14:paraId="12FB59E3"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$2,730</w:t>
            </w:r>
          </w:p>
        </w:tc>
        <w:tc>
          <w:tcPr>
            <w:tcW w:w="0" w:type="auto"/>
            <w:tcBorders>
              <w:top w:val="single" w:sz="4" w:space="0" w:color="auto"/>
              <w:left w:val="single" w:sz="4" w:space="0" w:color="auto"/>
              <w:bottom w:val="single" w:sz="4" w:space="0" w:color="auto"/>
              <w:right w:val="single" w:sz="4" w:space="0" w:color="auto"/>
            </w:tcBorders>
          </w:tcPr>
          <w:p w14:paraId="4FB417CE" w14:textId="77777777" w:rsidR="0043456B" w:rsidRPr="0043456B" w:rsidRDefault="0043456B" w:rsidP="0043456B">
            <w:pPr>
              <w:contextualSpacing/>
              <w:jc w:val="center"/>
              <w:rPr>
                <w:rFonts w:ascii="Garamond" w:eastAsia="Calibri" w:hAnsi="Garamond" w:cs="Calibri"/>
                <w:b/>
                <w:bCs/>
              </w:rPr>
            </w:pPr>
            <w:r w:rsidRPr="0043456B">
              <w:rPr>
                <w:rFonts w:ascii="Garamond" w:eastAsia="Calibri" w:hAnsi="Garamond"/>
              </w:rPr>
              <w:t>$18,169</w:t>
            </w:r>
          </w:p>
        </w:tc>
        <w:tc>
          <w:tcPr>
            <w:tcW w:w="0" w:type="auto"/>
            <w:tcBorders>
              <w:top w:val="single" w:sz="4" w:space="0" w:color="auto"/>
              <w:left w:val="single" w:sz="4" w:space="0" w:color="auto"/>
              <w:bottom w:val="single" w:sz="4" w:space="0" w:color="auto"/>
              <w:right w:val="single" w:sz="4" w:space="0" w:color="auto"/>
            </w:tcBorders>
          </w:tcPr>
          <w:p w14:paraId="4B021878"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$16,483</w:t>
            </w:r>
          </w:p>
        </w:tc>
        <w:tc>
          <w:tcPr>
            <w:tcW w:w="0" w:type="auto"/>
            <w:tcBorders>
              <w:top w:val="single" w:sz="4" w:space="0" w:color="auto"/>
              <w:left w:val="single" w:sz="4" w:space="0" w:color="auto"/>
              <w:bottom w:val="single" w:sz="4" w:space="0" w:color="auto"/>
              <w:right w:val="single" w:sz="4" w:space="0" w:color="auto"/>
            </w:tcBorders>
          </w:tcPr>
          <w:p w14:paraId="2A719D3F"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$1,686*</w:t>
            </w:r>
          </w:p>
        </w:tc>
      </w:tr>
      <w:tr w:rsidR="0043456B" w:rsidRPr="0043456B" w14:paraId="3FBBB40F" w14:textId="77777777" w:rsidTr="00507E4C">
        <w:trPr>
          <w:cantSplit/>
        </w:trPr>
        <w:tc>
          <w:tcPr>
            <w:tcW w:w="0" w:type="auto"/>
            <w:tcBorders>
              <w:top w:val="single" w:sz="4" w:space="0" w:color="auto"/>
              <w:left w:val="single" w:sz="4" w:space="0" w:color="auto"/>
              <w:bottom w:val="single" w:sz="4" w:space="0" w:color="auto"/>
              <w:right w:val="single" w:sz="4" w:space="0" w:color="auto"/>
            </w:tcBorders>
            <w:hideMark/>
          </w:tcPr>
          <w:p w14:paraId="1341D2F6" w14:textId="77777777" w:rsidR="0043456B" w:rsidRPr="0043456B" w:rsidRDefault="0043456B" w:rsidP="0043456B">
            <w:pPr>
              <w:contextualSpacing/>
              <w:rPr>
                <w:rFonts w:ascii="Garamond" w:eastAsia="Calibri" w:hAnsi="Garamond" w:cs="Calibri"/>
              </w:rPr>
            </w:pPr>
            <w:r w:rsidRPr="0043456B">
              <w:rPr>
                <w:rFonts w:ascii="Garamond" w:eastAsia="Calibri" w:hAnsi="Garamond"/>
              </w:rPr>
              <w:t>Insertion of Interlaminar/interspinous process stabilization device (</w:t>
            </w:r>
            <w:proofErr w:type="spellStart"/>
            <w:r w:rsidRPr="0043456B">
              <w:rPr>
                <w:rFonts w:ascii="Garamond" w:eastAsia="Calibri" w:hAnsi="Garamond"/>
              </w:rPr>
              <w:t>Vertiflex</w:t>
            </w:r>
            <w:proofErr w:type="spellEnd"/>
            <w:r w:rsidRPr="0043456B">
              <w:rPr>
                <w:rFonts w:ascii="Garamond" w:eastAsia="Calibri" w:hAnsi="Garamond"/>
              </w:rPr>
              <w:t>)</w:t>
            </w:r>
          </w:p>
        </w:tc>
        <w:tc>
          <w:tcPr>
            <w:tcW w:w="0" w:type="auto"/>
            <w:tcBorders>
              <w:top w:val="single" w:sz="4" w:space="0" w:color="auto"/>
              <w:left w:val="single" w:sz="4" w:space="0" w:color="auto"/>
              <w:bottom w:val="single" w:sz="4" w:space="0" w:color="auto"/>
              <w:right w:val="single" w:sz="4" w:space="0" w:color="auto"/>
            </w:tcBorders>
          </w:tcPr>
          <w:p w14:paraId="5F46D18D"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$10,380</w:t>
            </w:r>
          </w:p>
        </w:tc>
        <w:tc>
          <w:tcPr>
            <w:tcW w:w="0" w:type="auto"/>
            <w:tcBorders>
              <w:top w:val="single" w:sz="4" w:space="0" w:color="auto"/>
              <w:left w:val="single" w:sz="4" w:space="0" w:color="auto"/>
              <w:bottom w:val="single" w:sz="4" w:space="0" w:color="auto"/>
              <w:right w:val="single" w:sz="4" w:space="0" w:color="auto"/>
            </w:tcBorders>
          </w:tcPr>
          <w:p w14:paraId="3AE1F22D"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$8,304</w:t>
            </w:r>
          </w:p>
        </w:tc>
        <w:tc>
          <w:tcPr>
            <w:tcW w:w="0" w:type="auto"/>
            <w:tcBorders>
              <w:top w:val="single" w:sz="4" w:space="0" w:color="auto"/>
              <w:left w:val="single" w:sz="4" w:space="0" w:color="auto"/>
              <w:bottom w:val="single" w:sz="4" w:space="0" w:color="auto"/>
              <w:right w:val="single" w:sz="4" w:space="0" w:color="auto"/>
            </w:tcBorders>
          </w:tcPr>
          <w:p w14:paraId="09148E0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$2,076</w:t>
            </w:r>
          </w:p>
        </w:tc>
        <w:tc>
          <w:tcPr>
            <w:tcW w:w="0" w:type="auto"/>
            <w:tcBorders>
              <w:top w:val="single" w:sz="4" w:space="0" w:color="auto"/>
              <w:left w:val="single" w:sz="4" w:space="0" w:color="auto"/>
              <w:bottom w:val="single" w:sz="4" w:space="0" w:color="auto"/>
              <w:right w:val="single" w:sz="4" w:space="0" w:color="auto"/>
            </w:tcBorders>
          </w:tcPr>
          <w:p w14:paraId="749968AC"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$13,560</w:t>
            </w:r>
          </w:p>
        </w:tc>
        <w:tc>
          <w:tcPr>
            <w:tcW w:w="0" w:type="auto"/>
            <w:tcBorders>
              <w:top w:val="single" w:sz="4" w:space="0" w:color="auto"/>
              <w:left w:val="single" w:sz="4" w:space="0" w:color="auto"/>
              <w:bottom w:val="single" w:sz="4" w:space="0" w:color="auto"/>
              <w:right w:val="single" w:sz="4" w:space="0" w:color="auto"/>
            </w:tcBorders>
          </w:tcPr>
          <w:p w14:paraId="3C518F49"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$11,874</w:t>
            </w:r>
          </w:p>
        </w:tc>
        <w:tc>
          <w:tcPr>
            <w:tcW w:w="0" w:type="auto"/>
            <w:tcBorders>
              <w:top w:val="single" w:sz="4" w:space="0" w:color="auto"/>
              <w:left w:val="single" w:sz="4" w:space="0" w:color="auto"/>
              <w:bottom w:val="single" w:sz="4" w:space="0" w:color="auto"/>
              <w:right w:val="single" w:sz="4" w:space="0" w:color="auto"/>
            </w:tcBorders>
          </w:tcPr>
          <w:p w14:paraId="1FF2C6A7" w14:textId="77777777" w:rsidR="0043456B" w:rsidRPr="0043456B" w:rsidRDefault="0043456B" w:rsidP="0043456B">
            <w:pPr>
              <w:contextualSpacing/>
              <w:jc w:val="center"/>
              <w:rPr>
                <w:rFonts w:ascii="Garamond" w:eastAsia="Calibri" w:hAnsi="Garamond" w:cs="Calibri"/>
              </w:rPr>
            </w:pPr>
            <w:r w:rsidRPr="0043456B">
              <w:rPr>
                <w:rFonts w:ascii="Garamond" w:eastAsia="Calibri" w:hAnsi="Garamond"/>
              </w:rPr>
              <w:t>$1,686*</w:t>
            </w:r>
          </w:p>
        </w:tc>
      </w:tr>
    </w:tbl>
    <w:p w14:paraId="1EF7708E" w14:textId="77777777" w:rsidR="0043456B" w:rsidRPr="0043456B" w:rsidRDefault="0043456B" w:rsidP="0043456B">
      <w:pPr>
        <w:keepNext/>
        <w:keepLines/>
        <w:widowControl/>
        <w:shd w:val="clear" w:color="auto" w:fill="FFFFFF"/>
        <w:autoSpaceDE/>
        <w:autoSpaceDN/>
        <w:textAlignment w:val="baseline"/>
        <w:outlineLvl w:val="3"/>
        <w:rPr>
          <w:rFonts w:ascii="Calibri" w:hAnsi="Calibri" w:cs="Calibri"/>
          <w:sz w:val="18"/>
          <w:szCs w:val="18"/>
        </w:rPr>
      </w:pPr>
      <w:r w:rsidRPr="0043456B">
        <w:rPr>
          <w:rFonts w:ascii="Calibri" w:hAnsi="Calibri" w:cs="Calibri"/>
          <w:sz w:val="18"/>
          <w:szCs w:val="18"/>
        </w:rPr>
        <w:t>*</w:t>
      </w:r>
      <w:bookmarkStart w:id="186" w:name="_Hlk59200774"/>
      <w:r w:rsidRPr="0043456B">
        <w:rPr>
          <w:rFonts w:ascii="Calibri" w:hAnsi="Calibri" w:cs="Calibri"/>
          <w:sz w:val="18"/>
          <w:szCs w:val="18"/>
        </w:rPr>
        <w:t>Reflect a higher patient responsibility if performed in an ASC vs HOPD due to Ambulatory Patient Care Classifications (APC) pricing.</w:t>
      </w:r>
      <w:r w:rsidRPr="0043456B">
        <w:rPr>
          <w:rFonts w:ascii="Cambria" w:hAnsi="Cambria"/>
          <w:i/>
          <w:iCs/>
          <w:color w:val="42558C"/>
        </w:rPr>
        <w:t xml:space="preserve"> </w:t>
      </w:r>
      <w:bookmarkEnd w:id="186"/>
      <w:r w:rsidRPr="0043456B">
        <w:rPr>
          <w:rFonts w:ascii="Calibri" w:hAnsi="Calibri" w:cs="Calibri"/>
          <w:sz w:val="18"/>
          <w:szCs w:val="18"/>
        </w:rPr>
        <w:t xml:space="preserve">APCs incentivize hospitals to provide outpatient services economically, </w:t>
      </w:r>
      <w:proofErr w:type="gramStart"/>
      <w:r w:rsidRPr="0043456B">
        <w:rPr>
          <w:rFonts w:ascii="Calibri" w:hAnsi="Calibri" w:cs="Calibri"/>
          <w:sz w:val="18"/>
          <w:szCs w:val="18"/>
        </w:rPr>
        <w:t>efficiently</w:t>
      </w:r>
      <w:proofErr w:type="gramEnd"/>
      <w:r w:rsidRPr="0043456B">
        <w:rPr>
          <w:rFonts w:ascii="Calibri" w:hAnsi="Calibri" w:cs="Calibri"/>
          <w:sz w:val="18"/>
          <w:szCs w:val="18"/>
        </w:rPr>
        <w:t xml:space="preserve"> and profitably. The HOPD is paid at a higher rate than an ASC which allows for the lower patient responsibility.</w:t>
      </w:r>
    </w:p>
    <w:p w14:paraId="15A5A78B" w14:textId="77777777" w:rsidR="0043456B" w:rsidRPr="0043456B" w:rsidRDefault="0043456B" w:rsidP="0043456B">
      <w:pPr>
        <w:widowControl/>
        <w:autoSpaceDE/>
        <w:autoSpaceDN/>
        <w:rPr>
          <w:rFonts w:ascii="Garamond" w:eastAsia="Calibri" w:hAnsi="Garamond" w:cs="Arial"/>
        </w:rPr>
      </w:pPr>
    </w:p>
    <w:p w14:paraId="0F193C91" w14:textId="77777777" w:rsidR="0043456B" w:rsidRPr="0043456B" w:rsidRDefault="0043456B" w:rsidP="0043456B">
      <w:pPr>
        <w:widowControl/>
        <w:autoSpaceDE/>
        <w:autoSpaceDN/>
        <w:rPr>
          <w:rFonts w:ascii="Garamond" w:eastAsia="Calibri" w:hAnsi="Garamond" w:cs="Arial"/>
        </w:rPr>
      </w:pPr>
    </w:p>
    <w:p w14:paraId="56353B93" w14:textId="77777777" w:rsidR="0043456B" w:rsidRPr="0043456B" w:rsidRDefault="0043456B" w:rsidP="0043456B">
      <w:pPr>
        <w:widowControl/>
        <w:autoSpaceDE/>
        <w:autoSpaceDN/>
        <w:rPr>
          <w:rFonts w:ascii="Garamond" w:eastAsia="Calibri" w:hAnsi="Garamond" w:cs="Arial"/>
          <w:sz w:val="24"/>
          <w:szCs w:val="24"/>
        </w:rPr>
      </w:pPr>
      <w:r w:rsidRPr="0043456B">
        <w:rPr>
          <w:rFonts w:ascii="Garamond" w:eastAsia="Calibri" w:hAnsi="Garamond" w:cs="Arial"/>
          <w:sz w:val="24"/>
          <w:szCs w:val="24"/>
        </w:rPr>
        <w:t>Health Capital Consultants (HCC) conducted an analysis of potential NESC competitors in its service area in support of the Applicant’s Factor 4 analysis and determined that there are no comparable multispecialty, free-standing ASCs to provide the lower cost cases offered at NESC.</w:t>
      </w:r>
      <w:r w:rsidRPr="0043456B">
        <w:rPr>
          <w:rFonts w:ascii="Garamond" w:eastAsia="Calibri" w:hAnsi="Garamond" w:cs="Arial"/>
          <w:sz w:val="24"/>
          <w:szCs w:val="24"/>
          <w:vertAlign w:val="superscript"/>
        </w:rPr>
        <w:footnoteReference w:id="33"/>
      </w:r>
      <w:r w:rsidRPr="0043456B">
        <w:rPr>
          <w:rFonts w:ascii="Garamond" w:eastAsia="Calibri" w:hAnsi="Garamond" w:cs="Arial"/>
          <w:sz w:val="24"/>
          <w:szCs w:val="24"/>
        </w:rPr>
        <w:t xml:space="preserve"> </w:t>
      </w:r>
    </w:p>
    <w:p w14:paraId="533B5962" w14:textId="77777777" w:rsidR="0043456B" w:rsidRPr="0043456B" w:rsidRDefault="0043456B" w:rsidP="0043456B">
      <w:pPr>
        <w:widowControl/>
        <w:autoSpaceDE/>
        <w:autoSpaceDN/>
        <w:rPr>
          <w:rFonts w:ascii="Garamond" w:eastAsia="Calibri" w:hAnsi="Garamond" w:cs="Arial"/>
          <w:sz w:val="24"/>
          <w:szCs w:val="24"/>
        </w:rPr>
      </w:pPr>
    </w:p>
    <w:p w14:paraId="26E0DC6B" w14:textId="77777777" w:rsidR="0043456B" w:rsidRPr="0043456B" w:rsidRDefault="0043456B" w:rsidP="0043456B">
      <w:pPr>
        <w:widowControl/>
        <w:autoSpaceDE/>
        <w:autoSpaceDN/>
        <w:rPr>
          <w:rFonts w:ascii="Garamond" w:eastAsia="Calibri" w:hAnsi="Garamond" w:cs="Arial"/>
          <w:sz w:val="24"/>
          <w:szCs w:val="24"/>
        </w:rPr>
      </w:pPr>
      <w:r w:rsidRPr="0043456B">
        <w:rPr>
          <w:rFonts w:ascii="Garamond" w:eastAsia="Calibri" w:hAnsi="Garamond" w:cs="Arial"/>
          <w:sz w:val="24"/>
          <w:szCs w:val="24"/>
        </w:rPr>
        <w:t>The Applicant will be utilizing available shell space within the existing footprint of the building. Reconfiguration of existing space will result in lower construction costs (compared to construction of an addition). Buildout of the space will have little to no effect on the daily operations of the facility. Finally, the Applicant has changed its purchasing organization which has resulted in a 24.9% supply cost savings in 2018.</w:t>
      </w:r>
      <w:r w:rsidRPr="0043456B">
        <w:rPr>
          <w:rFonts w:ascii="Garamond" w:eastAsia="Calibri" w:hAnsi="Garamond" w:cs="Arial"/>
          <w:sz w:val="24"/>
          <w:szCs w:val="24"/>
          <w:vertAlign w:val="superscript"/>
        </w:rPr>
        <w:footnoteReference w:id="34"/>
      </w:r>
      <w:r w:rsidRPr="0043456B">
        <w:rPr>
          <w:rFonts w:ascii="Garamond" w:eastAsia="Calibri" w:hAnsi="Garamond" w:cs="Arial"/>
          <w:sz w:val="24"/>
          <w:szCs w:val="24"/>
        </w:rPr>
        <w:t xml:space="preserve"> </w:t>
      </w:r>
    </w:p>
    <w:p w14:paraId="1B74CA38" w14:textId="77777777" w:rsidR="0043456B" w:rsidRPr="0043456B" w:rsidRDefault="0043456B" w:rsidP="0043456B">
      <w:pPr>
        <w:widowControl/>
        <w:autoSpaceDE/>
        <w:autoSpaceDN/>
        <w:rPr>
          <w:rFonts w:ascii="Garamond" w:eastAsia="Calibri" w:hAnsi="Garamond" w:cs="Arial"/>
          <w:sz w:val="24"/>
          <w:szCs w:val="24"/>
        </w:rPr>
      </w:pPr>
    </w:p>
    <w:bookmarkEnd w:id="185"/>
    <w:p w14:paraId="6A7E758C" w14:textId="77777777" w:rsidR="0043456B" w:rsidRPr="0043456B" w:rsidRDefault="0043456B" w:rsidP="0043456B">
      <w:pPr>
        <w:widowControl/>
        <w:autoSpaceDE/>
        <w:autoSpaceDN/>
        <w:contextualSpacing/>
        <w:rPr>
          <w:rFonts w:ascii="Garamond" w:eastAsia="Calibri" w:hAnsi="Garamond" w:cs="Arial"/>
          <w:b/>
          <w:i/>
          <w:sz w:val="24"/>
          <w:szCs w:val="24"/>
        </w:rPr>
      </w:pPr>
      <w:r w:rsidRPr="0043456B">
        <w:rPr>
          <w:rFonts w:ascii="Garamond" w:eastAsia="Calibri" w:hAnsi="Garamond" w:cs="Arial"/>
          <w:b/>
          <w:i/>
          <w:sz w:val="24"/>
          <w:szCs w:val="24"/>
        </w:rPr>
        <w:t>Analysis</w:t>
      </w:r>
    </w:p>
    <w:p w14:paraId="10706656" w14:textId="77777777" w:rsidR="0043456B" w:rsidRPr="0043456B" w:rsidRDefault="0043456B" w:rsidP="0043456B">
      <w:pPr>
        <w:widowControl/>
        <w:autoSpaceDE/>
        <w:autoSpaceDN/>
        <w:contextualSpacing/>
        <w:rPr>
          <w:rFonts w:ascii="Garamond" w:eastAsia="Calibri" w:hAnsi="Garamond"/>
          <w:bCs/>
          <w:sz w:val="24"/>
          <w:szCs w:val="24"/>
        </w:rPr>
      </w:pPr>
      <w:r w:rsidRPr="0043456B">
        <w:rPr>
          <w:rFonts w:ascii="Garamond" w:eastAsia="Calibri" w:hAnsi="Garamond" w:cs="Arial"/>
          <w:bCs/>
          <w:sz w:val="24"/>
          <w:szCs w:val="24"/>
        </w:rPr>
        <w:t xml:space="preserve">It has been well-established that generally, outpatient surgeries performed in the ASC setting can be a lower-cost alternative to the same surgeries performed in the HOPD and several studies detailed the cost savings associated </w:t>
      </w:r>
      <w:r w:rsidRPr="0043456B">
        <w:rPr>
          <w:rFonts w:ascii="Garamond" w:eastAsia="Calibri" w:hAnsi="Garamond" w:cs="Arial"/>
          <w:bCs/>
          <w:sz w:val="24"/>
          <w:szCs w:val="24"/>
        </w:rPr>
        <w:lastRenderedPageBreak/>
        <w:t>with performing surgeries in the ASC setting.</w:t>
      </w:r>
      <w:r w:rsidRPr="0043456B">
        <w:rPr>
          <w:rFonts w:ascii="Garamond" w:eastAsia="Calibri" w:hAnsi="Garamond"/>
          <w:sz w:val="24"/>
          <w:szCs w:val="24"/>
          <w:vertAlign w:val="superscript"/>
        </w:rPr>
        <w:endnoteReference w:id="40"/>
      </w:r>
      <w:r w:rsidRPr="0043456B">
        <w:rPr>
          <w:rFonts w:ascii="Garamond" w:eastAsia="Calibri" w:hAnsi="Garamond"/>
          <w:sz w:val="24"/>
          <w:szCs w:val="24"/>
          <w:vertAlign w:val="superscript"/>
        </w:rPr>
        <w:t>,</w:t>
      </w:r>
      <w:r w:rsidRPr="0043456B">
        <w:rPr>
          <w:rFonts w:ascii="Garamond" w:eastAsia="Calibri" w:hAnsi="Garamond" w:cs="Arial"/>
          <w:sz w:val="24"/>
          <w:szCs w:val="24"/>
          <w:vertAlign w:val="superscript"/>
        </w:rPr>
        <w:endnoteReference w:id="41"/>
      </w:r>
      <w:r w:rsidRPr="0043456B">
        <w:rPr>
          <w:rFonts w:ascii="Garamond" w:eastAsia="Calibri" w:hAnsi="Garamond"/>
          <w:sz w:val="24"/>
          <w:szCs w:val="24"/>
          <w:vertAlign w:val="superscript"/>
        </w:rPr>
        <w:t>,</w:t>
      </w:r>
      <w:r w:rsidRPr="0043456B">
        <w:rPr>
          <w:rFonts w:ascii="Garamond" w:eastAsia="Calibri" w:hAnsi="Garamond"/>
          <w:sz w:val="24"/>
          <w:szCs w:val="24"/>
          <w:vertAlign w:val="superscript"/>
        </w:rPr>
        <w:endnoteReference w:id="42"/>
      </w:r>
      <w:r w:rsidRPr="0043456B">
        <w:rPr>
          <w:rFonts w:ascii="Garamond" w:eastAsia="Calibri" w:hAnsi="Garamond" w:cs="Arial"/>
          <w:bCs/>
          <w:sz w:val="24"/>
          <w:szCs w:val="24"/>
        </w:rPr>
        <w:t xml:space="preserve"> </w:t>
      </w:r>
      <w:r w:rsidRPr="0043456B">
        <w:rPr>
          <w:rFonts w:ascii="Garamond" w:eastAsia="Calibri" w:hAnsi="Garamond" w:cs="Calibri"/>
          <w:sz w:val="24"/>
          <w:szCs w:val="24"/>
        </w:rPr>
        <w:t>ASCs focus on performing a narrow set of medical specialties and surgical procedures and providing care for patients with lower-acuity and less risk of complications.</w:t>
      </w:r>
      <w:r w:rsidRPr="0043456B">
        <w:rPr>
          <w:rFonts w:ascii="Garamond" w:eastAsia="Calibri" w:hAnsi="Garamond"/>
          <w:bCs/>
          <w:sz w:val="24"/>
          <w:szCs w:val="24"/>
          <w:vertAlign w:val="superscript"/>
        </w:rPr>
        <w:endnoteReference w:id="43"/>
      </w:r>
      <w:r w:rsidRPr="0043456B">
        <w:rPr>
          <w:rFonts w:ascii="Garamond" w:eastAsia="Calibri" w:hAnsi="Garamond"/>
          <w:bCs/>
          <w:sz w:val="24"/>
          <w:szCs w:val="24"/>
          <w:vertAlign w:val="superscript"/>
        </w:rPr>
        <w:t>,</w:t>
      </w:r>
      <w:r w:rsidRPr="0043456B">
        <w:rPr>
          <w:rFonts w:ascii="Garamond" w:eastAsia="Calibri" w:hAnsi="Garamond"/>
          <w:bCs/>
          <w:sz w:val="24"/>
          <w:szCs w:val="24"/>
          <w:vertAlign w:val="superscript"/>
        </w:rPr>
        <w:endnoteReference w:id="44"/>
      </w:r>
      <w:r w:rsidRPr="0043456B">
        <w:rPr>
          <w:rFonts w:ascii="Garamond" w:eastAsia="Calibri" w:hAnsi="Garamond"/>
          <w:bCs/>
          <w:sz w:val="24"/>
          <w:szCs w:val="24"/>
          <w:vertAlign w:val="superscript"/>
        </w:rPr>
        <w:t xml:space="preserve">  </w:t>
      </w:r>
      <w:r w:rsidRPr="0043456B">
        <w:rPr>
          <w:rFonts w:ascii="Garamond" w:eastAsia="Calibri" w:hAnsi="Garamond"/>
          <w:bCs/>
          <w:sz w:val="24"/>
          <w:szCs w:val="24"/>
        </w:rPr>
        <w:t>Staff compared total costs and copayments of select procedures offered at NESC using the Price Procedure lookup tool and found that ASCs can be a cost-effective alternative for certain procedures. It has been reported that data from the Price Procedure tool are limited because the prices are based on national averages and copayment estimates are only for patients with Original Medicare and no supplemental policy. In addition, Medicare costs and copayments are not always aligned; a patient copay may be less expensive at an HOPD, but the total cost of the procedure may be more expensive than an ASC.</w:t>
      </w:r>
      <w:r w:rsidRPr="0043456B">
        <w:rPr>
          <w:rFonts w:ascii="Garamond" w:eastAsia="Calibri" w:hAnsi="Garamond"/>
          <w:bCs/>
          <w:sz w:val="24"/>
          <w:szCs w:val="24"/>
          <w:vertAlign w:val="superscript"/>
        </w:rPr>
        <w:endnoteReference w:id="45"/>
      </w:r>
    </w:p>
    <w:p w14:paraId="4312A8FD" w14:textId="77777777" w:rsidR="0043456B" w:rsidRPr="0043456B" w:rsidRDefault="0043456B" w:rsidP="0043456B">
      <w:pPr>
        <w:widowControl/>
        <w:autoSpaceDE/>
        <w:autoSpaceDN/>
        <w:contextualSpacing/>
        <w:rPr>
          <w:rFonts w:ascii="Garamond" w:eastAsia="Calibri" w:hAnsi="Garamond" w:cs="Arial"/>
          <w:sz w:val="24"/>
          <w:szCs w:val="24"/>
        </w:rPr>
      </w:pPr>
    </w:p>
    <w:p w14:paraId="3DE9D125" w14:textId="77777777" w:rsidR="0043456B" w:rsidRPr="0043456B" w:rsidRDefault="0043456B" w:rsidP="0043456B">
      <w:pPr>
        <w:widowControl/>
        <w:autoSpaceDE/>
        <w:autoSpaceDN/>
        <w:contextualSpacing/>
        <w:rPr>
          <w:rFonts w:ascii="Garamond" w:eastAsia="Calibri" w:hAnsi="Garamond" w:cs="Arial"/>
          <w:sz w:val="24"/>
          <w:szCs w:val="24"/>
        </w:rPr>
      </w:pPr>
    </w:p>
    <w:p w14:paraId="4E094D1C" w14:textId="77777777" w:rsidR="0043456B" w:rsidRPr="0043456B" w:rsidRDefault="0043456B" w:rsidP="0043456B">
      <w:pPr>
        <w:keepNext/>
        <w:keepLines/>
        <w:widowControl/>
        <w:autoSpaceDE/>
        <w:autoSpaceDN/>
        <w:contextualSpacing/>
        <w:outlineLvl w:val="1"/>
        <w:rPr>
          <w:rFonts w:ascii="Garamond" w:hAnsi="Garamond"/>
          <w:b/>
          <w:bCs/>
          <w:color w:val="42558C"/>
          <w:sz w:val="28"/>
          <w:szCs w:val="28"/>
        </w:rPr>
      </w:pPr>
      <w:bookmarkStart w:id="187" w:name="_Toc29755685"/>
      <w:bookmarkStart w:id="188" w:name="_Toc58960219"/>
      <w:r w:rsidRPr="0043456B">
        <w:rPr>
          <w:rFonts w:ascii="Garamond" w:hAnsi="Garamond"/>
          <w:b/>
          <w:bCs/>
          <w:color w:val="42558C"/>
          <w:sz w:val="28"/>
          <w:szCs w:val="28"/>
        </w:rPr>
        <w:t>Factor 1</w:t>
      </w:r>
      <w:bookmarkEnd w:id="187"/>
      <w:r w:rsidRPr="0043456B">
        <w:rPr>
          <w:rFonts w:ascii="Garamond" w:hAnsi="Garamond"/>
          <w:b/>
          <w:bCs/>
          <w:color w:val="42558C"/>
          <w:sz w:val="28"/>
          <w:szCs w:val="28"/>
        </w:rPr>
        <w:t xml:space="preserve"> Summary</w:t>
      </w:r>
      <w:bookmarkEnd w:id="188"/>
      <w:r w:rsidRPr="0043456B">
        <w:rPr>
          <w:rFonts w:ascii="Garamond" w:hAnsi="Garamond"/>
          <w:b/>
          <w:bCs/>
          <w:color w:val="42558C"/>
          <w:sz w:val="28"/>
          <w:szCs w:val="28"/>
        </w:rPr>
        <w:t xml:space="preserve"> </w:t>
      </w:r>
    </w:p>
    <w:p w14:paraId="55E00EC0"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cs="Arial"/>
          <w:sz w:val="24"/>
          <w:szCs w:val="24"/>
        </w:rPr>
        <w:t xml:space="preserve">As a result of information provided by the Applicant and additional analysis, staff finds that the Applicant has demonstrated that the proposed ambulatory surgery project has met Factors 1(a-f).  </w:t>
      </w:r>
    </w:p>
    <w:p w14:paraId="0FA2C4F4"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189" w:name="_Toc58960220"/>
      <w:bookmarkStart w:id="190" w:name="_Toc29755686"/>
      <w:r w:rsidRPr="0043456B">
        <w:rPr>
          <w:rFonts w:ascii="Garamond" w:hAnsi="Garamond"/>
          <w:b/>
          <w:bCs/>
          <w:color w:val="42558C"/>
          <w:sz w:val="28"/>
          <w:szCs w:val="28"/>
        </w:rPr>
        <w:t>Factor 2: Cost containment, Improved Public Health Outcomes and Delivery System Transformation</w:t>
      </w:r>
      <w:bookmarkEnd w:id="189"/>
      <w:r w:rsidRPr="0043456B">
        <w:rPr>
          <w:rFonts w:ascii="Garamond" w:hAnsi="Garamond"/>
          <w:b/>
          <w:bCs/>
          <w:color w:val="42558C"/>
          <w:sz w:val="28"/>
          <w:szCs w:val="28"/>
        </w:rPr>
        <w:t xml:space="preserve"> </w:t>
      </w:r>
      <w:bookmarkEnd w:id="190"/>
    </w:p>
    <w:p w14:paraId="726A7903" w14:textId="77777777" w:rsidR="0043456B" w:rsidRPr="0043456B" w:rsidRDefault="0043456B" w:rsidP="0043456B">
      <w:pPr>
        <w:widowControl/>
        <w:autoSpaceDE/>
        <w:autoSpaceDN/>
        <w:contextualSpacing/>
        <w:rPr>
          <w:rFonts w:ascii="Garamond" w:eastAsia="Calibri" w:hAnsi="Garamond"/>
          <w:b/>
          <w:bCs/>
          <w:sz w:val="24"/>
          <w:szCs w:val="24"/>
        </w:rPr>
      </w:pPr>
    </w:p>
    <w:p w14:paraId="79B16704" w14:textId="77777777" w:rsidR="0043456B" w:rsidRPr="0043456B" w:rsidRDefault="0043456B" w:rsidP="0043456B">
      <w:pPr>
        <w:widowControl/>
        <w:autoSpaceDE/>
        <w:autoSpaceDN/>
        <w:contextualSpacing/>
        <w:rPr>
          <w:rFonts w:ascii="Garamond" w:eastAsia="Calibri" w:hAnsi="Garamond"/>
          <w:b/>
          <w:bCs/>
          <w:sz w:val="24"/>
          <w:szCs w:val="24"/>
        </w:rPr>
      </w:pPr>
      <w:r w:rsidRPr="0043456B">
        <w:rPr>
          <w:rFonts w:ascii="Garamond" w:eastAsia="Calibri" w:hAnsi="Garamond"/>
          <w:b/>
          <w:bCs/>
          <w:sz w:val="24"/>
          <w:szCs w:val="24"/>
        </w:rPr>
        <w:t xml:space="preserve">Cost Containment </w:t>
      </w:r>
    </w:p>
    <w:p w14:paraId="25C9F945" w14:textId="77777777" w:rsidR="0043456B" w:rsidRPr="0043456B" w:rsidRDefault="0043456B" w:rsidP="0043456B">
      <w:pPr>
        <w:widowControl/>
        <w:autoSpaceDE/>
        <w:autoSpaceDN/>
        <w:contextualSpacing/>
        <w:rPr>
          <w:rFonts w:ascii="Garamond" w:eastAsia="Calibri" w:hAnsi="Garamond"/>
          <w:sz w:val="24"/>
          <w:szCs w:val="24"/>
        </w:rPr>
      </w:pPr>
      <w:bookmarkStart w:id="191" w:name="_Toc17731330"/>
      <w:bookmarkStart w:id="192" w:name="_Toc17748250"/>
      <w:bookmarkStart w:id="193" w:name="_Toc17748477"/>
      <w:bookmarkStart w:id="194" w:name="_Toc17748721"/>
      <w:bookmarkStart w:id="195" w:name="_Toc18420200"/>
      <w:bookmarkStart w:id="196" w:name="_Toc18922421"/>
      <w:r w:rsidRPr="0043456B">
        <w:rPr>
          <w:rFonts w:ascii="Garamond" w:eastAsia="Calibri" w:hAnsi="Garamond"/>
          <w:bCs/>
          <w:sz w:val="24"/>
          <w:szCs w:val="24"/>
        </w:rPr>
        <w:t>The Applicant reiterated the cost savings achieved in ASCs outlined above through provision of Medicare local payments and copays for additional outpatient procedures.</w:t>
      </w:r>
      <w:r w:rsidRPr="0043456B">
        <w:rPr>
          <w:rFonts w:ascii="Garamond" w:eastAsia="Calibri" w:hAnsi="Garamond"/>
          <w:sz w:val="24"/>
          <w:szCs w:val="24"/>
        </w:rPr>
        <w:t xml:space="preserve"> The Applicant notes that Medicare, some commercial insurers, and employers are increasing coverage for services at ambulatory surgery centers to encourage patients to seek care in the most cost-effective, appropriate setting.</w:t>
      </w:r>
      <w:r w:rsidRPr="0043456B">
        <w:rPr>
          <w:rFonts w:ascii="Garamond" w:eastAsia="Calibri" w:hAnsi="Garamond"/>
          <w:sz w:val="24"/>
          <w:szCs w:val="24"/>
          <w:vertAlign w:val="superscript"/>
        </w:rPr>
        <w:endnoteReference w:id="46"/>
      </w:r>
      <w:r w:rsidRPr="0043456B">
        <w:rPr>
          <w:rFonts w:ascii="Calibri" w:eastAsia="Calibri" w:hAnsi="Calibri"/>
          <w:vertAlign w:val="superscript"/>
        </w:rPr>
        <w:t>,</w:t>
      </w:r>
      <w:r w:rsidRPr="0043456B">
        <w:rPr>
          <w:rFonts w:ascii="Calibri" w:eastAsia="Calibri" w:hAnsi="Calibri"/>
          <w:vertAlign w:val="superscript"/>
        </w:rPr>
        <w:endnoteReference w:id="47"/>
      </w:r>
      <w:r w:rsidRPr="0043456B">
        <w:rPr>
          <w:rFonts w:ascii="Calibri" w:eastAsia="Calibri" w:hAnsi="Calibri"/>
          <w:vertAlign w:val="superscript"/>
        </w:rPr>
        <w:t xml:space="preserve"> </w:t>
      </w:r>
      <w:r w:rsidRPr="0043456B">
        <w:rPr>
          <w:rFonts w:ascii="Garamond" w:eastAsia="Calibri" w:hAnsi="Garamond"/>
          <w:sz w:val="24"/>
          <w:szCs w:val="24"/>
        </w:rPr>
        <w:t>The Applicant states that the administrator has provided written testimony to the Massachusetts Health Policy Commission (HPC) in 2016 regarding healthcare cost trends, and how surgery centers are a cost-effective way of assisting the state in meeting the health care cost growth benchmark.</w:t>
      </w:r>
    </w:p>
    <w:p w14:paraId="506C866F" w14:textId="77777777" w:rsidR="0043456B" w:rsidRPr="0043456B" w:rsidRDefault="0043456B" w:rsidP="0043456B">
      <w:pPr>
        <w:widowControl/>
        <w:autoSpaceDE/>
        <w:autoSpaceDN/>
        <w:contextualSpacing/>
        <w:rPr>
          <w:rFonts w:ascii="Garamond" w:eastAsia="Calibri" w:hAnsi="Garamond"/>
          <w:bCs/>
          <w:sz w:val="24"/>
          <w:szCs w:val="24"/>
        </w:rPr>
      </w:pPr>
    </w:p>
    <w:p w14:paraId="6E6E3D44" w14:textId="77777777" w:rsidR="0043456B" w:rsidRPr="0043456B" w:rsidRDefault="0043456B" w:rsidP="0043456B">
      <w:pPr>
        <w:widowControl/>
        <w:autoSpaceDE/>
        <w:autoSpaceDN/>
        <w:contextualSpacing/>
        <w:rPr>
          <w:rFonts w:ascii="Garamond" w:eastAsia="Calibri" w:hAnsi="Garamond"/>
          <w:b/>
          <w:i/>
          <w:iCs/>
          <w:sz w:val="24"/>
          <w:szCs w:val="24"/>
        </w:rPr>
      </w:pPr>
      <w:r w:rsidRPr="0043456B">
        <w:rPr>
          <w:rFonts w:ascii="Garamond" w:eastAsia="Calibri" w:hAnsi="Garamond"/>
          <w:b/>
          <w:i/>
          <w:iCs/>
          <w:sz w:val="24"/>
          <w:szCs w:val="24"/>
        </w:rPr>
        <w:t>Analysis: Cost Containment</w:t>
      </w:r>
    </w:p>
    <w:p w14:paraId="16315DF4" w14:textId="77777777" w:rsidR="0043456B" w:rsidRPr="0043456B" w:rsidRDefault="0043456B" w:rsidP="0043456B">
      <w:pPr>
        <w:widowControl/>
        <w:autoSpaceDE/>
        <w:autoSpaceDN/>
        <w:contextualSpacing/>
        <w:rPr>
          <w:rFonts w:ascii="Garamond" w:eastAsia="Calibri" w:hAnsi="Garamond" w:cs="Arial"/>
          <w:bCs/>
          <w:sz w:val="24"/>
          <w:szCs w:val="24"/>
        </w:rPr>
      </w:pPr>
      <w:r w:rsidRPr="0043456B">
        <w:rPr>
          <w:rFonts w:ascii="Garamond" w:eastAsia="Calibri" w:hAnsi="Garamond" w:cs="Arial"/>
          <w:bCs/>
          <w:sz w:val="24"/>
          <w:szCs w:val="24"/>
        </w:rPr>
        <w:t>A review of the literature shows that the rate of outpatient surgery is increasing in the ASC setting. Studies show that payment differentials between ASCs and HOPDs are driving care to take place in the lower-cost ASC setting, where care may be more cost efficient.</w:t>
      </w:r>
      <w:r w:rsidRPr="0043456B">
        <w:rPr>
          <w:rFonts w:ascii="Garamond" w:eastAsia="Calibri" w:hAnsi="Garamond" w:cs="Arial"/>
          <w:bCs/>
          <w:sz w:val="24"/>
          <w:szCs w:val="24"/>
          <w:vertAlign w:val="superscript"/>
        </w:rPr>
        <w:t xml:space="preserve"> </w:t>
      </w:r>
      <w:r w:rsidRPr="0043456B">
        <w:rPr>
          <w:rFonts w:ascii="Garamond" w:eastAsia="Calibri" w:hAnsi="Garamond" w:cs="Arial"/>
          <w:bCs/>
          <w:sz w:val="24"/>
          <w:szCs w:val="24"/>
          <w:vertAlign w:val="superscript"/>
        </w:rPr>
        <w:endnoteReference w:id="48"/>
      </w:r>
      <w:r w:rsidRPr="0043456B">
        <w:rPr>
          <w:rFonts w:ascii="Garamond" w:eastAsia="Calibri" w:hAnsi="Garamond" w:cs="Arial"/>
          <w:bCs/>
          <w:sz w:val="24"/>
          <w:szCs w:val="24"/>
        </w:rPr>
        <w:t xml:space="preserve"> Another reason cited for the utilization of the ASC setting for certain surgical procedures/patients</w:t>
      </w:r>
      <w:r w:rsidRPr="0043456B">
        <w:rPr>
          <w:rFonts w:ascii="Garamond" w:eastAsia="Calibri" w:hAnsi="Garamond" w:cs="Arial"/>
          <w:bCs/>
          <w:sz w:val="24"/>
          <w:szCs w:val="24"/>
          <w:vertAlign w:val="superscript"/>
        </w:rPr>
        <w:endnoteReference w:id="49"/>
      </w:r>
      <w:r w:rsidRPr="0043456B">
        <w:rPr>
          <w:rFonts w:ascii="Garamond" w:eastAsia="Calibri" w:hAnsi="Garamond" w:cs="Arial"/>
          <w:bCs/>
          <w:sz w:val="24"/>
          <w:szCs w:val="24"/>
          <w:vertAlign w:val="superscript"/>
        </w:rPr>
        <w:t>,</w:t>
      </w:r>
      <w:r w:rsidRPr="0043456B">
        <w:rPr>
          <w:rFonts w:ascii="Garamond" w:eastAsia="Calibri" w:hAnsi="Garamond" w:cs="Arial"/>
          <w:bCs/>
          <w:sz w:val="24"/>
          <w:szCs w:val="24"/>
          <w:vertAlign w:val="superscript"/>
        </w:rPr>
        <w:endnoteReference w:id="50"/>
      </w:r>
      <w:r w:rsidRPr="0043456B">
        <w:rPr>
          <w:rFonts w:ascii="Garamond" w:eastAsia="Calibri" w:hAnsi="Garamond" w:cs="Arial"/>
          <w:bCs/>
          <w:sz w:val="24"/>
          <w:szCs w:val="24"/>
          <w:vertAlign w:val="superscript"/>
        </w:rPr>
        <w:t xml:space="preserve"> </w:t>
      </w:r>
      <w:r w:rsidRPr="0043456B">
        <w:rPr>
          <w:rFonts w:ascii="Garamond" w:eastAsia="Calibri" w:hAnsi="Garamond" w:cs="Arial"/>
          <w:bCs/>
          <w:sz w:val="24"/>
          <w:szCs w:val="24"/>
        </w:rPr>
        <w:t xml:space="preserve">is value-based healthcare, in which provider compensation is based on health outcomes, and health outcomes are measured against the cost of the delivery of care. </w:t>
      </w:r>
    </w:p>
    <w:p w14:paraId="7EEE240A" w14:textId="77777777" w:rsidR="0043456B" w:rsidRPr="0043456B" w:rsidRDefault="0043456B" w:rsidP="0043456B">
      <w:pPr>
        <w:widowControl/>
        <w:autoSpaceDE/>
        <w:autoSpaceDN/>
        <w:contextualSpacing/>
        <w:rPr>
          <w:rFonts w:ascii="Garamond" w:eastAsia="Calibri" w:hAnsi="Garamond" w:cs="Arial"/>
          <w:bCs/>
          <w:sz w:val="24"/>
          <w:szCs w:val="24"/>
        </w:rPr>
      </w:pPr>
    </w:p>
    <w:p w14:paraId="10E9A200" w14:textId="77777777" w:rsidR="0043456B" w:rsidRPr="0043456B" w:rsidRDefault="0043456B" w:rsidP="0043456B">
      <w:pPr>
        <w:widowControl/>
        <w:autoSpaceDE/>
        <w:autoSpaceDN/>
        <w:contextualSpacing/>
        <w:rPr>
          <w:rFonts w:ascii="Garamond" w:eastAsia="Calibri" w:hAnsi="Garamond" w:cs="Arial"/>
          <w:bCs/>
          <w:sz w:val="24"/>
          <w:szCs w:val="24"/>
        </w:rPr>
      </w:pPr>
      <w:r w:rsidRPr="0043456B">
        <w:rPr>
          <w:rFonts w:ascii="Garamond" w:eastAsia="Calibri" w:hAnsi="Garamond"/>
          <w:sz w:val="24"/>
          <w:szCs w:val="24"/>
        </w:rPr>
        <w:t xml:space="preserve">Cost containment on a statewide level is impacted through pricing, which is a function of what providers charge payers and what payers agree to pay. While payment contracts between individual providers and commercial payers are confidential, contracts among providers and Medicare and Medicaid are more transparent. </w:t>
      </w:r>
      <w:r w:rsidRPr="0043456B">
        <w:rPr>
          <w:rFonts w:ascii="Garamond" w:eastAsia="Calibri" w:hAnsi="Garamond" w:cs="Arial"/>
          <w:bCs/>
          <w:sz w:val="24"/>
          <w:szCs w:val="24"/>
        </w:rPr>
        <w:t xml:space="preserve">Since surgeries performed in the ASC setting have been shown to be efficient, cost-effective, and are of equal or higher quality than when they are performed in the HOPD, staff finds that expanding access to outpatient surgery in the ASC setting has the potential to contribute to the Commonwealth’s cost containment goals. </w:t>
      </w:r>
    </w:p>
    <w:p w14:paraId="6DF891F8" w14:textId="77777777" w:rsidR="0043456B" w:rsidRPr="0043456B" w:rsidRDefault="0043456B" w:rsidP="0043456B">
      <w:pPr>
        <w:widowControl/>
        <w:autoSpaceDE/>
        <w:autoSpaceDN/>
        <w:contextualSpacing/>
        <w:rPr>
          <w:rFonts w:ascii="Garamond" w:eastAsia="Calibri" w:hAnsi="Garamond"/>
          <w:bCs/>
          <w:sz w:val="24"/>
          <w:szCs w:val="24"/>
        </w:rPr>
      </w:pPr>
    </w:p>
    <w:p w14:paraId="7404CB3B" w14:textId="77777777" w:rsidR="0043456B" w:rsidRPr="0043456B" w:rsidRDefault="0043456B" w:rsidP="0043456B">
      <w:pPr>
        <w:widowControl/>
        <w:autoSpaceDE/>
        <w:autoSpaceDN/>
        <w:contextualSpacing/>
        <w:rPr>
          <w:rFonts w:ascii="Garamond" w:eastAsia="Calibri" w:hAnsi="Garamond"/>
          <w:b/>
          <w:bCs/>
          <w:sz w:val="24"/>
          <w:szCs w:val="24"/>
        </w:rPr>
      </w:pPr>
      <w:r w:rsidRPr="0043456B">
        <w:rPr>
          <w:rFonts w:ascii="Garamond" w:eastAsia="Calibri" w:hAnsi="Garamond"/>
          <w:b/>
          <w:bCs/>
          <w:sz w:val="24"/>
          <w:szCs w:val="24"/>
        </w:rPr>
        <w:t>Improved Public Health Outcomes</w:t>
      </w:r>
      <w:bookmarkEnd w:id="191"/>
      <w:bookmarkEnd w:id="192"/>
      <w:bookmarkEnd w:id="193"/>
      <w:bookmarkEnd w:id="194"/>
      <w:bookmarkEnd w:id="195"/>
      <w:bookmarkEnd w:id="196"/>
    </w:p>
    <w:p w14:paraId="76F58540" w14:textId="77777777" w:rsidR="0043456B" w:rsidRPr="0043456B" w:rsidRDefault="0043456B" w:rsidP="0043456B">
      <w:pPr>
        <w:widowControl/>
        <w:autoSpaceDE/>
        <w:autoSpaceDN/>
        <w:contextualSpacing/>
        <w:rPr>
          <w:rFonts w:ascii="Garamond" w:eastAsia="Calibri" w:hAnsi="Garamond"/>
          <w:bCs/>
          <w:sz w:val="24"/>
          <w:szCs w:val="24"/>
        </w:rPr>
      </w:pPr>
      <w:bookmarkStart w:id="197" w:name="_Toc17731331"/>
      <w:bookmarkStart w:id="198" w:name="_Toc17748251"/>
      <w:bookmarkStart w:id="199" w:name="_Toc17748479"/>
      <w:bookmarkStart w:id="200" w:name="_Toc17748723"/>
      <w:bookmarkStart w:id="201" w:name="_Toc18420202"/>
      <w:bookmarkStart w:id="202" w:name="_Toc18922423"/>
      <w:r w:rsidRPr="0043456B">
        <w:rPr>
          <w:rFonts w:ascii="Garamond" w:eastAsia="Calibri" w:hAnsi="Garamond"/>
          <w:sz w:val="24"/>
          <w:szCs w:val="24"/>
        </w:rPr>
        <w:t xml:space="preserve">The Applicant has addressed </w:t>
      </w:r>
      <w:r w:rsidRPr="0043456B">
        <w:rPr>
          <w:rFonts w:ascii="Garamond" w:eastAsia="Calibri" w:hAnsi="Garamond"/>
          <w:bCs/>
          <w:sz w:val="24"/>
          <w:szCs w:val="24"/>
        </w:rPr>
        <w:t>how surgeries performed in the ASC setting can be more efficient, convenient, and cost-effective without compromising quality of care.</w:t>
      </w:r>
      <w:r w:rsidRPr="0043456B">
        <w:rPr>
          <w:rFonts w:ascii="Calibri" w:eastAsia="Calibri" w:hAnsi="Calibri"/>
        </w:rPr>
        <w:t xml:space="preserve"> </w:t>
      </w:r>
      <w:r w:rsidRPr="0043456B">
        <w:rPr>
          <w:rFonts w:ascii="Garamond" w:eastAsia="Calibri" w:hAnsi="Garamond"/>
          <w:bCs/>
          <w:sz w:val="24"/>
          <w:szCs w:val="24"/>
        </w:rPr>
        <w:t xml:space="preserve">In addition, the Applicant discussed how surgeries performed at NESC are demonstrated to improve outcomes, including increasing functioning and reducing pain.   </w:t>
      </w:r>
    </w:p>
    <w:p w14:paraId="4405DAF7" w14:textId="77777777" w:rsidR="0043456B" w:rsidRPr="0043456B" w:rsidRDefault="0043456B" w:rsidP="0043456B">
      <w:pPr>
        <w:widowControl/>
        <w:autoSpaceDE/>
        <w:autoSpaceDN/>
        <w:contextualSpacing/>
        <w:rPr>
          <w:rFonts w:ascii="Garamond" w:eastAsia="Calibri" w:hAnsi="Garamond"/>
          <w:bCs/>
          <w:sz w:val="24"/>
          <w:szCs w:val="24"/>
        </w:rPr>
      </w:pPr>
    </w:p>
    <w:p w14:paraId="2FAE132B" w14:textId="77777777" w:rsidR="0043456B" w:rsidRPr="0043456B" w:rsidRDefault="0043456B" w:rsidP="0043456B">
      <w:pPr>
        <w:widowControl/>
        <w:autoSpaceDE/>
        <w:autoSpaceDN/>
        <w:spacing w:after="200"/>
        <w:contextualSpacing/>
        <w:rPr>
          <w:rFonts w:ascii="Garamond" w:eastAsia="Calibri" w:hAnsi="Garamond"/>
          <w:b/>
          <w:bCs/>
          <w:sz w:val="24"/>
          <w:szCs w:val="24"/>
        </w:rPr>
      </w:pPr>
      <w:r w:rsidRPr="0043456B">
        <w:rPr>
          <w:rFonts w:ascii="Garamond" w:eastAsia="Calibri" w:hAnsi="Garamond"/>
          <w:b/>
          <w:i/>
          <w:iCs/>
          <w:sz w:val="24"/>
          <w:szCs w:val="24"/>
        </w:rPr>
        <w:lastRenderedPageBreak/>
        <w:t xml:space="preserve">Analysis: </w:t>
      </w:r>
      <w:r w:rsidRPr="0043456B">
        <w:rPr>
          <w:rFonts w:ascii="Garamond" w:eastAsia="Calibri" w:hAnsi="Garamond"/>
          <w:b/>
          <w:bCs/>
          <w:i/>
          <w:sz w:val="24"/>
          <w:szCs w:val="24"/>
        </w:rPr>
        <w:t>Public Health Outcomes</w:t>
      </w:r>
      <w:r w:rsidRPr="0043456B">
        <w:rPr>
          <w:rFonts w:ascii="Garamond" w:eastAsia="Calibri" w:hAnsi="Garamond"/>
          <w:b/>
          <w:bCs/>
          <w:sz w:val="24"/>
          <w:szCs w:val="24"/>
        </w:rPr>
        <w:t xml:space="preserve"> </w:t>
      </w:r>
    </w:p>
    <w:p w14:paraId="44221F81" w14:textId="77777777" w:rsidR="0043456B" w:rsidRPr="0043456B" w:rsidRDefault="0043456B" w:rsidP="0043456B">
      <w:pPr>
        <w:widowControl/>
        <w:autoSpaceDE/>
        <w:autoSpaceDN/>
        <w:contextualSpacing/>
        <w:rPr>
          <w:rFonts w:ascii="Garamond" w:eastAsia="Calibri" w:hAnsi="Garamond"/>
          <w:bCs/>
          <w:sz w:val="24"/>
          <w:szCs w:val="24"/>
        </w:rPr>
      </w:pPr>
      <w:r w:rsidRPr="0043456B">
        <w:rPr>
          <w:rFonts w:ascii="Garamond" w:eastAsia="Calibri" w:hAnsi="Garamond" w:cs="Arial"/>
          <w:bCs/>
          <w:iCs/>
          <w:sz w:val="24"/>
          <w:szCs w:val="24"/>
        </w:rPr>
        <w:t>Surgical procedures performed in ASCs are associated with reduced mortality, morbidity, and hospital admission rates as compared to outpatient surgery performed in the hospital setting, and patients also experience shorter surgery and recovery times; these benefits appear to extend to vulnerable (highest-risk Medicare) patients.</w:t>
      </w:r>
      <w:r w:rsidRPr="0043456B">
        <w:rPr>
          <w:rFonts w:ascii="Garamond" w:eastAsia="Calibri" w:hAnsi="Garamond" w:cs="Arial"/>
          <w:bCs/>
          <w:iCs/>
          <w:sz w:val="24"/>
          <w:szCs w:val="24"/>
          <w:vertAlign w:val="superscript"/>
        </w:rPr>
        <w:endnoteReference w:id="51"/>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52"/>
      </w:r>
      <w:r w:rsidRPr="0043456B">
        <w:rPr>
          <w:rFonts w:ascii="Garamond" w:eastAsia="Calibri" w:hAnsi="Garamond" w:cs="Arial"/>
          <w:bCs/>
          <w:iCs/>
          <w:sz w:val="24"/>
          <w:szCs w:val="24"/>
          <w:vertAlign w:val="superscript"/>
        </w:rPr>
        <w:t>,</w:t>
      </w:r>
      <w:r w:rsidRPr="0043456B">
        <w:rPr>
          <w:rFonts w:ascii="Garamond" w:eastAsia="Calibri" w:hAnsi="Garamond" w:cs="Arial"/>
          <w:bCs/>
          <w:iCs/>
          <w:sz w:val="24"/>
          <w:szCs w:val="24"/>
          <w:vertAlign w:val="superscript"/>
        </w:rPr>
        <w:endnoteReference w:id="53"/>
      </w:r>
      <w:r w:rsidRPr="0043456B">
        <w:rPr>
          <w:rFonts w:ascii="Garamond" w:eastAsia="Calibri" w:hAnsi="Garamond" w:cs="Arial"/>
          <w:bCs/>
          <w:iCs/>
          <w:sz w:val="24"/>
          <w:szCs w:val="24"/>
          <w:vertAlign w:val="superscript"/>
        </w:rPr>
        <w:t xml:space="preserve"> </w:t>
      </w:r>
      <w:r w:rsidRPr="0043456B">
        <w:rPr>
          <w:rFonts w:ascii="Garamond" w:eastAsia="Calibri" w:hAnsi="Garamond"/>
          <w:bCs/>
          <w:sz w:val="24"/>
          <w:szCs w:val="24"/>
        </w:rPr>
        <w:t xml:space="preserve">Improving access to NESC’s services has the potential to improve outcomes and quality of life for the Patient Panel. </w:t>
      </w:r>
    </w:p>
    <w:p w14:paraId="6C1F6B42" w14:textId="77777777" w:rsidR="0043456B" w:rsidRPr="0043456B" w:rsidRDefault="0043456B" w:rsidP="0043456B">
      <w:pPr>
        <w:widowControl/>
        <w:autoSpaceDE/>
        <w:autoSpaceDN/>
        <w:contextualSpacing/>
        <w:rPr>
          <w:rFonts w:ascii="Garamond" w:eastAsia="Calibri" w:hAnsi="Garamond"/>
          <w:b/>
          <w:bCs/>
          <w:sz w:val="24"/>
          <w:szCs w:val="24"/>
        </w:rPr>
      </w:pPr>
    </w:p>
    <w:p w14:paraId="0C62A330"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b/>
          <w:bCs/>
          <w:sz w:val="24"/>
          <w:szCs w:val="24"/>
        </w:rPr>
        <w:t>Delivery System Transformation</w:t>
      </w:r>
      <w:bookmarkEnd w:id="197"/>
      <w:bookmarkEnd w:id="198"/>
      <w:bookmarkEnd w:id="199"/>
      <w:bookmarkEnd w:id="200"/>
      <w:bookmarkEnd w:id="201"/>
      <w:bookmarkEnd w:id="202"/>
      <w:r w:rsidRPr="0043456B">
        <w:rPr>
          <w:rFonts w:ascii="Garamond" w:eastAsia="Calibri" w:hAnsi="Garamond"/>
          <w:b/>
          <w:bCs/>
          <w:sz w:val="24"/>
          <w:szCs w:val="24"/>
        </w:rPr>
        <w:t xml:space="preserve"> </w:t>
      </w:r>
    </w:p>
    <w:p w14:paraId="3F1B249B" w14:textId="77777777" w:rsidR="0043456B" w:rsidRPr="0043456B" w:rsidRDefault="0043456B" w:rsidP="0043456B">
      <w:pPr>
        <w:widowControl/>
        <w:autoSpaceDE/>
        <w:autoSpaceDN/>
        <w:rPr>
          <w:rFonts w:ascii="Garamond" w:eastAsia="Calibri" w:hAnsi="Garamond"/>
          <w:sz w:val="24"/>
          <w:szCs w:val="24"/>
        </w:rPr>
      </w:pPr>
      <w:r w:rsidRPr="0043456B">
        <w:rPr>
          <w:rFonts w:ascii="Garamond" w:eastAsia="Calibri" w:hAnsi="Garamond" w:cs="Arial"/>
          <w:sz w:val="24"/>
          <w:szCs w:val="24"/>
        </w:rPr>
        <w:t>The Applicant mentioned its value-based contracts</w:t>
      </w:r>
      <w:r w:rsidRPr="0043456B">
        <w:rPr>
          <w:rFonts w:ascii="Garamond" w:eastAsia="Calibri" w:hAnsi="Garamond" w:cs="Arial"/>
          <w:sz w:val="24"/>
          <w:szCs w:val="24"/>
          <w:vertAlign w:val="superscript"/>
        </w:rPr>
        <w:footnoteReference w:id="35"/>
      </w:r>
      <w:r w:rsidRPr="0043456B">
        <w:rPr>
          <w:rFonts w:ascii="Garamond" w:eastAsia="Calibri" w:hAnsi="Garamond" w:cs="Arial"/>
          <w:sz w:val="24"/>
          <w:szCs w:val="24"/>
        </w:rPr>
        <w:t xml:space="preserve"> and participation in numerous MassHealth products as evidence of its efforts to improve access to </w:t>
      </w:r>
      <w:proofErr w:type="gramStart"/>
      <w:r w:rsidRPr="0043456B">
        <w:rPr>
          <w:rFonts w:ascii="Garamond" w:eastAsia="Calibri" w:hAnsi="Garamond" w:cs="Arial"/>
          <w:sz w:val="24"/>
          <w:szCs w:val="24"/>
        </w:rPr>
        <w:t>high quality, low cost</w:t>
      </w:r>
      <w:proofErr w:type="gramEnd"/>
      <w:r w:rsidRPr="0043456B">
        <w:rPr>
          <w:rFonts w:ascii="Garamond" w:eastAsia="Calibri" w:hAnsi="Garamond" w:cs="Arial"/>
          <w:sz w:val="24"/>
          <w:szCs w:val="24"/>
        </w:rPr>
        <w:t xml:space="preserve"> care. In response to staff inquiry about MassHealth participation, the Applicant stated NESC contracts with all MassHealth products, and that </w:t>
      </w:r>
      <w:r w:rsidRPr="0043456B">
        <w:rPr>
          <w:rFonts w:ascii="Garamond" w:eastAsia="Calibri" w:hAnsi="Garamond" w:cs="Arial"/>
          <w:bCs/>
          <w:sz w:val="24"/>
          <w:szCs w:val="24"/>
        </w:rPr>
        <w:t>90% of the 24 surgeons performing procedures at the surgery center are participating MassHealth Providers, but not to all products.</w:t>
      </w:r>
      <w:r w:rsidRPr="0043456B">
        <w:rPr>
          <w:rFonts w:ascii="Garamond" w:eastAsia="Calibri" w:hAnsi="Garamond"/>
          <w:sz w:val="24"/>
          <w:szCs w:val="24"/>
        </w:rPr>
        <w:t xml:space="preserve"> The Applicant explained that participation in all MassHealth products is not possible for the facility or the surgeons because some plans are only for services that are not covered in an ASC.</w:t>
      </w:r>
      <w:r w:rsidRPr="0043456B">
        <w:rPr>
          <w:rFonts w:ascii="Garamond" w:eastAsia="Calibri" w:hAnsi="Garamond"/>
          <w:sz w:val="24"/>
          <w:szCs w:val="24"/>
          <w:vertAlign w:val="superscript"/>
        </w:rPr>
        <w:footnoteReference w:id="36"/>
      </w:r>
      <w:r w:rsidRPr="0043456B">
        <w:rPr>
          <w:rFonts w:ascii="Garamond" w:eastAsia="Calibri" w:hAnsi="Garamond"/>
          <w:sz w:val="24"/>
          <w:szCs w:val="24"/>
        </w:rPr>
        <w:t xml:space="preserve"> The Applicant, along with other members of the Massachusetts Association of Ambulatory Surgery Centers (MAASC), provided case information to MassHealth which supported an increase in the rate of payment </w:t>
      </w:r>
      <w:proofErr w:type="gramStart"/>
      <w:r w:rsidRPr="0043456B">
        <w:rPr>
          <w:rFonts w:ascii="Garamond" w:eastAsia="Calibri" w:hAnsi="Garamond"/>
          <w:sz w:val="24"/>
          <w:szCs w:val="24"/>
        </w:rPr>
        <w:t>ASC’s</w:t>
      </w:r>
      <w:proofErr w:type="gramEnd"/>
      <w:r w:rsidRPr="0043456B">
        <w:rPr>
          <w:rFonts w:ascii="Garamond" w:eastAsia="Calibri" w:hAnsi="Garamond"/>
          <w:sz w:val="24"/>
          <w:szCs w:val="24"/>
        </w:rPr>
        <w:t xml:space="preserve"> received in 2018. The Applicant asserts that prior to the rate increase, the Applicant referred most complex and non-complex procedures to HOPDs where it was more cost efficient to perform them. The change in payment structure allowed the ASC to accommodate more complex and non-complex procedures and keep more patients at its facility.</w:t>
      </w:r>
      <w:r w:rsidRPr="0043456B">
        <w:rPr>
          <w:rFonts w:ascii="Garamond" w:eastAsia="Calibri" w:hAnsi="Garamond"/>
          <w:sz w:val="24"/>
          <w:szCs w:val="24"/>
          <w:vertAlign w:val="superscript"/>
        </w:rPr>
        <w:footnoteReference w:id="37"/>
      </w:r>
    </w:p>
    <w:p w14:paraId="0F5822AE" w14:textId="77777777" w:rsidR="0043456B" w:rsidRPr="0043456B" w:rsidRDefault="0043456B" w:rsidP="0043456B">
      <w:pPr>
        <w:widowControl/>
        <w:autoSpaceDE/>
        <w:autoSpaceDN/>
        <w:contextualSpacing/>
        <w:rPr>
          <w:rFonts w:ascii="Garamond" w:eastAsia="Calibri" w:hAnsi="Garamond"/>
          <w:sz w:val="24"/>
          <w:szCs w:val="24"/>
        </w:rPr>
      </w:pPr>
    </w:p>
    <w:p w14:paraId="433734EB" w14:textId="77777777" w:rsidR="0043456B" w:rsidRPr="0043456B" w:rsidRDefault="0043456B" w:rsidP="0043456B">
      <w:pPr>
        <w:widowControl/>
        <w:autoSpaceDE/>
        <w:autoSpaceDN/>
        <w:contextualSpacing/>
        <w:rPr>
          <w:rFonts w:ascii="Garamond" w:eastAsia="Calibri" w:hAnsi="Garamond"/>
          <w:b/>
          <w:bCs/>
          <w:sz w:val="24"/>
          <w:szCs w:val="24"/>
        </w:rPr>
      </w:pPr>
      <w:r w:rsidRPr="0043456B">
        <w:rPr>
          <w:rFonts w:ascii="Garamond" w:eastAsia="Calibri" w:hAnsi="Garamond"/>
          <w:b/>
          <w:i/>
          <w:iCs/>
          <w:sz w:val="24"/>
          <w:szCs w:val="24"/>
        </w:rPr>
        <w:t xml:space="preserve">Analysis: </w:t>
      </w:r>
      <w:r w:rsidRPr="0043456B">
        <w:rPr>
          <w:rFonts w:ascii="Garamond" w:eastAsia="Calibri" w:hAnsi="Garamond"/>
          <w:b/>
          <w:bCs/>
          <w:i/>
          <w:sz w:val="24"/>
          <w:szCs w:val="24"/>
        </w:rPr>
        <w:t>Delivery System Transformation</w:t>
      </w:r>
    </w:p>
    <w:p w14:paraId="37F5EEB1" w14:textId="77777777" w:rsidR="0043456B" w:rsidRPr="0043456B" w:rsidRDefault="0043456B" w:rsidP="0043456B">
      <w:pPr>
        <w:widowControl/>
        <w:autoSpaceDE/>
        <w:autoSpaceDN/>
        <w:contextualSpacing/>
        <w:rPr>
          <w:rFonts w:ascii="Garamond" w:eastAsia="Calibri" w:hAnsi="Garamond"/>
          <w:iCs/>
          <w:sz w:val="24"/>
          <w:szCs w:val="24"/>
        </w:rPr>
      </w:pPr>
      <w:r w:rsidRPr="0043456B">
        <w:rPr>
          <w:rFonts w:ascii="Garamond" w:eastAsia="Calibri" w:hAnsi="Garamond"/>
          <w:iCs/>
          <w:sz w:val="24"/>
          <w:szCs w:val="24"/>
        </w:rPr>
        <w:t xml:space="preserve">Central to the goal of Delivery System Transformation is the integration of social services and community-based expertise. The Applicant described its social needs screening processes including how surgery patients are assessed and how referrals are made to the PCP and outside organizations. </w:t>
      </w:r>
    </w:p>
    <w:p w14:paraId="70D2D58A" w14:textId="77777777" w:rsidR="0043456B" w:rsidRPr="0043456B" w:rsidRDefault="0043456B" w:rsidP="0043456B">
      <w:pPr>
        <w:keepNext/>
        <w:keepLines/>
        <w:widowControl/>
        <w:autoSpaceDE/>
        <w:autoSpaceDN/>
        <w:spacing w:before="480"/>
        <w:outlineLvl w:val="0"/>
        <w:rPr>
          <w:rFonts w:ascii="Garamond" w:hAnsi="Garamond"/>
          <w:b/>
          <w:bCs/>
          <w:color w:val="42558C"/>
          <w:sz w:val="24"/>
          <w:szCs w:val="24"/>
        </w:rPr>
      </w:pPr>
      <w:bookmarkStart w:id="203" w:name="_Toc58960221"/>
      <w:bookmarkStart w:id="204" w:name="_Toc28797409"/>
      <w:bookmarkStart w:id="205" w:name="_Toc29755687"/>
      <w:bookmarkStart w:id="206" w:name="_Toc17748725"/>
      <w:bookmarkStart w:id="207" w:name="_Toc17748726"/>
      <w:r w:rsidRPr="0043456B">
        <w:rPr>
          <w:rFonts w:ascii="Garamond" w:hAnsi="Garamond"/>
          <w:b/>
          <w:bCs/>
          <w:color w:val="42558C"/>
          <w:sz w:val="28"/>
          <w:szCs w:val="28"/>
        </w:rPr>
        <w:t>Factor 2 Summary</w:t>
      </w:r>
      <w:bookmarkEnd w:id="203"/>
      <w:r w:rsidRPr="0043456B">
        <w:rPr>
          <w:rFonts w:ascii="Garamond" w:hAnsi="Garamond"/>
          <w:b/>
          <w:bCs/>
          <w:color w:val="42558C"/>
          <w:sz w:val="28"/>
          <w:szCs w:val="28"/>
        </w:rPr>
        <w:t xml:space="preserve"> </w:t>
      </w:r>
      <w:bookmarkEnd w:id="204"/>
      <w:bookmarkEnd w:id="205"/>
    </w:p>
    <w:p w14:paraId="6356F5C8" w14:textId="77777777" w:rsidR="0043456B" w:rsidRPr="0043456B" w:rsidRDefault="0043456B" w:rsidP="0043456B">
      <w:pPr>
        <w:widowControl/>
        <w:autoSpaceDE/>
        <w:autoSpaceDN/>
        <w:contextualSpacing/>
        <w:rPr>
          <w:rFonts w:ascii="Garamond" w:eastAsia="Calibri" w:hAnsi="Garamond" w:cs="Arial"/>
          <w:sz w:val="24"/>
          <w:szCs w:val="24"/>
        </w:rPr>
      </w:pPr>
      <w:r w:rsidRPr="0043456B">
        <w:rPr>
          <w:rFonts w:ascii="Garamond" w:eastAsia="Calibri" w:hAnsi="Garamond" w:cs="Arial"/>
          <w:sz w:val="24"/>
          <w:szCs w:val="24"/>
        </w:rPr>
        <w:t xml:space="preserve">As a result of information provided, staff finds that the Applicant has sufficiently met the requirements of Factor 2. </w:t>
      </w:r>
    </w:p>
    <w:p w14:paraId="1A1FF42B" w14:textId="77777777" w:rsidR="0043456B" w:rsidRPr="0043456B" w:rsidRDefault="0043456B" w:rsidP="0043456B">
      <w:pPr>
        <w:widowControl/>
        <w:autoSpaceDE/>
        <w:autoSpaceDN/>
        <w:spacing w:after="200"/>
        <w:rPr>
          <w:rFonts w:ascii="Garamond" w:eastAsia="Calibri" w:hAnsi="Garamond" w:cs="Cambria"/>
          <w:sz w:val="20"/>
          <w:szCs w:val="20"/>
        </w:rPr>
      </w:pPr>
    </w:p>
    <w:p w14:paraId="56E6C86C"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bookmarkStart w:id="208" w:name="_Toc29755688"/>
      <w:bookmarkStart w:id="209" w:name="_Toc58960222"/>
      <w:r w:rsidRPr="0043456B">
        <w:rPr>
          <w:rFonts w:ascii="Garamond" w:hAnsi="Garamond"/>
          <w:b/>
          <w:bCs/>
          <w:color w:val="42558C"/>
          <w:sz w:val="28"/>
          <w:szCs w:val="28"/>
        </w:rPr>
        <w:t>Factor 3: Relevant Licensure/Oversight Compliance</w:t>
      </w:r>
      <w:bookmarkEnd w:id="206"/>
      <w:bookmarkEnd w:id="208"/>
      <w:bookmarkEnd w:id="209"/>
    </w:p>
    <w:p w14:paraId="6EA3B6EA"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sz w:val="24"/>
          <w:szCs w:val="24"/>
        </w:rPr>
        <w:t>The Applicant has provided evidence of compliance and good standing with federal, state, and local laws and regulations and will not be addressed further in this report.</w:t>
      </w:r>
      <w:r w:rsidRPr="0043456B">
        <w:rPr>
          <w:rFonts w:ascii="Garamond" w:eastAsia="Calibri" w:hAnsi="Garamond"/>
        </w:rPr>
        <w:t xml:space="preserve"> </w:t>
      </w:r>
      <w:r w:rsidRPr="0043456B">
        <w:rPr>
          <w:rFonts w:ascii="Garamond" w:eastAsia="Calibri" w:hAnsi="Garamond"/>
          <w:sz w:val="24"/>
          <w:szCs w:val="24"/>
        </w:rPr>
        <w:t>As a result of information provided by the Applicant, staff finds the Applicant has reasonably met the standards of Factor 3.</w:t>
      </w:r>
    </w:p>
    <w:p w14:paraId="19AD2D7D"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p>
    <w:p w14:paraId="23B6DF44" w14:textId="77777777" w:rsidR="0043456B" w:rsidRPr="0043456B" w:rsidRDefault="0043456B" w:rsidP="0043456B">
      <w:pPr>
        <w:keepNext/>
        <w:keepLines/>
        <w:widowControl/>
        <w:autoSpaceDE/>
        <w:autoSpaceDN/>
        <w:contextualSpacing/>
        <w:outlineLvl w:val="0"/>
        <w:rPr>
          <w:rFonts w:ascii="Garamond" w:hAnsi="Garamond"/>
          <w:b/>
          <w:bCs/>
          <w:color w:val="42558C"/>
          <w:sz w:val="28"/>
          <w:szCs w:val="28"/>
        </w:rPr>
      </w:pPr>
      <w:bookmarkStart w:id="210" w:name="_Toc29755689"/>
      <w:bookmarkStart w:id="211" w:name="_Toc58960223"/>
      <w:r w:rsidRPr="0043456B">
        <w:rPr>
          <w:rFonts w:ascii="Garamond" w:hAnsi="Garamond"/>
          <w:b/>
          <w:bCs/>
          <w:color w:val="42558C"/>
          <w:sz w:val="28"/>
          <w:szCs w:val="28"/>
        </w:rPr>
        <w:t>Factor 4: Demonstration of Sufficient Funds as Supported by an Independent CPA Analysis</w:t>
      </w:r>
      <w:bookmarkEnd w:id="207"/>
      <w:bookmarkEnd w:id="210"/>
      <w:bookmarkEnd w:id="211"/>
    </w:p>
    <w:p w14:paraId="399FF8CA"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sz w:val="24"/>
          <w:szCs w:val="24"/>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 The Applicant submitted a report performed by Cohen &amp; Company (CPA Report).</w:t>
      </w:r>
    </w:p>
    <w:p w14:paraId="491822FE" w14:textId="77777777" w:rsidR="0043456B" w:rsidRPr="0043456B" w:rsidRDefault="0043456B" w:rsidP="0043456B">
      <w:pPr>
        <w:widowControl/>
        <w:autoSpaceDE/>
        <w:autoSpaceDN/>
        <w:contextualSpacing/>
        <w:rPr>
          <w:rFonts w:ascii="Garamond" w:eastAsia="Calibri" w:hAnsi="Garamond"/>
          <w:sz w:val="24"/>
          <w:szCs w:val="24"/>
        </w:rPr>
      </w:pPr>
    </w:p>
    <w:p w14:paraId="3E033A4C" w14:textId="77777777" w:rsidR="0043456B" w:rsidRPr="0043456B" w:rsidRDefault="0043456B" w:rsidP="0043456B">
      <w:pPr>
        <w:widowControl/>
        <w:autoSpaceDE/>
        <w:autoSpaceDN/>
        <w:contextualSpacing/>
        <w:rPr>
          <w:rFonts w:ascii="Garamond" w:eastAsia="Calibri" w:hAnsi="Garamond"/>
          <w:sz w:val="24"/>
          <w:szCs w:val="24"/>
        </w:rPr>
      </w:pPr>
      <w:proofErr w:type="gramStart"/>
      <w:r w:rsidRPr="0043456B">
        <w:rPr>
          <w:rFonts w:ascii="Garamond" w:eastAsia="Calibri" w:hAnsi="Garamond"/>
          <w:sz w:val="24"/>
          <w:szCs w:val="24"/>
        </w:rPr>
        <w:t>In order to</w:t>
      </w:r>
      <w:proofErr w:type="gramEnd"/>
      <w:r w:rsidRPr="0043456B">
        <w:rPr>
          <w:rFonts w:ascii="Garamond" w:eastAsia="Calibri" w:hAnsi="Garamond"/>
          <w:sz w:val="24"/>
          <w:szCs w:val="24"/>
        </w:rPr>
        <w:t xml:space="preserve"> assess the reasonableness of assumptions used, and the feasibility of the projections for the Proposed Project, the CPA Report reflects a review and analysis of the “Financial Feasibility Report” prepared by Health Capital Consultants, dated February 11, 2020 (HCC Report), including five-year financial projections (2020-2024). </w:t>
      </w:r>
      <w:r w:rsidRPr="0043456B">
        <w:rPr>
          <w:rFonts w:ascii="Garamond" w:eastAsia="Calibri" w:hAnsi="Garamond"/>
          <w:sz w:val="24"/>
          <w:szCs w:val="24"/>
        </w:rPr>
        <w:lastRenderedPageBreak/>
        <w:t xml:space="preserve">The HCC Report relied upon historical and projected performance of NESC, industry data and trends, financial data and NESC Management interviews. </w:t>
      </w:r>
    </w:p>
    <w:p w14:paraId="1CE04F27" w14:textId="77777777" w:rsidR="0043456B" w:rsidRPr="0043456B" w:rsidRDefault="0043456B" w:rsidP="0043456B">
      <w:pPr>
        <w:widowControl/>
        <w:autoSpaceDE/>
        <w:autoSpaceDN/>
        <w:contextualSpacing/>
        <w:rPr>
          <w:rFonts w:ascii="Garamond" w:eastAsia="Calibri" w:hAnsi="Garamond"/>
          <w:sz w:val="24"/>
          <w:szCs w:val="24"/>
        </w:rPr>
      </w:pPr>
    </w:p>
    <w:p w14:paraId="644940F7"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sz w:val="24"/>
          <w:szCs w:val="24"/>
        </w:rPr>
        <w:t>The CPA reports that key revenue variable considerations were changes in utilization demand and market share, and changes in reimbursement yield. HCC took a conservative approach to estimating changes in utilization considering only projected population growth of the market service area and NESC’s historical patient age demographics. Changes in reimbursement yield were estimated based on historical per patient revenues. Changes in reimbursement from Year 1 to Year 5 were based on proposed Medicare reimbursement fees and projected long-term growth rate of NESC. The CPA reports that operating expenses were calculated using historical costs per procedure plus an inflationary factor.</w:t>
      </w:r>
      <w:r w:rsidRPr="0043456B">
        <w:rPr>
          <w:rFonts w:ascii="Garamond" w:eastAsia="Calibri" w:hAnsi="Garamond"/>
          <w:sz w:val="24"/>
          <w:szCs w:val="24"/>
          <w:vertAlign w:val="superscript"/>
        </w:rPr>
        <w:footnoteReference w:id="38"/>
      </w:r>
      <w:r w:rsidRPr="0043456B">
        <w:rPr>
          <w:rFonts w:ascii="Garamond" w:eastAsia="Calibri" w:hAnsi="Garamond"/>
          <w:sz w:val="24"/>
          <w:szCs w:val="24"/>
        </w:rPr>
        <w:t xml:space="preserve"> The CPA reviewed capital expenditure and cash flows. The Projections reflect positive cash flows in years 2 through 5 and adequate levels of capital expenditure necessary for maintenance associated with the expansion. </w:t>
      </w:r>
    </w:p>
    <w:p w14:paraId="694E2D9A" w14:textId="77777777" w:rsidR="0043456B" w:rsidRPr="0043456B" w:rsidRDefault="0043456B" w:rsidP="0043456B">
      <w:pPr>
        <w:widowControl/>
        <w:autoSpaceDE/>
        <w:autoSpaceDN/>
        <w:contextualSpacing/>
        <w:rPr>
          <w:rFonts w:ascii="Garamond" w:eastAsia="Calibri" w:hAnsi="Garamond"/>
          <w:sz w:val="24"/>
          <w:szCs w:val="24"/>
        </w:rPr>
      </w:pPr>
    </w:p>
    <w:p w14:paraId="77386008" w14:textId="77777777" w:rsidR="0043456B" w:rsidRPr="0043456B" w:rsidRDefault="0043456B" w:rsidP="0043456B">
      <w:pPr>
        <w:widowControl/>
        <w:autoSpaceDE/>
        <w:autoSpaceDN/>
        <w:contextualSpacing/>
        <w:rPr>
          <w:rFonts w:ascii="Garamond" w:eastAsia="Calibri" w:hAnsi="Garamond"/>
          <w:sz w:val="24"/>
          <w:szCs w:val="24"/>
        </w:rPr>
      </w:pPr>
      <w:r w:rsidRPr="0043456B">
        <w:rPr>
          <w:rFonts w:ascii="Garamond" w:eastAsia="Calibri" w:hAnsi="Garamond"/>
          <w:sz w:val="24"/>
          <w:szCs w:val="24"/>
        </w:rPr>
        <w:t>The Projections exhibit a cumulative net operating surplus of approximately 19.2% of cumulative projected revenue for the project for the years 2020 through 2024, and the CPA determined that the operating surplus is reasonable and based upon feasible financial assumptions. As a result of the foregoing, the CPA determined that “the projections are reasonable and feasible, and not likely to have a negative impact on the Patient Panel or result in a liquidation of assets.”</w:t>
      </w:r>
    </w:p>
    <w:p w14:paraId="48C9131C" w14:textId="77777777" w:rsidR="0043456B" w:rsidRPr="0043456B" w:rsidRDefault="0043456B" w:rsidP="0043456B">
      <w:pPr>
        <w:widowControl/>
        <w:autoSpaceDE/>
        <w:autoSpaceDN/>
        <w:rPr>
          <w:rFonts w:ascii="Garamond" w:eastAsia="Calibri" w:hAnsi="Garamond"/>
          <w:b/>
          <w:bCs/>
          <w:i/>
          <w:iCs/>
          <w:sz w:val="24"/>
          <w:szCs w:val="24"/>
        </w:rPr>
      </w:pPr>
    </w:p>
    <w:p w14:paraId="64EEEAEB" w14:textId="77777777" w:rsidR="0043456B" w:rsidRPr="0043456B" w:rsidRDefault="0043456B" w:rsidP="0043456B">
      <w:pPr>
        <w:widowControl/>
        <w:autoSpaceDE/>
        <w:autoSpaceDN/>
        <w:rPr>
          <w:rFonts w:ascii="Garamond" w:eastAsia="Calibri" w:hAnsi="Garamond"/>
          <w:sz w:val="24"/>
          <w:szCs w:val="24"/>
        </w:rPr>
      </w:pPr>
      <w:r w:rsidRPr="0043456B">
        <w:rPr>
          <w:rFonts w:ascii="Garamond" w:eastAsia="Calibri" w:hAnsi="Garamond"/>
          <w:sz w:val="24"/>
          <w:szCs w:val="24"/>
        </w:rPr>
        <w:t>As a result of information provided by the Applicant, staff finds the Applicant has reasonably met the standards of Factor 4.</w:t>
      </w:r>
    </w:p>
    <w:p w14:paraId="3CB719BB" w14:textId="77777777" w:rsidR="0043456B" w:rsidRPr="0043456B" w:rsidRDefault="0043456B" w:rsidP="0043456B">
      <w:pPr>
        <w:widowControl/>
        <w:autoSpaceDE/>
        <w:autoSpaceDN/>
        <w:rPr>
          <w:rFonts w:ascii="Garamond" w:eastAsia="Calibri" w:hAnsi="Garamond"/>
          <w:sz w:val="24"/>
          <w:szCs w:val="24"/>
        </w:rPr>
      </w:pPr>
    </w:p>
    <w:p w14:paraId="5762E509" w14:textId="77777777" w:rsidR="0043456B" w:rsidRPr="0043456B" w:rsidRDefault="0043456B" w:rsidP="0043456B">
      <w:pPr>
        <w:keepNext/>
        <w:keepLines/>
        <w:widowControl/>
        <w:autoSpaceDE/>
        <w:autoSpaceDN/>
        <w:ind w:left="-360" w:firstLine="360"/>
        <w:contextualSpacing/>
        <w:outlineLvl w:val="0"/>
        <w:rPr>
          <w:rFonts w:ascii="Garamond" w:hAnsi="Garamond"/>
          <w:b/>
          <w:bCs/>
          <w:color w:val="42558C"/>
          <w:sz w:val="28"/>
          <w:szCs w:val="28"/>
        </w:rPr>
      </w:pPr>
      <w:bookmarkStart w:id="212" w:name="_Toc30593461"/>
      <w:bookmarkStart w:id="213" w:name="_Toc58960224"/>
      <w:bookmarkStart w:id="214" w:name="_Toc29755691"/>
      <w:bookmarkStart w:id="215" w:name="_Toc29755729"/>
      <w:r w:rsidRPr="0043456B">
        <w:rPr>
          <w:rFonts w:ascii="Garamond" w:hAnsi="Garamond"/>
          <w:b/>
          <w:bCs/>
          <w:color w:val="42558C"/>
          <w:sz w:val="28"/>
          <w:szCs w:val="28"/>
        </w:rPr>
        <w:t>Factor 5: Assessment of the Proposed Project’s Relative Merit</w:t>
      </w:r>
      <w:bookmarkStart w:id="216" w:name="_Toc17151192"/>
      <w:bookmarkStart w:id="217" w:name="_Toc17322410"/>
      <w:bookmarkEnd w:id="212"/>
      <w:bookmarkEnd w:id="213"/>
      <w:r w:rsidRPr="0043456B">
        <w:rPr>
          <w:rFonts w:ascii="Garamond" w:hAnsi="Garamond"/>
          <w:b/>
          <w:bCs/>
          <w:color w:val="42558C"/>
          <w:sz w:val="28"/>
          <w:szCs w:val="28"/>
        </w:rPr>
        <w:t xml:space="preserve"> </w:t>
      </w:r>
    </w:p>
    <w:p w14:paraId="07F97CC4" w14:textId="77777777" w:rsidR="0043456B" w:rsidRPr="0043456B" w:rsidRDefault="0043456B" w:rsidP="0043456B">
      <w:pPr>
        <w:widowControl/>
        <w:autoSpaceDE/>
        <w:autoSpaceDN/>
        <w:spacing w:after="200"/>
        <w:rPr>
          <w:rFonts w:ascii="Garamond" w:eastAsia="Calibri" w:hAnsi="Garamond"/>
          <w:sz w:val="24"/>
          <w:szCs w:val="24"/>
        </w:rPr>
      </w:pPr>
      <w:r w:rsidRPr="0043456B">
        <w:rPr>
          <w:rFonts w:ascii="Garamond" w:eastAsia="Calibri" w:hAnsi="Garamond"/>
          <w:sz w:val="24"/>
          <w:szCs w:val="24"/>
        </w:rPr>
        <w:t xml:space="preserve">The Applicant compares the Proposed Project to the alternative of continuing operations within the existing configuration of the facility. The Applicant dismissed this alternative because the clinical and operational inefficiencies resulting from a lack of an additional OR capacity would persist and could result in cases being turned away to a higher cost HOPD where costs to the patient, Medicare and other insurers can increase. </w:t>
      </w:r>
    </w:p>
    <w:p w14:paraId="09340D4D" w14:textId="77777777" w:rsidR="0043456B" w:rsidRPr="0043456B" w:rsidRDefault="0043456B" w:rsidP="0043456B">
      <w:pPr>
        <w:widowControl/>
        <w:autoSpaceDE/>
        <w:autoSpaceDN/>
        <w:spacing w:after="200"/>
        <w:rPr>
          <w:rFonts w:ascii="Garamond" w:eastAsia="Calibri" w:hAnsi="Garamond"/>
          <w:b/>
          <w:bCs/>
          <w:sz w:val="24"/>
          <w:szCs w:val="24"/>
        </w:rPr>
      </w:pPr>
      <w:r w:rsidRPr="0043456B">
        <w:rPr>
          <w:rFonts w:ascii="Garamond" w:eastAsia="Calibri" w:hAnsi="Garamond"/>
          <w:b/>
          <w:bCs/>
          <w:sz w:val="24"/>
          <w:szCs w:val="24"/>
        </w:rPr>
        <w:t xml:space="preserve">Staff agrees that </w:t>
      </w:r>
      <w:r w:rsidRPr="0043456B">
        <w:rPr>
          <w:rFonts w:ascii="Garamond" w:eastAsia="Calibri" w:hAnsi="Garamond"/>
          <w:sz w:val="24"/>
          <w:szCs w:val="24"/>
        </w:rPr>
        <w:t>the above alternative of maintaining the status quo will not adequately address Patient Panel need for high-quality and convenient access to outpatient surgical services. As a</w:t>
      </w:r>
      <w:r w:rsidRPr="0043456B">
        <w:rPr>
          <w:rFonts w:ascii="Garamond" w:eastAsia="Calibri" w:hAnsi="Garamond"/>
          <w:b/>
          <w:bCs/>
          <w:sz w:val="24"/>
          <w:szCs w:val="24"/>
        </w:rPr>
        <w:t xml:space="preserve"> </w:t>
      </w:r>
      <w:r w:rsidRPr="0043456B">
        <w:rPr>
          <w:rFonts w:ascii="Garamond" w:eastAsia="Calibri" w:hAnsi="Garamond"/>
          <w:sz w:val="24"/>
          <w:szCs w:val="24"/>
        </w:rPr>
        <w:t>result of information provided by the Applicant and additional analysis, staff finds the Applicant has</w:t>
      </w:r>
      <w:r w:rsidRPr="0043456B">
        <w:rPr>
          <w:rFonts w:ascii="Garamond" w:eastAsia="Calibri" w:hAnsi="Garamond"/>
          <w:b/>
          <w:bCs/>
          <w:sz w:val="24"/>
          <w:szCs w:val="24"/>
        </w:rPr>
        <w:t xml:space="preserve"> </w:t>
      </w:r>
      <w:r w:rsidRPr="0043456B">
        <w:rPr>
          <w:rFonts w:ascii="Garamond" w:eastAsia="Calibri" w:hAnsi="Garamond"/>
          <w:sz w:val="24"/>
          <w:szCs w:val="24"/>
        </w:rPr>
        <w:t>reasonably met the standards of Factor 5.</w:t>
      </w:r>
    </w:p>
    <w:p w14:paraId="2CEEE8E3" w14:textId="77777777" w:rsidR="0043456B" w:rsidRPr="0043456B" w:rsidRDefault="0043456B" w:rsidP="0043456B">
      <w:pPr>
        <w:keepNext/>
        <w:keepLines/>
        <w:widowControl/>
        <w:autoSpaceDE/>
        <w:autoSpaceDN/>
        <w:ind w:left="-360" w:firstLine="360"/>
        <w:contextualSpacing/>
        <w:outlineLvl w:val="0"/>
        <w:rPr>
          <w:rFonts w:ascii="Garamond" w:hAnsi="Garamond"/>
          <w:b/>
          <w:bCs/>
          <w:color w:val="42558C"/>
          <w:sz w:val="28"/>
          <w:szCs w:val="28"/>
        </w:rPr>
      </w:pPr>
      <w:bookmarkStart w:id="218" w:name="_Toc30593462"/>
    </w:p>
    <w:p w14:paraId="646922DB" w14:textId="77777777" w:rsidR="0043456B" w:rsidRPr="0043456B" w:rsidRDefault="0043456B" w:rsidP="0043456B">
      <w:pPr>
        <w:keepNext/>
        <w:keepLines/>
        <w:widowControl/>
        <w:autoSpaceDE/>
        <w:autoSpaceDN/>
        <w:ind w:left="-360" w:firstLine="360"/>
        <w:contextualSpacing/>
        <w:outlineLvl w:val="0"/>
        <w:rPr>
          <w:rFonts w:ascii="Garamond" w:hAnsi="Garamond"/>
          <w:b/>
          <w:bCs/>
          <w:color w:val="42558C"/>
          <w:sz w:val="28"/>
          <w:szCs w:val="28"/>
        </w:rPr>
      </w:pPr>
      <w:bookmarkStart w:id="219" w:name="_Toc58960225"/>
      <w:r w:rsidRPr="0043456B">
        <w:rPr>
          <w:rFonts w:ascii="Garamond" w:hAnsi="Garamond"/>
          <w:b/>
          <w:bCs/>
          <w:color w:val="42558C"/>
          <w:sz w:val="28"/>
          <w:szCs w:val="28"/>
        </w:rPr>
        <w:t>Factor 6: Fulfillment of DPH Community-based Health Initiatives Guideline</w:t>
      </w:r>
      <w:bookmarkEnd w:id="214"/>
      <w:bookmarkEnd w:id="215"/>
      <w:bookmarkEnd w:id="218"/>
      <w:bookmarkEnd w:id="219"/>
      <w:r w:rsidRPr="0043456B">
        <w:rPr>
          <w:rFonts w:ascii="Garamond" w:hAnsi="Garamond"/>
          <w:b/>
          <w:bCs/>
          <w:color w:val="42558C"/>
          <w:sz w:val="28"/>
          <w:szCs w:val="28"/>
        </w:rPr>
        <w:t xml:space="preserve"> </w:t>
      </w:r>
    </w:p>
    <w:p w14:paraId="306B15F5" w14:textId="77777777" w:rsidR="0043456B" w:rsidRPr="0043456B" w:rsidRDefault="0043456B" w:rsidP="0043456B">
      <w:pPr>
        <w:widowControl/>
        <w:shd w:val="clear" w:color="auto" w:fill="FFFFFF"/>
        <w:autoSpaceDE/>
        <w:autoSpaceDN/>
        <w:rPr>
          <w:rFonts w:ascii="Garamond" w:hAnsi="Garamond" w:cs="Calibri"/>
          <w:color w:val="000000"/>
          <w:sz w:val="24"/>
          <w:szCs w:val="24"/>
        </w:rPr>
      </w:pPr>
      <w:bookmarkStart w:id="220" w:name="_Toc29755693"/>
      <w:bookmarkEnd w:id="216"/>
      <w:bookmarkEnd w:id="217"/>
    </w:p>
    <w:p w14:paraId="17362F26" w14:textId="77777777" w:rsidR="0043456B" w:rsidRPr="0043456B" w:rsidRDefault="0043456B" w:rsidP="0043456B">
      <w:pPr>
        <w:widowControl/>
        <w:shd w:val="clear" w:color="auto" w:fill="FFFFFF"/>
        <w:autoSpaceDE/>
        <w:autoSpaceDN/>
        <w:rPr>
          <w:rFonts w:ascii="Garamond" w:hAnsi="Garamond" w:cs="Calibri"/>
          <w:color w:val="000000"/>
          <w:sz w:val="24"/>
          <w:szCs w:val="24"/>
        </w:rPr>
      </w:pPr>
      <w:r w:rsidRPr="0043456B">
        <w:rPr>
          <w:rFonts w:ascii="Garamond" w:hAnsi="Garamond" w:cs="Calibri"/>
          <w:color w:val="000000"/>
          <w:sz w:val="24"/>
          <w:szCs w:val="24"/>
        </w:rPr>
        <w:t xml:space="preserve">It is the intent of the relevant Guidelines which implement Factor 6 to build on, and make use of, the CHNA/CHIPs supported as part of the AGO’s Community Benefits Guidelines and/or federal IRS requirements for community benefits reporting routine community health planning activities required by IRS. It is not the intent of the Regulation or these Guidelines for any entity applying for a </w:t>
      </w:r>
      <w:proofErr w:type="spellStart"/>
      <w:r w:rsidRPr="0043456B">
        <w:rPr>
          <w:rFonts w:ascii="Garamond" w:hAnsi="Garamond" w:cs="Calibri"/>
          <w:color w:val="000000"/>
          <w:sz w:val="24"/>
          <w:szCs w:val="24"/>
        </w:rPr>
        <w:t>DoN</w:t>
      </w:r>
      <w:proofErr w:type="spellEnd"/>
      <w:r w:rsidRPr="0043456B">
        <w:rPr>
          <w:rFonts w:ascii="Garamond" w:hAnsi="Garamond" w:cs="Calibri"/>
          <w:color w:val="000000"/>
          <w:sz w:val="24"/>
          <w:szCs w:val="24"/>
        </w:rPr>
        <w:t xml:space="preserve"> to embark upon a separate, stand-alone Community Health Needs Assessment. Because the Applicant is not required to and otherwise does not conduct regular CHNAs/ CHIPs to fulfill standards set by the IRS or the AGO’s Community Benefits program the CHI contribution shall be made to the CHI Statewide Initiative. In compliance with Factor 6 of the regulations, as a condition of approval, the Applicant will make payment in the amount of $79,382.30 (5% of the Total Value of the </w:t>
      </w:r>
      <w:r w:rsidRPr="0043456B">
        <w:rPr>
          <w:rFonts w:ascii="Garamond" w:hAnsi="Garamond" w:cs="Calibri"/>
          <w:color w:val="000000"/>
          <w:sz w:val="24"/>
          <w:szCs w:val="24"/>
        </w:rPr>
        <w:lastRenderedPageBreak/>
        <w:t xml:space="preserve">Proposed Project) to the </w:t>
      </w:r>
      <w:proofErr w:type="spellStart"/>
      <w:r w:rsidRPr="0043456B">
        <w:rPr>
          <w:rFonts w:ascii="Garamond" w:hAnsi="Garamond" w:cs="Calibri"/>
          <w:color w:val="000000"/>
          <w:sz w:val="24"/>
          <w:szCs w:val="24"/>
        </w:rPr>
        <w:t>DoN</w:t>
      </w:r>
      <w:proofErr w:type="spellEnd"/>
      <w:r w:rsidRPr="0043456B">
        <w:rPr>
          <w:rFonts w:ascii="Garamond" w:hAnsi="Garamond" w:cs="Calibri"/>
          <w:color w:val="000000"/>
          <w:sz w:val="24"/>
          <w:szCs w:val="24"/>
        </w:rPr>
        <w:t xml:space="preserve"> fund for Community Health Initiative Statewide Initiative pursuant to 105 CMR 100.210(6).</w:t>
      </w:r>
    </w:p>
    <w:p w14:paraId="14BB81CD" w14:textId="77777777" w:rsidR="0043456B" w:rsidRPr="0043456B" w:rsidRDefault="0043456B" w:rsidP="0043456B">
      <w:pPr>
        <w:keepNext/>
        <w:keepLines/>
        <w:widowControl/>
        <w:autoSpaceDE/>
        <w:autoSpaceDN/>
        <w:spacing w:before="480"/>
        <w:outlineLvl w:val="0"/>
        <w:rPr>
          <w:rFonts w:ascii="Garamond" w:hAnsi="Garamond"/>
          <w:b/>
          <w:bCs/>
          <w:color w:val="42558C"/>
          <w:sz w:val="28"/>
          <w:szCs w:val="28"/>
        </w:rPr>
      </w:pPr>
      <w:bookmarkStart w:id="221" w:name="_Toc46169309"/>
      <w:bookmarkStart w:id="222" w:name="_Toc58960226"/>
      <w:r w:rsidRPr="0043456B">
        <w:rPr>
          <w:rFonts w:ascii="Garamond" w:hAnsi="Garamond"/>
          <w:b/>
          <w:bCs/>
          <w:color w:val="42558C"/>
          <w:sz w:val="28"/>
          <w:szCs w:val="28"/>
        </w:rPr>
        <w:t>Findings and Recommendations</w:t>
      </w:r>
      <w:bookmarkEnd w:id="221"/>
      <w:bookmarkEnd w:id="222"/>
    </w:p>
    <w:p w14:paraId="786F4367" w14:textId="77777777" w:rsidR="0043456B" w:rsidRPr="0043456B" w:rsidRDefault="0043456B" w:rsidP="0043456B">
      <w:pPr>
        <w:widowControl/>
        <w:autoSpaceDE/>
        <w:autoSpaceDN/>
        <w:spacing w:after="200"/>
        <w:rPr>
          <w:rFonts w:ascii="Garamond" w:eastAsia="Calibri" w:hAnsi="Garamond"/>
          <w:sz w:val="24"/>
          <w:szCs w:val="24"/>
        </w:rPr>
      </w:pPr>
      <w:bookmarkStart w:id="223" w:name="_Toc23157993"/>
      <w:bookmarkStart w:id="224" w:name="_Toc23323259"/>
      <w:bookmarkStart w:id="225" w:name="_Toc23324264"/>
      <w:bookmarkStart w:id="226" w:name="_Toc23424546"/>
      <w:bookmarkEnd w:id="220"/>
      <w:r w:rsidRPr="0043456B">
        <w:rPr>
          <w:rFonts w:ascii="Garamond" w:eastAsia="Calibri" w:hAnsi="Garamond"/>
          <w:sz w:val="24"/>
          <w:szCs w:val="24"/>
        </w:rPr>
        <w:t xml:space="preserve">Based upon a review of the materials submitted, Staff finds that, with the addition of the recommended Condition detailed below, the Applicant has met each </w:t>
      </w:r>
      <w:proofErr w:type="spellStart"/>
      <w:r w:rsidRPr="0043456B">
        <w:rPr>
          <w:rFonts w:ascii="Garamond" w:eastAsia="Calibri" w:hAnsi="Garamond"/>
          <w:sz w:val="24"/>
          <w:szCs w:val="24"/>
        </w:rPr>
        <w:t>DoN</w:t>
      </w:r>
      <w:proofErr w:type="spellEnd"/>
      <w:r w:rsidRPr="0043456B">
        <w:rPr>
          <w:rFonts w:ascii="Garamond" w:eastAsia="Calibri" w:hAnsi="Garamond"/>
          <w:sz w:val="24"/>
          <w:szCs w:val="24"/>
        </w:rPr>
        <w:t xml:space="preserve"> Factor for the Proposed </w:t>
      </w:r>
      <w:proofErr w:type="gramStart"/>
      <w:r w:rsidRPr="0043456B">
        <w:rPr>
          <w:rFonts w:ascii="Garamond" w:eastAsia="Calibri" w:hAnsi="Garamond"/>
          <w:sz w:val="24"/>
          <w:szCs w:val="24"/>
        </w:rPr>
        <w:t>Project, and</w:t>
      </w:r>
      <w:proofErr w:type="gramEnd"/>
      <w:r w:rsidRPr="0043456B">
        <w:rPr>
          <w:rFonts w:ascii="Garamond" w:eastAsia="Calibri" w:hAnsi="Garamond"/>
          <w:sz w:val="24"/>
          <w:szCs w:val="24"/>
        </w:rPr>
        <w:t xml:space="preserve"> recommends that the Department approve this Determination of Need, subject to all applicable Standard and Other Conditions.</w:t>
      </w:r>
    </w:p>
    <w:p w14:paraId="5F79AD85" w14:textId="77777777" w:rsidR="0043456B" w:rsidRPr="0043456B" w:rsidRDefault="0043456B" w:rsidP="0043456B">
      <w:pPr>
        <w:keepNext/>
        <w:keepLines/>
        <w:widowControl/>
        <w:autoSpaceDE/>
        <w:autoSpaceDN/>
        <w:spacing w:before="480" w:line="259" w:lineRule="auto"/>
        <w:outlineLvl w:val="0"/>
        <w:rPr>
          <w:rFonts w:ascii="Garamond" w:hAnsi="Garamond"/>
          <w:b/>
          <w:bCs/>
          <w:color w:val="42558C"/>
          <w:sz w:val="28"/>
          <w:szCs w:val="28"/>
        </w:rPr>
      </w:pPr>
      <w:bookmarkStart w:id="227" w:name="_Toc58960227"/>
      <w:r w:rsidRPr="0043456B">
        <w:rPr>
          <w:rFonts w:ascii="Garamond" w:hAnsi="Garamond"/>
          <w:b/>
          <w:bCs/>
          <w:color w:val="42558C"/>
          <w:sz w:val="28"/>
          <w:szCs w:val="28"/>
        </w:rPr>
        <w:t>Other Conditions</w:t>
      </w:r>
      <w:bookmarkEnd w:id="227"/>
    </w:p>
    <w:p w14:paraId="5A029EC2" w14:textId="77777777" w:rsidR="0043456B" w:rsidRPr="0043456B" w:rsidRDefault="0043456B" w:rsidP="0043456B">
      <w:pPr>
        <w:widowControl/>
        <w:numPr>
          <w:ilvl w:val="0"/>
          <w:numId w:val="23"/>
        </w:numPr>
        <w:shd w:val="clear" w:color="auto" w:fill="FFFFFF"/>
        <w:autoSpaceDE/>
        <w:autoSpaceDN/>
        <w:spacing w:after="200" w:line="276" w:lineRule="auto"/>
        <w:ind w:left="648"/>
        <w:contextualSpacing/>
        <w:rPr>
          <w:rFonts w:ascii="Garamond" w:hAnsi="Garamond" w:cs="Calibri"/>
          <w:color w:val="000000"/>
          <w:sz w:val="24"/>
          <w:szCs w:val="24"/>
        </w:rPr>
      </w:pPr>
      <w:r w:rsidRPr="0043456B">
        <w:rPr>
          <w:rFonts w:ascii="Garamond" w:hAnsi="Garamond" w:cs="Calibri"/>
          <w:color w:val="000000"/>
          <w:sz w:val="24"/>
          <w:szCs w:val="24"/>
        </w:rPr>
        <w:t>Of the total required CHI contribution of $79,382.30</w:t>
      </w:r>
    </w:p>
    <w:p w14:paraId="31915158" w14:textId="77777777" w:rsidR="0043456B" w:rsidRPr="0043456B" w:rsidRDefault="0043456B" w:rsidP="0043456B">
      <w:pPr>
        <w:widowControl/>
        <w:numPr>
          <w:ilvl w:val="1"/>
          <w:numId w:val="11"/>
        </w:numPr>
        <w:shd w:val="clear" w:color="auto" w:fill="FFFFFF"/>
        <w:autoSpaceDE/>
        <w:autoSpaceDN/>
        <w:spacing w:after="200" w:line="276" w:lineRule="auto"/>
        <w:ind w:left="1080"/>
        <w:contextualSpacing/>
        <w:rPr>
          <w:rFonts w:ascii="Garamond" w:hAnsi="Garamond" w:cs="Calibri"/>
          <w:color w:val="000000"/>
          <w:sz w:val="24"/>
          <w:szCs w:val="24"/>
        </w:rPr>
      </w:pPr>
      <w:r w:rsidRPr="0043456B">
        <w:rPr>
          <w:rFonts w:ascii="Garamond" w:hAnsi="Garamond" w:cs="Calibri"/>
          <w:color w:val="000000"/>
          <w:sz w:val="24"/>
          <w:szCs w:val="24"/>
        </w:rPr>
        <w:t>$79,382.30 will be directed to the CHI Statewide Initiative paid in two equal installments to Health Resources in Action (</w:t>
      </w:r>
      <w:proofErr w:type="spellStart"/>
      <w:r w:rsidRPr="0043456B">
        <w:rPr>
          <w:rFonts w:ascii="Garamond" w:hAnsi="Garamond" w:cs="Calibri"/>
          <w:color w:val="000000"/>
          <w:sz w:val="24"/>
          <w:szCs w:val="24"/>
        </w:rPr>
        <w:t>HRiA</w:t>
      </w:r>
      <w:proofErr w:type="spellEnd"/>
      <w:r w:rsidRPr="0043456B">
        <w:rPr>
          <w:rFonts w:ascii="Garamond" w:hAnsi="Garamond" w:cs="Calibri"/>
          <w:color w:val="000000"/>
          <w:sz w:val="24"/>
          <w:szCs w:val="24"/>
        </w:rPr>
        <w:t>) (the fiscal agent for the CHI Statewide Initiative)</w:t>
      </w:r>
    </w:p>
    <w:p w14:paraId="2EEA60C8" w14:textId="77777777" w:rsidR="0043456B" w:rsidRPr="0043456B" w:rsidRDefault="0043456B" w:rsidP="0043456B">
      <w:pPr>
        <w:widowControl/>
        <w:numPr>
          <w:ilvl w:val="2"/>
          <w:numId w:val="11"/>
        </w:numPr>
        <w:shd w:val="clear" w:color="auto" w:fill="FFFFFF"/>
        <w:autoSpaceDE/>
        <w:autoSpaceDN/>
        <w:spacing w:after="200" w:line="276" w:lineRule="auto"/>
        <w:ind w:left="1620"/>
        <w:contextualSpacing/>
        <w:rPr>
          <w:rFonts w:ascii="Garamond" w:hAnsi="Garamond" w:cs="Calibri"/>
          <w:color w:val="000000"/>
          <w:sz w:val="24"/>
          <w:szCs w:val="24"/>
        </w:rPr>
      </w:pPr>
      <w:r w:rsidRPr="0043456B">
        <w:rPr>
          <w:rFonts w:ascii="Garamond" w:hAnsi="Garamond" w:cs="Calibri"/>
          <w:color w:val="000000"/>
          <w:sz w:val="24"/>
          <w:szCs w:val="24"/>
        </w:rPr>
        <w:t xml:space="preserve">The Holder must submit $39,691.15 to </w:t>
      </w:r>
      <w:proofErr w:type="spellStart"/>
      <w:r w:rsidRPr="0043456B">
        <w:rPr>
          <w:rFonts w:ascii="Garamond" w:hAnsi="Garamond" w:cs="Calibri"/>
          <w:color w:val="000000"/>
          <w:sz w:val="24"/>
          <w:szCs w:val="24"/>
        </w:rPr>
        <w:t>HRiA</w:t>
      </w:r>
      <w:proofErr w:type="spellEnd"/>
      <w:r w:rsidRPr="0043456B">
        <w:rPr>
          <w:rFonts w:ascii="Garamond" w:hAnsi="Garamond" w:cs="Calibri"/>
          <w:color w:val="000000"/>
          <w:sz w:val="24"/>
          <w:szCs w:val="24"/>
        </w:rPr>
        <w:t xml:space="preserve"> within 30 days from the date of the Notice of Approval.</w:t>
      </w:r>
    </w:p>
    <w:p w14:paraId="708F9AE4" w14:textId="77777777" w:rsidR="0043456B" w:rsidRPr="0043456B" w:rsidRDefault="0043456B" w:rsidP="0043456B">
      <w:pPr>
        <w:widowControl/>
        <w:numPr>
          <w:ilvl w:val="2"/>
          <w:numId w:val="11"/>
        </w:numPr>
        <w:shd w:val="clear" w:color="auto" w:fill="FFFFFF"/>
        <w:autoSpaceDE/>
        <w:autoSpaceDN/>
        <w:spacing w:after="200" w:line="276" w:lineRule="auto"/>
        <w:ind w:left="1620"/>
        <w:contextualSpacing/>
        <w:rPr>
          <w:rFonts w:ascii="Garamond" w:hAnsi="Garamond" w:cs="Calibri"/>
          <w:color w:val="000000"/>
          <w:sz w:val="24"/>
          <w:szCs w:val="24"/>
        </w:rPr>
      </w:pPr>
      <w:r w:rsidRPr="0043456B">
        <w:rPr>
          <w:rFonts w:ascii="Garamond" w:hAnsi="Garamond" w:cs="Calibri"/>
          <w:color w:val="000000"/>
          <w:sz w:val="24"/>
          <w:szCs w:val="24"/>
        </w:rPr>
        <w:t xml:space="preserve">The Holder must submit $39,691.15 to </w:t>
      </w:r>
      <w:proofErr w:type="spellStart"/>
      <w:r w:rsidRPr="0043456B">
        <w:rPr>
          <w:rFonts w:ascii="Garamond" w:hAnsi="Garamond" w:cs="Calibri"/>
          <w:color w:val="000000"/>
          <w:sz w:val="24"/>
          <w:szCs w:val="24"/>
        </w:rPr>
        <w:t>HRiA</w:t>
      </w:r>
      <w:proofErr w:type="spellEnd"/>
      <w:r w:rsidRPr="0043456B">
        <w:rPr>
          <w:rFonts w:ascii="Garamond" w:hAnsi="Garamond" w:cs="Calibri"/>
          <w:color w:val="000000"/>
          <w:sz w:val="24"/>
          <w:szCs w:val="24"/>
        </w:rPr>
        <w:t xml:space="preserve"> within 30 days of the first anniversary date of the Notice of Approval.</w:t>
      </w:r>
    </w:p>
    <w:p w14:paraId="50360C8C" w14:textId="77777777" w:rsidR="0043456B" w:rsidRPr="0043456B" w:rsidRDefault="0043456B" w:rsidP="0043456B">
      <w:pPr>
        <w:widowControl/>
        <w:numPr>
          <w:ilvl w:val="2"/>
          <w:numId w:val="11"/>
        </w:numPr>
        <w:shd w:val="clear" w:color="auto" w:fill="FFFFFF"/>
        <w:autoSpaceDE/>
        <w:autoSpaceDN/>
        <w:spacing w:after="200" w:line="276" w:lineRule="auto"/>
        <w:ind w:left="1620"/>
        <w:contextualSpacing/>
        <w:rPr>
          <w:rFonts w:ascii="Garamond" w:hAnsi="Garamond" w:cs="Calibri"/>
          <w:color w:val="000000"/>
          <w:sz w:val="24"/>
          <w:szCs w:val="24"/>
        </w:rPr>
      </w:pPr>
      <w:r w:rsidRPr="0043456B">
        <w:rPr>
          <w:rFonts w:ascii="Garamond" w:hAnsi="Garamond" w:cs="Calibri"/>
          <w:color w:val="000000"/>
          <w:sz w:val="24"/>
          <w:szCs w:val="24"/>
        </w:rPr>
        <w:t>The Holder must promptly notify DPH (CHI contact staff) when the payment(s) has been made.</w:t>
      </w:r>
    </w:p>
    <w:bookmarkEnd w:id="223"/>
    <w:bookmarkEnd w:id="224"/>
    <w:bookmarkEnd w:id="225"/>
    <w:bookmarkEnd w:id="226"/>
    <w:p w14:paraId="448C2A1B" w14:textId="77777777" w:rsidR="0043456B" w:rsidRPr="0043456B" w:rsidRDefault="0043456B" w:rsidP="0043456B">
      <w:pPr>
        <w:widowControl/>
        <w:autoSpaceDE/>
        <w:autoSpaceDN/>
        <w:spacing w:after="200"/>
        <w:rPr>
          <w:rFonts w:ascii="Garamond" w:eastAsia="Calibri" w:hAnsi="Garamond" w:cs="Calibri"/>
          <w:b/>
          <w:sz w:val="24"/>
          <w:szCs w:val="24"/>
        </w:rPr>
      </w:pPr>
    </w:p>
    <w:p w14:paraId="50382014" w14:textId="77777777" w:rsidR="0043456B" w:rsidRPr="0043456B" w:rsidRDefault="0043456B" w:rsidP="0043456B">
      <w:pPr>
        <w:widowControl/>
        <w:autoSpaceDE/>
        <w:autoSpaceDN/>
        <w:spacing w:after="200"/>
        <w:rPr>
          <w:rFonts w:ascii="Garamond" w:eastAsia="Calibri" w:hAnsi="Garamond" w:cs="Calibri"/>
          <w:b/>
          <w:sz w:val="24"/>
          <w:szCs w:val="24"/>
        </w:rPr>
      </w:pPr>
    </w:p>
    <w:p w14:paraId="14338A0B" w14:textId="77777777" w:rsidR="0043456B" w:rsidRPr="0043456B" w:rsidRDefault="0043456B" w:rsidP="0043456B">
      <w:pPr>
        <w:widowControl/>
        <w:autoSpaceDE/>
        <w:autoSpaceDN/>
        <w:spacing w:after="200"/>
        <w:rPr>
          <w:rFonts w:ascii="Garamond" w:eastAsia="Calibri" w:hAnsi="Garamond" w:cs="Calibri"/>
          <w:b/>
          <w:sz w:val="24"/>
          <w:szCs w:val="24"/>
        </w:rPr>
      </w:pPr>
    </w:p>
    <w:p w14:paraId="60BF57CF" w14:textId="734E4286" w:rsidR="0043456B" w:rsidRPr="0043456B" w:rsidRDefault="0043456B" w:rsidP="0043456B">
      <w:pPr>
        <w:widowControl/>
        <w:autoSpaceDE/>
        <w:autoSpaceDN/>
        <w:spacing w:after="200"/>
        <w:rPr>
          <w:rFonts w:ascii="Garamond" w:eastAsia="Calibri" w:hAnsi="Garamond" w:cs="Calibri"/>
          <w:b/>
          <w:sz w:val="24"/>
          <w:szCs w:val="24"/>
        </w:rPr>
      </w:pPr>
      <w:r w:rsidRPr="0043456B">
        <w:rPr>
          <w:rFonts w:ascii="Garamond" w:eastAsia="Calibri" w:hAnsi="Garamond" w:cs="Calibri"/>
          <w:b/>
          <w:sz w:val="24"/>
          <w:szCs w:val="24"/>
        </w:rPr>
        <w:t>REFERENCES</w:t>
      </w:r>
    </w:p>
    <w:sectPr w:rsidR="0043456B" w:rsidRPr="0043456B" w:rsidSect="000B3CCF">
      <w:pgSz w:w="12270" w:h="15840"/>
      <w:pgMar w:top="1820" w:right="720" w:bottom="28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51F8" w14:textId="77777777" w:rsidR="00BC5D13" w:rsidRDefault="00BC5D13">
      <w:r>
        <w:separator/>
      </w:r>
    </w:p>
  </w:endnote>
  <w:endnote w:type="continuationSeparator" w:id="0">
    <w:p w14:paraId="5313101C" w14:textId="77777777" w:rsidR="00BC5D13" w:rsidRDefault="00BC5D13">
      <w:r>
        <w:continuationSeparator/>
      </w:r>
    </w:p>
  </w:endnote>
  <w:endnote w:id="1">
    <w:p w14:paraId="3BA749E5"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Manchikanti L, Singh V, Benyamin RM, Kaye AD, Pampati V, Hirsch JA. Reframing Medicare Physician Payment Policy for 2019: A Look at Proposed Policy. Pain Physician. 2018 Sep;21(5):415-432. PMID: 30282387. Available: </w:t>
      </w:r>
      <w:hyperlink r:id="rId1" w:history="1">
        <w:r w:rsidRPr="00D24B70">
          <w:rPr>
            <w:rStyle w:val="Hyperlink"/>
            <w:rFonts w:ascii="Garamond" w:hAnsi="Garamond"/>
          </w:rPr>
          <w:t>https://www.painphysicianjournal.com/current/pdf?article=NTQwMQ%3D%3D&amp;journal=113</w:t>
        </w:r>
      </w:hyperlink>
      <w:r w:rsidRPr="00D24B70">
        <w:rPr>
          <w:rFonts w:ascii="Garamond" w:hAnsi="Garamond"/>
        </w:rPr>
        <w:t xml:space="preserve">  </w:t>
      </w:r>
    </w:p>
  </w:endnote>
  <w:endnote w:id="2">
    <w:p w14:paraId="1BCAA265"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Impact Advisors. Surgical Block Utilization. Available: </w:t>
      </w:r>
      <w:hyperlink r:id="rId2" w:anchor=":~:text=Set%20an%20initial%20conservative%20goal,yet%20have%20block%20time%20assigned" w:history="1">
        <w:r w:rsidRPr="00D24B70">
          <w:rPr>
            <w:rStyle w:val="Hyperlink"/>
            <w:rFonts w:ascii="Garamond" w:hAnsi="Garamond" w:cs="Calibri"/>
          </w:rPr>
          <w:t>https://www.impact-advisors.com/implementation/surgical-block-utilization/#:~:text=Set%20an%20initial%20conservative%20goal,yet%20have%20block%20time%20assigned</w:t>
        </w:r>
      </w:hyperlink>
      <w:r w:rsidRPr="00D24B70">
        <w:rPr>
          <w:rFonts w:ascii="Garamond" w:hAnsi="Garamond" w:cs="Calibri"/>
        </w:rPr>
        <w:t xml:space="preserve"> </w:t>
      </w:r>
    </w:p>
  </w:endnote>
  <w:endnote w:id="3">
    <w:p w14:paraId="47C4CC1E"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  </w:t>
      </w:r>
    </w:p>
  </w:endnote>
  <w:endnote w:id="4">
    <w:p w14:paraId="63D7630D"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  </w:t>
      </w:r>
    </w:p>
  </w:endnote>
  <w:endnote w:id="5">
    <w:p w14:paraId="58FFE6DA"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w:t>
      </w:r>
    </w:p>
  </w:endnote>
  <w:endnote w:id="6">
    <w:p w14:paraId="6C482012"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Society of </w:t>
      </w:r>
      <w:r w:rsidRPr="00D24B70">
        <w:rPr>
          <w:rFonts w:ascii="Garamond" w:hAnsi="Garamond" w:cs="Calibri"/>
        </w:rPr>
        <w:t xml:space="preserve">Orthopaedic Surgeons. The Impact of Obesity on Bone and Joint Health. Available: </w:t>
      </w:r>
      <w:hyperlink r:id="rId3" w:history="1">
        <w:r w:rsidRPr="00D24B70">
          <w:rPr>
            <w:rStyle w:val="Hyperlink"/>
            <w:rFonts w:ascii="Garamond" w:hAnsi="Garamond" w:cs="Calibri"/>
          </w:rPr>
          <w:t>https://www.aaos.org/contentassets/1cd7f41417ec4dd4b5c4c48532183b96/1184-the-impact-of-obesity-on-bone-and-joint-health1.pdf</w:t>
        </w:r>
      </w:hyperlink>
      <w:r w:rsidRPr="00D24B70">
        <w:rPr>
          <w:rFonts w:ascii="Garamond" w:hAnsi="Garamond" w:cs="Calibri"/>
        </w:rPr>
        <w:t xml:space="preserve"> </w:t>
      </w:r>
    </w:p>
  </w:endnote>
  <w:endnote w:id="7">
    <w:p w14:paraId="26033B71"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Singh NP, Boyd CJ, Poore W, Wood K, </w:t>
      </w:r>
      <w:r w:rsidRPr="00D24B70">
        <w:rPr>
          <w:rFonts w:ascii="Garamond" w:hAnsi="Garamond" w:cs="Calibri"/>
        </w:rPr>
        <w:t xml:space="preserve">Assimos DG. Obesity and Kidney Stone Procedures. Rev Urol. 2020;22(1):24-29. Available: </w:t>
      </w:r>
      <w:hyperlink r:id="rId4" w:history="1">
        <w:r w:rsidRPr="00D24B70">
          <w:rPr>
            <w:rStyle w:val="Hyperlink"/>
            <w:rFonts w:ascii="Garamond" w:hAnsi="Garamond" w:cs="Calibri"/>
          </w:rPr>
          <w:t>https://www.ncbi.nlm.nih.gov/pmc/articles/PMC7265183/pdf/RiU022001_0024.pdf</w:t>
        </w:r>
      </w:hyperlink>
      <w:r w:rsidRPr="00D24B70">
        <w:rPr>
          <w:rFonts w:ascii="Garamond" w:hAnsi="Garamond" w:cs="Calibri"/>
        </w:rPr>
        <w:t xml:space="preserve"> </w:t>
      </w:r>
    </w:p>
  </w:endnote>
  <w:endnote w:id="8">
    <w:p w14:paraId="650C1CEA"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Hootman JM, Helmick CG, Barbour KE, Theis KA, Boring MA. Updated Projected Prevalence of Self-Reported Doctor-Diagnosed Arthritis and Arthritis-Attributable Activity Limitation Among US Adults, 2015-2040. Arthritis </w:t>
      </w:r>
      <w:r w:rsidRPr="00D24B70">
        <w:rPr>
          <w:rFonts w:ascii="Garamond" w:hAnsi="Garamond" w:cs="Calibri"/>
        </w:rPr>
        <w:t xml:space="preserve">Rheumatol. 2016;68(7):1582-1587. doi:10.1002/art.39692. Available: </w:t>
      </w:r>
      <w:hyperlink r:id="rId5" w:history="1">
        <w:r w:rsidRPr="00D24B70">
          <w:rPr>
            <w:rStyle w:val="Hyperlink"/>
            <w:rFonts w:ascii="Garamond" w:hAnsi="Garamond" w:cs="Calibri"/>
          </w:rPr>
          <w:t>https://www.ncbi.nlm.nih.gov/pmc/articles/PMC6059375/pdf/nihms981764.pdf</w:t>
        </w:r>
      </w:hyperlink>
      <w:r w:rsidRPr="00D24B70">
        <w:rPr>
          <w:rFonts w:ascii="Garamond" w:hAnsi="Garamond" w:cs="Calibri"/>
        </w:rPr>
        <w:t xml:space="preserve"> </w:t>
      </w:r>
    </w:p>
  </w:endnote>
  <w:endnote w:id="9">
    <w:p w14:paraId="1CBE260F"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Centers for Disease Control and Prevention. Arthritis-Related Statistics. Available: </w:t>
      </w:r>
      <w:hyperlink r:id="rId6" w:history="1">
        <w:r w:rsidRPr="00D24B70">
          <w:rPr>
            <w:rStyle w:val="Hyperlink"/>
            <w:rFonts w:ascii="Garamond" w:hAnsi="Garamond" w:cs="Calibri"/>
          </w:rPr>
          <w:t>https://www.cdc.gov/arthritis/data_statistics/arthritis-related-stats.htm</w:t>
        </w:r>
      </w:hyperlink>
      <w:r w:rsidRPr="00D24B70">
        <w:rPr>
          <w:rFonts w:ascii="Garamond" w:hAnsi="Garamond" w:cs="Calibri"/>
        </w:rPr>
        <w:t xml:space="preserve"> </w:t>
      </w:r>
    </w:p>
  </w:endnote>
  <w:endnote w:id="10">
    <w:p w14:paraId="45C6DA40"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w:t>
      </w:r>
      <w:r w:rsidRPr="00D24B70">
        <w:rPr>
          <w:rFonts w:ascii="Garamond" w:hAnsi="Garamond" w:cs="Calibri"/>
        </w:rPr>
        <w:t xml:space="preserve">Neogi T. The epidemiology and impact of pain in osteoarthritis. Osteoarthritis Cartilage. 2013;21(9):1145-1153. </w:t>
      </w:r>
      <w:r w:rsidRPr="00D24B70">
        <w:rPr>
          <w:rFonts w:ascii="Garamond" w:hAnsi="Garamond" w:cs="Calibri"/>
        </w:rPr>
        <w:t xml:space="preserve">doi:10.1016/j.joca.2013.03.018. Available: </w:t>
      </w:r>
      <w:hyperlink r:id="rId7" w:history="1">
        <w:r w:rsidRPr="00D24B70">
          <w:rPr>
            <w:rStyle w:val="Hyperlink"/>
            <w:rFonts w:ascii="Garamond" w:hAnsi="Garamond" w:cs="Calibri"/>
          </w:rPr>
          <w:t>https://www.ncbi.nlm.nih.gov/pmc/articles/PMC3753584/pdf/nihms479319.pdf</w:t>
        </w:r>
      </w:hyperlink>
      <w:r w:rsidRPr="00D24B70">
        <w:rPr>
          <w:rFonts w:ascii="Garamond" w:hAnsi="Garamond" w:cs="Calibri"/>
        </w:rPr>
        <w:t xml:space="preserve"> </w:t>
      </w:r>
    </w:p>
  </w:endnote>
  <w:endnote w:id="11">
    <w:p w14:paraId="78AFAA0E"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Lassman D, Hartman M, Washington B, Andrews K, Catlin A. US health spending trends by age and gender: selected years 2002-10. Health </w:t>
      </w:r>
      <w:r w:rsidRPr="00D24B70">
        <w:rPr>
          <w:rFonts w:ascii="Garamond" w:hAnsi="Garamond" w:cs="Calibri"/>
        </w:rPr>
        <w:t xml:space="preserve">Aff (Millwood). 2014 May;33(5):815-22. doi: 10.1377/hlthaff.2013.1224. PMID: 24799579. Available: </w:t>
      </w:r>
      <w:hyperlink r:id="rId8" w:history="1">
        <w:r w:rsidRPr="00D24B70">
          <w:rPr>
            <w:rStyle w:val="Hyperlink"/>
            <w:rFonts w:ascii="Garamond" w:hAnsi="Garamond" w:cs="Calibri"/>
          </w:rPr>
          <w:t>https://www.healthaffairs.org/doi/full/10.1377/hlthaff.2013.1224#</w:t>
        </w:r>
      </w:hyperlink>
      <w:r w:rsidRPr="00D24B70">
        <w:rPr>
          <w:rFonts w:ascii="Garamond" w:hAnsi="Garamond" w:cs="Calibri"/>
        </w:rPr>
        <w:t xml:space="preserve"> </w:t>
      </w:r>
    </w:p>
  </w:endnote>
  <w:endnote w:id="12">
    <w:p w14:paraId="061BCF01"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National Health Expenditure (NHE) Fact Sheet. Available: </w:t>
      </w:r>
      <w:hyperlink r:id="rId9" w:history="1">
        <w:r w:rsidRPr="00D24B70">
          <w:rPr>
            <w:rStyle w:val="Hyperlink"/>
            <w:rFonts w:ascii="Garamond" w:hAnsi="Garamond" w:cs="Calibri"/>
          </w:rPr>
          <w:t>https://www.cms.gov/Research-Statistics-Data-and-Systems/Statistics-Trends-and-Reports/NationalHealthExpendData/NHE-Fact-Sheet</w:t>
        </w:r>
      </w:hyperlink>
      <w:r w:rsidRPr="00D24B70">
        <w:rPr>
          <w:rFonts w:ascii="Garamond" w:hAnsi="Garamond" w:cs="Calibri"/>
        </w:rPr>
        <w:t xml:space="preserve"> </w:t>
      </w:r>
    </w:p>
  </w:endnote>
  <w:endnote w:id="13">
    <w:p w14:paraId="73E10CD6"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Deiner S, Westlake B, Dutton RP. Patterns of surgical care and complications in elderly adults. J Am </w:t>
      </w:r>
      <w:r w:rsidRPr="00D24B70">
        <w:rPr>
          <w:rFonts w:ascii="Garamond" w:hAnsi="Garamond" w:cs="Calibri"/>
        </w:rPr>
        <w:t xml:space="preserve">Geriatr Soc. 2014;62(5):829-835. doi:10.1111/jgs.12794. Available: </w:t>
      </w:r>
      <w:hyperlink r:id="rId10" w:history="1">
        <w:r w:rsidRPr="00D24B70">
          <w:rPr>
            <w:rStyle w:val="Hyperlink"/>
            <w:rFonts w:ascii="Garamond" w:hAnsi="Garamond" w:cs="Calibri"/>
          </w:rPr>
          <w:t>https://www.ncbi.nlm.nih.gov/pmc/articles/PMC4024102/pdf/nihms568357.pdf</w:t>
        </w:r>
      </w:hyperlink>
      <w:r w:rsidRPr="00D24B70">
        <w:rPr>
          <w:rFonts w:ascii="Garamond" w:hAnsi="Garamond" w:cs="Calibri"/>
        </w:rPr>
        <w:t xml:space="preserve"> </w:t>
      </w:r>
    </w:p>
  </w:endnote>
  <w:endnote w:id="14">
    <w:p w14:paraId="1BB665C8"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CMS.gov. CY 2021 Medicare Hospital Outpatient Prospective Payment System and Ambulatory Surgical Center Payment System Final Rule (CMS-1736-FC). Available: </w:t>
      </w:r>
      <w:hyperlink r:id="rId11" w:history="1">
        <w:r w:rsidRPr="00D24B70">
          <w:rPr>
            <w:rStyle w:val="Hyperlink"/>
            <w:rFonts w:ascii="Garamond" w:hAnsi="Garamond"/>
          </w:rPr>
          <w:t>https://www.cms.gov/newsroom/fact-sheets/cy-2021-medicare-hospital-outpatient-prospective-payment-system-and-ambulatory-surgical-center-0</w:t>
        </w:r>
      </w:hyperlink>
      <w:r w:rsidRPr="00D24B70">
        <w:rPr>
          <w:rFonts w:ascii="Garamond" w:hAnsi="Garamond"/>
        </w:rPr>
        <w:t xml:space="preserve"> </w:t>
      </w:r>
    </w:p>
  </w:endnote>
  <w:endnote w:id="15">
    <w:p w14:paraId="3F6B5CD5"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HealthyPeople.gov. Older Adults. Available: </w:t>
      </w:r>
      <w:hyperlink r:id="rId12" w:history="1">
        <w:r w:rsidRPr="00D24B70">
          <w:rPr>
            <w:rStyle w:val="Hyperlink"/>
            <w:rFonts w:ascii="Garamond" w:hAnsi="Garamond"/>
          </w:rPr>
          <w:t>https://www.healthypeople.gov/2020/topics-objectives/topic/older-adults</w:t>
        </w:r>
      </w:hyperlink>
      <w:r w:rsidRPr="00D24B70">
        <w:rPr>
          <w:rFonts w:ascii="Garamond" w:hAnsi="Garamond"/>
        </w:rPr>
        <w:t xml:space="preserve"> </w:t>
      </w:r>
    </w:p>
  </w:endnote>
  <w:endnote w:id="16">
    <w:p w14:paraId="14D5338B"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D24B70">
        <w:rPr>
          <w:rFonts w:ascii="Garamond" w:hAnsi="Garamond"/>
        </w:rPr>
        <w:t>Raghupathi W, Raghupathi V. An Empirical Study of Chronic Diseases in the United States: A Visual Analytics Approach. Int J Environ Res Public Health. 2018;15(3):431. Published 2018 Mar 1. doi:10.3390/ijerph15030431</w:t>
      </w:r>
    </w:p>
  </w:endnote>
  <w:endnote w:id="17">
    <w:p w14:paraId="52271F01"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Benyamin RM, Staats PS, </w:t>
      </w:r>
      <w:r w:rsidRPr="00D24B70">
        <w:rPr>
          <w:rFonts w:ascii="Garamond" w:hAnsi="Garamond" w:cs="Calibri"/>
        </w:rPr>
        <w:t xml:space="preserve">MiDAS Encore I. MILD® Is an Effective Treatment for Lumbar Spinal Stenosis with Neurogenic Claudication: MiDAS ENCORE Randomized Controlled Trial. Pain Physician. 2016 May;19(4):229-42. PMID: 27228511. </w:t>
      </w:r>
      <w:hyperlink r:id="rId13" w:history="1">
        <w:r w:rsidRPr="00D24B70">
          <w:rPr>
            <w:rStyle w:val="Hyperlink"/>
            <w:rFonts w:ascii="Garamond" w:hAnsi="Garamond" w:cs="Calibri"/>
          </w:rPr>
          <w:t>https://www.painphysicianjournal.com/current/pdf?article=MjcwNQ%3D%3D&amp;journal=96</w:t>
        </w:r>
      </w:hyperlink>
      <w:r w:rsidRPr="00D24B70">
        <w:rPr>
          <w:rFonts w:ascii="Garamond" w:hAnsi="Garamond" w:cs="Calibri"/>
        </w:rPr>
        <w:t xml:space="preserve"> </w:t>
      </w:r>
    </w:p>
  </w:endnote>
  <w:endnote w:id="18">
    <w:p w14:paraId="41DD5C74"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Clinician’s Manual. </w:t>
      </w:r>
      <w:r w:rsidRPr="00D24B70">
        <w:rPr>
          <w:rFonts w:ascii="Garamond" w:hAnsi="Garamond" w:cs="Calibri"/>
        </w:rPr>
        <w:t xml:space="preserve">St.Jude Medical. Proclaim™ Implantable Pulse Generator. Available:  </w:t>
      </w:r>
      <w:hyperlink r:id="rId14" w:history="1">
        <w:r w:rsidRPr="00D24B70">
          <w:rPr>
            <w:rStyle w:val="Hyperlink"/>
            <w:rFonts w:ascii="Garamond" w:hAnsi="Garamond" w:cs="Calibri"/>
          </w:rPr>
          <w:t>file:///C:/Users/lc352/Downloads/d6c73669-7872-4ab4-bdc9-0694d708c136.pdf</w:t>
        </w:r>
      </w:hyperlink>
      <w:r w:rsidRPr="00D24B70">
        <w:rPr>
          <w:rFonts w:ascii="Garamond" w:hAnsi="Garamond" w:cs="Calibri"/>
        </w:rPr>
        <w:t xml:space="preserve"> </w:t>
      </w:r>
    </w:p>
  </w:endnote>
  <w:endnote w:id="19">
    <w:p w14:paraId="6430A7FA"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w:t>
      </w:r>
      <w:r w:rsidRPr="00D24B70">
        <w:rPr>
          <w:rFonts w:ascii="Garamond" w:hAnsi="Garamond" w:cs="Calibri"/>
        </w:rPr>
        <w:t>Kirketeig T, Schultheis C, Zuidema X, Hunter CW, Deer T. Burst Spinal Cord Stimulation: A Clinical Review. Pain Med. 2019;20(Suppl 1</w:t>
      </w:r>
      <w:r w:rsidRPr="00D24B70">
        <w:rPr>
          <w:rFonts w:ascii="Garamond" w:hAnsi="Garamond" w:cs="Calibri"/>
        </w:rPr>
        <w:t xml:space="preserve">):S31-S40. doi:10.1093/pm/pnz003. Available: </w:t>
      </w:r>
      <w:hyperlink r:id="rId15" w:history="1">
        <w:r w:rsidRPr="00D24B70">
          <w:rPr>
            <w:rStyle w:val="Hyperlink"/>
            <w:rFonts w:ascii="Garamond" w:hAnsi="Garamond" w:cs="Calibri"/>
          </w:rPr>
          <w:t>https://www.ncbi.nlm.nih.gov/pmc/articles/PMC6544556/pdf/pnz003.pdf</w:t>
        </w:r>
      </w:hyperlink>
      <w:r w:rsidRPr="00D24B70">
        <w:rPr>
          <w:rFonts w:ascii="Garamond" w:hAnsi="Garamond" w:cs="Calibri"/>
        </w:rPr>
        <w:t xml:space="preserve"> </w:t>
      </w:r>
    </w:p>
  </w:endnote>
  <w:endnote w:id="20">
    <w:p w14:paraId="39A919DB"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Academy of Otolaryngology – Head and Neck Surgery. Position Statement: Intra-Operative Use of Computer Aided Surgery. Available: </w:t>
      </w:r>
      <w:hyperlink r:id="rId16" w:history="1">
        <w:r w:rsidRPr="00D24B70">
          <w:rPr>
            <w:rStyle w:val="Hyperlink"/>
            <w:rFonts w:ascii="Garamond" w:hAnsi="Garamond" w:cs="Calibri"/>
          </w:rPr>
          <w:t>https://www.entnet.org/content/intra-operative-use-computer-aided-surgery</w:t>
        </w:r>
      </w:hyperlink>
      <w:r w:rsidRPr="00D24B70">
        <w:rPr>
          <w:rFonts w:ascii="Garamond" w:hAnsi="Garamond" w:cs="Calibri"/>
        </w:rPr>
        <w:t xml:space="preserve"> </w:t>
      </w:r>
    </w:p>
  </w:endnote>
  <w:endnote w:id="21">
    <w:p w14:paraId="2751BFF3"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ASC Quality Reporting. Available: </w:t>
      </w:r>
      <w:hyperlink r:id="rId17" w:history="1">
        <w:r w:rsidRPr="00D24B70">
          <w:rPr>
            <w:rStyle w:val="Hyperlink"/>
            <w:rFonts w:ascii="Garamond" w:hAnsi="Garamond" w:cs="Calibri"/>
          </w:rPr>
          <w:t>https://www.advancingsurgicalcare.com/safetyquality/ascqualityreporting</w:t>
        </w:r>
      </w:hyperlink>
      <w:r w:rsidRPr="00D24B70">
        <w:rPr>
          <w:rFonts w:ascii="Garamond" w:hAnsi="Garamond" w:cs="Calibri"/>
        </w:rPr>
        <w:t xml:space="preserve"> </w:t>
      </w:r>
    </w:p>
  </w:endnote>
  <w:endnote w:id="22">
    <w:p w14:paraId="063D9B82"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Hollenbeck BK, Dunn RL, Suskind AM, Strope SA, Zhang Y, Hollingsworth JM. Ambulatory Surgery </w:t>
      </w:r>
      <w:r w:rsidRPr="00D24B70">
        <w:rPr>
          <w:rFonts w:ascii="Garamond" w:hAnsi="Garamond" w:cs="Calibri"/>
        </w:rPr>
        <w:t xml:space="preserve">Centers and Their Intended Effects on Outpatient Surgery. Health Serv Res. 2015;50(5):1491-1507. doi:10.1111/1475-6773.12278. Available: </w:t>
      </w:r>
      <w:hyperlink r:id="rId18" w:history="1">
        <w:r w:rsidRPr="00D24B70">
          <w:rPr>
            <w:rStyle w:val="Hyperlink"/>
            <w:rFonts w:ascii="Garamond" w:hAnsi="Garamond" w:cs="Calibri"/>
          </w:rPr>
          <w:t>https://www.ncbi.nlm.nih.gov/pmc/articles/PMC4600358/</w:t>
        </w:r>
      </w:hyperlink>
      <w:r w:rsidRPr="00D24B70">
        <w:rPr>
          <w:rFonts w:ascii="Garamond" w:hAnsi="Garamond" w:cs="Calibri"/>
        </w:rPr>
        <w:t xml:space="preserve"> </w:t>
      </w:r>
    </w:p>
  </w:endnote>
  <w:endnote w:id="23">
    <w:p w14:paraId="04836F9F"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Pain Management Best Practices Inter-</w:t>
      </w:r>
      <w:r w:rsidRPr="00D24B70">
        <w:rPr>
          <w:rFonts w:ascii="Garamond" w:hAnsi="Garamond"/>
        </w:rPr>
        <w:t xml:space="preserve">agency Task Force Report. Draft Final Report. May 6, 2019. Available: </w:t>
      </w:r>
      <w:hyperlink r:id="rId19" w:history="1">
        <w:r w:rsidRPr="00D24B70">
          <w:rPr>
            <w:rStyle w:val="Hyperlink"/>
            <w:rFonts w:ascii="Garamond" w:hAnsi="Garamond"/>
          </w:rPr>
          <w:t>https://www.hhs.gov/sites/default/files/pain-mgmt-best-practices-draft-final-report-05062019.pdf</w:t>
        </w:r>
      </w:hyperlink>
      <w:r w:rsidRPr="00D24B70">
        <w:rPr>
          <w:rFonts w:ascii="Garamond" w:hAnsi="Garamond"/>
        </w:rPr>
        <w:t xml:space="preserve"> </w:t>
      </w:r>
    </w:p>
  </w:endnote>
  <w:endnote w:id="24">
    <w:p w14:paraId="415DCC60"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Munnich EL, Parente ST. Procedures take less time at ambulatory surgery centers, keeping costs down and ability to meet demand up. Health </w:t>
      </w:r>
      <w:r w:rsidRPr="00D24B70">
        <w:rPr>
          <w:rFonts w:ascii="Garamond" w:hAnsi="Garamond" w:cs="Calibri"/>
        </w:rPr>
        <w:t xml:space="preserve">Aff (Millwood). 2014 May;33(5):764-9. doi: 10.1377/hlthaff.2013.1281. PubMed PMID: 24799572. Available: </w:t>
      </w:r>
      <w:hyperlink r:id="rId20" w:history="1">
        <w:r w:rsidRPr="00D24B70">
          <w:rPr>
            <w:rStyle w:val="Hyperlink"/>
            <w:rFonts w:ascii="Garamond" w:hAnsi="Garamond" w:cs="Calibri"/>
          </w:rPr>
          <w:t>https://www.healthaffairs.org/doi/pdf/10.1377/hlthaff.2013.1281</w:t>
        </w:r>
      </w:hyperlink>
      <w:r w:rsidRPr="00D24B70">
        <w:rPr>
          <w:rFonts w:ascii="Garamond" w:hAnsi="Garamond" w:cs="Calibri"/>
        </w:rPr>
        <w:t xml:space="preserve"> </w:t>
      </w:r>
    </w:p>
  </w:endnote>
  <w:endnote w:id="25">
    <w:p w14:paraId="46765FC2"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Society of </w:t>
      </w:r>
      <w:r w:rsidRPr="00D24B70">
        <w:rPr>
          <w:rFonts w:ascii="Garamond" w:hAnsi="Garamond" w:cs="Calibri"/>
        </w:rPr>
        <w:t xml:space="preserve">Orthopaedic Surgeons. Position Statement. Ambulatory Surgical Centers.                                                                       Available: </w:t>
      </w:r>
      <w:hyperlink r:id="rId21" w:history="1">
        <w:r w:rsidRPr="00D24B70">
          <w:rPr>
            <w:rStyle w:val="Hyperlink"/>
            <w:rFonts w:ascii="Garamond" w:hAnsi="Garamond" w:cs="Calibri"/>
          </w:rPr>
          <w:t>https://www.aaos.org/uploadedFiles/1161 Ambulatory Surgical Centers.pdf</w:t>
        </w:r>
      </w:hyperlink>
      <w:r w:rsidRPr="00D24B70">
        <w:rPr>
          <w:rFonts w:ascii="Garamond" w:hAnsi="Garamond" w:cs="Calibri"/>
        </w:rPr>
        <w:t xml:space="preserve"> </w:t>
      </w:r>
    </w:p>
  </w:endnote>
  <w:endnote w:id="26">
    <w:p w14:paraId="464469FF"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Ambulatory Surgery Centers.                                                                                                Available: </w:t>
      </w:r>
      <w:hyperlink r:id="rId22" w:history="1">
        <w:r w:rsidRPr="00D24B70">
          <w:rPr>
            <w:rStyle w:val="Hyperlink"/>
            <w:rFonts w:ascii="Garamond" w:hAnsi="Garamond" w:cs="Calibri"/>
          </w:rPr>
          <w:t>https://higherlogicdownload.s3.amazonaws.com/ASCACONNECT/fd1693e2-e4a8-43d3-816d-17ecfc7d55c1/UploadedImages/About%20Us/ASCs%20-%20A%20Positive%20Trend%20in%20Health%20Care.pdf</w:t>
        </w:r>
      </w:hyperlink>
      <w:r w:rsidRPr="00D24B70">
        <w:rPr>
          <w:rFonts w:ascii="Garamond" w:hAnsi="Garamond" w:cs="Calibri"/>
        </w:rPr>
        <w:t xml:space="preserve"> </w:t>
      </w:r>
    </w:p>
  </w:endnote>
  <w:endnote w:id="27">
    <w:p w14:paraId="49A33148"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Report to the Congress: Medicare Payment Policy | March 2020. Chapter 5: Ambulatory Surgical Center Services. Available: </w:t>
      </w:r>
      <w:hyperlink r:id="rId23" w:history="1">
        <w:r w:rsidRPr="00D24B70">
          <w:rPr>
            <w:rStyle w:val="Hyperlink"/>
            <w:rFonts w:ascii="Garamond" w:hAnsi="Garamond"/>
          </w:rPr>
          <w:t>http://www.medpac.gov/docs/default-source/reports/mar20_medpac_ch5_sec.pdf?sfvrsn=0</w:t>
        </w:r>
      </w:hyperlink>
      <w:r w:rsidRPr="00D24B70">
        <w:rPr>
          <w:rFonts w:ascii="Garamond" w:hAnsi="Garamond"/>
        </w:rPr>
        <w:t xml:space="preserve"> </w:t>
      </w:r>
    </w:p>
  </w:endnote>
  <w:endnote w:id="28">
    <w:p w14:paraId="14A6623D"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D24B70">
        <w:rPr>
          <w:rFonts w:ascii="Garamond" w:hAnsi="Garamond" w:cs="Calibri"/>
        </w:rPr>
        <w:t xml:space="preserve">Healthy People. Access to Health Services. Available: </w:t>
      </w:r>
      <w:hyperlink r:id="rId24" w:history="1">
        <w:r w:rsidRPr="00D24B70">
          <w:rPr>
            <w:rStyle w:val="Hyperlink"/>
            <w:rFonts w:ascii="Garamond" w:hAnsi="Garamond" w:cs="Calibri"/>
          </w:rPr>
          <w:t>https://www.healthypeople.gov/2020/topics-objectives/topic/Access-to-Health-Services</w:t>
        </w:r>
      </w:hyperlink>
    </w:p>
  </w:endnote>
  <w:endnote w:id="29">
    <w:p w14:paraId="4E1371C9"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Robert Wood Johnson Foundation. County Health Rankings and Roadmaps. Access to Care. Available: </w:t>
      </w:r>
      <w:hyperlink r:id="rId25" w:history="1">
        <w:r w:rsidRPr="00D24B70">
          <w:rPr>
            <w:rStyle w:val="Hyperlink"/>
            <w:rFonts w:ascii="Garamond" w:hAnsi="Garamond"/>
          </w:rPr>
          <w:t>https://www.countyhealthrankings.org/explore-health-rankings/measures-data-sources/county-health-rankings-model/health-factors/clinical-care/access-to-care</w:t>
        </w:r>
      </w:hyperlink>
      <w:r w:rsidRPr="00D24B70">
        <w:rPr>
          <w:rFonts w:ascii="Garamond" w:hAnsi="Garamond"/>
        </w:rPr>
        <w:t xml:space="preserve">  </w:t>
      </w:r>
    </w:p>
  </w:endnote>
  <w:endnote w:id="30">
    <w:p w14:paraId="5B010BA0"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Healthy People. Access to Health Services. Available: </w:t>
      </w:r>
      <w:hyperlink r:id="rId26" w:history="1">
        <w:r w:rsidRPr="00D24B70">
          <w:rPr>
            <w:rStyle w:val="Hyperlink"/>
            <w:rFonts w:ascii="Garamond" w:hAnsi="Garamond" w:cs="Calibri"/>
          </w:rPr>
          <w:t>https://www.healthypeople.gov/2020/topics-objectives/topic/Access-to-Health-Services</w:t>
        </w:r>
      </w:hyperlink>
      <w:r w:rsidRPr="00D24B70">
        <w:rPr>
          <w:rFonts w:ascii="Garamond" w:hAnsi="Garamond" w:cs="Calibri"/>
        </w:rPr>
        <w:t xml:space="preserve"> </w:t>
      </w:r>
    </w:p>
  </w:endnote>
  <w:endnote w:id="31">
    <w:p w14:paraId="5227F0A3"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Samii A, </w:t>
      </w:r>
      <w:r w:rsidRPr="00D24B70">
        <w:rPr>
          <w:rFonts w:ascii="Garamond" w:hAnsi="Garamond" w:cs="Calibri"/>
        </w:rPr>
        <w:t xml:space="preserve">Shining a Light on the Value of Value-Based Care: ASCs are positioned to lead the way, Becker’s ASC Review. Available: </w:t>
      </w:r>
      <w:hyperlink r:id="rId27" w:history="1">
        <w:r w:rsidRPr="00D24B70">
          <w:rPr>
            <w:rStyle w:val="Hyperlink"/>
            <w:rFonts w:ascii="Garamond" w:hAnsi="Garamond" w:cs="Calibri"/>
          </w:rPr>
          <w:t>https://www.beckersasc.com/asc-coding-billing-and-collections/shining-a-light-on-the-value-of-value-based-care-ascs-are-positioned-to-lead-the-way.html</w:t>
        </w:r>
      </w:hyperlink>
      <w:r w:rsidRPr="00D24B70">
        <w:rPr>
          <w:rFonts w:ascii="Garamond" w:hAnsi="Garamond" w:cs="Calibri"/>
        </w:rPr>
        <w:t xml:space="preserve"> </w:t>
      </w:r>
    </w:p>
  </w:endnote>
  <w:endnote w:id="32">
    <w:p w14:paraId="61476C30"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Harjot Uppal. Economic Advantages of Performing </w:t>
      </w:r>
      <w:r w:rsidRPr="00D24B70">
        <w:rPr>
          <w:rFonts w:ascii="Garamond" w:hAnsi="Garamond" w:cs="Calibri"/>
        </w:rPr>
        <w:t xml:space="preserve">Orthopaedic Surgical Procedures in Ambulatory Surgical Centres Over Hospital Out-Patient Settings. Available: </w:t>
      </w:r>
      <w:hyperlink r:id="rId28" w:history="1">
        <w:r w:rsidRPr="00D24B70">
          <w:rPr>
            <w:rStyle w:val="Hyperlink"/>
            <w:rFonts w:ascii="Garamond" w:hAnsi="Garamond" w:cs="Calibri"/>
          </w:rPr>
          <w:t>https://www.iaas-med.com/files/Journal/Volume25/AMB_SURG_25_1-UPPAL.pdf</w:t>
        </w:r>
      </w:hyperlink>
      <w:r w:rsidRPr="00D24B70">
        <w:rPr>
          <w:rFonts w:ascii="Garamond" w:hAnsi="Garamond" w:cs="Calibri"/>
        </w:rPr>
        <w:t xml:space="preserve"> </w:t>
      </w:r>
    </w:p>
  </w:endnote>
  <w:endnote w:id="33">
    <w:p w14:paraId="0C0E5883"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Abrams M. Coming to Terms </w:t>
      </w:r>
      <w:r w:rsidRPr="00D24B70">
        <w:rPr>
          <w:rFonts w:ascii="Garamond" w:hAnsi="Garamond" w:cs="Calibri"/>
        </w:rPr>
        <w:t xml:space="preserve">With Care Migration. AJMC. Available: </w:t>
      </w:r>
      <w:hyperlink r:id="rId29" w:history="1">
        <w:r w:rsidRPr="00D24B70">
          <w:rPr>
            <w:rStyle w:val="Hyperlink"/>
            <w:rFonts w:ascii="Garamond" w:hAnsi="Garamond" w:cs="Calibri"/>
          </w:rPr>
          <w:t>https://www.ajmc.com/contributor/michael-abrams/2019/05/coming-to-terms-with-care-migration</w:t>
        </w:r>
      </w:hyperlink>
      <w:r w:rsidRPr="00D24B70">
        <w:rPr>
          <w:rFonts w:ascii="Garamond" w:hAnsi="Garamond" w:cs="Calibri"/>
        </w:rPr>
        <w:t xml:space="preserve"> Published May 30, 2019.</w:t>
      </w:r>
    </w:p>
  </w:endnote>
  <w:endnote w:id="34">
    <w:p w14:paraId="1D6662B9"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3 reasons ASCs adopt EHR software. Available: </w:t>
      </w:r>
      <w:hyperlink r:id="rId30" w:history="1">
        <w:r w:rsidRPr="00D24B70">
          <w:rPr>
            <w:rStyle w:val="Hyperlink"/>
            <w:rFonts w:ascii="Garamond" w:hAnsi="Garamond" w:cs="Calibri"/>
          </w:rPr>
          <w:t>https://www.beckersasc.com/supply-chain/3-reasons-ascs-adopt-ehr-software.html</w:t>
        </w:r>
      </w:hyperlink>
      <w:r w:rsidRPr="00D24B70">
        <w:rPr>
          <w:rFonts w:ascii="Garamond" w:hAnsi="Garamond" w:cs="Calibri"/>
        </w:rPr>
        <w:t xml:space="preserve"> </w:t>
      </w:r>
    </w:p>
  </w:endnote>
  <w:endnote w:id="35">
    <w:p w14:paraId="7BE61178" w14:textId="77777777" w:rsidR="0043456B" w:rsidRPr="00D24B70" w:rsidRDefault="0043456B" w:rsidP="0043456B">
      <w:pPr>
        <w:pStyle w:val="EndnoteText"/>
        <w:contextualSpacing/>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Community Engagement Standards for Community Health Planning Guideline. Available: </w:t>
      </w:r>
      <w:hyperlink r:id="rId31" w:history="1">
        <w:r w:rsidRPr="00D24B70">
          <w:rPr>
            <w:rStyle w:val="Hyperlink"/>
            <w:rFonts w:ascii="Garamond" w:hAnsi="Garamond" w:cs="Calibri"/>
          </w:rPr>
          <w:t>https://www.mass.gov/doc/community-engagement-guidelines-for-community-health-planning-pdf/download</w:t>
        </w:r>
      </w:hyperlink>
      <w:r w:rsidRPr="00D24B70">
        <w:rPr>
          <w:rFonts w:ascii="Garamond" w:hAnsi="Garamond" w:cs="Calibri"/>
        </w:rPr>
        <w:t xml:space="preserve"> </w:t>
      </w:r>
    </w:p>
  </w:endnote>
  <w:endnote w:id="36">
    <w:p w14:paraId="443926A0" w14:textId="77777777" w:rsidR="0043456B" w:rsidRPr="00D24B70" w:rsidRDefault="0043456B" w:rsidP="0043456B">
      <w:pPr>
        <w:pStyle w:val="EndnoteText"/>
        <w:contextualSpacing/>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w:t>
      </w:r>
      <w:r w:rsidRPr="00D24B70">
        <w:rPr>
          <w:rFonts w:ascii="Garamond" w:hAnsi="Garamond" w:cs="Calibri"/>
        </w:rPr>
        <w:t xml:space="preserve">DoN Regulation 100.210 (A)(1)(e). Available: </w:t>
      </w:r>
      <w:hyperlink r:id="rId32" w:history="1">
        <w:r w:rsidRPr="00D24B70">
          <w:rPr>
            <w:rStyle w:val="Hyperlink"/>
            <w:rFonts w:ascii="Garamond" w:hAnsi="Garamond" w:cs="Calibri"/>
          </w:rPr>
          <w:t>https://www.mass.gov/files/documents/2018/12/31/jud-lib-105cmr100.pdf</w:t>
        </w:r>
      </w:hyperlink>
    </w:p>
  </w:endnote>
  <w:endnote w:id="37">
    <w:p w14:paraId="5F8B8FAE"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The ASC Cost Differential. Available: </w:t>
      </w:r>
      <w:hyperlink r:id="rId33" w:history="1">
        <w:r w:rsidRPr="00D24B70">
          <w:rPr>
            <w:rStyle w:val="Hyperlink"/>
            <w:rFonts w:ascii="Garamond" w:hAnsi="Garamond" w:cs="Calibri"/>
          </w:rPr>
          <w:t>https://www.ascassociation.org/advancingsurgicalcare/reducinghealthcarecosts/paymentdisparitiesbetweenascsandhopds</w:t>
        </w:r>
      </w:hyperlink>
      <w:r w:rsidRPr="00D24B70">
        <w:rPr>
          <w:rFonts w:ascii="Garamond" w:hAnsi="Garamond" w:cs="Calibri"/>
        </w:rPr>
        <w:t xml:space="preserve"> </w:t>
      </w:r>
    </w:p>
  </w:endnote>
  <w:endnote w:id="38">
    <w:p w14:paraId="0813F1F6"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Commercial Insurance Cost Savings in Ambulatory</w:t>
      </w:r>
    </w:p>
    <w:p w14:paraId="0036257D" w14:textId="77777777" w:rsidR="0043456B" w:rsidRPr="00D24B70" w:rsidRDefault="0043456B" w:rsidP="0043456B">
      <w:pPr>
        <w:pStyle w:val="EndnoteText"/>
        <w:rPr>
          <w:rFonts w:ascii="Garamond" w:hAnsi="Garamond" w:cs="Calibri"/>
        </w:rPr>
      </w:pPr>
      <w:r w:rsidRPr="00D24B70">
        <w:rPr>
          <w:rFonts w:ascii="Garamond" w:hAnsi="Garamond" w:cs="Calibri"/>
        </w:rPr>
        <w:t xml:space="preserve">Surgery Centers Available: </w:t>
      </w:r>
      <w:hyperlink r:id="rId34" w:history="1">
        <w:r w:rsidRPr="00D24B70">
          <w:rPr>
            <w:rStyle w:val="Hyperlink"/>
            <w:rFonts w:ascii="Garamond" w:hAnsi="Garamond" w:cs="Calibri"/>
          </w:rPr>
          <w:t>https://www.ascassociation.org/HigherLogic/System/DownloadDocumentFile.ashx?DocumentFileKey=829b1dd6-0b5d-9686-e57c-3e2ed4ab42ca&amp;forceDialog=0</w:t>
        </w:r>
      </w:hyperlink>
      <w:r w:rsidRPr="00D24B70">
        <w:rPr>
          <w:rFonts w:ascii="Garamond" w:hAnsi="Garamond" w:cs="Calibri"/>
        </w:rPr>
        <w:t xml:space="preserve"> </w:t>
      </w:r>
    </w:p>
  </w:endnote>
  <w:endnote w:id="39">
    <w:p w14:paraId="3848EBF3"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ASCs: A Positive Trend in Health Care. </w:t>
      </w:r>
      <w:r>
        <w:rPr>
          <w:rFonts w:ascii="Garamond" w:hAnsi="Garamond" w:cs="Calibri"/>
        </w:rPr>
        <w:t>Available:</w:t>
      </w:r>
      <w:r w:rsidRPr="00D24B70">
        <w:rPr>
          <w:rFonts w:ascii="Garamond" w:hAnsi="Garamond" w:cs="Calibri"/>
        </w:rPr>
        <w:t xml:space="preserve">                                                                      </w:t>
      </w:r>
      <w:r>
        <w:rPr>
          <w:rFonts w:ascii="Garamond" w:hAnsi="Garamond" w:cs="Calibri"/>
        </w:rPr>
        <w:t xml:space="preserve">                              </w:t>
      </w:r>
      <w:hyperlink r:id="rId35" w:history="1">
        <w:r w:rsidRPr="00D24B70">
          <w:rPr>
            <w:rStyle w:val="Hyperlink"/>
            <w:rFonts w:ascii="Garamond" w:hAnsi="Garamond" w:cs="Calibri"/>
          </w:rPr>
          <w:t>https://www.ascassociation.org/advancingsurgicalcare/aboutascs/industryoverview/apositivetrendinhealthcare</w:t>
        </w:r>
      </w:hyperlink>
      <w:r w:rsidRPr="00D24B70">
        <w:rPr>
          <w:rFonts w:ascii="Garamond" w:hAnsi="Garamond" w:cs="Calibri"/>
        </w:rPr>
        <w:t xml:space="preserve"> </w:t>
      </w:r>
    </w:p>
  </w:endnote>
  <w:endnote w:id="40">
    <w:p w14:paraId="6090A451"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Dyrda L, CMS posts payments for ASCs vs. HOPDs — Medicare pays ASCs $359 less for colonoscopy, $1,092 less for knee arthroscopy, Beckers ASC Review. Available: </w:t>
      </w:r>
      <w:hyperlink r:id="rId36" w:history="1">
        <w:r w:rsidRPr="00D24B70">
          <w:rPr>
            <w:rStyle w:val="Hyperlink"/>
            <w:rFonts w:ascii="Garamond" w:hAnsi="Garamond" w:cs="Calibri"/>
          </w:rPr>
          <w:t>https://www.beckersasc.com/asc-coding-billing-and-collections/cms-posts-payments-for-ascs-vs-hopds-medicare-pays-ascs-359-less-for-colonoscopy-1-092-less-for-knee-arthroscopy.html</w:t>
        </w:r>
      </w:hyperlink>
      <w:r w:rsidRPr="00D24B70">
        <w:rPr>
          <w:rFonts w:ascii="Garamond" w:hAnsi="Garamond" w:cs="Calibri"/>
        </w:rPr>
        <w:t xml:space="preserve"> </w:t>
      </w:r>
    </w:p>
  </w:endnote>
  <w:endnote w:id="41">
    <w:p w14:paraId="27FC93E4"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Medicare Cost Savings Tied to Ambulatory Surgery Centers (Rep.). (2013, September 10). Available: https://www.ascassociation.org/HigherLogic/System/DownloadDocumentFile.ashx?DocumentFileKey=7b33b916-</w:t>
      </w:r>
    </w:p>
    <w:p w14:paraId="1FC24ADA" w14:textId="77777777" w:rsidR="0043456B" w:rsidRPr="00D24B70" w:rsidRDefault="0043456B" w:rsidP="0043456B">
      <w:pPr>
        <w:pStyle w:val="EndnoteText"/>
        <w:rPr>
          <w:rFonts w:ascii="Garamond" w:hAnsi="Garamond" w:cs="Calibri"/>
        </w:rPr>
      </w:pPr>
      <w:r w:rsidRPr="00D24B70">
        <w:rPr>
          <w:rFonts w:ascii="Garamond" w:hAnsi="Garamond" w:cs="Calibri"/>
        </w:rPr>
        <w:t>f3f1-42e5-a646-35cc2f38fe4d&amp;forceDialog=0</w:t>
      </w:r>
      <w:r>
        <w:rPr>
          <w:rFonts w:ascii="Garamond" w:hAnsi="Garamond" w:cs="Calibri"/>
        </w:rPr>
        <w:t xml:space="preserve"> </w:t>
      </w:r>
      <w:r w:rsidRPr="00D24B70">
        <w:rPr>
          <w:rFonts w:ascii="Garamond" w:hAnsi="Garamond" w:cs="Calibri"/>
        </w:rPr>
        <w:t xml:space="preserve">     </w:t>
      </w:r>
    </w:p>
  </w:endnote>
  <w:endnote w:id="42">
    <w:p w14:paraId="7BBE496F"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Study: Commercial Insurance Cost Savings in Ambulatory Surgery Centers.                                </w:t>
      </w:r>
      <w:r>
        <w:rPr>
          <w:rFonts w:ascii="Garamond" w:hAnsi="Garamond" w:cs="Calibri"/>
        </w:rPr>
        <w:t xml:space="preserve">                     Available:</w:t>
      </w:r>
      <w:hyperlink r:id="rId37" w:history="1">
        <w:r w:rsidRPr="00D24B70">
          <w:rPr>
            <w:rStyle w:val="Hyperlink"/>
            <w:rFonts w:ascii="Garamond" w:hAnsi="Garamond" w:cs="Calibri"/>
          </w:rPr>
          <w:t>https://www.ascassociation.org/advancingsurgicalcare/reducinghealthcarecosts/costsavings/healthcarebluebookstudy</w:t>
        </w:r>
      </w:hyperlink>
      <w:r w:rsidRPr="00D24B70">
        <w:rPr>
          <w:rFonts w:ascii="Garamond" w:hAnsi="Garamond" w:cs="Calibri"/>
        </w:rPr>
        <w:t xml:space="preserve">  </w:t>
      </w:r>
    </w:p>
  </w:endnote>
  <w:endnote w:id="43">
    <w:p w14:paraId="4E142906"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KNG Health Consulting, LLC. Comparison of Medicare Fee-for-Service Beneficiaries Treated in Ambulatory Surgical Centers and H</w:t>
      </w:r>
      <w:r>
        <w:rPr>
          <w:rFonts w:ascii="Garamond" w:hAnsi="Garamond"/>
        </w:rPr>
        <w:t xml:space="preserve">ospital Outpatient Departments. </w:t>
      </w:r>
      <w:r w:rsidRPr="00D24B70">
        <w:rPr>
          <w:rFonts w:ascii="Garamond" w:hAnsi="Garamond"/>
        </w:rPr>
        <w:t xml:space="preserve">Available: </w:t>
      </w:r>
      <w:hyperlink r:id="rId38" w:history="1">
        <w:r w:rsidRPr="00D24B70">
          <w:rPr>
            <w:rStyle w:val="Hyperlink"/>
            <w:rFonts w:ascii="Garamond" w:hAnsi="Garamond"/>
          </w:rPr>
          <w:t>https://www.aha.org/system/files/media/file/2019/04/kng-health-aha-analysis-of-hopd-vs-asc-report.pdf</w:t>
        </w:r>
      </w:hyperlink>
      <w:r w:rsidRPr="00D24B70">
        <w:rPr>
          <w:rFonts w:ascii="Garamond" w:hAnsi="Garamond"/>
        </w:rPr>
        <w:t xml:space="preserve"> </w:t>
      </w:r>
    </w:p>
  </w:endnote>
  <w:endnote w:id="44">
    <w:p w14:paraId="7676B533"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Report to the Congress: Medicare Payment Policy | March 2019. Chapter 5: Ambulatory Surgical Center Services. Available: </w:t>
      </w:r>
      <w:hyperlink r:id="rId39" w:history="1">
        <w:r w:rsidRPr="00D24B70">
          <w:rPr>
            <w:rStyle w:val="Hyperlink"/>
            <w:rFonts w:ascii="Garamond" w:hAnsi="Garamond"/>
          </w:rPr>
          <w:t>http://www.medpac.gov/docs/default-source/reports/mar19_medpac_ch5_sec.pdf?sfvrsn=0</w:t>
        </w:r>
      </w:hyperlink>
      <w:r w:rsidRPr="00D24B70">
        <w:rPr>
          <w:rFonts w:ascii="Garamond" w:hAnsi="Garamond"/>
        </w:rPr>
        <w:t xml:space="preserve"> </w:t>
      </w:r>
    </w:p>
  </w:endnote>
  <w:endnote w:id="45">
    <w:p w14:paraId="4312668E"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D24B70">
        <w:rPr>
          <w:rFonts w:ascii="Garamond" w:hAnsi="Garamond"/>
        </w:rPr>
        <w:t>Yaraghi, Niam. Procedure Price Lookup: A step toward transparency in the health care system. Brookings.</w:t>
      </w:r>
    </w:p>
    <w:p w14:paraId="33F52755" w14:textId="77777777" w:rsidR="0043456B" w:rsidRPr="00D24B70" w:rsidRDefault="0043456B" w:rsidP="0043456B">
      <w:pPr>
        <w:pStyle w:val="EndnoteText"/>
        <w:rPr>
          <w:rFonts w:ascii="Garamond" w:hAnsi="Garamond"/>
        </w:rPr>
      </w:pPr>
      <w:r w:rsidRPr="00D24B70">
        <w:rPr>
          <w:rFonts w:ascii="Garamond" w:hAnsi="Garamond"/>
        </w:rPr>
        <w:t xml:space="preserve">Wednesday, January 30, 2019. Available: </w:t>
      </w:r>
      <w:hyperlink r:id="rId40" w:history="1">
        <w:r w:rsidRPr="00D24B70">
          <w:rPr>
            <w:rStyle w:val="Hyperlink"/>
            <w:rFonts w:ascii="Garamond" w:hAnsi="Garamond"/>
          </w:rPr>
          <w:t>https://www.brookings.edu/blog/techtank/2019/01/30/procedure-price-lookup-a-step-toward-transparency-in-the-health-care-system/</w:t>
        </w:r>
      </w:hyperlink>
      <w:r w:rsidRPr="00D24B70">
        <w:rPr>
          <w:rFonts w:ascii="Garamond" w:hAnsi="Garamond"/>
        </w:rPr>
        <w:t xml:space="preserve"> </w:t>
      </w:r>
    </w:p>
  </w:endnote>
  <w:endnote w:id="46">
    <w:p w14:paraId="5EF2C83C"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ASCs: A Positive T</w:t>
      </w:r>
      <w:r>
        <w:rPr>
          <w:rFonts w:ascii="Garamond" w:hAnsi="Garamond" w:cs="Calibri"/>
        </w:rPr>
        <w:t xml:space="preserve">rend in Health Care. Available: </w:t>
      </w:r>
      <w:hyperlink r:id="rId41" w:history="1">
        <w:r w:rsidRPr="00D24B70">
          <w:rPr>
            <w:rStyle w:val="Hyperlink"/>
            <w:rFonts w:ascii="Garamond" w:hAnsi="Garamond" w:cs="Calibri"/>
          </w:rPr>
          <w:t>https://www.ascassociation.org/advancingsurgicalcare/aboutascs/industryoverview/apositivetrendinhealthcare</w:t>
        </w:r>
      </w:hyperlink>
      <w:r w:rsidRPr="00D24B70">
        <w:rPr>
          <w:rFonts w:ascii="Garamond" w:hAnsi="Garamond" w:cs="Calibri"/>
        </w:rPr>
        <w:t xml:space="preserve"> </w:t>
      </w:r>
      <w:r w:rsidRPr="00D24B70" w:rsidDel="00E24DBC">
        <w:rPr>
          <w:rFonts w:ascii="Garamond" w:hAnsi="Garamond" w:cs="Calibri"/>
        </w:rPr>
        <w:t xml:space="preserve"> </w:t>
      </w:r>
      <w:r w:rsidRPr="00D24B70">
        <w:rPr>
          <w:rFonts w:ascii="Garamond" w:hAnsi="Garamond" w:cs="Calibri"/>
        </w:rPr>
        <w:t xml:space="preserve"> </w:t>
      </w:r>
    </w:p>
  </w:endnote>
  <w:endnote w:id="47">
    <w:p w14:paraId="22F89644" w14:textId="77777777" w:rsidR="0043456B" w:rsidRPr="00D24B70" w:rsidRDefault="0043456B" w:rsidP="0043456B">
      <w:pPr>
        <w:pStyle w:val="EndnoteText"/>
        <w:rPr>
          <w:rFonts w:ascii="Garamond" w:eastAsia="Times New Roman" w:hAnsi="Garamond"/>
        </w:rPr>
      </w:pPr>
      <w:r w:rsidRPr="00D24B70">
        <w:rPr>
          <w:rStyle w:val="EndnoteReference"/>
          <w:rFonts w:ascii="Garamond" w:hAnsi="Garamond"/>
        </w:rPr>
        <w:endnoteRef/>
      </w:r>
      <w:r w:rsidRPr="00D24B70">
        <w:rPr>
          <w:rFonts w:ascii="Garamond" w:hAnsi="Garamond"/>
        </w:rPr>
        <w:t xml:space="preserve"> </w:t>
      </w:r>
      <w:r w:rsidRPr="00D24B70">
        <w:rPr>
          <w:rFonts w:ascii="Garamond" w:eastAsia="Times New Roman" w:hAnsi="Garamond"/>
        </w:rPr>
        <w:t xml:space="preserve">Robinson JC, Brown T, Whaley C. Reference-based benefit design changes consumers' choices and employers' payments for ambulatory surgery. Health </w:t>
      </w:r>
      <w:r w:rsidRPr="00D24B70">
        <w:rPr>
          <w:rFonts w:ascii="Garamond" w:eastAsia="Times New Roman" w:hAnsi="Garamond"/>
        </w:rPr>
        <w:t>Aff (Millwood). 2015 Mar;34(3):415-22. doi: 10.1377/hlthaff.2014.1198. PMID: 25732491.</w:t>
      </w:r>
    </w:p>
  </w:endnote>
  <w:endnote w:id="48">
    <w:p w14:paraId="35A97AD5"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HOPDs vs. ASCs: understanding payment differences. Available: </w:t>
      </w:r>
      <w:hyperlink r:id="rId42" w:history="1">
        <w:r w:rsidRPr="00D24B70">
          <w:rPr>
            <w:rStyle w:val="Hyperlink"/>
            <w:rFonts w:ascii="Garamond" w:hAnsi="Garamond" w:cs="Calibri"/>
          </w:rPr>
          <w:t>https://www.pyapc.com/wp-content/uploads/2019/04/0419_HFM_McMillan.pdf</w:t>
        </w:r>
      </w:hyperlink>
      <w:r w:rsidRPr="00D24B70">
        <w:rPr>
          <w:rFonts w:ascii="Garamond" w:hAnsi="Garamond" w:cs="Calibri"/>
        </w:rPr>
        <w:t xml:space="preserve"> </w:t>
      </w:r>
    </w:p>
  </w:endnote>
  <w:endnote w:id="49">
    <w:p w14:paraId="41DA05D6"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Samii N, </w:t>
      </w:r>
      <w:r w:rsidRPr="00D24B70">
        <w:rPr>
          <w:rFonts w:ascii="Garamond" w:hAnsi="Garamond" w:cs="Calibri"/>
        </w:rPr>
        <w:t xml:space="preserve">Shining a Light on the Value of Value-Based Care: ASCs are positioned to lead the way. Beckers ASC Review. Available: </w:t>
      </w:r>
      <w:hyperlink r:id="rId43" w:history="1">
        <w:r w:rsidRPr="00D24B70">
          <w:rPr>
            <w:rStyle w:val="Hyperlink"/>
            <w:rFonts w:ascii="Garamond" w:hAnsi="Garamond" w:cs="Calibri"/>
          </w:rPr>
          <w:t>https://www.beckersasc.com/asc-coding-billing-and-collections/shining-a-light-on-the-value-of-value-based-care-ascs-are-positioned-to-lead-the-way.html</w:t>
        </w:r>
      </w:hyperlink>
      <w:r w:rsidRPr="00D24B70">
        <w:rPr>
          <w:rFonts w:ascii="Garamond" w:hAnsi="Garamond" w:cs="Calibri"/>
        </w:rPr>
        <w:t xml:space="preserve"> </w:t>
      </w:r>
    </w:p>
  </w:endnote>
  <w:endnote w:id="50">
    <w:p w14:paraId="641EAF04" w14:textId="77777777" w:rsidR="0043456B" w:rsidRPr="00D24B70" w:rsidRDefault="0043456B" w:rsidP="0043456B">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HOPDs vs. ASCs: und</w:t>
      </w:r>
      <w:r>
        <w:rPr>
          <w:rFonts w:ascii="Garamond" w:hAnsi="Garamond" w:cs="Calibri"/>
        </w:rPr>
        <w:t xml:space="preserve">erstanding payment differences. </w:t>
      </w:r>
      <w:r w:rsidRPr="00D24B70">
        <w:rPr>
          <w:rFonts w:ascii="Garamond" w:hAnsi="Garamond" w:cs="Calibri"/>
        </w:rPr>
        <w:t xml:space="preserve">Available: </w:t>
      </w:r>
      <w:hyperlink r:id="rId44" w:history="1">
        <w:r w:rsidRPr="00D24B70">
          <w:rPr>
            <w:rStyle w:val="Hyperlink"/>
            <w:rFonts w:ascii="Garamond" w:hAnsi="Garamond" w:cs="Calibri"/>
          </w:rPr>
          <w:t>https://www.pyapc.com/wp-content/uploads/2019/04/0419_HFM_McMillan.pdf</w:t>
        </w:r>
      </w:hyperlink>
      <w:r w:rsidRPr="00D24B70">
        <w:rPr>
          <w:rFonts w:ascii="Garamond" w:hAnsi="Garamond" w:cs="Calibri"/>
        </w:rPr>
        <w:t xml:space="preserve"> </w:t>
      </w:r>
    </w:p>
  </w:endnote>
  <w:endnote w:id="51">
    <w:p w14:paraId="082D2936"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217B91">
        <w:rPr>
          <w:rFonts w:ascii="Garamond" w:hAnsi="Garamond"/>
        </w:rPr>
        <w:t xml:space="preserve">Munnich EL, Parente ST. Returns to specialization: Evidence from the outpatient surgery market. </w:t>
      </w:r>
      <w:r w:rsidRPr="00217B91">
        <w:rPr>
          <w:rFonts w:ascii="Garamond" w:hAnsi="Garamond"/>
          <w:i/>
          <w:iCs/>
        </w:rPr>
        <w:t>J Health Econ</w:t>
      </w:r>
      <w:r w:rsidRPr="00217B91">
        <w:rPr>
          <w:rFonts w:ascii="Garamond" w:hAnsi="Garamond"/>
        </w:rPr>
        <w:t xml:space="preserve">. </w:t>
      </w:r>
      <w:r w:rsidRPr="00217B91">
        <w:rPr>
          <w:rFonts w:ascii="Garamond" w:hAnsi="Garamond"/>
        </w:rPr>
        <w:t>2018;57:147-167. doi:10.1016/j.jhealeco.2017.11.004</w:t>
      </w:r>
    </w:p>
  </w:endnote>
  <w:endnote w:id="52">
    <w:p w14:paraId="4792C0A7" w14:textId="77777777" w:rsidR="0043456B" w:rsidRPr="00D24B70" w:rsidRDefault="0043456B" w:rsidP="0043456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217B91">
        <w:rPr>
          <w:rFonts w:ascii="Garamond" w:hAnsi="Garamond"/>
        </w:rPr>
        <w:t xml:space="preserve">Hollenbeck BK, Dunn RL, Suskind AM, Strope SA, Zhang Y, Hollingsworth JM. Ambulatory surgery centers and their intended effects on outpatient surgery. </w:t>
      </w:r>
      <w:r w:rsidRPr="00217B91">
        <w:rPr>
          <w:rFonts w:ascii="Garamond" w:hAnsi="Garamond"/>
          <w:i/>
          <w:iCs/>
        </w:rPr>
        <w:t>Health Serv Res</w:t>
      </w:r>
      <w:r w:rsidRPr="00217B91">
        <w:rPr>
          <w:rFonts w:ascii="Garamond" w:hAnsi="Garamond"/>
        </w:rPr>
        <w:t>. 2015;50(5):1491-1507. doi:10.1111/1475-6773.12278</w:t>
      </w:r>
    </w:p>
  </w:endnote>
  <w:endnote w:id="53">
    <w:p w14:paraId="63F59DCF" w14:textId="6E45940D" w:rsidR="0043456B" w:rsidRDefault="0043456B" w:rsidP="0043456B">
      <w:pPr>
        <w:pStyle w:val="EndnoteText"/>
        <w:rPr>
          <w:rFonts w:ascii="Garamond" w:hAnsi="Garamond"/>
        </w:rPr>
      </w:pPr>
      <w:r w:rsidRPr="00217B91">
        <w:rPr>
          <w:rStyle w:val="EndnoteReference"/>
          <w:rFonts w:ascii="Garamond" w:hAnsi="Garamond"/>
        </w:rPr>
        <w:endnoteRef/>
      </w:r>
      <w:r w:rsidRPr="00217B91">
        <w:rPr>
          <w:rFonts w:ascii="Garamond" w:hAnsi="Garamond"/>
        </w:rPr>
        <w:t xml:space="preserve"> </w:t>
      </w:r>
      <w:r w:rsidRPr="00217B91">
        <w:rPr>
          <w:rFonts w:ascii="Garamond" w:hAnsi="Garamond"/>
        </w:rPr>
        <w:t xml:space="preserve">Muunich EL, Parente ST. Procedures take less time at ambulatory surgery centers, keeping costs down and ability to meet demand up. </w:t>
      </w:r>
      <w:r w:rsidRPr="00217B91">
        <w:rPr>
          <w:rFonts w:ascii="Garamond" w:hAnsi="Garamond"/>
          <w:i/>
          <w:iCs/>
        </w:rPr>
        <w:t>Health Aff</w:t>
      </w:r>
      <w:r w:rsidRPr="00217B91">
        <w:rPr>
          <w:rFonts w:ascii="Garamond" w:hAnsi="Garamond"/>
        </w:rPr>
        <w:t>. 2014;33(5):764-769.</w:t>
      </w:r>
    </w:p>
    <w:p w14:paraId="7E4D9A73" w14:textId="0161FD52" w:rsidR="00915CE3" w:rsidRDefault="00915CE3" w:rsidP="0043456B">
      <w:pPr>
        <w:pStyle w:val="EndnoteText"/>
        <w:rPr>
          <w:rFonts w:ascii="Garamond" w:hAnsi="Garamond"/>
        </w:rPr>
      </w:pPr>
    </w:p>
    <w:p w14:paraId="273FF09B" w14:textId="77777777" w:rsidR="00F83407" w:rsidRPr="00217B91" w:rsidRDefault="00F83407" w:rsidP="0043456B">
      <w:pPr>
        <w:pStyle w:val="EndnoteText"/>
        <w:rPr>
          <w:rFonts w:ascii="Garamond" w:hAnsi="Garamond"/>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78D7" w14:textId="77777777" w:rsidR="007B56EA" w:rsidRDefault="007B56E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27"/>
      <w:docPartObj>
        <w:docPartGallery w:val="Page Numbers (Bottom of Page)"/>
        <w:docPartUnique/>
      </w:docPartObj>
    </w:sdtPr>
    <w:sdtEndPr>
      <w:rPr>
        <w:noProof/>
      </w:rPr>
    </w:sdtEndPr>
    <w:sdtContent>
      <w:p w14:paraId="60B3F18D" w14:textId="77777777" w:rsidR="0043456B" w:rsidRDefault="0043456B">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6A8E1" w14:textId="77777777" w:rsidR="0043456B" w:rsidRDefault="0043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867123"/>
      <w:docPartObj>
        <w:docPartGallery w:val="Page Numbers (Bottom of Page)"/>
        <w:docPartUnique/>
      </w:docPartObj>
    </w:sdtPr>
    <w:sdtEndPr>
      <w:rPr>
        <w:noProof/>
      </w:rPr>
    </w:sdtEndPr>
    <w:sdtContent>
      <w:p w14:paraId="22125D8D" w14:textId="77777777" w:rsidR="0043456B" w:rsidRDefault="0043456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9B9CBA" w14:textId="77777777" w:rsidR="0043456B" w:rsidRDefault="0043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4EA75" w14:textId="77777777" w:rsidR="00BC5D13" w:rsidRDefault="00BC5D13" w:rsidP="001C406D">
      <w:pPr>
        <w:ind w:firstLine="720"/>
      </w:pPr>
      <w:r>
        <w:separator/>
      </w:r>
    </w:p>
  </w:footnote>
  <w:footnote w:type="continuationSeparator" w:id="0">
    <w:p w14:paraId="7492824C" w14:textId="77777777" w:rsidR="00BC5D13" w:rsidRDefault="00BC5D13">
      <w:r>
        <w:continuationSeparator/>
      </w:r>
    </w:p>
  </w:footnote>
  <w:footnote w:id="1">
    <w:p w14:paraId="21E6F748" w14:textId="01AB22C4" w:rsidR="00651783" w:rsidRDefault="00651783" w:rsidP="001C406D">
      <w:pPr>
        <w:pStyle w:val="FootnoteText"/>
        <w:ind w:left="720"/>
      </w:pPr>
      <w:r>
        <w:rPr>
          <w:rStyle w:val="FootnoteReference"/>
        </w:rPr>
        <w:footnoteRef/>
      </w:r>
      <w:r>
        <w:t xml:space="preserve"> </w:t>
      </w:r>
      <w:hyperlink r:id="rId1" w:history="1">
        <w:r w:rsidR="001C406D" w:rsidRPr="001C406D">
          <w:rPr>
            <w:rStyle w:val="Hyperlink"/>
            <w:rFonts w:ascii="Arial" w:hAnsi="Arial"/>
            <w:color w:val="000000" w:themeColor="text1"/>
            <w:spacing w:val="-2"/>
            <w:w w:val="110"/>
            <w:sz w:val="17"/>
            <w:u w:val="none"/>
          </w:rPr>
          <w:t>Building</w:t>
        </w:r>
        <w:r w:rsidR="001C406D" w:rsidRPr="001C406D">
          <w:rPr>
            <w:rStyle w:val="Hyperlink"/>
            <w:rFonts w:ascii="Arial" w:hAnsi="Arial"/>
            <w:color w:val="000000" w:themeColor="text1"/>
            <w:spacing w:val="-11"/>
            <w:w w:val="110"/>
            <w:sz w:val="17"/>
            <w:u w:val="none"/>
          </w:rPr>
          <w:t xml:space="preserve"> </w:t>
        </w:r>
        <w:r w:rsidR="001C406D" w:rsidRPr="001C406D">
          <w:rPr>
            <w:rStyle w:val="Hyperlink"/>
            <w:rFonts w:ascii="Arial" w:hAnsi="Arial"/>
            <w:color w:val="000000" w:themeColor="text1"/>
            <w:spacing w:val="-2"/>
            <w:w w:val="110"/>
            <w:sz w:val="17"/>
            <w:u w:val="none"/>
          </w:rPr>
          <w:t>Material</w:t>
        </w:r>
        <w:r w:rsidR="001C406D" w:rsidRPr="001C406D">
          <w:rPr>
            <w:rStyle w:val="Hyperlink"/>
            <w:rFonts w:ascii="Arial" w:hAnsi="Arial"/>
            <w:color w:val="000000" w:themeColor="text1"/>
            <w:spacing w:val="-8"/>
            <w:w w:val="110"/>
            <w:sz w:val="17"/>
            <w:u w:val="none"/>
          </w:rPr>
          <w:t xml:space="preserve"> </w:t>
        </w:r>
        <w:r w:rsidR="001C406D" w:rsidRPr="001C406D">
          <w:rPr>
            <w:rStyle w:val="Hyperlink"/>
            <w:rFonts w:ascii="Arial" w:hAnsi="Arial"/>
            <w:color w:val="000000" w:themeColor="text1"/>
            <w:spacing w:val="-2"/>
            <w:w w:val="110"/>
            <w:sz w:val="17"/>
            <w:u w:val="none"/>
          </w:rPr>
          <w:t>Prices</w:t>
        </w:r>
        <w:r w:rsidR="001C406D" w:rsidRPr="001C406D">
          <w:rPr>
            <w:rStyle w:val="Hyperlink"/>
            <w:rFonts w:ascii="Arial" w:hAnsi="Arial"/>
            <w:color w:val="000000" w:themeColor="text1"/>
            <w:spacing w:val="-11"/>
            <w:w w:val="110"/>
            <w:sz w:val="17"/>
            <w:u w:val="none"/>
          </w:rPr>
          <w:t xml:space="preserve"> </w:t>
        </w:r>
        <w:r w:rsidR="001C406D" w:rsidRPr="001C406D">
          <w:rPr>
            <w:rStyle w:val="Hyperlink"/>
            <w:rFonts w:ascii="Arial" w:hAnsi="Arial"/>
            <w:color w:val="000000" w:themeColor="text1"/>
            <w:spacing w:val="-2"/>
            <w:w w:val="110"/>
            <w:sz w:val="17"/>
            <w:u w:val="none"/>
          </w:rPr>
          <w:t>Climbing</w:t>
        </w:r>
        <w:r w:rsidR="001C406D" w:rsidRPr="001C406D">
          <w:rPr>
            <w:rStyle w:val="Hyperlink"/>
            <w:rFonts w:ascii="Arial" w:hAnsi="Arial"/>
            <w:color w:val="000000" w:themeColor="text1"/>
            <w:spacing w:val="-11"/>
            <w:w w:val="110"/>
            <w:sz w:val="17"/>
            <w:u w:val="none"/>
          </w:rPr>
          <w:t xml:space="preserve"> </w:t>
        </w:r>
        <w:r w:rsidR="001C406D" w:rsidRPr="001C406D">
          <w:rPr>
            <w:rStyle w:val="Hyperlink"/>
            <w:rFonts w:ascii="Arial" w:hAnsi="Arial"/>
            <w:color w:val="000000" w:themeColor="text1"/>
            <w:spacing w:val="-2"/>
            <w:w w:val="110"/>
            <w:sz w:val="17"/>
            <w:u w:val="none"/>
          </w:rPr>
          <w:t>at</w:t>
        </w:r>
        <w:r w:rsidR="001C406D" w:rsidRPr="001C406D">
          <w:rPr>
            <w:rStyle w:val="Hyperlink"/>
            <w:rFonts w:ascii="Arial" w:hAnsi="Arial"/>
            <w:color w:val="000000" w:themeColor="text1"/>
            <w:spacing w:val="-4"/>
            <w:w w:val="110"/>
            <w:sz w:val="17"/>
            <w:u w:val="none"/>
          </w:rPr>
          <w:t xml:space="preserve"> </w:t>
        </w:r>
        <w:r w:rsidR="001C406D" w:rsidRPr="001C406D">
          <w:rPr>
            <w:rStyle w:val="Hyperlink"/>
            <w:rFonts w:ascii="Arial" w:hAnsi="Arial"/>
            <w:color w:val="000000" w:themeColor="text1"/>
            <w:spacing w:val="-2"/>
            <w:w w:val="110"/>
            <w:sz w:val="17"/>
            <w:u w:val="none"/>
          </w:rPr>
          <w:t>Record</w:t>
        </w:r>
        <w:r w:rsidR="001C406D" w:rsidRPr="001C406D">
          <w:rPr>
            <w:rStyle w:val="Hyperlink"/>
            <w:rFonts w:ascii="Arial" w:hAnsi="Arial"/>
            <w:color w:val="000000" w:themeColor="text1"/>
            <w:spacing w:val="-3"/>
            <w:w w:val="110"/>
            <w:sz w:val="17"/>
            <w:u w:val="none"/>
          </w:rPr>
          <w:t xml:space="preserve"> </w:t>
        </w:r>
        <w:r w:rsidR="001C406D" w:rsidRPr="001C406D">
          <w:rPr>
            <w:rStyle w:val="Hyperlink"/>
            <w:rFonts w:ascii="Arial" w:hAnsi="Arial"/>
            <w:color w:val="000000" w:themeColor="text1"/>
            <w:spacing w:val="-2"/>
            <w:w w:val="110"/>
            <w:sz w:val="17"/>
            <w:u w:val="none"/>
          </w:rPr>
          <w:t>Year-to-Date Pace</w:t>
        </w:r>
      </w:hyperlink>
      <w:r w:rsidR="001C406D">
        <w:rPr>
          <w:rFonts w:ascii="Arial" w:hAnsi="Arial"/>
          <w:spacing w:val="-2"/>
          <w:w w:val="110"/>
          <w:sz w:val="17"/>
        </w:rPr>
        <w:t>/NAHB Now/The</w:t>
      </w:r>
      <w:r w:rsidR="001C406D">
        <w:rPr>
          <w:rFonts w:ascii="Arial" w:hAnsi="Arial"/>
          <w:spacing w:val="-6"/>
          <w:w w:val="110"/>
          <w:sz w:val="17"/>
        </w:rPr>
        <w:t xml:space="preserve"> </w:t>
      </w:r>
      <w:r w:rsidR="001C406D">
        <w:rPr>
          <w:rFonts w:ascii="Arial" w:hAnsi="Arial"/>
          <w:spacing w:val="-2"/>
          <w:w w:val="110"/>
          <w:sz w:val="17"/>
        </w:rPr>
        <w:t>News</w:t>
      </w:r>
      <w:r w:rsidR="001C406D">
        <w:rPr>
          <w:rFonts w:ascii="Arial" w:hAnsi="Arial"/>
          <w:spacing w:val="-4"/>
          <w:w w:val="110"/>
          <w:sz w:val="17"/>
        </w:rPr>
        <w:t xml:space="preserve"> </w:t>
      </w:r>
      <w:r w:rsidR="001C406D">
        <w:rPr>
          <w:rFonts w:ascii="Arial" w:hAnsi="Arial"/>
          <w:spacing w:val="-2"/>
          <w:w w:val="110"/>
          <w:sz w:val="17"/>
        </w:rPr>
        <w:t>Blog</w:t>
      </w:r>
      <w:r w:rsidR="001C406D">
        <w:rPr>
          <w:rFonts w:ascii="Arial" w:hAnsi="Arial"/>
          <w:spacing w:val="-11"/>
          <w:w w:val="110"/>
          <w:sz w:val="17"/>
        </w:rPr>
        <w:t xml:space="preserve"> </w:t>
      </w:r>
      <w:r w:rsidR="001C406D">
        <w:rPr>
          <w:rFonts w:ascii="Arial" w:hAnsi="Arial"/>
          <w:spacing w:val="-2"/>
          <w:w w:val="110"/>
          <w:sz w:val="17"/>
        </w:rPr>
        <w:t>of</w:t>
      </w:r>
      <w:r w:rsidR="001C406D">
        <w:rPr>
          <w:rFonts w:ascii="Arial" w:hAnsi="Arial"/>
          <w:spacing w:val="-5"/>
          <w:w w:val="110"/>
          <w:sz w:val="17"/>
        </w:rPr>
        <w:t xml:space="preserve"> </w:t>
      </w:r>
      <w:r w:rsidR="001C406D">
        <w:rPr>
          <w:rFonts w:ascii="Arial" w:hAnsi="Arial"/>
          <w:spacing w:val="-2"/>
          <w:w w:val="110"/>
          <w:sz w:val="17"/>
        </w:rPr>
        <w:t>the</w:t>
      </w:r>
      <w:r w:rsidR="001C406D">
        <w:rPr>
          <w:rFonts w:ascii="Arial" w:hAnsi="Arial"/>
          <w:spacing w:val="15"/>
          <w:w w:val="110"/>
          <w:sz w:val="17"/>
        </w:rPr>
        <w:t xml:space="preserve"> </w:t>
      </w:r>
      <w:r w:rsidR="001C406D">
        <w:rPr>
          <w:rFonts w:ascii="Arial" w:hAnsi="Arial"/>
          <w:spacing w:val="-2"/>
          <w:w w:val="110"/>
          <w:sz w:val="17"/>
        </w:rPr>
        <w:t xml:space="preserve">National </w:t>
      </w:r>
      <w:r w:rsidR="001C406D">
        <w:rPr>
          <w:rFonts w:ascii="Arial" w:hAnsi="Arial"/>
          <w:w w:val="110"/>
          <w:sz w:val="17"/>
        </w:rPr>
        <w:t>Association of Home Builders 10/14/21, 2:08</w:t>
      </w:r>
      <w:r w:rsidR="001C406D">
        <w:rPr>
          <w:rFonts w:ascii="Arial" w:hAnsi="Arial"/>
          <w:spacing w:val="-5"/>
          <w:w w:val="110"/>
          <w:sz w:val="17"/>
        </w:rPr>
        <w:t xml:space="preserve"> </w:t>
      </w:r>
      <w:r w:rsidR="001C406D">
        <w:rPr>
          <w:rFonts w:ascii="Arial" w:hAnsi="Arial"/>
          <w:w w:val="110"/>
          <w:sz w:val="17"/>
        </w:rPr>
        <w:t xml:space="preserve">PM. https//nahbnow.com/2021/08/building-material-prices­ </w:t>
      </w:r>
      <w:r w:rsidR="001C406D">
        <w:rPr>
          <w:rFonts w:ascii="Arial" w:hAnsi="Arial"/>
          <w:spacing w:val="-2"/>
          <w:w w:val="110"/>
          <w:sz w:val="17"/>
        </w:rPr>
        <w:t>climbing-at-record-year-to-date-pace/.</w:t>
      </w:r>
    </w:p>
  </w:footnote>
  <w:footnote w:id="2">
    <w:p w14:paraId="61AD5279" w14:textId="19162A62" w:rsidR="00CD41CB" w:rsidRDefault="00CD41CB" w:rsidP="00970631">
      <w:pPr>
        <w:pStyle w:val="FootnoteText"/>
        <w:ind w:left="630" w:right="790"/>
      </w:pPr>
      <w:r>
        <w:rPr>
          <w:rStyle w:val="FootnoteReference"/>
        </w:rPr>
        <w:footnoteRef/>
      </w:r>
      <w:r>
        <w:t xml:space="preserve"> </w:t>
      </w:r>
      <w:hyperlink r:id="rId2" w:history="1">
        <w:r w:rsidRPr="00AE323E">
          <w:rPr>
            <w:rStyle w:val="Hyperlink"/>
            <w:color w:val="000000" w:themeColor="text1"/>
            <w:w w:val="105"/>
            <w:sz w:val="19"/>
            <w:u w:val="none"/>
          </w:rPr>
          <w:t>Thinking</w:t>
        </w:r>
        <w:r w:rsidRPr="00AE323E">
          <w:rPr>
            <w:rStyle w:val="Hyperlink"/>
            <w:color w:val="000000" w:themeColor="text1"/>
            <w:spacing w:val="-5"/>
            <w:w w:val="105"/>
            <w:sz w:val="19"/>
            <w:u w:val="none"/>
          </w:rPr>
          <w:t xml:space="preserve"> </w:t>
        </w:r>
        <w:r w:rsidRPr="00AE323E">
          <w:rPr>
            <w:rStyle w:val="Hyperlink"/>
            <w:color w:val="000000" w:themeColor="text1"/>
            <w:w w:val="105"/>
            <w:sz w:val="19"/>
            <w:u w:val="none"/>
          </w:rPr>
          <w:t>of a new</w:t>
        </w:r>
        <w:r w:rsidRPr="00AE323E">
          <w:rPr>
            <w:rStyle w:val="Hyperlink"/>
            <w:color w:val="000000" w:themeColor="text1"/>
            <w:spacing w:val="-7"/>
            <w:w w:val="105"/>
            <w:sz w:val="19"/>
            <w:u w:val="none"/>
          </w:rPr>
          <w:t xml:space="preserve"> </w:t>
        </w:r>
        <w:r w:rsidRPr="00AE323E">
          <w:rPr>
            <w:rStyle w:val="Hyperlink"/>
            <w:color w:val="000000" w:themeColor="text1"/>
            <w:w w:val="105"/>
            <w:sz w:val="19"/>
            <w:u w:val="none"/>
          </w:rPr>
          <w:t>wooden deck</w:t>
        </w:r>
        <w:r w:rsidRPr="00AE323E">
          <w:rPr>
            <w:rStyle w:val="Hyperlink"/>
            <w:color w:val="000000" w:themeColor="text1"/>
            <w:spacing w:val="-9"/>
            <w:w w:val="105"/>
            <w:sz w:val="19"/>
            <w:u w:val="none"/>
          </w:rPr>
          <w:t xml:space="preserve"> </w:t>
        </w:r>
        <w:r w:rsidRPr="00AE323E">
          <w:rPr>
            <w:rStyle w:val="Hyperlink"/>
            <w:color w:val="000000" w:themeColor="text1"/>
            <w:w w:val="105"/>
            <w:sz w:val="19"/>
            <w:u w:val="none"/>
          </w:rPr>
          <w:t>for</w:t>
        </w:r>
        <w:r w:rsidRPr="00AE323E">
          <w:rPr>
            <w:rStyle w:val="Hyperlink"/>
            <w:color w:val="000000" w:themeColor="text1"/>
            <w:spacing w:val="-9"/>
            <w:w w:val="105"/>
            <w:sz w:val="19"/>
            <w:u w:val="none"/>
          </w:rPr>
          <w:t xml:space="preserve"> </w:t>
        </w:r>
        <w:r w:rsidRPr="00AE323E">
          <w:rPr>
            <w:rStyle w:val="Hyperlink"/>
            <w:color w:val="000000" w:themeColor="text1"/>
            <w:w w:val="105"/>
            <w:sz w:val="19"/>
            <w:u w:val="none"/>
          </w:rPr>
          <w:t>spring? It</w:t>
        </w:r>
        <w:r w:rsidRPr="00AE323E">
          <w:rPr>
            <w:rStyle w:val="Hyperlink"/>
            <w:color w:val="000000" w:themeColor="text1"/>
            <w:spacing w:val="-2"/>
            <w:w w:val="105"/>
            <w:sz w:val="19"/>
            <w:u w:val="none"/>
          </w:rPr>
          <w:t xml:space="preserve"> </w:t>
        </w:r>
        <w:r w:rsidRPr="00AE323E">
          <w:rPr>
            <w:rStyle w:val="Hyperlink"/>
            <w:color w:val="000000" w:themeColor="text1"/>
            <w:w w:val="105"/>
            <w:sz w:val="19"/>
            <w:u w:val="none"/>
          </w:rPr>
          <w:t>may bust</w:t>
        </w:r>
        <w:r w:rsidRPr="00AE323E">
          <w:rPr>
            <w:rStyle w:val="Hyperlink"/>
            <w:color w:val="000000" w:themeColor="text1"/>
            <w:spacing w:val="-4"/>
            <w:w w:val="105"/>
            <w:sz w:val="19"/>
            <w:u w:val="none"/>
          </w:rPr>
          <w:t xml:space="preserve"> </w:t>
        </w:r>
        <w:r w:rsidRPr="00AE323E">
          <w:rPr>
            <w:rStyle w:val="Hyperlink"/>
            <w:color w:val="000000" w:themeColor="text1"/>
            <w:w w:val="105"/>
            <w:sz w:val="19"/>
            <w:u w:val="none"/>
          </w:rPr>
          <w:t>your budget</w:t>
        </w:r>
      </w:hyperlink>
      <w:r>
        <w:rPr>
          <w:w w:val="105"/>
          <w:sz w:val="19"/>
        </w:rPr>
        <w:t>. Published</w:t>
      </w:r>
      <w:r>
        <w:rPr>
          <w:spacing w:val="17"/>
          <w:w w:val="105"/>
          <w:sz w:val="19"/>
        </w:rPr>
        <w:t xml:space="preserve"> </w:t>
      </w:r>
      <w:r>
        <w:rPr>
          <w:w w:val="105"/>
          <w:sz w:val="19"/>
        </w:rPr>
        <w:t>Wed.</w:t>
      </w:r>
      <w:r>
        <w:rPr>
          <w:spacing w:val="-6"/>
          <w:w w:val="105"/>
          <w:sz w:val="19"/>
        </w:rPr>
        <w:t xml:space="preserve"> </w:t>
      </w:r>
      <w:r>
        <w:rPr>
          <w:w w:val="105"/>
          <w:sz w:val="19"/>
        </w:rPr>
        <w:t>Feb.10, 2021</w:t>
      </w:r>
      <w:r>
        <w:rPr>
          <w:spacing w:val="-25"/>
          <w:w w:val="105"/>
          <w:sz w:val="19"/>
        </w:rPr>
        <w:t xml:space="preserve"> </w:t>
      </w:r>
      <w:r>
        <w:rPr>
          <w:w w:val="105"/>
          <w:sz w:val="19"/>
        </w:rPr>
        <w:t>at</w:t>
      </w:r>
      <w:r>
        <w:rPr>
          <w:spacing w:val="-9"/>
          <w:w w:val="105"/>
          <w:sz w:val="19"/>
        </w:rPr>
        <w:t xml:space="preserve"> </w:t>
      </w:r>
      <w:r>
        <w:rPr>
          <w:w w:val="105"/>
          <w:sz w:val="19"/>
        </w:rPr>
        <w:t>11:50</w:t>
      </w:r>
      <w:r>
        <w:rPr>
          <w:spacing w:val="-13"/>
          <w:w w:val="105"/>
          <w:sz w:val="19"/>
        </w:rPr>
        <w:t xml:space="preserve"> </w:t>
      </w:r>
      <w:r>
        <w:rPr>
          <w:w w:val="105"/>
          <w:sz w:val="19"/>
        </w:rPr>
        <w:t>AM, updated Wed. at 18:28 PM</w:t>
      </w:r>
      <w:r>
        <w:rPr>
          <w:spacing w:val="40"/>
          <w:w w:val="105"/>
          <w:sz w:val="19"/>
        </w:rPr>
        <w:t xml:space="preserve"> </w:t>
      </w:r>
      <w:r>
        <w:rPr>
          <w:w w:val="105"/>
          <w:sz w:val="19"/>
        </w:rPr>
        <w:t xml:space="preserve">EST by Diana Olick. </w:t>
      </w:r>
      <w:hyperlink r:id="rId3">
        <w:r>
          <w:rPr>
            <w:w w:val="105"/>
            <w:sz w:val="19"/>
          </w:rPr>
          <w:t>https://www.cnbc.com/202l/02/l0/lumber-prices-skyrocket­</w:t>
        </w:r>
      </w:hyperlink>
      <w:r>
        <w:rPr>
          <w:w w:val="105"/>
          <w:sz w:val="19"/>
        </w:rPr>
        <w:t xml:space="preserve"> </w:t>
      </w:r>
      <w:r>
        <w:rPr>
          <w:spacing w:val="-2"/>
          <w:w w:val="105"/>
          <w:sz w:val="19"/>
        </w:rPr>
        <w:t>pushing-up-housing-costs.html</w:t>
      </w:r>
    </w:p>
  </w:footnote>
  <w:footnote w:id="3">
    <w:p w14:paraId="639CE8DB" w14:textId="6E49CD25" w:rsidR="00CD41CB" w:rsidRDefault="00CD41CB" w:rsidP="00970631">
      <w:pPr>
        <w:pStyle w:val="FootnoteText"/>
        <w:ind w:left="630" w:right="790"/>
      </w:pPr>
      <w:r>
        <w:rPr>
          <w:rStyle w:val="FootnoteReference"/>
        </w:rPr>
        <w:footnoteRef/>
      </w:r>
      <w:r>
        <w:t xml:space="preserve"> </w:t>
      </w:r>
      <w:hyperlink r:id="rId4" w:history="1">
        <w:r w:rsidRPr="007869C6">
          <w:rPr>
            <w:rStyle w:val="Hyperlink"/>
            <w:color w:val="000000" w:themeColor="text1"/>
            <w:w w:val="105"/>
            <w:sz w:val="19"/>
            <w:u w:val="none"/>
          </w:rPr>
          <w:t>Why</w:t>
        </w:r>
        <w:r w:rsidRPr="007869C6">
          <w:rPr>
            <w:rStyle w:val="Hyperlink"/>
            <w:color w:val="000000" w:themeColor="text1"/>
            <w:spacing w:val="-5"/>
            <w:w w:val="105"/>
            <w:sz w:val="19"/>
            <w:u w:val="none"/>
          </w:rPr>
          <w:t xml:space="preserve"> </w:t>
        </w:r>
        <w:r w:rsidRPr="007869C6">
          <w:rPr>
            <w:rStyle w:val="Hyperlink"/>
            <w:color w:val="000000" w:themeColor="text1"/>
            <w:w w:val="105"/>
            <w:sz w:val="19"/>
            <w:u w:val="none"/>
          </w:rPr>
          <w:t>Are Prices</w:t>
        </w:r>
        <w:r w:rsidRPr="007869C6">
          <w:rPr>
            <w:rStyle w:val="Hyperlink"/>
            <w:color w:val="000000" w:themeColor="text1"/>
            <w:spacing w:val="-8"/>
            <w:w w:val="105"/>
            <w:sz w:val="19"/>
            <w:u w:val="none"/>
          </w:rPr>
          <w:t xml:space="preserve"> </w:t>
        </w:r>
        <w:r w:rsidRPr="007869C6">
          <w:rPr>
            <w:rStyle w:val="Hyperlink"/>
            <w:color w:val="000000" w:themeColor="text1"/>
            <w:w w:val="105"/>
            <w:sz w:val="19"/>
            <w:u w:val="none"/>
          </w:rPr>
          <w:t xml:space="preserve">Skyrocketing in Wire </w:t>
        </w:r>
        <w:r w:rsidRPr="007869C6">
          <w:rPr>
            <w:rStyle w:val="Hyperlink"/>
            <w:color w:val="000000" w:themeColor="text1"/>
            <w:w w:val="105"/>
            <w:sz w:val="18"/>
            <w:u w:val="none"/>
          </w:rPr>
          <w:t>&amp;</w:t>
        </w:r>
        <w:r w:rsidRPr="007869C6">
          <w:rPr>
            <w:rStyle w:val="Hyperlink"/>
            <w:color w:val="000000" w:themeColor="text1"/>
            <w:spacing w:val="-7"/>
            <w:w w:val="105"/>
            <w:sz w:val="18"/>
            <w:u w:val="none"/>
          </w:rPr>
          <w:t xml:space="preserve"> </w:t>
        </w:r>
        <w:r w:rsidRPr="007869C6">
          <w:rPr>
            <w:rStyle w:val="Hyperlink"/>
            <w:color w:val="000000" w:themeColor="text1"/>
            <w:w w:val="105"/>
            <w:sz w:val="19"/>
            <w:u w:val="none"/>
          </w:rPr>
          <w:t>Cable Products?</w:t>
        </w:r>
      </w:hyperlink>
      <w:r>
        <w:rPr>
          <w:w w:val="105"/>
          <w:sz w:val="19"/>
        </w:rPr>
        <w:t xml:space="preserve"> Posted</w:t>
      </w:r>
      <w:r>
        <w:rPr>
          <w:spacing w:val="22"/>
          <w:w w:val="105"/>
          <w:sz w:val="19"/>
        </w:rPr>
        <w:t xml:space="preserve"> </w:t>
      </w:r>
      <w:r>
        <w:rPr>
          <w:w w:val="105"/>
          <w:sz w:val="19"/>
        </w:rPr>
        <w:t>February</w:t>
      </w:r>
      <w:r>
        <w:rPr>
          <w:spacing w:val="-5"/>
          <w:w w:val="105"/>
          <w:sz w:val="19"/>
        </w:rPr>
        <w:t xml:space="preserve"> </w:t>
      </w:r>
      <w:r>
        <w:rPr>
          <w:w w:val="105"/>
          <w:sz w:val="19"/>
        </w:rPr>
        <w:t xml:space="preserve">17, 2021. </w:t>
      </w:r>
      <w:hyperlink r:id="rId5">
        <w:r>
          <w:rPr>
            <w:spacing w:val="-2"/>
            <w:w w:val="105"/>
            <w:sz w:val="19"/>
          </w:rPr>
          <w:t>https//www.lapptannehill.com/news/post/why-are-prices-skyrocketing-in-wire-and-cable-products</w:t>
        </w:r>
      </w:hyperlink>
    </w:p>
  </w:footnote>
  <w:footnote w:id="4">
    <w:p w14:paraId="6B282270" w14:textId="77777777" w:rsidR="0043456B" w:rsidRPr="00744093" w:rsidRDefault="0043456B" w:rsidP="0043456B">
      <w:pPr>
        <w:pStyle w:val="FootnoteText"/>
        <w:rPr>
          <w:rFonts w:ascii="Calibri" w:hAnsi="Calibri" w:cs="Calibri"/>
          <w:sz w:val="18"/>
          <w:szCs w:val="18"/>
        </w:rPr>
      </w:pPr>
      <w:r w:rsidRPr="00744093">
        <w:rPr>
          <w:rStyle w:val="FootnoteReference"/>
          <w:rFonts w:ascii="Calibri" w:hAnsi="Calibri" w:cs="Calibri"/>
          <w:sz w:val="18"/>
          <w:szCs w:val="18"/>
        </w:rPr>
        <w:footnoteRef/>
      </w:r>
      <w:r w:rsidRPr="00744093">
        <w:rPr>
          <w:rFonts w:ascii="Calibri" w:hAnsi="Calibri" w:cs="Calibri"/>
          <w:sz w:val="18"/>
          <w:szCs w:val="18"/>
        </w:rPr>
        <w:t xml:space="preserve"> 3: Sufficient evidence of compliance and good standing with federal, state, and local laws and regulations</w:t>
      </w:r>
    </w:p>
    <w:p w14:paraId="7DBE24AF" w14:textId="77777777" w:rsidR="0043456B" w:rsidRPr="0043456B" w:rsidRDefault="0043456B" w:rsidP="0043456B">
      <w:pPr>
        <w:pStyle w:val="FootnoteText"/>
        <w:rPr>
          <w:rFonts w:cs="Calibri"/>
          <w:sz w:val="16"/>
          <w:szCs w:val="16"/>
        </w:rPr>
      </w:pPr>
      <w:r w:rsidRPr="00744093">
        <w:rPr>
          <w:rFonts w:ascii="Calibri" w:hAnsi="Calibri" w:cs="Calibri"/>
          <w:sz w:val="18"/>
          <w:szCs w:val="18"/>
        </w:rPr>
        <w:t>4: Sufficient documentation of the availability of sufficient funds for capital and ongoing operating costs necessary to support the Project without negative impacts or consequences to the Applicant's existing Patient Panel 5: The … Project, on balance, is superior to alternative and substitute methods for meeting … Patient Panel needs.</w:t>
      </w:r>
    </w:p>
  </w:footnote>
  <w:footnote w:id="5">
    <w:p w14:paraId="0292537A" w14:textId="77777777" w:rsidR="0043456B" w:rsidRPr="00C30665" w:rsidRDefault="0043456B" w:rsidP="0043456B">
      <w:pPr>
        <w:pStyle w:val="FootnoteText"/>
        <w:rPr>
          <w:sz w:val="18"/>
          <w:szCs w:val="18"/>
        </w:rPr>
      </w:pPr>
      <w:r w:rsidRPr="00C30665">
        <w:rPr>
          <w:rStyle w:val="FootnoteReference"/>
          <w:sz w:val="18"/>
          <w:szCs w:val="18"/>
        </w:rPr>
        <w:footnoteRef/>
      </w:r>
      <w:r w:rsidRPr="00C30665">
        <w:rPr>
          <w:sz w:val="18"/>
          <w:szCs w:val="18"/>
        </w:rPr>
        <w:t xml:space="preserve"> An Expansion, Conversion, Transfer of Ownership, transfer of Site, or change of designated Location for a Freestanding Ambulatory Surgery Center that received an Original License as a Clinic on or before January 1, 2017.</w:t>
      </w:r>
    </w:p>
  </w:footnote>
  <w:footnote w:id="6">
    <w:p w14:paraId="42991336" w14:textId="77777777" w:rsidR="0043456B" w:rsidRPr="00264E5C" w:rsidRDefault="0043456B" w:rsidP="0043456B">
      <w:pPr>
        <w:pStyle w:val="FootnoteText"/>
        <w:contextualSpacing/>
        <w:rPr>
          <w:rFonts w:ascii="Calibri" w:hAnsi="Calibri" w:cs="Calibri"/>
          <w:sz w:val="18"/>
          <w:szCs w:val="18"/>
        </w:rPr>
      </w:pPr>
      <w:r w:rsidRPr="00C30665">
        <w:rPr>
          <w:rStyle w:val="FootnoteReference"/>
          <w:rFonts w:ascii="Calibri" w:hAnsi="Calibri" w:cs="Calibri"/>
          <w:sz w:val="18"/>
          <w:szCs w:val="18"/>
        </w:rPr>
        <w:footnoteRef/>
      </w:r>
      <w:r w:rsidRPr="00C30665">
        <w:rPr>
          <w:rFonts w:ascii="Calibri" w:hAnsi="Calibri" w:cs="Calibri"/>
          <w:sz w:val="18"/>
          <w:szCs w:val="18"/>
        </w:rPr>
        <w:t xml:space="preserve"> As defined in 105 CMR 100.100, Patient Panel is the total of the individual patients regardless of payer, including those</w:t>
      </w:r>
      <w:r w:rsidRPr="00264E5C">
        <w:rPr>
          <w:rFonts w:ascii="Calibri" w:hAnsi="Calibri" w:cs="Calibri"/>
          <w:sz w:val="18"/>
          <w:szCs w:val="18"/>
        </w:rPr>
        <w:t xml:space="preserve"> patients seen within an emergency department(s) if applicable, seen over the course of the most recent complete 36-month period by the Applicant or Holder.</w:t>
      </w:r>
    </w:p>
  </w:footnote>
  <w:footnote w:id="7">
    <w:p w14:paraId="0582D8B0" w14:textId="77777777" w:rsidR="0043456B" w:rsidRPr="00264E5C" w:rsidRDefault="0043456B" w:rsidP="0043456B">
      <w:pPr>
        <w:pStyle w:val="FootnoteText"/>
        <w:rPr>
          <w:sz w:val="18"/>
          <w:szCs w:val="18"/>
        </w:rPr>
      </w:pPr>
      <w:r w:rsidRPr="00264E5C">
        <w:rPr>
          <w:rStyle w:val="FootnoteReference"/>
          <w:sz w:val="18"/>
          <w:szCs w:val="18"/>
        </w:rPr>
        <w:footnoteRef/>
      </w:r>
      <w:r w:rsidRPr="00264E5C">
        <w:rPr>
          <w:sz w:val="18"/>
          <w:szCs w:val="18"/>
        </w:rPr>
        <w:t xml:space="preserve"> Patient Panel by Specialty</w:t>
      </w:r>
      <w:r>
        <w:rPr>
          <w:sz w:val="18"/>
          <w:szCs w:val="18"/>
        </w:rPr>
        <w:t xml:space="preserve"> (2019)</w:t>
      </w:r>
      <w:r w:rsidRPr="00264E5C">
        <w:rPr>
          <w:sz w:val="18"/>
          <w:szCs w:val="18"/>
        </w:rPr>
        <w:t>: Otolaryngology (29%), Urology (20%), Ophthalmology (20%), Pain Management (12%), Orthopedics (13%), Podiatry (3%), Plastics (2%), General (1%).</w:t>
      </w:r>
    </w:p>
  </w:footnote>
  <w:footnote w:id="8">
    <w:p w14:paraId="07BF88CB" w14:textId="77777777" w:rsidR="0043456B" w:rsidRPr="00AF69FB" w:rsidRDefault="0043456B" w:rsidP="0043456B">
      <w:pPr>
        <w:pStyle w:val="FootnoteText"/>
        <w:rPr>
          <w:sz w:val="18"/>
          <w:szCs w:val="18"/>
        </w:rPr>
      </w:pPr>
      <w:r w:rsidRPr="00AF69FB">
        <w:rPr>
          <w:rStyle w:val="FootnoteReference"/>
          <w:sz w:val="18"/>
          <w:szCs w:val="18"/>
        </w:rPr>
        <w:footnoteRef/>
      </w:r>
      <w:r w:rsidRPr="00AF69FB">
        <w:rPr>
          <w:sz w:val="18"/>
          <w:szCs w:val="18"/>
        </w:rPr>
        <w:t xml:space="preserve"> US Census Bureau QuickFacts Essex County, Massachusetts: White alone (85.1%), Black of African-American alone (7.1%), American Indian and Alaska Native alone (0.9%), Asian alone (3.9%), Native Hawaiian and Other Pacific Islander alone (0.2%</w:t>
      </w:r>
      <w:proofErr w:type="gramStart"/>
      <w:r w:rsidRPr="00AF69FB">
        <w:rPr>
          <w:sz w:val="18"/>
          <w:szCs w:val="18"/>
        </w:rPr>
        <w:t>),  Two</w:t>
      </w:r>
      <w:proofErr w:type="gramEnd"/>
      <w:r w:rsidRPr="00AF69FB">
        <w:rPr>
          <w:sz w:val="18"/>
          <w:szCs w:val="18"/>
        </w:rPr>
        <w:t xml:space="preserve"> or more races (2.8%), Hispanic or Latino (22.2%), White alone</w:t>
      </w:r>
      <w:r>
        <w:rPr>
          <w:sz w:val="18"/>
          <w:szCs w:val="18"/>
        </w:rPr>
        <w:t>,</w:t>
      </w:r>
      <w:r w:rsidRPr="00AF69FB">
        <w:rPr>
          <w:sz w:val="18"/>
          <w:szCs w:val="18"/>
        </w:rPr>
        <w:t xml:space="preserve"> not Hispanic or Latino (</w:t>
      </w:r>
      <w:r>
        <w:rPr>
          <w:sz w:val="18"/>
          <w:szCs w:val="18"/>
        </w:rPr>
        <w:t>6</w:t>
      </w:r>
      <w:r w:rsidRPr="00AF69FB">
        <w:rPr>
          <w:sz w:val="18"/>
          <w:szCs w:val="18"/>
        </w:rPr>
        <w:t xml:space="preserve">9.0%). </w:t>
      </w:r>
    </w:p>
  </w:footnote>
  <w:footnote w:id="9">
    <w:p w14:paraId="59EF97B4" w14:textId="77777777" w:rsidR="00CB096E" w:rsidRPr="00264E5C" w:rsidRDefault="00CB096E" w:rsidP="0043456B">
      <w:pPr>
        <w:pStyle w:val="FootnoteText"/>
        <w:contextualSpacing/>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Based on self-</w:t>
      </w:r>
      <w:proofErr w:type="gramStart"/>
      <w:r w:rsidRPr="00264E5C">
        <w:rPr>
          <w:rFonts w:ascii="Calibri" w:hAnsi="Calibri" w:cs="Calibri"/>
          <w:sz w:val="18"/>
          <w:szCs w:val="18"/>
        </w:rPr>
        <w:t>reporting, and</w:t>
      </w:r>
      <w:proofErr w:type="gramEnd"/>
      <w:r w:rsidRPr="00264E5C">
        <w:rPr>
          <w:rFonts w:ascii="Calibri" w:hAnsi="Calibri" w:cs="Calibri"/>
          <w:sz w:val="18"/>
          <w:szCs w:val="18"/>
        </w:rPr>
        <w:t xml:space="preserve"> reflects 75% of patients served in 2019. </w:t>
      </w:r>
    </w:p>
  </w:footnote>
  <w:footnote w:id="10">
    <w:p w14:paraId="579BCAED" w14:textId="77777777" w:rsidR="0043456B" w:rsidRPr="00264E5C" w:rsidRDefault="0043456B" w:rsidP="0043456B">
      <w:pPr>
        <w:pStyle w:val="FootnoteText"/>
        <w:rPr>
          <w:sz w:val="18"/>
          <w:szCs w:val="18"/>
        </w:rPr>
      </w:pPr>
      <w:r w:rsidRPr="00264E5C">
        <w:rPr>
          <w:rStyle w:val="FootnoteReference"/>
          <w:sz w:val="18"/>
          <w:szCs w:val="18"/>
        </w:rPr>
        <w:footnoteRef/>
      </w:r>
      <w:r w:rsidRPr="00264E5C">
        <w:rPr>
          <w:sz w:val="18"/>
          <w:szCs w:val="18"/>
        </w:rPr>
        <w:t xml:space="preserve"> </w:t>
      </w:r>
      <w:r>
        <w:rPr>
          <w:sz w:val="18"/>
          <w:szCs w:val="18"/>
        </w:rPr>
        <w:t xml:space="preserve">All cities/towns are in Essex County except Wilmington, MA which is in Middlesex County. </w:t>
      </w:r>
    </w:p>
  </w:footnote>
  <w:footnote w:id="11">
    <w:p w14:paraId="0EC4CD94"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w:t>
      </w:r>
      <w:r>
        <w:rPr>
          <w:rFonts w:ascii="Calibri" w:hAnsi="Calibri" w:cs="Calibri"/>
          <w:sz w:val="18"/>
          <w:szCs w:val="18"/>
        </w:rPr>
        <w:t>In general, many</w:t>
      </w:r>
      <w:r w:rsidRPr="00264E5C">
        <w:rPr>
          <w:rFonts w:ascii="Calibri" w:hAnsi="Calibri" w:cs="Calibri"/>
          <w:sz w:val="18"/>
          <w:szCs w:val="18"/>
        </w:rPr>
        <w:t xml:space="preserve"> patients require multiple visits.</w:t>
      </w:r>
    </w:p>
  </w:footnote>
  <w:footnote w:id="12">
    <w:p w14:paraId="2F0F5453" w14:textId="77777777" w:rsidR="0043456B" w:rsidRPr="00264E5C" w:rsidRDefault="0043456B" w:rsidP="0043456B">
      <w:pPr>
        <w:pStyle w:val="FootnoteText"/>
        <w:rPr>
          <w:sz w:val="18"/>
          <w:szCs w:val="18"/>
        </w:rPr>
      </w:pPr>
      <w:r w:rsidRPr="00264E5C">
        <w:rPr>
          <w:rStyle w:val="FootnoteReference"/>
          <w:sz w:val="18"/>
          <w:szCs w:val="18"/>
        </w:rPr>
        <w:footnoteRef/>
      </w:r>
      <w:r w:rsidRPr="00264E5C">
        <w:rPr>
          <w:sz w:val="18"/>
          <w:szCs w:val="18"/>
        </w:rPr>
        <w:t xml:space="preserve"> Collection of data for complex pain procedures began in </w:t>
      </w:r>
      <w:r>
        <w:rPr>
          <w:sz w:val="18"/>
          <w:szCs w:val="18"/>
        </w:rPr>
        <w:t xml:space="preserve">2016 </w:t>
      </w:r>
      <w:r w:rsidRPr="00264E5C">
        <w:rPr>
          <w:sz w:val="18"/>
          <w:szCs w:val="18"/>
        </w:rPr>
        <w:t xml:space="preserve">after CMS changed payment </w:t>
      </w:r>
      <w:r>
        <w:rPr>
          <w:sz w:val="18"/>
          <w:szCs w:val="18"/>
        </w:rPr>
        <w:t xml:space="preserve">rationale </w:t>
      </w:r>
      <w:r w:rsidRPr="00264E5C">
        <w:rPr>
          <w:sz w:val="18"/>
          <w:szCs w:val="18"/>
        </w:rPr>
        <w:t>for interventional pain management</w:t>
      </w:r>
      <w:r>
        <w:rPr>
          <w:sz w:val="18"/>
          <w:szCs w:val="18"/>
        </w:rPr>
        <w:t>.</w:t>
      </w:r>
    </w:p>
  </w:footnote>
  <w:footnote w:id="13">
    <w:p w14:paraId="7A22B869" w14:textId="77777777" w:rsidR="0043456B" w:rsidRPr="00744093" w:rsidRDefault="0043456B" w:rsidP="0043456B">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Minimally invasive procedure designed to relieve back pain associated with lumbar spinal stenosis (LSS) by restoring the normal space between the vertebrae.</w:t>
      </w:r>
    </w:p>
  </w:footnote>
  <w:footnote w:id="14">
    <w:p w14:paraId="21098031"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Outpatient procedure that helps patients diagnosed with lumbar spinal stenosis (LSS) stand longer and walk farther with less pain. The Applicant notes the MILD procedure is only performed on patients </w:t>
      </w:r>
      <w:proofErr w:type="gramStart"/>
      <w:r w:rsidRPr="00264E5C">
        <w:rPr>
          <w:rFonts w:ascii="Calibri" w:hAnsi="Calibri" w:cs="Calibri"/>
          <w:sz w:val="18"/>
          <w:szCs w:val="18"/>
        </w:rPr>
        <w:t>age</w:t>
      </w:r>
      <w:proofErr w:type="gramEnd"/>
      <w:r w:rsidRPr="00264E5C">
        <w:rPr>
          <w:rFonts w:ascii="Calibri" w:hAnsi="Calibri" w:cs="Calibri"/>
          <w:sz w:val="18"/>
          <w:szCs w:val="18"/>
        </w:rPr>
        <w:t xml:space="preserve"> 65 and older who have not had success with epidural steroid injections (ESI).</w:t>
      </w:r>
    </w:p>
  </w:footnote>
  <w:footnote w:id="15">
    <w:p w14:paraId="0487AEF2" w14:textId="77777777" w:rsidR="0043456B" w:rsidRPr="00264E5C" w:rsidRDefault="0043456B" w:rsidP="0043456B">
      <w:pPr>
        <w:pStyle w:val="FootnoteText"/>
        <w:rPr>
          <w:sz w:val="18"/>
          <w:szCs w:val="18"/>
        </w:rPr>
      </w:pPr>
      <w:r w:rsidRPr="00264E5C">
        <w:rPr>
          <w:rStyle w:val="FootnoteReference"/>
          <w:sz w:val="18"/>
          <w:szCs w:val="18"/>
        </w:rPr>
        <w:footnoteRef/>
      </w:r>
      <w:r w:rsidRPr="00264E5C">
        <w:rPr>
          <w:sz w:val="18"/>
          <w:szCs w:val="18"/>
        </w:rPr>
        <w:t xml:space="preserve"> Collection of data for otolaryngology cases began in </w:t>
      </w:r>
      <w:proofErr w:type="gramStart"/>
      <w:r w:rsidRPr="00264E5C">
        <w:rPr>
          <w:sz w:val="18"/>
          <w:szCs w:val="18"/>
        </w:rPr>
        <w:t>May,</w:t>
      </w:r>
      <w:proofErr w:type="gramEnd"/>
      <w:r w:rsidRPr="00264E5C">
        <w:rPr>
          <w:sz w:val="18"/>
          <w:szCs w:val="18"/>
        </w:rPr>
        <w:t xml:space="preserve"> 2018</w:t>
      </w:r>
      <w:r>
        <w:rPr>
          <w:sz w:val="18"/>
          <w:szCs w:val="18"/>
        </w:rPr>
        <w:t>.</w:t>
      </w:r>
    </w:p>
  </w:footnote>
  <w:footnote w:id="16">
    <w:p w14:paraId="644F36E7" w14:textId="77777777" w:rsidR="0043456B" w:rsidRPr="00264E5C" w:rsidRDefault="0043456B" w:rsidP="0043456B">
      <w:pPr>
        <w:pStyle w:val="FootnoteText"/>
        <w:rPr>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Both require general anesthesia.</w:t>
      </w:r>
    </w:p>
  </w:footnote>
  <w:footnote w:id="17">
    <w:p w14:paraId="4DFA3693"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The additional orthopedic surgeons increased the number of shoulder and knee arthroscopies; and added foot, ankle, and hand procedures, the majority requiring general anesthesia.</w:t>
      </w:r>
    </w:p>
  </w:footnote>
  <w:footnote w:id="18">
    <w:p w14:paraId="130C8C82"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Additional surgeries include large mass removal, open hernia repairs, breast biopsies, and hemorrhoid procedures.</w:t>
      </w:r>
    </w:p>
  </w:footnote>
  <w:footnote w:id="19">
    <w:p w14:paraId="6377084E"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Procedures </w:t>
      </w:r>
      <w:r>
        <w:rPr>
          <w:rFonts w:ascii="Calibri" w:hAnsi="Calibri" w:cs="Calibri"/>
          <w:sz w:val="18"/>
          <w:szCs w:val="18"/>
        </w:rPr>
        <w:t>brought in</w:t>
      </w:r>
      <w:r w:rsidRPr="00264E5C">
        <w:rPr>
          <w:rFonts w:ascii="Calibri" w:hAnsi="Calibri" w:cs="Calibri"/>
          <w:sz w:val="18"/>
          <w:szCs w:val="18"/>
        </w:rPr>
        <w:t xml:space="preserve"> by the general surgeons include excision of malignant lesions, umbilical hernia repair, removal of soft tissue tumors; </w:t>
      </w:r>
      <w:proofErr w:type="gramStart"/>
      <w:r w:rsidRPr="00264E5C">
        <w:rPr>
          <w:rFonts w:ascii="Calibri" w:hAnsi="Calibri" w:cs="Calibri"/>
          <w:sz w:val="18"/>
          <w:szCs w:val="18"/>
        </w:rPr>
        <w:t>all of</w:t>
      </w:r>
      <w:proofErr w:type="gramEnd"/>
      <w:r w:rsidRPr="00264E5C">
        <w:rPr>
          <w:rFonts w:ascii="Calibri" w:hAnsi="Calibri" w:cs="Calibri"/>
          <w:sz w:val="18"/>
          <w:szCs w:val="18"/>
        </w:rPr>
        <w:t xml:space="preserve"> the procedures are performed under general anesthesia.</w:t>
      </w:r>
    </w:p>
  </w:footnote>
  <w:footnote w:id="20">
    <w:p w14:paraId="68867133" w14:textId="77777777" w:rsidR="0043456B" w:rsidRPr="0043456B" w:rsidRDefault="0043456B" w:rsidP="0043456B">
      <w:pPr>
        <w:pStyle w:val="FootnoteText"/>
        <w:rPr>
          <w:rFonts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Cases include transurethral resection of the prostate (TURP), </w:t>
      </w:r>
      <w:proofErr w:type="spellStart"/>
      <w:r w:rsidRPr="00264E5C">
        <w:rPr>
          <w:rFonts w:ascii="Calibri" w:hAnsi="Calibri" w:cs="Calibri"/>
          <w:sz w:val="18"/>
          <w:szCs w:val="18"/>
        </w:rPr>
        <w:t>Pyronie</w:t>
      </w:r>
      <w:proofErr w:type="spellEnd"/>
      <w:r w:rsidRPr="00264E5C">
        <w:rPr>
          <w:rFonts w:ascii="Calibri" w:hAnsi="Calibri" w:cs="Calibri"/>
          <w:sz w:val="18"/>
          <w:szCs w:val="18"/>
        </w:rPr>
        <w:t xml:space="preserve"> disease repair, and kidney stone removal.</w:t>
      </w:r>
      <w:r w:rsidRPr="0043456B">
        <w:rPr>
          <w:rFonts w:cs="Calibri"/>
          <w:sz w:val="16"/>
          <w:szCs w:val="16"/>
        </w:rPr>
        <w:t xml:space="preserve"> </w:t>
      </w:r>
    </w:p>
  </w:footnote>
  <w:footnote w:id="21">
    <w:p w14:paraId="08B19BB4" w14:textId="77777777" w:rsidR="0043456B" w:rsidRPr="0043456B" w:rsidRDefault="0043456B" w:rsidP="0043456B">
      <w:pPr>
        <w:pStyle w:val="FootnoteText"/>
        <w:rPr>
          <w:rFonts w:cs="Calibri"/>
          <w:sz w:val="18"/>
          <w:szCs w:val="18"/>
        </w:rPr>
      </w:pPr>
      <w:r w:rsidRPr="0043456B">
        <w:rPr>
          <w:rStyle w:val="FootnoteReference"/>
          <w:rFonts w:cs="Calibri"/>
          <w:sz w:val="18"/>
          <w:szCs w:val="18"/>
        </w:rPr>
        <w:footnoteRef/>
      </w:r>
      <w:r w:rsidRPr="0043456B">
        <w:rPr>
          <w:rFonts w:cs="Calibri"/>
          <w:sz w:val="18"/>
          <w:szCs w:val="18"/>
        </w:rPr>
        <w:t xml:space="preserve"> Personal health care consists of all the medical goods and services used to treat or prevent a specific disease or condition in a specific person.</w:t>
      </w:r>
    </w:p>
  </w:footnote>
  <w:footnote w:id="22">
    <w:p w14:paraId="20AF0AA1" w14:textId="77777777" w:rsidR="0043456B" w:rsidRPr="0043456B" w:rsidRDefault="0043456B" w:rsidP="0043456B">
      <w:pPr>
        <w:pStyle w:val="FootnoteText"/>
        <w:rPr>
          <w:rFonts w:cs="Calibri"/>
          <w:sz w:val="18"/>
          <w:szCs w:val="18"/>
        </w:rPr>
      </w:pPr>
      <w:r w:rsidRPr="0043456B">
        <w:rPr>
          <w:rStyle w:val="FootnoteReference"/>
          <w:rFonts w:cs="Calibri"/>
          <w:sz w:val="18"/>
          <w:szCs w:val="18"/>
        </w:rPr>
        <w:footnoteRef/>
      </w:r>
      <w:r w:rsidRPr="0043456B">
        <w:rPr>
          <w:rFonts w:cs="Calibri"/>
          <w:sz w:val="18"/>
          <w:szCs w:val="18"/>
        </w:rPr>
        <w:t xml:space="preserve"> Introduced approximately 20 years ago, the List designates surgeries and procedures that require inpatient hospital care to be reimbursed under Medicare.</w:t>
      </w:r>
    </w:p>
  </w:footnote>
  <w:footnote w:id="23">
    <w:p w14:paraId="76378BD7" w14:textId="77777777" w:rsidR="0043456B" w:rsidRPr="00264E5C" w:rsidRDefault="0043456B" w:rsidP="0043456B">
      <w:pPr>
        <w:pStyle w:val="FootnoteText"/>
        <w:rPr>
          <w:rFonts w:ascii="Calibri" w:hAnsi="Calibri" w:cs="Calibri"/>
          <w:sz w:val="18"/>
          <w:szCs w:val="18"/>
        </w:rPr>
      </w:pPr>
      <w:r w:rsidRPr="0043456B">
        <w:rPr>
          <w:rStyle w:val="FootnoteReference"/>
          <w:rFonts w:cs="Calibri"/>
          <w:sz w:val="18"/>
          <w:szCs w:val="18"/>
        </w:rPr>
        <w:footnoteRef/>
      </w:r>
      <w:r w:rsidRPr="0043456B">
        <w:rPr>
          <w:rFonts w:cs="Calibri"/>
          <w:sz w:val="18"/>
          <w:szCs w:val="18"/>
        </w:rPr>
        <w:t xml:space="preserve"> Evidence of the benefits of MILD procedures, and </w:t>
      </w:r>
      <w:proofErr w:type="spellStart"/>
      <w:r w:rsidRPr="0043456B">
        <w:rPr>
          <w:rFonts w:cs="Calibri"/>
          <w:sz w:val="18"/>
          <w:szCs w:val="18"/>
        </w:rPr>
        <w:t>BurstDR</w:t>
      </w:r>
      <w:proofErr w:type="spellEnd"/>
      <w:r w:rsidRPr="0043456B">
        <w:rPr>
          <w:rFonts w:cs="Calibri"/>
          <w:sz w:val="18"/>
          <w:szCs w:val="18"/>
        </w:rPr>
        <w:t xml:space="preserve"> stimulation, a form of spinal cord stimulation.</w:t>
      </w:r>
    </w:p>
  </w:footnote>
  <w:footnote w:id="24">
    <w:p w14:paraId="4BFCB0A4" w14:textId="77777777" w:rsidR="0043456B" w:rsidRPr="00264E5C" w:rsidRDefault="0043456B" w:rsidP="0043456B">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The Applicant states the use of image-guided surgery (IGS) has played an important and expanding role in endoscopic sinus surgery (ESS) over the past two decades. Functional endoscopic sinus surgery is a minimally invasive outpatient procedure used in the treatment of sinusiti</w:t>
      </w:r>
      <w:r>
        <w:rPr>
          <w:rFonts w:ascii="Calibri" w:hAnsi="Calibri" w:cs="Calibri"/>
          <w:sz w:val="18"/>
          <w:szCs w:val="18"/>
        </w:rPr>
        <w:t>s, which</w:t>
      </w:r>
      <w:r w:rsidRPr="00264E5C">
        <w:rPr>
          <w:rFonts w:ascii="Calibri" w:hAnsi="Calibri" w:cs="Calibri"/>
          <w:sz w:val="18"/>
          <w:szCs w:val="18"/>
        </w:rPr>
        <w:t xml:space="preserve"> affects 37 million Americans annually. </w:t>
      </w:r>
    </w:p>
  </w:footnote>
  <w:footnote w:id="25">
    <w:p w14:paraId="38114F08" w14:textId="77777777" w:rsidR="0043456B" w:rsidRPr="00F44B23" w:rsidRDefault="0043456B" w:rsidP="0043456B">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Patient satisfaction survey is administered both online and by paper to each patient seen at the facility. Survey measures include quality indicators related to patient satisfaction and quality of care. Patient satisfaction ranged from 96 to 100% for Overall Quality and Willingness to Recommend. Percent participation ranged from 10-37%.</w:t>
      </w:r>
      <w:r w:rsidRPr="00F44B23">
        <w:rPr>
          <w:rFonts w:ascii="Calibri" w:hAnsi="Calibri" w:cs="Calibri"/>
          <w:sz w:val="16"/>
          <w:szCs w:val="16"/>
        </w:rPr>
        <w:t xml:space="preserve"> </w:t>
      </w:r>
    </w:p>
  </w:footnote>
  <w:footnote w:id="26">
    <w:p w14:paraId="0B11BC61" w14:textId="77777777" w:rsidR="0043456B" w:rsidRPr="00C21423" w:rsidRDefault="0043456B" w:rsidP="0043456B">
      <w:pPr>
        <w:pStyle w:val="FootnoteText"/>
        <w:rPr>
          <w:sz w:val="18"/>
          <w:szCs w:val="18"/>
        </w:rPr>
      </w:pPr>
      <w:r w:rsidRPr="00C21423">
        <w:rPr>
          <w:rStyle w:val="FootnoteReference"/>
          <w:sz w:val="18"/>
          <w:szCs w:val="18"/>
        </w:rPr>
        <w:footnoteRef/>
      </w:r>
      <w:r w:rsidRPr="00C21423">
        <w:rPr>
          <w:sz w:val="18"/>
          <w:szCs w:val="18"/>
        </w:rPr>
        <w:t xml:space="preserve"> Primary Language (2019): English (1,004), Spanish (14), Portuguese (6), Russian (3), Arabic (1), and Other (3). Not all participants responded. </w:t>
      </w:r>
    </w:p>
  </w:footnote>
  <w:footnote w:id="27">
    <w:p w14:paraId="427479E1" w14:textId="4FECF887" w:rsidR="0043456B" w:rsidRPr="00B84387" w:rsidRDefault="0043456B" w:rsidP="0043456B">
      <w:pPr>
        <w:pStyle w:val="FootnoteText"/>
        <w:rPr>
          <w:sz w:val="18"/>
          <w:szCs w:val="18"/>
        </w:rPr>
      </w:pPr>
      <w:r w:rsidRPr="00C21423">
        <w:rPr>
          <w:rStyle w:val="FootnoteReference"/>
          <w:rFonts w:ascii="Calibri" w:hAnsi="Calibri" w:cs="Calibri"/>
          <w:sz w:val="18"/>
          <w:szCs w:val="18"/>
        </w:rPr>
        <w:footnoteRef/>
      </w:r>
      <w:r w:rsidRPr="00C21423">
        <w:rPr>
          <w:rFonts w:ascii="Calibri" w:hAnsi="Calibri" w:cs="Calibri"/>
          <w:sz w:val="18"/>
          <w:szCs w:val="18"/>
        </w:rPr>
        <w:t xml:space="preserve"> The Applicant included a reference to the </w:t>
      </w:r>
      <w:hyperlink r:id="rId6" w:history="1">
        <w:r w:rsidRPr="00F71B65">
          <w:rPr>
            <w:rStyle w:val="Hyperlink"/>
            <w:rFonts w:ascii="Calibri" w:hAnsi="Calibri" w:cs="Calibri"/>
            <w:sz w:val="18"/>
            <w:szCs w:val="18"/>
          </w:rPr>
          <w:t>National Partnership for Action to End Health Disparities</w:t>
        </w:r>
      </w:hyperlink>
      <w:r w:rsidRPr="00C21423">
        <w:rPr>
          <w:rFonts w:ascii="Calibri" w:hAnsi="Calibri" w:cs="Calibri"/>
          <w:sz w:val="18"/>
          <w:szCs w:val="18"/>
        </w:rPr>
        <w:t xml:space="preserve"> (2011) report with this statement. The document includes a definition of health disparities: Health disparities adversely affect groups of people who have systematically experienced greater social and/or economic obstacles to health and/or a clean environment based on their racial or ethnic group; religion; socioeconomic status; gender; age; mental health; cognitive, sensory, or physical disability; sexual orientation or gender identity; geographic location; or other characteristics historically linked to discrimination or exclusion. </w:t>
      </w:r>
      <w:hyperlink r:id="rId7" w:history="1">
        <w:r w:rsidRPr="00C21423">
          <w:rPr>
            <w:rStyle w:val="Hyperlink"/>
            <w:rFonts w:ascii="Calibri" w:hAnsi="Calibri" w:cs="Calibri"/>
            <w:sz w:val="18"/>
            <w:szCs w:val="18"/>
          </w:rPr>
          <w:t>https://www.minorityhealth.hhs.gov/npa/files/Plans/Toolkit/NPA_Toolkit.pdf</w:t>
        </w:r>
      </w:hyperlink>
      <w:r w:rsidRPr="00B84387">
        <w:rPr>
          <w:sz w:val="18"/>
          <w:szCs w:val="18"/>
        </w:rPr>
        <w:t xml:space="preserve"> </w:t>
      </w:r>
    </w:p>
  </w:footnote>
  <w:footnote w:id="28">
    <w:p w14:paraId="09747FC3" w14:textId="77777777" w:rsidR="0043456B" w:rsidRPr="00264E5C" w:rsidRDefault="0043456B" w:rsidP="0043456B">
      <w:pPr>
        <w:pStyle w:val="FootnoteText"/>
        <w:rPr>
          <w:sz w:val="18"/>
          <w:szCs w:val="18"/>
        </w:rPr>
      </w:pPr>
      <w:r w:rsidRPr="00B84387">
        <w:rPr>
          <w:rStyle w:val="FootnoteReference"/>
          <w:sz w:val="18"/>
          <w:szCs w:val="18"/>
        </w:rPr>
        <w:footnoteRef/>
      </w:r>
      <w:r w:rsidRPr="00B84387">
        <w:rPr>
          <w:sz w:val="18"/>
          <w:szCs w:val="18"/>
        </w:rPr>
        <w:t xml:space="preserve"> The Applicant mentioned that COVID protocols do not allow family or caregivers to wait in the facility, so upon discharge patients are provided post-surgery information and escorted to their transportation.</w:t>
      </w:r>
      <w:r w:rsidRPr="00264E5C">
        <w:rPr>
          <w:sz w:val="18"/>
          <w:szCs w:val="18"/>
        </w:rPr>
        <w:t xml:space="preserve"> </w:t>
      </w:r>
    </w:p>
  </w:footnote>
  <w:footnote w:id="29">
    <w:p w14:paraId="55561935" w14:textId="77777777" w:rsidR="0043456B" w:rsidRDefault="0043456B" w:rsidP="0043456B">
      <w:pPr>
        <w:pStyle w:val="FootnoteText"/>
      </w:pPr>
      <w:r w:rsidRPr="00B2329C">
        <w:rPr>
          <w:rStyle w:val="FootnoteReference"/>
          <w:sz w:val="18"/>
          <w:szCs w:val="18"/>
        </w:rPr>
        <w:footnoteRef/>
      </w:r>
      <w:r w:rsidRPr="00B2329C">
        <w:rPr>
          <w:sz w:val="18"/>
          <w:szCs w:val="18"/>
        </w:rPr>
        <w:t xml:space="preserve"> Lahey Epic Link is a secure, web-based portal that allows providers to view detailed clinical information for patients at Lahey Hospital &amp; Medical Center.</w:t>
      </w:r>
    </w:p>
  </w:footnote>
  <w:footnote w:id="30">
    <w:p w14:paraId="6311D706" w14:textId="77777777" w:rsidR="0043456B" w:rsidRPr="00FE7B07" w:rsidRDefault="0043456B" w:rsidP="0043456B">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Health Information Technology for Economic and Clinical Health (HITECH) Act was signed into law in February 2009 as part of the American Recovery and Reinvestment Act by with the primary purpose of encouraging healthcare providers to adopt Electronic Healthcare Records and supporting technology.</w:t>
      </w:r>
    </w:p>
  </w:footnote>
  <w:footnote w:id="31">
    <w:p w14:paraId="3E72FA0A" w14:textId="74886D63" w:rsidR="0043456B" w:rsidRPr="0043456B" w:rsidRDefault="0043456B" w:rsidP="0043456B">
      <w:pPr>
        <w:pStyle w:val="FootnoteText"/>
        <w:rPr>
          <w:rFonts w:cs="Calibri"/>
          <w:sz w:val="18"/>
          <w:szCs w:val="18"/>
        </w:rPr>
      </w:pPr>
      <w:r w:rsidRPr="0043456B">
        <w:rPr>
          <w:rStyle w:val="FootnoteReference"/>
          <w:rFonts w:cs="Calibri"/>
          <w:sz w:val="18"/>
          <w:szCs w:val="18"/>
        </w:rPr>
        <w:footnoteRef/>
      </w:r>
      <w:r w:rsidRPr="0043456B">
        <w:rPr>
          <w:rFonts w:cs="Calibri"/>
          <w:sz w:val="18"/>
          <w:szCs w:val="18"/>
        </w:rPr>
        <w:t xml:space="preserve"> Displays national averages for the amount Medicare pays the hospital or ambulatory surgical center and the national average copayment amount a beneficiary with no Medicare supplemental insurance would pay the provider. Site includes physician fees and facility fees. </w:t>
      </w:r>
      <w:hyperlink r:id="rId8" w:history="1">
        <w:r w:rsidRPr="00507E4C">
          <w:rPr>
            <w:rStyle w:val="Hyperlink"/>
            <w:rFonts w:cs="Calibri"/>
            <w:sz w:val="18"/>
            <w:szCs w:val="18"/>
          </w:rPr>
          <w:t>Medicare.gov Procedure Price Lookup</w:t>
        </w:r>
      </w:hyperlink>
      <w:r w:rsidRPr="0043456B">
        <w:rPr>
          <w:rFonts w:cs="Calibri"/>
          <w:sz w:val="18"/>
          <w:szCs w:val="18"/>
        </w:rPr>
        <w:t xml:space="preserve">: </w:t>
      </w:r>
      <w:hyperlink r:id="rId9" w:history="1">
        <w:r w:rsidRPr="0043456B">
          <w:rPr>
            <w:rStyle w:val="Hyperlink"/>
            <w:rFonts w:cs="Calibri"/>
            <w:sz w:val="18"/>
            <w:szCs w:val="18"/>
          </w:rPr>
          <w:t>https://www.medicare.gov/procedure-price-lookup/</w:t>
        </w:r>
      </w:hyperlink>
    </w:p>
  </w:footnote>
  <w:footnote w:id="32">
    <w:p w14:paraId="5BEF2AF2" w14:textId="77777777" w:rsidR="0043456B" w:rsidRPr="00823F6C" w:rsidRDefault="0043456B" w:rsidP="0043456B">
      <w:pPr>
        <w:pStyle w:val="FootnoteText"/>
        <w:rPr>
          <w:sz w:val="18"/>
          <w:szCs w:val="18"/>
        </w:rPr>
      </w:pPr>
      <w:r w:rsidRPr="0043456B">
        <w:rPr>
          <w:rStyle w:val="FootnoteReference"/>
          <w:rFonts w:cs="Calibri"/>
          <w:sz w:val="18"/>
          <w:szCs w:val="18"/>
        </w:rPr>
        <w:footnoteRef/>
      </w:r>
      <w:r w:rsidRPr="0043456B">
        <w:rPr>
          <w:rFonts w:cs="Calibri"/>
          <w:sz w:val="18"/>
          <w:szCs w:val="18"/>
        </w:rPr>
        <w:t xml:space="preserve"> Medicare.gov website. Local average prices are based on 2020 Medicare payments and copayments, and do not include physician fees. Payment rates for each covered surgical procedure after adjustments for regional wage variations, and wage indices, without 2% sequester.  </w:t>
      </w:r>
    </w:p>
  </w:footnote>
  <w:footnote w:id="33">
    <w:p w14:paraId="014F738A" w14:textId="77777777" w:rsidR="0043456B" w:rsidRPr="0043456B" w:rsidRDefault="0043456B" w:rsidP="0043456B">
      <w:pPr>
        <w:pStyle w:val="FootnoteText"/>
        <w:rPr>
          <w:rFonts w:cs="Calibri"/>
          <w:sz w:val="18"/>
          <w:szCs w:val="18"/>
        </w:rPr>
      </w:pPr>
      <w:r w:rsidRPr="0043456B">
        <w:rPr>
          <w:rStyle w:val="FootnoteReference"/>
          <w:rFonts w:cs="Calibri"/>
          <w:sz w:val="18"/>
          <w:szCs w:val="18"/>
        </w:rPr>
        <w:footnoteRef/>
      </w:r>
      <w:r w:rsidRPr="0043456B">
        <w:rPr>
          <w:rFonts w:cs="Calibri"/>
          <w:sz w:val="18"/>
          <w:szCs w:val="18"/>
        </w:rPr>
        <w:t xml:space="preserve"> Six potential competitors include: North Shore Plastic Surgery and Med Spa, Mass General/North Shore Center for Outpatient Care; Lahey Outpatient Center, Danvers; Lahey Medical Center, Peabody; New England Pain </w:t>
      </w:r>
      <w:proofErr w:type="gramStart"/>
      <w:r w:rsidRPr="0043456B">
        <w:rPr>
          <w:rFonts w:cs="Calibri"/>
          <w:sz w:val="18"/>
          <w:szCs w:val="18"/>
        </w:rPr>
        <w:t>Care ,Inc</w:t>
      </w:r>
      <w:proofErr w:type="gramEnd"/>
      <w:r w:rsidRPr="0043456B">
        <w:rPr>
          <w:rFonts w:cs="Calibri"/>
          <w:sz w:val="18"/>
          <w:szCs w:val="18"/>
        </w:rPr>
        <w:t xml:space="preserve">; and Orthopedic Surgical Center of the North Shore. </w:t>
      </w:r>
    </w:p>
  </w:footnote>
  <w:footnote w:id="34">
    <w:p w14:paraId="60101EA4" w14:textId="77777777" w:rsidR="0043456B" w:rsidRPr="0043456B" w:rsidRDefault="0043456B" w:rsidP="0043456B">
      <w:pPr>
        <w:pStyle w:val="FootnoteText"/>
        <w:rPr>
          <w:rFonts w:cs="Calibri"/>
        </w:rPr>
      </w:pPr>
      <w:r w:rsidRPr="0043456B">
        <w:rPr>
          <w:rStyle w:val="FootnoteReference"/>
          <w:rFonts w:cs="Calibri"/>
          <w:sz w:val="18"/>
          <w:szCs w:val="18"/>
        </w:rPr>
        <w:footnoteRef/>
      </w:r>
      <w:r w:rsidRPr="0043456B">
        <w:rPr>
          <w:rFonts w:cs="Calibri"/>
          <w:sz w:val="18"/>
          <w:szCs w:val="18"/>
        </w:rPr>
        <w:t xml:space="preserve"> HealthTrust Purchasing Group.</w:t>
      </w:r>
      <w:r w:rsidRPr="0043456B">
        <w:rPr>
          <w:rFonts w:cs="Calibri"/>
        </w:rPr>
        <w:t xml:space="preserve"> </w:t>
      </w:r>
    </w:p>
  </w:footnote>
  <w:footnote w:id="35">
    <w:p w14:paraId="65746B8B" w14:textId="77777777" w:rsidR="0043456B" w:rsidRPr="00A82427" w:rsidRDefault="0043456B" w:rsidP="0043456B">
      <w:pPr>
        <w:pStyle w:val="FootnoteText"/>
        <w:rPr>
          <w:sz w:val="18"/>
          <w:szCs w:val="18"/>
        </w:rPr>
      </w:pPr>
      <w:r w:rsidRPr="00A82427">
        <w:rPr>
          <w:rStyle w:val="FootnoteReference"/>
          <w:sz w:val="18"/>
          <w:szCs w:val="18"/>
        </w:rPr>
        <w:footnoteRef/>
      </w:r>
      <w:r w:rsidRPr="00A82427">
        <w:rPr>
          <w:sz w:val="18"/>
          <w:szCs w:val="18"/>
        </w:rPr>
        <w:t xml:space="preserve"> Medicare, Blue Cross, and Tufts Medicare Preferred. </w:t>
      </w:r>
    </w:p>
  </w:footnote>
  <w:footnote w:id="36">
    <w:p w14:paraId="3E4EA35D" w14:textId="77777777" w:rsidR="0043456B" w:rsidRPr="00A82427" w:rsidRDefault="0043456B" w:rsidP="0043456B">
      <w:pPr>
        <w:pStyle w:val="FootnoteText"/>
        <w:rPr>
          <w:sz w:val="18"/>
          <w:szCs w:val="18"/>
        </w:rPr>
      </w:pPr>
      <w:r w:rsidRPr="00A82427">
        <w:rPr>
          <w:rStyle w:val="FootnoteReference"/>
          <w:sz w:val="18"/>
          <w:szCs w:val="18"/>
        </w:rPr>
        <w:footnoteRef/>
      </w:r>
      <w:r w:rsidRPr="00A82427">
        <w:rPr>
          <w:sz w:val="18"/>
          <w:szCs w:val="18"/>
        </w:rPr>
        <w:t xml:space="preserve"> MassHealth Buy </w:t>
      </w:r>
      <w:proofErr w:type="gramStart"/>
      <w:r w:rsidRPr="00A82427">
        <w:rPr>
          <w:sz w:val="18"/>
          <w:szCs w:val="18"/>
        </w:rPr>
        <w:t>In</w:t>
      </w:r>
      <w:proofErr w:type="gramEnd"/>
      <w:r w:rsidRPr="00A82427">
        <w:rPr>
          <w:sz w:val="18"/>
          <w:szCs w:val="18"/>
        </w:rPr>
        <w:t xml:space="preserve"> and Family Assistance</w:t>
      </w:r>
      <w:r>
        <w:rPr>
          <w:sz w:val="18"/>
          <w:szCs w:val="18"/>
        </w:rPr>
        <w:t xml:space="preserve">: </w:t>
      </w:r>
      <w:r w:rsidRPr="00A82427">
        <w:rPr>
          <w:sz w:val="18"/>
          <w:szCs w:val="18"/>
        </w:rPr>
        <w:t>listed as not covered in an ASC</w:t>
      </w:r>
      <w:r>
        <w:rPr>
          <w:sz w:val="18"/>
          <w:szCs w:val="18"/>
        </w:rPr>
        <w:t xml:space="preserve">.  </w:t>
      </w:r>
      <w:r w:rsidRPr="00A82427">
        <w:rPr>
          <w:sz w:val="18"/>
          <w:szCs w:val="18"/>
        </w:rPr>
        <w:t>MassHealth Limited</w:t>
      </w:r>
      <w:r>
        <w:rPr>
          <w:sz w:val="18"/>
          <w:szCs w:val="18"/>
        </w:rPr>
        <w:t>: listed as only for</w:t>
      </w:r>
      <w:r w:rsidRPr="00A82427">
        <w:rPr>
          <w:sz w:val="18"/>
          <w:szCs w:val="18"/>
        </w:rPr>
        <w:t xml:space="preserve"> emergency services</w:t>
      </w:r>
      <w:r>
        <w:rPr>
          <w:sz w:val="18"/>
          <w:szCs w:val="18"/>
        </w:rPr>
        <w:t>.</w:t>
      </w:r>
    </w:p>
  </w:footnote>
  <w:footnote w:id="37">
    <w:p w14:paraId="69DE07E4" w14:textId="77777777" w:rsidR="0043456B" w:rsidRPr="002821E5" w:rsidRDefault="0043456B" w:rsidP="0043456B">
      <w:pPr>
        <w:pStyle w:val="FootnoteText"/>
        <w:rPr>
          <w:sz w:val="18"/>
          <w:szCs w:val="18"/>
        </w:rPr>
      </w:pPr>
      <w:r w:rsidRPr="00A82427">
        <w:rPr>
          <w:rStyle w:val="FootnoteReference"/>
          <w:sz w:val="18"/>
          <w:szCs w:val="18"/>
        </w:rPr>
        <w:footnoteRef/>
      </w:r>
      <w:r w:rsidRPr="00A82427">
        <w:rPr>
          <w:sz w:val="18"/>
          <w:szCs w:val="18"/>
        </w:rPr>
        <w:t xml:space="preserve"> The Applicant states that complex cases are more costly due to the length of time they take and/or implants used. For example, an invoice for a spinal cord stimulator is $15,500 and facility reimbursement </w:t>
      </w:r>
      <w:proofErr w:type="gramStart"/>
      <w:r w:rsidRPr="00A82427">
        <w:rPr>
          <w:sz w:val="18"/>
          <w:szCs w:val="18"/>
        </w:rPr>
        <w:t>was</w:t>
      </w:r>
      <w:proofErr w:type="gramEnd"/>
      <w:r w:rsidRPr="00A82427">
        <w:rPr>
          <w:sz w:val="18"/>
          <w:szCs w:val="18"/>
        </w:rPr>
        <w:t xml:space="preserve"> $12,728.</w:t>
      </w:r>
    </w:p>
  </w:footnote>
  <w:footnote w:id="38">
    <w:p w14:paraId="05E19F42" w14:textId="77777777" w:rsidR="0043456B" w:rsidRPr="00AB7AC7" w:rsidRDefault="0043456B" w:rsidP="0043456B">
      <w:pPr>
        <w:pStyle w:val="FootnoteText"/>
        <w:rPr>
          <w:rFonts w:ascii="Calibri" w:hAnsi="Calibri" w:cs="Calibri"/>
          <w:sz w:val="16"/>
          <w:szCs w:val="16"/>
        </w:rPr>
      </w:pPr>
      <w:r w:rsidRPr="00463474">
        <w:rPr>
          <w:rStyle w:val="FootnoteReference"/>
          <w:rFonts w:ascii="Calibri" w:hAnsi="Calibri" w:cs="Calibri"/>
          <w:sz w:val="18"/>
          <w:szCs w:val="18"/>
        </w:rPr>
        <w:footnoteRef/>
      </w:r>
      <w:r w:rsidRPr="00463474">
        <w:rPr>
          <w:rFonts w:ascii="Calibri" w:hAnsi="Calibri" w:cs="Calibri"/>
          <w:sz w:val="18"/>
          <w:szCs w:val="18"/>
        </w:rPr>
        <w:t xml:space="preserve"> CPA report notes the following expenses were justifiably excluded: Amortization expense, Office Supply Expense, Interest Expense, Real Estate Taxes, and Rent Expense.</w:t>
      </w:r>
      <w:r w:rsidRPr="00AB7AC7">
        <w:rPr>
          <w:rFonts w:ascii="Calibri" w:hAnsi="Calibri" w:cs="Calibr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C0"/>
    <w:multiLevelType w:val="hybridMultilevel"/>
    <w:tmpl w:val="D26ACF4E"/>
    <w:lvl w:ilvl="0" w:tplc="0409000F">
      <w:start w:val="1"/>
      <w:numFmt w:val="decimal"/>
      <w:lvlText w:val="%1."/>
      <w:lvlJc w:val="left"/>
      <w:pPr>
        <w:ind w:left="540" w:hanging="360"/>
      </w:pPr>
    </w:lvl>
    <w:lvl w:ilvl="1" w:tplc="834A53E4">
      <w:start w:val="1"/>
      <w:numFmt w:val="lowerLetter"/>
      <w:lvlText w:val="%2."/>
      <w:lvlJc w:val="left"/>
      <w:pPr>
        <w:ind w:left="1260" w:hanging="360"/>
      </w:pPr>
      <w:rPr>
        <w:b w:val="0"/>
        <w:bCs w:val="0"/>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2924D7C"/>
    <w:multiLevelType w:val="hybridMultilevel"/>
    <w:tmpl w:val="0EB20904"/>
    <w:lvl w:ilvl="0" w:tplc="0672A684">
      <w:start w:val="1"/>
      <w:numFmt w:val="lowerLetter"/>
      <w:lvlText w:val="%1."/>
      <w:lvlJc w:val="left"/>
      <w:pPr>
        <w:ind w:left="1260" w:hanging="360"/>
      </w:pPr>
      <w:rPr>
        <w:b w:val="0"/>
        <w:bCs/>
      </w:rPr>
    </w:lvl>
    <w:lvl w:ilvl="1" w:tplc="53C4E5C4">
      <w:start w:val="1"/>
      <w:numFmt w:val="lowerRoman"/>
      <w:lvlText w:val="%2."/>
      <w:lvlJc w:val="right"/>
      <w:pPr>
        <w:ind w:left="1620" w:hanging="360"/>
      </w:pPr>
      <w:rPr>
        <w:b w:val="0"/>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C86E49"/>
    <w:multiLevelType w:val="hybridMultilevel"/>
    <w:tmpl w:val="91B07178"/>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15:restartNumberingAfterBreak="0">
    <w:nsid w:val="07131E8B"/>
    <w:multiLevelType w:val="hybridMultilevel"/>
    <w:tmpl w:val="05225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40B46"/>
    <w:multiLevelType w:val="hybridMultilevel"/>
    <w:tmpl w:val="7D242B90"/>
    <w:lvl w:ilvl="0" w:tplc="A812272E">
      <w:start w:val="1"/>
      <w:numFmt w:val="decimal"/>
      <w:lvlText w:val="%1."/>
      <w:lvlJc w:val="left"/>
      <w:pPr>
        <w:ind w:left="1432" w:hanging="351"/>
      </w:pPr>
      <w:rPr>
        <w:rFonts w:ascii="Arial" w:eastAsia="Arial" w:hAnsi="Arial" w:cs="Arial" w:hint="default"/>
        <w:b w:val="0"/>
        <w:bCs w:val="0"/>
        <w:i w:val="0"/>
        <w:iCs w:val="0"/>
        <w:spacing w:val="-1"/>
        <w:w w:val="91"/>
        <w:sz w:val="19"/>
        <w:szCs w:val="19"/>
        <w:lang w:val="en-US" w:eastAsia="en-US" w:bidi="ar-SA"/>
      </w:rPr>
    </w:lvl>
    <w:lvl w:ilvl="1" w:tplc="8188C898">
      <w:start w:val="1"/>
      <w:numFmt w:val="lowerLetter"/>
      <w:lvlText w:val="%2."/>
      <w:lvlJc w:val="left"/>
      <w:pPr>
        <w:ind w:left="1945" w:hanging="340"/>
      </w:pPr>
      <w:rPr>
        <w:rFonts w:ascii="Arial" w:eastAsia="Arial" w:hAnsi="Arial" w:cs="Arial" w:hint="default"/>
        <w:b w:val="0"/>
        <w:bCs w:val="0"/>
        <w:i w:val="0"/>
        <w:iCs w:val="0"/>
        <w:spacing w:val="-1"/>
        <w:w w:val="105"/>
        <w:sz w:val="19"/>
        <w:szCs w:val="19"/>
        <w:lang w:val="en-US" w:eastAsia="en-US" w:bidi="ar-SA"/>
      </w:rPr>
    </w:lvl>
    <w:lvl w:ilvl="2" w:tplc="E59C16B6">
      <w:start w:val="1"/>
      <w:numFmt w:val="lowerRoman"/>
      <w:lvlText w:val="%3."/>
      <w:lvlJc w:val="left"/>
      <w:pPr>
        <w:ind w:left="2466" w:hanging="268"/>
        <w:jc w:val="right"/>
      </w:pPr>
      <w:rPr>
        <w:rFonts w:ascii="Arial" w:eastAsia="Arial" w:hAnsi="Arial" w:cs="Arial" w:hint="default"/>
        <w:b w:val="0"/>
        <w:bCs w:val="0"/>
        <w:i w:val="0"/>
        <w:iCs w:val="0"/>
        <w:spacing w:val="-1"/>
        <w:w w:val="108"/>
        <w:sz w:val="19"/>
        <w:szCs w:val="19"/>
        <w:lang w:val="en-US" w:eastAsia="en-US" w:bidi="ar-SA"/>
      </w:rPr>
    </w:lvl>
    <w:lvl w:ilvl="3" w:tplc="C6AC3270">
      <w:numFmt w:val="bullet"/>
      <w:lvlText w:val="•"/>
      <w:lvlJc w:val="left"/>
      <w:pPr>
        <w:ind w:left="3511" w:hanging="268"/>
      </w:pPr>
      <w:rPr>
        <w:rFonts w:hint="default"/>
        <w:lang w:val="en-US" w:eastAsia="en-US" w:bidi="ar-SA"/>
      </w:rPr>
    </w:lvl>
    <w:lvl w:ilvl="4" w:tplc="47F60940">
      <w:numFmt w:val="bullet"/>
      <w:lvlText w:val="•"/>
      <w:lvlJc w:val="left"/>
      <w:pPr>
        <w:ind w:left="4562" w:hanging="268"/>
      </w:pPr>
      <w:rPr>
        <w:rFonts w:hint="default"/>
        <w:lang w:val="en-US" w:eastAsia="en-US" w:bidi="ar-SA"/>
      </w:rPr>
    </w:lvl>
    <w:lvl w:ilvl="5" w:tplc="46721A9A">
      <w:numFmt w:val="bullet"/>
      <w:lvlText w:val="•"/>
      <w:lvlJc w:val="left"/>
      <w:pPr>
        <w:ind w:left="5613" w:hanging="268"/>
      </w:pPr>
      <w:rPr>
        <w:rFonts w:hint="default"/>
        <w:lang w:val="en-US" w:eastAsia="en-US" w:bidi="ar-SA"/>
      </w:rPr>
    </w:lvl>
    <w:lvl w:ilvl="6" w:tplc="082822EA">
      <w:numFmt w:val="bullet"/>
      <w:lvlText w:val="•"/>
      <w:lvlJc w:val="left"/>
      <w:pPr>
        <w:ind w:left="6664" w:hanging="268"/>
      </w:pPr>
      <w:rPr>
        <w:rFonts w:hint="default"/>
        <w:lang w:val="en-US" w:eastAsia="en-US" w:bidi="ar-SA"/>
      </w:rPr>
    </w:lvl>
    <w:lvl w:ilvl="7" w:tplc="F3943F1C">
      <w:numFmt w:val="bullet"/>
      <w:lvlText w:val="•"/>
      <w:lvlJc w:val="left"/>
      <w:pPr>
        <w:ind w:left="7715" w:hanging="268"/>
      </w:pPr>
      <w:rPr>
        <w:rFonts w:hint="default"/>
        <w:lang w:val="en-US" w:eastAsia="en-US" w:bidi="ar-SA"/>
      </w:rPr>
    </w:lvl>
    <w:lvl w:ilvl="8" w:tplc="7EC859E8">
      <w:numFmt w:val="bullet"/>
      <w:lvlText w:val="•"/>
      <w:lvlJc w:val="left"/>
      <w:pPr>
        <w:ind w:left="8766" w:hanging="268"/>
      </w:pPr>
      <w:rPr>
        <w:rFonts w:hint="default"/>
        <w:lang w:val="en-US" w:eastAsia="en-US" w:bidi="ar-SA"/>
      </w:rPr>
    </w:lvl>
  </w:abstractNum>
  <w:abstractNum w:abstractNumId="5" w15:restartNumberingAfterBreak="0">
    <w:nsid w:val="1D9649AC"/>
    <w:multiLevelType w:val="hybridMultilevel"/>
    <w:tmpl w:val="8F5C2036"/>
    <w:lvl w:ilvl="0" w:tplc="5C9429CC">
      <w:start w:val="1"/>
      <w:numFmt w:val="decimal"/>
      <w:lvlText w:val="%1."/>
      <w:lvlJc w:val="left"/>
      <w:pPr>
        <w:ind w:left="720" w:hanging="360"/>
      </w:pPr>
      <w:rPr>
        <w:b/>
        <w:bCs/>
      </w:rPr>
    </w:lvl>
    <w:lvl w:ilvl="1" w:tplc="2BB8A85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F6C7E"/>
    <w:multiLevelType w:val="hybridMultilevel"/>
    <w:tmpl w:val="A13609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063808"/>
    <w:multiLevelType w:val="hybridMultilevel"/>
    <w:tmpl w:val="AE4A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37581"/>
    <w:multiLevelType w:val="hybridMultilevel"/>
    <w:tmpl w:val="54C6C9E2"/>
    <w:lvl w:ilvl="0" w:tplc="7326069E">
      <w:start w:val="1"/>
      <w:numFmt w:val="decimal"/>
      <w:lvlText w:val="%1."/>
      <w:lvlJc w:val="left"/>
      <w:pPr>
        <w:ind w:left="1794" w:hanging="358"/>
      </w:pPr>
      <w:rPr>
        <w:rFonts w:ascii="Times New Roman" w:eastAsia="Times New Roman" w:hAnsi="Times New Roman" w:cs="Times New Roman" w:hint="default"/>
        <w:b w:val="0"/>
        <w:bCs w:val="0"/>
        <w:i w:val="0"/>
        <w:iCs w:val="0"/>
        <w:w w:val="108"/>
        <w:sz w:val="22"/>
        <w:szCs w:val="22"/>
        <w:lang w:val="en-US" w:eastAsia="en-US" w:bidi="ar-SA"/>
      </w:rPr>
    </w:lvl>
    <w:lvl w:ilvl="1" w:tplc="2EB40882">
      <w:start w:val="1"/>
      <w:numFmt w:val="lowerLetter"/>
      <w:lvlText w:val="%2."/>
      <w:lvlJc w:val="left"/>
      <w:pPr>
        <w:ind w:left="2211" w:hanging="343"/>
      </w:pPr>
      <w:rPr>
        <w:rFonts w:ascii="Times New Roman" w:eastAsia="Times New Roman" w:hAnsi="Times New Roman" w:cs="Times New Roman" w:hint="default"/>
        <w:b w:val="0"/>
        <w:bCs w:val="0"/>
        <w:i w:val="0"/>
        <w:iCs w:val="0"/>
        <w:spacing w:val="-1"/>
        <w:w w:val="104"/>
        <w:sz w:val="22"/>
        <w:szCs w:val="22"/>
        <w:lang w:val="en-US" w:eastAsia="en-US" w:bidi="ar-SA"/>
      </w:rPr>
    </w:lvl>
    <w:lvl w:ilvl="2" w:tplc="E0A484C6">
      <w:start w:val="1"/>
      <w:numFmt w:val="lowerRoman"/>
      <w:lvlText w:val="%3."/>
      <w:lvlJc w:val="left"/>
      <w:pPr>
        <w:ind w:left="2729" w:hanging="275"/>
      </w:pPr>
      <w:rPr>
        <w:rFonts w:ascii="Times New Roman" w:eastAsia="Times New Roman" w:hAnsi="Times New Roman" w:cs="Times New Roman" w:hint="default"/>
        <w:b w:val="0"/>
        <w:bCs w:val="0"/>
        <w:i w:val="0"/>
        <w:iCs w:val="0"/>
        <w:spacing w:val="-1"/>
        <w:w w:val="106"/>
        <w:sz w:val="22"/>
        <w:szCs w:val="22"/>
        <w:lang w:val="en-US" w:eastAsia="en-US" w:bidi="ar-SA"/>
      </w:rPr>
    </w:lvl>
    <w:lvl w:ilvl="3" w:tplc="1D409236">
      <w:numFmt w:val="bullet"/>
      <w:lvlText w:val="•"/>
      <w:lvlJc w:val="left"/>
      <w:pPr>
        <w:ind w:left="3738" w:hanging="275"/>
      </w:pPr>
      <w:rPr>
        <w:rFonts w:hint="default"/>
        <w:lang w:val="en-US" w:eastAsia="en-US" w:bidi="ar-SA"/>
      </w:rPr>
    </w:lvl>
    <w:lvl w:ilvl="4" w:tplc="AB9024EA">
      <w:numFmt w:val="bullet"/>
      <w:lvlText w:val="•"/>
      <w:lvlJc w:val="left"/>
      <w:pPr>
        <w:ind w:left="4757" w:hanging="275"/>
      </w:pPr>
      <w:rPr>
        <w:rFonts w:hint="default"/>
        <w:lang w:val="en-US" w:eastAsia="en-US" w:bidi="ar-SA"/>
      </w:rPr>
    </w:lvl>
    <w:lvl w:ilvl="5" w:tplc="8C68DD78">
      <w:numFmt w:val="bullet"/>
      <w:lvlText w:val="•"/>
      <w:lvlJc w:val="left"/>
      <w:pPr>
        <w:ind w:left="5775" w:hanging="275"/>
      </w:pPr>
      <w:rPr>
        <w:rFonts w:hint="default"/>
        <w:lang w:val="en-US" w:eastAsia="en-US" w:bidi="ar-SA"/>
      </w:rPr>
    </w:lvl>
    <w:lvl w:ilvl="6" w:tplc="BDF638F6">
      <w:numFmt w:val="bullet"/>
      <w:lvlText w:val="•"/>
      <w:lvlJc w:val="left"/>
      <w:pPr>
        <w:ind w:left="6794" w:hanging="275"/>
      </w:pPr>
      <w:rPr>
        <w:rFonts w:hint="default"/>
        <w:lang w:val="en-US" w:eastAsia="en-US" w:bidi="ar-SA"/>
      </w:rPr>
    </w:lvl>
    <w:lvl w:ilvl="7" w:tplc="7E1A3E3E">
      <w:numFmt w:val="bullet"/>
      <w:lvlText w:val="•"/>
      <w:lvlJc w:val="left"/>
      <w:pPr>
        <w:ind w:left="7813" w:hanging="275"/>
      </w:pPr>
      <w:rPr>
        <w:rFonts w:hint="default"/>
        <w:lang w:val="en-US" w:eastAsia="en-US" w:bidi="ar-SA"/>
      </w:rPr>
    </w:lvl>
    <w:lvl w:ilvl="8" w:tplc="259ADFFC">
      <w:numFmt w:val="bullet"/>
      <w:lvlText w:val="•"/>
      <w:lvlJc w:val="left"/>
      <w:pPr>
        <w:ind w:left="8831" w:hanging="275"/>
      </w:pPr>
      <w:rPr>
        <w:rFonts w:hint="default"/>
        <w:lang w:val="en-US" w:eastAsia="en-US" w:bidi="ar-SA"/>
      </w:rPr>
    </w:lvl>
  </w:abstractNum>
  <w:abstractNum w:abstractNumId="9" w15:restartNumberingAfterBreak="0">
    <w:nsid w:val="32A63E55"/>
    <w:multiLevelType w:val="hybridMultilevel"/>
    <w:tmpl w:val="FCF4B35A"/>
    <w:lvl w:ilvl="0" w:tplc="3BF22E36">
      <w:start w:val="1"/>
      <w:numFmt w:val="decimal"/>
      <w:lvlText w:val="%1."/>
      <w:lvlJc w:val="left"/>
      <w:pPr>
        <w:ind w:left="1619" w:hanging="360"/>
      </w:pPr>
      <w:rPr>
        <w:rFonts w:ascii="Arial" w:eastAsia="Arial" w:hAnsi="Arial" w:cs="Arial" w:hint="default"/>
        <w:b w:val="0"/>
        <w:bCs w:val="0"/>
        <w:i w:val="0"/>
        <w:iCs w:val="0"/>
        <w:spacing w:val="-1"/>
        <w:w w:val="104"/>
        <w:sz w:val="21"/>
        <w:szCs w:val="21"/>
        <w:lang w:val="en-US" w:eastAsia="en-US" w:bidi="ar-SA"/>
      </w:rPr>
    </w:lvl>
    <w:lvl w:ilvl="1" w:tplc="3970F7F8">
      <w:numFmt w:val="bullet"/>
      <w:lvlText w:val="•"/>
      <w:lvlJc w:val="left"/>
      <w:pPr>
        <w:ind w:left="2544" w:hanging="360"/>
      </w:pPr>
      <w:rPr>
        <w:rFonts w:hint="default"/>
        <w:lang w:val="en-US" w:eastAsia="en-US" w:bidi="ar-SA"/>
      </w:rPr>
    </w:lvl>
    <w:lvl w:ilvl="2" w:tplc="ABD2180E">
      <w:numFmt w:val="bullet"/>
      <w:lvlText w:val="•"/>
      <w:lvlJc w:val="left"/>
      <w:pPr>
        <w:ind w:left="3469" w:hanging="360"/>
      </w:pPr>
      <w:rPr>
        <w:rFonts w:hint="default"/>
        <w:lang w:val="en-US" w:eastAsia="en-US" w:bidi="ar-SA"/>
      </w:rPr>
    </w:lvl>
    <w:lvl w:ilvl="3" w:tplc="4530BC1C">
      <w:numFmt w:val="bullet"/>
      <w:lvlText w:val="•"/>
      <w:lvlJc w:val="left"/>
      <w:pPr>
        <w:ind w:left="4394" w:hanging="360"/>
      </w:pPr>
      <w:rPr>
        <w:rFonts w:hint="default"/>
        <w:lang w:val="en-US" w:eastAsia="en-US" w:bidi="ar-SA"/>
      </w:rPr>
    </w:lvl>
    <w:lvl w:ilvl="4" w:tplc="11CAB21E">
      <w:numFmt w:val="bullet"/>
      <w:lvlText w:val="•"/>
      <w:lvlJc w:val="left"/>
      <w:pPr>
        <w:ind w:left="5319" w:hanging="360"/>
      </w:pPr>
      <w:rPr>
        <w:rFonts w:hint="default"/>
        <w:lang w:val="en-US" w:eastAsia="en-US" w:bidi="ar-SA"/>
      </w:rPr>
    </w:lvl>
    <w:lvl w:ilvl="5" w:tplc="DA4ADA0C">
      <w:numFmt w:val="bullet"/>
      <w:lvlText w:val="•"/>
      <w:lvlJc w:val="left"/>
      <w:pPr>
        <w:ind w:left="6244" w:hanging="360"/>
      </w:pPr>
      <w:rPr>
        <w:rFonts w:hint="default"/>
        <w:lang w:val="en-US" w:eastAsia="en-US" w:bidi="ar-SA"/>
      </w:rPr>
    </w:lvl>
    <w:lvl w:ilvl="6" w:tplc="BB428612">
      <w:numFmt w:val="bullet"/>
      <w:lvlText w:val="•"/>
      <w:lvlJc w:val="left"/>
      <w:pPr>
        <w:ind w:left="7169" w:hanging="360"/>
      </w:pPr>
      <w:rPr>
        <w:rFonts w:hint="default"/>
        <w:lang w:val="en-US" w:eastAsia="en-US" w:bidi="ar-SA"/>
      </w:rPr>
    </w:lvl>
    <w:lvl w:ilvl="7" w:tplc="F4DAFBC6">
      <w:numFmt w:val="bullet"/>
      <w:lvlText w:val="•"/>
      <w:lvlJc w:val="left"/>
      <w:pPr>
        <w:ind w:left="8094" w:hanging="360"/>
      </w:pPr>
      <w:rPr>
        <w:rFonts w:hint="default"/>
        <w:lang w:val="en-US" w:eastAsia="en-US" w:bidi="ar-SA"/>
      </w:rPr>
    </w:lvl>
    <w:lvl w:ilvl="8" w:tplc="613491A8">
      <w:numFmt w:val="bullet"/>
      <w:lvlText w:val="•"/>
      <w:lvlJc w:val="left"/>
      <w:pPr>
        <w:ind w:left="9019" w:hanging="360"/>
      </w:pPr>
      <w:rPr>
        <w:rFonts w:hint="default"/>
        <w:lang w:val="en-US" w:eastAsia="en-US" w:bidi="ar-SA"/>
      </w:rPr>
    </w:lvl>
  </w:abstractNum>
  <w:abstractNum w:abstractNumId="10" w15:restartNumberingAfterBreak="0">
    <w:nsid w:val="3EA211E1"/>
    <w:multiLevelType w:val="hybridMultilevel"/>
    <w:tmpl w:val="2640DA6C"/>
    <w:lvl w:ilvl="0" w:tplc="F88A8976">
      <w:start w:val="1"/>
      <w:numFmt w:val="lowerLetter"/>
      <w:lvlText w:val="%1."/>
      <w:lvlJc w:val="left"/>
      <w:pPr>
        <w:ind w:left="2276" w:hanging="347"/>
      </w:pPr>
      <w:rPr>
        <w:rFonts w:ascii="Times New Roman" w:eastAsia="Times New Roman" w:hAnsi="Times New Roman" w:cs="Times New Roman" w:hint="default"/>
        <w:b w:val="0"/>
        <w:bCs w:val="0"/>
        <w:i w:val="0"/>
        <w:iCs w:val="0"/>
        <w:spacing w:val="-1"/>
        <w:w w:val="109"/>
        <w:sz w:val="21"/>
        <w:szCs w:val="21"/>
        <w:lang w:val="en-US" w:eastAsia="en-US" w:bidi="ar-SA"/>
      </w:rPr>
    </w:lvl>
    <w:lvl w:ilvl="1" w:tplc="FE886EC4">
      <w:numFmt w:val="bullet"/>
      <w:lvlText w:val="•"/>
      <w:lvlJc w:val="left"/>
      <w:pPr>
        <w:ind w:left="3138" w:hanging="347"/>
      </w:pPr>
      <w:rPr>
        <w:rFonts w:hint="default"/>
        <w:lang w:val="en-US" w:eastAsia="en-US" w:bidi="ar-SA"/>
      </w:rPr>
    </w:lvl>
    <w:lvl w:ilvl="2" w:tplc="BED8F2A4">
      <w:numFmt w:val="bullet"/>
      <w:lvlText w:val="•"/>
      <w:lvlJc w:val="left"/>
      <w:pPr>
        <w:ind w:left="3997" w:hanging="347"/>
      </w:pPr>
      <w:rPr>
        <w:rFonts w:hint="default"/>
        <w:lang w:val="en-US" w:eastAsia="en-US" w:bidi="ar-SA"/>
      </w:rPr>
    </w:lvl>
    <w:lvl w:ilvl="3" w:tplc="12D86796">
      <w:numFmt w:val="bullet"/>
      <w:lvlText w:val="•"/>
      <w:lvlJc w:val="left"/>
      <w:pPr>
        <w:ind w:left="4856" w:hanging="347"/>
      </w:pPr>
      <w:rPr>
        <w:rFonts w:hint="default"/>
        <w:lang w:val="en-US" w:eastAsia="en-US" w:bidi="ar-SA"/>
      </w:rPr>
    </w:lvl>
    <w:lvl w:ilvl="4" w:tplc="84D0BCBC">
      <w:numFmt w:val="bullet"/>
      <w:lvlText w:val="•"/>
      <w:lvlJc w:val="left"/>
      <w:pPr>
        <w:ind w:left="5715" w:hanging="347"/>
      </w:pPr>
      <w:rPr>
        <w:rFonts w:hint="default"/>
        <w:lang w:val="en-US" w:eastAsia="en-US" w:bidi="ar-SA"/>
      </w:rPr>
    </w:lvl>
    <w:lvl w:ilvl="5" w:tplc="1EBA4AAA">
      <w:numFmt w:val="bullet"/>
      <w:lvlText w:val="•"/>
      <w:lvlJc w:val="left"/>
      <w:pPr>
        <w:ind w:left="6574" w:hanging="347"/>
      </w:pPr>
      <w:rPr>
        <w:rFonts w:hint="default"/>
        <w:lang w:val="en-US" w:eastAsia="en-US" w:bidi="ar-SA"/>
      </w:rPr>
    </w:lvl>
    <w:lvl w:ilvl="6" w:tplc="E642EF14">
      <w:numFmt w:val="bullet"/>
      <w:lvlText w:val="•"/>
      <w:lvlJc w:val="left"/>
      <w:pPr>
        <w:ind w:left="7433" w:hanging="347"/>
      </w:pPr>
      <w:rPr>
        <w:rFonts w:hint="default"/>
        <w:lang w:val="en-US" w:eastAsia="en-US" w:bidi="ar-SA"/>
      </w:rPr>
    </w:lvl>
    <w:lvl w:ilvl="7" w:tplc="789EB476">
      <w:numFmt w:val="bullet"/>
      <w:lvlText w:val="•"/>
      <w:lvlJc w:val="left"/>
      <w:pPr>
        <w:ind w:left="8292" w:hanging="347"/>
      </w:pPr>
      <w:rPr>
        <w:rFonts w:hint="default"/>
        <w:lang w:val="en-US" w:eastAsia="en-US" w:bidi="ar-SA"/>
      </w:rPr>
    </w:lvl>
    <w:lvl w:ilvl="8" w:tplc="A768B0EA">
      <w:numFmt w:val="bullet"/>
      <w:lvlText w:val="•"/>
      <w:lvlJc w:val="left"/>
      <w:pPr>
        <w:ind w:left="9151" w:hanging="347"/>
      </w:pPr>
      <w:rPr>
        <w:rFonts w:hint="default"/>
        <w:lang w:val="en-US" w:eastAsia="en-US" w:bidi="ar-SA"/>
      </w:rPr>
    </w:lvl>
  </w:abstractNum>
  <w:abstractNum w:abstractNumId="11" w15:restartNumberingAfterBreak="0">
    <w:nsid w:val="45255E02"/>
    <w:multiLevelType w:val="multilevel"/>
    <w:tmpl w:val="747069B6"/>
    <w:lvl w:ilvl="0">
      <w:start w:val="10"/>
      <w:numFmt w:val="decimal"/>
      <w:lvlText w:val="%1"/>
      <w:lvlJc w:val="left"/>
      <w:pPr>
        <w:ind w:left="1599" w:hanging="721"/>
      </w:pPr>
      <w:rPr>
        <w:rFonts w:hint="default"/>
        <w:lang w:val="en-US" w:eastAsia="en-US" w:bidi="ar-SA"/>
      </w:rPr>
    </w:lvl>
    <w:lvl w:ilvl="1">
      <w:start w:val="5"/>
      <w:numFmt w:val="decimal"/>
      <w:lvlText w:val="%1.%2"/>
      <w:lvlJc w:val="left"/>
      <w:pPr>
        <w:ind w:left="1599" w:hanging="721"/>
      </w:pPr>
      <w:rPr>
        <w:rFonts w:hint="default"/>
        <w:lang w:val="en-US" w:eastAsia="en-US" w:bidi="ar-SA"/>
      </w:rPr>
    </w:lvl>
    <w:lvl w:ilvl="2">
      <w:start w:val="1"/>
      <w:numFmt w:val="lowerLetter"/>
      <w:lvlText w:val="%1.%2.%3"/>
      <w:lvlJc w:val="left"/>
      <w:pPr>
        <w:ind w:left="1599" w:hanging="721"/>
      </w:pPr>
      <w:rPr>
        <w:rFonts w:ascii="Arial" w:eastAsia="Arial" w:hAnsi="Arial" w:cs="Arial" w:hint="default"/>
        <w:b w:val="0"/>
        <w:bCs w:val="0"/>
        <w:i w:val="0"/>
        <w:iCs w:val="0"/>
        <w:spacing w:val="-1"/>
        <w:w w:val="98"/>
        <w:sz w:val="20"/>
        <w:szCs w:val="20"/>
        <w:lang w:val="en-US" w:eastAsia="en-US" w:bidi="ar-SA"/>
      </w:rPr>
    </w:lvl>
    <w:lvl w:ilvl="3">
      <w:numFmt w:val="bullet"/>
      <w:lvlText w:val="•"/>
      <w:lvlJc w:val="left"/>
      <w:pPr>
        <w:ind w:left="4380" w:hanging="721"/>
      </w:pPr>
      <w:rPr>
        <w:rFonts w:hint="default"/>
        <w:lang w:val="en-US" w:eastAsia="en-US" w:bidi="ar-SA"/>
      </w:rPr>
    </w:lvl>
    <w:lvl w:ilvl="4">
      <w:numFmt w:val="bullet"/>
      <w:lvlText w:val="•"/>
      <w:lvlJc w:val="left"/>
      <w:pPr>
        <w:ind w:left="5307" w:hanging="721"/>
      </w:pPr>
      <w:rPr>
        <w:rFonts w:hint="default"/>
        <w:lang w:val="en-US" w:eastAsia="en-US" w:bidi="ar-SA"/>
      </w:rPr>
    </w:lvl>
    <w:lvl w:ilvl="5">
      <w:numFmt w:val="bullet"/>
      <w:lvlText w:val="•"/>
      <w:lvlJc w:val="left"/>
      <w:pPr>
        <w:ind w:left="6234" w:hanging="721"/>
      </w:pPr>
      <w:rPr>
        <w:rFonts w:hint="default"/>
        <w:lang w:val="en-US" w:eastAsia="en-US" w:bidi="ar-SA"/>
      </w:rPr>
    </w:lvl>
    <w:lvl w:ilvl="6">
      <w:numFmt w:val="bullet"/>
      <w:lvlText w:val="•"/>
      <w:lvlJc w:val="left"/>
      <w:pPr>
        <w:ind w:left="7161" w:hanging="721"/>
      </w:pPr>
      <w:rPr>
        <w:rFonts w:hint="default"/>
        <w:lang w:val="en-US" w:eastAsia="en-US" w:bidi="ar-SA"/>
      </w:rPr>
    </w:lvl>
    <w:lvl w:ilvl="7">
      <w:numFmt w:val="bullet"/>
      <w:lvlText w:val="•"/>
      <w:lvlJc w:val="left"/>
      <w:pPr>
        <w:ind w:left="8088" w:hanging="721"/>
      </w:pPr>
      <w:rPr>
        <w:rFonts w:hint="default"/>
        <w:lang w:val="en-US" w:eastAsia="en-US" w:bidi="ar-SA"/>
      </w:rPr>
    </w:lvl>
    <w:lvl w:ilvl="8">
      <w:numFmt w:val="bullet"/>
      <w:lvlText w:val="•"/>
      <w:lvlJc w:val="left"/>
      <w:pPr>
        <w:ind w:left="9015" w:hanging="721"/>
      </w:pPr>
      <w:rPr>
        <w:rFonts w:hint="default"/>
        <w:lang w:val="en-US" w:eastAsia="en-US" w:bidi="ar-SA"/>
      </w:rPr>
    </w:lvl>
  </w:abstractNum>
  <w:abstractNum w:abstractNumId="12" w15:restartNumberingAfterBreak="0">
    <w:nsid w:val="5297321D"/>
    <w:multiLevelType w:val="hybridMultilevel"/>
    <w:tmpl w:val="ACBE9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10D6B"/>
    <w:multiLevelType w:val="hybridMultilevel"/>
    <w:tmpl w:val="EA5C4D80"/>
    <w:lvl w:ilvl="0" w:tplc="9EA24A30">
      <w:numFmt w:val="bullet"/>
      <w:lvlText w:val="•"/>
      <w:lvlJc w:val="left"/>
      <w:pPr>
        <w:ind w:left="1818" w:hanging="347"/>
      </w:pPr>
      <w:rPr>
        <w:rFonts w:ascii="Times New Roman" w:eastAsia="Times New Roman" w:hAnsi="Times New Roman" w:cs="Times New Roman" w:hint="default"/>
        <w:w w:val="104"/>
        <w:lang w:val="en-US" w:eastAsia="en-US" w:bidi="ar-SA"/>
      </w:rPr>
    </w:lvl>
    <w:lvl w:ilvl="1" w:tplc="9E581AEE">
      <w:numFmt w:val="bullet"/>
      <w:lvlText w:val="•"/>
      <w:lvlJc w:val="left"/>
      <w:pPr>
        <w:ind w:left="2724" w:hanging="347"/>
      </w:pPr>
      <w:rPr>
        <w:rFonts w:hint="default"/>
        <w:lang w:val="en-US" w:eastAsia="en-US" w:bidi="ar-SA"/>
      </w:rPr>
    </w:lvl>
    <w:lvl w:ilvl="2" w:tplc="9858FBC2">
      <w:numFmt w:val="bullet"/>
      <w:lvlText w:val="•"/>
      <w:lvlJc w:val="left"/>
      <w:pPr>
        <w:ind w:left="3629" w:hanging="347"/>
      </w:pPr>
      <w:rPr>
        <w:rFonts w:hint="default"/>
        <w:lang w:val="en-US" w:eastAsia="en-US" w:bidi="ar-SA"/>
      </w:rPr>
    </w:lvl>
    <w:lvl w:ilvl="3" w:tplc="E4227B70">
      <w:numFmt w:val="bullet"/>
      <w:lvlText w:val="•"/>
      <w:lvlJc w:val="left"/>
      <w:pPr>
        <w:ind w:left="4534" w:hanging="347"/>
      </w:pPr>
      <w:rPr>
        <w:rFonts w:hint="default"/>
        <w:lang w:val="en-US" w:eastAsia="en-US" w:bidi="ar-SA"/>
      </w:rPr>
    </w:lvl>
    <w:lvl w:ilvl="4" w:tplc="0682F4DC">
      <w:numFmt w:val="bullet"/>
      <w:lvlText w:val="•"/>
      <w:lvlJc w:val="left"/>
      <w:pPr>
        <w:ind w:left="5439" w:hanging="347"/>
      </w:pPr>
      <w:rPr>
        <w:rFonts w:hint="default"/>
        <w:lang w:val="en-US" w:eastAsia="en-US" w:bidi="ar-SA"/>
      </w:rPr>
    </w:lvl>
    <w:lvl w:ilvl="5" w:tplc="1CDEF07A">
      <w:numFmt w:val="bullet"/>
      <w:lvlText w:val="•"/>
      <w:lvlJc w:val="left"/>
      <w:pPr>
        <w:ind w:left="6344" w:hanging="347"/>
      </w:pPr>
      <w:rPr>
        <w:rFonts w:hint="default"/>
        <w:lang w:val="en-US" w:eastAsia="en-US" w:bidi="ar-SA"/>
      </w:rPr>
    </w:lvl>
    <w:lvl w:ilvl="6" w:tplc="FBD26F72">
      <w:numFmt w:val="bullet"/>
      <w:lvlText w:val="•"/>
      <w:lvlJc w:val="left"/>
      <w:pPr>
        <w:ind w:left="7249" w:hanging="347"/>
      </w:pPr>
      <w:rPr>
        <w:rFonts w:hint="default"/>
        <w:lang w:val="en-US" w:eastAsia="en-US" w:bidi="ar-SA"/>
      </w:rPr>
    </w:lvl>
    <w:lvl w:ilvl="7" w:tplc="D952DF92">
      <w:numFmt w:val="bullet"/>
      <w:lvlText w:val="•"/>
      <w:lvlJc w:val="left"/>
      <w:pPr>
        <w:ind w:left="8154" w:hanging="347"/>
      </w:pPr>
      <w:rPr>
        <w:rFonts w:hint="default"/>
        <w:lang w:val="en-US" w:eastAsia="en-US" w:bidi="ar-SA"/>
      </w:rPr>
    </w:lvl>
    <w:lvl w:ilvl="8" w:tplc="87902C6A">
      <w:numFmt w:val="bullet"/>
      <w:lvlText w:val="•"/>
      <w:lvlJc w:val="left"/>
      <w:pPr>
        <w:ind w:left="9059" w:hanging="347"/>
      </w:pPr>
      <w:rPr>
        <w:rFonts w:hint="default"/>
        <w:lang w:val="en-US" w:eastAsia="en-US" w:bidi="ar-SA"/>
      </w:rPr>
    </w:lvl>
  </w:abstractNum>
  <w:abstractNum w:abstractNumId="14" w15:restartNumberingAfterBreak="0">
    <w:nsid w:val="693144DA"/>
    <w:multiLevelType w:val="hybridMultilevel"/>
    <w:tmpl w:val="2DF2148E"/>
    <w:lvl w:ilvl="0" w:tplc="FE9672BA">
      <w:start w:val="1"/>
      <w:numFmt w:val="upperLetter"/>
      <w:lvlText w:val="%1."/>
      <w:lvlJc w:val="left"/>
      <w:pPr>
        <w:ind w:left="1231" w:hanging="352"/>
      </w:pPr>
      <w:rPr>
        <w:rFonts w:hint="default"/>
        <w:spacing w:val="-1"/>
        <w:w w:val="94"/>
        <w:lang w:val="en-US" w:eastAsia="en-US" w:bidi="ar-SA"/>
      </w:rPr>
    </w:lvl>
    <w:lvl w:ilvl="1" w:tplc="D12283A4">
      <w:start w:val="1"/>
      <w:numFmt w:val="decimal"/>
      <w:lvlText w:val="%2."/>
      <w:lvlJc w:val="left"/>
      <w:pPr>
        <w:ind w:left="1825" w:hanging="367"/>
        <w:jc w:val="right"/>
      </w:pPr>
      <w:rPr>
        <w:rFonts w:hint="default"/>
        <w:w w:val="105"/>
        <w:lang w:val="en-US" w:eastAsia="en-US" w:bidi="ar-SA"/>
      </w:rPr>
    </w:lvl>
    <w:lvl w:ilvl="2" w:tplc="B0229EA2">
      <w:start w:val="1"/>
      <w:numFmt w:val="lowerLetter"/>
      <w:lvlText w:val="%3."/>
      <w:lvlJc w:val="left"/>
      <w:pPr>
        <w:ind w:left="2113" w:hanging="341"/>
      </w:pPr>
      <w:rPr>
        <w:rFonts w:ascii="Times New Roman" w:eastAsia="Times New Roman" w:hAnsi="Times New Roman" w:cs="Times New Roman" w:hint="default"/>
        <w:b w:val="0"/>
        <w:bCs w:val="0"/>
        <w:i w:val="0"/>
        <w:iCs w:val="0"/>
        <w:spacing w:val="-1"/>
        <w:w w:val="103"/>
        <w:sz w:val="21"/>
        <w:szCs w:val="21"/>
        <w:lang w:val="en-US" w:eastAsia="en-US" w:bidi="ar-SA"/>
      </w:rPr>
    </w:lvl>
    <w:lvl w:ilvl="3" w:tplc="22627F92">
      <w:numFmt w:val="bullet"/>
      <w:lvlText w:val="•"/>
      <w:lvlJc w:val="left"/>
      <w:pPr>
        <w:ind w:left="2120" w:hanging="341"/>
      </w:pPr>
      <w:rPr>
        <w:rFonts w:hint="default"/>
        <w:lang w:val="en-US" w:eastAsia="en-US" w:bidi="ar-SA"/>
      </w:rPr>
    </w:lvl>
    <w:lvl w:ilvl="4" w:tplc="9F68FDF8">
      <w:numFmt w:val="bullet"/>
      <w:lvlText w:val="•"/>
      <w:lvlJc w:val="left"/>
      <w:pPr>
        <w:ind w:left="3369" w:hanging="341"/>
      </w:pPr>
      <w:rPr>
        <w:rFonts w:hint="default"/>
        <w:lang w:val="en-US" w:eastAsia="en-US" w:bidi="ar-SA"/>
      </w:rPr>
    </w:lvl>
    <w:lvl w:ilvl="5" w:tplc="96E083D8">
      <w:numFmt w:val="bullet"/>
      <w:lvlText w:val="•"/>
      <w:lvlJc w:val="left"/>
      <w:pPr>
        <w:ind w:left="4619" w:hanging="341"/>
      </w:pPr>
      <w:rPr>
        <w:rFonts w:hint="default"/>
        <w:lang w:val="en-US" w:eastAsia="en-US" w:bidi="ar-SA"/>
      </w:rPr>
    </w:lvl>
    <w:lvl w:ilvl="6" w:tplc="5C92A10C">
      <w:numFmt w:val="bullet"/>
      <w:lvlText w:val="•"/>
      <w:lvlJc w:val="left"/>
      <w:pPr>
        <w:ind w:left="5869" w:hanging="341"/>
      </w:pPr>
      <w:rPr>
        <w:rFonts w:hint="default"/>
        <w:lang w:val="en-US" w:eastAsia="en-US" w:bidi="ar-SA"/>
      </w:rPr>
    </w:lvl>
    <w:lvl w:ilvl="7" w:tplc="FBEA0BF0">
      <w:numFmt w:val="bullet"/>
      <w:lvlText w:val="•"/>
      <w:lvlJc w:val="left"/>
      <w:pPr>
        <w:ind w:left="7119" w:hanging="341"/>
      </w:pPr>
      <w:rPr>
        <w:rFonts w:hint="default"/>
        <w:lang w:val="en-US" w:eastAsia="en-US" w:bidi="ar-SA"/>
      </w:rPr>
    </w:lvl>
    <w:lvl w:ilvl="8" w:tplc="79ECC0B8">
      <w:numFmt w:val="bullet"/>
      <w:lvlText w:val="•"/>
      <w:lvlJc w:val="left"/>
      <w:pPr>
        <w:ind w:left="8369" w:hanging="341"/>
      </w:pPr>
      <w:rPr>
        <w:rFonts w:hint="default"/>
        <w:lang w:val="en-US" w:eastAsia="en-US" w:bidi="ar-SA"/>
      </w:rPr>
    </w:lvl>
  </w:abstractNum>
  <w:abstractNum w:abstractNumId="15" w15:restartNumberingAfterBreak="0">
    <w:nsid w:val="6E767E95"/>
    <w:multiLevelType w:val="hybridMultilevel"/>
    <w:tmpl w:val="7D58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3061A"/>
    <w:multiLevelType w:val="multilevel"/>
    <w:tmpl w:val="AC549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9D543B2"/>
    <w:multiLevelType w:val="hybridMultilevel"/>
    <w:tmpl w:val="518E2736"/>
    <w:lvl w:ilvl="0" w:tplc="0409000F">
      <w:start w:val="1"/>
      <w:numFmt w:val="decimal"/>
      <w:lvlText w:val="%1."/>
      <w:lvlJc w:val="left"/>
      <w:pPr>
        <w:ind w:left="12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305047">
    <w:abstractNumId w:val="4"/>
  </w:num>
  <w:num w:numId="2" w16cid:durableId="154687818">
    <w:abstractNumId w:val="10"/>
  </w:num>
  <w:num w:numId="3" w16cid:durableId="1371688480">
    <w:abstractNumId w:val="8"/>
  </w:num>
  <w:num w:numId="4" w16cid:durableId="1583636917">
    <w:abstractNumId w:val="13"/>
  </w:num>
  <w:num w:numId="5" w16cid:durableId="452750735">
    <w:abstractNumId w:val="14"/>
  </w:num>
  <w:num w:numId="6" w16cid:durableId="2030829776">
    <w:abstractNumId w:val="11"/>
  </w:num>
  <w:num w:numId="7" w16cid:durableId="93671387">
    <w:abstractNumId w:val="9"/>
  </w:num>
  <w:num w:numId="8" w16cid:durableId="1865247356">
    <w:abstractNumId w:val="3"/>
  </w:num>
  <w:num w:numId="9" w16cid:durableId="1423800810">
    <w:abstractNumId w:val="12"/>
  </w:num>
  <w:num w:numId="10" w16cid:durableId="1538616047">
    <w:abstractNumId w:val="7"/>
  </w:num>
  <w:num w:numId="11" w16cid:durableId="840699714">
    <w:abstractNumId w:val="0"/>
  </w:num>
  <w:num w:numId="12" w16cid:durableId="229117281">
    <w:abstractNumId w:val="5"/>
  </w:num>
  <w:num w:numId="13" w16cid:durableId="2028215965">
    <w:abstractNumId w:val="1"/>
  </w:num>
  <w:num w:numId="14" w16cid:durableId="903027642">
    <w:abstractNumId w:val="16"/>
  </w:num>
  <w:num w:numId="15" w16cid:durableId="12191230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1318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9223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2468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3959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43272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2969546">
    <w:abstractNumId w:val="2"/>
  </w:num>
  <w:num w:numId="22" w16cid:durableId="1136293322">
    <w:abstractNumId w:val="15"/>
  </w:num>
  <w:num w:numId="23" w16cid:durableId="486551608">
    <w:abstractNumId w:val="17"/>
  </w:num>
  <w:num w:numId="24" w16cid:durableId="276836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56EA"/>
    <w:rsid w:val="000520D6"/>
    <w:rsid w:val="0009626E"/>
    <w:rsid w:val="000B3CCF"/>
    <w:rsid w:val="001C1BFD"/>
    <w:rsid w:val="001C406D"/>
    <w:rsid w:val="002419C3"/>
    <w:rsid w:val="002466E3"/>
    <w:rsid w:val="00293D83"/>
    <w:rsid w:val="00311C4B"/>
    <w:rsid w:val="003C7663"/>
    <w:rsid w:val="003D0142"/>
    <w:rsid w:val="00411D2D"/>
    <w:rsid w:val="0043456B"/>
    <w:rsid w:val="00507E4C"/>
    <w:rsid w:val="005734B4"/>
    <w:rsid w:val="005957AD"/>
    <w:rsid w:val="005A2D00"/>
    <w:rsid w:val="00651783"/>
    <w:rsid w:val="0069218B"/>
    <w:rsid w:val="00775EBC"/>
    <w:rsid w:val="007869C6"/>
    <w:rsid w:val="007B56EA"/>
    <w:rsid w:val="008104A8"/>
    <w:rsid w:val="00810B21"/>
    <w:rsid w:val="008972F0"/>
    <w:rsid w:val="00915CE3"/>
    <w:rsid w:val="00922F58"/>
    <w:rsid w:val="00970631"/>
    <w:rsid w:val="009F50B2"/>
    <w:rsid w:val="00A04627"/>
    <w:rsid w:val="00AE323E"/>
    <w:rsid w:val="00B20EB8"/>
    <w:rsid w:val="00B25B29"/>
    <w:rsid w:val="00B407ED"/>
    <w:rsid w:val="00B71905"/>
    <w:rsid w:val="00BC5D13"/>
    <w:rsid w:val="00BD199A"/>
    <w:rsid w:val="00C32CC0"/>
    <w:rsid w:val="00CB096E"/>
    <w:rsid w:val="00CC571B"/>
    <w:rsid w:val="00CD41CB"/>
    <w:rsid w:val="00CE40A5"/>
    <w:rsid w:val="00DE123B"/>
    <w:rsid w:val="00E114C7"/>
    <w:rsid w:val="00E738C8"/>
    <w:rsid w:val="00E829BD"/>
    <w:rsid w:val="00EB5BC7"/>
    <w:rsid w:val="00F71B65"/>
    <w:rsid w:val="00F8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173D0"/>
  <w15:docId w15:val="{72C9FA32-3041-43F6-99C5-3703FD20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74"/>
      <w:ind w:left="2091" w:right="1042"/>
      <w:jc w:val="center"/>
      <w:outlineLvl w:val="0"/>
    </w:pPr>
    <w:rPr>
      <w:sz w:val="65"/>
      <w:szCs w:val="65"/>
    </w:rPr>
  </w:style>
  <w:style w:type="paragraph" w:styleId="Heading2">
    <w:name w:val="heading 2"/>
    <w:basedOn w:val="Normal"/>
    <w:link w:val="Heading2Char"/>
    <w:uiPriority w:val="9"/>
    <w:unhideWhenUsed/>
    <w:qFormat/>
    <w:pPr>
      <w:spacing w:before="1"/>
      <w:ind w:left="1126" w:hanging="2"/>
      <w:outlineLvl w:val="1"/>
    </w:pPr>
    <w:rPr>
      <w:b/>
      <w:bCs/>
      <w:sz w:val="26"/>
      <w:szCs w:val="26"/>
    </w:rPr>
  </w:style>
  <w:style w:type="paragraph" w:styleId="Heading3">
    <w:name w:val="heading 3"/>
    <w:basedOn w:val="Normal"/>
    <w:uiPriority w:val="9"/>
    <w:unhideWhenUsed/>
    <w:qFormat/>
    <w:pPr>
      <w:ind w:left="191"/>
      <w:outlineLvl w:val="2"/>
    </w:pPr>
    <w:rPr>
      <w:sz w:val="26"/>
      <w:szCs w:val="26"/>
    </w:rPr>
  </w:style>
  <w:style w:type="paragraph" w:styleId="Heading4">
    <w:name w:val="heading 4"/>
    <w:basedOn w:val="Normal"/>
    <w:link w:val="Heading4Char"/>
    <w:uiPriority w:val="9"/>
    <w:unhideWhenUsed/>
    <w:qFormat/>
    <w:pPr>
      <w:ind w:left="988"/>
      <w:outlineLvl w:val="3"/>
    </w:pPr>
    <w:rPr>
      <w:b/>
      <w:bCs/>
      <w:sz w:val="25"/>
      <w:szCs w:val="25"/>
    </w:rPr>
  </w:style>
  <w:style w:type="paragraph" w:styleId="Heading5">
    <w:name w:val="heading 5"/>
    <w:basedOn w:val="Normal"/>
    <w:uiPriority w:val="9"/>
    <w:unhideWhenUsed/>
    <w:qFormat/>
    <w:pPr>
      <w:ind w:left="928"/>
      <w:outlineLvl w:val="4"/>
    </w:pPr>
    <w:rPr>
      <w:sz w:val="25"/>
      <w:szCs w:val="25"/>
    </w:rPr>
  </w:style>
  <w:style w:type="paragraph" w:styleId="Heading6">
    <w:name w:val="heading 6"/>
    <w:basedOn w:val="Normal"/>
    <w:uiPriority w:val="9"/>
    <w:unhideWhenUsed/>
    <w:qFormat/>
    <w:pPr>
      <w:ind w:left="913"/>
      <w:outlineLvl w:val="5"/>
    </w:pPr>
    <w:rPr>
      <w:b/>
      <w:bCs/>
      <w:i/>
      <w:iCs/>
      <w:sz w:val="23"/>
      <w:szCs w:val="23"/>
    </w:rPr>
  </w:style>
  <w:style w:type="paragraph" w:styleId="Heading7">
    <w:name w:val="heading 7"/>
    <w:basedOn w:val="Normal"/>
    <w:uiPriority w:val="1"/>
    <w:qFormat/>
    <w:pPr>
      <w:ind w:left="906"/>
      <w:outlineLvl w:val="6"/>
    </w:pPr>
    <w:rPr>
      <w:b/>
      <w:bCs/>
    </w:rPr>
  </w:style>
  <w:style w:type="paragraph" w:styleId="Heading8">
    <w:name w:val="heading 8"/>
    <w:basedOn w:val="Normal"/>
    <w:uiPriority w:val="1"/>
    <w:qFormat/>
    <w:pPr>
      <w:ind w:left="1014"/>
      <w:outlineLvl w:val="7"/>
    </w:pPr>
    <w:rPr>
      <w:b/>
      <w:bCs/>
      <w:i/>
      <w:iCs/>
    </w:rPr>
  </w:style>
  <w:style w:type="paragraph" w:styleId="Heading9">
    <w:name w:val="heading 9"/>
    <w:basedOn w:val="Normal"/>
    <w:uiPriority w:val="1"/>
    <w:qFormat/>
    <w:pPr>
      <w:ind w:left="1140" w:hanging="344"/>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695"/>
    </w:pPr>
    <w:rPr>
      <w:sz w:val="20"/>
      <w:szCs w:val="20"/>
    </w:rPr>
  </w:style>
  <w:style w:type="paragraph" w:styleId="TOC2">
    <w:name w:val="toc 2"/>
    <w:basedOn w:val="Normal"/>
    <w:uiPriority w:val="39"/>
    <w:qFormat/>
    <w:pPr>
      <w:spacing w:before="145"/>
      <w:ind w:left="702"/>
    </w:pPr>
    <w:rPr>
      <w:sz w:val="20"/>
      <w:szCs w:val="20"/>
    </w:rPr>
  </w:style>
  <w:style w:type="paragraph" w:styleId="BodyText">
    <w:name w:val="Body Text"/>
    <w:basedOn w:val="Normal"/>
    <w:link w:val="BodyTextChar"/>
    <w:uiPriority w:val="99"/>
    <w:qFormat/>
    <w:rPr>
      <w:sz w:val="21"/>
      <w:szCs w:val="21"/>
    </w:rPr>
  </w:style>
  <w:style w:type="paragraph" w:styleId="ListParagraph">
    <w:name w:val="List Paragraph"/>
    <w:basedOn w:val="Normal"/>
    <w:link w:val="ListParagraphChar"/>
    <w:uiPriority w:val="34"/>
    <w:qFormat/>
    <w:pPr>
      <w:ind w:left="1599" w:hanging="352"/>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651783"/>
    <w:rPr>
      <w:sz w:val="20"/>
      <w:szCs w:val="20"/>
    </w:rPr>
  </w:style>
  <w:style w:type="character" w:customStyle="1" w:styleId="FootnoteTextChar">
    <w:name w:val="Footnote Text Char"/>
    <w:basedOn w:val="DefaultParagraphFont"/>
    <w:link w:val="FootnoteText"/>
    <w:uiPriority w:val="99"/>
    <w:rsid w:val="0065178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51783"/>
    <w:rPr>
      <w:vertAlign w:val="superscript"/>
    </w:rPr>
  </w:style>
  <w:style w:type="character" w:styleId="Hyperlink">
    <w:name w:val="Hyperlink"/>
    <w:basedOn w:val="DefaultParagraphFont"/>
    <w:uiPriority w:val="99"/>
    <w:unhideWhenUsed/>
    <w:rsid w:val="001C406D"/>
    <w:rPr>
      <w:color w:val="0000FF" w:themeColor="hyperlink"/>
      <w:u w:val="single"/>
    </w:rPr>
  </w:style>
  <w:style w:type="character" w:styleId="UnresolvedMention">
    <w:name w:val="Unresolved Mention"/>
    <w:basedOn w:val="DefaultParagraphFont"/>
    <w:uiPriority w:val="99"/>
    <w:semiHidden/>
    <w:unhideWhenUsed/>
    <w:rsid w:val="001C406D"/>
    <w:rPr>
      <w:color w:val="605E5C"/>
      <w:shd w:val="clear" w:color="auto" w:fill="E1DFDD"/>
    </w:rPr>
  </w:style>
  <w:style w:type="table" w:styleId="TableGrid">
    <w:name w:val="Table Grid"/>
    <w:basedOn w:val="TableNormal"/>
    <w:uiPriority w:val="39"/>
    <w:rsid w:val="00CE4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B5BC7"/>
    <w:pPr>
      <w:keepNext/>
      <w:keepLines/>
      <w:spacing w:before="240"/>
      <w:ind w:left="0" w:right="0"/>
      <w:jc w:val="left"/>
      <w:outlineLvl w:val="9"/>
    </w:pPr>
    <w:rPr>
      <w:rFonts w:asciiTheme="majorHAnsi" w:eastAsiaTheme="majorEastAsia" w:hAnsiTheme="majorHAnsi" w:cstheme="majorBidi"/>
      <w:color w:val="365F91" w:themeColor="accent1" w:themeShade="BF"/>
      <w:sz w:val="32"/>
      <w:szCs w:val="32"/>
    </w:rPr>
  </w:style>
  <w:style w:type="numbering" w:customStyle="1" w:styleId="NoList1">
    <w:name w:val="No List1"/>
    <w:next w:val="NoList"/>
    <w:uiPriority w:val="99"/>
    <w:semiHidden/>
    <w:unhideWhenUsed/>
    <w:rsid w:val="0043456B"/>
  </w:style>
  <w:style w:type="table" w:customStyle="1" w:styleId="TableGrid1">
    <w:name w:val="Table Grid1"/>
    <w:basedOn w:val="TableNormal"/>
    <w:next w:val="TableGrid"/>
    <w:uiPriority w:val="59"/>
    <w:rsid w:val="0043456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456B"/>
    <w:pPr>
      <w:widowControl/>
      <w:tabs>
        <w:tab w:val="center" w:pos="4680"/>
        <w:tab w:val="right" w:pos="9360"/>
      </w:tabs>
      <w:autoSpaceDE/>
      <w:autoSpaceDN/>
    </w:pPr>
    <w:rPr>
      <w:rFonts w:ascii="Calibri" w:eastAsia="Calibri" w:hAnsi="Calibri"/>
    </w:rPr>
  </w:style>
  <w:style w:type="character" w:customStyle="1" w:styleId="HeaderChar">
    <w:name w:val="Header Char"/>
    <w:basedOn w:val="DefaultParagraphFont"/>
    <w:link w:val="Header"/>
    <w:uiPriority w:val="99"/>
    <w:rsid w:val="0043456B"/>
    <w:rPr>
      <w:rFonts w:ascii="Calibri" w:eastAsia="Calibri" w:hAnsi="Calibri" w:cs="Times New Roman"/>
    </w:rPr>
  </w:style>
  <w:style w:type="paragraph" w:styleId="NoSpacing">
    <w:name w:val="No Spacing"/>
    <w:uiPriority w:val="1"/>
    <w:qFormat/>
    <w:rsid w:val="0043456B"/>
    <w:pPr>
      <w:widowControl/>
      <w:autoSpaceDE/>
      <w:autoSpaceDN/>
    </w:pPr>
  </w:style>
  <w:style w:type="paragraph" w:customStyle="1" w:styleId="Default">
    <w:name w:val="Default"/>
    <w:rsid w:val="0043456B"/>
    <w:pPr>
      <w:widowControl/>
      <w:adjustRightInd w:val="0"/>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43456B"/>
    <w:pPr>
      <w:widowControl/>
      <w:autoSpaceDE/>
      <w:autoSpaceDN/>
    </w:pPr>
    <w:rPr>
      <w:rFonts w:ascii="Calibri" w:eastAsia="Calibri" w:hAnsi="Calibri"/>
      <w:sz w:val="20"/>
      <w:szCs w:val="20"/>
    </w:rPr>
  </w:style>
  <w:style w:type="character" w:customStyle="1" w:styleId="EndnoteTextChar">
    <w:name w:val="Endnote Text Char"/>
    <w:basedOn w:val="DefaultParagraphFont"/>
    <w:link w:val="EndnoteText"/>
    <w:uiPriority w:val="99"/>
    <w:rsid w:val="0043456B"/>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3456B"/>
    <w:rPr>
      <w:vertAlign w:val="superscript"/>
    </w:rPr>
  </w:style>
  <w:style w:type="paragraph" w:styleId="BalloonText">
    <w:name w:val="Balloon Text"/>
    <w:basedOn w:val="Normal"/>
    <w:link w:val="BalloonTextChar"/>
    <w:uiPriority w:val="99"/>
    <w:semiHidden/>
    <w:unhideWhenUsed/>
    <w:rsid w:val="0043456B"/>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456B"/>
    <w:rPr>
      <w:rFonts w:ascii="Tahoma" w:eastAsia="Calibri" w:hAnsi="Tahoma" w:cs="Tahoma"/>
      <w:sz w:val="16"/>
      <w:szCs w:val="16"/>
    </w:rPr>
  </w:style>
  <w:style w:type="character" w:customStyle="1" w:styleId="Heading1Char">
    <w:name w:val="Heading 1 Char"/>
    <w:basedOn w:val="DefaultParagraphFont"/>
    <w:link w:val="Heading1"/>
    <w:uiPriority w:val="9"/>
    <w:rsid w:val="0043456B"/>
    <w:rPr>
      <w:rFonts w:ascii="Times New Roman" w:eastAsia="Times New Roman" w:hAnsi="Times New Roman" w:cs="Times New Roman"/>
      <w:sz w:val="65"/>
      <w:szCs w:val="65"/>
    </w:rPr>
  </w:style>
  <w:style w:type="character" w:styleId="CommentReference">
    <w:name w:val="annotation reference"/>
    <w:basedOn w:val="DefaultParagraphFont"/>
    <w:uiPriority w:val="99"/>
    <w:semiHidden/>
    <w:unhideWhenUsed/>
    <w:rsid w:val="0043456B"/>
    <w:rPr>
      <w:sz w:val="16"/>
      <w:szCs w:val="16"/>
    </w:rPr>
  </w:style>
  <w:style w:type="paragraph" w:styleId="CommentText">
    <w:name w:val="annotation text"/>
    <w:basedOn w:val="Normal"/>
    <w:link w:val="CommentTextChar"/>
    <w:uiPriority w:val="99"/>
    <w:unhideWhenUsed/>
    <w:rsid w:val="0043456B"/>
    <w:pPr>
      <w:widowControl/>
      <w:autoSpaceDE/>
      <w:autoSpaceDN/>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43456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456B"/>
    <w:rPr>
      <w:b/>
      <w:bCs/>
    </w:rPr>
  </w:style>
  <w:style w:type="character" w:customStyle="1" w:styleId="CommentSubjectChar">
    <w:name w:val="Comment Subject Char"/>
    <w:basedOn w:val="CommentTextChar"/>
    <w:link w:val="CommentSubject"/>
    <w:uiPriority w:val="99"/>
    <w:semiHidden/>
    <w:rsid w:val="0043456B"/>
    <w:rPr>
      <w:rFonts w:ascii="Calibri" w:eastAsia="Calibri" w:hAnsi="Calibri" w:cs="Times New Roman"/>
      <w:b/>
      <w:bCs/>
      <w:sz w:val="20"/>
      <w:szCs w:val="20"/>
    </w:rPr>
  </w:style>
  <w:style w:type="character" w:customStyle="1" w:styleId="BodyTextChar">
    <w:name w:val="Body Text Char"/>
    <w:basedOn w:val="DefaultParagraphFont"/>
    <w:link w:val="BodyText"/>
    <w:uiPriority w:val="99"/>
    <w:rsid w:val="0043456B"/>
    <w:rPr>
      <w:rFonts w:ascii="Times New Roman" w:eastAsia="Times New Roman" w:hAnsi="Times New Roman" w:cs="Times New Roman"/>
      <w:sz w:val="21"/>
      <w:szCs w:val="21"/>
    </w:rPr>
  </w:style>
  <w:style w:type="paragraph" w:styleId="Footer">
    <w:name w:val="footer"/>
    <w:basedOn w:val="Normal"/>
    <w:link w:val="FooterChar"/>
    <w:uiPriority w:val="99"/>
    <w:unhideWhenUsed/>
    <w:rsid w:val="0043456B"/>
    <w:pPr>
      <w:widowControl/>
      <w:tabs>
        <w:tab w:val="center" w:pos="4680"/>
        <w:tab w:val="right" w:pos="9360"/>
      </w:tabs>
      <w:autoSpaceDE/>
      <w:autoSpaceDN/>
    </w:pPr>
    <w:rPr>
      <w:rFonts w:ascii="Calibri" w:eastAsia="Calibri" w:hAnsi="Calibri"/>
    </w:rPr>
  </w:style>
  <w:style w:type="character" w:customStyle="1" w:styleId="FooterChar">
    <w:name w:val="Footer Char"/>
    <w:basedOn w:val="DefaultParagraphFont"/>
    <w:link w:val="Footer"/>
    <w:uiPriority w:val="99"/>
    <w:rsid w:val="0043456B"/>
    <w:rPr>
      <w:rFonts w:ascii="Calibri" w:eastAsia="Calibri" w:hAnsi="Calibri" w:cs="Times New Roman"/>
    </w:rPr>
  </w:style>
  <w:style w:type="character" w:customStyle="1" w:styleId="Heading2Char">
    <w:name w:val="Heading 2 Char"/>
    <w:basedOn w:val="DefaultParagraphFont"/>
    <w:link w:val="Heading2"/>
    <w:uiPriority w:val="9"/>
    <w:rsid w:val="0043456B"/>
    <w:rPr>
      <w:rFonts w:ascii="Times New Roman" w:eastAsia="Times New Roman" w:hAnsi="Times New Roman" w:cs="Times New Roman"/>
      <w:b/>
      <w:bCs/>
      <w:sz w:val="26"/>
      <w:szCs w:val="26"/>
    </w:rPr>
  </w:style>
  <w:style w:type="character" w:customStyle="1" w:styleId="ListParagraphChar">
    <w:name w:val="List Paragraph Char"/>
    <w:basedOn w:val="DefaultParagraphFont"/>
    <w:link w:val="ListParagraph"/>
    <w:uiPriority w:val="34"/>
    <w:locked/>
    <w:rsid w:val="0043456B"/>
    <w:rPr>
      <w:rFonts w:ascii="Times New Roman" w:eastAsia="Times New Roman" w:hAnsi="Times New Roman" w:cs="Times New Roman"/>
    </w:rPr>
  </w:style>
  <w:style w:type="table" w:customStyle="1" w:styleId="GridTable4-Accent11">
    <w:name w:val="Grid Table 4 - Accent 11"/>
    <w:basedOn w:val="TableNormal"/>
    <w:uiPriority w:val="49"/>
    <w:rsid w:val="0043456B"/>
    <w:pPr>
      <w:widowControl/>
      <w:autoSpaceDE/>
      <w:autoSpaceDN/>
    </w:pPr>
    <w:tblPr>
      <w:tblStyleRowBandSize w:val="1"/>
      <w:tblStyleColBandSize w:val="1"/>
      <w:tblBorders>
        <w:top w:val="single" w:sz="4" w:space="0" w:color="9FACD2"/>
        <w:left w:val="single" w:sz="4" w:space="0" w:color="9FACD2"/>
        <w:bottom w:val="single" w:sz="4" w:space="0" w:color="9FACD2"/>
        <w:right w:val="single" w:sz="4" w:space="0" w:color="9FACD2"/>
        <w:insideH w:val="single" w:sz="4" w:space="0" w:color="9FACD2"/>
        <w:insideV w:val="single" w:sz="4" w:space="0" w:color="9FACD2"/>
      </w:tblBorders>
    </w:tblPr>
    <w:tblStylePr w:type="firstRow">
      <w:rPr>
        <w:b/>
        <w:bCs/>
        <w:color w:val="FFFFFF"/>
      </w:rPr>
      <w:tblPr/>
      <w:tcPr>
        <w:tcBorders>
          <w:top w:val="single" w:sz="4" w:space="0" w:color="6076B4"/>
          <w:left w:val="single" w:sz="4" w:space="0" w:color="6076B4"/>
          <w:bottom w:val="single" w:sz="4" w:space="0" w:color="6076B4"/>
          <w:right w:val="single" w:sz="4" w:space="0" w:color="6076B4"/>
          <w:insideH w:val="nil"/>
          <w:insideV w:val="nil"/>
        </w:tcBorders>
        <w:shd w:val="clear" w:color="auto" w:fill="6076B4"/>
      </w:tcPr>
    </w:tblStylePr>
    <w:tblStylePr w:type="lastRow">
      <w:rPr>
        <w:b/>
        <w:bCs/>
      </w:rPr>
      <w:tblPr/>
      <w:tcPr>
        <w:tcBorders>
          <w:top w:val="double" w:sz="4" w:space="0" w:color="6076B4"/>
        </w:tcBorders>
      </w:tcPr>
    </w:tblStylePr>
    <w:tblStylePr w:type="firstCol">
      <w:rPr>
        <w:b/>
        <w:bCs/>
      </w:rPr>
    </w:tblStylePr>
    <w:tblStylePr w:type="lastCol">
      <w:rPr>
        <w:b/>
        <w:bCs/>
      </w:rPr>
    </w:tblStylePr>
    <w:tblStylePr w:type="band1Vert">
      <w:tblPr/>
      <w:tcPr>
        <w:shd w:val="clear" w:color="auto" w:fill="DFE3F0"/>
      </w:tcPr>
    </w:tblStylePr>
    <w:tblStylePr w:type="band1Horz">
      <w:tblPr/>
      <w:tcPr>
        <w:shd w:val="clear" w:color="auto" w:fill="DFE3F0"/>
      </w:tcPr>
    </w:tblStylePr>
  </w:style>
  <w:style w:type="paragraph" w:styleId="Revision">
    <w:name w:val="Revision"/>
    <w:hidden/>
    <w:uiPriority w:val="99"/>
    <w:semiHidden/>
    <w:rsid w:val="0043456B"/>
    <w:pPr>
      <w:widowControl/>
      <w:autoSpaceDE/>
      <w:autoSpaceDN/>
    </w:pPr>
  </w:style>
  <w:style w:type="character" w:customStyle="1" w:styleId="UnresolvedMention1">
    <w:name w:val="Unresolved Mention1"/>
    <w:basedOn w:val="DefaultParagraphFont"/>
    <w:uiPriority w:val="99"/>
    <w:semiHidden/>
    <w:unhideWhenUsed/>
    <w:rsid w:val="0043456B"/>
    <w:rPr>
      <w:color w:val="605E5C"/>
      <w:shd w:val="clear" w:color="auto" w:fill="E1DFDD"/>
    </w:rPr>
  </w:style>
  <w:style w:type="paragraph" w:styleId="NormalWeb">
    <w:name w:val="Normal (Web)"/>
    <w:basedOn w:val="Normal"/>
    <w:uiPriority w:val="99"/>
    <w:unhideWhenUsed/>
    <w:rsid w:val="0043456B"/>
    <w:pPr>
      <w:widowControl/>
      <w:autoSpaceDE/>
      <w:autoSpaceDN/>
    </w:pPr>
    <w:rPr>
      <w:rFonts w:eastAsia="Calibri"/>
      <w:sz w:val="24"/>
      <w:szCs w:val="24"/>
    </w:rPr>
  </w:style>
  <w:style w:type="paragraph" w:customStyle="1" w:styleId="Caption1">
    <w:name w:val="Caption1"/>
    <w:basedOn w:val="Normal"/>
    <w:next w:val="Normal"/>
    <w:uiPriority w:val="35"/>
    <w:unhideWhenUsed/>
    <w:qFormat/>
    <w:rsid w:val="0043456B"/>
    <w:pPr>
      <w:widowControl/>
      <w:autoSpaceDE/>
      <w:autoSpaceDN/>
      <w:spacing w:after="200"/>
    </w:pPr>
    <w:rPr>
      <w:rFonts w:ascii="Calibri" w:eastAsia="Calibri" w:hAnsi="Calibri"/>
      <w:b/>
      <w:bCs/>
      <w:color w:val="6076B4"/>
      <w:sz w:val="18"/>
      <w:szCs w:val="18"/>
    </w:rPr>
  </w:style>
  <w:style w:type="character" w:customStyle="1" w:styleId="UnresolvedMention2">
    <w:name w:val="Unresolved Mention2"/>
    <w:basedOn w:val="DefaultParagraphFont"/>
    <w:uiPriority w:val="99"/>
    <w:semiHidden/>
    <w:unhideWhenUsed/>
    <w:rsid w:val="0043456B"/>
    <w:rPr>
      <w:color w:val="605E5C"/>
      <w:shd w:val="clear" w:color="auto" w:fill="E1DFDD"/>
    </w:rPr>
  </w:style>
  <w:style w:type="character" w:customStyle="1" w:styleId="UnresolvedMention3">
    <w:name w:val="Unresolved Mention3"/>
    <w:basedOn w:val="DefaultParagraphFont"/>
    <w:uiPriority w:val="99"/>
    <w:semiHidden/>
    <w:unhideWhenUsed/>
    <w:rsid w:val="0043456B"/>
    <w:rPr>
      <w:color w:val="605E5C"/>
      <w:shd w:val="clear" w:color="auto" w:fill="E1DFDD"/>
    </w:rPr>
  </w:style>
  <w:style w:type="character" w:customStyle="1" w:styleId="UnresolvedMention4">
    <w:name w:val="Unresolved Mention4"/>
    <w:basedOn w:val="DefaultParagraphFont"/>
    <w:uiPriority w:val="99"/>
    <w:semiHidden/>
    <w:unhideWhenUsed/>
    <w:rsid w:val="0043456B"/>
    <w:rPr>
      <w:color w:val="605E5C"/>
      <w:shd w:val="clear" w:color="auto" w:fill="E1DFDD"/>
    </w:rPr>
  </w:style>
  <w:style w:type="character" w:customStyle="1" w:styleId="UnresolvedMention5">
    <w:name w:val="Unresolved Mention5"/>
    <w:basedOn w:val="DefaultParagraphFont"/>
    <w:uiPriority w:val="99"/>
    <w:semiHidden/>
    <w:unhideWhenUsed/>
    <w:rsid w:val="0043456B"/>
    <w:rPr>
      <w:color w:val="605E5C"/>
      <w:shd w:val="clear" w:color="auto" w:fill="E1DFDD"/>
    </w:rPr>
  </w:style>
  <w:style w:type="paragraph" w:styleId="HTMLPreformatted">
    <w:name w:val="HTML Preformatted"/>
    <w:basedOn w:val="Normal"/>
    <w:link w:val="HTMLPreformattedChar"/>
    <w:uiPriority w:val="99"/>
    <w:unhideWhenUsed/>
    <w:rsid w:val="0043456B"/>
    <w:pPr>
      <w:widowControl/>
      <w:autoSpaceDE/>
      <w:autoSpaceDN/>
    </w:pPr>
    <w:rPr>
      <w:rFonts w:ascii="Consolas" w:eastAsia="Calibri" w:hAnsi="Consolas" w:cs="Consolas"/>
      <w:sz w:val="20"/>
      <w:szCs w:val="20"/>
    </w:rPr>
  </w:style>
  <w:style w:type="character" w:customStyle="1" w:styleId="HTMLPreformattedChar">
    <w:name w:val="HTML Preformatted Char"/>
    <w:basedOn w:val="DefaultParagraphFont"/>
    <w:link w:val="HTMLPreformatted"/>
    <w:uiPriority w:val="99"/>
    <w:rsid w:val="0043456B"/>
    <w:rPr>
      <w:rFonts w:ascii="Consolas" w:eastAsia="Calibri" w:hAnsi="Consolas" w:cs="Consolas"/>
      <w:sz w:val="20"/>
      <w:szCs w:val="20"/>
    </w:rPr>
  </w:style>
  <w:style w:type="character" w:customStyle="1" w:styleId="UnresolvedMention6">
    <w:name w:val="Unresolved Mention6"/>
    <w:basedOn w:val="DefaultParagraphFont"/>
    <w:uiPriority w:val="99"/>
    <w:semiHidden/>
    <w:unhideWhenUsed/>
    <w:rsid w:val="0043456B"/>
    <w:rPr>
      <w:color w:val="605E5C"/>
      <w:shd w:val="clear" w:color="auto" w:fill="E1DFDD"/>
    </w:rPr>
  </w:style>
  <w:style w:type="character" w:customStyle="1" w:styleId="UnresolvedMention7">
    <w:name w:val="Unresolved Mention7"/>
    <w:basedOn w:val="DefaultParagraphFont"/>
    <w:uiPriority w:val="99"/>
    <w:semiHidden/>
    <w:unhideWhenUsed/>
    <w:rsid w:val="0043456B"/>
    <w:rPr>
      <w:color w:val="605E5C"/>
      <w:shd w:val="clear" w:color="auto" w:fill="E1DFDD"/>
    </w:rPr>
  </w:style>
  <w:style w:type="character" w:styleId="Strong">
    <w:name w:val="Strong"/>
    <w:basedOn w:val="DefaultParagraphFont"/>
    <w:uiPriority w:val="22"/>
    <w:qFormat/>
    <w:rsid w:val="0043456B"/>
    <w:rPr>
      <w:b/>
      <w:bCs/>
    </w:rPr>
  </w:style>
  <w:style w:type="character" w:customStyle="1" w:styleId="Heading4Char">
    <w:name w:val="Heading 4 Char"/>
    <w:basedOn w:val="DefaultParagraphFont"/>
    <w:link w:val="Heading4"/>
    <w:uiPriority w:val="9"/>
    <w:rsid w:val="0043456B"/>
    <w:rPr>
      <w:rFonts w:ascii="Times New Roman" w:eastAsia="Times New Roman" w:hAnsi="Times New Roman" w:cs="Times New Roman"/>
      <w:b/>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3" Type="http://schemas.openxmlformats.org/officeDocument/2006/relationships/hyperlink" Target="https://www.painphysicianjournal.com/current/pdf?article=MjcwNQ%3D%3D&amp;journal=96" TargetMode="External"/><Relationship Id="rId18" Type="http://schemas.openxmlformats.org/officeDocument/2006/relationships/hyperlink" Target="https://www.ncbi.nlm.nih.gov/pmc/articles/PMC4600358/" TargetMode="External"/><Relationship Id="rId26" Type="http://schemas.openxmlformats.org/officeDocument/2006/relationships/hyperlink" Target="https://www.healthypeople.gov/2020/topics-objectives/topic/Access-to-Health-Services" TargetMode="External"/><Relationship Id="rId39" Type="http://schemas.openxmlformats.org/officeDocument/2006/relationships/hyperlink" Target="http://www.medpac.gov/docs/default-source/reports/mar19_medpac_ch5_sec.pdf?sfvrsn=0" TargetMode="External"/><Relationship Id="rId21" Type="http://schemas.openxmlformats.org/officeDocument/2006/relationships/hyperlink" Target="https://www.aaos.org/uploadedFiles/1161%20Ambulatory%20Surgical%20Centers.pdf" TargetMode="External"/><Relationship Id="rId34" Type="http://schemas.openxmlformats.org/officeDocument/2006/relationships/hyperlink" Target="https://www.ascassociation.org/HigherLogic/System/DownloadDocumentFile.ashx?DocumentFileKey=829b1dd6-0b5d-9686-e57c-3e2ed4ab42ca&amp;forceDialog=0" TargetMode="External"/><Relationship Id="rId42" Type="http://schemas.openxmlformats.org/officeDocument/2006/relationships/hyperlink" Target="https://www.pyapc.com/wp-content/uploads/2019/04/0419_HFM_McMillan.pdf" TargetMode="External"/><Relationship Id="rId7" Type="http://schemas.openxmlformats.org/officeDocument/2006/relationships/hyperlink" Target="https://www.ncbi.nlm.nih.gov/pmc/articles/PMC3753584/pdf/nihms479319.pdf" TargetMode="External"/><Relationship Id="rId2" Type="http://schemas.openxmlformats.org/officeDocument/2006/relationships/hyperlink" Target="https://www.impact-advisors.com/implementation/surgical-block-utilization/" TargetMode="External"/><Relationship Id="rId16" Type="http://schemas.openxmlformats.org/officeDocument/2006/relationships/hyperlink" Target="https://www.entnet.org/content/intra-operative-use-computer-aided-surgery" TargetMode="External"/><Relationship Id="rId20" Type="http://schemas.openxmlformats.org/officeDocument/2006/relationships/hyperlink" Target="https://www.healthaffairs.org/doi/pdf/10.1377/hlthaff.2013.1281" TargetMode="External"/><Relationship Id="rId29" Type="http://schemas.openxmlformats.org/officeDocument/2006/relationships/hyperlink" Target="https://www.ajmc.com/contributor/michael-abrams/2019/05/coming-to-terms-with-care-migration" TargetMode="External"/><Relationship Id="rId41" Type="http://schemas.openxmlformats.org/officeDocument/2006/relationships/hyperlink" Target="https://www.ascassociation.org/advancingsurgicalcare/aboutascs/industryoverview/apositivetrendinhealthcare" TargetMode="External"/><Relationship Id="rId1" Type="http://schemas.openxmlformats.org/officeDocument/2006/relationships/hyperlink" Target="https://www.painphysicianjournal.com/current/pdf?article=NTQwMQ%3D%3D&amp;journal=113" TargetMode="External"/><Relationship Id="rId6" Type="http://schemas.openxmlformats.org/officeDocument/2006/relationships/hyperlink" Target="https://www.cdc.gov/arthritis/data_statistics/arthritis-related-stats.htm" TargetMode="External"/><Relationship Id="rId11" Type="http://schemas.openxmlformats.org/officeDocument/2006/relationships/hyperlink" Target="https://www.cms.gov/newsroom/fact-sheets/cy-2021-medicare-hospital-outpatient-prospective-payment-system-and-ambulatory-surgical-center-0" TargetMode="External"/><Relationship Id="rId24" Type="http://schemas.openxmlformats.org/officeDocument/2006/relationships/hyperlink" Target="https://www.healthypeople.gov/2020/topics-objectives/topic/Access-to-Health-Services" TargetMode="External"/><Relationship Id="rId32" Type="http://schemas.openxmlformats.org/officeDocument/2006/relationships/hyperlink" Target="https://www.mass.gov/files/documents/2018/12/31/jud-lib-105cmr100.pdf" TargetMode="External"/><Relationship Id="rId37" Type="http://schemas.openxmlformats.org/officeDocument/2006/relationships/hyperlink" Target="https://www.ascassociation.org/advancingsurgicalcare/reducinghealthcarecosts/costsavings/healthcarebluebookstudy" TargetMode="External"/><Relationship Id="rId40" Type="http://schemas.openxmlformats.org/officeDocument/2006/relationships/hyperlink" Target="https://www.brookings.edu/blog/techtank/2019/01/30/procedure-price-lookup-a-step-toward-transparency-in-the-health-care-system/" TargetMode="External"/><Relationship Id="rId5" Type="http://schemas.openxmlformats.org/officeDocument/2006/relationships/hyperlink" Target="https://www.ncbi.nlm.nih.gov/pmc/articles/PMC6059375/pdf/nihms981764.pdf" TargetMode="External"/><Relationship Id="rId15" Type="http://schemas.openxmlformats.org/officeDocument/2006/relationships/hyperlink" Target="https://www.ncbi.nlm.nih.gov/pmc/articles/PMC6544556/pdf/pnz003.pdf" TargetMode="External"/><Relationship Id="rId23" Type="http://schemas.openxmlformats.org/officeDocument/2006/relationships/hyperlink" Target="http://www.medpac.gov/docs/default-source/reports/mar20_medpac_ch5_sec.pdf?sfvrsn=0" TargetMode="External"/><Relationship Id="rId28" Type="http://schemas.openxmlformats.org/officeDocument/2006/relationships/hyperlink" Target="https://www.iaas-med.com/files/Journal/Volume25/AMB_SURG_25_1-UPPAL.pdf" TargetMode="External"/><Relationship Id="rId36" Type="http://schemas.openxmlformats.org/officeDocument/2006/relationships/hyperlink" Target="https://www.beckersasc.com/asc-coding-billing-and-collections/cms-posts-payments-for-ascs-vs-hopds-medicare-pays-ascs-359-less-for-colonoscopy-1-092-less-for-knee-arthroscopy.html" TargetMode="External"/><Relationship Id="rId10" Type="http://schemas.openxmlformats.org/officeDocument/2006/relationships/hyperlink" Target="https://www.ncbi.nlm.nih.gov/pmc/articles/PMC4024102/pdf/nihms568357.pdf" TargetMode="External"/><Relationship Id="rId19" Type="http://schemas.openxmlformats.org/officeDocument/2006/relationships/hyperlink" Target="https://www.hhs.gov/sites/default/files/pain-mgmt-best-practices-draft-final-report-05062019.pdf" TargetMode="External"/><Relationship Id="rId31" Type="http://schemas.openxmlformats.org/officeDocument/2006/relationships/hyperlink" Target="https://www.mass.gov/doc/community-engagement-guidelines-for-community-health-planning-pdf/download" TargetMode="External"/><Relationship Id="rId44" Type="http://schemas.openxmlformats.org/officeDocument/2006/relationships/hyperlink" Target="https://www.pyapc.com/wp-content/uploads/2019/04/0419_HFM_McMillan.pdf" TargetMode="External"/><Relationship Id="rId4" Type="http://schemas.openxmlformats.org/officeDocument/2006/relationships/hyperlink" Target="https://www.ncbi.nlm.nih.gov/pmc/articles/PMC7265183/pdf/RiU022001_0024.pdf" TargetMode="External"/><Relationship Id="rId9" Type="http://schemas.openxmlformats.org/officeDocument/2006/relationships/hyperlink" Target="https://www.cms.gov/Research-Statistics-Data-and-Systems/Statistics-Trends-and-Reports/NationalHealthExpendData/NHE-Fact-Sheet" TargetMode="External"/><Relationship Id="rId14" Type="http://schemas.openxmlformats.org/officeDocument/2006/relationships/hyperlink" Target="file:///C:/Users/lc352/Downloads/d6c73669-7872-4ab4-bdc9-0694d708c136.pdf" TargetMode="External"/><Relationship Id="rId22" Type="http://schemas.openxmlformats.org/officeDocument/2006/relationships/hyperlink" Target="https://higherlogicdownload.s3.amazonaws.com/ASCACONNECT/fd1693e2-e4a8-43d3-816d-17ecfc7d55c1/UploadedImages/About%20Us/ASCs%20-%20A%20Positive%20Trend%20in%20Health%20Care.pdf" TargetMode="External"/><Relationship Id="rId27" Type="http://schemas.openxmlformats.org/officeDocument/2006/relationships/hyperlink" Target="https://www.beckersasc.com/asc-coding-billing-and-collections/shining-a-light-on-the-value-of-value-based-care-ascs-are-positioned-to-lead-the-way.html" TargetMode="External"/><Relationship Id="rId30" Type="http://schemas.openxmlformats.org/officeDocument/2006/relationships/hyperlink" Target="https://www.beckersasc.com/supply-chain/3-reasons-ascs-adopt-ehr-software.html" TargetMode="External"/><Relationship Id="rId35" Type="http://schemas.openxmlformats.org/officeDocument/2006/relationships/hyperlink" Target="https://www.ascassociation.org/advancingsurgicalcare/aboutascs/industryoverview/apositivetrendinhealthcare" TargetMode="External"/><Relationship Id="rId43" Type="http://schemas.openxmlformats.org/officeDocument/2006/relationships/hyperlink" Target="https://www.beckersasc.com/asc-coding-billing-and-collections/shining-a-light-on-the-value-of-value-based-care-ascs-are-positioned-to-lead-the-way.html" TargetMode="External"/><Relationship Id="rId8" Type="http://schemas.openxmlformats.org/officeDocument/2006/relationships/hyperlink" Target="https://www.healthaffairs.org/doi/full/10.1377/hlthaff.2013.1224" TargetMode="External"/><Relationship Id="rId3" Type="http://schemas.openxmlformats.org/officeDocument/2006/relationships/hyperlink" Target="https://www.aaos.org/contentassets/1cd7f41417ec4dd4b5c4c48532183b96/1184-the-impact-of-obesity-on-bone-and-joint-health1.pdf" TargetMode="External"/><Relationship Id="rId12" Type="http://schemas.openxmlformats.org/officeDocument/2006/relationships/hyperlink" Target="https://www.healthypeople.gov/2020/topics-objectives/topic/older-adults" TargetMode="External"/><Relationship Id="rId17" Type="http://schemas.openxmlformats.org/officeDocument/2006/relationships/hyperlink" Target="https://www.advancingsurgicalcare.com/safetyquality/ascqualityreporting" TargetMode="External"/><Relationship Id="rId25" Type="http://schemas.openxmlformats.org/officeDocument/2006/relationships/hyperlink" Target="https://www.countyhealthrankings.org/explore-health-rankings/measures-data-sources/county-health-rankings-model/health-factors/clinical-care/access-to-care" TargetMode="External"/><Relationship Id="rId33" Type="http://schemas.openxmlformats.org/officeDocument/2006/relationships/hyperlink" Target="https://www.ascassociation.org/advancingsurgicalcare/reducinghealthcarecosts/paymentdisparitiesbetweenascsandhopds" TargetMode="External"/><Relationship Id="rId38" Type="http://schemas.openxmlformats.org/officeDocument/2006/relationships/hyperlink" Target="https://www.aha.org/system/files/media/file/2019/04/kng-health-aha-analysis-of-hopd-vs-asc-report.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edicare.gov/procedure-price-lookup" TargetMode="External"/><Relationship Id="rId3" Type="http://schemas.openxmlformats.org/officeDocument/2006/relationships/hyperlink" Target="http://www.cnbc.com/202l/02/l0/lumber-prices-skyrocket" TargetMode="External"/><Relationship Id="rId7" Type="http://schemas.openxmlformats.org/officeDocument/2006/relationships/hyperlink" Target="https://www.minorityhealth.hhs.gov/npa/files/Plans/Toolkit/NPA_Toolkit.pdf" TargetMode="External"/><Relationship Id="rId2" Type="http://schemas.openxmlformats.org/officeDocument/2006/relationships/hyperlink" Target="https://www.cnbc.com/202l/02/l0/lumber-prices-skyrocket&#173;%20pushing-up-housing-costs.html" TargetMode="External"/><Relationship Id="rId1" Type="http://schemas.openxmlformats.org/officeDocument/2006/relationships/hyperlink" Target="https/nahbnow.com/2021/08/building-material-prices&#173;%20climbing-at-record-year-to-date-pace" TargetMode="External"/><Relationship Id="rId6" Type="http://schemas.openxmlformats.org/officeDocument/2006/relationships/hyperlink" Target="https://www.minorityhealth.hhs.gov/npa/files/Plans/Toolkit/NPA_Toolkit.pdf" TargetMode="External"/><Relationship Id="rId5" Type="http://schemas.openxmlformats.org/officeDocument/2006/relationships/hyperlink" Target="http://www.lapptannehill.com/news/post/why-are-prices-skyrocketing-in-wire-and-cable-products" TargetMode="External"/><Relationship Id="rId4" Type="http://schemas.openxmlformats.org/officeDocument/2006/relationships/hyperlink" Target="https://massgov-my.sharepoint.com/personal/brett_marks_mass_gov/Documents/A-Projects%20Yet%20to%20File/New%20England%20Surgery%20Center-Lucy/Accessible%20Documents/https/www.lapptannehill.com/news/post/why-are-prices-skyrocketing-in-wire-and-cable-products" TargetMode="External"/><Relationship Id="rId9" Type="http://schemas.openxmlformats.org/officeDocument/2006/relationships/hyperlink" Target="https://www.medicare.gov/procedure-price-look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3E80A-7FA6-4F2A-BE76-CCAB445F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29</Pages>
  <Words>7870</Words>
  <Characters>44864</Characters>
  <Application>Microsoft Office Word</Application>
  <DocSecurity>0</DocSecurity>
  <Lines>373</Lines>
  <Paragraphs>105</Paragraphs>
  <ScaleCrop>false</ScaleCrop>
  <Company/>
  <LinksUpToDate>false</LinksUpToDate>
  <CharactersWithSpaces>52629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47</cp:revision>
  <dcterms:created xsi:type="dcterms:W3CDTF">2022-07-13T17:37:00Z</dcterms:created>
  <dcterms:modified xsi:type="dcterms:W3CDTF">2022-07-14T14:41:00Z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LastSaved">
    <vt:filetime>2022-07-13T00:00:00Z</vt:filetime>
  </property>
</Properties>
</file>