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89666" w14:textId="77777777" w:rsidR="009C3B6A" w:rsidRDefault="009C3B6A" w:rsidP="009C3B6A">
      <w:pPr>
        <w:pStyle w:val="Body"/>
        <w:rPr>
          <w:sz w:val="28"/>
          <w:szCs w:val="28"/>
        </w:rPr>
      </w:pPr>
      <w:bookmarkStart w:id="0" w:name="_GoBack"/>
      <w:bookmarkEnd w:id="0"/>
      <w:r>
        <w:rPr>
          <w:noProof/>
        </w:rPr>
        <w:drawing>
          <wp:anchor distT="0" distB="0" distL="114300" distR="114300" simplePos="0" relativeHeight="251664384" behindDoc="0" locked="0" layoutInCell="1" allowOverlap="1" wp14:anchorId="0B56AA0B" wp14:editId="16C6110F">
            <wp:simplePos x="0" y="0"/>
            <wp:positionH relativeFrom="column">
              <wp:posOffset>2056765</wp:posOffset>
            </wp:positionH>
            <wp:positionV relativeFrom="paragraph">
              <wp:posOffset>-306772</wp:posOffset>
            </wp:positionV>
            <wp:extent cx="1681179" cy="1681179"/>
            <wp:effectExtent l="0" t="0" r="0" b="0"/>
            <wp:wrapNone/>
            <wp:docPr id="9" name="Picture 9" descr="Image result for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ssachusetts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179" cy="168117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g">
            <w:drawing>
              <wp:anchor distT="0" distB="0" distL="114300" distR="114300" simplePos="0" relativeHeight="251663360" behindDoc="0" locked="0" layoutInCell="1" allowOverlap="1" wp14:anchorId="4789349B" wp14:editId="75B3F513">
                <wp:simplePos x="0" y="0"/>
                <wp:positionH relativeFrom="column">
                  <wp:posOffset>-664845</wp:posOffset>
                </wp:positionH>
                <wp:positionV relativeFrom="paragraph">
                  <wp:posOffset>52705</wp:posOffset>
                </wp:positionV>
                <wp:extent cx="7018655" cy="1024890"/>
                <wp:effectExtent l="0" t="0" r="0" b="3810"/>
                <wp:wrapSquare wrapText="bothSides"/>
                <wp:docPr id="8" name="Group 8"/>
                <wp:cNvGraphicFramePr/>
                <a:graphic xmlns:a="http://schemas.openxmlformats.org/drawingml/2006/main">
                  <a:graphicData uri="http://schemas.microsoft.com/office/word/2010/wordprocessingGroup">
                    <wpg:wgp>
                      <wpg:cNvGrpSpPr/>
                      <wpg:grpSpPr>
                        <a:xfrm>
                          <a:off x="0" y="0"/>
                          <a:ext cx="7018655" cy="1024890"/>
                          <a:chOff x="0" y="0"/>
                          <a:chExt cx="7019078" cy="1025245"/>
                        </a:xfrm>
                      </wpg:grpSpPr>
                      <wps:wsp>
                        <wps:cNvPr id="217" name="Text Box 2"/>
                        <wps:cNvSpPr txBox="1">
                          <a:spLocks noChangeArrowheads="1"/>
                        </wps:cNvSpPr>
                        <wps:spPr bwMode="auto">
                          <a:xfrm>
                            <a:off x="0" y="0"/>
                            <a:ext cx="1896745" cy="1022985"/>
                          </a:xfrm>
                          <a:prstGeom prst="rect">
                            <a:avLst/>
                          </a:prstGeom>
                          <a:noFill/>
                          <a:ln w="9525">
                            <a:noFill/>
                            <a:miter lim="800000"/>
                            <a:headEnd/>
                            <a:tailEnd/>
                          </a:ln>
                        </wps:spPr>
                        <wps:txbx>
                          <w:txbxContent>
                            <w:p w14:paraId="20213768" w14:textId="77777777" w:rsidR="0025116E" w:rsidRPr="00865B29" w:rsidRDefault="0025116E" w:rsidP="009C3B6A">
                              <w:pPr>
                                <w:jc w:val="center"/>
                                <w:rPr>
                                  <w:rFonts w:ascii="Calibri" w:hAnsi="Calibri" w:cs="Calibri"/>
                                  <w:b/>
                                  <w:color w:val="FFFFFF" w:themeColor="background1"/>
                                </w:rPr>
                              </w:pPr>
                              <w:r w:rsidRPr="00865B29">
                                <w:rPr>
                                  <w:rFonts w:ascii="Calibri" w:hAnsi="Calibri" w:cs="Calibri"/>
                                  <w:b/>
                                  <w:color w:val="FFFFFF" w:themeColor="background1"/>
                                </w:rPr>
                                <w:t>Charles D. Baker</w:t>
                              </w:r>
                            </w:p>
                            <w:p w14:paraId="35574DC6" w14:textId="77777777" w:rsidR="0025116E" w:rsidRPr="00865B29" w:rsidRDefault="0025116E" w:rsidP="009C3B6A">
                              <w:pPr>
                                <w:jc w:val="center"/>
                                <w:rPr>
                                  <w:rFonts w:ascii="Calibri" w:hAnsi="Calibri" w:cs="Calibri"/>
                                  <w:color w:val="FFFFFF" w:themeColor="background1"/>
                                </w:rPr>
                              </w:pPr>
                              <w:r w:rsidRPr="00865B29">
                                <w:rPr>
                                  <w:rFonts w:ascii="Calibri" w:hAnsi="Calibri" w:cs="Calibri"/>
                                  <w:color w:val="FFFFFF" w:themeColor="background1"/>
                                </w:rPr>
                                <w:t>Governor</w:t>
                              </w:r>
                            </w:p>
                            <w:p w14:paraId="714F7939" w14:textId="77777777" w:rsidR="0025116E" w:rsidRPr="00865B29" w:rsidRDefault="0025116E" w:rsidP="009C3B6A">
                              <w:pPr>
                                <w:jc w:val="center"/>
                                <w:rPr>
                                  <w:rFonts w:ascii="Calibri" w:hAnsi="Calibri" w:cs="Calibri"/>
                                  <w:color w:val="FFFFFF" w:themeColor="background1"/>
                                </w:rPr>
                              </w:pPr>
                            </w:p>
                            <w:p w14:paraId="10EA66D0" w14:textId="77777777" w:rsidR="0025116E" w:rsidRPr="00865B29" w:rsidRDefault="0025116E" w:rsidP="009C3B6A">
                              <w:pPr>
                                <w:jc w:val="center"/>
                                <w:rPr>
                                  <w:rFonts w:ascii="Calibri" w:hAnsi="Calibri" w:cs="Calibri"/>
                                  <w:b/>
                                  <w:color w:val="FFFFFF" w:themeColor="background1"/>
                                </w:rPr>
                              </w:pPr>
                              <w:r w:rsidRPr="00865B29">
                                <w:rPr>
                                  <w:rFonts w:ascii="Calibri" w:hAnsi="Calibri" w:cs="Calibri"/>
                                  <w:b/>
                                  <w:color w:val="FFFFFF" w:themeColor="background1"/>
                                </w:rPr>
                                <w:t>Karyn Polito</w:t>
                              </w:r>
                            </w:p>
                            <w:p w14:paraId="0B76EAA5" w14:textId="77777777" w:rsidR="0025116E" w:rsidRPr="00865B29" w:rsidRDefault="0025116E" w:rsidP="009C3B6A">
                              <w:pPr>
                                <w:jc w:val="center"/>
                                <w:rPr>
                                  <w:rFonts w:ascii="Calibri" w:hAnsi="Calibri" w:cs="Calibri"/>
                                  <w:color w:val="FFFFFF" w:themeColor="background1"/>
                                </w:rPr>
                              </w:pPr>
                              <w:r w:rsidRPr="00865B29">
                                <w:rPr>
                                  <w:rFonts w:ascii="Calibri" w:hAnsi="Calibri" w:cs="Calibri"/>
                                  <w:color w:val="FFFFFF" w:themeColor="background1"/>
                                </w:rPr>
                                <w:t>Lieutenant Governor</w:t>
                              </w:r>
                            </w:p>
                          </w:txbxContent>
                        </wps:txbx>
                        <wps:bodyPr rot="0" vert="horz" wrap="square" lIns="91440" tIns="45720" rIns="91440" bIns="45720" anchor="t" anchorCtr="0">
                          <a:noAutofit/>
                        </wps:bodyPr>
                      </wps:wsp>
                      <wps:wsp>
                        <wps:cNvPr id="7" name="Text Box 2"/>
                        <wps:cNvSpPr txBox="1">
                          <a:spLocks noChangeArrowheads="1"/>
                        </wps:cNvSpPr>
                        <wps:spPr bwMode="auto">
                          <a:xfrm>
                            <a:off x="5122333" y="2260"/>
                            <a:ext cx="1896745" cy="1022985"/>
                          </a:xfrm>
                          <a:prstGeom prst="rect">
                            <a:avLst/>
                          </a:prstGeom>
                          <a:noFill/>
                          <a:ln w="9525">
                            <a:noFill/>
                            <a:miter lim="800000"/>
                            <a:headEnd/>
                            <a:tailEnd/>
                          </a:ln>
                        </wps:spPr>
                        <wps:txbx>
                          <w:txbxContent>
                            <w:p w14:paraId="66DDCF39" w14:textId="77777777" w:rsidR="0025116E" w:rsidRPr="00865B29" w:rsidRDefault="0025116E" w:rsidP="009C3B6A">
                              <w:pPr>
                                <w:jc w:val="center"/>
                                <w:rPr>
                                  <w:rFonts w:ascii="Calibri" w:hAnsi="Calibri" w:cs="Calibri"/>
                                  <w:b/>
                                  <w:color w:val="FFFFFF" w:themeColor="background1"/>
                                </w:rPr>
                              </w:pPr>
                              <w:r>
                                <w:rPr>
                                  <w:rFonts w:ascii="Calibri" w:hAnsi="Calibri" w:cs="Calibri"/>
                                  <w:b/>
                                  <w:color w:val="FFFFFF" w:themeColor="background1"/>
                                </w:rPr>
                                <w:t>Marylou Sudders</w:t>
                              </w:r>
                            </w:p>
                            <w:p w14:paraId="6663A661" w14:textId="77777777" w:rsidR="0025116E" w:rsidRPr="00865B29" w:rsidRDefault="0025116E" w:rsidP="009C3B6A">
                              <w:pPr>
                                <w:jc w:val="center"/>
                                <w:rPr>
                                  <w:rFonts w:ascii="Calibri" w:hAnsi="Calibri" w:cs="Calibri"/>
                                  <w:color w:val="FFFFFF" w:themeColor="background1"/>
                                </w:rPr>
                              </w:pPr>
                              <w:r>
                                <w:rPr>
                                  <w:rFonts w:ascii="Calibri" w:hAnsi="Calibri" w:cs="Calibri"/>
                                  <w:color w:val="FFFFFF" w:themeColor="background1"/>
                                </w:rPr>
                                <w:t>Secretary</w:t>
                              </w:r>
                            </w:p>
                            <w:p w14:paraId="17F2CDED" w14:textId="77777777" w:rsidR="0025116E" w:rsidRPr="00865B29" w:rsidRDefault="0025116E" w:rsidP="009C3B6A">
                              <w:pPr>
                                <w:jc w:val="center"/>
                                <w:rPr>
                                  <w:rFonts w:ascii="Calibri" w:hAnsi="Calibri" w:cs="Calibri"/>
                                  <w:color w:val="FFFFFF" w:themeColor="background1"/>
                                </w:rPr>
                              </w:pPr>
                            </w:p>
                            <w:p w14:paraId="58D2CC25" w14:textId="77777777" w:rsidR="0025116E" w:rsidRPr="00865B29" w:rsidRDefault="0025116E" w:rsidP="009C3B6A">
                              <w:pPr>
                                <w:jc w:val="center"/>
                                <w:rPr>
                                  <w:rFonts w:ascii="Calibri" w:hAnsi="Calibri" w:cs="Calibri"/>
                                  <w:b/>
                                  <w:color w:val="FFFFFF" w:themeColor="background1"/>
                                </w:rPr>
                              </w:pPr>
                              <w:r>
                                <w:rPr>
                                  <w:rFonts w:ascii="Calibri" w:hAnsi="Calibri" w:cs="Calibri"/>
                                  <w:b/>
                                  <w:color w:val="FFFFFF" w:themeColor="background1"/>
                                </w:rPr>
                                <w:t>Jeff McCue</w:t>
                              </w:r>
                            </w:p>
                            <w:p w14:paraId="29EE997C" w14:textId="77777777" w:rsidR="0025116E" w:rsidRPr="00865B29" w:rsidRDefault="0025116E" w:rsidP="009C3B6A">
                              <w:pPr>
                                <w:jc w:val="center"/>
                                <w:rPr>
                                  <w:rFonts w:ascii="Calibri" w:hAnsi="Calibri" w:cs="Calibri"/>
                                  <w:color w:val="FFFFFF" w:themeColor="background1"/>
                                </w:rPr>
                              </w:pPr>
                              <w:r>
                                <w:rPr>
                                  <w:rFonts w:ascii="Calibri" w:hAnsi="Calibri" w:cs="Calibri"/>
                                  <w:color w:val="FFFFFF" w:themeColor="background1"/>
                                </w:rPr>
                                <w:t>Commissioner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FC7D73F" id="Group 8" o:spid="_x0000_s1026" style="position:absolute;margin-left:-52.35pt;margin-top:4.15pt;width:552.65pt;height:80.7pt;z-index:251663360;mso-width-relative:margin" coordsize="70190,1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">
                <v:shapetype id="_x0000_t202" coordsize="21600,21600" o:spt="202" path="m,l,21600r21600,l21600,xe">
                  <v:stroke joinstyle="miter"/>
                  <v:path gradientshapeok="t" o:connecttype="rect"/>
                </v:shapetype>
                <v:shape id="_x0000_s1027" type="#_x0000_t202" style="position:absolute;width:18967;height:10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25116E" w:rsidRPr="00865B29" w:rsidRDefault="0025116E" w:rsidP="009C3B6A">
                        <w:pPr>
                          <w:jc w:val="center"/>
                          <w:rPr>
                            <w:rFonts w:ascii="Calibri" w:hAnsi="Calibri" w:cs="Calibri"/>
                            <w:b/>
                            <w:color w:val="FFFFFF" w:themeColor="background1"/>
                          </w:rPr>
                        </w:pPr>
                        <w:r w:rsidRPr="00865B29">
                          <w:rPr>
                            <w:rFonts w:ascii="Calibri" w:hAnsi="Calibri" w:cs="Calibri"/>
                            <w:b/>
                            <w:color w:val="FFFFFF" w:themeColor="background1"/>
                          </w:rPr>
                          <w:t>Charles D. Baker</w:t>
                        </w:r>
                      </w:p>
                      <w:p w:rsidR="0025116E" w:rsidRPr="00865B29" w:rsidRDefault="0025116E" w:rsidP="009C3B6A">
                        <w:pPr>
                          <w:jc w:val="center"/>
                          <w:rPr>
                            <w:rFonts w:ascii="Calibri" w:hAnsi="Calibri" w:cs="Calibri"/>
                            <w:color w:val="FFFFFF" w:themeColor="background1"/>
                          </w:rPr>
                        </w:pPr>
                        <w:r w:rsidRPr="00865B29">
                          <w:rPr>
                            <w:rFonts w:ascii="Calibri" w:hAnsi="Calibri" w:cs="Calibri"/>
                            <w:color w:val="FFFFFF" w:themeColor="background1"/>
                          </w:rPr>
                          <w:t>Governor</w:t>
                        </w:r>
                      </w:p>
                      <w:p w:rsidR="0025116E" w:rsidRPr="00865B29" w:rsidRDefault="0025116E" w:rsidP="009C3B6A">
                        <w:pPr>
                          <w:jc w:val="center"/>
                          <w:rPr>
                            <w:rFonts w:ascii="Calibri" w:hAnsi="Calibri" w:cs="Calibri"/>
                            <w:color w:val="FFFFFF" w:themeColor="background1"/>
                          </w:rPr>
                        </w:pPr>
                      </w:p>
                      <w:p w:rsidR="0025116E" w:rsidRPr="00865B29" w:rsidRDefault="0025116E" w:rsidP="009C3B6A">
                        <w:pPr>
                          <w:jc w:val="center"/>
                          <w:rPr>
                            <w:rFonts w:ascii="Calibri" w:hAnsi="Calibri" w:cs="Calibri"/>
                            <w:b/>
                            <w:color w:val="FFFFFF" w:themeColor="background1"/>
                          </w:rPr>
                        </w:pPr>
                        <w:proofErr w:type="spellStart"/>
                        <w:r w:rsidRPr="00865B29">
                          <w:rPr>
                            <w:rFonts w:ascii="Calibri" w:hAnsi="Calibri" w:cs="Calibri"/>
                            <w:b/>
                            <w:color w:val="FFFFFF" w:themeColor="background1"/>
                          </w:rPr>
                          <w:t>Karyn</w:t>
                        </w:r>
                        <w:proofErr w:type="spellEnd"/>
                        <w:r w:rsidRPr="00865B29">
                          <w:rPr>
                            <w:rFonts w:ascii="Calibri" w:hAnsi="Calibri" w:cs="Calibri"/>
                            <w:b/>
                            <w:color w:val="FFFFFF" w:themeColor="background1"/>
                          </w:rPr>
                          <w:t xml:space="preserve"> </w:t>
                        </w:r>
                        <w:proofErr w:type="spellStart"/>
                        <w:r w:rsidRPr="00865B29">
                          <w:rPr>
                            <w:rFonts w:ascii="Calibri" w:hAnsi="Calibri" w:cs="Calibri"/>
                            <w:b/>
                            <w:color w:val="FFFFFF" w:themeColor="background1"/>
                          </w:rPr>
                          <w:t>Polito</w:t>
                        </w:r>
                        <w:proofErr w:type="spellEnd"/>
                      </w:p>
                      <w:p w:rsidR="0025116E" w:rsidRPr="00865B29" w:rsidRDefault="0025116E" w:rsidP="009C3B6A">
                        <w:pPr>
                          <w:jc w:val="center"/>
                          <w:rPr>
                            <w:rFonts w:ascii="Calibri" w:hAnsi="Calibri" w:cs="Calibri"/>
                            <w:color w:val="FFFFFF" w:themeColor="background1"/>
                          </w:rPr>
                        </w:pPr>
                        <w:r w:rsidRPr="00865B29">
                          <w:rPr>
                            <w:rFonts w:ascii="Calibri" w:hAnsi="Calibri" w:cs="Calibri"/>
                            <w:color w:val="FFFFFF" w:themeColor="background1"/>
                          </w:rPr>
                          <w:t>Lieutenant Governor</w:t>
                        </w:r>
                      </w:p>
                    </w:txbxContent>
                  </v:textbox>
                </v:shape>
                <v:shape id="_x0000_s1028" type="#_x0000_t202" style="position:absolute;left:51223;top:22;width:18967;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5116E" w:rsidRPr="00865B29" w:rsidRDefault="0025116E" w:rsidP="009C3B6A">
                        <w:pPr>
                          <w:jc w:val="center"/>
                          <w:rPr>
                            <w:rFonts w:ascii="Calibri" w:hAnsi="Calibri" w:cs="Calibri"/>
                            <w:b/>
                            <w:color w:val="FFFFFF" w:themeColor="background1"/>
                          </w:rPr>
                        </w:pPr>
                        <w:r>
                          <w:rPr>
                            <w:rFonts w:ascii="Calibri" w:hAnsi="Calibri" w:cs="Calibri"/>
                            <w:b/>
                            <w:color w:val="FFFFFF" w:themeColor="background1"/>
                          </w:rPr>
                          <w:t xml:space="preserve">Marylou </w:t>
                        </w:r>
                        <w:proofErr w:type="spellStart"/>
                        <w:r>
                          <w:rPr>
                            <w:rFonts w:ascii="Calibri" w:hAnsi="Calibri" w:cs="Calibri"/>
                            <w:b/>
                            <w:color w:val="FFFFFF" w:themeColor="background1"/>
                          </w:rPr>
                          <w:t>Sudders</w:t>
                        </w:r>
                        <w:proofErr w:type="spellEnd"/>
                      </w:p>
                      <w:p w:rsidR="0025116E" w:rsidRPr="00865B29" w:rsidRDefault="0025116E" w:rsidP="009C3B6A">
                        <w:pPr>
                          <w:jc w:val="center"/>
                          <w:rPr>
                            <w:rFonts w:ascii="Calibri" w:hAnsi="Calibri" w:cs="Calibri"/>
                            <w:color w:val="FFFFFF" w:themeColor="background1"/>
                          </w:rPr>
                        </w:pPr>
                        <w:r>
                          <w:rPr>
                            <w:rFonts w:ascii="Calibri" w:hAnsi="Calibri" w:cs="Calibri"/>
                            <w:color w:val="FFFFFF" w:themeColor="background1"/>
                          </w:rPr>
                          <w:t>Secretary</w:t>
                        </w:r>
                      </w:p>
                      <w:p w:rsidR="0025116E" w:rsidRPr="00865B29" w:rsidRDefault="0025116E" w:rsidP="009C3B6A">
                        <w:pPr>
                          <w:jc w:val="center"/>
                          <w:rPr>
                            <w:rFonts w:ascii="Calibri" w:hAnsi="Calibri" w:cs="Calibri"/>
                            <w:color w:val="FFFFFF" w:themeColor="background1"/>
                          </w:rPr>
                        </w:pPr>
                      </w:p>
                      <w:p w:rsidR="0025116E" w:rsidRPr="00865B29" w:rsidRDefault="0025116E" w:rsidP="009C3B6A">
                        <w:pPr>
                          <w:jc w:val="center"/>
                          <w:rPr>
                            <w:rFonts w:ascii="Calibri" w:hAnsi="Calibri" w:cs="Calibri"/>
                            <w:b/>
                            <w:color w:val="FFFFFF" w:themeColor="background1"/>
                          </w:rPr>
                        </w:pPr>
                        <w:r>
                          <w:rPr>
                            <w:rFonts w:ascii="Calibri" w:hAnsi="Calibri" w:cs="Calibri"/>
                            <w:b/>
                            <w:color w:val="FFFFFF" w:themeColor="background1"/>
                          </w:rPr>
                          <w:t>Jeff McCue</w:t>
                        </w:r>
                      </w:p>
                      <w:p w:rsidR="0025116E" w:rsidRPr="00865B29" w:rsidRDefault="0025116E" w:rsidP="009C3B6A">
                        <w:pPr>
                          <w:jc w:val="center"/>
                          <w:rPr>
                            <w:rFonts w:ascii="Calibri" w:hAnsi="Calibri" w:cs="Calibri"/>
                            <w:color w:val="FFFFFF" w:themeColor="background1"/>
                          </w:rPr>
                        </w:pPr>
                        <w:r>
                          <w:rPr>
                            <w:rFonts w:ascii="Calibri" w:hAnsi="Calibri" w:cs="Calibri"/>
                            <w:color w:val="FFFFFF" w:themeColor="background1"/>
                          </w:rPr>
                          <w:t>Commissioner</w:t>
                        </w:r>
                      </w:p>
                    </w:txbxContent>
                  </v:textbox>
                </v:shape>
                <w10:wrap type="square"/>
              </v:group>
            </w:pict>
          </mc:Fallback>
        </mc:AlternateContent>
      </w:r>
      <w:r>
        <w:rPr>
          <w:noProof/>
          <w:sz w:val="28"/>
          <w:szCs w:val="28"/>
        </w:rPr>
        <mc:AlternateContent>
          <mc:Choice Requires="wps">
            <w:drawing>
              <wp:anchor distT="0" distB="0" distL="114300" distR="114300" simplePos="0" relativeHeight="251659264" behindDoc="0" locked="0" layoutInCell="1" allowOverlap="1" wp14:anchorId="13CDC0C8" wp14:editId="57697B44">
                <wp:simplePos x="0" y="0"/>
                <wp:positionH relativeFrom="page">
                  <wp:align>right</wp:align>
                </wp:positionH>
                <wp:positionV relativeFrom="paragraph">
                  <wp:posOffset>-327546</wp:posOffset>
                </wp:positionV>
                <wp:extent cx="7779224" cy="1801504"/>
                <wp:effectExtent l="0" t="0" r="0" b="8255"/>
                <wp:wrapNone/>
                <wp:docPr id="6" name="Rectangle 6"/>
                <wp:cNvGraphicFramePr/>
                <a:graphic xmlns:a="http://schemas.openxmlformats.org/drawingml/2006/main">
                  <a:graphicData uri="http://schemas.microsoft.com/office/word/2010/wordprocessingShape">
                    <wps:wsp>
                      <wps:cNvSpPr/>
                      <wps:spPr>
                        <a:xfrm>
                          <a:off x="0" y="0"/>
                          <a:ext cx="7779224" cy="1801504"/>
                        </a:xfrm>
                        <a:prstGeom prst="rect">
                          <a:avLst/>
                        </a:prstGeom>
                        <a:solidFill>
                          <a:srgbClr val="1F4F6A"/>
                        </a:solidFill>
                        <a:ln w="12700" cap="flat">
                          <a:noFill/>
                          <a:miter lim="400000"/>
                        </a:ln>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8399C9" id="Rectangle 6" o:spid="_x0000_s1026" style="position:absolute;margin-left:561.35pt;margin-top:-25.8pt;width:612.55pt;height:141.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" fillcolor="#1f4f6a" stroked="f" strokeweight="1pt">
                <v:stroke miterlimit="4"/>
                <v:textbox inset="4pt,4pt,4pt,4pt"/>
                <w10:wrap anchorx="page"/>
              </v:rect>
            </w:pict>
          </mc:Fallback>
        </mc:AlternateContent>
      </w:r>
    </w:p>
    <w:p w14:paraId="486EA17E" w14:textId="77777777" w:rsidR="009C3B6A" w:rsidRDefault="009C3B6A" w:rsidP="009C3B6A">
      <w:pPr>
        <w:spacing w:before="100" w:beforeAutospacing="1" w:after="480"/>
        <w:ind w:left="-1584"/>
      </w:pPr>
    </w:p>
    <w:p w14:paraId="573641D4" w14:textId="77777777" w:rsidR="009C3B6A" w:rsidRDefault="009C3B6A" w:rsidP="009C3B6A">
      <w:pPr>
        <w:spacing w:before="100" w:beforeAutospacing="1" w:after="480"/>
        <w:ind w:left="-1584"/>
      </w:pPr>
    </w:p>
    <w:p w14:paraId="578840CC" w14:textId="77777777" w:rsidR="009C3B6A" w:rsidRDefault="009C3B6A" w:rsidP="009C3B6A">
      <w:pPr>
        <w:tabs>
          <w:tab w:val="left" w:pos="2913"/>
        </w:tabs>
        <w:spacing w:before="100" w:beforeAutospacing="1" w:after="480"/>
        <w:ind w:left="-1584"/>
      </w:pPr>
      <w:r>
        <w:rPr>
          <w:noProof/>
        </w:rPr>
        <mc:AlternateContent>
          <mc:Choice Requires="wps">
            <w:drawing>
              <wp:anchor distT="0" distB="0" distL="114300" distR="114300" simplePos="0" relativeHeight="251660288" behindDoc="0" locked="0" layoutInCell="1" allowOverlap="1" wp14:anchorId="04AACBE7" wp14:editId="275D1B7C">
                <wp:simplePos x="0" y="0"/>
                <wp:positionH relativeFrom="column">
                  <wp:posOffset>-162253</wp:posOffset>
                </wp:positionH>
                <wp:positionV relativeFrom="paragraph">
                  <wp:posOffset>167027</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5719D117" w14:textId="77777777" w:rsidR="0025116E" w:rsidRDefault="0025116E" w:rsidP="009C3B6A">
                            <w:pPr>
                              <w:spacing w:line="800" w:lineRule="exact"/>
                              <w:jc w:val="center"/>
                              <w:rPr>
                                <w:rFonts w:ascii="Adobe Garamond Pro Bold" w:hAnsi="Adobe Garamond Pro Bold"/>
                                <w:b/>
                                <w:color w:val="043064"/>
                                <w:sz w:val="72"/>
                                <w:szCs w:val="72"/>
                              </w:rPr>
                            </w:pPr>
                          </w:p>
                          <w:p w14:paraId="14773381" w14:textId="4F220712" w:rsidR="0025116E" w:rsidRPr="009027CF" w:rsidRDefault="0025116E" w:rsidP="009C3B6A">
                            <w:pPr>
                              <w:spacing w:line="800" w:lineRule="exact"/>
                              <w:jc w:val="center"/>
                              <w:rPr>
                                <w:rFonts w:ascii="Gill Sans MT" w:hAnsi="Gill Sans MT"/>
                                <w:color w:val="1F4F6A"/>
                              </w:rPr>
                            </w:pPr>
                            <w:r>
                              <w:rPr>
                                <w:rFonts w:ascii="Gill Sans MT" w:hAnsi="Gill Sans MT"/>
                                <w:b/>
                                <w:color w:val="1F4F6A"/>
                                <w:sz w:val="72"/>
                                <w:szCs w:val="72"/>
                              </w:rPr>
                              <w:t>Supplementa</w:t>
                            </w:r>
                            <w:r w:rsidR="004F7C2E">
                              <w:rPr>
                                <w:rFonts w:ascii="Gill Sans MT" w:hAnsi="Gill Sans MT"/>
                                <w:b/>
                                <w:color w:val="1F4F6A"/>
                                <w:sz w:val="72"/>
                                <w:szCs w:val="72"/>
                              </w:rPr>
                              <w:t xml:space="preserve">l Nutrition Assistance Program </w:t>
                            </w:r>
                            <w:r>
                              <w:rPr>
                                <w:rFonts w:ascii="Gill Sans MT" w:hAnsi="Gill Sans MT"/>
                                <w:b/>
                                <w:color w:val="1F4F6A"/>
                                <w:sz w:val="72"/>
                                <w:szCs w:val="72"/>
                              </w:rPr>
                              <w:t>Participation Rate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ACBE7" id="_x0000_t202" coordsize="21600,21600" o:spt="202" path="m,l,21600r21600,l21600,xe">
                <v:stroke joinstyle="miter"/>
                <v:path gradientshapeok="t" o:connecttype="rect"/>
              </v:shapetype>
              <v:shape id="Text Box 2" o:spid="_x0000_s1029" type="#_x0000_t202" style="position:absolute;left:0;text-align:left;margin-left:-12.8pt;margin-top:13.15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" stroked="f">
                <v:textbox>
                  <w:txbxContent>
                    <w:p w14:paraId="5719D117" w14:textId="77777777" w:rsidR="0025116E" w:rsidRDefault="0025116E" w:rsidP="009C3B6A">
                      <w:pPr>
                        <w:spacing w:line="800" w:lineRule="exact"/>
                        <w:jc w:val="center"/>
                        <w:rPr>
                          <w:rFonts w:ascii="Adobe Garamond Pro Bold" w:hAnsi="Adobe Garamond Pro Bold"/>
                          <w:b/>
                          <w:color w:val="043064"/>
                          <w:sz w:val="72"/>
                          <w:szCs w:val="72"/>
                        </w:rPr>
                      </w:pPr>
                    </w:p>
                    <w:p w14:paraId="14773381" w14:textId="4F220712" w:rsidR="0025116E" w:rsidRPr="009027CF" w:rsidRDefault="0025116E" w:rsidP="009C3B6A">
                      <w:pPr>
                        <w:spacing w:line="800" w:lineRule="exact"/>
                        <w:jc w:val="center"/>
                        <w:rPr>
                          <w:rFonts w:ascii="Gill Sans MT" w:hAnsi="Gill Sans MT"/>
                          <w:color w:val="1F4F6A"/>
                        </w:rPr>
                      </w:pPr>
                      <w:r>
                        <w:rPr>
                          <w:rFonts w:ascii="Gill Sans MT" w:hAnsi="Gill Sans MT"/>
                          <w:b/>
                          <w:color w:val="1F4F6A"/>
                          <w:sz w:val="72"/>
                          <w:szCs w:val="72"/>
                        </w:rPr>
                        <w:t>Supplementa</w:t>
                      </w:r>
                      <w:r w:rsidR="004F7C2E">
                        <w:rPr>
                          <w:rFonts w:ascii="Gill Sans MT" w:hAnsi="Gill Sans MT"/>
                          <w:b/>
                          <w:color w:val="1F4F6A"/>
                          <w:sz w:val="72"/>
                          <w:szCs w:val="72"/>
                        </w:rPr>
                        <w:t xml:space="preserve">l Nutrition Assistance Program </w:t>
                      </w:r>
                      <w:r>
                        <w:rPr>
                          <w:rFonts w:ascii="Gill Sans MT" w:hAnsi="Gill Sans MT"/>
                          <w:b/>
                          <w:color w:val="1F4F6A"/>
                          <w:sz w:val="72"/>
                          <w:szCs w:val="72"/>
                        </w:rPr>
                        <w:t>Participation Rate Report</w:t>
                      </w:r>
                    </w:p>
                  </w:txbxContent>
                </v:textbox>
              </v:shape>
            </w:pict>
          </mc:Fallback>
        </mc:AlternateContent>
      </w:r>
      <w:r>
        <w:tab/>
      </w:r>
    </w:p>
    <w:p w14:paraId="212AC9B2" w14:textId="77777777" w:rsidR="009C3B6A" w:rsidRDefault="009C3B6A" w:rsidP="009C3B6A">
      <w:pPr>
        <w:spacing w:before="100" w:beforeAutospacing="1" w:after="480"/>
        <w:ind w:left="-1584"/>
      </w:pPr>
    </w:p>
    <w:p w14:paraId="0188879C" w14:textId="77777777" w:rsidR="009C3B6A" w:rsidRDefault="009C3B6A" w:rsidP="009C3B6A">
      <w:pPr>
        <w:spacing w:before="100" w:beforeAutospacing="1" w:after="480"/>
        <w:ind w:left="-1584"/>
      </w:pPr>
    </w:p>
    <w:p w14:paraId="6DC72C42" w14:textId="77777777" w:rsidR="009C3B6A" w:rsidRDefault="009C3B6A" w:rsidP="009C3B6A">
      <w:pPr>
        <w:tabs>
          <w:tab w:val="left" w:pos="3433"/>
        </w:tabs>
        <w:spacing w:before="100" w:beforeAutospacing="1" w:after="480"/>
        <w:ind w:left="-1584"/>
      </w:pPr>
    </w:p>
    <w:p w14:paraId="0CF9CFD9" w14:textId="77777777" w:rsidR="009C3B6A" w:rsidRDefault="009C3B6A" w:rsidP="009C3B6A">
      <w:pPr>
        <w:spacing w:before="100" w:beforeAutospacing="1" w:after="480"/>
        <w:ind w:left="-1584"/>
      </w:pPr>
    </w:p>
    <w:p w14:paraId="66A77E30" w14:textId="77777777" w:rsidR="009C3B6A" w:rsidRDefault="009C3B6A" w:rsidP="009C3B6A">
      <w:pPr>
        <w:spacing w:before="100" w:beforeAutospacing="1" w:after="480"/>
        <w:ind w:left="-1584"/>
      </w:pPr>
    </w:p>
    <w:p w14:paraId="42A0E6C8" w14:textId="77777777" w:rsidR="009C3B6A" w:rsidRPr="00E02475" w:rsidRDefault="009C3B6A" w:rsidP="009C3B6A"/>
    <w:p w14:paraId="31C25D59" w14:textId="77777777" w:rsidR="009C3B6A" w:rsidRDefault="009C3B6A" w:rsidP="009C3B6A">
      <w:pPr>
        <w:pStyle w:val="Body"/>
        <w:spacing w:after="0" w:line="240" w:lineRule="auto"/>
        <w:jc w:val="center"/>
        <w:rPr>
          <w:rFonts w:ascii="Times New Roman" w:eastAsia="Times New Roman" w:hAnsi="Times New Roman" w:cs="Times New Roman"/>
          <w:sz w:val="24"/>
          <w:szCs w:val="24"/>
        </w:rPr>
      </w:pPr>
    </w:p>
    <w:p w14:paraId="0883FF3E" w14:textId="77777777" w:rsidR="009C3B6A" w:rsidRDefault="009C3B6A" w:rsidP="009C3B6A">
      <w:pPr>
        <w:pStyle w:val="Body"/>
        <w:spacing w:after="0" w:line="240" w:lineRule="auto"/>
        <w:sectPr w:rsidR="009C3B6A" w:rsidSect="001421C6">
          <w:headerReference w:type="default" r:id="rId8"/>
          <w:footerReference w:type="default" r:id="rId9"/>
          <w:pgSz w:w="12240" w:h="15840" w:code="1"/>
          <w:pgMar w:top="1440" w:right="1800" w:bottom="1440" w:left="1800" w:header="720" w:footer="720" w:gutter="0"/>
          <w:cols w:space="720"/>
          <w:titlePg/>
        </w:sectPr>
      </w:pPr>
      <w:r>
        <w:rPr>
          <w:noProof/>
          <w:sz w:val="28"/>
          <w:szCs w:val="28"/>
        </w:rPr>
        <mc:AlternateContent>
          <mc:Choice Requires="wps">
            <w:drawing>
              <wp:anchor distT="0" distB="0" distL="114300" distR="114300" simplePos="0" relativeHeight="251665408" behindDoc="0" locked="0" layoutInCell="1" allowOverlap="1" wp14:anchorId="39F43139" wp14:editId="681134FE">
                <wp:simplePos x="0" y="0"/>
                <wp:positionH relativeFrom="page">
                  <wp:posOffset>0</wp:posOffset>
                </wp:positionH>
                <wp:positionV relativeFrom="paragraph">
                  <wp:posOffset>2697480</wp:posOffset>
                </wp:positionV>
                <wp:extent cx="7779224" cy="536312"/>
                <wp:effectExtent l="0" t="0" r="0" b="0"/>
                <wp:wrapNone/>
                <wp:docPr id="10" name="Rectangle 10"/>
                <wp:cNvGraphicFramePr/>
                <a:graphic xmlns:a="http://schemas.openxmlformats.org/drawingml/2006/main">
                  <a:graphicData uri="http://schemas.microsoft.com/office/word/2010/wordprocessingShape">
                    <wps:wsp>
                      <wps:cNvSpPr/>
                      <wps:spPr>
                        <a:xfrm>
                          <a:off x="0" y="0"/>
                          <a:ext cx="7779224" cy="536312"/>
                        </a:xfrm>
                        <a:prstGeom prst="rect">
                          <a:avLst/>
                        </a:prstGeom>
                        <a:solidFill>
                          <a:srgbClr val="1F4F6A"/>
                        </a:solidFill>
                        <a:ln w="12700" cap="flat">
                          <a:noFill/>
                          <a:miter lim="400000"/>
                        </a:ln>
                        <a:effectLst/>
                      </wps:spPr>
                      <wps:style>
                        <a:lnRef idx="0">
                          <a:scrgbClr r="0" g="0" b="0"/>
                        </a:lnRef>
                        <a:fillRef idx="0">
                          <a:scrgbClr r="0" g="0" b="0"/>
                        </a:fillRef>
                        <a:effectRef idx="0">
                          <a:scrgbClr r="0" g="0" b="0"/>
                        </a:effectRef>
                        <a:fontRef idx="none"/>
                      </wps:style>
                      <wps:txbx>
                        <w:txbxContent>
                          <w:p w14:paraId="5610EF71" w14:textId="77777777" w:rsidR="0025116E" w:rsidRPr="00865B29" w:rsidRDefault="0025116E" w:rsidP="009C3B6A">
                            <w:pPr>
                              <w:jc w:val="center"/>
                              <w:rPr>
                                <w:rFonts w:ascii="Calibri" w:hAnsi="Calibri" w:cs="Calibri"/>
                                <w:color w:val="FFFFFF" w:themeColor="background1"/>
                                <w:sz w:val="28"/>
                              </w:rPr>
                            </w:pPr>
                            <w:r w:rsidRPr="00865B29">
                              <w:rPr>
                                <w:rFonts w:ascii="Calibri" w:hAnsi="Calibri" w:cs="Calibri"/>
                                <w:color w:val="FFFFFF" w:themeColor="background1"/>
                                <w:sz w:val="28"/>
                              </w:rPr>
                              <w:t>Massachusetts Department of Transitional Assistance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FC2C14" id="Rectangle 10" o:spid="_x0000_s1030" style="position:absolute;margin-left:0;margin-top:212.4pt;width:612.55pt;height:4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" fillcolor="#1f4f6a" stroked="f" strokeweight="1pt">
                <v:stroke miterlimit="4"/>
                <v:textbox inset="4pt,4pt,4pt,4pt">
                  <w:txbxContent>
                    <w:p w:rsidR="0025116E" w:rsidRPr="00865B29" w:rsidRDefault="0025116E" w:rsidP="009C3B6A">
                      <w:pPr>
                        <w:jc w:val="center"/>
                        <w:rPr>
                          <w:rFonts w:ascii="Calibri" w:hAnsi="Calibri" w:cs="Calibri"/>
                          <w:color w:val="FFFFFF" w:themeColor="background1"/>
                          <w:sz w:val="28"/>
                        </w:rPr>
                      </w:pPr>
                      <w:r w:rsidRPr="00865B29">
                        <w:rPr>
                          <w:rFonts w:ascii="Calibri" w:hAnsi="Calibri" w:cs="Calibri"/>
                          <w:color w:val="FFFFFF" w:themeColor="background1"/>
                          <w:sz w:val="28"/>
                        </w:rPr>
                        <w:t>Massachusetts Department of Transitional Assistance</w:t>
                      </w:r>
                    </w:p>
                  </w:txbxContent>
                </v:textbox>
                <w10:wrap anchorx="page"/>
              </v:rect>
            </w:pict>
          </mc:Fallback>
        </mc:AlternateContent>
      </w:r>
      <w:r>
        <w:rPr>
          <w:noProof/>
        </w:rPr>
        <mc:AlternateContent>
          <mc:Choice Requires="wps">
            <w:drawing>
              <wp:anchor distT="0" distB="0" distL="114300" distR="114300" simplePos="0" relativeHeight="251661312" behindDoc="0" locked="0" layoutInCell="1" allowOverlap="1" wp14:anchorId="772AD394" wp14:editId="4103D6C4">
                <wp:simplePos x="0" y="0"/>
                <wp:positionH relativeFrom="column">
                  <wp:posOffset>1435735</wp:posOffset>
                </wp:positionH>
                <wp:positionV relativeFrom="paragraph">
                  <wp:posOffset>301866</wp:posOffset>
                </wp:positionV>
                <wp:extent cx="2615184" cy="4476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184" cy="447675"/>
                        </a:xfrm>
                        <a:prstGeom prst="rect">
                          <a:avLst/>
                        </a:prstGeom>
                        <a:solidFill>
                          <a:srgbClr val="FFFFFF"/>
                        </a:solidFill>
                        <a:ln w="9525">
                          <a:noFill/>
                          <a:miter lim="800000"/>
                          <a:headEnd/>
                          <a:tailEnd/>
                        </a:ln>
                      </wps:spPr>
                      <wps:txbx>
                        <w:txbxContent>
                          <w:p w14:paraId="452D2E79" w14:textId="77777777" w:rsidR="0025116E" w:rsidRPr="009027CF" w:rsidRDefault="0025116E" w:rsidP="009C3B6A">
                            <w:pPr>
                              <w:jc w:val="center"/>
                              <w:rPr>
                                <w:rFonts w:ascii="Gill Sans MT" w:hAnsi="Gill Sans MT"/>
                                <w:color w:val="1F4F6A"/>
                                <w:sz w:val="48"/>
                                <w:szCs w:val="48"/>
                              </w:rPr>
                            </w:pPr>
                            <w:r>
                              <w:rPr>
                                <w:rFonts w:ascii="Gill Sans MT" w:hAnsi="Gill Sans MT"/>
                                <w:b/>
                                <w:color w:val="1F4F6A"/>
                                <w:sz w:val="48"/>
                                <w:szCs w:val="48"/>
                              </w:rPr>
                              <w:t>December</w:t>
                            </w:r>
                            <w:r w:rsidRPr="009027CF">
                              <w:rPr>
                                <w:rFonts w:ascii="Gill Sans MT" w:hAnsi="Gill Sans MT"/>
                                <w:b/>
                                <w:color w:val="1F4F6A"/>
                                <w:sz w:val="48"/>
                                <w:szCs w:val="48"/>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2D84E4" id="_x0000_s1031" type="#_x0000_t202" style="position:absolute;margin-left:113.05pt;margin-top:23.75pt;width:205.9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" stroked="f">
                <v:textbox>
                  <w:txbxContent>
                    <w:p w:rsidR="0025116E" w:rsidRPr="009027CF" w:rsidRDefault="0025116E" w:rsidP="009C3B6A">
                      <w:pPr>
                        <w:jc w:val="center"/>
                        <w:rPr>
                          <w:rFonts w:ascii="Gill Sans MT" w:hAnsi="Gill Sans MT"/>
                          <w:color w:val="1F4F6A"/>
                          <w:sz w:val="48"/>
                          <w:szCs w:val="48"/>
                        </w:rPr>
                      </w:pPr>
                      <w:r>
                        <w:rPr>
                          <w:rFonts w:ascii="Gill Sans MT" w:hAnsi="Gill Sans MT"/>
                          <w:b/>
                          <w:color w:val="1F4F6A"/>
                          <w:sz w:val="48"/>
                          <w:szCs w:val="48"/>
                        </w:rPr>
                        <w:t>December</w:t>
                      </w:r>
                      <w:r w:rsidRPr="009027CF">
                        <w:rPr>
                          <w:rFonts w:ascii="Gill Sans MT" w:hAnsi="Gill Sans MT"/>
                          <w:b/>
                          <w:color w:val="1F4F6A"/>
                          <w:sz w:val="48"/>
                          <w:szCs w:val="48"/>
                        </w:rPr>
                        <w:t xml:space="preserve"> 2018</w:t>
                      </w:r>
                    </w:p>
                  </w:txbxContent>
                </v:textbox>
              </v:shape>
            </w:pict>
          </mc:Fallback>
        </mc:AlternateContent>
      </w:r>
      <w:r>
        <w:rPr>
          <w:noProof/>
          <w:sz w:val="28"/>
          <w:szCs w:val="28"/>
        </w:rPr>
        <w:drawing>
          <wp:anchor distT="0" distB="0" distL="114300" distR="114300" simplePos="0" relativeHeight="251662336" behindDoc="1" locked="0" layoutInCell="1" allowOverlap="1" wp14:anchorId="4B52FCBD" wp14:editId="49B6A8D7">
            <wp:simplePos x="0" y="0"/>
            <wp:positionH relativeFrom="margin">
              <wp:posOffset>4914265</wp:posOffset>
            </wp:positionH>
            <wp:positionV relativeFrom="paragraph">
              <wp:posOffset>1057625</wp:posOffset>
            </wp:positionV>
            <wp:extent cx="1254815" cy="1143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a logo blue transparent background.png"/>
                    <pic:cNvPicPr/>
                  </pic:nvPicPr>
                  <pic:blipFill>
                    <a:blip r:embed="rId10"/>
                    <a:stretch>
                      <a:fillRect/>
                    </a:stretch>
                  </pic:blipFill>
                  <pic:spPr>
                    <a:xfrm>
                      <a:off x="0" y="0"/>
                      <a:ext cx="1254815" cy="1143000"/>
                    </a:xfrm>
                    <a:prstGeom prst="rect">
                      <a:avLst/>
                    </a:prstGeom>
                  </pic:spPr>
                </pic:pic>
              </a:graphicData>
            </a:graphic>
            <wp14:sizeRelH relativeFrom="page">
              <wp14:pctWidth>0</wp14:pctWidth>
            </wp14:sizeRelH>
            <wp14:sizeRelV relativeFrom="page">
              <wp14:pctHeight>0</wp14:pctHeight>
            </wp14:sizeRelV>
          </wp:anchor>
        </w:drawing>
      </w:r>
    </w:p>
    <w:p w14:paraId="4AE3B42E" w14:textId="77777777" w:rsidR="009C3B6A" w:rsidRPr="00051E81" w:rsidRDefault="009C3B6A" w:rsidP="009C3B6A">
      <w:pPr>
        <w:pStyle w:val="Body"/>
        <w:spacing w:after="0" w:line="240" w:lineRule="auto"/>
        <w:jc w:val="center"/>
        <w:rPr>
          <w:rFonts w:ascii="Gill Sans MT" w:hAnsi="Gill Sans MT"/>
          <w:b/>
          <w:bCs/>
          <w:sz w:val="24"/>
          <w:szCs w:val="24"/>
        </w:rPr>
      </w:pPr>
      <w:r w:rsidRPr="00051E81">
        <w:rPr>
          <w:rFonts w:ascii="Gill Sans MT" w:hAnsi="Gill Sans MT"/>
          <w:b/>
          <w:bCs/>
          <w:sz w:val="24"/>
          <w:szCs w:val="24"/>
        </w:rPr>
        <w:lastRenderedPageBreak/>
        <w:t>DEPARTMENT OF TRANSITIONAL ASSISTANCE</w:t>
      </w:r>
    </w:p>
    <w:p w14:paraId="4F42ADA0" w14:textId="77777777" w:rsidR="004F7C2E" w:rsidRDefault="005F0F18" w:rsidP="005F0F18">
      <w:pPr>
        <w:pStyle w:val="Body"/>
        <w:spacing w:after="0" w:line="240" w:lineRule="auto"/>
        <w:jc w:val="center"/>
        <w:rPr>
          <w:rFonts w:ascii="Gill Sans MT" w:hAnsi="Gill Sans MT"/>
          <w:b/>
          <w:bCs/>
          <w:sz w:val="24"/>
          <w:szCs w:val="24"/>
        </w:rPr>
      </w:pPr>
      <w:r>
        <w:rPr>
          <w:rFonts w:ascii="Gill Sans MT" w:hAnsi="Gill Sans MT"/>
          <w:b/>
          <w:bCs/>
          <w:sz w:val="24"/>
          <w:szCs w:val="24"/>
        </w:rPr>
        <w:t>SUPPLEMENT</w:t>
      </w:r>
      <w:r w:rsidR="004F7C2E">
        <w:rPr>
          <w:rFonts w:ascii="Gill Sans MT" w:hAnsi="Gill Sans MT"/>
          <w:b/>
          <w:bCs/>
          <w:sz w:val="24"/>
          <w:szCs w:val="24"/>
        </w:rPr>
        <w:t>AL NUTRITION ASSISTANCE PROGRAM</w:t>
      </w:r>
    </w:p>
    <w:p w14:paraId="1C842D91" w14:textId="09C114AC" w:rsidR="005F0F18" w:rsidRPr="005F0F18" w:rsidRDefault="005F0F18" w:rsidP="005F0F18">
      <w:pPr>
        <w:pStyle w:val="Body"/>
        <w:spacing w:after="0" w:line="240" w:lineRule="auto"/>
        <w:jc w:val="center"/>
        <w:rPr>
          <w:rFonts w:ascii="Gill Sans MT" w:hAnsi="Gill Sans MT"/>
          <w:b/>
          <w:bCs/>
          <w:sz w:val="24"/>
          <w:szCs w:val="24"/>
        </w:rPr>
      </w:pPr>
      <w:r>
        <w:rPr>
          <w:rFonts w:ascii="Gill Sans MT" w:hAnsi="Gill Sans MT"/>
          <w:b/>
          <w:bCs/>
          <w:sz w:val="24"/>
          <w:szCs w:val="24"/>
        </w:rPr>
        <w:t>PARTICIPATION RATE REPORT</w:t>
      </w:r>
    </w:p>
    <w:p w14:paraId="15D4D9E3" w14:textId="77777777" w:rsidR="009C3B6A" w:rsidRPr="00051E81" w:rsidRDefault="00D83A82" w:rsidP="009C3B6A">
      <w:pPr>
        <w:pStyle w:val="Body"/>
        <w:spacing w:after="0" w:line="240" w:lineRule="auto"/>
        <w:jc w:val="center"/>
        <w:rPr>
          <w:rFonts w:ascii="Gill Sans MT" w:eastAsia="Times New Roman" w:hAnsi="Gill Sans MT" w:cs="Times New Roman"/>
          <w:i/>
          <w:iCs/>
        </w:rPr>
      </w:pPr>
      <w:r>
        <w:rPr>
          <w:rFonts w:ascii="Gill Sans MT" w:hAnsi="Gill Sans MT"/>
          <w:i/>
          <w:iCs/>
        </w:rPr>
        <w:t>DECEMBER 2018</w:t>
      </w:r>
    </w:p>
    <w:p w14:paraId="21B79483" w14:textId="77777777" w:rsidR="00A2758D" w:rsidRDefault="00A2758D"/>
    <w:p w14:paraId="1AC91E2A" w14:textId="77777777" w:rsidR="009C3B6A" w:rsidRPr="009A24F5" w:rsidRDefault="009C3B6A" w:rsidP="009C3B6A">
      <w:pPr>
        <w:pStyle w:val="Body"/>
        <w:spacing w:after="0" w:line="240" w:lineRule="auto"/>
        <w:contextualSpacing/>
        <w:rPr>
          <w:rFonts w:ascii="Gill Sans MT" w:hAnsi="Gill Sans MT"/>
          <w:b/>
          <w:bCs/>
          <w:smallCaps/>
          <w:sz w:val="24"/>
          <w:szCs w:val="24"/>
        </w:rPr>
      </w:pPr>
      <w:r w:rsidRPr="009A24F5">
        <w:rPr>
          <w:rFonts w:ascii="Gill Sans MT" w:hAnsi="Gill Sans MT"/>
          <w:b/>
          <w:bCs/>
          <w:smallCaps/>
          <w:sz w:val="24"/>
          <w:szCs w:val="24"/>
        </w:rPr>
        <w:t>Overview</w:t>
      </w:r>
    </w:p>
    <w:p w14:paraId="3096EA0E" w14:textId="77777777" w:rsidR="00D83A82" w:rsidRPr="00D83A82" w:rsidRDefault="005F0F18" w:rsidP="00D83A82">
      <w:pPr>
        <w:pStyle w:val="Body"/>
        <w:spacing w:after="0" w:line="240" w:lineRule="auto"/>
        <w:contextualSpacing/>
        <w:rPr>
          <w:sz w:val="24"/>
          <w:szCs w:val="24"/>
        </w:rPr>
      </w:pPr>
      <w:r>
        <w:rPr>
          <w:sz w:val="24"/>
          <w:szCs w:val="24"/>
        </w:rPr>
        <w:t>L</w:t>
      </w:r>
      <w:r w:rsidR="003C3A62">
        <w:rPr>
          <w:sz w:val="24"/>
          <w:szCs w:val="24"/>
        </w:rPr>
        <w:t>ine-item 4400-1001 of Section 2 of Chapter 154 of the Acts of 2018</w:t>
      </w:r>
      <w:r w:rsidR="00D83A82" w:rsidRPr="00D83A82">
        <w:rPr>
          <w:sz w:val="24"/>
          <w:szCs w:val="24"/>
        </w:rPr>
        <w:t xml:space="preserve"> requires the Department of Transitional Assistance (DTA) to annually </w:t>
      </w:r>
      <w:r w:rsidR="003C3A62" w:rsidRPr="003C3A62">
        <w:rPr>
          <w:sz w:val="24"/>
          <w:szCs w:val="24"/>
        </w:rPr>
        <w:t>report the status of Supplemental Nutrition Assistance Program (SNAP) client outreach to the House and Senate</w:t>
      </w:r>
      <w:r w:rsidR="003C3A62">
        <w:rPr>
          <w:sz w:val="24"/>
          <w:szCs w:val="24"/>
        </w:rPr>
        <w:t xml:space="preserve"> Committees on Ways and Means.</w:t>
      </w:r>
    </w:p>
    <w:p w14:paraId="289DE8CA" w14:textId="77777777" w:rsidR="009C3B6A" w:rsidRDefault="009C3B6A" w:rsidP="009C3B6A">
      <w:pPr>
        <w:pStyle w:val="Body"/>
        <w:spacing w:after="0" w:line="240" w:lineRule="auto"/>
        <w:contextualSpacing/>
        <w:rPr>
          <w:sz w:val="24"/>
          <w:szCs w:val="24"/>
        </w:rPr>
      </w:pPr>
    </w:p>
    <w:p w14:paraId="4CF84EB8" w14:textId="77777777" w:rsidR="003C3A62" w:rsidRDefault="003C3A62" w:rsidP="009C3B6A">
      <w:pPr>
        <w:pStyle w:val="Body"/>
        <w:spacing w:after="0" w:line="240" w:lineRule="auto"/>
        <w:contextualSpacing/>
        <w:rPr>
          <w:sz w:val="24"/>
          <w:szCs w:val="24"/>
        </w:rPr>
      </w:pPr>
    </w:p>
    <w:p w14:paraId="6CF0D1AA" w14:textId="77777777" w:rsidR="009C3B6A" w:rsidRPr="009A24F5" w:rsidRDefault="009C3B6A" w:rsidP="009C3B6A">
      <w:pPr>
        <w:pStyle w:val="Body"/>
        <w:spacing w:after="0" w:line="240" w:lineRule="auto"/>
        <w:contextualSpacing/>
        <w:rPr>
          <w:rFonts w:ascii="Gill Sans MT" w:hAnsi="Gill Sans MT"/>
          <w:b/>
          <w:bCs/>
          <w:smallCaps/>
          <w:sz w:val="24"/>
          <w:szCs w:val="24"/>
        </w:rPr>
      </w:pPr>
      <w:r w:rsidRPr="009A24F5">
        <w:rPr>
          <w:rFonts w:ascii="Gill Sans MT" w:hAnsi="Gill Sans MT"/>
          <w:b/>
          <w:bCs/>
          <w:smallCaps/>
          <w:sz w:val="24"/>
          <w:szCs w:val="24"/>
        </w:rPr>
        <w:t>Depart</w:t>
      </w:r>
      <w:r w:rsidR="001273F7">
        <w:rPr>
          <w:rFonts w:ascii="Gill Sans MT" w:hAnsi="Gill Sans MT"/>
          <w:b/>
          <w:bCs/>
          <w:smallCaps/>
          <w:sz w:val="24"/>
          <w:szCs w:val="24"/>
        </w:rPr>
        <w:t>ment of Transitional Assistance Mission</w:t>
      </w:r>
    </w:p>
    <w:p w14:paraId="6DA86B61" w14:textId="77777777" w:rsidR="009C3B6A" w:rsidRPr="009A24F5" w:rsidRDefault="009C3B6A" w:rsidP="009C3B6A">
      <w:pPr>
        <w:pStyle w:val="Body"/>
        <w:spacing w:after="0" w:line="240" w:lineRule="auto"/>
        <w:contextualSpacing/>
        <w:rPr>
          <w:rFonts w:eastAsia="Times New Roman"/>
          <w:sz w:val="24"/>
          <w:szCs w:val="24"/>
        </w:rPr>
      </w:pPr>
      <w:r w:rsidRPr="009A24F5">
        <w:rPr>
          <w:sz w:val="24"/>
          <w:szCs w:val="24"/>
        </w:rPr>
        <w:t>DTA’s mission is to assist and empower low-income individuals and families to meet their basic needs, improve their quality of life, and achieve long-term economic self-sufficiency. DTA offers a comprehensive system of programs and supports to help individuals and families achieve greater economic self-sufficiency, including food and nutritional assistance, economic assistance, and employment supports.</w:t>
      </w:r>
    </w:p>
    <w:p w14:paraId="712C558E" w14:textId="77777777" w:rsidR="009C3B6A" w:rsidRPr="009A24F5" w:rsidRDefault="009C3B6A" w:rsidP="009C3B6A">
      <w:pPr>
        <w:pStyle w:val="Body"/>
        <w:spacing w:after="0" w:line="240" w:lineRule="auto"/>
        <w:contextualSpacing/>
        <w:rPr>
          <w:rFonts w:eastAsia="Times New Roman"/>
          <w:sz w:val="24"/>
          <w:szCs w:val="24"/>
        </w:rPr>
      </w:pPr>
    </w:p>
    <w:p w14:paraId="4CDB2963" w14:textId="77777777" w:rsidR="009C3B6A" w:rsidRPr="009A24F5" w:rsidRDefault="009C3B6A" w:rsidP="009C3B6A">
      <w:pPr>
        <w:pStyle w:val="Body"/>
        <w:spacing w:after="0" w:line="240" w:lineRule="auto"/>
        <w:contextualSpacing/>
        <w:rPr>
          <w:rFonts w:eastAsia="Times New Roman"/>
          <w:sz w:val="24"/>
          <w:szCs w:val="24"/>
        </w:rPr>
      </w:pPr>
      <w:r>
        <w:rPr>
          <w:sz w:val="24"/>
          <w:szCs w:val="24"/>
        </w:rPr>
        <w:t>DTA serves one out of every eight people in the Commonwealth including working families, children, elders, and people with disabilities</w:t>
      </w:r>
      <w:r w:rsidRPr="009A24F5">
        <w:rPr>
          <w:sz w:val="24"/>
          <w:szCs w:val="24"/>
        </w:rPr>
        <w:t xml:space="preserve">. </w:t>
      </w:r>
    </w:p>
    <w:p w14:paraId="0ECF9E19" w14:textId="77777777" w:rsidR="009C3B6A" w:rsidRDefault="009C3B6A"/>
    <w:p w14:paraId="4DF0E479" w14:textId="77777777" w:rsidR="003C3A62" w:rsidRDefault="003C3A62"/>
    <w:p w14:paraId="2D79C30F" w14:textId="77777777" w:rsidR="00D83A82" w:rsidRPr="009A24F5" w:rsidRDefault="001273F7" w:rsidP="00D83A82">
      <w:pPr>
        <w:pStyle w:val="Body"/>
        <w:spacing w:after="0" w:line="240" w:lineRule="auto"/>
        <w:contextualSpacing/>
        <w:rPr>
          <w:rFonts w:ascii="Gill Sans MT" w:hAnsi="Gill Sans MT"/>
          <w:b/>
          <w:bCs/>
          <w:smallCaps/>
          <w:sz w:val="24"/>
          <w:szCs w:val="24"/>
        </w:rPr>
      </w:pPr>
      <w:r>
        <w:rPr>
          <w:rFonts w:ascii="Gill Sans MT" w:hAnsi="Gill Sans MT"/>
          <w:b/>
          <w:bCs/>
          <w:smallCaps/>
          <w:sz w:val="24"/>
          <w:szCs w:val="24"/>
        </w:rPr>
        <w:t>Background on SNAP in Massachusetts</w:t>
      </w:r>
    </w:p>
    <w:p w14:paraId="333CECC5" w14:textId="77777777" w:rsidR="003C3A62" w:rsidRDefault="003C3A62" w:rsidP="003C3A62">
      <w:pPr>
        <w:pStyle w:val="Body"/>
        <w:spacing w:after="0" w:line="240" w:lineRule="auto"/>
        <w:contextualSpacing/>
        <w:rPr>
          <w:sz w:val="24"/>
          <w:szCs w:val="24"/>
        </w:rPr>
      </w:pPr>
      <w:r>
        <w:rPr>
          <w:sz w:val="24"/>
          <w:szCs w:val="24"/>
        </w:rPr>
        <w:t xml:space="preserve">SNAP is a federally-funded program that provides critical nutritional support to low-income families by helping supplement household food budgets and access nutritious food. DTA administers SNAP on behalf of the United States Department of Agriculture (USDA). One in nine residents of the Commonwealth participate in the state’s SNAP program, including families with children, elders, and persons with disabilities. </w:t>
      </w:r>
    </w:p>
    <w:p w14:paraId="4353FEA2" w14:textId="77777777" w:rsidR="003C3A62" w:rsidRDefault="003C3A62" w:rsidP="00D83A82">
      <w:pPr>
        <w:pStyle w:val="Body"/>
        <w:spacing w:after="0" w:line="240" w:lineRule="auto"/>
        <w:contextualSpacing/>
        <w:rPr>
          <w:sz w:val="24"/>
          <w:szCs w:val="24"/>
        </w:rPr>
      </w:pPr>
    </w:p>
    <w:p w14:paraId="085C681E" w14:textId="77777777" w:rsidR="003C3A62" w:rsidRDefault="0073725C" w:rsidP="003C3A62">
      <w:pPr>
        <w:pStyle w:val="Body"/>
        <w:spacing w:after="0" w:line="240" w:lineRule="auto"/>
        <w:contextualSpacing/>
        <w:rPr>
          <w:sz w:val="24"/>
          <w:szCs w:val="24"/>
        </w:rPr>
      </w:pPr>
      <w:r>
        <w:rPr>
          <w:sz w:val="24"/>
          <w:szCs w:val="24"/>
        </w:rPr>
        <w:t>As of the beginning of November</w:t>
      </w:r>
      <w:r w:rsidR="003C3A62">
        <w:rPr>
          <w:sz w:val="24"/>
          <w:szCs w:val="24"/>
        </w:rPr>
        <w:t xml:space="preserve">2018, DTA’s SNAP caseload was </w:t>
      </w:r>
      <w:r w:rsidR="006B112F">
        <w:rPr>
          <w:sz w:val="24"/>
          <w:szCs w:val="24"/>
        </w:rPr>
        <w:t>comprised of 452,</w:t>
      </w:r>
      <w:r w:rsidR="006B112F" w:rsidRPr="00042944">
        <w:rPr>
          <w:sz w:val="24"/>
          <w:szCs w:val="24"/>
        </w:rPr>
        <w:t>703</w:t>
      </w:r>
      <w:r w:rsidR="00042944" w:rsidRPr="009D1328">
        <w:rPr>
          <w:sz w:val="24"/>
          <w:szCs w:val="24"/>
        </w:rPr>
        <w:t xml:space="preserve"> </w:t>
      </w:r>
      <w:r w:rsidR="003C3A62" w:rsidRPr="00042944">
        <w:rPr>
          <w:sz w:val="24"/>
          <w:szCs w:val="24"/>
        </w:rPr>
        <w:t xml:space="preserve">households, consisting of </w:t>
      </w:r>
      <w:r w:rsidR="00042944" w:rsidRPr="00042944">
        <w:rPr>
          <w:sz w:val="24"/>
          <w:szCs w:val="24"/>
        </w:rPr>
        <w:t>771,791</w:t>
      </w:r>
      <w:r w:rsidR="00042944">
        <w:rPr>
          <w:sz w:val="24"/>
          <w:szCs w:val="24"/>
        </w:rPr>
        <w:t xml:space="preserve"> </w:t>
      </w:r>
      <w:r w:rsidR="003C3A62" w:rsidRPr="00042944">
        <w:rPr>
          <w:sz w:val="24"/>
          <w:szCs w:val="24"/>
        </w:rPr>
        <w:t xml:space="preserve">recipients. Of these recipients, </w:t>
      </w:r>
      <w:r w:rsidR="00042944">
        <w:rPr>
          <w:sz w:val="24"/>
          <w:szCs w:val="24"/>
        </w:rPr>
        <w:t xml:space="preserve">157,358 </w:t>
      </w:r>
      <w:r w:rsidR="003C3A62" w:rsidRPr="00042944">
        <w:rPr>
          <w:sz w:val="24"/>
          <w:szCs w:val="24"/>
        </w:rPr>
        <w:t>recipients were 60 or over;</w:t>
      </w:r>
      <w:r w:rsidR="00042944">
        <w:rPr>
          <w:sz w:val="24"/>
          <w:szCs w:val="24"/>
        </w:rPr>
        <w:t xml:space="preserve"> 269,706</w:t>
      </w:r>
      <w:r w:rsidR="003C3A62" w:rsidRPr="009D1328">
        <w:rPr>
          <w:sz w:val="24"/>
          <w:szCs w:val="24"/>
        </w:rPr>
        <w:t xml:space="preserve"> </w:t>
      </w:r>
      <w:r w:rsidR="003C3A62" w:rsidRPr="00042944">
        <w:rPr>
          <w:sz w:val="24"/>
          <w:szCs w:val="24"/>
        </w:rPr>
        <w:t xml:space="preserve">were persons with disabilities; and </w:t>
      </w:r>
      <w:r w:rsidR="00042944">
        <w:rPr>
          <w:sz w:val="24"/>
          <w:szCs w:val="24"/>
        </w:rPr>
        <w:t>273,616 w</w:t>
      </w:r>
      <w:r w:rsidR="003C3A62" w:rsidRPr="00042944">
        <w:rPr>
          <w:sz w:val="24"/>
          <w:szCs w:val="24"/>
        </w:rPr>
        <w:t xml:space="preserve">ere age 18 or under. Of all SNAP </w:t>
      </w:r>
      <w:r w:rsidR="003C3A62" w:rsidRPr="0073725C">
        <w:rPr>
          <w:sz w:val="24"/>
          <w:szCs w:val="24"/>
        </w:rPr>
        <w:t>households</w:t>
      </w:r>
      <w:r>
        <w:rPr>
          <w:sz w:val="24"/>
          <w:szCs w:val="24"/>
        </w:rPr>
        <w:t>, 74.4%</w:t>
      </w:r>
      <w:r w:rsidR="003C3A62" w:rsidRPr="0073725C">
        <w:rPr>
          <w:sz w:val="24"/>
          <w:szCs w:val="24"/>
        </w:rPr>
        <w:t xml:space="preserve"> have a gross countable income of less than 100% of the federal poverty level, which equals </w:t>
      </w:r>
      <w:r w:rsidR="005B43ED" w:rsidRPr="0073725C">
        <w:rPr>
          <w:sz w:val="24"/>
          <w:szCs w:val="24"/>
        </w:rPr>
        <w:t xml:space="preserve">$16,460 </w:t>
      </w:r>
      <w:r w:rsidR="003C3A62" w:rsidRPr="0073725C">
        <w:rPr>
          <w:sz w:val="24"/>
          <w:szCs w:val="24"/>
        </w:rPr>
        <w:t>for a household of two.</w:t>
      </w:r>
    </w:p>
    <w:p w14:paraId="5C130384" w14:textId="77777777" w:rsidR="003C3A62" w:rsidRDefault="003C3A62" w:rsidP="003C3A62">
      <w:pPr>
        <w:pStyle w:val="Body"/>
        <w:spacing w:after="0" w:line="240" w:lineRule="auto"/>
        <w:contextualSpacing/>
        <w:rPr>
          <w:sz w:val="24"/>
          <w:szCs w:val="24"/>
        </w:rPr>
      </w:pPr>
    </w:p>
    <w:p w14:paraId="607AB6C4" w14:textId="77777777" w:rsidR="003C3A62" w:rsidRDefault="003C3A62" w:rsidP="003C3A62">
      <w:pPr>
        <w:pStyle w:val="Body"/>
        <w:spacing w:after="0" w:line="240" w:lineRule="auto"/>
        <w:contextualSpacing/>
        <w:rPr>
          <w:sz w:val="24"/>
          <w:szCs w:val="24"/>
        </w:rPr>
      </w:pPr>
      <w:r>
        <w:rPr>
          <w:sz w:val="24"/>
          <w:szCs w:val="24"/>
        </w:rPr>
        <w:t>Beyond the core responsibilities in administering the SNAP program, DTA works alongside a variety of partners contributing to the larger mission of food security in the Commonwealth.</w:t>
      </w:r>
    </w:p>
    <w:p w14:paraId="5EC278E8" w14:textId="77777777" w:rsidR="003C3A62" w:rsidRDefault="003C3A62" w:rsidP="003C3A62">
      <w:pPr>
        <w:pStyle w:val="Body"/>
        <w:spacing w:after="0" w:line="240" w:lineRule="auto"/>
        <w:contextualSpacing/>
        <w:rPr>
          <w:sz w:val="24"/>
          <w:szCs w:val="24"/>
        </w:rPr>
      </w:pPr>
    </w:p>
    <w:p w14:paraId="65A55836" w14:textId="77777777" w:rsidR="003C3A62" w:rsidRDefault="003C3A62" w:rsidP="003C3A62">
      <w:pPr>
        <w:pStyle w:val="Body"/>
        <w:spacing w:after="0" w:line="240" w:lineRule="auto"/>
        <w:contextualSpacing/>
        <w:rPr>
          <w:sz w:val="24"/>
          <w:szCs w:val="24"/>
        </w:rPr>
      </w:pPr>
    </w:p>
    <w:p w14:paraId="1335FA18" w14:textId="77777777" w:rsidR="003C3A62" w:rsidRDefault="00A17A31" w:rsidP="003C3A62">
      <w:pPr>
        <w:pStyle w:val="Body"/>
        <w:spacing w:after="0" w:line="240" w:lineRule="auto"/>
        <w:contextualSpacing/>
        <w:rPr>
          <w:rFonts w:ascii="Gill Sans MT" w:hAnsi="Gill Sans MT"/>
          <w:b/>
          <w:bCs/>
          <w:smallCaps/>
          <w:sz w:val="24"/>
          <w:szCs w:val="24"/>
        </w:rPr>
      </w:pPr>
      <w:r>
        <w:rPr>
          <w:rFonts w:ascii="Gill Sans MT" w:hAnsi="Gill Sans MT"/>
          <w:b/>
          <w:bCs/>
          <w:smallCaps/>
          <w:sz w:val="24"/>
          <w:szCs w:val="24"/>
        </w:rPr>
        <w:t>SNAP Outreach Strategies</w:t>
      </w:r>
    </w:p>
    <w:p w14:paraId="18C82278" w14:textId="7400677D" w:rsidR="00911B1B" w:rsidRDefault="00A34404" w:rsidP="003C3A62">
      <w:pPr>
        <w:pStyle w:val="Body"/>
        <w:spacing w:after="0" w:line="240" w:lineRule="auto"/>
        <w:contextualSpacing/>
        <w:rPr>
          <w:sz w:val="24"/>
          <w:szCs w:val="24"/>
        </w:rPr>
      </w:pPr>
      <w:r>
        <w:rPr>
          <w:sz w:val="24"/>
          <w:szCs w:val="24"/>
        </w:rPr>
        <w:t xml:space="preserve">DTA is dedicated to ensuring SNAP </w:t>
      </w:r>
      <w:r w:rsidR="00777AC7">
        <w:rPr>
          <w:sz w:val="24"/>
          <w:szCs w:val="24"/>
        </w:rPr>
        <w:t>benefits</w:t>
      </w:r>
      <w:r>
        <w:rPr>
          <w:sz w:val="24"/>
          <w:szCs w:val="24"/>
        </w:rPr>
        <w:t xml:space="preserve"> and related services are available to all </w:t>
      </w:r>
      <w:r w:rsidR="00777AC7">
        <w:rPr>
          <w:sz w:val="24"/>
          <w:szCs w:val="24"/>
        </w:rPr>
        <w:t>eligible</w:t>
      </w:r>
      <w:r>
        <w:rPr>
          <w:sz w:val="24"/>
          <w:szCs w:val="24"/>
        </w:rPr>
        <w:t xml:space="preserve"> Massachusetts households. Outreach to potential new and existing SNAP clients is done through a multi-pronged </w:t>
      </w:r>
      <w:r w:rsidR="00181BF3">
        <w:rPr>
          <w:sz w:val="24"/>
          <w:szCs w:val="24"/>
        </w:rPr>
        <w:t xml:space="preserve">approach </w:t>
      </w:r>
      <w:r w:rsidR="006D6034">
        <w:rPr>
          <w:sz w:val="24"/>
          <w:szCs w:val="24"/>
        </w:rPr>
        <w:t xml:space="preserve">focused on engaging targeted populations with low SNAP </w:t>
      </w:r>
      <w:r w:rsidR="006D6034">
        <w:rPr>
          <w:sz w:val="24"/>
          <w:szCs w:val="24"/>
        </w:rPr>
        <w:lastRenderedPageBreak/>
        <w:t>participation rates. The effort brings together</w:t>
      </w:r>
      <w:r>
        <w:rPr>
          <w:sz w:val="24"/>
          <w:szCs w:val="24"/>
        </w:rPr>
        <w:t xml:space="preserve"> DTA staff, inter-secretarial state agencies, </w:t>
      </w:r>
      <w:r w:rsidR="00CB5BBD">
        <w:rPr>
          <w:sz w:val="24"/>
          <w:szCs w:val="24"/>
        </w:rPr>
        <w:t xml:space="preserve">community-based organizations, </w:t>
      </w:r>
      <w:r w:rsidR="00181BF3">
        <w:rPr>
          <w:sz w:val="24"/>
          <w:szCs w:val="24"/>
        </w:rPr>
        <w:t>and contracted vendors.</w:t>
      </w:r>
    </w:p>
    <w:p w14:paraId="50DF0E77" w14:textId="77777777" w:rsidR="00A34404" w:rsidRDefault="00A34404" w:rsidP="003C3A62">
      <w:pPr>
        <w:pStyle w:val="Body"/>
        <w:spacing w:after="0" w:line="240" w:lineRule="auto"/>
        <w:contextualSpacing/>
        <w:rPr>
          <w:sz w:val="24"/>
          <w:szCs w:val="24"/>
        </w:rPr>
      </w:pPr>
    </w:p>
    <w:p w14:paraId="183ABFE7" w14:textId="77777777" w:rsidR="00A34404" w:rsidRDefault="00A34404" w:rsidP="00A34404">
      <w:pPr>
        <w:pStyle w:val="Body"/>
        <w:spacing w:after="0" w:line="240" w:lineRule="auto"/>
        <w:contextualSpacing/>
        <w:jc w:val="center"/>
        <w:rPr>
          <w:rFonts w:ascii="Gill Sans MT" w:eastAsia="Times New Roman" w:hAnsi="Gill Sans MT" w:cs="Times New Roman"/>
          <w:b/>
          <w:bCs/>
          <w:smallCaps/>
          <w:szCs w:val="24"/>
        </w:rPr>
      </w:pPr>
      <w:r>
        <w:rPr>
          <w:rFonts w:ascii="Gill Sans MT" w:eastAsia="Times New Roman" w:hAnsi="Gill Sans MT" w:cs="Times New Roman"/>
          <w:b/>
          <w:bCs/>
          <w:smallCaps/>
          <w:szCs w:val="24"/>
        </w:rPr>
        <w:t>Outreach Partners</w:t>
      </w:r>
    </w:p>
    <w:p w14:paraId="20E0BE23" w14:textId="3AC8410D" w:rsidR="008F0C49" w:rsidRDefault="00A34404" w:rsidP="00A34404">
      <w:pPr>
        <w:pStyle w:val="Body"/>
        <w:spacing w:after="0" w:line="240" w:lineRule="auto"/>
        <w:contextualSpacing/>
        <w:rPr>
          <w:sz w:val="24"/>
          <w:szCs w:val="24"/>
        </w:rPr>
      </w:pPr>
      <w:r>
        <w:rPr>
          <w:b/>
          <w:sz w:val="24"/>
          <w:szCs w:val="24"/>
        </w:rPr>
        <w:t>Enhanced Community Based Outreach Partner System.</w:t>
      </w:r>
      <w:r>
        <w:rPr>
          <w:sz w:val="24"/>
          <w:szCs w:val="24"/>
        </w:rPr>
        <w:t xml:space="preserve"> DTA engaged with the University of Massachusetts Medical School (UMass Medical) to administer a performance-based federal reimbursement project to enhance DTA’s provider outreach </w:t>
      </w:r>
      <w:r w:rsidR="00181BF3">
        <w:rPr>
          <w:sz w:val="24"/>
          <w:szCs w:val="24"/>
        </w:rPr>
        <w:t>activities</w:t>
      </w:r>
      <w:r>
        <w:rPr>
          <w:sz w:val="24"/>
          <w:szCs w:val="24"/>
        </w:rPr>
        <w:t xml:space="preserve">. In federal fiscal year (FFY) 2018, </w:t>
      </w:r>
      <w:r w:rsidR="00550897">
        <w:rPr>
          <w:sz w:val="24"/>
          <w:szCs w:val="24"/>
        </w:rPr>
        <w:t>DTA</w:t>
      </w:r>
      <w:r>
        <w:rPr>
          <w:sz w:val="24"/>
          <w:szCs w:val="24"/>
        </w:rPr>
        <w:t xml:space="preserve"> contracted with </w:t>
      </w:r>
      <w:r w:rsidR="00B523DB">
        <w:rPr>
          <w:sz w:val="24"/>
          <w:szCs w:val="24"/>
        </w:rPr>
        <w:t xml:space="preserve">63 </w:t>
      </w:r>
      <w:r>
        <w:rPr>
          <w:sz w:val="24"/>
          <w:szCs w:val="24"/>
        </w:rPr>
        <w:t xml:space="preserve">providers, known as outreach partners. These outreach partners are responsible for client outreach and assistance with applications and </w:t>
      </w:r>
      <w:r w:rsidR="008F0C49">
        <w:rPr>
          <w:sz w:val="24"/>
          <w:szCs w:val="24"/>
        </w:rPr>
        <w:t>recertification</w:t>
      </w:r>
      <w:r w:rsidR="001421C6">
        <w:rPr>
          <w:sz w:val="24"/>
          <w:szCs w:val="24"/>
        </w:rPr>
        <w:t>s</w:t>
      </w:r>
      <w:r w:rsidR="008F0C49">
        <w:rPr>
          <w:sz w:val="24"/>
          <w:szCs w:val="24"/>
        </w:rPr>
        <w:t xml:space="preserve">. </w:t>
      </w:r>
      <w:r w:rsidR="008F0C49" w:rsidRPr="008F0C49">
        <w:rPr>
          <w:sz w:val="24"/>
          <w:szCs w:val="24"/>
        </w:rPr>
        <w:t>As in previous years, preliminary information shows that most Outreach Partners reached their annual application and approval goals. These providers received just over $600,000 in payments for SNAP outreach services. For FFY 2018, USDA approved an expansion of the SNAP Outreach Partner Reimbursement Project and reimbursement of up to approximately $1.2M.</w:t>
      </w:r>
    </w:p>
    <w:p w14:paraId="68EB078C" w14:textId="77777777" w:rsidR="00A34404" w:rsidRDefault="00A34404" w:rsidP="003C3A62">
      <w:pPr>
        <w:pStyle w:val="Body"/>
        <w:spacing w:after="0" w:line="240" w:lineRule="auto"/>
        <w:contextualSpacing/>
        <w:rPr>
          <w:b/>
          <w:sz w:val="24"/>
          <w:szCs w:val="24"/>
        </w:rPr>
      </w:pPr>
    </w:p>
    <w:p w14:paraId="1B8D86F7" w14:textId="3567BA4B" w:rsidR="00A34404" w:rsidRDefault="00A34404" w:rsidP="003C3A62">
      <w:pPr>
        <w:pStyle w:val="Body"/>
        <w:spacing w:after="0" w:line="240" w:lineRule="auto"/>
        <w:contextualSpacing/>
        <w:rPr>
          <w:sz w:val="24"/>
          <w:szCs w:val="24"/>
        </w:rPr>
      </w:pPr>
      <w:r w:rsidRPr="00A34404">
        <w:rPr>
          <w:b/>
          <w:sz w:val="24"/>
          <w:szCs w:val="24"/>
        </w:rPr>
        <w:t>Project Bread</w:t>
      </w:r>
      <w:r>
        <w:rPr>
          <w:b/>
          <w:sz w:val="24"/>
          <w:szCs w:val="24"/>
        </w:rPr>
        <w:t>.</w:t>
      </w:r>
      <w:r>
        <w:rPr>
          <w:sz w:val="24"/>
          <w:szCs w:val="24"/>
        </w:rPr>
        <w:t xml:space="preserve"> DTA has a long-standing relationship with Project Bread. Project Bread’s Food Source Hotline performs SNAP eligibility screenings and provides application assistance for individuals interested in applying for SNAP benefits. Project Bread also assists families in need with resources to address more immediate food needs.</w:t>
      </w:r>
    </w:p>
    <w:p w14:paraId="1F7F63EF" w14:textId="77777777" w:rsidR="008F0C49" w:rsidRDefault="008F0C49" w:rsidP="003C3A62">
      <w:pPr>
        <w:pStyle w:val="Body"/>
        <w:spacing w:after="0" w:line="240" w:lineRule="auto"/>
        <w:contextualSpacing/>
        <w:rPr>
          <w:sz w:val="24"/>
          <w:szCs w:val="24"/>
        </w:rPr>
      </w:pPr>
    </w:p>
    <w:p w14:paraId="7529961F" w14:textId="00608277" w:rsidR="008F0C49" w:rsidRPr="008F0C49" w:rsidRDefault="008F0C49" w:rsidP="003C3A62">
      <w:pPr>
        <w:pStyle w:val="Body"/>
        <w:spacing w:after="0" w:line="240" w:lineRule="auto"/>
        <w:contextualSpacing/>
        <w:rPr>
          <w:b/>
          <w:sz w:val="24"/>
          <w:szCs w:val="24"/>
        </w:rPr>
      </w:pPr>
      <w:r w:rsidRPr="008F0C49">
        <w:rPr>
          <w:b/>
          <w:sz w:val="24"/>
          <w:szCs w:val="24"/>
        </w:rPr>
        <w:t>Community-based Trainings.</w:t>
      </w:r>
      <w:r w:rsidR="001421C6">
        <w:rPr>
          <w:b/>
          <w:sz w:val="24"/>
          <w:szCs w:val="24"/>
        </w:rPr>
        <w:t xml:space="preserve"> </w:t>
      </w:r>
      <w:r w:rsidR="001421C6" w:rsidRPr="009D1328">
        <w:rPr>
          <w:sz w:val="24"/>
          <w:szCs w:val="24"/>
        </w:rPr>
        <w:t>DTA provides SNAP 101 trainings for community-based organizations to educate them on the SNAP program and application process. In addition, DTA provides specialized trainings to best suit the needs of organizations that work with specific populatio</w:t>
      </w:r>
      <w:r w:rsidR="00550897">
        <w:rPr>
          <w:sz w:val="24"/>
          <w:szCs w:val="24"/>
        </w:rPr>
        <w:t xml:space="preserve">ns, such as college students, elders, and persons with disabilities. </w:t>
      </w:r>
      <w:r w:rsidR="00042944">
        <w:rPr>
          <w:sz w:val="24"/>
          <w:szCs w:val="24"/>
        </w:rPr>
        <w:t xml:space="preserve">In addition to existing training opportunities, </w:t>
      </w:r>
      <w:r w:rsidR="001421C6" w:rsidRPr="009D1328">
        <w:rPr>
          <w:sz w:val="24"/>
          <w:szCs w:val="24"/>
        </w:rPr>
        <w:t xml:space="preserve">DTA </w:t>
      </w:r>
      <w:r w:rsidR="00042944">
        <w:rPr>
          <w:sz w:val="24"/>
          <w:szCs w:val="24"/>
        </w:rPr>
        <w:t>is coordinating with the Department of Veterans’ Services (DVS)</w:t>
      </w:r>
      <w:r w:rsidR="001421C6" w:rsidRPr="009D1328">
        <w:rPr>
          <w:sz w:val="24"/>
          <w:szCs w:val="24"/>
        </w:rPr>
        <w:t xml:space="preserve"> to host five regional trainings specifically focused on </w:t>
      </w:r>
      <w:r w:rsidR="00042944">
        <w:rPr>
          <w:sz w:val="24"/>
          <w:szCs w:val="24"/>
        </w:rPr>
        <w:t>SNAP services for v</w:t>
      </w:r>
      <w:r w:rsidR="001421C6" w:rsidRPr="009D1328">
        <w:rPr>
          <w:sz w:val="24"/>
          <w:szCs w:val="24"/>
        </w:rPr>
        <w:t xml:space="preserve">eterans. </w:t>
      </w:r>
      <w:r w:rsidR="001421C6">
        <w:rPr>
          <w:b/>
          <w:sz w:val="24"/>
          <w:szCs w:val="24"/>
        </w:rPr>
        <w:t xml:space="preserve"> </w:t>
      </w:r>
    </w:p>
    <w:p w14:paraId="57711C58" w14:textId="77777777" w:rsidR="00777AC7" w:rsidRDefault="00777AC7" w:rsidP="003C3A62">
      <w:pPr>
        <w:pStyle w:val="Body"/>
        <w:spacing w:after="0" w:line="240" w:lineRule="auto"/>
        <w:contextualSpacing/>
        <w:rPr>
          <w:sz w:val="24"/>
          <w:szCs w:val="24"/>
        </w:rPr>
      </w:pPr>
    </w:p>
    <w:p w14:paraId="29594A31" w14:textId="77777777" w:rsidR="00777AC7" w:rsidRDefault="00777AC7" w:rsidP="00777AC7">
      <w:pPr>
        <w:pStyle w:val="Body"/>
        <w:spacing w:after="0" w:line="240" w:lineRule="auto"/>
        <w:contextualSpacing/>
        <w:jc w:val="center"/>
        <w:rPr>
          <w:rFonts w:ascii="Gill Sans MT" w:eastAsia="Times New Roman" w:hAnsi="Gill Sans MT" w:cs="Times New Roman"/>
          <w:b/>
          <w:bCs/>
          <w:smallCaps/>
          <w:szCs w:val="24"/>
        </w:rPr>
      </w:pPr>
      <w:r>
        <w:rPr>
          <w:rFonts w:ascii="Gill Sans MT" w:eastAsia="Times New Roman" w:hAnsi="Gill Sans MT" w:cs="Times New Roman"/>
          <w:b/>
          <w:bCs/>
          <w:smallCaps/>
          <w:szCs w:val="24"/>
        </w:rPr>
        <w:t>Targeted Outreach and Assistance for Seniors</w:t>
      </w:r>
    </w:p>
    <w:p w14:paraId="65A737CB" w14:textId="14005680" w:rsidR="00181BF3" w:rsidRDefault="00777AC7" w:rsidP="00777AC7">
      <w:pPr>
        <w:pStyle w:val="Body"/>
        <w:spacing w:after="0" w:line="240" w:lineRule="auto"/>
        <w:contextualSpacing/>
        <w:rPr>
          <w:sz w:val="24"/>
          <w:szCs w:val="24"/>
        </w:rPr>
      </w:pPr>
      <w:r>
        <w:rPr>
          <w:b/>
          <w:sz w:val="24"/>
          <w:szCs w:val="24"/>
        </w:rPr>
        <w:t xml:space="preserve">DTA Senior Assistance </w:t>
      </w:r>
      <w:r w:rsidR="00181BF3">
        <w:rPr>
          <w:b/>
          <w:sz w:val="24"/>
          <w:szCs w:val="24"/>
        </w:rPr>
        <w:t>Office</w:t>
      </w:r>
      <w:r>
        <w:rPr>
          <w:b/>
          <w:sz w:val="24"/>
          <w:szCs w:val="24"/>
        </w:rPr>
        <w:t>.</w:t>
      </w:r>
      <w:r>
        <w:rPr>
          <w:sz w:val="24"/>
          <w:szCs w:val="24"/>
        </w:rPr>
        <w:t xml:space="preserve"> </w:t>
      </w:r>
      <w:r w:rsidR="00181BF3">
        <w:rPr>
          <w:sz w:val="24"/>
          <w:szCs w:val="24"/>
        </w:rPr>
        <w:t xml:space="preserve">In January 2018, </w:t>
      </w:r>
      <w:r w:rsidRPr="00777AC7">
        <w:rPr>
          <w:sz w:val="24"/>
          <w:szCs w:val="24"/>
        </w:rPr>
        <w:t>DTA introduced its Senior Assistance Office. This specialized unit was designed to meet the specific needs of the Commonwealth’s elder population. Included in this office is a dedic</w:t>
      </w:r>
      <w:r w:rsidR="00181BF3">
        <w:rPr>
          <w:sz w:val="24"/>
          <w:szCs w:val="24"/>
        </w:rPr>
        <w:t xml:space="preserve">ated phone line for elders that connects senior clients and applicants </w:t>
      </w:r>
      <w:r w:rsidR="00CF3572">
        <w:rPr>
          <w:sz w:val="24"/>
          <w:szCs w:val="24"/>
        </w:rPr>
        <w:t>directly with a</w:t>
      </w:r>
      <w:r w:rsidR="00181BF3">
        <w:rPr>
          <w:sz w:val="24"/>
          <w:szCs w:val="24"/>
        </w:rPr>
        <w:t xml:space="preserve"> case manager. To date, the Senior Assistance Office has handled</w:t>
      </w:r>
      <w:r w:rsidR="00042944">
        <w:rPr>
          <w:sz w:val="24"/>
          <w:szCs w:val="24"/>
        </w:rPr>
        <w:t xml:space="preserve"> 9,221 phone </w:t>
      </w:r>
      <w:r w:rsidR="006B112F">
        <w:rPr>
          <w:sz w:val="24"/>
          <w:szCs w:val="24"/>
        </w:rPr>
        <w:t>c</w:t>
      </w:r>
      <w:r w:rsidR="00181BF3">
        <w:rPr>
          <w:sz w:val="24"/>
          <w:szCs w:val="24"/>
        </w:rPr>
        <w:t>alls</w:t>
      </w:r>
      <w:r w:rsidR="00550897">
        <w:rPr>
          <w:sz w:val="24"/>
          <w:szCs w:val="24"/>
        </w:rPr>
        <w:t>.</w:t>
      </w:r>
    </w:p>
    <w:p w14:paraId="5B145A0F" w14:textId="77777777" w:rsidR="00181BF3" w:rsidRDefault="00181BF3" w:rsidP="00777AC7">
      <w:pPr>
        <w:pStyle w:val="Body"/>
        <w:spacing w:after="0" w:line="240" w:lineRule="auto"/>
        <w:contextualSpacing/>
        <w:rPr>
          <w:sz w:val="24"/>
          <w:szCs w:val="24"/>
        </w:rPr>
      </w:pPr>
    </w:p>
    <w:p w14:paraId="36CFE032" w14:textId="668D535E" w:rsidR="00777AC7" w:rsidRDefault="00777AC7" w:rsidP="00777AC7">
      <w:pPr>
        <w:pStyle w:val="Body"/>
        <w:spacing w:after="0" w:line="240" w:lineRule="auto"/>
        <w:contextualSpacing/>
        <w:rPr>
          <w:sz w:val="24"/>
          <w:szCs w:val="24"/>
        </w:rPr>
      </w:pPr>
      <w:r w:rsidRPr="00777AC7">
        <w:rPr>
          <w:sz w:val="24"/>
          <w:szCs w:val="24"/>
        </w:rPr>
        <w:t xml:space="preserve">The unit </w:t>
      </w:r>
      <w:r w:rsidR="001421C6">
        <w:rPr>
          <w:sz w:val="24"/>
          <w:szCs w:val="24"/>
        </w:rPr>
        <w:t>participated in</w:t>
      </w:r>
      <w:r w:rsidRPr="00777AC7">
        <w:rPr>
          <w:sz w:val="24"/>
          <w:szCs w:val="24"/>
        </w:rPr>
        <w:t xml:space="preserve"> trainings designed to provide them with additional soft skills and resources to best ser</w:t>
      </w:r>
      <w:r w:rsidR="008F0C49">
        <w:rPr>
          <w:sz w:val="24"/>
          <w:szCs w:val="24"/>
        </w:rPr>
        <w:t xml:space="preserve">ve this vulnerable population. </w:t>
      </w:r>
      <w:r w:rsidR="00194537">
        <w:rPr>
          <w:sz w:val="24"/>
          <w:szCs w:val="24"/>
        </w:rPr>
        <w:t xml:space="preserve">One particularly beneficial training was conducted by the Executive Office of Elder Affairs on recognizing signs of elder abuse and appropriate ways to report it. </w:t>
      </w:r>
      <w:r w:rsidR="008F0C49" w:rsidRPr="008F0C49">
        <w:rPr>
          <w:sz w:val="24"/>
          <w:szCs w:val="24"/>
        </w:rPr>
        <w:t xml:space="preserve">In July 2018 DTA was approved for a federal waiver that will extend the certification period for seniors and persons with a disability from two years to three years. </w:t>
      </w:r>
      <w:r w:rsidR="00550897">
        <w:rPr>
          <w:sz w:val="24"/>
          <w:szCs w:val="24"/>
        </w:rPr>
        <w:t>This</w:t>
      </w:r>
      <w:r w:rsidR="008F0C49" w:rsidRPr="008F0C49">
        <w:rPr>
          <w:sz w:val="24"/>
          <w:szCs w:val="24"/>
        </w:rPr>
        <w:t xml:space="preserve"> waiver greatly reduces the administrative burden of participating in SNAP for this population.</w:t>
      </w:r>
    </w:p>
    <w:p w14:paraId="5FD8A379" w14:textId="77777777" w:rsidR="00777AC7" w:rsidRDefault="00777AC7" w:rsidP="00777AC7">
      <w:pPr>
        <w:pStyle w:val="Body"/>
        <w:spacing w:after="0" w:line="240" w:lineRule="auto"/>
        <w:contextualSpacing/>
        <w:rPr>
          <w:sz w:val="24"/>
          <w:szCs w:val="24"/>
        </w:rPr>
      </w:pPr>
    </w:p>
    <w:p w14:paraId="15043379" w14:textId="77777777" w:rsidR="00777AC7" w:rsidRDefault="00777AC7" w:rsidP="00777AC7">
      <w:pPr>
        <w:pStyle w:val="Body"/>
        <w:spacing w:after="0" w:line="240" w:lineRule="auto"/>
        <w:contextualSpacing/>
        <w:rPr>
          <w:sz w:val="24"/>
          <w:szCs w:val="24"/>
        </w:rPr>
      </w:pPr>
    </w:p>
    <w:p w14:paraId="5D376C9E" w14:textId="4BDC70E6" w:rsidR="00911B1B" w:rsidRDefault="00777AC7" w:rsidP="003C3A62">
      <w:pPr>
        <w:pStyle w:val="Body"/>
        <w:spacing w:after="0" w:line="240" w:lineRule="auto"/>
        <w:contextualSpacing/>
        <w:rPr>
          <w:sz w:val="24"/>
          <w:szCs w:val="24"/>
        </w:rPr>
      </w:pPr>
      <w:r>
        <w:rPr>
          <w:b/>
          <w:sz w:val="24"/>
          <w:szCs w:val="24"/>
        </w:rPr>
        <w:lastRenderedPageBreak/>
        <w:t>Collaboration with Massachusetts Council on Aging Association (MCOA).</w:t>
      </w:r>
      <w:r>
        <w:rPr>
          <w:sz w:val="24"/>
          <w:szCs w:val="24"/>
        </w:rPr>
        <w:t xml:space="preserve"> </w:t>
      </w:r>
      <w:r w:rsidRPr="00777AC7">
        <w:rPr>
          <w:sz w:val="24"/>
          <w:szCs w:val="24"/>
        </w:rPr>
        <w:t xml:space="preserve">DTA and MCOA’s ongoing collaboration has </w:t>
      </w:r>
      <w:r w:rsidRPr="00042944">
        <w:rPr>
          <w:sz w:val="24"/>
          <w:szCs w:val="24"/>
        </w:rPr>
        <w:t xml:space="preserve">resulted in </w:t>
      </w:r>
      <w:r w:rsidR="00B523DB" w:rsidRPr="009D1328">
        <w:rPr>
          <w:sz w:val="24"/>
          <w:szCs w:val="24"/>
        </w:rPr>
        <w:t>20</w:t>
      </w:r>
      <w:r w:rsidRPr="009D1328">
        <w:rPr>
          <w:sz w:val="24"/>
          <w:szCs w:val="24"/>
        </w:rPr>
        <w:t xml:space="preserve"> new Councils on Aging becoming</w:t>
      </w:r>
      <w:r w:rsidRPr="00777AC7">
        <w:rPr>
          <w:sz w:val="24"/>
          <w:szCs w:val="24"/>
        </w:rPr>
        <w:t xml:space="preserve"> contracted Outreach P</w:t>
      </w:r>
      <w:r w:rsidR="00181BF3">
        <w:rPr>
          <w:sz w:val="24"/>
          <w:szCs w:val="24"/>
        </w:rPr>
        <w:t xml:space="preserve">artners effective October 2018, which provides an additional access point for seniors to DTA and compliments </w:t>
      </w:r>
      <w:r w:rsidRPr="00777AC7">
        <w:rPr>
          <w:sz w:val="24"/>
          <w:szCs w:val="24"/>
        </w:rPr>
        <w:t xml:space="preserve">other efforts being employed by </w:t>
      </w:r>
      <w:r w:rsidR="00181BF3">
        <w:rPr>
          <w:sz w:val="24"/>
          <w:szCs w:val="24"/>
        </w:rPr>
        <w:t>the agency</w:t>
      </w:r>
      <w:r w:rsidRPr="00777AC7">
        <w:rPr>
          <w:sz w:val="24"/>
          <w:szCs w:val="24"/>
        </w:rPr>
        <w:t xml:space="preserve"> to strengthen access to SNAP benefits for </w:t>
      </w:r>
      <w:r w:rsidR="00181BF3">
        <w:rPr>
          <w:sz w:val="24"/>
          <w:szCs w:val="24"/>
        </w:rPr>
        <w:t xml:space="preserve">Massachusetts </w:t>
      </w:r>
      <w:r w:rsidRPr="00777AC7">
        <w:rPr>
          <w:sz w:val="24"/>
          <w:szCs w:val="24"/>
        </w:rPr>
        <w:t>seniors.</w:t>
      </w:r>
    </w:p>
    <w:p w14:paraId="324EC410" w14:textId="77777777" w:rsidR="00777AC7" w:rsidRDefault="00777AC7" w:rsidP="003C3A62">
      <w:pPr>
        <w:pStyle w:val="Body"/>
        <w:spacing w:after="0" w:line="240" w:lineRule="auto"/>
        <w:contextualSpacing/>
        <w:rPr>
          <w:sz w:val="24"/>
          <w:szCs w:val="24"/>
        </w:rPr>
      </w:pPr>
    </w:p>
    <w:p w14:paraId="12C46B6A" w14:textId="77777777" w:rsidR="00777AC7" w:rsidRDefault="00777AC7" w:rsidP="00777AC7">
      <w:pPr>
        <w:pStyle w:val="Body"/>
        <w:spacing w:after="0" w:line="240" w:lineRule="auto"/>
        <w:contextualSpacing/>
        <w:jc w:val="center"/>
        <w:rPr>
          <w:rFonts w:ascii="Gill Sans MT" w:eastAsia="Times New Roman" w:hAnsi="Gill Sans MT" w:cs="Times New Roman"/>
          <w:b/>
          <w:bCs/>
          <w:smallCaps/>
          <w:szCs w:val="24"/>
        </w:rPr>
      </w:pPr>
      <w:r>
        <w:rPr>
          <w:rFonts w:ascii="Gill Sans MT" w:eastAsia="Times New Roman" w:hAnsi="Gill Sans MT" w:cs="Times New Roman"/>
          <w:b/>
          <w:bCs/>
          <w:smallCaps/>
          <w:szCs w:val="24"/>
        </w:rPr>
        <w:t>Technological Enhancements</w:t>
      </w:r>
    </w:p>
    <w:p w14:paraId="14596D92" w14:textId="63498C81" w:rsidR="00777AC7" w:rsidRDefault="008F0C49" w:rsidP="00777AC7">
      <w:pPr>
        <w:pStyle w:val="Body"/>
        <w:spacing w:after="0" w:line="240" w:lineRule="auto"/>
        <w:contextualSpacing/>
        <w:rPr>
          <w:sz w:val="24"/>
          <w:szCs w:val="24"/>
        </w:rPr>
      </w:pPr>
      <w:r>
        <w:rPr>
          <w:b/>
          <w:sz w:val="24"/>
          <w:szCs w:val="24"/>
        </w:rPr>
        <w:t>Online Client Services</w:t>
      </w:r>
      <w:r w:rsidR="00777AC7">
        <w:rPr>
          <w:b/>
          <w:sz w:val="24"/>
          <w:szCs w:val="24"/>
        </w:rPr>
        <w:t>.</w:t>
      </w:r>
      <w:r w:rsidR="00777AC7">
        <w:rPr>
          <w:sz w:val="24"/>
          <w:szCs w:val="24"/>
        </w:rPr>
        <w:t xml:space="preserve"> </w:t>
      </w:r>
      <w:r w:rsidRPr="008F0C49">
        <w:rPr>
          <w:sz w:val="24"/>
          <w:szCs w:val="24"/>
        </w:rPr>
        <w:t>In August 2016, DTA introduced a mobile application called DTA Connect that allows clients to access case information, receive alerts and reminders, and update contact information, among other things.</w:t>
      </w:r>
      <w:r w:rsidRPr="008F0C49">
        <w:t xml:space="preserve"> </w:t>
      </w:r>
      <w:r w:rsidRPr="008F0C49">
        <w:rPr>
          <w:sz w:val="24"/>
          <w:szCs w:val="24"/>
        </w:rPr>
        <w:t>In 2018, DTA expanded the DTA Connect platform to</w:t>
      </w:r>
      <w:r w:rsidR="006D6034">
        <w:rPr>
          <w:sz w:val="24"/>
          <w:szCs w:val="24"/>
        </w:rPr>
        <w:t xml:space="preserve"> include a web-based portal, which</w:t>
      </w:r>
      <w:r w:rsidRPr="008F0C49">
        <w:rPr>
          <w:sz w:val="24"/>
          <w:szCs w:val="24"/>
        </w:rPr>
        <w:t xml:space="preserve"> </w:t>
      </w:r>
      <w:r w:rsidR="006D6034">
        <w:rPr>
          <w:sz w:val="24"/>
          <w:szCs w:val="24"/>
        </w:rPr>
        <w:t>affords</w:t>
      </w:r>
      <w:r w:rsidR="006D6034" w:rsidRPr="008F0C49">
        <w:rPr>
          <w:sz w:val="24"/>
          <w:szCs w:val="24"/>
        </w:rPr>
        <w:t xml:space="preserve"> </w:t>
      </w:r>
      <w:r w:rsidRPr="008F0C49">
        <w:rPr>
          <w:sz w:val="24"/>
          <w:szCs w:val="24"/>
        </w:rPr>
        <w:t xml:space="preserve">clients maximum flexibility </w:t>
      </w:r>
      <w:r w:rsidR="00194537">
        <w:rPr>
          <w:sz w:val="24"/>
          <w:szCs w:val="24"/>
        </w:rPr>
        <w:t xml:space="preserve">in accessing </w:t>
      </w:r>
      <w:r w:rsidRPr="008F0C49">
        <w:rPr>
          <w:sz w:val="24"/>
          <w:szCs w:val="24"/>
        </w:rPr>
        <w:t xml:space="preserve">information and tools </w:t>
      </w:r>
      <w:r w:rsidR="006D6034">
        <w:rPr>
          <w:sz w:val="24"/>
          <w:szCs w:val="24"/>
        </w:rPr>
        <w:t>at any time</w:t>
      </w:r>
      <w:r w:rsidRPr="008F0C49">
        <w:rPr>
          <w:sz w:val="24"/>
          <w:szCs w:val="24"/>
        </w:rPr>
        <w:t>. This expansion included a streamlined eligibility screener, an interactive, user-friendly online SNAP application and a client and provider web portal. This development significantly expands self-service capacity allowing clients to check their case and benefit status, view notices sent by DTA and upload important documents. Clients have access to DTA Connect via self-service kiosks available in all 22 local Transitional Assistance Offices. Further expan</w:t>
      </w:r>
      <w:r w:rsidR="00194537">
        <w:rPr>
          <w:sz w:val="24"/>
          <w:szCs w:val="24"/>
        </w:rPr>
        <w:t xml:space="preserve">sion </w:t>
      </w:r>
      <w:r w:rsidRPr="008F0C49">
        <w:rPr>
          <w:sz w:val="24"/>
          <w:szCs w:val="24"/>
        </w:rPr>
        <w:t>of this platform is anticipated for 2019.</w:t>
      </w:r>
    </w:p>
    <w:p w14:paraId="45CD2606" w14:textId="77777777" w:rsidR="00777AC7" w:rsidRDefault="00777AC7" w:rsidP="00777AC7">
      <w:pPr>
        <w:pStyle w:val="Body"/>
        <w:spacing w:after="0" w:line="240" w:lineRule="auto"/>
        <w:contextualSpacing/>
        <w:rPr>
          <w:sz w:val="24"/>
          <w:szCs w:val="24"/>
        </w:rPr>
      </w:pPr>
    </w:p>
    <w:p w14:paraId="6A387F8E" w14:textId="77777777" w:rsidR="00777AC7" w:rsidRDefault="00777AC7" w:rsidP="00777AC7">
      <w:pPr>
        <w:pStyle w:val="Body"/>
        <w:spacing w:after="0" w:line="240" w:lineRule="auto"/>
        <w:contextualSpacing/>
        <w:jc w:val="center"/>
        <w:rPr>
          <w:rFonts w:ascii="Gill Sans MT" w:eastAsia="Times New Roman" w:hAnsi="Gill Sans MT" w:cs="Times New Roman"/>
          <w:b/>
          <w:bCs/>
          <w:smallCaps/>
          <w:szCs w:val="24"/>
        </w:rPr>
      </w:pPr>
      <w:r>
        <w:rPr>
          <w:rFonts w:ascii="Gill Sans MT" w:eastAsia="Times New Roman" w:hAnsi="Gill Sans MT" w:cs="Times New Roman"/>
          <w:b/>
          <w:bCs/>
          <w:smallCaps/>
          <w:szCs w:val="24"/>
        </w:rPr>
        <w:t>Interagency Partnerships</w:t>
      </w:r>
    </w:p>
    <w:p w14:paraId="14826073" w14:textId="77777777" w:rsidR="00777AC7" w:rsidRDefault="00777AC7" w:rsidP="00777AC7">
      <w:pPr>
        <w:pStyle w:val="Body"/>
        <w:spacing w:after="0" w:line="240" w:lineRule="auto"/>
        <w:contextualSpacing/>
        <w:rPr>
          <w:b/>
          <w:sz w:val="24"/>
          <w:szCs w:val="24"/>
        </w:rPr>
      </w:pPr>
      <w:r>
        <w:rPr>
          <w:b/>
          <w:sz w:val="24"/>
          <w:szCs w:val="24"/>
        </w:rPr>
        <w:t xml:space="preserve">MassHealth. </w:t>
      </w:r>
      <w:r w:rsidRPr="00777AC7">
        <w:rPr>
          <w:sz w:val="24"/>
          <w:szCs w:val="24"/>
        </w:rPr>
        <w:t>DTA and MassHealth continue to prioritize efforts to reduce what is co</w:t>
      </w:r>
      <w:r w:rsidR="008F0C49">
        <w:rPr>
          <w:sz w:val="24"/>
          <w:szCs w:val="24"/>
        </w:rPr>
        <w:t>mmonly known as the “SNAP Gap”. The term refers to</w:t>
      </w:r>
      <w:r w:rsidRPr="00777AC7">
        <w:rPr>
          <w:sz w:val="24"/>
          <w:szCs w:val="24"/>
        </w:rPr>
        <w:t xml:space="preserve"> Massachusetts residents who rece</w:t>
      </w:r>
      <w:r w:rsidR="00181BF3">
        <w:rPr>
          <w:sz w:val="24"/>
          <w:szCs w:val="24"/>
        </w:rPr>
        <w:t>ive MassHealth benefits</w:t>
      </w:r>
      <w:r w:rsidR="008F0C49">
        <w:rPr>
          <w:sz w:val="24"/>
          <w:szCs w:val="24"/>
        </w:rPr>
        <w:t>,</w:t>
      </w:r>
      <w:r w:rsidR="00181BF3">
        <w:rPr>
          <w:sz w:val="24"/>
          <w:szCs w:val="24"/>
        </w:rPr>
        <w:t xml:space="preserve"> but </w:t>
      </w:r>
      <w:r w:rsidR="008F0C49">
        <w:rPr>
          <w:sz w:val="24"/>
          <w:szCs w:val="24"/>
        </w:rPr>
        <w:t xml:space="preserve">are not currently receiving SNAP benefits although they’re likely eligible for them. </w:t>
      </w:r>
      <w:r w:rsidRPr="00777AC7">
        <w:rPr>
          <w:sz w:val="24"/>
          <w:szCs w:val="24"/>
        </w:rPr>
        <w:t xml:space="preserve">DTA </w:t>
      </w:r>
      <w:r w:rsidR="008F0C49">
        <w:rPr>
          <w:sz w:val="24"/>
          <w:szCs w:val="24"/>
        </w:rPr>
        <w:t>continues to use outreach p</w:t>
      </w:r>
      <w:r w:rsidRPr="00777AC7">
        <w:rPr>
          <w:sz w:val="24"/>
          <w:szCs w:val="24"/>
        </w:rPr>
        <w:t xml:space="preserve">artners to conduct targeted outreach to potential SNAP Gap clients.  Additionally, DTA and MassHealth are in discussions on </w:t>
      </w:r>
      <w:r w:rsidR="008F0C49" w:rsidRPr="008F0C49">
        <w:rPr>
          <w:sz w:val="24"/>
          <w:szCs w:val="24"/>
        </w:rPr>
        <w:t>ways to capitalize on existing technology to further enhance outreach efforts.</w:t>
      </w:r>
    </w:p>
    <w:p w14:paraId="68BAEAE6" w14:textId="77777777" w:rsidR="00777AC7" w:rsidRPr="00CB5BBD" w:rsidRDefault="00777AC7" w:rsidP="00777AC7">
      <w:pPr>
        <w:pStyle w:val="Body"/>
        <w:spacing w:after="0" w:line="240" w:lineRule="auto"/>
        <w:contextualSpacing/>
        <w:rPr>
          <w:b/>
          <w:color w:val="auto"/>
          <w:sz w:val="24"/>
          <w:szCs w:val="24"/>
        </w:rPr>
      </w:pPr>
    </w:p>
    <w:p w14:paraId="65D27290" w14:textId="12313680" w:rsidR="00777AC7" w:rsidRPr="00CB5BBD" w:rsidRDefault="00777AC7" w:rsidP="00777AC7">
      <w:pPr>
        <w:pStyle w:val="Body"/>
        <w:spacing w:after="0" w:line="240" w:lineRule="auto"/>
        <w:contextualSpacing/>
        <w:rPr>
          <w:color w:val="auto"/>
          <w:sz w:val="24"/>
          <w:szCs w:val="24"/>
        </w:rPr>
      </w:pPr>
      <w:r w:rsidRPr="00CB5BBD">
        <w:rPr>
          <w:b/>
          <w:color w:val="auto"/>
          <w:sz w:val="24"/>
          <w:szCs w:val="24"/>
        </w:rPr>
        <w:t>Department of Higher Education.</w:t>
      </w:r>
      <w:r w:rsidRPr="00CB5BBD">
        <w:rPr>
          <w:color w:val="auto"/>
          <w:sz w:val="24"/>
          <w:szCs w:val="24"/>
        </w:rPr>
        <w:t xml:space="preserve"> </w:t>
      </w:r>
      <w:r w:rsidR="00194537" w:rsidRPr="00CB5BBD">
        <w:rPr>
          <w:color w:val="auto"/>
          <w:sz w:val="24"/>
          <w:szCs w:val="24"/>
        </w:rPr>
        <w:t xml:space="preserve">DTA, with assistance </w:t>
      </w:r>
      <w:r w:rsidR="006D6034" w:rsidRPr="00CB5BBD">
        <w:rPr>
          <w:color w:val="auto"/>
          <w:sz w:val="24"/>
          <w:szCs w:val="24"/>
        </w:rPr>
        <w:t>from the Department of Higher Education</w:t>
      </w:r>
      <w:r w:rsidR="00194537" w:rsidRPr="00CB5BBD">
        <w:rPr>
          <w:color w:val="auto"/>
          <w:sz w:val="24"/>
          <w:szCs w:val="24"/>
        </w:rPr>
        <w:t xml:space="preserve">, is actively working to bring on colleges and universities as outreach partners and SNAP Employment and Training providers. </w:t>
      </w:r>
      <w:r w:rsidR="006D6034" w:rsidRPr="00CB5BBD">
        <w:rPr>
          <w:color w:val="auto"/>
          <w:sz w:val="24"/>
          <w:szCs w:val="24"/>
        </w:rPr>
        <w:t>In a joint effort to address the issue of food insecurity on college campuses, t</w:t>
      </w:r>
      <w:r w:rsidR="00194537" w:rsidRPr="00CB5BBD">
        <w:rPr>
          <w:color w:val="auto"/>
          <w:sz w:val="24"/>
          <w:szCs w:val="24"/>
        </w:rPr>
        <w:t xml:space="preserve">his approach connects higher education institutes with available federal funds to maximize services and supports to food insecure college students. In 2018, DTA was able to successfully enroll its first community college outreach partner and has expanded the number of community colleges participating in the SNAP Employment and Training program to </w:t>
      </w:r>
      <w:r w:rsidR="00CB5BBD" w:rsidRPr="00CB5BBD">
        <w:rPr>
          <w:color w:val="auto"/>
          <w:sz w:val="24"/>
          <w:szCs w:val="24"/>
        </w:rPr>
        <w:t xml:space="preserve">4, including Cape Cod Community College, Holyoke Community College, Middlesex Community College, and </w:t>
      </w:r>
      <w:r w:rsidR="00CB5BBD" w:rsidRPr="00CB5BBD">
        <w:rPr>
          <w:color w:val="auto"/>
          <w:sz w:val="23"/>
          <w:szCs w:val="23"/>
        </w:rPr>
        <w:t>Quinsigamond Community College.</w:t>
      </w:r>
    </w:p>
    <w:p w14:paraId="5581E590" w14:textId="77777777" w:rsidR="00777AC7" w:rsidRDefault="00777AC7" w:rsidP="00777AC7">
      <w:pPr>
        <w:pStyle w:val="Body"/>
        <w:spacing w:after="0" w:line="240" w:lineRule="auto"/>
        <w:contextualSpacing/>
        <w:rPr>
          <w:b/>
          <w:sz w:val="24"/>
          <w:szCs w:val="24"/>
        </w:rPr>
      </w:pPr>
    </w:p>
    <w:p w14:paraId="7350AAB0" w14:textId="77777777" w:rsidR="00777AC7" w:rsidRDefault="00777AC7" w:rsidP="00777AC7">
      <w:pPr>
        <w:pStyle w:val="Body"/>
        <w:spacing w:after="0" w:line="240" w:lineRule="auto"/>
        <w:contextualSpacing/>
        <w:rPr>
          <w:sz w:val="24"/>
          <w:szCs w:val="24"/>
        </w:rPr>
      </w:pPr>
      <w:r>
        <w:rPr>
          <w:b/>
          <w:sz w:val="24"/>
          <w:szCs w:val="24"/>
        </w:rPr>
        <w:t>Department of Elementary and Secondary Education.</w:t>
      </w:r>
      <w:r>
        <w:rPr>
          <w:sz w:val="24"/>
          <w:szCs w:val="24"/>
        </w:rPr>
        <w:t xml:space="preserve"> </w:t>
      </w:r>
      <w:r w:rsidRPr="00777AC7">
        <w:rPr>
          <w:sz w:val="24"/>
          <w:szCs w:val="24"/>
        </w:rPr>
        <w:t>DTA is in the early discussions with the Department of Elementary and Secondary Education around formalizing an outreach strategy targeted at engaging families with children who are not currently receiving SNAP and appear to be eligible.</w:t>
      </w:r>
      <w:r w:rsidR="00625AAC">
        <w:rPr>
          <w:sz w:val="24"/>
          <w:szCs w:val="24"/>
        </w:rPr>
        <w:t xml:space="preserve"> In 2018, DTA engaged with public school systems for the first time, bringing on two public school systems as outreach partners. This approach is designed to reach families in the community they reside and bridge any delta between children eligible for free or reduced priced meals who may be SNAP eligible. An added benefit is the increase in federal revenue that is introduced to the school systems. </w:t>
      </w:r>
    </w:p>
    <w:p w14:paraId="78B118EC" w14:textId="77777777" w:rsidR="008F0C49" w:rsidRDefault="008F0C49" w:rsidP="00777AC7">
      <w:pPr>
        <w:pStyle w:val="Body"/>
        <w:spacing w:after="0" w:line="240" w:lineRule="auto"/>
        <w:contextualSpacing/>
        <w:rPr>
          <w:sz w:val="24"/>
          <w:szCs w:val="24"/>
        </w:rPr>
      </w:pPr>
    </w:p>
    <w:p w14:paraId="3D1600A8" w14:textId="76CE63C9" w:rsidR="008F0C49" w:rsidRPr="008F0C49" w:rsidRDefault="008F0C49" w:rsidP="00777AC7">
      <w:pPr>
        <w:pStyle w:val="Body"/>
        <w:spacing w:after="0" w:line="240" w:lineRule="auto"/>
        <w:contextualSpacing/>
        <w:rPr>
          <w:sz w:val="24"/>
          <w:szCs w:val="24"/>
        </w:rPr>
      </w:pPr>
      <w:r w:rsidRPr="008F0C49">
        <w:rPr>
          <w:b/>
          <w:sz w:val="24"/>
          <w:szCs w:val="24"/>
        </w:rPr>
        <w:t>Department of Developmental Services and Department of Mental Health.</w:t>
      </w:r>
      <w:r>
        <w:rPr>
          <w:b/>
          <w:sz w:val="24"/>
          <w:szCs w:val="24"/>
        </w:rPr>
        <w:t xml:space="preserve"> </w:t>
      </w:r>
      <w:r w:rsidR="00625AAC">
        <w:rPr>
          <w:sz w:val="24"/>
          <w:szCs w:val="24"/>
        </w:rPr>
        <w:t xml:space="preserve">In 2018 DTA and the Department of Developmental Services (DDS), in partnership with the Office of Inspector General, participated in a work group focused on SNAP in Group Homes. </w:t>
      </w:r>
      <w:r w:rsidR="0025116E">
        <w:rPr>
          <w:sz w:val="24"/>
          <w:szCs w:val="24"/>
        </w:rPr>
        <w:t>The goal of the work group was to design streamlined</w:t>
      </w:r>
      <w:r w:rsidR="00625AAC">
        <w:rPr>
          <w:sz w:val="24"/>
          <w:szCs w:val="24"/>
        </w:rPr>
        <w:t xml:space="preserve"> operational practices </w:t>
      </w:r>
      <w:r w:rsidR="000D3BD7">
        <w:rPr>
          <w:sz w:val="24"/>
          <w:szCs w:val="24"/>
        </w:rPr>
        <w:t xml:space="preserve">and strengthen programmatic integrity </w:t>
      </w:r>
      <w:r w:rsidR="00625AAC">
        <w:rPr>
          <w:sz w:val="24"/>
          <w:szCs w:val="24"/>
        </w:rPr>
        <w:t>between the two agencies</w:t>
      </w:r>
      <w:r w:rsidR="000D3BD7">
        <w:rPr>
          <w:sz w:val="24"/>
          <w:szCs w:val="24"/>
        </w:rPr>
        <w:t>.</w:t>
      </w:r>
      <w:r w:rsidR="00625AAC">
        <w:rPr>
          <w:sz w:val="24"/>
          <w:szCs w:val="24"/>
        </w:rPr>
        <w:t xml:space="preserve">  The work group successfully executed a Memorandum of Understanding and data sharing agreement that will ensure accurate and updated information is shared between the two agencies. In September 2018, DTA kicked off a similar work group with the Department of Mental Health (DMH) designed at achieving a similar outcome. </w:t>
      </w:r>
    </w:p>
    <w:p w14:paraId="10240EAB" w14:textId="77777777" w:rsidR="00777AC7" w:rsidRDefault="00777AC7" w:rsidP="003C3A62">
      <w:pPr>
        <w:pStyle w:val="Body"/>
        <w:spacing w:after="0" w:line="240" w:lineRule="auto"/>
        <w:contextualSpacing/>
        <w:rPr>
          <w:sz w:val="24"/>
          <w:szCs w:val="24"/>
        </w:rPr>
      </w:pPr>
    </w:p>
    <w:p w14:paraId="52535D3C" w14:textId="77777777" w:rsidR="00911B1B" w:rsidRPr="00777AC7" w:rsidRDefault="00911B1B" w:rsidP="00777AC7">
      <w:pPr>
        <w:pStyle w:val="Body"/>
        <w:spacing w:after="0" w:line="240" w:lineRule="auto"/>
        <w:contextualSpacing/>
        <w:jc w:val="center"/>
        <w:rPr>
          <w:rFonts w:ascii="Gill Sans MT" w:hAnsi="Gill Sans MT"/>
          <w:b/>
          <w:bCs/>
          <w:smallCaps/>
          <w:szCs w:val="24"/>
        </w:rPr>
      </w:pPr>
      <w:r w:rsidRPr="00777AC7">
        <w:rPr>
          <w:rFonts w:ascii="Gill Sans MT" w:hAnsi="Gill Sans MT"/>
          <w:b/>
          <w:bCs/>
          <w:smallCaps/>
          <w:szCs w:val="24"/>
        </w:rPr>
        <w:t>SNAP Path to Work Program</w:t>
      </w:r>
    </w:p>
    <w:p w14:paraId="632C9997" w14:textId="639664CC" w:rsidR="000A4927" w:rsidRDefault="00911B1B" w:rsidP="00911B1B">
      <w:pPr>
        <w:pStyle w:val="Body"/>
        <w:spacing w:after="0" w:line="240" w:lineRule="auto"/>
        <w:contextualSpacing/>
        <w:rPr>
          <w:sz w:val="24"/>
          <w:szCs w:val="24"/>
        </w:rPr>
      </w:pPr>
      <w:r>
        <w:rPr>
          <w:sz w:val="24"/>
          <w:szCs w:val="24"/>
        </w:rPr>
        <w:t xml:space="preserve">Since 2006, DTA has partnered with </w:t>
      </w:r>
      <w:r w:rsidR="001273F7">
        <w:rPr>
          <w:sz w:val="24"/>
          <w:szCs w:val="24"/>
        </w:rPr>
        <w:t xml:space="preserve">UMass Medical </w:t>
      </w:r>
      <w:r w:rsidR="005265A5">
        <w:rPr>
          <w:sz w:val="24"/>
          <w:szCs w:val="24"/>
        </w:rPr>
        <w:t xml:space="preserve">School </w:t>
      </w:r>
      <w:r>
        <w:rPr>
          <w:sz w:val="24"/>
          <w:szCs w:val="24"/>
        </w:rPr>
        <w:t xml:space="preserve">to offer meaningful opportunities to SNAP clients who </w:t>
      </w:r>
      <w:r w:rsidR="001273F7">
        <w:rPr>
          <w:sz w:val="24"/>
          <w:szCs w:val="24"/>
        </w:rPr>
        <w:t>are not receiving</w:t>
      </w:r>
      <w:r>
        <w:rPr>
          <w:sz w:val="24"/>
          <w:szCs w:val="24"/>
        </w:rPr>
        <w:t xml:space="preserve"> economic assistance through the federal Temporary Assistance for Needy Families (TANF) program</w:t>
      </w:r>
      <w:r w:rsidR="001273F7">
        <w:rPr>
          <w:sz w:val="24"/>
          <w:szCs w:val="24"/>
        </w:rPr>
        <w:t xml:space="preserve">. The goal of the SNAP Path to Work program is to </w:t>
      </w:r>
      <w:r w:rsidR="000A4927">
        <w:rPr>
          <w:sz w:val="24"/>
          <w:szCs w:val="24"/>
        </w:rPr>
        <w:t xml:space="preserve">assist under- and unemployed SNAP participants gain valuable skills and experience, increase employability, secure employment, and establish a path towards self-sufficiency. Through a network of contracted community partners, participants receive job search assistance, job readiness training, job retention services, certain education opportunities, vocational skills training, </w:t>
      </w:r>
      <w:r w:rsidR="005265A5">
        <w:rPr>
          <w:sz w:val="24"/>
          <w:szCs w:val="24"/>
        </w:rPr>
        <w:t xml:space="preserve">work experience, </w:t>
      </w:r>
      <w:r w:rsidR="000A4927">
        <w:rPr>
          <w:sz w:val="24"/>
          <w:szCs w:val="24"/>
        </w:rPr>
        <w:t>apprenticeships</w:t>
      </w:r>
      <w:r w:rsidR="005265A5">
        <w:rPr>
          <w:sz w:val="24"/>
          <w:szCs w:val="24"/>
        </w:rPr>
        <w:t>, and supports.</w:t>
      </w:r>
    </w:p>
    <w:p w14:paraId="410D2B0B" w14:textId="77777777" w:rsidR="000A4927" w:rsidRDefault="000A4927" w:rsidP="00911B1B">
      <w:pPr>
        <w:pStyle w:val="Body"/>
        <w:spacing w:after="0" w:line="240" w:lineRule="auto"/>
        <w:contextualSpacing/>
        <w:rPr>
          <w:sz w:val="24"/>
          <w:szCs w:val="24"/>
        </w:rPr>
      </w:pPr>
    </w:p>
    <w:p w14:paraId="31392222" w14:textId="77777777" w:rsidR="000A4927" w:rsidRDefault="001273F7" w:rsidP="00911B1B">
      <w:pPr>
        <w:pStyle w:val="Body"/>
        <w:spacing w:after="0" w:line="240" w:lineRule="auto"/>
        <w:contextualSpacing/>
        <w:rPr>
          <w:sz w:val="24"/>
          <w:szCs w:val="24"/>
        </w:rPr>
      </w:pPr>
      <w:r>
        <w:rPr>
          <w:sz w:val="24"/>
          <w:szCs w:val="24"/>
        </w:rPr>
        <w:t>Through this partnership, UMass Medical</w:t>
      </w:r>
      <w:r w:rsidR="005265A5">
        <w:rPr>
          <w:sz w:val="24"/>
          <w:szCs w:val="24"/>
        </w:rPr>
        <w:t xml:space="preserve"> School</w:t>
      </w:r>
      <w:r>
        <w:rPr>
          <w:sz w:val="24"/>
          <w:szCs w:val="24"/>
        </w:rPr>
        <w:t xml:space="preserve"> is responsible for </w:t>
      </w:r>
      <w:r w:rsidR="000A4927">
        <w:rPr>
          <w:sz w:val="24"/>
          <w:szCs w:val="24"/>
        </w:rPr>
        <w:t>managing important components of the program, including:</w:t>
      </w:r>
    </w:p>
    <w:p w14:paraId="77DF43B8" w14:textId="77777777" w:rsidR="000A4927" w:rsidRDefault="000A4927" w:rsidP="000A4927">
      <w:pPr>
        <w:pStyle w:val="Body"/>
        <w:numPr>
          <w:ilvl w:val="0"/>
          <w:numId w:val="2"/>
        </w:numPr>
        <w:spacing w:after="0" w:line="240" w:lineRule="auto"/>
        <w:contextualSpacing/>
        <w:rPr>
          <w:sz w:val="24"/>
          <w:szCs w:val="24"/>
        </w:rPr>
      </w:pPr>
      <w:r>
        <w:rPr>
          <w:sz w:val="24"/>
          <w:szCs w:val="24"/>
        </w:rPr>
        <w:t>R</w:t>
      </w:r>
      <w:r w:rsidR="001273F7">
        <w:rPr>
          <w:sz w:val="24"/>
          <w:szCs w:val="24"/>
        </w:rPr>
        <w:t>ecruiting, subcontracting, and monitoring SNAP Path to Work provider</w:t>
      </w:r>
      <w:r>
        <w:rPr>
          <w:sz w:val="24"/>
          <w:szCs w:val="24"/>
        </w:rPr>
        <w:t>s</w:t>
      </w:r>
    </w:p>
    <w:p w14:paraId="4B35F416" w14:textId="77777777" w:rsidR="000A4927" w:rsidRDefault="000A4927" w:rsidP="000A4927">
      <w:pPr>
        <w:pStyle w:val="Body"/>
        <w:numPr>
          <w:ilvl w:val="0"/>
          <w:numId w:val="2"/>
        </w:numPr>
        <w:spacing w:after="0" w:line="240" w:lineRule="auto"/>
        <w:contextualSpacing/>
        <w:rPr>
          <w:sz w:val="24"/>
          <w:szCs w:val="24"/>
        </w:rPr>
      </w:pPr>
      <w:r>
        <w:rPr>
          <w:sz w:val="24"/>
          <w:szCs w:val="24"/>
        </w:rPr>
        <w:t>Assisting providers with federal reimbursement claims</w:t>
      </w:r>
    </w:p>
    <w:p w14:paraId="6FE1CEC6" w14:textId="77777777" w:rsidR="000A4927" w:rsidRDefault="000A4927" w:rsidP="000A4927">
      <w:pPr>
        <w:pStyle w:val="Body"/>
        <w:numPr>
          <w:ilvl w:val="0"/>
          <w:numId w:val="2"/>
        </w:numPr>
        <w:spacing w:after="0" w:line="240" w:lineRule="auto"/>
        <w:contextualSpacing/>
        <w:rPr>
          <w:sz w:val="24"/>
          <w:szCs w:val="24"/>
        </w:rPr>
      </w:pPr>
      <w:r>
        <w:rPr>
          <w:sz w:val="24"/>
          <w:szCs w:val="24"/>
        </w:rPr>
        <w:t>D</w:t>
      </w:r>
      <w:r w:rsidR="001273F7">
        <w:rPr>
          <w:sz w:val="24"/>
          <w:szCs w:val="24"/>
        </w:rPr>
        <w:t xml:space="preserve">esigning and </w:t>
      </w:r>
      <w:r>
        <w:rPr>
          <w:sz w:val="24"/>
          <w:szCs w:val="24"/>
        </w:rPr>
        <w:t>producing promotional material</w:t>
      </w:r>
    </w:p>
    <w:p w14:paraId="44C67984" w14:textId="77777777" w:rsidR="000A4927" w:rsidRDefault="000A4927" w:rsidP="000A4927">
      <w:pPr>
        <w:pStyle w:val="Body"/>
        <w:numPr>
          <w:ilvl w:val="0"/>
          <w:numId w:val="2"/>
        </w:numPr>
        <w:spacing w:after="0" w:line="240" w:lineRule="auto"/>
        <w:contextualSpacing/>
        <w:rPr>
          <w:sz w:val="24"/>
          <w:szCs w:val="24"/>
        </w:rPr>
      </w:pPr>
      <w:r>
        <w:rPr>
          <w:sz w:val="24"/>
          <w:szCs w:val="24"/>
        </w:rPr>
        <w:t xml:space="preserve">Maintaining the </w:t>
      </w:r>
      <w:r w:rsidR="001273F7">
        <w:rPr>
          <w:sz w:val="24"/>
          <w:szCs w:val="24"/>
        </w:rPr>
        <w:t>program’s website</w:t>
      </w:r>
      <w:r>
        <w:rPr>
          <w:sz w:val="24"/>
          <w:szCs w:val="24"/>
        </w:rPr>
        <w:t xml:space="preserve"> - snappathtowork.org</w:t>
      </w:r>
    </w:p>
    <w:p w14:paraId="0D3092E6" w14:textId="77777777" w:rsidR="000A4927" w:rsidRDefault="000A4927" w:rsidP="00911B1B">
      <w:pPr>
        <w:pStyle w:val="Body"/>
        <w:spacing w:after="0" w:line="240" w:lineRule="auto"/>
        <w:contextualSpacing/>
        <w:rPr>
          <w:sz w:val="24"/>
          <w:szCs w:val="24"/>
        </w:rPr>
      </w:pPr>
    </w:p>
    <w:p w14:paraId="1B804225" w14:textId="4C8764EA" w:rsidR="001273F7" w:rsidRDefault="001273F7" w:rsidP="00911B1B">
      <w:pPr>
        <w:pStyle w:val="Body"/>
        <w:spacing w:after="0" w:line="240" w:lineRule="auto"/>
        <w:contextualSpacing/>
        <w:rPr>
          <w:sz w:val="24"/>
          <w:szCs w:val="24"/>
        </w:rPr>
      </w:pPr>
      <w:r>
        <w:rPr>
          <w:sz w:val="24"/>
          <w:szCs w:val="24"/>
        </w:rPr>
        <w:t xml:space="preserve">In FFY 2018, </w:t>
      </w:r>
      <w:r w:rsidR="005265A5">
        <w:rPr>
          <w:sz w:val="24"/>
          <w:szCs w:val="24"/>
        </w:rPr>
        <w:t xml:space="preserve">45 </w:t>
      </w:r>
      <w:r>
        <w:rPr>
          <w:sz w:val="24"/>
          <w:szCs w:val="24"/>
        </w:rPr>
        <w:t>contracted training providers were reimbursed about</w:t>
      </w:r>
      <w:r w:rsidR="005265A5">
        <w:rPr>
          <w:sz w:val="24"/>
          <w:szCs w:val="24"/>
        </w:rPr>
        <w:t xml:space="preserve"> $1.5M</w:t>
      </w:r>
      <w:r>
        <w:rPr>
          <w:sz w:val="24"/>
          <w:szCs w:val="24"/>
        </w:rPr>
        <w:t xml:space="preserve"> for employment and training services provided to program participants</w:t>
      </w:r>
      <w:r w:rsidR="000A4927">
        <w:rPr>
          <w:sz w:val="24"/>
          <w:szCs w:val="24"/>
        </w:rPr>
        <w:t xml:space="preserve">. </w:t>
      </w:r>
    </w:p>
    <w:p w14:paraId="22764EF3" w14:textId="77777777" w:rsidR="001273F7" w:rsidRDefault="001273F7" w:rsidP="00911B1B">
      <w:pPr>
        <w:pStyle w:val="Body"/>
        <w:spacing w:after="0" w:line="240" w:lineRule="auto"/>
        <w:contextualSpacing/>
        <w:rPr>
          <w:sz w:val="24"/>
          <w:szCs w:val="24"/>
        </w:rPr>
      </w:pPr>
    </w:p>
    <w:p w14:paraId="16490BCE" w14:textId="047F400F" w:rsidR="003C3A62" w:rsidRPr="003C3A62" w:rsidRDefault="005265A5" w:rsidP="003C3A62">
      <w:pPr>
        <w:pStyle w:val="Body"/>
        <w:spacing w:after="0" w:line="240" w:lineRule="auto"/>
        <w:contextualSpacing/>
        <w:rPr>
          <w:sz w:val="24"/>
          <w:szCs w:val="24"/>
        </w:rPr>
      </w:pPr>
      <w:r>
        <w:rPr>
          <w:sz w:val="24"/>
          <w:szCs w:val="24"/>
        </w:rPr>
        <w:t>To begin FFY2019</w:t>
      </w:r>
      <w:r w:rsidR="00911B1B">
        <w:rPr>
          <w:sz w:val="24"/>
          <w:szCs w:val="24"/>
        </w:rPr>
        <w:t xml:space="preserve">, </w:t>
      </w:r>
      <w:r>
        <w:rPr>
          <w:sz w:val="24"/>
          <w:szCs w:val="24"/>
        </w:rPr>
        <w:t xml:space="preserve">DTA has contracted with 46 </w:t>
      </w:r>
      <w:r w:rsidR="00911B1B">
        <w:rPr>
          <w:sz w:val="24"/>
          <w:szCs w:val="24"/>
        </w:rPr>
        <w:t>SNAP Path to Work providers fr</w:t>
      </w:r>
      <w:r w:rsidR="00CF2265">
        <w:rPr>
          <w:sz w:val="24"/>
          <w:szCs w:val="24"/>
        </w:rPr>
        <w:t xml:space="preserve">om across the state will provide services to program participants. </w:t>
      </w:r>
      <w:r w:rsidR="001273F7">
        <w:rPr>
          <w:sz w:val="24"/>
          <w:szCs w:val="24"/>
        </w:rPr>
        <w:t>USDA has approved provider</w:t>
      </w:r>
      <w:r>
        <w:rPr>
          <w:sz w:val="24"/>
          <w:szCs w:val="24"/>
        </w:rPr>
        <w:t xml:space="preserve"> </w:t>
      </w:r>
      <w:r w:rsidR="001273F7">
        <w:rPr>
          <w:sz w:val="24"/>
          <w:szCs w:val="24"/>
        </w:rPr>
        <w:t xml:space="preserve">reimbursements of approximately </w:t>
      </w:r>
      <w:r>
        <w:rPr>
          <w:sz w:val="24"/>
          <w:szCs w:val="24"/>
        </w:rPr>
        <w:t xml:space="preserve">$6.6M </w:t>
      </w:r>
      <w:r w:rsidR="001273F7">
        <w:rPr>
          <w:sz w:val="24"/>
          <w:szCs w:val="24"/>
        </w:rPr>
        <w:t>as part of the FFY19 SNAP Employment and Training State Plan.</w:t>
      </w:r>
    </w:p>
    <w:sectPr w:rsidR="003C3A62" w:rsidRPr="003C3A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78B4" w14:textId="77777777" w:rsidR="00106B7B" w:rsidRDefault="00106B7B">
      <w:r>
        <w:separator/>
      </w:r>
    </w:p>
  </w:endnote>
  <w:endnote w:type="continuationSeparator" w:id="0">
    <w:p w14:paraId="00E8C841" w14:textId="77777777" w:rsidR="00106B7B" w:rsidRDefault="0010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214" w14:textId="122CD353" w:rsidR="0025116E" w:rsidRDefault="0025116E">
    <w:pPr>
      <w:pStyle w:val="Footer"/>
      <w:jc w:val="center"/>
    </w:pPr>
    <w:r>
      <w:fldChar w:fldCharType="begin"/>
    </w:r>
    <w:r>
      <w:instrText xml:space="preserve"> PAGE </w:instrText>
    </w:r>
    <w:r>
      <w:fldChar w:fldCharType="separate"/>
    </w:r>
    <w:r w:rsidR="00483BE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0D760" w14:textId="77777777" w:rsidR="00106B7B" w:rsidRDefault="00106B7B">
      <w:r>
        <w:separator/>
      </w:r>
    </w:p>
  </w:footnote>
  <w:footnote w:type="continuationSeparator" w:id="0">
    <w:p w14:paraId="56AB78B5" w14:textId="77777777" w:rsidR="00106B7B" w:rsidRDefault="0010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711A" w14:textId="77777777" w:rsidR="0025116E" w:rsidRDefault="0025116E">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188B"/>
    <w:multiLevelType w:val="hybridMultilevel"/>
    <w:tmpl w:val="8E5282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9F2AFD"/>
    <w:multiLevelType w:val="hybridMultilevel"/>
    <w:tmpl w:val="C20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6A"/>
    <w:rsid w:val="00002897"/>
    <w:rsid w:val="00042944"/>
    <w:rsid w:val="000A4927"/>
    <w:rsid w:val="000D3BD7"/>
    <w:rsid w:val="00106B7B"/>
    <w:rsid w:val="001273F7"/>
    <w:rsid w:val="001421C6"/>
    <w:rsid w:val="00181BF3"/>
    <w:rsid w:val="00194537"/>
    <w:rsid w:val="001A7686"/>
    <w:rsid w:val="002024EC"/>
    <w:rsid w:val="0025116E"/>
    <w:rsid w:val="00354B58"/>
    <w:rsid w:val="003C3A62"/>
    <w:rsid w:val="00483BE6"/>
    <w:rsid w:val="004C49EA"/>
    <w:rsid w:val="004F563F"/>
    <w:rsid w:val="004F7C2E"/>
    <w:rsid w:val="005265A5"/>
    <w:rsid w:val="00550897"/>
    <w:rsid w:val="005B43ED"/>
    <w:rsid w:val="005F0F18"/>
    <w:rsid w:val="00625AAC"/>
    <w:rsid w:val="006B112F"/>
    <w:rsid w:val="006D6034"/>
    <w:rsid w:val="0073725C"/>
    <w:rsid w:val="00777AC7"/>
    <w:rsid w:val="00890F32"/>
    <w:rsid w:val="008A6AFF"/>
    <w:rsid w:val="008B2D15"/>
    <w:rsid w:val="008B709C"/>
    <w:rsid w:val="008F0C49"/>
    <w:rsid w:val="00911B1B"/>
    <w:rsid w:val="009A1BC1"/>
    <w:rsid w:val="009C3B6A"/>
    <w:rsid w:val="009D1328"/>
    <w:rsid w:val="00A17A31"/>
    <w:rsid w:val="00A2758D"/>
    <w:rsid w:val="00A34404"/>
    <w:rsid w:val="00B523DB"/>
    <w:rsid w:val="00B63EA2"/>
    <w:rsid w:val="00B73253"/>
    <w:rsid w:val="00C75F7E"/>
    <w:rsid w:val="00CB5BBD"/>
    <w:rsid w:val="00CF2265"/>
    <w:rsid w:val="00CF3572"/>
    <w:rsid w:val="00CF517C"/>
    <w:rsid w:val="00D10A12"/>
    <w:rsid w:val="00D13761"/>
    <w:rsid w:val="00D83A82"/>
    <w:rsid w:val="00DE11F3"/>
    <w:rsid w:val="00F3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8941C"/>
  <w15:docId w15:val="{0FBAF7AF-632A-44D3-8EFE-E7BA449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C3B6A"/>
    <w:pPr>
      <w:pBdr>
        <w:top w:val="nil"/>
        <w:left w:val="nil"/>
        <w:bottom w:val="nil"/>
        <w:right w:val="nil"/>
        <w:between w:val="nil"/>
        <w:bar w:val="nil"/>
      </w:pBdr>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C3B6A"/>
    <w:pPr>
      <w:pBdr>
        <w:top w:val="nil"/>
        <w:left w:val="nil"/>
        <w:bottom w:val="nil"/>
        <w:right w:val="nil"/>
        <w:between w:val="nil"/>
        <w:bar w:val="nil"/>
      </w:pBdr>
      <w:tabs>
        <w:tab w:val="center" w:pos="4680"/>
        <w:tab w:val="right" w:pos="9360"/>
      </w:tabs>
      <w:spacing w:after="200" w:line="276" w:lineRule="auto"/>
    </w:pPr>
    <w:rPr>
      <w:rFonts w:ascii="Calibri" w:eastAsia="Calibri" w:hAnsi="Calibri" w:cs="Calibri"/>
      <w:color w:val="000000"/>
      <w:u w:color="000000"/>
      <w:bdr w:val="nil"/>
    </w:rPr>
  </w:style>
  <w:style w:type="character" w:customStyle="1" w:styleId="HeaderChar">
    <w:name w:val="Header Char"/>
    <w:basedOn w:val="DefaultParagraphFont"/>
    <w:link w:val="Header"/>
    <w:rsid w:val="009C3B6A"/>
    <w:rPr>
      <w:rFonts w:ascii="Calibri" w:eastAsia="Calibri" w:hAnsi="Calibri" w:cs="Calibri"/>
      <w:color w:val="000000"/>
      <w:u w:color="000000"/>
      <w:bdr w:val="nil"/>
    </w:rPr>
  </w:style>
  <w:style w:type="paragraph" w:customStyle="1" w:styleId="Body">
    <w:name w:val="Body"/>
    <w:rsid w:val="009C3B6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Footer">
    <w:name w:val="footer"/>
    <w:link w:val="FooterChar"/>
    <w:rsid w:val="009C3B6A"/>
    <w:pPr>
      <w:pBdr>
        <w:top w:val="nil"/>
        <w:left w:val="nil"/>
        <w:bottom w:val="nil"/>
        <w:right w:val="nil"/>
        <w:between w:val="nil"/>
        <w:bar w:val="nil"/>
      </w:pBdr>
      <w:tabs>
        <w:tab w:val="center" w:pos="4320"/>
        <w:tab w:val="right" w:pos="8640"/>
      </w:tabs>
    </w:pPr>
    <w:rPr>
      <w:rFonts w:ascii="Times New Roman" w:eastAsia="Times New Roman" w:hAnsi="Times New Roman" w:cs="Times New Roman"/>
      <w:color w:val="000000"/>
      <w:sz w:val="24"/>
      <w:szCs w:val="24"/>
      <w:u w:color="000000"/>
      <w:bdr w:val="nil"/>
    </w:rPr>
  </w:style>
  <w:style w:type="character" w:customStyle="1" w:styleId="FooterChar">
    <w:name w:val="Footer Char"/>
    <w:basedOn w:val="DefaultParagraphFont"/>
    <w:link w:val="Footer"/>
    <w:rsid w:val="009C3B6A"/>
    <w:rPr>
      <w:rFonts w:ascii="Times New Roman" w:eastAsia="Times New Roman" w:hAnsi="Times New Roman" w:cs="Times New Roman"/>
      <w:color w:val="000000"/>
      <w:sz w:val="24"/>
      <w:szCs w:val="24"/>
      <w:u w:color="000000"/>
      <w:bdr w:val="nil"/>
    </w:rPr>
  </w:style>
  <w:style w:type="character" w:styleId="CommentReference">
    <w:name w:val="annotation reference"/>
    <w:basedOn w:val="DefaultParagraphFont"/>
    <w:uiPriority w:val="99"/>
    <w:semiHidden/>
    <w:unhideWhenUsed/>
    <w:rsid w:val="00181BF3"/>
    <w:rPr>
      <w:sz w:val="16"/>
      <w:szCs w:val="16"/>
    </w:rPr>
  </w:style>
  <w:style w:type="paragraph" w:styleId="CommentText">
    <w:name w:val="annotation text"/>
    <w:basedOn w:val="Normal"/>
    <w:link w:val="CommentTextChar"/>
    <w:uiPriority w:val="99"/>
    <w:semiHidden/>
    <w:unhideWhenUsed/>
    <w:rsid w:val="00181BF3"/>
    <w:rPr>
      <w:sz w:val="20"/>
      <w:szCs w:val="20"/>
    </w:rPr>
  </w:style>
  <w:style w:type="character" w:customStyle="1" w:styleId="CommentTextChar">
    <w:name w:val="Comment Text Char"/>
    <w:basedOn w:val="DefaultParagraphFont"/>
    <w:link w:val="CommentText"/>
    <w:uiPriority w:val="99"/>
    <w:semiHidden/>
    <w:rsid w:val="00181BF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81BF3"/>
    <w:rPr>
      <w:b/>
      <w:bCs/>
    </w:rPr>
  </w:style>
  <w:style w:type="character" w:customStyle="1" w:styleId="CommentSubjectChar">
    <w:name w:val="Comment Subject Char"/>
    <w:basedOn w:val="CommentTextChar"/>
    <w:link w:val="CommentSubject"/>
    <w:uiPriority w:val="99"/>
    <w:semiHidden/>
    <w:rsid w:val="00181BF3"/>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181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F3"/>
    <w:rPr>
      <w:rFonts w:ascii="Segoe UI" w:eastAsia="Arial Unicode MS" w:hAnsi="Segoe UI" w:cs="Segoe UI"/>
      <w:sz w:val="18"/>
      <w:szCs w:val="18"/>
      <w:bdr w:val="nil"/>
    </w:rPr>
  </w:style>
  <w:style w:type="paragraph" w:styleId="Revision">
    <w:name w:val="Revision"/>
    <w:hidden/>
    <w:uiPriority w:val="99"/>
    <w:semiHidden/>
    <w:rsid w:val="00CB5BB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9172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Christopher C (DTA)</dc:creator>
  <cp:keywords/>
  <dc:description/>
  <cp:lastModifiedBy>Power, Christopher C (DTA)</cp:lastModifiedBy>
  <cp:revision>2</cp:revision>
  <cp:lastPrinted>2018-12-07T21:11:00Z</cp:lastPrinted>
  <dcterms:created xsi:type="dcterms:W3CDTF">2018-12-17T16:58:00Z</dcterms:created>
  <dcterms:modified xsi:type="dcterms:W3CDTF">2018-12-17T16:58:00Z</dcterms:modified>
</cp:coreProperties>
</file>